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distribute"/>
        <w:rPr>
          <w:rFonts w:hint="eastAsia" w:ascii="宋体" w:hAnsi="宋体" w:eastAsia="宋体" w:cs="宋体"/>
          <w:b/>
          <w:bCs/>
          <w:color w:val="auto"/>
          <w:sz w:val="52"/>
          <w:szCs w:val="52"/>
          <w:highlight w:val="none"/>
          <w:lang w:eastAsia="zh-CN"/>
        </w:rPr>
      </w:pPr>
      <w:r>
        <w:rPr>
          <w:rFonts w:hint="eastAsia" w:ascii="宋体" w:hAnsi="宋体" w:cs="宋体"/>
          <w:color w:val="auto"/>
          <w:spacing w:val="20"/>
          <w:sz w:val="84"/>
          <w:highlight w:val="none"/>
          <w:lang w:eastAsia="zh-CN"/>
        </w:rPr>
        <w:t>温州市中医院</w:t>
      </w:r>
    </w:p>
    <w:p>
      <w:pPr>
        <w:jc w:val="center"/>
        <w:rPr>
          <w:rFonts w:hint="eastAsia" w:ascii="宋体" w:hAnsi="宋体" w:eastAsia="宋体" w:cs="宋体"/>
          <w:b/>
          <w:bCs/>
          <w:color w:val="auto"/>
          <w:spacing w:val="26"/>
          <w:sz w:val="52"/>
          <w:highlight w:val="none"/>
        </w:rPr>
      </w:pPr>
    </w:p>
    <w:p>
      <w:pPr>
        <w:ind w:firstLine="2357" w:firstLineChars="235"/>
        <w:rPr>
          <w:rFonts w:hint="eastAsia" w:ascii="宋体" w:hAnsi="宋体" w:eastAsia="宋体" w:cs="宋体"/>
          <w:b/>
          <w:bCs/>
          <w:color w:val="auto"/>
          <w:spacing w:val="140"/>
          <w:sz w:val="72"/>
          <w:highlight w:val="none"/>
        </w:rPr>
      </w:pPr>
    </w:p>
    <w:p>
      <w:pPr>
        <w:adjustRightInd w:val="0"/>
        <w:snapToGrid w:val="0"/>
        <w:spacing w:line="480" w:lineRule="auto"/>
        <w:ind w:right="361"/>
        <w:jc w:val="center"/>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招 标 文 件</w:t>
      </w:r>
    </w:p>
    <w:tbl>
      <w:tblPr>
        <w:tblStyle w:val="54"/>
        <w:tblW w:w="0" w:type="auto"/>
        <w:tblInd w:w="9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80"/>
        <w:gridCol w:w="5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编 号</w:t>
            </w:r>
            <w:r>
              <w:rPr>
                <w:rFonts w:hint="eastAsia" w:ascii="宋体" w:hAnsi="宋体" w:eastAsia="宋体" w:cs="宋体"/>
                <w:b w:val="0"/>
                <w:bCs w:val="0"/>
                <w:color w:val="auto"/>
                <w:spacing w:val="40"/>
                <w:sz w:val="28"/>
                <w:highlight w:val="none"/>
              </w:rPr>
              <w:t>：</w:t>
            </w:r>
          </w:p>
        </w:tc>
        <w:tc>
          <w:tcPr>
            <w:tcW w:w="5730" w:type="dxa"/>
            <w:vAlign w:val="center"/>
          </w:tcPr>
          <w:p>
            <w:pPr>
              <w:spacing w:line="700" w:lineRule="exact"/>
              <w:jc w:val="center"/>
              <w:rPr>
                <w:rFonts w:hint="eastAsia" w:ascii="宋体" w:hAnsi="宋体" w:eastAsia="宋体" w:cs="宋体"/>
                <w:b w:val="0"/>
                <w:bCs w:val="0"/>
                <w:color w:val="auto"/>
                <w:sz w:val="24"/>
                <w:highlight w:val="none"/>
                <w:vertAlign w:val="baseline"/>
                <w:lang w:eastAsia="zh-CN"/>
              </w:rPr>
            </w:pPr>
            <w:r>
              <w:rPr>
                <w:rFonts w:hint="eastAsia" w:ascii="宋体" w:hAnsi="宋体" w:cs="宋体"/>
                <w:b w:val="0"/>
                <w:bCs w:val="0"/>
                <w:color w:val="auto"/>
                <w:sz w:val="30"/>
                <w:szCs w:val="30"/>
                <w:highlight w:val="none"/>
                <w:lang w:eastAsia="zh-CN"/>
              </w:rPr>
              <w:t>WZLCZB（W）-2023-01003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名 称：</w:t>
            </w:r>
          </w:p>
        </w:tc>
        <w:tc>
          <w:tcPr>
            <w:tcW w:w="573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cs="宋体"/>
                <w:b w:val="0"/>
                <w:bCs w:val="0"/>
                <w:color w:val="auto"/>
                <w:sz w:val="30"/>
                <w:szCs w:val="30"/>
                <w:highlight w:val="none"/>
                <w:lang w:eastAsia="zh-CN"/>
              </w:rPr>
              <w:t>食堂一次性用品采购（重）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采 购 方 式：</w:t>
            </w:r>
          </w:p>
        </w:tc>
        <w:tc>
          <w:tcPr>
            <w:tcW w:w="573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评 审 方 式：</w:t>
            </w:r>
          </w:p>
        </w:tc>
        <w:tc>
          <w:tcPr>
            <w:tcW w:w="573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线上电子招投标</w:t>
            </w:r>
          </w:p>
        </w:tc>
      </w:tr>
    </w:tbl>
    <w:p>
      <w:pPr>
        <w:spacing w:line="700" w:lineRule="exact"/>
        <w:ind w:firstLine="723" w:firstLineChars="300"/>
        <w:jc w:val="left"/>
        <w:rPr>
          <w:rFonts w:hint="eastAsia" w:ascii="宋体" w:hAnsi="宋体" w:eastAsia="宋体" w:cs="宋体"/>
          <w:b/>
          <w:bCs/>
          <w:color w:val="auto"/>
          <w:sz w:val="24"/>
          <w:highlight w:val="none"/>
        </w:rPr>
      </w:pPr>
    </w:p>
    <w:p>
      <w:pPr>
        <w:spacing w:line="700" w:lineRule="exact"/>
        <w:ind w:firstLine="904" w:firstLineChars="300"/>
        <w:jc w:val="left"/>
        <w:rPr>
          <w:rFonts w:hint="eastAsia" w:ascii="宋体" w:hAnsi="宋体" w:eastAsia="宋体" w:cs="宋体"/>
          <w:b/>
          <w:color w:val="auto"/>
          <w:spacing w:val="40"/>
          <w:sz w:val="30"/>
          <w:szCs w:val="30"/>
          <w:highlight w:val="none"/>
        </w:rPr>
      </w:pP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rPr>
        <w:t xml:space="preserve">  </w:t>
      </w:r>
    </w:p>
    <w:p>
      <w:pPr>
        <w:spacing w:line="700" w:lineRule="exact"/>
        <w:ind w:left="3802" w:leftChars="540" w:hanging="2668" w:hangingChars="700"/>
        <w:rPr>
          <w:rFonts w:hint="eastAsia" w:ascii="宋体" w:hAnsi="宋体" w:eastAsia="宋体" w:cs="宋体"/>
          <w:b/>
          <w:color w:val="auto"/>
          <w:spacing w:val="40"/>
          <w:sz w:val="30"/>
          <w:szCs w:val="30"/>
          <w:highlight w:val="none"/>
        </w:rPr>
      </w:pPr>
    </w:p>
    <w:p>
      <w:pPr>
        <w:keepNext/>
        <w:spacing w:line="700" w:lineRule="exact"/>
        <w:rPr>
          <w:rFonts w:hint="eastAsia" w:ascii="宋体" w:hAnsi="宋体" w:eastAsia="宋体" w:cs="宋体"/>
          <w:b/>
          <w:color w:val="auto"/>
          <w:spacing w:val="40"/>
          <w:sz w:val="30"/>
          <w:szCs w:val="30"/>
          <w:highlight w:val="none"/>
        </w:rPr>
      </w:pPr>
      <w:r>
        <w:rPr>
          <w:rFonts w:hint="eastAsia" w:ascii="宋体" w:hAnsi="宋体" w:eastAsia="宋体" w:cs="宋体"/>
          <w:b/>
          <w:color w:val="auto"/>
          <w:spacing w:val="40"/>
          <w:sz w:val="30"/>
          <w:szCs w:val="30"/>
          <w:highlight w:val="none"/>
        </w:rPr>
        <w:t xml:space="preserve">    </w:t>
      </w:r>
    </w:p>
    <w:p>
      <w:pPr>
        <w:pStyle w:val="2"/>
        <w:rPr>
          <w:rFonts w:hint="eastAsia" w:ascii="宋体" w:hAnsi="宋体" w:eastAsia="宋体" w:cs="宋体"/>
          <w:b/>
          <w:color w:val="auto"/>
          <w:spacing w:val="40"/>
          <w:sz w:val="30"/>
          <w:szCs w:val="30"/>
          <w:highlight w:val="none"/>
        </w:rPr>
      </w:pPr>
    </w:p>
    <w:p>
      <w:pPr>
        <w:rPr>
          <w:rFonts w:hint="eastAsia" w:ascii="宋体" w:hAnsi="宋体" w:eastAsia="宋体" w:cs="宋体"/>
          <w:b/>
          <w:color w:val="auto"/>
          <w:spacing w:val="40"/>
          <w:sz w:val="30"/>
          <w:szCs w:val="30"/>
          <w:highlight w:val="none"/>
        </w:rPr>
      </w:pPr>
    </w:p>
    <w:p>
      <w:pPr>
        <w:pStyle w:val="2"/>
        <w:rPr>
          <w:rFonts w:hint="eastAsia"/>
          <w:color w:val="auto"/>
          <w:highlight w:val="none"/>
        </w:rPr>
      </w:pPr>
    </w:p>
    <w:p>
      <w:pPr>
        <w:spacing w:line="600" w:lineRule="exact"/>
        <w:jc w:val="center"/>
        <w:rPr>
          <w:rFonts w:hint="eastAsia" w:ascii="宋体" w:hAnsi="宋体" w:eastAsia="宋体" w:cs="宋体"/>
          <w:color w:val="auto"/>
          <w:spacing w:val="30"/>
          <w:sz w:val="30"/>
          <w:highlight w:val="none"/>
          <w:lang w:eastAsia="zh-CN"/>
        </w:rPr>
      </w:pPr>
      <w:r>
        <w:rPr>
          <w:rFonts w:hint="eastAsia" w:ascii="宋体" w:hAnsi="宋体" w:eastAsia="宋体" w:cs="宋体"/>
          <w:color w:val="auto"/>
          <w:spacing w:val="30"/>
          <w:sz w:val="30"/>
          <w:highlight w:val="none"/>
        </w:rPr>
        <w:t>招 标 人:</w:t>
      </w:r>
      <w:r>
        <w:rPr>
          <w:rFonts w:hint="eastAsia" w:ascii="宋体" w:hAnsi="宋体" w:cs="宋体"/>
          <w:color w:val="auto"/>
          <w:spacing w:val="30"/>
          <w:sz w:val="30"/>
          <w:highlight w:val="none"/>
          <w:lang w:eastAsia="zh-CN"/>
        </w:rPr>
        <w:t>温州市中医院</w:t>
      </w:r>
    </w:p>
    <w:p>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招标代理机构：温州历程招标有限公司</w:t>
      </w:r>
    </w:p>
    <w:p>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二0二</w:t>
      </w:r>
      <w:r>
        <w:rPr>
          <w:rFonts w:hint="eastAsia" w:ascii="宋体" w:hAnsi="宋体" w:cs="宋体"/>
          <w:color w:val="auto"/>
          <w:spacing w:val="30"/>
          <w:sz w:val="30"/>
          <w:highlight w:val="none"/>
          <w:lang w:val="en-US" w:eastAsia="zh-CN"/>
        </w:rPr>
        <w:t>三</w:t>
      </w:r>
      <w:r>
        <w:rPr>
          <w:rFonts w:hint="eastAsia" w:ascii="宋体" w:hAnsi="宋体" w:eastAsia="宋体" w:cs="宋体"/>
          <w:color w:val="auto"/>
          <w:spacing w:val="30"/>
          <w:sz w:val="30"/>
          <w:highlight w:val="none"/>
        </w:rPr>
        <w:t>年</w:t>
      </w:r>
    </w:p>
    <w:p>
      <w:pPr>
        <w:rPr>
          <w:rFonts w:hint="eastAsia"/>
          <w:color w:val="auto"/>
          <w:highlight w:val="none"/>
        </w:rPr>
      </w:pPr>
      <w:r>
        <w:rPr>
          <w:rFonts w:hint="eastAsia" w:ascii="宋体" w:hAnsi="宋体" w:eastAsia="宋体" w:cs="宋体"/>
          <w:b/>
          <w:color w:val="auto"/>
          <w:sz w:val="36"/>
          <w:szCs w:val="36"/>
          <w:highlight w:val="none"/>
        </w:rPr>
        <w:br w:type="page"/>
      </w:r>
    </w:p>
    <w:sdt>
      <w:sdtPr>
        <w:rPr>
          <w:rFonts w:hint="eastAsia" w:ascii="宋体" w:hAnsi="宋体" w:eastAsia="宋体" w:cs="宋体"/>
          <w:color w:val="auto"/>
          <w:kern w:val="2"/>
          <w:sz w:val="21"/>
          <w:szCs w:val="24"/>
          <w:highlight w:val="none"/>
          <w:lang w:val="en-US" w:eastAsia="zh-CN" w:bidi="ar-SA"/>
        </w:rPr>
        <w:id w:val="147459729"/>
        <w15:color w:val="DBDBDB"/>
        <w:docPartObj>
          <w:docPartGallery w:val="Table of Contents"/>
          <w:docPartUnique/>
        </w:docPartObj>
      </w:sdtPr>
      <w:sdtEndPr>
        <w:rPr>
          <w:rFonts w:hint="eastAsia" w:ascii="宋体" w:hAnsi="宋体" w:eastAsia="宋体" w:cs="宋体"/>
          <w:color w:val="auto"/>
          <w:kern w:val="2"/>
          <w:sz w:val="21"/>
          <w:szCs w:val="36"/>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color w:val="auto"/>
              <w:highlight w:val="none"/>
            </w:rPr>
          </w:pPr>
        </w:p>
        <w:p>
          <w:pPr>
            <w:pStyle w:val="40"/>
            <w:tabs>
              <w:tab w:val="right" w:leader="dot" w:pos="9638"/>
            </w:tabs>
            <w:spacing w:line="360"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目  录</w:t>
          </w:r>
        </w:p>
        <w:p>
          <w:pPr>
            <w:pStyle w:val="40"/>
            <w:tabs>
              <w:tab w:val="right" w:leader="dot" w:pos="9638"/>
            </w:tabs>
            <w:spacing w:line="360" w:lineRule="auto"/>
            <w:rPr>
              <w:color w:val="auto"/>
              <w:sz w:val="22"/>
              <w:szCs w:val="28"/>
              <w:highlight w:val="none"/>
            </w:rPr>
          </w:pPr>
          <w:r>
            <w:rPr>
              <w:rFonts w:hint="eastAsia" w:ascii="宋体" w:hAnsi="宋体" w:eastAsia="宋体" w:cs="宋体"/>
              <w:b/>
              <w:color w:val="auto"/>
              <w:sz w:val="40"/>
              <w:szCs w:val="40"/>
              <w:highlight w:val="none"/>
            </w:rPr>
            <w:fldChar w:fldCharType="begin"/>
          </w:r>
          <w:r>
            <w:rPr>
              <w:rFonts w:hint="eastAsia" w:ascii="宋体" w:hAnsi="宋体" w:eastAsia="宋体" w:cs="宋体"/>
              <w:b/>
              <w:color w:val="auto"/>
              <w:sz w:val="40"/>
              <w:szCs w:val="40"/>
              <w:highlight w:val="none"/>
            </w:rPr>
            <w:instrText xml:space="preserve">TOC \o "1-3" \h \u </w:instrText>
          </w:r>
          <w:r>
            <w:rPr>
              <w:rFonts w:hint="eastAsia" w:ascii="宋体" w:hAnsi="宋体" w:eastAsia="宋体" w:cs="宋体"/>
              <w:b/>
              <w:color w:val="auto"/>
              <w:sz w:val="40"/>
              <w:szCs w:val="40"/>
              <w:highlight w:val="none"/>
            </w:rPr>
            <w:fldChar w:fldCharType="separate"/>
          </w: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_Toc6599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招</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标</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公</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告</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_Toc6599 \h </w:instrText>
          </w:r>
          <w:r>
            <w:rPr>
              <w:color w:val="auto"/>
              <w:sz w:val="22"/>
              <w:szCs w:val="28"/>
              <w:highlight w:val="none"/>
            </w:rPr>
            <w:fldChar w:fldCharType="separate"/>
          </w:r>
          <w:r>
            <w:rPr>
              <w:color w:val="auto"/>
              <w:sz w:val="22"/>
              <w:szCs w:val="28"/>
              <w:highlight w:val="none"/>
            </w:rPr>
            <w:t>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_Toc10401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第一部分  投标人须知</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_Toc10401 \h </w:instrText>
          </w:r>
          <w:r>
            <w:rPr>
              <w:color w:val="auto"/>
              <w:sz w:val="22"/>
              <w:szCs w:val="28"/>
              <w:highlight w:val="none"/>
            </w:rPr>
            <w:fldChar w:fldCharType="separate"/>
          </w:r>
          <w:r>
            <w:rPr>
              <w:color w:val="auto"/>
              <w:sz w:val="22"/>
              <w:szCs w:val="28"/>
              <w:highlight w:val="none"/>
            </w:rPr>
            <w:t>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_Toc6224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前 附 表</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_Toc6224 \h </w:instrText>
          </w:r>
          <w:r>
            <w:rPr>
              <w:color w:val="auto"/>
              <w:sz w:val="22"/>
              <w:szCs w:val="28"/>
              <w:highlight w:val="none"/>
            </w:rPr>
            <w:fldChar w:fldCharType="separate"/>
          </w:r>
          <w:r>
            <w:rPr>
              <w:color w:val="auto"/>
              <w:sz w:val="22"/>
              <w:szCs w:val="28"/>
              <w:highlight w:val="none"/>
            </w:rPr>
            <w:t>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_Toc19070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一、 说   明</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_Toc19070 \h </w:instrText>
          </w:r>
          <w:r>
            <w:rPr>
              <w:color w:val="auto"/>
              <w:sz w:val="22"/>
              <w:szCs w:val="28"/>
              <w:highlight w:val="none"/>
            </w:rPr>
            <w:fldChar w:fldCharType="separate"/>
          </w:r>
          <w:r>
            <w:rPr>
              <w:color w:val="auto"/>
              <w:sz w:val="22"/>
              <w:szCs w:val="28"/>
              <w:highlight w:val="none"/>
            </w:rPr>
            <w:t>9</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_Toc28278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二、 招标文件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_Toc28278 \h </w:instrText>
          </w:r>
          <w:r>
            <w:rPr>
              <w:color w:val="auto"/>
              <w:sz w:val="22"/>
              <w:szCs w:val="28"/>
              <w:highlight w:val="none"/>
            </w:rPr>
            <w:fldChar w:fldCharType="separate"/>
          </w:r>
          <w:r>
            <w:rPr>
              <w:color w:val="auto"/>
              <w:sz w:val="22"/>
              <w:szCs w:val="28"/>
              <w:highlight w:val="none"/>
            </w:rPr>
            <w:t>9</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_Toc22646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三、 投标文件的编制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_Toc22646 \h </w:instrText>
          </w:r>
          <w:r>
            <w:rPr>
              <w:color w:val="auto"/>
              <w:sz w:val="22"/>
              <w:szCs w:val="28"/>
              <w:highlight w:val="none"/>
            </w:rPr>
            <w:fldChar w:fldCharType="separate"/>
          </w:r>
          <w:r>
            <w:rPr>
              <w:color w:val="auto"/>
              <w:sz w:val="22"/>
              <w:szCs w:val="28"/>
              <w:highlight w:val="none"/>
            </w:rPr>
            <w:t>10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_Toc18542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四、 投标文件的递交</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_Toc18542 \h </w:instrText>
          </w:r>
          <w:r>
            <w:rPr>
              <w:color w:val="auto"/>
              <w:sz w:val="22"/>
              <w:szCs w:val="28"/>
              <w:highlight w:val="none"/>
            </w:rPr>
            <w:fldChar w:fldCharType="separate"/>
          </w:r>
          <w:r>
            <w:rPr>
              <w:color w:val="auto"/>
              <w:sz w:val="22"/>
              <w:szCs w:val="28"/>
              <w:highlight w:val="none"/>
            </w:rPr>
            <w:t>13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_Toc8079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五、 开标和评标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_Toc8079 \h </w:instrText>
          </w:r>
          <w:r>
            <w:rPr>
              <w:color w:val="auto"/>
              <w:sz w:val="22"/>
              <w:szCs w:val="28"/>
              <w:highlight w:val="none"/>
            </w:rPr>
            <w:fldChar w:fldCharType="separate"/>
          </w:r>
          <w:r>
            <w:rPr>
              <w:color w:val="auto"/>
              <w:sz w:val="22"/>
              <w:szCs w:val="28"/>
              <w:highlight w:val="none"/>
            </w:rPr>
            <w:t>14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_Toc21056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六、 授予合同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_Toc21056 \h </w:instrText>
          </w:r>
          <w:r>
            <w:rPr>
              <w:color w:val="auto"/>
              <w:sz w:val="22"/>
              <w:szCs w:val="28"/>
              <w:highlight w:val="none"/>
            </w:rPr>
            <w:fldChar w:fldCharType="separate"/>
          </w:r>
          <w:r>
            <w:rPr>
              <w:color w:val="auto"/>
              <w:sz w:val="22"/>
              <w:szCs w:val="28"/>
              <w:highlight w:val="none"/>
            </w:rPr>
            <w:t>18</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_Toc19043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第二部分  合同主要条款</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_Toc19043 \h </w:instrText>
          </w:r>
          <w:r>
            <w:rPr>
              <w:color w:val="auto"/>
              <w:sz w:val="22"/>
              <w:szCs w:val="28"/>
              <w:highlight w:val="none"/>
            </w:rPr>
            <w:fldChar w:fldCharType="separate"/>
          </w:r>
          <w:r>
            <w:rPr>
              <w:color w:val="auto"/>
              <w:sz w:val="22"/>
              <w:szCs w:val="28"/>
              <w:highlight w:val="none"/>
            </w:rPr>
            <w:t>20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_Toc18439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第三部分  附件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_Toc18439 \h </w:instrText>
          </w:r>
          <w:r>
            <w:rPr>
              <w:color w:val="auto"/>
              <w:sz w:val="22"/>
              <w:szCs w:val="28"/>
              <w:highlight w:val="none"/>
            </w:rPr>
            <w:fldChar w:fldCharType="separate"/>
          </w:r>
          <w:r>
            <w:rPr>
              <w:color w:val="auto"/>
              <w:sz w:val="22"/>
              <w:szCs w:val="28"/>
              <w:highlight w:val="none"/>
            </w:rPr>
            <w:t>25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_Toc6368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附件一</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_Toc6368 \h </w:instrText>
          </w:r>
          <w:r>
            <w:rPr>
              <w:color w:val="auto"/>
              <w:sz w:val="22"/>
              <w:szCs w:val="28"/>
              <w:highlight w:val="none"/>
            </w:rPr>
            <w:fldChar w:fldCharType="separate"/>
          </w:r>
          <w:r>
            <w:rPr>
              <w:color w:val="auto"/>
              <w:sz w:val="22"/>
              <w:szCs w:val="28"/>
              <w:highlight w:val="none"/>
            </w:rPr>
            <w:t>25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3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_Toc5430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rPr>
            <w:t>报价文件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_Toc5430 \h </w:instrText>
          </w:r>
          <w:r>
            <w:rPr>
              <w:color w:val="auto"/>
              <w:sz w:val="22"/>
              <w:szCs w:val="28"/>
              <w:highlight w:val="none"/>
            </w:rPr>
            <w:fldChar w:fldCharType="separate"/>
          </w:r>
          <w:r>
            <w:rPr>
              <w:color w:val="auto"/>
              <w:sz w:val="22"/>
              <w:szCs w:val="28"/>
              <w:highlight w:val="none"/>
            </w:rPr>
            <w:t>25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_Toc12035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附件二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_Toc12035 \h </w:instrText>
          </w:r>
          <w:r>
            <w:rPr>
              <w:color w:val="auto"/>
              <w:sz w:val="22"/>
              <w:szCs w:val="28"/>
              <w:highlight w:val="none"/>
            </w:rPr>
            <w:fldChar w:fldCharType="separate"/>
          </w:r>
          <w:r>
            <w:rPr>
              <w:color w:val="auto"/>
              <w:sz w:val="22"/>
              <w:szCs w:val="28"/>
              <w:highlight w:val="none"/>
            </w:rPr>
            <w:t>29</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3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_Toc25309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rPr>
            <w:t>资格证明文件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_Toc25309 \h </w:instrText>
          </w:r>
          <w:r>
            <w:rPr>
              <w:color w:val="auto"/>
              <w:sz w:val="22"/>
              <w:szCs w:val="28"/>
              <w:highlight w:val="none"/>
            </w:rPr>
            <w:fldChar w:fldCharType="separate"/>
          </w:r>
          <w:r>
            <w:rPr>
              <w:color w:val="auto"/>
              <w:sz w:val="22"/>
              <w:szCs w:val="28"/>
              <w:highlight w:val="none"/>
            </w:rPr>
            <w:t>29</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_Toc31356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附件三</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_Toc31356 \h </w:instrText>
          </w:r>
          <w:r>
            <w:rPr>
              <w:color w:val="auto"/>
              <w:sz w:val="22"/>
              <w:szCs w:val="28"/>
              <w:highlight w:val="none"/>
            </w:rPr>
            <w:fldChar w:fldCharType="separate"/>
          </w:r>
          <w:r>
            <w:rPr>
              <w:color w:val="auto"/>
              <w:sz w:val="22"/>
              <w:szCs w:val="28"/>
              <w:highlight w:val="none"/>
            </w:rPr>
            <w:t>33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3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_Toc13639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lang w:val="zh-CN"/>
            </w:rPr>
            <w:t>商务技术文件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_Toc13639 \h </w:instrText>
          </w:r>
          <w:r>
            <w:rPr>
              <w:color w:val="auto"/>
              <w:sz w:val="22"/>
              <w:szCs w:val="28"/>
              <w:highlight w:val="none"/>
            </w:rPr>
            <w:fldChar w:fldCharType="separate"/>
          </w:r>
          <w:r>
            <w:rPr>
              <w:color w:val="auto"/>
              <w:sz w:val="22"/>
              <w:szCs w:val="28"/>
              <w:highlight w:val="none"/>
            </w:rPr>
            <w:t>33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_Toc3381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第四部分 项目技术规范和服务要求</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_Toc3381 \h </w:instrText>
          </w:r>
          <w:r>
            <w:rPr>
              <w:color w:val="auto"/>
              <w:sz w:val="22"/>
              <w:szCs w:val="28"/>
              <w:highlight w:val="none"/>
            </w:rPr>
            <w:fldChar w:fldCharType="separate"/>
          </w:r>
          <w:r>
            <w:rPr>
              <w:color w:val="auto"/>
              <w:sz w:val="22"/>
              <w:szCs w:val="28"/>
              <w:highlight w:val="none"/>
            </w:rPr>
            <w:t>47</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_Toc18194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第五部分 评标原则及方法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_Toc18194 \h </w:instrText>
          </w:r>
          <w:r>
            <w:rPr>
              <w:color w:val="auto"/>
              <w:sz w:val="22"/>
              <w:szCs w:val="28"/>
              <w:highlight w:val="none"/>
            </w:rPr>
            <w:fldChar w:fldCharType="separate"/>
          </w:r>
          <w:r>
            <w:rPr>
              <w:color w:val="auto"/>
              <w:sz w:val="22"/>
              <w:szCs w:val="28"/>
              <w:highlight w:val="none"/>
            </w:rPr>
            <w:t>47</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_Toc15713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一、总 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_Toc15713 \h </w:instrText>
          </w:r>
          <w:r>
            <w:rPr>
              <w:color w:val="auto"/>
              <w:sz w:val="22"/>
              <w:szCs w:val="28"/>
              <w:highlight w:val="none"/>
            </w:rPr>
            <w:fldChar w:fldCharType="separate"/>
          </w:r>
          <w:r>
            <w:rPr>
              <w:color w:val="auto"/>
              <w:sz w:val="22"/>
              <w:szCs w:val="28"/>
              <w:highlight w:val="none"/>
            </w:rPr>
            <w:t>50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_Toc23152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二、评标组织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_Toc23152 \h </w:instrText>
          </w:r>
          <w:r>
            <w:rPr>
              <w:color w:val="auto"/>
              <w:sz w:val="22"/>
              <w:szCs w:val="28"/>
              <w:highlight w:val="none"/>
            </w:rPr>
            <w:fldChar w:fldCharType="separate"/>
          </w:r>
          <w:r>
            <w:rPr>
              <w:color w:val="auto"/>
              <w:sz w:val="22"/>
              <w:szCs w:val="28"/>
              <w:highlight w:val="none"/>
            </w:rPr>
            <w:t>50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_Toc67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三、评标程序</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_Toc67 \h </w:instrText>
          </w:r>
          <w:r>
            <w:rPr>
              <w:color w:val="auto"/>
              <w:sz w:val="22"/>
              <w:szCs w:val="28"/>
              <w:highlight w:val="none"/>
            </w:rPr>
            <w:fldChar w:fldCharType="separate"/>
          </w:r>
          <w:r>
            <w:rPr>
              <w:color w:val="auto"/>
              <w:sz w:val="22"/>
              <w:szCs w:val="28"/>
              <w:highlight w:val="none"/>
            </w:rPr>
            <w:t>50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_Toc24825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四、评标办法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_Toc24825 \h </w:instrText>
          </w:r>
          <w:r>
            <w:rPr>
              <w:color w:val="auto"/>
              <w:sz w:val="22"/>
              <w:szCs w:val="28"/>
              <w:highlight w:val="none"/>
            </w:rPr>
            <w:fldChar w:fldCharType="separate"/>
          </w:r>
          <w:r>
            <w:rPr>
              <w:color w:val="auto"/>
              <w:sz w:val="22"/>
              <w:szCs w:val="28"/>
              <w:highlight w:val="none"/>
            </w:rPr>
            <w:t>50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_Toc11450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五、 评分细则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_Toc11450 \h </w:instrText>
          </w:r>
          <w:r>
            <w:rPr>
              <w:color w:val="auto"/>
              <w:sz w:val="22"/>
              <w:szCs w:val="28"/>
              <w:highlight w:val="none"/>
            </w:rPr>
            <w:fldChar w:fldCharType="separate"/>
          </w:r>
          <w:r>
            <w:rPr>
              <w:color w:val="auto"/>
              <w:sz w:val="22"/>
              <w:szCs w:val="28"/>
              <w:highlight w:val="none"/>
            </w:rPr>
            <w:t>50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_Toc4727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六、定标办法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_Toc4727 \h </w:instrText>
          </w:r>
          <w:r>
            <w:rPr>
              <w:color w:val="auto"/>
              <w:sz w:val="22"/>
              <w:szCs w:val="28"/>
              <w:highlight w:val="none"/>
            </w:rPr>
            <w:fldChar w:fldCharType="separate"/>
          </w:r>
          <w:r>
            <w:rPr>
              <w:color w:val="auto"/>
              <w:sz w:val="22"/>
              <w:szCs w:val="28"/>
              <w:highlight w:val="none"/>
            </w:rPr>
            <w:t>52</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_Toc3629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七、投标人义务</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_Toc3629 \h </w:instrText>
          </w:r>
          <w:r>
            <w:rPr>
              <w:color w:val="auto"/>
              <w:sz w:val="22"/>
              <w:szCs w:val="28"/>
              <w:highlight w:val="none"/>
            </w:rPr>
            <w:fldChar w:fldCharType="separate"/>
          </w:r>
          <w:r>
            <w:rPr>
              <w:color w:val="auto"/>
              <w:sz w:val="22"/>
              <w:szCs w:val="28"/>
              <w:highlight w:val="none"/>
            </w:rPr>
            <w:t>52</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spacing w:line="360" w:lineRule="auto"/>
            <w:ind w:firstLine="1870" w:firstLineChars="850"/>
            <w:rPr>
              <w:rFonts w:hint="eastAsia" w:ascii="宋体" w:hAnsi="宋体" w:eastAsia="宋体" w:cs="宋体"/>
              <w:b/>
              <w:color w:val="auto"/>
              <w:sz w:val="36"/>
              <w:szCs w:val="36"/>
              <w:highlight w:val="none"/>
            </w:rPr>
          </w:pPr>
          <w:r>
            <w:rPr>
              <w:rFonts w:hint="eastAsia" w:ascii="宋体" w:hAnsi="宋体" w:eastAsia="宋体" w:cs="宋体"/>
              <w:color w:val="auto"/>
              <w:sz w:val="22"/>
              <w:szCs w:val="40"/>
              <w:highlight w:val="none"/>
            </w:rPr>
            <w:fldChar w:fldCharType="end"/>
          </w:r>
        </w:p>
      </w:sdtContent>
    </w:sdt>
    <w:p>
      <w:pPr>
        <w:spacing w:line="360" w:lineRule="auto"/>
        <w:jc w:val="center"/>
        <w:rPr>
          <w:rFonts w:hint="eastAsia" w:ascii="宋体" w:hAnsi="宋体" w:eastAsia="宋体" w:cs="宋体"/>
          <w:b/>
          <w:color w:val="auto"/>
          <w:sz w:val="22"/>
          <w:szCs w:val="22"/>
          <w:highlight w:val="none"/>
        </w:rPr>
      </w:pPr>
    </w:p>
    <w:p>
      <w:pPr>
        <w:pStyle w:val="4"/>
        <w:bidi w:val="0"/>
        <w:rPr>
          <w:rFonts w:hint="eastAsia" w:ascii="宋体" w:hAnsi="宋体" w:eastAsia="宋体" w:cs="宋体"/>
          <w:b/>
          <w:color w:val="auto"/>
          <w:highlight w:val="none"/>
        </w:rPr>
      </w:pPr>
      <w:bookmarkStart w:id="0" w:name="_Toc32649"/>
      <w:bookmarkStart w:id="1" w:name="_Toc6599"/>
      <w:r>
        <w:rPr>
          <w:rFonts w:hint="eastAsia" w:ascii="宋体" w:hAnsi="宋体" w:eastAsia="宋体" w:cs="宋体"/>
          <w:color w:val="auto"/>
          <w:highlight w:val="none"/>
        </w:rPr>
        <w:t>招</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标</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公</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告</w:t>
      </w:r>
      <w:bookmarkEnd w:id="0"/>
      <w:bookmarkEnd w:id="1"/>
    </w:p>
    <w:p>
      <w:pPr>
        <w:tabs>
          <w:tab w:val="left" w:pos="360"/>
        </w:tabs>
        <w:spacing w:line="460" w:lineRule="exact"/>
        <w:ind w:firstLine="552" w:firstLineChars="250"/>
        <w:rPr>
          <w:rFonts w:hint="eastAsia" w:ascii="宋体" w:hAnsi="宋体" w:eastAsia="宋体" w:cs="宋体"/>
          <w:b/>
          <w:bCs/>
          <w:color w:val="auto"/>
          <w:sz w:val="22"/>
          <w:highlight w:val="none"/>
        </w:rPr>
      </w:pPr>
      <w:r>
        <w:rPr>
          <w:b/>
          <w:bCs/>
          <w:color w:val="auto"/>
          <w:sz w:val="22"/>
          <w:highlight w:val="none"/>
        </w:rPr>
        <mc:AlternateContent>
          <mc:Choice Requires="wps">
            <w:drawing>
              <wp:anchor distT="0" distB="0" distL="114300" distR="114300" simplePos="0" relativeHeight="251659264" behindDoc="1" locked="0" layoutInCell="1" allowOverlap="1">
                <wp:simplePos x="0" y="0"/>
                <wp:positionH relativeFrom="column">
                  <wp:posOffset>-196850</wp:posOffset>
                </wp:positionH>
                <wp:positionV relativeFrom="paragraph">
                  <wp:posOffset>3810</wp:posOffset>
                </wp:positionV>
                <wp:extent cx="6499225" cy="953135"/>
                <wp:effectExtent l="6350" t="6350" r="9525" b="12065"/>
                <wp:wrapNone/>
                <wp:docPr id="1" name="矩形 1"/>
                <wp:cNvGraphicFramePr/>
                <a:graphic xmlns:a="http://schemas.openxmlformats.org/drawingml/2006/main">
                  <a:graphicData uri="http://schemas.microsoft.com/office/word/2010/wordprocessingShape">
                    <wps:wsp>
                      <wps:cNvSpPr/>
                      <wps:spPr>
                        <a:xfrm>
                          <a:off x="0" y="0"/>
                          <a:ext cx="6499225" cy="953135"/>
                        </a:xfrm>
                        <a:prstGeom prst="rect">
                          <a:avLst/>
                        </a:prstGeom>
                        <a:noFill/>
                        <a:ln w="12700" cap="flat" cmpd="sng">
                          <a:solidFill>
                            <a:srgbClr val="000000"/>
                          </a:solidFill>
                          <a:prstDash val="solid"/>
                          <a:round/>
                          <a:headEnd type="none" w="med" len="med"/>
                          <a:tailEnd type="none" w="med" len="med"/>
                        </a:ln>
                      </wps:spPr>
                      <wps:txbx>
                        <w:txbxContent>
                          <w:p>
                            <w:pPr>
                              <w:jc w:val="both"/>
                            </w:pPr>
                          </w:p>
                        </w:txbxContent>
                      </wps:txbx>
                      <wps:bodyPr anchor="ctr" anchorCtr="0" upright="1"/>
                    </wps:wsp>
                  </a:graphicData>
                </a:graphic>
              </wp:anchor>
            </w:drawing>
          </mc:Choice>
          <mc:Fallback>
            <w:pict>
              <v:rect id="_x0000_s1026" o:spid="_x0000_s1026" o:spt="1" style="position:absolute;left:0pt;margin-left:-15.5pt;margin-top:0.3pt;height:75.05pt;width:511.75pt;z-index:-251657216;v-text-anchor:middle;mso-width-relative:page;mso-height-relative:page;" filled="f" stroked="t" coordsize="21600,21600" o:gfxdata="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uukNgAAAAIAQAADwAAAAAAAAABACAAAAAi&#10;AAAAZHJzL2Rvd25yZXYueG1sUEsBAhQAFAAAAAgAh07iQN3uu1cKAgAAHAQAAA4AAAAAAAAAAQAg&#10;AAAAJwEAAGRycy9lMm9Eb2MueG1sUEsFBgAAAAAGAAYAWQEAAKMFAAAAAA==&#10;">
                <v:fill on="f" focussize="0,0"/>
                <v:stroke weight="1pt" color="#000000" joinstyle="round"/>
                <v:imagedata o:title=""/>
                <o:lock v:ext="edit" aspectratio="f"/>
                <v:textbox>
                  <w:txbxContent>
                    <w:p>
                      <w:pPr>
                        <w:jc w:val="both"/>
                      </w:pPr>
                    </w:p>
                  </w:txbxContent>
                </v:textbox>
              </v:rect>
            </w:pict>
          </mc:Fallback>
        </mc:AlternateContent>
      </w:r>
      <w:r>
        <w:rPr>
          <w:rFonts w:hint="eastAsia" w:ascii="宋体" w:hAnsi="宋体" w:eastAsia="宋体" w:cs="宋体"/>
          <w:b/>
          <w:bCs/>
          <w:color w:val="auto"/>
          <w:sz w:val="22"/>
          <w:highlight w:val="none"/>
        </w:rPr>
        <w:t>项目概况</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cs="宋体"/>
          <w:color w:val="auto"/>
          <w:sz w:val="22"/>
          <w:highlight w:val="none"/>
          <w:lang w:eastAsia="zh-CN"/>
        </w:rPr>
        <w:t>食堂一次性用品采购（重）</w:t>
      </w:r>
      <w:r>
        <w:rPr>
          <w:rFonts w:hint="eastAsia" w:ascii="宋体" w:hAnsi="宋体" w:eastAsia="宋体" w:cs="宋体"/>
          <w:color w:val="auto"/>
          <w:sz w:val="22"/>
          <w:highlight w:val="none"/>
        </w:rPr>
        <w:t>招标项目的潜在投标人应在浙江政府采购网获取（下载）招标文件，并于</w:t>
      </w:r>
      <w:r>
        <w:rPr>
          <w:rFonts w:hint="eastAsia"/>
          <w:color w:val="auto"/>
          <w:sz w:val="22"/>
          <w:szCs w:val="22"/>
          <w:highlight w:val="none"/>
          <w:u w:val="none"/>
          <w:lang w:val="en-US" w:eastAsia="zh-CN"/>
        </w:rPr>
        <w:t>2023年01月31日09</w:t>
      </w:r>
      <w:r>
        <w:rPr>
          <w:rFonts w:hint="eastAsia"/>
          <w:color w:val="auto"/>
          <w:sz w:val="22"/>
          <w:szCs w:val="22"/>
          <w:highlight w:val="none"/>
          <w:u w:val="none"/>
        </w:rPr>
        <w:t>:30</w:t>
      </w:r>
      <w:r>
        <w:rPr>
          <w:rFonts w:hint="eastAsia" w:ascii="宋体" w:hAnsi="宋体" w:eastAsia="宋体" w:cs="宋体"/>
          <w:color w:val="auto"/>
          <w:sz w:val="22"/>
          <w:highlight w:val="none"/>
        </w:rPr>
        <w:t>（北京时间）前递交（上传）投标文件。</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lang w:val="en-US" w:eastAsia="zh-CN"/>
        </w:rPr>
      </w:pPr>
      <w:r>
        <w:rPr>
          <w:rFonts w:hint="eastAsia"/>
          <w:b/>
          <w:bCs/>
          <w:color w:val="auto"/>
          <w:sz w:val="22"/>
          <w:szCs w:val="22"/>
          <w:highlight w:val="none"/>
          <w:u w:val="none"/>
        </w:rPr>
        <w:t>一、项目基本情况</w:t>
      </w:r>
      <w:r>
        <w:rPr>
          <w:rFonts w:hint="eastAsia"/>
          <w:color w:val="auto"/>
          <w:sz w:val="22"/>
          <w:szCs w:val="22"/>
          <w:highlight w:val="none"/>
          <w:u w:val="none"/>
          <w:lang w:val="en-US" w:eastAsia="zh-CN"/>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项目编号：</w:t>
      </w:r>
      <w:r>
        <w:rPr>
          <w:rFonts w:hint="eastAsia"/>
          <w:color w:val="auto"/>
          <w:sz w:val="22"/>
          <w:szCs w:val="22"/>
          <w:highlight w:val="none"/>
          <w:u w:val="none"/>
          <w:lang w:eastAsia="zh-CN"/>
        </w:rPr>
        <w:t>WZLCZB（W）-2023-01003</w:t>
      </w:r>
      <w:r>
        <w:rPr>
          <w:rFonts w:hint="eastAsia"/>
          <w:color w:val="auto"/>
          <w:sz w:val="22"/>
          <w:szCs w:val="22"/>
          <w:highlight w:val="none"/>
          <w:u w:val="none"/>
          <w:lang w:val="en-US" w:eastAsia="zh-CN"/>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项目名称：</w:t>
      </w:r>
      <w:r>
        <w:rPr>
          <w:rFonts w:hint="eastAsia"/>
          <w:color w:val="auto"/>
          <w:sz w:val="22"/>
          <w:szCs w:val="22"/>
          <w:highlight w:val="none"/>
          <w:u w:val="none"/>
          <w:lang w:eastAsia="zh-CN"/>
        </w:rPr>
        <w:t>食堂一次性用品采购（重）</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预算金额（元）：495000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最高限价（元）：495000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采购需求：</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标项名称:</w:t>
      </w:r>
      <w:r>
        <w:rPr>
          <w:rFonts w:hint="eastAsia"/>
          <w:color w:val="auto"/>
          <w:sz w:val="22"/>
          <w:szCs w:val="22"/>
          <w:highlight w:val="none"/>
          <w:u w:val="none"/>
          <w:lang w:eastAsia="zh-CN"/>
        </w:rPr>
        <w:t>食堂一次性用品采购（重）</w:t>
      </w:r>
      <w:r>
        <w:rPr>
          <w:rFonts w:hint="eastAsia"/>
          <w:color w:val="auto"/>
          <w:sz w:val="22"/>
          <w:szCs w:val="22"/>
          <w:highlight w:val="none"/>
          <w:u w:val="none"/>
          <w:lang w:val="en-US" w:eastAsia="zh-CN"/>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数量:1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预算金额（元）:495000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简要规格描述或项目基本概况介绍、用途：具体详见招标文件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备注：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合同履约期限：标项 1，具体详见招标文件</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lang w:val="en-US" w:eastAsia="zh-CN"/>
        </w:rPr>
        <w:t>本项目（否）接受联合体投标。</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lang w:val="en-US" w:eastAsia="zh-CN"/>
        </w:rPr>
      </w:pPr>
      <w:r>
        <w:rPr>
          <w:rFonts w:hint="eastAsia"/>
          <w:b/>
          <w:bCs/>
          <w:color w:val="auto"/>
          <w:sz w:val="22"/>
          <w:szCs w:val="22"/>
          <w:highlight w:val="none"/>
          <w:u w:val="none"/>
          <w:lang w:val="en-US" w:eastAsia="zh-CN"/>
        </w:rPr>
        <w:t>二、申请人的资格要求：</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1.满足《中华人民共和国政府采购法》第二十二条规定；未被“信用中国”（www.creditchina.gov.cn)、中国政府采购网（www.ccgp.gov.cn）等有关政府曝光台列入失信被执行人、重大税收违法案件当事人名单、政府采购严重违法失信行为记录名单。</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2.落实政府采购政策需满足的资格要求：无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3.本项目的特定资格要求：无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三、获取招标文件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时间：</w:t>
      </w:r>
      <w:r>
        <w:rPr>
          <w:rFonts w:hint="eastAsia"/>
          <w:color w:val="auto"/>
          <w:sz w:val="22"/>
          <w:szCs w:val="22"/>
          <w:highlight w:val="none"/>
          <w:u w:val="none"/>
          <w:lang w:val="en-US" w:eastAsia="zh-CN"/>
        </w:rPr>
        <w:t>2023年01月05日</w:t>
      </w:r>
      <w:r>
        <w:rPr>
          <w:rFonts w:hint="eastAsia"/>
          <w:color w:val="auto"/>
          <w:sz w:val="22"/>
          <w:szCs w:val="22"/>
          <w:highlight w:val="none"/>
          <w:u w:val="none"/>
        </w:rPr>
        <w:t>至</w:t>
      </w:r>
      <w:r>
        <w:rPr>
          <w:rFonts w:hint="eastAsia"/>
          <w:color w:val="auto"/>
          <w:sz w:val="22"/>
          <w:szCs w:val="22"/>
          <w:highlight w:val="none"/>
          <w:u w:val="none"/>
          <w:lang w:val="en-US" w:eastAsia="zh-CN"/>
        </w:rPr>
        <w:t>2023年01月31日</w:t>
      </w:r>
      <w:r>
        <w:rPr>
          <w:rFonts w:hint="eastAsia"/>
          <w:color w:val="auto"/>
          <w:sz w:val="22"/>
          <w:szCs w:val="22"/>
          <w:highlight w:val="none"/>
          <w:u w:val="none"/>
        </w:rPr>
        <w:t>，每天上午00:00至12:00，下午12:00至23:59（北京时间，线上获取法定节假日均可，线下获取文件法定节假日除外）</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地点（网址）：浙江政府采购网（https://zfcg.czt.zj.gov.cn/）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方式：供应商登录政采云平台https://www.zcygov.cn/在线申请获取采购文件（进入“项目采购”应用，在获取采购文件菜单中选择项目，申请获取采购文件）</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售价（元）：0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四、提交投标文件截止时间、开标时间和地点</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提交投标文件截止时间：</w:t>
      </w:r>
      <w:r>
        <w:rPr>
          <w:rFonts w:hint="eastAsia"/>
          <w:color w:val="auto"/>
          <w:sz w:val="22"/>
          <w:szCs w:val="22"/>
          <w:highlight w:val="none"/>
          <w:u w:val="none"/>
          <w:lang w:val="en-US" w:eastAsia="zh-CN"/>
        </w:rPr>
        <w:t>2023年01月31日09</w:t>
      </w:r>
      <w:r>
        <w:rPr>
          <w:rFonts w:hint="eastAsia"/>
          <w:color w:val="auto"/>
          <w:sz w:val="22"/>
          <w:szCs w:val="22"/>
          <w:highlight w:val="none"/>
          <w:u w:val="none"/>
        </w:rPr>
        <w:t>:30（北京时间）</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投标地点（网址）：</w:t>
      </w:r>
      <w:r>
        <w:rPr>
          <w:rFonts w:hint="eastAsia" w:ascii="宋体" w:hAnsi="宋体" w:eastAsia="宋体" w:cs="宋体"/>
          <w:color w:val="auto"/>
          <w:sz w:val="22"/>
          <w:highlight w:val="none"/>
          <w:lang w:val="en-US" w:eastAsia="zh-CN"/>
        </w:rPr>
        <w:t>温州市鹿城区学院中路229号三想集团5楼（政采云平台：http://zfcg.czt.zj.gov.cn）</w:t>
      </w:r>
      <w:r>
        <w:rPr>
          <w:rFonts w:hint="eastAsia"/>
          <w:color w:val="auto"/>
          <w:sz w:val="22"/>
          <w:szCs w:val="22"/>
          <w:highlight w:val="none"/>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开标时间：</w:t>
      </w:r>
      <w:r>
        <w:rPr>
          <w:rFonts w:hint="eastAsia"/>
          <w:color w:val="auto"/>
          <w:sz w:val="22"/>
          <w:szCs w:val="22"/>
          <w:highlight w:val="none"/>
          <w:u w:val="none"/>
          <w:lang w:val="en-US" w:eastAsia="zh-CN"/>
        </w:rPr>
        <w:t>2023年01月31日09</w:t>
      </w:r>
      <w:r>
        <w:rPr>
          <w:rFonts w:hint="eastAsia"/>
          <w:color w:val="auto"/>
          <w:sz w:val="22"/>
          <w:szCs w:val="22"/>
          <w:highlight w:val="none"/>
          <w:u w:val="none"/>
        </w:rPr>
        <w:t>:30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开标地点（网址）：</w:t>
      </w:r>
      <w:r>
        <w:rPr>
          <w:rFonts w:hint="eastAsia" w:ascii="宋体" w:hAnsi="宋体" w:eastAsia="宋体" w:cs="宋体"/>
          <w:color w:val="auto"/>
          <w:sz w:val="22"/>
          <w:highlight w:val="none"/>
          <w:lang w:val="en-US" w:eastAsia="zh-CN"/>
        </w:rPr>
        <w:t>温州市鹿城区学院中路229号三想集团5楼（政采云平台：http://zfcg.czt.zj.gov.cn）</w:t>
      </w:r>
      <w:r>
        <w:rPr>
          <w:rFonts w:hint="eastAsia"/>
          <w:color w:val="auto"/>
          <w:sz w:val="22"/>
          <w:szCs w:val="22"/>
          <w:highlight w:val="none"/>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b/>
          <w:bCs/>
          <w:color w:val="auto"/>
          <w:sz w:val="22"/>
          <w:szCs w:val="22"/>
          <w:highlight w:val="none"/>
          <w:u w:val="none"/>
        </w:rPr>
        <w:t>五、公告期限</w:t>
      </w:r>
      <w:r>
        <w:rPr>
          <w:rFonts w:hint="eastAsia"/>
          <w:color w:val="auto"/>
          <w:sz w:val="22"/>
          <w:szCs w:val="22"/>
          <w:highlight w:val="none"/>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自本公告发布之日起5个工作日。</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六、其他补充事宜</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auto"/>
          <w:sz w:val="22"/>
          <w:szCs w:val="22"/>
          <w:highlight w:val="none"/>
          <w:u w:val="none"/>
          <w:lang w:val="en-US" w:eastAsia="zh-CN"/>
        </w:rPr>
      </w:pPr>
      <w:r>
        <w:rPr>
          <w:rFonts w:hint="eastAsia" w:ascii="宋体" w:hAnsi="宋体" w:eastAsia="宋体" w:cs="宋体"/>
          <w:color w:val="auto"/>
          <w:sz w:val="22"/>
          <w:highlight w:val="none"/>
          <w:lang w:val="en-US" w:eastAsia="zh-CN"/>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  </w:t>
      </w:r>
    </w:p>
    <w:p>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七、对本次招标提出询问，请按以下方式联系</w:t>
      </w:r>
      <w:r>
        <w:rPr>
          <w:rFonts w:hint="eastAsia" w:ascii="宋体" w:hAnsi="宋体" w:eastAsia="宋体" w:cs="宋体"/>
          <w:color w:val="auto"/>
          <w:sz w:val="22"/>
          <w:szCs w:val="22"/>
          <w:highlight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1.采购人信息</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auto"/>
          <w:sz w:val="22"/>
          <w:szCs w:val="22"/>
          <w:highlight w:val="none"/>
          <w:u w:val="none"/>
          <w:lang w:eastAsia="zh-CN"/>
        </w:rPr>
      </w:pPr>
      <w:r>
        <w:rPr>
          <w:rFonts w:hint="eastAsia"/>
          <w:color w:val="auto"/>
          <w:sz w:val="22"/>
          <w:szCs w:val="22"/>
          <w:highlight w:val="none"/>
          <w:u w:val="none"/>
        </w:rPr>
        <w:t>名  称：</w:t>
      </w:r>
      <w:r>
        <w:rPr>
          <w:rFonts w:hint="eastAsia"/>
          <w:color w:val="auto"/>
          <w:sz w:val="22"/>
          <w:szCs w:val="22"/>
          <w:highlight w:val="none"/>
          <w:u w:val="none"/>
          <w:lang w:eastAsia="zh-CN"/>
        </w:rPr>
        <w:t>温州市中医院</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  址：</w:t>
      </w:r>
      <w:r>
        <w:rPr>
          <w:rFonts w:hint="eastAsia" w:ascii="宋体" w:hAnsi="宋体" w:eastAsia="宋体" w:cs="宋体"/>
          <w:i w:val="0"/>
          <w:iCs w:val="0"/>
          <w:caps w:val="0"/>
          <w:color w:val="auto"/>
          <w:spacing w:val="0"/>
          <w:sz w:val="22"/>
          <w:szCs w:val="22"/>
          <w:highlight w:val="none"/>
          <w:shd w:val="clear" w:fill="FFFFFF"/>
        </w:rPr>
        <w:t>温州市六虹桥蛟尾路9号</w:t>
      </w:r>
      <w:r>
        <w:rPr>
          <w:rFonts w:hint="eastAsia"/>
          <w:color w:val="auto"/>
          <w:sz w:val="22"/>
          <w:szCs w:val="22"/>
          <w:highlight w:val="none"/>
          <w:u w:val="none"/>
        </w:rPr>
        <w:t xml:space="preserve">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传  真：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项目联系人（询问）：</w:t>
      </w:r>
      <w:r>
        <w:rPr>
          <w:rFonts w:hint="eastAsia" w:ascii="宋体" w:hAnsi="宋体" w:eastAsia="宋体" w:cs="宋体"/>
          <w:i w:val="0"/>
          <w:iCs w:val="0"/>
          <w:caps w:val="0"/>
          <w:color w:val="auto"/>
          <w:spacing w:val="0"/>
          <w:sz w:val="22"/>
          <w:szCs w:val="22"/>
          <w:highlight w:val="none"/>
          <w:shd w:val="clear" w:fill="FFFFFF"/>
        </w:rPr>
        <w:t>李先生</w:t>
      </w:r>
      <w:r>
        <w:rPr>
          <w:rFonts w:hint="eastAsia"/>
          <w:color w:val="auto"/>
          <w:sz w:val="22"/>
          <w:szCs w:val="22"/>
          <w:highlight w:val="none"/>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项目联系方式（询问）：</w:t>
      </w:r>
      <w:r>
        <w:rPr>
          <w:rFonts w:hint="eastAsia" w:ascii="宋体" w:hAnsi="宋体" w:eastAsia="宋体" w:cs="宋体"/>
          <w:i w:val="0"/>
          <w:iCs w:val="0"/>
          <w:caps w:val="0"/>
          <w:color w:val="auto"/>
          <w:spacing w:val="0"/>
          <w:sz w:val="22"/>
          <w:szCs w:val="22"/>
          <w:highlight w:val="none"/>
          <w:shd w:val="clear" w:fill="FFFFFF"/>
        </w:rPr>
        <w:t>0577-56671516</w:t>
      </w:r>
      <w:r>
        <w:rPr>
          <w:rFonts w:hint="eastAsia"/>
          <w:color w:val="auto"/>
          <w:sz w:val="22"/>
          <w:szCs w:val="22"/>
          <w:highlight w:val="none"/>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color w:val="auto"/>
          <w:sz w:val="22"/>
          <w:szCs w:val="22"/>
          <w:highlight w:val="none"/>
          <w:u w:val="none"/>
        </w:rPr>
        <w:t>  2.采购代理机构信息</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名  称：</w:t>
      </w:r>
      <w:r>
        <w:rPr>
          <w:rFonts w:hint="eastAsia"/>
          <w:color w:val="auto"/>
          <w:sz w:val="22"/>
          <w:szCs w:val="22"/>
          <w:highlight w:val="none"/>
          <w:u w:val="none"/>
          <w:lang w:val="en-US" w:eastAsia="zh-CN"/>
        </w:rPr>
        <w:t>温州历程招标有限公司</w:t>
      </w:r>
      <w:r>
        <w:rPr>
          <w:rFonts w:hint="eastAsia"/>
          <w:color w:val="auto"/>
          <w:sz w:val="22"/>
          <w:szCs w:val="22"/>
          <w:highlight w:val="none"/>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  址：</w:t>
      </w:r>
      <w:r>
        <w:rPr>
          <w:rFonts w:hint="eastAsia"/>
          <w:color w:val="auto"/>
          <w:sz w:val="22"/>
          <w:szCs w:val="22"/>
          <w:highlight w:val="none"/>
          <w:lang w:eastAsia="zh-CN"/>
        </w:rPr>
        <w:t>温州市鹿城区学院中路229号三想集团5楼</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传  真：0577-89887255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项目联系人（询问）： 郑永强、温碧霞</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项目联系方式（询问）：0577-89887322、13757727199</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eastAsia="宋体"/>
          <w:color w:val="auto"/>
          <w:sz w:val="22"/>
          <w:szCs w:val="22"/>
          <w:highlight w:val="none"/>
          <w:u w:val="none"/>
          <w:lang w:val="en-US" w:eastAsia="zh-CN"/>
        </w:rPr>
      </w:pPr>
      <w:r>
        <w:rPr>
          <w:rFonts w:hint="eastAsia"/>
          <w:color w:val="auto"/>
          <w:sz w:val="22"/>
          <w:szCs w:val="22"/>
          <w:highlight w:val="none"/>
          <w:u w:val="none"/>
        </w:rPr>
        <w:t>质疑联系人：</w:t>
      </w:r>
      <w:r>
        <w:rPr>
          <w:rFonts w:hint="eastAsia"/>
          <w:color w:val="auto"/>
          <w:sz w:val="22"/>
          <w:szCs w:val="22"/>
          <w:highlight w:val="none"/>
          <w:u w:val="none"/>
          <w:lang w:val="en-US" w:eastAsia="zh-CN"/>
        </w:rPr>
        <w:t>肖忠文</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质疑联系方式：13757727199 </w:t>
      </w:r>
    </w:p>
    <w:p>
      <w:pPr>
        <w:pStyle w:val="49"/>
        <w:keepNext w:val="0"/>
        <w:keepLines w:val="0"/>
        <w:pageBreakBefore w:val="0"/>
        <w:numPr>
          <w:ilvl w:val="0"/>
          <w:numId w:val="4"/>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采购监督管理部门</w:t>
      </w:r>
    </w:p>
    <w:p>
      <w:pPr>
        <w:pStyle w:val="4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名 </w:t>
      </w:r>
      <w:r>
        <w:rPr>
          <w:rFonts w:hint="eastAsia"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称：</w:t>
      </w:r>
      <w:r>
        <w:rPr>
          <w:rFonts w:hint="eastAsia" w:cs="宋体"/>
          <w:color w:val="auto"/>
          <w:sz w:val="22"/>
          <w:szCs w:val="22"/>
          <w:highlight w:val="none"/>
          <w:u w:val="none"/>
          <w:lang w:eastAsia="zh-CN"/>
        </w:rPr>
        <w:t>温州市中医院</w:t>
      </w:r>
      <w:r>
        <w:rPr>
          <w:rFonts w:hint="eastAsia" w:ascii="宋体" w:hAnsi="宋体" w:eastAsia="宋体" w:cs="宋体"/>
          <w:color w:val="auto"/>
          <w:sz w:val="22"/>
          <w:szCs w:val="22"/>
          <w:highlight w:val="none"/>
          <w:u w:val="none"/>
          <w:lang w:eastAsia="zh-CN"/>
        </w:rPr>
        <w:t>监察室</w:t>
      </w:r>
      <w:r>
        <w:rPr>
          <w:rFonts w:hint="eastAsia" w:ascii="宋体" w:hAnsi="宋体" w:eastAsia="宋体" w:cs="宋体"/>
          <w:color w:val="auto"/>
          <w:sz w:val="22"/>
          <w:highlight w:val="none"/>
          <w:lang w:val="en-US" w:eastAsia="zh-CN"/>
        </w:rPr>
        <w:t> </w:t>
      </w:r>
    </w:p>
    <w:p>
      <w:pPr>
        <w:tabs>
          <w:tab w:val="left" w:pos="360"/>
        </w:tabs>
        <w:spacing w:line="460" w:lineRule="exact"/>
        <w:ind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电</w:t>
      </w:r>
      <w:r>
        <w:rPr>
          <w:rFonts w:hint="eastAsia" w:ascii="宋体" w:hAnsi="宋体"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话：0577-56671511</w:t>
      </w:r>
    </w:p>
    <w:p>
      <w:pPr>
        <w:keepNext/>
        <w:keepLines/>
        <w:pageBreakBefore w:val="0"/>
        <w:widowControl w:val="0"/>
        <w:kinsoku/>
        <w:wordWrap/>
        <w:overflowPunct/>
        <w:topLinePunct w:val="0"/>
        <w:autoSpaceDE/>
        <w:autoSpaceDN/>
        <w:bidi w:val="0"/>
        <w:adjustRightInd/>
        <w:snapToGrid/>
        <w:textAlignment w:val="auto"/>
        <w:outlineLvl w:val="9"/>
        <w:rPr>
          <w:rFonts w:hint="eastAsia"/>
          <w:color w:val="auto"/>
          <w:highlight w:val="none"/>
        </w:rPr>
      </w:pP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p>
      <w:pPr>
        <w:rPr>
          <w:rFonts w:hint="eastAsia" w:ascii="宋体" w:hAnsi="宋体" w:eastAsia="宋体" w:cs="宋体"/>
          <w:color w:val="auto"/>
          <w:highlight w:val="none"/>
        </w:rPr>
      </w:pPr>
    </w:p>
    <w:p>
      <w:pPr>
        <w:pStyle w:val="25"/>
        <w:spacing w:line="460" w:lineRule="exact"/>
        <w:ind w:left="602" w:hanging="602"/>
        <w:jc w:val="center"/>
        <w:rPr>
          <w:rFonts w:hint="eastAsia" w:ascii="宋体" w:hAnsi="宋体" w:eastAsia="宋体" w:cs="宋体"/>
          <w:b/>
          <w:color w:val="auto"/>
          <w:sz w:val="30"/>
          <w:highlight w:val="none"/>
        </w:rPr>
      </w:pPr>
    </w:p>
    <w:p>
      <w:pPr>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pPr>
        <w:pStyle w:val="4"/>
        <w:bidi w:val="0"/>
        <w:rPr>
          <w:rFonts w:hint="eastAsia" w:ascii="宋体" w:hAnsi="宋体" w:eastAsia="宋体" w:cs="宋体"/>
          <w:color w:val="auto"/>
          <w:highlight w:val="none"/>
        </w:rPr>
      </w:pPr>
      <w:bookmarkStart w:id="2" w:name="_Toc10401"/>
      <w:bookmarkStart w:id="3" w:name="_Toc5772"/>
      <w:r>
        <w:rPr>
          <w:rFonts w:hint="eastAsia" w:ascii="宋体" w:hAnsi="宋体" w:eastAsia="宋体" w:cs="宋体"/>
          <w:color w:val="auto"/>
          <w:highlight w:val="none"/>
        </w:rPr>
        <w:t>第一部分    投标人须知</w:t>
      </w:r>
      <w:bookmarkEnd w:id="2"/>
      <w:bookmarkEnd w:id="3"/>
    </w:p>
    <w:p>
      <w:pPr>
        <w:keepNext/>
        <w:keepLines/>
        <w:shd w:val="clear" w:color="auto" w:fill="FFFFFF"/>
        <w:tabs>
          <w:tab w:val="left" w:pos="706"/>
        </w:tabs>
        <w:snapToGrid w:val="0"/>
        <w:spacing w:line="360" w:lineRule="auto"/>
        <w:jc w:val="center"/>
        <w:outlineLvl w:val="1"/>
        <w:rPr>
          <w:rFonts w:hint="eastAsia" w:ascii="宋体" w:hAnsi="宋体" w:eastAsia="宋体" w:cs="宋体"/>
          <w:b/>
          <w:bCs/>
          <w:color w:val="auto"/>
          <w:sz w:val="24"/>
          <w:highlight w:val="none"/>
        </w:rPr>
      </w:pPr>
      <w:bookmarkStart w:id="4" w:name="_Toc33194387"/>
      <w:bookmarkStart w:id="5" w:name="_Toc354996695"/>
      <w:bookmarkStart w:id="6" w:name="_Toc233618971"/>
      <w:bookmarkStart w:id="7" w:name="_Toc1839"/>
      <w:bookmarkStart w:id="8" w:name="_Toc6224"/>
      <w:r>
        <w:rPr>
          <w:rFonts w:hint="eastAsia" w:ascii="宋体" w:hAnsi="宋体" w:eastAsia="宋体" w:cs="宋体"/>
          <w:b/>
          <w:bCs/>
          <w:color w:val="auto"/>
          <w:sz w:val="24"/>
          <w:highlight w:val="none"/>
        </w:rPr>
        <w:t>前 附 表</w:t>
      </w:r>
      <w:bookmarkEnd w:id="4"/>
      <w:bookmarkEnd w:id="5"/>
      <w:bookmarkEnd w:id="6"/>
      <w:bookmarkEnd w:id="7"/>
      <w:bookmarkEnd w:id="8"/>
    </w:p>
    <w:tbl>
      <w:tblPr>
        <w:tblStyle w:val="53"/>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p>
        </w:tc>
        <w:tc>
          <w:tcPr>
            <w:tcW w:w="9590" w:type="dxa"/>
            <w:tcBorders>
              <w:top w:val="single" w:color="000000" w:sz="2" w:space="0"/>
              <w:left w:val="single" w:color="000000" w:sz="2" w:space="0"/>
              <w:bottom w:val="single" w:color="000000" w:sz="2" w:space="0"/>
              <w:right w:val="single" w:color="000000" w:sz="8" w:space="0"/>
            </w:tcBorders>
          </w:tcPr>
          <w:p>
            <w:pPr>
              <w:tabs>
                <w:tab w:val="left" w:pos="3780"/>
              </w:tabs>
              <w:snapToGrid w:val="0"/>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一、项目名称</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食堂一次性用品采购（重）</w:t>
            </w:r>
          </w:p>
          <w:p>
            <w:pPr>
              <w:spacing w:line="460" w:lineRule="exact"/>
              <w:rPr>
                <w:rFonts w:hint="eastAsia" w:ascii="宋体" w:hAnsi="宋体" w:eastAsia="宋体" w:cs="宋体"/>
                <w:b/>
                <w:bCs/>
                <w:color w:val="auto"/>
                <w:sz w:val="22"/>
                <w:szCs w:val="22"/>
                <w:highlight w:val="none"/>
              </w:rPr>
            </w:pPr>
            <w:bookmarkStart w:id="9" w:name="_Hlt75139851"/>
            <w:bookmarkEnd w:id="9"/>
            <w:r>
              <w:rPr>
                <w:rFonts w:hint="eastAsia" w:ascii="宋体" w:hAnsi="宋体" w:eastAsia="宋体" w:cs="宋体"/>
                <w:b/>
                <w:bCs/>
                <w:color w:val="auto"/>
                <w:sz w:val="22"/>
                <w:szCs w:val="22"/>
                <w:highlight w:val="none"/>
              </w:rPr>
              <w:t>二、采购内容：</w:t>
            </w:r>
          </w:p>
          <w:tbl>
            <w:tblPr>
              <w:tblStyle w:val="53"/>
              <w:tblW w:w="91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3"/>
              <w:gridCol w:w="2820"/>
              <w:gridCol w:w="948"/>
              <w:gridCol w:w="1852"/>
              <w:gridCol w:w="28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b/>
                      <w:bCs/>
                      <w:color w:val="auto"/>
                      <w:sz w:val="22"/>
                      <w:szCs w:val="22"/>
                      <w:highlight w:val="none"/>
                      <w:shd w:val="clear" w:color="auto" w:fill="FFFFFF"/>
                    </w:rPr>
                  </w:pPr>
                  <w:r>
                    <w:rPr>
                      <w:rFonts w:hint="eastAsia" w:ascii="宋体" w:hAnsi="宋体" w:eastAsia="宋体" w:cs="宋体"/>
                      <w:b/>
                      <w:bCs/>
                      <w:color w:val="auto"/>
                      <w:sz w:val="22"/>
                      <w:szCs w:val="22"/>
                      <w:highlight w:val="none"/>
                    </w:rPr>
                    <w:t>序号</w:t>
                  </w:r>
                </w:p>
              </w:tc>
              <w:tc>
                <w:tcPr>
                  <w:tcW w:w="2820"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948"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b/>
                      <w:bCs/>
                      <w:color w:val="auto"/>
                      <w:sz w:val="22"/>
                      <w:szCs w:val="22"/>
                      <w:highlight w:val="none"/>
                      <w:shd w:val="clear" w:color="auto" w:fill="FFFFFF"/>
                    </w:rPr>
                  </w:pPr>
                  <w:r>
                    <w:rPr>
                      <w:rFonts w:hint="eastAsia" w:ascii="宋体" w:hAnsi="宋体" w:eastAsia="宋体" w:cs="宋体"/>
                      <w:b/>
                      <w:bCs/>
                      <w:color w:val="auto"/>
                      <w:sz w:val="22"/>
                      <w:szCs w:val="22"/>
                      <w:highlight w:val="none"/>
                    </w:rPr>
                    <w:t>单位</w:t>
                  </w:r>
                </w:p>
              </w:tc>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60"/>
                    </w:tabs>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highlight w:val="none"/>
                    </w:rPr>
                    <w:t>预算金额</w:t>
                  </w:r>
                  <w:r>
                    <w:rPr>
                      <w:rFonts w:hint="eastAsia" w:ascii="宋体" w:hAnsi="宋体" w:eastAsia="宋体" w:cs="宋体"/>
                      <w:b/>
                      <w:bCs/>
                      <w:color w:val="auto"/>
                      <w:sz w:val="22"/>
                      <w:highlight w:val="none"/>
                      <w:lang w:eastAsia="zh-CN"/>
                    </w:rPr>
                    <w:t>（</w:t>
                  </w:r>
                  <w:r>
                    <w:rPr>
                      <w:rFonts w:hint="eastAsia" w:ascii="宋体" w:hAnsi="宋体" w:eastAsia="宋体" w:cs="宋体"/>
                      <w:b/>
                      <w:bCs/>
                      <w:color w:val="auto"/>
                      <w:sz w:val="22"/>
                      <w:highlight w:val="none"/>
                      <w:lang w:val="en-US" w:eastAsia="zh-CN"/>
                    </w:rPr>
                    <w:t>元</w:t>
                  </w:r>
                  <w:r>
                    <w:rPr>
                      <w:rFonts w:hint="eastAsia" w:ascii="宋体" w:hAnsi="宋体" w:eastAsia="宋体" w:cs="宋体"/>
                      <w:b/>
                      <w:bCs/>
                      <w:color w:val="auto"/>
                      <w:sz w:val="22"/>
                      <w:highlight w:val="none"/>
                      <w:lang w:eastAsia="zh-CN"/>
                    </w:rPr>
                    <w:t>）</w:t>
                  </w:r>
                </w:p>
              </w:tc>
              <w:tc>
                <w:tcPr>
                  <w:tcW w:w="2873"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rPr>
                    <w:t>简要技术要求、用途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693" w:type="dxa"/>
                  <w:tcBorders>
                    <w:top w:val="single" w:color="auto" w:sz="4" w:space="0"/>
                    <w:left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820" w:type="dxa"/>
                  <w:tcBorders>
                    <w:top w:val="single" w:color="auto" w:sz="4" w:space="0"/>
                    <w:left w:val="single" w:color="auto" w:sz="4" w:space="0"/>
                    <w:right w:val="single" w:color="auto" w:sz="4" w:space="0"/>
                  </w:tcBorders>
                  <w:vAlign w:val="center"/>
                </w:tcPr>
                <w:p>
                  <w:pPr>
                    <w:spacing w:line="460" w:lineRule="exact"/>
                    <w:jc w:val="center"/>
                    <w:rPr>
                      <w:rFonts w:hint="eastAsia" w:ascii="宋体" w:hAnsi="宋体" w:eastAsia="宋体" w:cs="宋体"/>
                      <w:color w:val="auto"/>
                      <w:sz w:val="22"/>
                      <w:highlight w:val="none"/>
                    </w:rPr>
                  </w:pPr>
                  <w:r>
                    <w:rPr>
                      <w:rFonts w:hint="eastAsia" w:ascii="宋体" w:hAnsi="宋体" w:cs="宋体"/>
                      <w:color w:val="auto"/>
                      <w:sz w:val="22"/>
                      <w:highlight w:val="none"/>
                      <w:lang w:eastAsia="zh-CN"/>
                    </w:rPr>
                    <w:t>食堂一次性用品采购（重）</w:t>
                  </w:r>
                </w:p>
              </w:tc>
              <w:tc>
                <w:tcPr>
                  <w:tcW w:w="948"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1</w:t>
                  </w:r>
                  <w:r>
                    <w:rPr>
                      <w:rFonts w:hint="eastAsia" w:ascii="宋体" w:hAnsi="宋体" w:cs="宋体"/>
                      <w:color w:val="auto"/>
                      <w:sz w:val="22"/>
                      <w:szCs w:val="22"/>
                      <w:highlight w:val="none"/>
                      <w:shd w:val="clear" w:color="auto" w:fill="FFFFFF"/>
                      <w:lang w:val="en-US" w:eastAsia="zh-CN"/>
                    </w:rPr>
                    <w:t>批</w:t>
                  </w:r>
                </w:p>
              </w:tc>
              <w:tc>
                <w:tcPr>
                  <w:tcW w:w="1852" w:type="dxa"/>
                  <w:tcBorders>
                    <w:top w:val="single" w:color="auto" w:sz="4" w:space="0"/>
                    <w:left w:val="single" w:color="auto" w:sz="4" w:space="0"/>
                    <w:right w:val="single" w:color="auto" w:sz="4" w:space="0"/>
                  </w:tcBorders>
                  <w:shd w:val="clear" w:color="auto" w:fill="auto"/>
                  <w:vAlign w:val="center"/>
                </w:tcPr>
                <w:p>
                  <w:pPr>
                    <w:tabs>
                      <w:tab w:val="left" w:pos="360"/>
                    </w:tabs>
                    <w:spacing w:line="460" w:lineRule="exact"/>
                    <w:jc w:val="center"/>
                    <w:rPr>
                      <w:rFonts w:hint="default" w:ascii="宋体" w:hAnsi="宋体" w:eastAsia="宋体" w:cs="宋体"/>
                      <w:color w:val="auto"/>
                      <w:sz w:val="22"/>
                      <w:szCs w:val="22"/>
                      <w:highlight w:val="none"/>
                      <w:shd w:val="clear" w:color="auto" w:fill="FFFFFF"/>
                      <w:lang w:val="en-US" w:eastAsia="zh-CN"/>
                    </w:rPr>
                  </w:pPr>
                  <w:r>
                    <w:rPr>
                      <w:rFonts w:hint="eastAsia" w:ascii="宋体" w:hAnsi="宋体" w:cs="宋体"/>
                      <w:color w:val="auto"/>
                      <w:sz w:val="22"/>
                      <w:szCs w:val="22"/>
                      <w:highlight w:val="none"/>
                      <w:shd w:val="clear" w:color="auto" w:fill="FFFFFF"/>
                      <w:lang w:val="en-US" w:eastAsia="zh-CN"/>
                    </w:rPr>
                    <w:t>495000</w:t>
                  </w:r>
                </w:p>
              </w:tc>
              <w:tc>
                <w:tcPr>
                  <w:tcW w:w="2873" w:type="dxa"/>
                  <w:tcBorders>
                    <w:top w:val="single" w:color="auto" w:sz="4" w:space="0"/>
                    <w:left w:val="single" w:color="auto" w:sz="4" w:space="0"/>
                    <w:right w:val="single" w:color="auto" w:sz="4" w:space="0"/>
                  </w:tcBorders>
                  <w:vAlign w:val="center"/>
                </w:tcPr>
                <w:p>
                  <w:pPr>
                    <w:shd w:val="clear" w:color="auto" w:fill="FFFFFF"/>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详见招标文件第</w:t>
                  </w: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部分“项目技术规范和服务要求”</w:t>
                  </w:r>
                </w:p>
              </w:tc>
            </w:tr>
          </w:tbl>
          <w:p>
            <w:pPr>
              <w:tabs>
                <w:tab w:val="left" w:pos="360"/>
              </w:tabs>
              <w:spacing w:line="460" w:lineRule="exact"/>
              <w:ind w:firstLine="221" w:firstLineChars="100"/>
              <w:rPr>
                <w:rFonts w:hint="eastAsia" w:ascii="宋体" w:hAnsi="宋体" w:eastAsia="宋体" w:cs="宋体"/>
                <w:color w:val="auto"/>
                <w:highlight w:val="none"/>
              </w:rPr>
            </w:pPr>
            <w:r>
              <w:rPr>
                <w:rFonts w:hint="eastAsia" w:ascii="宋体" w:hAnsi="宋体" w:eastAsia="宋体" w:cs="宋体"/>
                <w:b/>
                <w:color w:val="auto"/>
                <w:sz w:val="22"/>
                <w:szCs w:val="22"/>
                <w:highlight w:val="none"/>
                <w:u w:val="single"/>
              </w:rPr>
              <w:t>如投标人报价超过预算金额</w:t>
            </w:r>
            <w:r>
              <w:rPr>
                <w:rFonts w:hint="eastAsia" w:ascii="宋体" w:hAnsi="宋体" w:cs="宋体"/>
                <w:b/>
                <w:color w:val="auto"/>
                <w:sz w:val="22"/>
                <w:szCs w:val="22"/>
                <w:highlight w:val="none"/>
                <w:u w:val="single"/>
                <w:lang w:val="en-US" w:eastAsia="zh-CN"/>
              </w:rPr>
              <w:t>或预算单价</w:t>
            </w:r>
            <w:r>
              <w:rPr>
                <w:rFonts w:hint="eastAsia" w:ascii="宋体" w:hAnsi="宋体" w:eastAsia="宋体" w:cs="宋体"/>
                <w:b/>
                <w:color w:val="auto"/>
                <w:sz w:val="22"/>
                <w:szCs w:val="22"/>
                <w:highlight w:val="none"/>
                <w:u w:val="single"/>
              </w:rPr>
              <w:t>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投标</w:t>
            </w:r>
            <w:r>
              <w:rPr>
                <w:rFonts w:hint="eastAsia" w:ascii="宋体" w:hAnsi="宋体" w:eastAsia="宋体" w:cs="宋体"/>
                <w:b/>
                <w:bCs/>
                <w:color w:val="auto"/>
                <w:sz w:val="22"/>
                <w:szCs w:val="22"/>
                <w:highlight w:val="none"/>
              </w:rPr>
              <w:t>有效期：</w:t>
            </w:r>
            <w:r>
              <w:rPr>
                <w:rFonts w:hint="eastAsia" w:ascii="宋体" w:hAnsi="宋体" w:eastAsia="宋体" w:cs="宋体"/>
                <w:color w:val="auto"/>
                <w:sz w:val="22"/>
                <w:szCs w:val="22"/>
                <w:highlight w:val="none"/>
              </w:rPr>
              <w:t>自投标截止日起120天。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投标保证金数额：无</w:t>
            </w:r>
            <w:r>
              <w:rPr>
                <w:rFonts w:hint="eastAsia" w:ascii="宋体" w:hAnsi="宋体" w:eastAsia="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b/>
                <w:bCs/>
              </w:rPr>
            </w:pPr>
            <w:r>
              <w:rPr>
                <w:rFonts w:hint="eastAsia"/>
                <w:b/>
                <w:bCs/>
              </w:rPr>
              <w:t>招标服务费：根据国家计委计价格【2002】1980号《招标代理服务收费管理暂行办法》规定</w:t>
            </w:r>
            <w:r>
              <w:rPr>
                <w:rFonts w:hint="eastAsia"/>
                <w:b/>
                <w:bCs/>
                <w:lang w:val="en-US" w:eastAsia="zh-CN"/>
              </w:rPr>
              <w:t>标准的75%</w:t>
            </w:r>
            <w:r>
              <w:rPr>
                <w:rFonts w:hint="eastAsia"/>
                <w:b/>
                <w:bCs/>
              </w:rPr>
              <w:t>收取,由中标人在领取中标通知书时支付。</w:t>
            </w:r>
          </w:p>
          <w:p>
            <w:pPr>
              <w:spacing w:line="460" w:lineRule="exact"/>
              <w:ind w:firstLine="514" w:firstLineChars="245"/>
              <w:rPr>
                <w:rFonts w:hint="eastAsia"/>
              </w:rPr>
            </w:pPr>
            <w:r>
              <w:rPr>
                <w:rFonts w:hint="eastAsia"/>
              </w:rPr>
              <w:t>户   名：温州历程招标有限公司</w:t>
            </w:r>
          </w:p>
          <w:p>
            <w:pPr>
              <w:spacing w:line="460" w:lineRule="exact"/>
              <w:ind w:firstLine="514" w:firstLineChars="245"/>
              <w:rPr>
                <w:rFonts w:hint="eastAsia"/>
              </w:rPr>
            </w:pPr>
            <w:r>
              <w:rPr>
                <w:rFonts w:hint="eastAsia"/>
              </w:rPr>
              <w:t>账   号：33050162870409101001</w:t>
            </w:r>
            <w:bookmarkStart w:id="64" w:name="_GoBack"/>
            <w:bookmarkEnd w:id="64"/>
          </w:p>
          <w:p>
            <w:pPr>
              <w:spacing w:line="460" w:lineRule="exact"/>
              <w:ind w:firstLine="514" w:firstLineChars="245"/>
              <w:rPr>
                <w:rFonts w:hint="eastAsia"/>
              </w:rPr>
            </w:pPr>
            <w:r>
              <w:rPr>
                <w:rFonts w:hint="eastAsia"/>
              </w:rPr>
              <w:t>开户行：中国建设银行温州黎明支行</w:t>
            </w:r>
          </w:p>
          <w:p>
            <w:pPr>
              <w:spacing w:line="460" w:lineRule="exact"/>
              <w:jc w:val="left"/>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政采云平台技术服务费：</w:t>
            </w:r>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由政采云公司向中标供应商收取，该费用由采购代理公司在发布中标公告前先行代为缴纳，中标供应商在领取中标通知书时将该费用按实际缴纳金额（含税费）支付给代理机构。</w:t>
            </w:r>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（一）不涉及合同金额的采购项目，技术服务费500元/件；</w:t>
            </w:r>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（二）涉及合同金额的采购项目，根据合同标的额，按照下列比例收费：</w:t>
            </w:r>
          </w:p>
          <w:p>
            <w:pPr>
              <w:spacing w:line="460" w:lineRule="exact"/>
              <w:ind w:firstLine="539" w:firstLineChars="245"/>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中标价50万元以下(含50万元)：按500元收取；</w:t>
            </w:r>
          </w:p>
          <w:p>
            <w:pPr>
              <w:pStyle w:val="2"/>
              <w:rPr>
                <w:rFonts w:hint="eastAsia"/>
              </w:rPr>
            </w:pPr>
            <w:r>
              <w:rPr>
                <w:rFonts w:hint="eastAsia" w:ascii="宋体" w:hAnsi="宋体" w:eastAsia="宋体" w:cs="宋体"/>
                <w:color w:val="000000" w:themeColor="text1"/>
                <w:sz w:val="22"/>
                <w:szCs w:val="22"/>
                <w:highlight w:val="none"/>
                <w14:textFill>
                  <w14:solidFill>
                    <w14:schemeClr w14:val="tx1"/>
                  </w14:solidFill>
                </w14:textFill>
              </w:rPr>
              <w:t>50万元以上：千分之一（1‰）。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投标文件的组成：</w:t>
            </w:r>
            <w:r>
              <w:rPr>
                <w:rFonts w:hint="eastAsia" w:ascii="宋体" w:hAnsi="宋体" w:eastAsia="宋体" w:cs="宋体"/>
                <w:color w:val="auto"/>
                <w:sz w:val="22"/>
                <w:szCs w:val="22"/>
                <w:highlight w:val="none"/>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投标文件的编制：</w:t>
            </w:r>
            <w:r>
              <w:rPr>
                <w:rFonts w:hint="eastAsia" w:ascii="宋体" w:hAnsi="宋体" w:eastAsia="宋体" w:cs="宋体"/>
                <w:color w:val="auto"/>
                <w:sz w:val="22"/>
                <w:szCs w:val="22"/>
                <w:highlight w:val="none"/>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7</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投标文件的签章：</w:t>
            </w:r>
            <w:r>
              <w:rPr>
                <w:rFonts w:hint="eastAsia" w:ascii="宋体" w:hAnsi="宋体" w:eastAsia="宋体" w:cs="宋体"/>
                <w:color w:val="auto"/>
                <w:sz w:val="22"/>
                <w:szCs w:val="22"/>
                <w:highlight w:val="none"/>
              </w:rPr>
              <w:t>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投标文件的形式：</w:t>
            </w:r>
            <w:r>
              <w:rPr>
                <w:rFonts w:hint="eastAsia" w:ascii="宋体" w:hAnsi="宋体" w:eastAsia="宋体" w:cs="宋体"/>
                <w:color w:val="auto"/>
                <w:sz w:val="22"/>
                <w:szCs w:val="22"/>
                <w:highlight w:val="none"/>
              </w:rPr>
              <w:t>☑电子投标文件（包括“电子加密投标文件”和“备份投标文件”，在投标文件编制完成后同时生成）；</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（1）“电子加密投标文件”是指通过“政采云电子交易客户端”完成投标文件编制后生成并加密的数据电文形式的投标文件。</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color w:val="auto"/>
                <w:sz w:val="22"/>
                <w:szCs w:val="28"/>
                <w:highlight w:val="none"/>
              </w:rPr>
            </w:pPr>
            <w:r>
              <w:rPr>
                <w:rFonts w:hint="eastAsia"/>
                <w:color w:val="auto"/>
                <w:sz w:val="22"/>
                <w:szCs w:val="28"/>
                <w:highlight w:val="none"/>
              </w:rPr>
              <w:t>投标文件份数：</w:t>
            </w:r>
          </w:p>
          <w:p>
            <w:pPr>
              <w:numPr>
                <w:ilvl w:val="0"/>
                <w:numId w:val="5"/>
              </w:numPr>
              <w:spacing w:line="460" w:lineRule="exact"/>
              <w:rPr>
                <w:rFonts w:hint="eastAsia"/>
                <w:color w:val="auto"/>
                <w:sz w:val="22"/>
                <w:szCs w:val="28"/>
                <w:highlight w:val="none"/>
              </w:rPr>
            </w:pPr>
            <w:r>
              <w:rPr>
                <w:rFonts w:hint="eastAsia"/>
                <w:color w:val="auto"/>
                <w:sz w:val="22"/>
                <w:szCs w:val="28"/>
                <w:highlight w:val="none"/>
              </w:rPr>
              <w:t>“电子加密投标文件”：在线上传递交、一份。</w:t>
            </w:r>
          </w:p>
          <w:p>
            <w:pPr>
              <w:numPr>
                <w:ilvl w:val="0"/>
                <w:numId w:val="5"/>
              </w:numPr>
              <w:spacing w:line="460" w:lineRule="exact"/>
              <w:rPr>
                <w:rFonts w:hint="eastAsia"/>
                <w:color w:val="auto"/>
                <w:sz w:val="22"/>
                <w:szCs w:val="28"/>
                <w:highlight w:val="none"/>
              </w:rPr>
            </w:pPr>
            <w:r>
              <w:rPr>
                <w:rFonts w:hint="eastAsia"/>
                <w:color w:val="auto"/>
                <w:sz w:val="22"/>
                <w:szCs w:val="28"/>
                <w:highlight w:val="none"/>
              </w:rPr>
              <w:t>“备份投标文件”：密封包装后投标截止时间前递交、一份</w:t>
            </w:r>
          </w:p>
          <w:p>
            <w:pPr>
              <w:spacing w:line="460" w:lineRule="exact"/>
              <w:rPr>
                <w:rFonts w:hint="eastAsia"/>
                <w:color w:val="auto"/>
                <w:sz w:val="22"/>
                <w:szCs w:val="28"/>
                <w:highlight w:val="none"/>
              </w:rPr>
            </w:pPr>
            <w:r>
              <w:rPr>
                <w:rFonts w:hint="eastAsia"/>
                <w:color w:val="auto"/>
                <w:sz w:val="22"/>
                <w:szCs w:val="28"/>
                <w:highlight w:val="none"/>
              </w:rPr>
              <w:t>（若不提供备份投标文件，开标当天电子加密投标文件解密失败，投标人自行负责。）</w:t>
            </w:r>
          </w:p>
          <w:p>
            <w:pPr>
              <w:tabs>
                <w:tab w:val="left" w:pos="360"/>
              </w:tabs>
              <w:spacing w:line="460" w:lineRule="exact"/>
              <w:rPr>
                <w:rFonts w:hint="eastAsia"/>
                <w:color w:val="auto"/>
                <w:sz w:val="22"/>
                <w:szCs w:val="28"/>
                <w:highlight w:val="none"/>
              </w:rPr>
            </w:pPr>
            <w:r>
              <w:rPr>
                <w:rFonts w:hint="eastAsia"/>
                <w:color w:val="auto"/>
                <w:sz w:val="22"/>
                <w:szCs w:val="28"/>
                <w:highlight w:val="none"/>
              </w:rPr>
              <w:t>可以（邮寄形式，建议顺丰）在投标截止时间前递交，并需采购代理机构确认是否收到，</w:t>
            </w:r>
          </w:p>
          <w:p>
            <w:pPr>
              <w:spacing w:line="460" w:lineRule="exact"/>
              <w:rPr>
                <w:rFonts w:hint="eastAsia"/>
                <w:color w:val="auto"/>
                <w:sz w:val="22"/>
                <w:szCs w:val="28"/>
                <w:highlight w:val="none"/>
                <w:lang w:eastAsia="zh-CN"/>
              </w:rPr>
            </w:pPr>
            <w:r>
              <w:rPr>
                <w:rFonts w:hint="eastAsia"/>
                <w:color w:val="auto"/>
                <w:sz w:val="22"/>
                <w:szCs w:val="28"/>
                <w:highlight w:val="none"/>
              </w:rPr>
              <w:t>邮寄地址：</w:t>
            </w:r>
            <w:r>
              <w:rPr>
                <w:rFonts w:hint="eastAsia"/>
                <w:color w:val="auto"/>
                <w:sz w:val="22"/>
                <w:szCs w:val="28"/>
                <w:highlight w:val="none"/>
                <w:lang w:eastAsia="zh-CN"/>
              </w:rPr>
              <w:t>温州市鹿城区学院中路229号三想集团5楼</w:t>
            </w:r>
          </w:p>
          <w:p>
            <w:pPr>
              <w:spacing w:line="460" w:lineRule="exact"/>
              <w:rPr>
                <w:rFonts w:hint="default" w:eastAsia="宋体"/>
                <w:color w:val="auto"/>
                <w:highlight w:val="none"/>
                <w:lang w:val="en-US" w:eastAsia="zh-CN"/>
              </w:rPr>
            </w:pPr>
            <w:r>
              <w:rPr>
                <w:rFonts w:hint="eastAsia"/>
                <w:color w:val="auto"/>
                <w:sz w:val="22"/>
                <w:szCs w:val="28"/>
                <w:highlight w:val="none"/>
                <w:lang w:val="en-US" w:eastAsia="zh-CN"/>
              </w:rPr>
              <w:t>联系人：温先生    联系电话</w:t>
            </w:r>
            <w:r>
              <w:rPr>
                <w:rFonts w:hint="eastAsia"/>
                <w:b w:val="0"/>
                <w:bCs w:val="0"/>
                <w:color w:val="auto"/>
                <w:sz w:val="22"/>
                <w:szCs w:val="28"/>
                <w:highlight w:val="none"/>
                <w:lang w:val="en-US" w:eastAsia="zh-CN"/>
              </w:rPr>
              <w:t>：13868508737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10</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投标文件的上传和递交：</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（1）“电子加密投标文件”的上传、递交：</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a.投标人应在投标截止时间前将“电子加密投标文件”成功上传递交至“政府采购云平台”，否则投标无效。</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（2）“备份投标文件”的密封包装、递交：</w:t>
            </w:r>
          </w:p>
          <w:p>
            <w:pPr>
              <w:tabs>
                <w:tab w:val="left" w:pos="360"/>
              </w:tabs>
              <w:spacing w:line="460" w:lineRule="exact"/>
              <w:ind w:firstLine="550" w:firstLineChars="25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a.投标人在“政府采购云平台”完成“电子加密投标文件”的上传递交后，</w:t>
            </w:r>
            <w:r>
              <w:rPr>
                <w:rFonts w:hint="eastAsia" w:ascii="宋体" w:hAnsi="宋体" w:eastAsia="宋体" w:cs="宋体"/>
                <w:b/>
                <w:bCs/>
                <w:color w:val="auto"/>
                <w:sz w:val="22"/>
                <w:szCs w:val="22"/>
                <w:highlight w:val="none"/>
              </w:rPr>
              <w:t>还可以在投标截止时间前递交以介质（U盘）存储的数据电文形式的“备份投标文件”，（可以</w:t>
            </w:r>
            <w:r>
              <w:rPr>
                <w:rFonts w:hint="eastAsia" w:ascii="宋体" w:hAnsi="宋体" w:eastAsia="宋体" w:cs="宋体"/>
                <w:b/>
                <w:color w:val="auto"/>
                <w:sz w:val="22"/>
                <w:szCs w:val="22"/>
                <w:highlight w:val="none"/>
                <w:u w:val="single"/>
              </w:rPr>
              <w:t>（邮寄形式，建议顺丰）在投标截止时间前递交，并需采购代理机构确认是否收到</w:t>
            </w:r>
            <w:r>
              <w:rPr>
                <w:rFonts w:hint="eastAsia" w:ascii="宋体" w:hAnsi="宋体" w:eastAsia="宋体" w:cs="宋体"/>
                <w:b/>
                <w:bCs/>
                <w:color w:val="auto"/>
                <w:sz w:val="22"/>
                <w:szCs w:val="22"/>
                <w:highlight w:val="none"/>
              </w:rPr>
              <w:t>）</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电子加密投标文件的解密和异常情况处理：</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（3）投标截止时间前，投标人仅递交了“备份投标文件”而未将电子加密投标文件上传至“政府采购云平台”的，投标无效。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12</w:t>
            </w:r>
          </w:p>
        </w:tc>
        <w:tc>
          <w:tcPr>
            <w:tcW w:w="9590"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提交投标文件截止时间：</w:t>
            </w:r>
            <w:r>
              <w:rPr>
                <w:rFonts w:hint="eastAsia"/>
                <w:color w:val="auto"/>
                <w:sz w:val="22"/>
                <w:szCs w:val="22"/>
                <w:highlight w:val="none"/>
                <w:u w:val="none"/>
                <w:lang w:val="en-US" w:eastAsia="zh-CN"/>
              </w:rPr>
              <w:t>2023年01月31日09</w:t>
            </w:r>
            <w:r>
              <w:rPr>
                <w:rFonts w:hint="eastAsia"/>
                <w:color w:val="auto"/>
                <w:sz w:val="22"/>
                <w:szCs w:val="22"/>
                <w:highlight w:val="none"/>
                <w:u w:val="none"/>
              </w:rPr>
              <w:t>:30（北京时间）</w:t>
            </w:r>
            <w:r>
              <w:rPr>
                <w:rFonts w:hint="eastAsia" w:ascii="宋体" w:hAnsi="宋体" w:eastAsia="宋体" w:cs="宋体"/>
                <w:color w:val="auto"/>
                <w:sz w:val="22"/>
                <w:szCs w:val="22"/>
                <w:highlight w:val="none"/>
              </w:rPr>
              <w:t> </w:t>
            </w:r>
          </w:p>
          <w:p>
            <w:pPr>
              <w:widowControl/>
              <w:snapToGrid w:val="0"/>
              <w:spacing w:line="460" w:lineRule="exact"/>
              <w:jc w:val="left"/>
              <w:rPr>
                <w:rFonts w:hint="eastAsia"/>
                <w:color w:val="auto"/>
                <w:highlight w:val="none"/>
              </w:rPr>
            </w:pPr>
            <w:r>
              <w:rPr>
                <w:rFonts w:hint="eastAsia" w:ascii="宋体" w:hAnsi="宋体" w:eastAsia="宋体" w:cs="宋体"/>
                <w:color w:val="auto"/>
                <w:sz w:val="22"/>
                <w:szCs w:val="22"/>
                <w:highlight w:val="none"/>
              </w:rPr>
              <w:t>投标地点（网址）：</w:t>
            </w:r>
            <w:r>
              <w:rPr>
                <w:rFonts w:hint="eastAsia" w:ascii="宋体" w:hAnsi="宋体" w:eastAsia="宋体" w:cs="宋体"/>
                <w:color w:val="auto"/>
                <w:sz w:val="22"/>
                <w:szCs w:val="22"/>
                <w:highlight w:val="none"/>
                <w:lang w:eastAsia="zh-CN"/>
              </w:rPr>
              <w:t>温州市鹿城区学院中路229号三想集团5楼（</w:t>
            </w:r>
            <w:r>
              <w:rPr>
                <w:rFonts w:hint="eastAsia" w:ascii="宋体" w:hAnsi="宋体" w:eastAsia="宋体" w:cs="宋体"/>
                <w:color w:val="auto"/>
                <w:sz w:val="22"/>
                <w:szCs w:val="22"/>
                <w:highlight w:val="none"/>
                <w:lang w:val="en-US" w:eastAsia="zh-CN"/>
              </w:rPr>
              <w:t>政采云</w:t>
            </w:r>
            <w:r>
              <w:rPr>
                <w:rFonts w:hint="eastAsia" w:ascii="宋体" w:hAnsi="宋体" w:eastAsia="宋体" w:cs="宋体"/>
                <w:color w:val="auto"/>
                <w:sz w:val="21"/>
                <w:szCs w:val="21"/>
                <w:highlight w:val="none"/>
              </w:rPr>
              <w:t>http://zfcg.czt.zj.gov.cn</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1</w:t>
            </w:r>
            <w:r>
              <w:rPr>
                <w:rFonts w:hint="eastAsia" w:ascii="宋体" w:hAnsi="宋体" w:eastAsia="宋体" w:cs="宋体"/>
                <w:b w:val="0"/>
                <w:bCs w:val="0"/>
                <w:color w:val="auto"/>
                <w:sz w:val="22"/>
                <w:szCs w:val="22"/>
                <w:highlight w:val="none"/>
                <w:lang w:val="en-US" w:eastAsia="zh-CN"/>
              </w:rPr>
              <w:t>3</w:t>
            </w:r>
          </w:p>
        </w:tc>
        <w:tc>
          <w:tcPr>
            <w:tcW w:w="9590" w:type="dxa"/>
            <w:tcBorders>
              <w:top w:val="single" w:color="000000" w:sz="2" w:space="0"/>
              <w:left w:val="single" w:color="000000" w:sz="2" w:space="0"/>
              <w:bottom w:val="single" w:color="auto" w:sz="4" w:space="0"/>
              <w:right w:val="single" w:color="000000" w:sz="8" w:space="0"/>
            </w:tcBorders>
            <w:vAlign w:val="center"/>
          </w:tcPr>
          <w:p>
            <w:pPr>
              <w:widowControl/>
              <w:snapToGrid w:val="0"/>
              <w:spacing w:line="460" w:lineRule="exact"/>
              <w:jc w:val="lef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开标时间</w:t>
            </w:r>
            <w:r>
              <w:rPr>
                <w:rFonts w:hint="eastAsia" w:ascii="宋体" w:hAnsi="宋体" w:eastAsia="宋体" w:cs="宋体"/>
                <w:b w:val="0"/>
                <w:bCs w:val="0"/>
                <w:color w:val="auto"/>
                <w:sz w:val="22"/>
                <w:szCs w:val="22"/>
                <w:highlight w:val="none"/>
                <w:lang w:eastAsia="zh-CN"/>
              </w:rPr>
              <w:t>：</w:t>
            </w:r>
            <w:r>
              <w:rPr>
                <w:rFonts w:hint="eastAsia"/>
                <w:color w:val="auto"/>
                <w:sz w:val="22"/>
                <w:szCs w:val="22"/>
                <w:highlight w:val="none"/>
                <w:u w:val="none"/>
                <w:lang w:val="en-US" w:eastAsia="zh-CN"/>
              </w:rPr>
              <w:t>2023年01月31日09</w:t>
            </w:r>
            <w:r>
              <w:rPr>
                <w:rFonts w:hint="eastAsia"/>
                <w:color w:val="auto"/>
                <w:sz w:val="22"/>
                <w:szCs w:val="22"/>
                <w:highlight w:val="none"/>
                <w:u w:val="none"/>
              </w:rPr>
              <w:t>:30（北京时间）</w:t>
            </w:r>
          </w:p>
          <w:p>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开标地点（网址）：</w:t>
            </w:r>
            <w:r>
              <w:rPr>
                <w:rFonts w:hint="eastAsia" w:ascii="宋体" w:hAnsi="宋体" w:eastAsia="宋体" w:cs="宋体"/>
                <w:color w:val="auto"/>
                <w:sz w:val="22"/>
                <w:highlight w:val="none"/>
                <w:lang w:eastAsia="zh-CN"/>
              </w:rPr>
              <w:t>温州市鹿城区学院中路229号三想集团5楼（</w:t>
            </w:r>
            <w:r>
              <w:rPr>
                <w:rFonts w:hint="eastAsia" w:ascii="宋体" w:hAnsi="宋体" w:eastAsia="宋体" w:cs="宋体"/>
                <w:color w:val="auto"/>
                <w:sz w:val="22"/>
                <w:highlight w:val="none"/>
                <w:lang w:val="en-US" w:eastAsia="zh-CN"/>
              </w:rPr>
              <w:t>政采云</w:t>
            </w:r>
            <w:r>
              <w:rPr>
                <w:rFonts w:hint="eastAsia" w:ascii="宋体" w:hAnsi="宋体" w:eastAsia="宋体" w:cs="宋体"/>
                <w:color w:val="auto"/>
                <w:sz w:val="21"/>
                <w:szCs w:val="22"/>
                <w:highlight w:val="none"/>
              </w:rPr>
              <w:t>http://zfcg.czt.zj.gov.cn</w:t>
            </w:r>
            <w:r>
              <w:rPr>
                <w:rFonts w:hint="eastAsia" w:ascii="宋体" w:hAnsi="宋体" w:eastAsia="宋体" w:cs="宋体"/>
                <w:color w:val="auto"/>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1</w:t>
            </w:r>
            <w:r>
              <w:rPr>
                <w:rFonts w:hint="eastAsia" w:ascii="宋体" w:hAnsi="宋体" w:eastAsia="宋体" w:cs="宋体"/>
                <w:b w:val="0"/>
                <w:bCs w:val="0"/>
                <w:color w:val="auto"/>
                <w:sz w:val="22"/>
                <w:szCs w:val="22"/>
                <w:highlight w:val="none"/>
                <w:lang w:val="en-US" w:eastAsia="zh-CN"/>
              </w:rPr>
              <w:t>4</w:t>
            </w:r>
          </w:p>
        </w:tc>
        <w:tc>
          <w:tcPr>
            <w:tcW w:w="9590" w:type="dxa"/>
            <w:tcBorders>
              <w:top w:val="single" w:color="auto" w:sz="4" w:space="0"/>
              <w:left w:val="single" w:color="000000" w:sz="2" w:space="0"/>
              <w:bottom w:val="single" w:color="auto" w:sz="4"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带“▲”条款系指实质性要求条款。“★”是关键技术参数及要求。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cs="宋体"/>
                <w:b w:val="0"/>
                <w:bCs w:val="0"/>
                <w:color w:val="auto"/>
                <w:kern w:val="0"/>
                <w:sz w:val="22"/>
                <w:szCs w:val="22"/>
                <w:highlight w:val="none"/>
                <w:lang w:val="en-US" w:eastAsia="zh-CN"/>
              </w:rPr>
              <w:t>5</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color w:val="auto"/>
                <w:kern w:val="10"/>
                <w:sz w:val="22"/>
                <w:szCs w:val="22"/>
                <w:highlight w:val="none"/>
              </w:rPr>
              <w:t>潜在供应商需在浙江政府采购网http://http://zfcg.czt.zj.gov.cn/进行免费注册，具体详见浙江政府采购网供应商注册要求。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cs="宋体"/>
                <w:b w:val="0"/>
                <w:bCs w:val="0"/>
                <w:color w:val="auto"/>
                <w:kern w:val="0"/>
                <w:sz w:val="22"/>
                <w:szCs w:val="22"/>
                <w:highlight w:val="none"/>
                <w:lang w:val="en-US" w:eastAsia="zh-CN"/>
              </w:rPr>
              <w:t>6</w:t>
            </w:r>
          </w:p>
        </w:tc>
        <w:tc>
          <w:tcPr>
            <w:tcW w:w="9590"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、节能产品、环境标志产品的强制采购政策</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、节能产品、环境标志产品的优先采购政策</w:t>
            </w:r>
          </w:p>
          <w:p>
            <w:pPr>
              <w:widowControl/>
              <w:snapToGrid w:val="0"/>
              <w:spacing w:line="460" w:lineRule="exact"/>
              <w:ind w:firstLine="440" w:firstLineChars="200"/>
              <w:jc w:val="lef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cs="宋体"/>
                <w:b w:val="0"/>
                <w:bCs w:val="0"/>
                <w:color w:val="auto"/>
                <w:kern w:val="0"/>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根据《关于在政府采购活动中查询及使用信用记录有关问题的通知》财库[2016]125号的规定：</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1）招标人或采购代理机构将对本项目供应商的信用记录进行查询。查询渠道为信用中国网站（www.creditchina.gov.cn）、中国政府采购网（www.ccgp.gov.cn）；</w:t>
            </w:r>
          </w:p>
          <w:p>
            <w:pPr>
              <w:snapToGrid w:val="0"/>
              <w:spacing w:line="460" w:lineRule="exact"/>
              <w:ind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2）截止时点：提交投标文件（响应文件）截止时间前3年内；</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3）查询记录和证据的留存：信用信息查询记录和证据以网页截图等方式留存。</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460" w:lineRule="exac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5）联合体成员任意一方存在不良信用记录的，视同联合体存在不良信用记录。</w:t>
            </w:r>
          </w:p>
        </w:tc>
      </w:tr>
    </w:tbl>
    <w:p>
      <w:pPr>
        <w:rPr>
          <w:rFonts w:hint="eastAsia" w:ascii="宋体" w:hAnsi="宋体" w:eastAsia="宋体" w:cs="宋体"/>
          <w:b/>
          <w:bCs/>
          <w:color w:val="auto"/>
          <w:sz w:val="26"/>
          <w:szCs w:val="26"/>
          <w:highlight w:val="none"/>
        </w:rPr>
      </w:pPr>
      <w:r>
        <w:rPr>
          <w:rFonts w:hint="eastAsia" w:ascii="宋体" w:hAnsi="宋体" w:eastAsia="宋体" w:cs="宋体"/>
          <w:b/>
          <w:bCs/>
          <w:color w:val="auto"/>
          <w:sz w:val="26"/>
          <w:szCs w:val="26"/>
          <w:highlight w:val="none"/>
        </w:rPr>
        <w:br w:type="page"/>
      </w:r>
    </w:p>
    <w:p>
      <w:pPr>
        <w:spacing w:before="100" w:beforeAutospacing="1" w:after="100" w:afterAutospacing="1" w:line="460" w:lineRule="exact"/>
        <w:jc w:val="center"/>
        <w:outlineLvl w:val="1"/>
        <w:rPr>
          <w:rFonts w:hint="eastAsia" w:ascii="宋体" w:hAnsi="宋体" w:eastAsia="宋体" w:cs="宋体"/>
          <w:b/>
          <w:bCs/>
          <w:color w:val="auto"/>
          <w:sz w:val="32"/>
          <w:szCs w:val="32"/>
          <w:highlight w:val="none"/>
        </w:rPr>
      </w:pPr>
      <w:bookmarkStart w:id="10" w:name="_Toc20846"/>
      <w:bookmarkStart w:id="11" w:name="_Toc19070"/>
      <w:r>
        <w:rPr>
          <w:rFonts w:hint="eastAsia" w:ascii="宋体" w:hAnsi="宋体" w:eastAsia="宋体" w:cs="宋体"/>
          <w:b/>
          <w:bCs/>
          <w:color w:val="auto"/>
          <w:sz w:val="26"/>
          <w:szCs w:val="26"/>
          <w:highlight w:val="none"/>
        </w:rPr>
        <w:t>一、 说   明</w:t>
      </w:r>
      <w:bookmarkEnd w:id="10"/>
      <w:bookmarkEnd w:id="11"/>
    </w:p>
    <w:p>
      <w:pPr>
        <w:tabs>
          <w:tab w:val="left" w:pos="360"/>
        </w:tabs>
        <w:spacing w:line="460" w:lineRule="exact"/>
        <w:ind w:firstLine="550" w:firstLineChars="2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pPr>
        <w:tabs>
          <w:tab w:val="left" w:pos="360"/>
        </w:tabs>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2、定义</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招标人：是指依法进行政府采购的国家机关、事业单位、团体组织</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招标代理机构：受招标人委托，在委托的范围内办理政府采购事宜的机构；</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投标人：是指参加本政府采购项目投标的供应商；</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投标人代表：是指参加本项目投标活动的供应商法定代表人或法定代表人授权代表；</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投标联合体：是指两个以上供应商组成联合体，以一个供应商的身份参加投标；</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甲方：是指合同签订的一方，一般与招标人、用户相同；</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乙方：是指合同签订的另一方，与中标人相同；</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制造商：是指拥有投标产品自主知识产权的单位；</w:t>
      </w:r>
    </w:p>
    <w:p>
      <w:pPr>
        <w:tabs>
          <w:tab w:val="left" w:pos="360"/>
        </w:tabs>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pPr>
        <w:tabs>
          <w:tab w:val="left" w:pos="360"/>
        </w:tabs>
        <w:spacing w:line="460" w:lineRule="exact"/>
        <w:ind w:firstLine="552" w:firstLine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带“▲”条款系指实质性要求条款。“★”是关键技术参数及要求。</w:t>
      </w:r>
    </w:p>
    <w:p>
      <w:pPr>
        <w:tabs>
          <w:tab w:val="left" w:pos="360"/>
        </w:tabs>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3、投标人代表</w:t>
      </w:r>
    </w:p>
    <w:p>
      <w:pPr>
        <w:tabs>
          <w:tab w:val="left" w:pos="360"/>
        </w:tabs>
        <w:spacing w:line="46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szCs w:val="22"/>
          <w:highlight w:val="none"/>
        </w:rPr>
        <w:t>3.1</w:t>
      </w:r>
      <w:r>
        <w:rPr>
          <w:rFonts w:hint="eastAsia" w:ascii="宋体" w:hAnsi="宋体" w:eastAsia="宋体" w:cs="宋体"/>
          <w:b/>
          <w:color w:val="auto"/>
          <w:sz w:val="22"/>
          <w:highlight w:val="none"/>
        </w:rPr>
        <w:t>指全权代表投标人参加投标活动并签署投标文件的人。如果投标人代表不是法定代表人，须持有《法定代表人授权书》（见附件）</w:t>
      </w:r>
    </w:p>
    <w:p>
      <w:pPr>
        <w:tabs>
          <w:tab w:val="left" w:pos="360"/>
        </w:tabs>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eastAsia="宋体" w:cs="宋体"/>
          <w:b/>
          <w:color w:val="auto"/>
          <w:sz w:val="22"/>
          <w:szCs w:val="22"/>
          <w:highlight w:val="none"/>
        </w:rPr>
        <w:t>。</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4、投标费用</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4.1</w:t>
      </w:r>
      <w:r>
        <w:rPr>
          <w:rFonts w:hint="eastAsia" w:ascii="宋体" w:hAnsi="宋体" w:eastAsia="宋体" w:cs="宋体"/>
          <w:color w:val="auto"/>
          <w:sz w:val="22"/>
          <w:szCs w:val="22"/>
          <w:highlight w:val="none"/>
        </w:rPr>
        <w:t>投标人应承担所有与准备和参加投标有关费用，不论投标的结果如何，招标人或招标代理机构均无义务和责任承担这些费用。</w:t>
      </w:r>
    </w:p>
    <w:p>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2" w:name="_Toc28278"/>
      <w:bookmarkStart w:id="13" w:name="_Toc9899"/>
      <w:r>
        <w:rPr>
          <w:rFonts w:hint="eastAsia" w:ascii="宋体" w:hAnsi="宋体" w:eastAsia="宋体" w:cs="宋体"/>
          <w:b/>
          <w:bCs/>
          <w:color w:val="auto"/>
          <w:sz w:val="26"/>
          <w:szCs w:val="26"/>
          <w:highlight w:val="none"/>
        </w:rPr>
        <w:t>二、 招标文件</w:t>
      </w:r>
      <w:bookmarkEnd w:id="12"/>
      <w:bookmarkEnd w:id="13"/>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1、招标文件由招标文件目录所列内容及相关资料组成。</w:t>
      </w:r>
    </w:p>
    <w:p>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2、招标文件的澄清</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3、招标文件的修改</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3.2招标人、招标代理机构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宋体" w:hAnsi="宋体" w:eastAsia="宋体" w:cs="宋体"/>
          <w:color w:val="auto"/>
          <w:sz w:val="22"/>
          <w:szCs w:val="22"/>
          <w:highlight w:val="none"/>
        </w:rPr>
        <w:t>。</w:t>
      </w:r>
    </w:p>
    <w:p>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4" w:name="_Toc12726"/>
      <w:bookmarkStart w:id="15" w:name="_Toc22646"/>
      <w:r>
        <w:rPr>
          <w:rFonts w:hint="eastAsia" w:ascii="宋体" w:hAnsi="宋体" w:eastAsia="宋体" w:cs="宋体"/>
          <w:b/>
          <w:bCs/>
          <w:color w:val="auto"/>
          <w:sz w:val="26"/>
          <w:szCs w:val="26"/>
          <w:highlight w:val="none"/>
        </w:rPr>
        <w:t>三、 投标文件的编制</w:t>
      </w:r>
      <w:bookmarkEnd w:id="14"/>
      <w:bookmarkEnd w:id="15"/>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1、投标人应认真阅读招标文件中所有事项、格式、条款和技术规范等。</w:t>
      </w:r>
      <w:r>
        <w:rPr>
          <w:rFonts w:hint="eastAsia" w:ascii="宋体" w:hAnsi="宋体" w:eastAsia="宋体" w:cs="宋体"/>
          <w:b/>
          <w:color w:val="auto"/>
          <w:sz w:val="22"/>
          <w:highlight w:val="none"/>
        </w:rPr>
        <w:t>投标人没有按照招标文件要求提交全部资料，或者没有对招标文件各个方面做出实质性响应，导致投标被否决的风险由投标人自行承担。</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2、投标人应保证所提供文件资料的真实性，所有文件资料必须是针对本次投标的。如发现投标人提供了虚假文件资料，其投标将被否决，并自行承担相应的法律责任。</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r>
        <w:rPr>
          <w:rFonts w:hint="eastAsia" w:ascii="宋体" w:hAnsi="宋体" w:eastAsia="宋体" w:cs="宋体"/>
          <w:b/>
          <w:bCs/>
          <w:color w:val="auto"/>
          <w:sz w:val="22"/>
          <w:szCs w:val="22"/>
          <w:highlight w:val="none"/>
        </w:rPr>
        <w:t>投标文件的构成：</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rPr>
        <w:t>投标</w:t>
      </w:r>
      <w:r>
        <w:rPr>
          <w:rFonts w:hint="eastAsia" w:ascii="宋体" w:hAnsi="宋体" w:eastAsia="宋体" w:cs="宋体"/>
          <w:b/>
          <w:bCs/>
          <w:color w:val="auto"/>
          <w:kern w:val="0"/>
          <w:sz w:val="22"/>
          <w:szCs w:val="22"/>
          <w:highlight w:val="none"/>
          <w:lang w:val="zh-CN"/>
        </w:rPr>
        <w:t>文件应当包括以下主要内容：资格文件、报价文件、商务技术文件。</w:t>
      </w:r>
    </w:p>
    <w:p>
      <w:pPr>
        <w:spacing w:line="460" w:lineRule="exact"/>
        <w:ind w:firstLine="541" w:firstLineChars="245"/>
        <w:rPr>
          <w:rFonts w:hint="eastAsia" w:ascii="宋体" w:hAnsi="宋体" w:eastAsia="宋体" w:cs="宋体"/>
          <w:b/>
          <w:bCs/>
          <w:color w:val="auto"/>
          <w:kern w:val="0"/>
          <w:sz w:val="22"/>
          <w:szCs w:val="22"/>
          <w:highlight w:val="none"/>
          <w:u w:val="none"/>
          <w:lang w:val="zh-CN"/>
        </w:rPr>
      </w:pPr>
      <w:r>
        <w:rPr>
          <w:rFonts w:hint="eastAsia" w:ascii="宋体" w:hAnsi="宋体" w:eastAsia="宋体" w:cs="宋体"/>
          <w:b/>
          <w:bCs/>
          <w:color w:val="auto"/>
          <w:kern w:val="0"/>
          <w:sz w:val="22"/>
          <w:szCs w:val="22"/>
          <w:highlight w:val="none"/>
          <w:u w:val="none"/>
        </w:rPr>
        <w:t>3.1</w:t>
      </w:r>
      <w:r>
        <w:rPr>
          <w:rFonts w:hint="eastAsia" w:ascii="宋体" w:hAnsi="宋体" w:eastAsia="宋体" w:cs="宋体"/>
          <w:b/>
          <w:bCs/>
          <w:color w:val="auto"/>
          <w:kern w:val="0"/>
          <w:sz w:val="22"/>
          <w:szCs w:val="22"/>
          <w:highlight w:val="none"/>
          <w:u w:val="none"/>
          <w:lang w:val="zh-CN"/>
        </w:rPr>
        <w:t xml:space="preserve">投标人的资格文件至少应包括以下内容： </w:t>
      </w:r>
    </w:p>
    <w:p>
      <w:pPr>
        <w:spacing w:line="460" w:lineRule="exact"/>
        <w:ind w:firstLine="539" w:firstLineChars="245"/>
        <w:rPr>
          <w:rFonts w:hint="eastAsia" w:ascii="宋体" w:hAnsi="宋体" w:eastAsia="宋体" w:cs="宋体"/>
          <w:color w:val="auto"/>
          <w:kern w:val="0"/>
          <w:sz w:val="22"/>
          <w:szCs w:val="22"/>
          <w:highlight w:val="none"/>
          <w:u w:val="none"/>
          <w:lang w:val="zh-CN"/>
        </w:rPr>
      </w:pPr>
      <w:r>
        <w:rPr>
          <w:rFonts w:hint="eastAsia" w:ascii="宋体" w:hAnsi="宋体" w:eastAsia="宋体" w:cs="宋体"/>
          <w:color w:val="auto"/>
          <w:kern w:val="0"/>
          <w:sz w:val="22"/>
          <w:szCs w:val="22"/>
          <w:highlight w:val="none"/>
          <w:u w:val="none"/>
          <w:lang w:val="zh-CN"/>
        </w:rPr>
        <w:t>基本资格条件审查材料：即证明其符合《中华人民共和国政府采购法》规定的供应商基本条件的有关资格证明文件。</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包括：</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w:t>
      </w:r>
      <w:r>
        <w:rPr>
          <w:rFonts w:hint="eastAsia" w:ascii="宋体" w:hAnsi="宋体" w:eastAsia="宋体" w:cs="宋体"/>
          <w:bCs/>
          <w:color w:val="auto"/>
          <w:sz w:val="22"/>
          <w:szCs w:val="22"/>
          <w:highlight w:val="none"/>
          <w:u w:val="none"/>
        </w:rPr>
        <w:t>营业执照</w:t>
      </w:r>
      <w:r>
        <w:rPr>
          <w:rFonts w:hint="eastAsia" w:ascii="宋体" w:hAnsi="宋体" w:eastAsia="宋体" w:cs="宋体"/>
          <w:color w:val="auto"/>
          <w:sz w:val="22"/>
          <w:szCs w:val="22"/>
          <w:highlight w:val="none"/>
          <w:u w:val="none"/>
        </w:rPr>
        <w:t xml:space="preserve">(或事业法人登记证书或其它工商等登记证明材料；自然人参与政府采购，提供身份证)复印件； </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（2）最近一年财务报表(复印件，新成立的公司提供情况说明)；</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（3）具有履行合同所必需的场地、设备和专业技术能力的承诺函；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（4）依法缴纳税收和社会保障资金的承诺函；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（5）参加政府采购活动前3年内在经营活动中没有重大违法记录的声明函；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（6）单位负责人为同一人或者存在直接控股、管理关系的不同供应商，不得参加同一合同项下的政府采购活动承诺函；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（7）供应商不属于公益一类事业单位承诺函。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（8）未被“信用中国”（www.creditchina.gov.cn）、中国政府采购网（www.ccgp.gov.cn）列入失信被执行人、重大税收违法案件当事人名单、政府采购严重违法失信行为记录名单.</w:t>
      </w:r>
    </w:p>
    <w:p>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信用信息查询记录和证据以项目公告发出日期后的网页截图为准；</w:t>
      </w:r>
    </w:p>
    <w:p>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（9）政府采购活动确认声明书</w:t>
      </w:r>
    </w:p>
    <w:p>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上述资格条件审查材料有一项不提供的，视为资格审查不通过。</w:t>
      </w:r>
    </w:p>
    <w:p>
      <w:pPr>
        <w:snapToGrid w:val="0"/>
        <w:spacing w:line="460" w:lineRule="exact"/>
        <w:ind w:left="105" w:leftChars="50" w:firstLine="442" w:firstLineChars="200"/>
        <w:rPr>
          <w:rFonts w:hint="eastAsia" w:ascii="宋体" w:hAnsi="宋体" w:eastAsia="宋体" w:cs="宋体"/>
          <w:color w:val="auto"/>
          <w:sz w:val="22"/>
          <w:szCs w:val="22"/>
          <w:highlight w:val="none"/>
          <w:u w:val="single"/>
          <w:lang w:val="zh-CN"/>
        </w:rPr>
      </w:pPr>
      <w:r>
        <w:rPr>
          <w:rFonts w:hint="eastAsia" w:ascii="宋体" w:hAnsi="宋体" w:eastAsia="宋体" w:cs="宋体"/>
          <w:b/>
          <w:bCs/>
          <w:color w:val="auto"/>
          <w:sz w:val="22"/>
          <w:szCs w:val="22"/>
          <w:highlight w:val="none"/>
        </w:rPr>
        <w:t xml:space="preserve">3.2投标人的报价文件至少应包括以下内容： </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（1）投标函；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（2）投标报价一览表；</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val="en-US" w:eastAsia="zh-CN"/>
        </w:rPr>
        <w:t>3</w:t>
      </w:r>
      <w:r>
        <w:rPr>
          <w:rFonts w:hint="eastAsia" w:ascii="宋体" w:hAnsi="宋体" w:eastAsia="宋体" w:cs="宋体"/>
          <w:color w:val="auto"/>
          <w:sz w:val="22"/>
          <w:szCs w:val="22"/>
          <w:highlight w:val="none"/>
          <w:u w:val="none"/>
          <w:lang w:eastAsia="zh-CN"/>
        </w:rPr>
        <w:t>）投标分项报价表</w:t>
      </w:r>
    </w:p>
    <w:p>
      <w:pPr>
        <w:snapToGrid w:val="0"/>
        <w:spacing w:line="460" w:lineRule="exact"/>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3.3</w:t>
      </w:r>
      <w:r>
        <w:rPr>
          <w:rFonts w:hint="eastAsia" w:ascii="宋体" w:hAnsi="宋体" w:eastAsia="宋体" w:cs="宋体"/>
          <w:color w:val="auto"/>
          <w:kern w:val="0"/>
          <w:sz w:val="22"/>
          <w:szCs w:val="22"/>
          <w:highlight w:val="none"/>
          <w:lang w:val="zh-CN"/>
        </w:rPr>
        <w:t>投标人的</w:t>
      </w:r>
      <w:r>
        <w:rPr>
          <w:rFonts w:hint="eastAsia" w:ascii="宋体" w:hAnsi="宋体" w:eastAsia="宋体" w:cs="宋体"/>
          <w:b/>
          <w:bCs/>
          <w:color w:val="auto"/>
          <w:kern w:val="0"/>
          <w:sz w:val="22"/>
          <w:szCs w:val="22"/>
          <w:highlight w:val="none"/>
          <w:lang w:val="zh-CN"/>
        </w:rPr>
        <w:t>商务技术文件</w:t>
      </w:r>
      <w:r>
        <w:rPr>
          <w:rFonts w:hint="eastAsia" w:ascii="宋体" w:hAnsi="宋体" w:eastAsia="宋体" w:cs="宋体"/>
          <w:color w:val="auto"/>
          <w:kern w:val="0"/>
          <w:sz w:val="22"/>
          <w:szCs w:val="22"/>
          <w:highlight w:val="none"/>
          <w:lang w:val="zh-CN"/>
        </w:rPr>
        <w:t xml:space="preserve">应包括以下内容： </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（1）法定代表人授权委托书（需提供法定代表人及授权委托人的身份证复印件加盖公章）；</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（2）投标人情况表</w:t>
      </w:r>
    </w:p>
    <w:p>
      <w:pPr>
        <w:snapToGrid w:val="0"/>
        <w:spacing w:line="46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偏离表（</w:t>
      </w:r>
      <w:r>
        <w:rPr>
          <w:rFonts w:hint="eastAsia" w:ascii="宋体" w:hAnsi="宋体" w:eastAsia="宋体" w:cs="宋体"/>
          <w:color w:val="auto"/>
          <w:sz w:val="22"/>
          <w:szCs w:val="22"/>
          <w:highlight w:val="none"/>
        </w:rPr>
        <w:t>商务、技术偏离</w:t>
      </w:r>
      <w:r>
        <w:rPr>
          <w:rFonts w:hint="eastAsia" w:ascii="宋体" w:hAnsi="宋体" w:eastAsia="宋体" w:cs="宋体"/>
          <w:color w:val="auto"/>
          <w:sz w:val="22"/>
          <w:szCs w:val="22"/>
          <w:highlight w:val="none"/>
          <w:lang w:val="zh-CN"/>
        </w:rPr>
        <w:t>）</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企业综合情况</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检测情况</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生产设备及工艺</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产品配置及技术参数</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保证措施</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9</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业绩</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10</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售后服务方案</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11</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服务网点</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12</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应急保障</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13</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其他优惠承诺</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）其他必要提供的资料。</w:t>
      </w:r>
    </w:p>
    <w:p>
      <w:pPr>
        <w:spacing w:line="460" w:lineRule="exact"/>
        <w:ind w:firstLine="440" w:firstLineChars="200"/>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投标文件中所需的各种证书、证件、证明资料如是复印件，须在复印件上加盖有效公章。</w:t>
      </w:r>
    </w:p>
    <w:p>
      <w:pPr>
        <w:pStyle w:val="31"/>
        <w:snapToGrid w:val="0"/>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zh-CN"/>
        </w:rPr>
        <w:t>投标人的</w:t>
      </w:r>
      <w:r>
        <w:rPr>
          <w:rFonts w:hint="eastAsia" w:ascii="宋体" w:hAnsi="宋体" w:eastAsia="宋体" w:cs="宋体"/>
          <w:b w:val="0"/>
          <w:bCs/>
          <w:color w:val="auto"/>
          <w:sz w:val="22"/>
          <w:szCs w:val="22"/>
          <w:highlight w:val="none"/>
        </w:rPr>
        <w:t>投标文件必须按照招标文件要求制作。</w:t>
      </w:r>
    </w:p>
    <w:p>
      <w:pPr>
        <w:pStyle w:val="31"/>
        <w:snapToGrid w:val="0"/>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投标人可在招标文件中对招标货物的技术规格和要求选用替代标准，但这些替代标准必须相当于或优于招标文件中提出的相应要求，并使招标人满意，同时在技术偏离表中作出详细说明。</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4、投标报价</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4.1投标人应根据国家的有关规定和招标文件要求并结合企业的实际情况进行投标报价。投标报价以人民币为结算货币，供货、税金、包装、运输、保险、装卸、验收（含第三方验收）、技术服务、售后服务、质保期保障、材料费等合同所需的一切本身和不可或缺的所有工作开支、政策性文件规定及合同包含的所有风险、责任等各项全部费用并承担一切风险责任。在合同服务期间内不得违反国家相关政策规定，供应商应根据上述因素自行考虑含入报价。</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4.2投标人必须按附件中的投标报价一览表、投标分项报价表内容填写价格，并由投标人代表签署。</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4.3</w:t>
      </w:r>
      <w:r>
        <w:rPr>
          <w:rFonts w:hint="eastAsia" w:ascii="宋体" w:hAnsi="宋体" w:eastAsia="宋体" w:cs="宋体"/>
          <w:b w:val="0"/>
          <w:bCs/>
          <w:color w:val="auto"/>
          <w:sz w:val="22"/>
          <w:highlight w:val="none"/>
        </w:rPr>
        <w:t>投标货币以人民币进行投标</w:t>
      </w:r>
      <w:r>
        <w:rPr>
          <w:rFonts w:hint="eastAsia" w:ascii="宋体" w:hAnsi="宋体" w:eastAsia="宋体" w:cs="宋体"/>
          <w:b w:val="0"/>
          <w:bCs/>
          <w:color w:val="auto"/>
          <w:sz w:val="22"/>
          <w:szCs w:val="22"/>
          <w:highlight w:val="none"/>
        </w:rPr>
        <w:t>。</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4.4</w:t>
      </w:r>
      <w:r>
        <w:rPr>
          <w:rFonts w:hint="eastAsia" w:ascii="宋体" w:hAnsi="宋体" w:eastAsia="宋体" w:cs="宋体"/>
          <w:b w:val="0"/>
          <w:bCs/>
          <w:color w:val="auto"/>
          <w:sz w:val="22"/>
          <w:highlight w:val="none"/>
        </w:rPr>
        <w:t>招标人和招标代理机构不接受任何选择投标，对任何服务只允许一个价格。</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4.5招标人和</w:t>
      </w:r>
      <w:r>
        <w:rPr>
          <w:rFonts w:hint="eastAsia" w:ascii="宋体" w:hAnsi="宋体" w:eastAsia="宋体" w:cs="宋体"/>
          <w:b w:val="0"/>
          <w:bCs/>
          <w:color w:val="auto"/>
          <w:sz w:val="22"/>
          <w:highlight w:val="none"/>
        </w:rPr>
        <w:t>招标代理机构</w:t>
      </w:r>
      <w:r>
        <w:rPr>
          <w:rFonts w:hint="eastAsia" w:ascii="宋体" w:hAnsi="宋体" w:eastAsia="宋体" w:cs="宋体"/>
          <w:b w:val="0"/>
          <w:bCs/>
          <w:color w:val="auto"/>
          <w:sz w:val="22"/>
          <w:szCs w:val="22"/>
          <w:highlight w:val="none"/>
        </w:rPr>
        <w:t>要求分类报价是为了方便评标，但在任何情况下不限制招标人以其认为最合适的条款、条件签订合同的权利。</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4.6投标报价报出后，投标人不得以任何理由予以变更。任何包含价格调整的要求，将被认为是非实质性响应投标而予以否决。</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4.7最低报价不能作为中标的保证。</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5、投标有效期</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5.1自开标之日起</w:t>
      </w:r>
      <w:r>
        <w:rPr>
          <w:rFonts w:hint="eastAsia" w:ascii="宋体" w:hAnsi="宋体" w:eastAsia="宋体" w:cs="宋体"/>
          <w:b/>
          <w:bCs/>
          <w:color w:val="auto"/>
          <w:sz w:val="22"/>
          <w:szCs w:val="22"/>
          <w:highlight w:val="none"/>
        </w:rPr>
        <w:t xml:space="preserve"> 120 </w:t>
      </w:r>
      <w:r>
        <w:rPr>
          <w:rFonts w:hint="eastAsia" w:ascii="宋体" w:hAnsi="宋体" w:eastAsia="宋体" w:cs="宋体"/>
          <w:b/>
          <w:color w:val="auto"/>
          <w:sz w:val="22"/>
          <w:szCs w:val="22"/>
          <w:highlight w:val="none"/>
        </w:rPr>
        <w:t>天内投标应保持有效。</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6、投标保证金</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7、投标文件编制</w:t>
      </w:r>
    </w:p>
    <w:p>
      <w:pPr>
        <w:spacing w:line="460" w:lineRule="exact"/>
        <w:ind w:firstLine="539" w:firstLineChars="245"/>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sz w:val="22"/>
          <w:szCs w:val="22"/>
          <w:highlight w:val="none"/>
          <w:u w:val="single"/>
        </w:rPr>
        <w:t>7.1本项目通过“政府采购云平台（http://zfcg.czt.zj.gov.cn）”实行在线投标响应（电子投标）。供应商应通过“政采云电子交易客户端”，并按照本招标文件和“政府采购云平台”的要求编制并加密投标文件。</w:t>
      </w:r>
    </w:p>
    <w:p>
      <w:pPr>
        <w:spacing w:line="460" w:lineRule="exact"/>
        <w:ind w:firstLine="539" w:firstLineChars="245"/>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sz w:val="22"/>
          <w:szCs w:val="22"/>
          <w:highlight w:val="none"/>
          <w:u w:val="single"/>
        </w:rPr>
        <w:t>7.2投标人应当按照本章节 “投标文件的构成”规定的内容及顺序在“政采云电子交易客户端”编制投标文件。其中《资格文件》和《商务技术文件》中不得出现本项目投标报价。</w:t>
      </w:r>
    </w:p>
    <w:p>
      <w:pPr>
        <w:spacing w:line="460" w:lineRule="exact"/>
        <w:ind w:firstLine="539" w:firstLineChars="245"/>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sz w:val="22"/>
          <w:szCs w:val="22"/>
          <w:highlight w:val="none"/>
          <w:u w:val="singl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pPr>
        <w:spacing w:line="460" w:lineRule="exact"/>
        <w:ind w:firstLine="539" w:firstLineChars="245"/>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sz w:val="22"/>
          <w:szCs w:val="22"/>
          <w:highlight w:val="none"/>
          <w:u w:val="single"/>
        </w:rPr>
        <w:t>7.4《投标文件》内容不完整、编排混乱导致《投标文件》被误读、漏读或者查找不到相关内容的，投标人自行负责。</w:t>
      </w:r>
    </w:p>
    <w:p>
      <w:pPr>
        <w:spacing w:line="460" w:lineRule="exact"/>
        <w:ind w:firstLine="539" w:firstLineChars="245"/>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sz w:val="22"/>
          <w:szCs w:val="22"/>
          <w:highlight w:val="none"/>
          <w:u w:val="single"/>
        </w:rPr>
        <w:t>7.5《投标文件》因字迹潦草或表达不清所引起的后果由投标人负责。</w:t>
      </w:r>
    </w:p>
    <w:p>
      <w:pPr>
        <w:spacing w:line="460" w:lineRule="exact"/>
        <w:ind w:firstLine="539" w:firstLineChars="245"/>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sz w:val="22"/>
          <w:szCs w:val="22"/>
          <w:highlight w:val="none"/>
          <w:u w:val="single"/>
        </w:rPr>
        <w:t>7.6投标人没有按照本章节 “投标文件的构成”要求提供全部资料，或者没有仔细阅读招标文件，或者没有对招标文件在各方面的要求作出实质性响应是投标人的风险，由此造成的一切后果由投标人自行承担。</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8、投标文件的签章</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8.1《投标文件》的签章：见《前附表》；</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8.2《投标文件》应由投标人法定代表人或其授权代表签字（或盖章），并时加盖投标人公章。</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8.3电子签章操作指南详见采购公告附件《供应商项目采购-电子招投标操作指南》。</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9、投标文件的形式</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9.1投标文件的形式：见《前附表》；</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9.2“电子加密投标文件”：“电子加密投标文件”是指通过“政采云电子交易客户端”完成投标文件编制后生成并加密的数据电文形式的投标文件。</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10、投标文件的份数</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10.1投标文件的份数：见《前附表》。</w:t>
      </w:r>
    </w:p>
    <w:p>
      <w:pPr>
        <w:spacing w:before="100" w:beforeAutospacing="1" w:after="100" w:afterAutospacing="1" w:line="440" w:lineRule="exact"/>
        <w:jc w:val="center"/>
        <w:outlineLvl w:val="1"/>
        <w:rPr>
          <w:rFonts w:hint="eastAsia" w:ascii="宋体" w:hAnsi="宋体" w:eastAsia="宋体" w:cs="宋体"/>
          <w:b/>
          <w:bCs/>
          <w:color w:val="auto"/>
          <w:sz w:val="22"/>
          <w:szCs w:val="22"/>
          <w:highlight w:val="none"/>
        </w:rPr>
      </w:pPr>
      <w:bookmarkStart w:id="16" w:name="_Toc18542"/>
      <w:bookmarkStart w:id="17" w:name="_Toc15422"/>
      <w:r>
        <w:rPr>
          <w:rFonts w:hint="eastAsia" w:ascii="宋体" w:hAnsi="宋体" w:eastAsia="宋体" w:cs="宋体"/>
          <w:b/>
          <w:bCs/>
          <w:color w:val="auto"/>
          <w:sz w:val="22"/>
          <w:szCs w:val="22"/>
          <w:highlight w:val="none"/>
        </w:rPr>
        <w:t>四、 投标文件的递交</w:t>
      </w:r>
      <w:bookmarkEnd w:id="16"/>
      <w:bookmarkEnd w:id="17"/>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1、投标文件的上传和递交</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1.1“投标文件”的上传、递交：见《前附表》。</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2、“电子加密投标文件”解密和异常情况处理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2.1“电子加密投标文件”解密：见《前附表》。</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3.2投标截止时间后，投标人不得撤回、修改《投标文件》。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4.1投标人不得递交任何的投标备选（替代）方案，否则其投标文件将作无效标处理。与“电子加密投标文件”同时生成的“备份投标文件”不是投标备选（替代）方案。</w:t>
      </w:r>
    </w:p>
    <w:p>
      <w:pPr>
        <w:spacing w:before="100" w:beforeAutospacing="1" w:after="100" w:afterAutospacing="1" w:line="460" w:lineRule="exact"/>
        <w:jc w:val="center"/>
        <w:outlineLvl w:val="1"/>
        <w:rPr>
          <w:rFonts w:hint="eastAsia" w:ascii="宋体" w:hAnsi="宋体" w:eastAsia="宋体" w:cs="宋体"/>
          <w:b/>
          <w:bCs/>
          <w:color w:val="auto"/>
          <w:sz w:val="22"/>
          <w:szCs w:val="22"/>
          <w:highlight w:val="none"/>
        </w:rPr>
      </w:pPr>
      <w:bookmarkStart w:id="18" w:name="_Toc8079"/>
      <w:bookmarkStart w:id="19" w:name="_Toc30172"/>
      <w:r>
        <w:rPr>
          <w:rFonts w:hint="eastAsia" w:ascii="宋体" w:hAnsi="宋体" w:eastAsia="宋体" w:cs="宋体"/>
          <w:b/>
          <w:bCs/>
          <w:color w:val="auto"/>
          <w:sz w:val="22"/>
          <w:szCs w:val="22"/>
          <w:highlight w:val="none"/>
        </w:rPr>
        <w:t>五、 开标和评标</w:t>
      </w:r>
      <w:bookmarkEnd w:id="18"/>
      <w:bookmarkEnd w:id="19"/>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1、评标委员会</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招标人和招标代理机构组建评标委员会。评标委员会的成员在评标过程中必须严格遵守《政府采购法》等有关法律、法规的规定。</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2、评标过程的保密性</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3、开标形式</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采购组织机构将按照招标文件规定的时间通过“政府采购云平台”组织开标、开启投标文件，所有供应商均应当准时(在线)参加。</w:t>
      </w:r>
    </w:p>
    <w:p>
      <w:pPr>
        <w:spacing w:line="460" w:lineRule="exact"/>
        <w:ind w:firstLine="541" w:firstLineChars="245"/>
        <w:rPr>
          <w:rFonts w:hint="eastAsia" w:ascii="宋体" w:hAnsi="宋体" w:eastAsia="宋体" w:cs="宋体"/>
          <w:b w:val="0"/>
          <w:bCs/>
          <w:color w:val="auto"/>
          <w:sz w:val="22"/>
          <w:szCs w:val="22"/>
          <w:highlight w:val="none"/>
        </w:rPr>
      </w:pPr>
      <w:r>
        <w:rPr>
          <w:rFonts w:hint="eastAsia" w:ascii="宋体" w:hAnsi="宋体" w:eastAsia="宋体" w:cs="宋体"/>
          <w:b/>
          <w:bCs w:val="0"/>
          <w:color w:val="auto"/>
          <w:sz w:val="22"/>
          <w:szCs w:val="22"/>
          <w:highlight w:val="none"/>
        </w:rPr>
        <w:t>4、开标准备</w:t>
      </w:r>
    </w:p>
    <w:p>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4.1开标的准备工作由采购组织机构负责落实；</w:t>
      </w:r>
    </w:p>
    <w:p>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4.2</w:t>
      </w:r>
      <w:r>
        <w:rPr>
          <w:rFonts w:hint="eastAsia" w:ascii="宋体" w:hAnsi="宋体" w:eastAsia="宋体" w:cs="宋体"/>
          <w:b w:val="0"/>
          <w:bCs/>
          <w:color w:val="auto"/>
          <w:sz w:val="22"/>
          <w:szCs w:val="22"/>
          <w:highlight w:val="none"/>
        </w:rPr>
        <w:t>采购组织机构将按照招标文件规定的时间通过“政府采购云平台”组织开标、开启投标文件，所有供应商均应当准时(在线)参加。</w:t>
      </w:r>
      <w:r>
        <w:rPr>
          <w:rFonts w:hint="eastAsia" w:ascii="宋体" w:hAnsi="宋体" w:eastAsia="宋体" w:cs="宋体"/>
          <w:b w:val="0"/>
          <w:bCs/>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5、开标流程</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5.1开标、评标</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投标人不足3家的，不得开标。</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（2）解密成功后，开启投标人的《报价文件》，由供应商对自己报价文件相关内容进行签字确认，（不予确认的应说明理由，否则视为无异议）。</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（3）开启《投标文件》，进入资格审查；</w:t>
      </w:r>
      <w:r>
        <w:rPr>
          <w:rFonts w:hint="eastAsia" w:ascii="宋体" w:hAnsi="宋体" w:eastAsia="宋体" w:cs="宋体"/>
          <w:bCs/>
          <w:color w:val="auto"/>
          <w:sz w:val="22"/>
          <w:szCs w:val="22"/>
          <w:highlight w:val="none"/>
        </w:rPr>
        <w:t>合格投标人不足3家的，不得评标。</w:t>
      </w:r>
    </w:p>
    <w:p>
      <w:pPr>
        <w:spacing w:line="460" w:lineRule="exact"/>
        <w:ind w:firstLine="541" w:firstLineChars="245"/>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（4）开启资格审查通过的投标人的商务技术文件进入符合性审查，</w:t>
      </w:r>
      <w:r>
        <w:rPr>
          <w:rFonts w:hint="eastAsia" w:ascii="宋体" w:hAnsi="宋体" w:eastAsia="宋体" w:cs="宋体"/>
          <w:bCs/>
          <w:color w:val="auto"/>
          <w:sz w:val="22"/>
          <w:szCs w:val="22"/>
          <w:highlight w:val="none"/>
        </w:rPr>
        <w:t>以确定其是否满足招标文件的实质性要求，合格投标人不足3家的，不得评标。</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（5）对通过资格审查、符合性审查的合格供应商进行商务技术部分的评审。</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（6）评标委员会对报价的合理性、准确性等进行审查核实。</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（7）评审结束后，公布中标（成交）候选供应商名单及招标人最终确定中标或成交供应商名单的时间和公告方式等，未在场的投标人通过发送邮件形式通知。</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特别说明：如遇“政府采购云平台”电子化开标或评审程序调整的，按调整后程序执行。</w:t>
      </w:r>
    </w:p>
    <w:p>
      <w:pPr>
        <w:spacing w:line="460" w:lineRule="exact"/>
        <w:ind w:firstLine="539" w:firstLineChars="245"/>
        <w:rPr>
          <w:rFonts w:hint="eastAsia" w:ascii="宋体" w:hAnsi="宋体" w:eastAsia="宋体" w:cs="宋体"/>
          <w:color w:val="auto"/>
          <w:sz w:val="22"/>
          <w:szCs w:val="22"/>
          <w:highlight w:val="none"/>
        </w:rPr>
      </w:pPr>
      <w:bookmarkStart w:id="20" w:name="_Toc24550037"/>
      <w:bookmarkStart w:id="21" w:name="_Toc33194393"/>
      <w:r>
        <w:rPr>
          <w:rFonts w:hint="eastAsia" w:ascii="宋体" w:hAnsi="宋体" w:eastAsia="宋体" w:cs="宋体"/>
          <w:color w:val="auto"/>
          <w:sz w:val="22"/>
          <w:szCs w:val="22"/>
          <w:highlight w:val="none"/>
        </w:rPr>
        <w:t>6、投标人资格审查</w:t>
      </w:r>
      <w:bookmarkEnd w:id="20"/>
      <w:bookmarkEnd w:id="21"/>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6.1开标大会结束后，招标人或采购代理机构首先依法对各投标人的资格进行审查，审查各投标人的资格是否满足招标文件的要求。</w:t>
      </w:r>
      <w:r>
        <w:rPr>
          <w:rFonts w:hint="eastAsia" w:ascii="宋体" w:hAnsi="宋体" w:eastAsia="宋体" w:cs="宋体"/>
          <w:color w:val="auto"/>
          <w:sz w:val="22"/>
          <w:szCs w:val="22"/>
          <w:highlight w:val="none"/>
        </w:rPr>
        <w:t>招标人或采购代理机构对投标人所提交的资格证明材料仅负审核的责任。如发现投标人所提交的资格证明材料不合法或与事实不符，招标人可取消其中标资格并追究投标人的法律责任。</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sz w:val="22"/>
          <w:szCs w:val="22"/>
          <w:highlight w:val="none"/>
        </w:rPr>
        <w:t>6.2投标人提交的资格证明材料无法证明其符合招标文件规定的“投标人资格要求”的，招标人或采购代理机构</w:t>
      </w:r>
      <w:r>
        <w:rPr>
          <w:rFonts w:hint="eastAsia" w:ascii="宋体" w:hAnsi="宋体" w:eastAsia="宋体" w:cs="宋体"/>
          <w:b/>
          <w:color w:val="auto"/>
          <w:kern w:val="0"/>
          <w:sz w:val="22"/>
          <w:szCs w:val="22"/>
          <w:highlight w:val="none"/>
        </w:rPr>
        <w:t>将对其作资格审查不通过处理（无效投标），并不再将其投标提交评标委员会进行后续评审。</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6</w:t>
      </w:r>
      <w:r>
        <w:rPr>
          <w:rFonts w:hint="eastAsia" w:ascii="宋体" w:hAnsi="宋体" w:eastAsia="宋体" w:cs="宋体"/>
          <w:b/>
          <w:color w:val="auto"/>
          <w:kern w:val="0"/>
          <w:sz w:val="22"/>
          <w:szCs w:val="22"/>
          <w:highlight w:val="none"/>
        </w:rPr>
        <w:t>.3单位负责人为同一人或者存在直接控股、管理关系的不同供应商参加同一合同项下的政府采购活动的，相关投标人均作资格无效处理。</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7、评标委员按照招标文件中规定的评标方法和标准，对投标文件进行商务和技术评估，综合比较与评价。</w:t>
      </w:r>
    </w:p>
    <w:p>
      <w:pPr>
        <w:spacing w:line="460" w:lineRule="exact"/>
        <w:ind w:firstLine="541" w:firstLineChars="245"/>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8、投标人存在下列情况之一的，投标无效：</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（1）投标文件未按招标文件要求签署、盖章的；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（2）不具备招标文件中规定的资格要求的； </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（3）明显不符合招标文件中主要技术规格、技术标准的；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（4）投标文件内容不全或关键字迹模糊无法辨认的；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（5）报价超过招标文件中规定的预算金额的；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（6）投标人代表没有法定代表人合法、有效委托的；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（7）投标文件存在一个或一个以上备选（替代）投标方案的；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（8）仅提交“备份投标文件”的；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（9）投标文件含有招标人不能接受的附加条件的；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（10）法律、法规和招标文件规定的其他无效情形。</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9、有下列情形之一的，视为投标人串通投标，其投标无效</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（1）不同投标人的投标文件由同一单位或者个人编制；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（2）不同投标人委托同一单位或者个人办理投标事宜；</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（3）不同投标人的投标文件载明的项目管理成员或者联系人员为同一人；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（4）不同投标人的投标文件异常一致或者投标报价呈规律性差异；</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（5）不同投标人的投标文件相互混装。</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10、投标文件报价出现前后不一致的，按照下列规定修正：</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（1）系统上传的投标文件中开标一览表（报价表）（加盖公章）内容与投标文件中相应内容不一致的，以系统上传的投标文件中开标一览表（报价表）（加盖公章）为准；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（2）大写金额和小写金额不一致的，以大写金额为准；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（3）单价金额小数点或者百分比有明显错位的，以开标一览表的总价为准，并修改单价；</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（4）总价金额与按单价汇总金额不一致的，以单价金额计算结果为准。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12、投标文件的澄清</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拒不按要求对其投标文件进行澄清，说明或补正的投标人，评标委员会可以否决其投标。</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12.2</w:t>
      </w:r>
      <w:r>
        <w:rPr>
          <w:rFonts w:hint="eastAsia" w:ascii="宋体" w:hAnsi="宋体" w:eastAsia="宋体" w:cs="宋体"/>
          <w:b/>
          <w:color w:val="auto"/>
          <w:sz w:val="22"/>
          <w:szCs w:val="22"/>
          <w:highlight w:val="none"/>
        </w:rPr>
        <w:t>经澄清后，若偏差仍存在，且不可接受，投标人则被认为是“没有实质性响应招标文件要求”，其投标将被拒绝。</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13、评审结果的修改</w:t>
      </w:r>
    </w:p>
    <w:p>
      <w:pPr>
        <w:spacing w:line="460" w:lineRule="exact"/>
        <w:ind w:firstLine="762" w:firstLineChars="3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13.1评标结果汇总完成后，除下列情形外，任何人不得修改评标结果：</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（1）分值汇总计算错误的；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（2）分项评分超出评分标准范围的；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（3）评标委员会成员对客观评审因素评分不一致的；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（4）经评标委员会认定评分畸高、畸低的。</w:t>
      </w:r>
    </w:p>
    <w:p>
      <w:pPr>
        <w:spacing w:line="460" w:lineRule="exact"/>
        <w:ind w:firstLine="759" w:firstLineChars="3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13.2书面评标报告签署前，经复核发现存在以上情形之一的，评标委员会将当场修改评标结果，并在</w:t>
      </w:r>
      <w:r>
        <w:rPr>
          <w:rFonts w:hint="eastAsia" w:ascii="宋体" w:hAnsi="宋体" w:eastAsia="宋体" w:cs="宋体"/>
          <w:b/>
          <w:color w:val="auto"/>
          <w:sz w:val="22"/>
          <w:szCs w:val="22"/>
          <w:highlight w:val="none"/>
        </w:rPr>
        <w:t>评标报告中记载。</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14</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14.1由评标委员会确定中标候选人。</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762" w:firstLineChars="345"/>
        <w:rPr>
          <w:rFonts w:hint="eastAsia" w:ascii="宋体" w:hAnsi="宋体" w:eastAsia="宋体" w:cs="宋体"/>
          <w:bCs/>
          <w:color w:val="auto"/>
          <w:sz w:val="22"/>
          <w:szCs w:val="22"/>
          <w:highlight w:val="none"/>
        </w:rPr>
      </w:pPr>
      <w:r>
        <w:rPr>
          <w:rFonts w:hint="eastAsia" w:ascii="宋体" w:hAnsi="宋体" w:eastAsia="宋体" w:cs="宋体"/>
          <w:b/>
          <w:bCs/>
          <w:color w:val="auto"/>
          <w:sz w:val="22"/>
          <w:szCs w:val="22"/>
          <w:highlight w:val="none"/>
        </w:rPr>
        <w:t>15、确定中标人</w:t>
      </w:r>
    </w:p>
    <w:p>
      <w:pPr>
        <w:spacing w:line="460" w:lineRule="exact"/>
        <w:ind w:firstLine="762" w:firstLineChars="345"/>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15</w:t>
      </w:r>
      <w:r>
        <w:rPr>
          <w:rFonts w:hint="eastAsia" w:ascii="宋体" w:hAnsi="宋体" w:eastAsia="宋体" w:cs="宋体"/>
          <w:b/>
          <w:bCs/>
          <w:color w:val="auto"/>
          <w:sz w:val="22"/>
          <w:szCs w:val="22"/>
          <w:highlight w:val="none"/>
        </w:rPr>
        <w:t>.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16、起草、签署评审报告</w:t>
      </w:r>
    </w:p>
    <w:p>
      <w:pPr>
        <w:spacing w:line="460" w:lineRule="exact"/>
        <w:ind w:firstLine="759" w:firstLineChars="3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中标人确定后，招标人将在政府指定媒体公告中标结果，招标人向中标人发出中标通知书。</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18、</w:t>
      </w:r>
      <w:r>
        <w:rPr>
          <w:rFonts w:hint="eastAsia" w:ascii="宋体" w:hAnsi="宋体" w:eastAsia="宋体" w:cs="宋体"/>
          <w:b/>
          <w:color w:val="auto"/>
          <w:sz w:val="22"/>
          <w:szCs w:val="22"/>
          <w:highlight w:val="none"/>
        </w:rPr>
        <w:t>招标人对决标结果不做任何解释，也不保证最低价中标。</w:t>
      </w:r>
    </w:p>
    <w:p>
      <w:pPr>
        <w:spacing w:line="460" w:lineRule="exact"/>
        <w:ind w:firstLine="762" w:firstLineChars="3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19、评标细则详见“评标原则及方法”。</w:t>
      </w:r>
    </w:p>
    <w:p>
      <w:pPr>
        <w:spacing w:before="100" w:beforeAutospacing="1" w:after="100" w:afterAutospacing="1" w:line="440" w:lineRule="exact"/>
        <w:jc w:val="center"/>
        <w:outlineLvl w:val="1"/>
        <w:rPr>
          <w:rFonts w:hint="eastAsia" w:ascii="宋体" w:hAnsi="宋体" w:eastAsia="宋体" w:cs="宋体"/>
          <w:b/>
          <w:bCs/>
          <w:color w:val="auto"/>
          <w:sz w:val="26"/>
          <w:szCs w:val="26"/>
          <w:highlight w:val="none"/>
        </w:rPr>
      </w:pPr>
      <w:bookmarkStart w:id="22" w:name="_Toc21056"/>
      <w:bookmarkStart w:id="23" w:name="_Toc26836"/>
      <w:r>
        <w:rPr>
          <w:rFonts w:hint="eastAsia" w:ascii="宋体" w:hAnsi="宋体" w:eastAsia="宋体" w:cs="宋体"/>
          <w:b/>
          <w:bCs/>
          <w:color w:val="auto"/>
          <w:sz w:val="26"/>
          <w:szCs w:val="26"/>
          <w:highlight w:val="none"/>
        </w:rPr>
        <w:t>六、 授予合同</w:t>
      </w:r>
      <w:bookmarkEnd w:id="22"/>
      <w:bookmarkEnd w:id="23"/>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1、中标通知书</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1.1</w:t>
      </w:r>
      <w:r>
        <w:rPr>
          <w:rFonts w:hint="eastAsia" w:ascii="宋体" w:hAnsi="宋体" w:eastAsia="宋体" w:cs="宋体"/>
          <w:color w:val="auto"/>
          <w:sz w:val="22"/>
          <w:szCs w:val="22"/>
          <w:highlight w:val="none"/>
        </w:rPr>
        <w:t xml:space="preserve">中标人确定后，招标人将向中标人发出中标通知书。 </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1.2</w:t>
      </w:r>
      <w:r>
        <w:rPr>
          <w:rFonts w:hint="eastAsia" w:ascii="宋体" w:hAnsi="宋体" w:eastAsia="宋体" w:cs="宋体"/>
          <w:color w:val="auto"/>
          <w:sz w:val="22"/>
          <w:szCs w:val="22"/>
          <w:highlight w:val="none"/>
        </w:rPr>
        <w:t>中标通知书是合同的一个组成部分,对招标人和中标人均具有同等法律效力。</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2、授标时更改采购货物数量的权力</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2.1招标人在授予合同时有权对采购货物的数量和服务在一定幅度范围内予以增加或减少,但不得对单价和其他的条款和条件作任何改变。</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3、签订合同</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3.1中标人应按中标通知书规定的时间、地点与招标人签订合同。</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3.2</w:t>
      </w:r>
      <w:r>
        <w:rPr>
          <w:rFonts w:hint="eastAsia" w:ascii="宋体" w:hAnsi="宋体" w:eastAsia="宋体" w:cs="宋体"/>
          <w:b/>
          <w:color w:val="auto"/>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3.3招标文件、中标人的投标文件、投标修改文件、评标过程中有关澄清文件及经投标人和评委双方签字的询标纪要和中标通知书均作为合同附件。</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3.4拒签合同的违约责任</w:t>
      </w:r>
    </w:p>
    <w:p>
      <w:pPr>
        <w:spacing w:line="460" w:lineRule="exact"/>
        <w:ind w:firstLine="571" w:firstLineChars="245"/>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中标人接到中标通知书后，在规定时间内借故否认已经承诺的条件而拒签合同的，以违约处理。</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4、履约保证金</w:t>
      </w:r>
    </w:p>
    <w:p>
      <w:pPr>
        <w:spacing w:line="460" w:lineRule="exact"/>
        <w:ind w:firstLine="539" w:firstLineChars="24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4.1中标人在收到中标通知书后，须向招标人提交合同总价</w:t>
      </w:r>
      <w:r>
        <w:rPr>
          <w:rFonts w:hint="eastAsia" w:ascii="宋体" w:hAnsi="宋体" w:cs="宋体"/>
          <w:bCs/>
          <w:color w:val="auto"/>
          <w:sz w:val="22"/>
          <w:highlight w:val="none"/>
          <w:lang w:val="en-US" w:eastAsia="zh-CN"/>
        </w:rPr>
        <w:t>1</w:t>
      </w:r>
      <w:r>
        <w:rPr>
          <w:rFonts w:hint="eastAsia" w:ascii="宋体" w:hAnsi="宋体" w:eastAsia="宋体" w:cs="宋体"/>
          <w:bCs/>
          <w:color w:val="auto"/>
          <w:sz w:val="22"/>
          <w:highlight w:val="none"/>
        </w:rPr>
        <w:t>%的履约保证金。</w:t>
      </w:r>
    </w:p>
    <w:p>
      <w:pPr>
        <w:spacing w:line="460" w:lineRule="exact"/>
        <w:ind w:firstLine="539" w:firstLineChars="245"/>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4.2履约保证金用于补偿招标人因中标人不能履行其合同义务而蒙受的损失。</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highlight w:val="none"/>
        </w:rPr>
        <w:t>4.3履约保证金自合同签订之日起至货物验收合格止有效。有效期满后，</w:t>
      </w:r>
      <w:r>
        <w:rPr>
          <w:rFonts w:hint="eastAsia" w:ascii="宋体" w:hAnsi="宋体" w:eastAsia="宋体" w:cs="宋体"/>
          <w:bCs/>
          <w:color w:val="auto"/>
          <w:sz w:val="22"/>
          <w:highlight w:val="none"/>
          <w:lang w:eastAsia="zh-CN"/>
        </w:rPr>
        <w:t>招标人</w:t>
      </w:r>
      <w:r>
        <w:rPr>
          <w:rFonts w:hint="eastAsia" w:ascii="宋体" w:hAnsi="宋体" w:eastAsia="宋体" w:cs="宋体"/>
          <w:bCs/>
          <w:color w:val="auto"/>
          <w:sz w:val="22"/>
          <w:highlight w:val="none"/>
        </w:rPr>
        <w:t>应及时将履约保证金无息退还给中标人。</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highlight w:val="none"/>
        </w:rPr>
        <w:t>5、质疑与投诉</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5.1投标人认为招标文件、采购过程、中标和成交结果使自己的合法权益受到损害的，可以在知道或应知道其权益受到损害之日起七个工作日内以书面形式向招标人或招标代理机构提出质疑。</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5.2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pPr>
        <w:spacing w:line="460" w:lineRule="exact"/>
        <w:ind w:firstLine="539" w:firstLineChars="245"/>
        <w:rPr>
          <w:rFonts w:hint="eastAsia" w:ascii="宋体" w:hAnsi="宋体" w:eastAsia="宋体" w:cs="宋体"/>
          <w:color w:val="auto"/>
          <w:sz w:val="22"/>
          <w:highlight w:val="none"/>
        </w:rPr>
      </w:pPr>
      <w:r>
        <w:rPr>
          <w:rFonts w:hint="eastAsia" w:ascii="宋体" w:hAnsi="宋体" w:eastAsia="宋体" w:cs="宋体"/>
          <w:color w:val="auto"/>
          <w:sz w:val="22"/>
          <w:highlight w:val="none"/>
        </w:rPr>
        <w:t>5.3投诉人投诉时，应提交投诉书，投诉书应当由本人并由法定代表人签字盖公章，投诉书应说明具体的投诉事项及事实依据。投诉人对投诉书的真实性负责，恶意投诉将承当相应的法律和民事责任。</w:t>
      </w:r>
    </w:p>
    <w:p>
      <w:pPr>
        <w:rPr>
          <w:rFonts w:hint="eastAsia" w:ascii="宋体" w:hAnsi="宋体" w:eastAsia="宋体" w:cs="宋体"/>
          <w:color w:val="auto"/>
          <w:sz w:val="22"/>
          <w:highlight w:val="none"/>
        </w:rPr>
      </w:pPr>
    </w:p>
    <w:p>
      <w:pPr>
        <w:rPr>
          <w:rFonts w:hint="eastAsia" w:ascii="宋体" w:hAnsi="宋体" w:eastAsia="宋体" w:cs="宋体"/>
          <w:color w:val="auto"/>
          <w:highlight w:val="none"/>
        </w:rPr>
      </w:pPr>
      <w:bookmarkStart w:id="24" w:name="_Toc19043"/>
      <w:bookmarkStart w:id="25" w:name="_Toc28194"/>
      <w:r>
        <w:rPr>
          <w:rFonts w:hint="eastAsia" w:ascii="宋体" w:hAnsi="宋体" w:eastAsia="宋体" w:cs="宋体"/>
          <w:color w:val="auto"/>
          <w:highlight w:val="none"/>
        </w:rPr>
        <w:br w:type="page"/>
      </w:r>
    </w:p>
    <w:p>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第二部分    合同主要条款</w:t>
      </w:r>
      <w:bookmarkEnd w:id="24"/>
      <w:bookmarkEnd w:id="25"/>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注：如甲、乙双方同意，合同格式也可以按照其他形式, 具体条款以甲方为主协商确定。但合同条款的基本内容应与以下要求的内容相一致。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1.    定义：</w:t>
      </w:r>
    </w:p>
    <w:p>
      <w:pPr>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本合同下列述语应解释为：</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1.1  “合同”系指买卖双方签署的，合同格式中载明的买卖双方所达成的协议，包括所有的附件和构成合同的其它文件。</w:t>
      </w:r>
    </w:p>
    <w:p>
      <w:pPr>
        <w:keepNext w:val="0"/>
        <w:keepLines w:val="0"/>
        <w:pageBreakBefore w:val="0"/>
        <w:widowControl w:val="0"/>
        <w:kinsoku/>
        <w:wordWrap/>
        <w:overflowPunct/>
        <w:topLinePunct w:val="0"/>
        <w:autoSpaceDE/>
        <w:autoSpaceDN/>
        <w:bidi w:val="0"/>
        <w:adjustRightInd/>
        <w:snapToGrid/>
        <w:spacing w:line="460" w:lineRule="exact"/>
        <w:ind w:left="663" w:hanging="663" w:hangingChars="300"/>
        <w:textAlignment w:val="auto"/>
        <w:rPr>
          <w:rFonts w:hint="eastAsia" w:ascii="新宋体" w:hAnsi="新宋体" w:eastAsia="新宋体"/>
          <w:b w:val="0"/>
          <w:bCs w:val="0"/>
          <w:color w:val="auto"/>
          <w:sz w:val="22"/>
          <w:szCs w:val="22"/>
          <w:highlight w:val="none"/>
        </w:rPr>
      </w:pPr>
      <w:r>
        <w:rPr>
          <w:rFonts w:hint="eastAsia" w:ascii="新宋体" w:hAnsi="新宋体" w:eastAsia="新宋体"/>
          <w:b/>
          <w:bCs/>
          <w:color w:val="auto"/>
          <w:sz w:val="22"/>
          <w:szCs w:val="22"/>
          <w:highlight w:val="none"/>
        </w:rPr>
        <w:t xml:space="preserve">1.2  </w:t>
      </w:r>
      <w:r>
        <w:rPr>
          <w:rFonts w:hint="eastAsia" w:ascii="新宋体" w:hAnsi="新宋体" w:eastAsia="新宋体"/>
          <w:b w:val="0"/>
          <w:bCs w:val="0"/>
          <w:color w:val="auto"/>
          <w:sz w:val="22"/>
          <w:szCs w:val="22"/>
          <w:highlight w:val="none"/>
        </w:rPr>
        <w:t>“合同价”是指根据本合同规定，卖方在正确地完全履行合同义务后买方应支付给卖方的价款（工地价）。即：货物的供货、税金、运输、保险、装卸、安装、检验、配合验收、技术服务、售后服务、质保期保障、材料等全部费用、实行固定费用总包干。</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1.3  “货物”是指根据合同规定须向买方提供的一切家具和其它材料。</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1.4  “服务”是指根据合同规定卖方承担与供货有关的辅助服务，如运输、保险以及其它的伴随服务，例如安装、提供技术协助和合同中规定卖方应承担的其它义务。</w:t>
      </w:r>
    </w:p>
    <w:p>
      <w:pPr>
        <w:keepNext w:val="0"/>
        <w:keepLines w:val="0"/>
        <w:pageBreakBefore w:val="0"/>
        <w:widowControl w:val="0"/>
        <w:kinsoku/>
        <w:wordWrap/>
        <w:overflowPunct/>
        <w:topLinePunct w:val="0"/>
        <w:autoSpaceDE/>
        <w:autoSpaceDN/>
        <w:bidi w:val="0"/>
        <w:adjustRightInd/>
        <w:snapToGrid/>
        <w:spacing w:line="460" w:lineRule="exact"/>
        <w:ind w:left="440" w:hanging="440" w:hangingChars="200"/>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1.5   “现场”是指合同项下货物将要进行安装运行的地点。</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1.6   “验收”是指合同双方依据规定的程序和条件确认合同项下的货物符合技术规范的要求。</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2.    标准</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2.1   本合同项下交付的货物应符合技术规格所述的标准。如在采购文件中无相应说明，则以国家颁布的最新版本标准或行业（部）标准或相应的国际标准执行，没有国家或行业（部）标准的则按企业标准执行。</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2.2   除非技术规格中另有规定，计量单位均采用中华人民共和国法定计量单位。</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3.    专利权</w:t>
      </w:r>
    </w:p>
    <w:p>
      <w:pPr>
        <w:keepNext w:val="0"/>
        <w:keepLines w:val="0"/>
        <w:pageBreakBefore w:val="0"/>
        <w:widowControl w:val="0"/>
        <w:kinsoku/>
        <w:wordWrap/>
        <w:overflowPunct/>
        <w:topLinePunct w:val="0"/>
        <w:autoSpaceDE/>
        <w:autoSpaceDN/>
        <w:bidi w:val="0"/>
        <w:adjustRightInd/>
        <w:snapToGrid/>
        <w:spacing w:line="460" w:lineRule="exact"/>
        <w:ind w:left="623" w:hanging="622" w:hangingChars="283"/>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3.1   卖方应保证，买方在使用该货物或货物的任何一部分时，免受第三方提出的侵犯其专利权、商标权、著作权或其它知识产权的起诉。卖方应承担由此可能产生的一切法律责任和费用。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4.   包装要求</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4.1   除合同另有规定外，卖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卖方应承担由于其包装或其防护措施不妥而引起货物锈蚀、损坏和丢失的任何损失的责任或费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5.    装运标记</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5.1   根据货物的特点和运输的不同要求，卖方还应清楚地标注“小心轻放”、“防潮”、“此端向上”、“请勿倒置”“保持干燥”等字样和其他国际贸易中使用的适当标志。</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6.    交货方式：</w:t>
      </w:r>
    </w:p>
    <w:p>
      <w:pPr>
        <w:keepNext w:val="0"/>
        <w:keepLines w:val="0"/>
        <w:pageBreakBefore w:val="0"/>
        <w:widowControl w:val="0"/>
        <w:kinsoku/>
        <w:wordWrap/>
        <w:overflowPunct/>
        <w:topLinePunct w:val="0"/>
        <w:autoSpaceDE/>
        <w:autoSpaceDN/>
        <w:bidi w:val="0"/>
        <w:adjustRightInd/>
        <w:snapToGrid/>
        <w:spacing w:line="460" w:lineRule="exact"/>
        <w:ind w:left="623" w:hanging="622" w:hangingChars="283"/>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6.1   现场交货：卖方负责办理运输和保险，将货物运抵买方指定的现场并落地就位。有关运输和保险的一切费用由卖方承担。所有货物运抵现场的日期为交货日期。</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6.2   在现场交货条件下，卖方在货物发运前15天，将要发运货物的名称、规格、数量、尺寸、重量和货物的卸车，贮存的特殊要求以及运输工具名称以及启运日期，以传真形式通知买方。</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6.3   如因卖方延误将上述内容用传真形式通知买方，由此引起的一切损失应由卖方承担。</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7.    付款方式</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7.1   </w:t>
      </w:r>
      <w:r>
        <w:rPr>
          <w:rFonts w:hint="eastAsia" w:ascii="新宋体" w:hAnsi="新宋体" w:eastAsia="新宋体" w:cs="新宋体"/>
          <w:b/>
          <w:bCs/>
          <w:color w:val="auto"/>
          <w:sz w:val="22"/>
          <w:szCs w:val="22"/>
          <w:highlight w:val="none"/>
          <w:lang w:val="en-US" w:eastAsia="zh-CN"/>
        </w:rPr>
        <w:t>合</w:t>
      </w:r>
      <w:r>
        <w:rPr>
          <w:rFonts w:hint="eastAsia" w:ascii="新宋体" w:hAnsi="新宋体" w:eastAsia="新宋体" w:cs="新宋体"/>
          <w:b/>
          <w:bCs/>
          <w:color w:val="auto"/>
          <w:sz w:val="22"/>
          <w:szCs w:val="22"/>
          <w:highlight w:val="none"/>
        </w:rPr>
        <w:t>同签订后，接到采购单位通知按批次供货，至采购单位验收合格后结算给成交供应商该次货款（卖方必须开具该批次金额100%的增值税专用发票）直至合同期限结束。</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8.    技术文件和资料</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b/>
          <w:bCs/>
          <w:color w:val="auto"/>
          <w:sz w:val="22"/>
          <w:szCs w:val="22"/>
          <w:highlight w:val="none"/>
        </w:rPr>
      </w:pPr>
      <w:r>
        <w:rPr>
          <w:rFonts w:hint="eastAsia" w:ascii="新宋体" w:hAnsi="新宋体" w:eastAsia="新宋体"/>
          <w:color w:val="auto"/>
          <w:sz w:val="22"/>
          <w:szCs w:val="22"/>
          <w:highlight w:val="none"/>
        </w:rPr>
        <w:t>8.1   提供技术文件和资料的种类和数量在本采购文件第六部分《招标内容及要求》中规定，买卖双方可根据采购要求和需要订立具体的技术文件和资料交付时间和数量。</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b/>
          <w:bCs/>
          <w:color w:val="auto"/>
          <w:sz w:val="22"/>
          <w:szCs w:val="22"/>
          <w:highlight w:val="none"/>
        </w:rPr>
      </w:pPr>
      <w:r>
        <w:rPr>
          <w:rFonts w:hint="eastAsia" w:ascii="新宋体" w:hAnsi="新宋体" w:eastAsia="新宋体"/>
          <w:color w:val="auto"/>
          <w:sz w:val="22"/>
          <w:szCs w:val="22"/>
          <w:highlight w:val="none"/>
        </w:rPr>
        <w:t>8.2   如果买方确认卖方提供的技术文件和资料不完整，或在运输途中丢失，卖方应在收到买方通知后3天内将这些文件、资料补齐。否则买方有权扣除</w:t>
      </w:r>
      <w:r>
        <w:rPr>
          <w:rFonts w:hint="eastAsia" w:ascii="新宋体" w:hAnsi="新宋体" w:eastAsia="新宋体"/>
          <w:color w:val="auto"/>
          <w:sz w:val="22"/>
          <w:szCs w:val="22"/>
          <w:highlight w:val="none"/>
          <w:lang w:val="en-US" w:eastAsia="zh-CN"/>
        </w:rPr>
        <w:t>1</w:t>
      </w:r>
      <w:r>
        <w:rPr>
          <w:rFonts w:hint="eastAsia" w:ascii="新宋体" w:hAnsi="新宋体" w:eastAsia="新宋体"/>
          <w:color w:val="auto"/>
          <w:sz w:val="22"/>
          <w:szCs w:val="22"/>
          <w:highlight w:val="none"/>
        </w:rPr>
        <w:t>%的履约保证金。</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9.    质量保证</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b/>
          <w:bCs/>
          <w:color w:val="auto"/>
          <w:sz w:val="22"/>
          <w:szCs w:val="22"/>
          <w:highlight w:val="none"/>
        </w:rPr>
      </w:pPr>
      <w:r>
        <w:rPr>
          <w:rFonts w:hint="eastAsia" w:ascii="新宋体" w:hAnsi="新宋体" w:eastAsia="新宋体"/>
          <w:color w:val="auto"/>
          <w:sz w:val="22"/>
          <w:szCs w:val="22"/>
          <w:highlight w:val="none"/>
        </w:rPr>
        <w:t>9.1   卖方所提供的货物应保证是企业原厂生产的家具而不是其他地方生产的、全新的、未使用过的，是用一流的工艺和最佳材料制造而成的，并完全符合合同规定的质量、规格和材质要求。卖方应保证所提供的货物经正确安装、正常使用和保养，在其使用寿命期内应具有使买方满意的性能，并且确保一次性通过各项检验和测试。在货物质量保证期内，卖方应对由于设计、工艺、材料和配套件的缺陷所产生的任何不足或故障负责。</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b/>
          <w:bCs/>
          <w:color w:val="auto"/>
          <w:sz w:val="22"/>
          <w:szCs w:val="22"/>
          <w:highlight w:val="none"/>
        </w:rPr>
      </w:pPr>
      <w:r>
        <w:rPr>
          <w:rFonts w:hint="eastAsia" w:ascii="新宋体" w:hAnsi="新宋体" w:eastAsia="新宋体"/>
          <w:color w:val="auto"/>
          <w:sz w:val="22"/>
          <w:szCs w:val="22"/>
          <w:highlight w:val="none"/>
        </w:rPr>
        <w:t>9.2   根据买方按检验标准检验的结果或当地质检部门检验的结果，或者在质量保证期内，如果货物的数量、质量或规格与合同不符，或证实货物是有缺陷的，包括潜在的缺陷或使用不符合要求的材料等，买方应尽快以书面形式通知卖方，提出索赔。卖方在收到通知后，应在规定期限内，用与投标时采用的零件、部件或材料来更换有缺陷的或不符合要求的零件、部件或材料，同时相应延长质量保证期。</w:t>
      </w:r>
    </w:p>
    <w:p>
      <w:pPr>
        <w:keepNext w:val="0"/>
        <w:keepLines w:val="0"/>
        <w:pageBreakBefore w:val="0"/>
        <w:widowControl w:val="0"/>
        <w:kinsoku/>
        <w:wordWrap/>
        <w:overflowPunct/>
        <w:topLinePunct w:val="0"/>
        <w:autoSpaceDE/>
        <w:autoSpaceDN/>
        <w:bidi w:val="0"/>
        <w:adjustRightInd/>
        <w:snapToGrid/>
        <w:spacing w:line="460" w:lineRule="exact"/>
        <w:ind w:left="663" w:hanging="663" w:hangingChars="300"/>
        <w:textAlignment w:val="auto"/>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9.3   货物质量保证期</w:t>
      </w:r>
    </w:p>
    <w:p>
      <w:pPr>
        <w:keepNext w:val="0"/>
        <w:keepLines w:val="0"/>
        <w:pageBreakBefore w:val="0"/>
        <w:widowControl w:val="0"/>
        <w:kinsoku/>
        <w:wordWrap/>
        <w:overflowPunct/>
        <w:topLinePunct w:val="0"/>
        <w:autoSpaceDE/>
        <w:autoSpaceDN/>
        <w:bidi w:val="0"/>
        <w:adjustRightInd/>
        <w:snapToGrid/>
        <w:spacing w:line="460" w:lineRule="exact"/>
        <w:ind w:left="663" w:hanging="663" w:hangingChars="300"/>
        <w:textAlignment w:val="auto"/>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 xml:space="preserve">      </w:t>
      </w:r>
      <w:r>
        <w:rPr>
          <w:rFonts w:hint="eastAsia" w:ascii="新宋体" w:hAnsi="新宋体" w:eastAsia="新宋体"/>
          <w:b/>
          <w:color w:val="auto"/>
          <w:sz w:val="22"/>
          <w:szCs w:val="22"/>
          <w:highlight w:val="none"/>
        </w:rPr>
        <w:t>本项目货物应提供自验收合格并交付使用后至少一年（12个月）的现场免费质保期终身维修（采购文件另行规定的除外），如厂商本身承诺的产品质保期高于此要求的则按照厂商承诺执行。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10.   卖方履约延误</w:t>
      </w:r>
    </w:p>
    <w:p>
      <w:pPr>
        <w:keepNext w:val="0"/>
        <w:keepLines w:val="0"/>
        <w:pageBreakBefore w:val="0"/>
        <w:widowControl w:val="0"/>
        <w:kinsoku/>
        <w:wordWrap/>
        <w:overflowPunct/>
        <w:topLinePunct w:val="0"/>
        <w:autoSpaceDE/>
        <w:autoSpaceDN/>
        <w:bidi w:val="0"/>
        <w:adjustRightInd/>
        <w:snapToGrid/>
        <w:spacing w:line="460" w:lineRule="exact"/>
        <w:ind w:left="440" w:hanging="440" w:hangingChars="200"/>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10.1  卖方应按照合同规定的时间交货和提供服务。</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10.2  在履行合同过程中，如果卖方遇到妨碍按时交货和提供服务的情况时，应及时以书面形式将延误的事实、可能拖延的时间和原因通知买方。买方在收到卖方通知后，应尽快对情况进行分析评价，并确定是否同意延长交货时间以及是否收取误期赔偿费。延期应通过修改合同的方式由双方认可。</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10.3  除了合同条款中不可抗力的情况外，除买方同意延误并不收赔偿费外，卖方延误交货或提供服务将按合同条款11条规定被收取误期赔偿费。</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10.4  所有提供的家具交货、安装及验收都应服从买方的统一安排。</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11.   误期赔偿费</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11.1  除不可抗力外，如果卖方没有按照合同规定的时间交货和提供服务，买方应在不影响合同项下的其他补救措施的情况下，从合同价款中扣除误期赔偿费。每延误一周的赔偿费按迟交货物交货价或未提供服务的服务费用的百分之零点五（0.5%</w:t>
      </w:r>
      <w:r>
        <w:rPr>
          <w:rFonts w:ascii="新宋体" w:hAnsi="新宋体" w:eastAsia="新宋体"/>
          <w:color w:val="auto"/>
          <w:sz w:val="22"/>
          <w:szCs w:val="22"/>
          <w:highlight w:val="none"/>
        </w:rPr>
        <w:t>）</w:t>
      </w:r>
      <w:r>
        <w:rPr>
          <w:rFonts w:hint="eastAsia" w:ascii="新宋体" w:hAnsi="新宋体" w:eastAsia="新宋体"/>
          <w:color w:val="auto"/>
          <w:sz w:val="22"/>
          <w:szCs w:val="22"/>
          <w:highlight w:val="none"/>
        </w:rPr>
        <w:t>计收，直至交货或提供服务为止。误期赔偿费最高限额为合同价的百分之五（5%）。一旦延到误期赔偿费的最高限额，买方可考虑终止合同。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12.   不可抗力</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12.1  如果双方中任何一方由于战争、严重火灾、水灾、破坏性台风和地震以及其它经双方同意属不可抗力的事故，致使合同履行受阻时，履行合同期限应予延长，延长时限应相当于事故所影响的时间，或双方协商解决。</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13.   税费</w:t>
      </w:r>
    </w:p>
    <w:p>
      <w:pPr>
        <w:keepNext w:val="0"/>
        <w:keepLines w:val="0"/>
        <w:pageBreakBefore w:val="0"/>
        <w:widowControl w:val="0"/>
        <w:kinsoku/>
        <w:wordWrap/>
        <w:overflowPunct/>
        <w:topLinePunct w:val="0"/>
        <w:autoSpaceDE/>
        <w:autoSpaceDN/>
        <w:bidi w:val="0"/>
        <w:adjustRightInd/>
        <w:snapToGrid/>
        <w:spacing w:line="460" w:lineRule="exact"/>
        <w:ind w:left="440" w:hanging="440" w:hangingChars="200"/>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13.1  根据国家现行税法对买方征收的与本合同有关的一切费用由买方承担。</w:t>
      </w:r>
    </w:p>
    <w:p>
      <w:pPr>
        <w:keepNext w:val="0"/>
        <w:keepLines w:val="0"/>
        <w:pageBreakBefore w:val="0"/>
        <w:widowControl w:val="0"/>
        <w:kinsoku/>
        <w:wordWrap/>
        <w:overflowPunct/>
        <w:topLinePunct w:val="0"/>
        <w:autoSpaceDE/>
        <w:autoSpaceDN/>
        <w:bidi w:val="0"/>
        <w:adjustRightInd/>
        <w:snapToGrid/>
        <w:spacing w:line="460" w:lineRule="exact"/>
        <w:ind w:left="484" w:hanging="484" w:hangingChars="220"/>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13.2  根据现行税法对卖方征收的与本合同有关的一切税费均由卖方承担。</w:t>
      </w:r>
    </w:p>
    <w:p>
      <w:pPr>
        <w:keepNext w:val="0"/>
        <w:keepLines w:val="0"/>
        <w:pageBreakBefore w:val="0"/>
        <w:widowControl w:val="0"/>
        <w:kinsoku/>
        <w:wordWrap/>
        <w:overflowPunct/>
        <w:topLinePunct w:val="0"/>
        <w:autoSpaceDE/>
        <w:autoSpaceDN/>
        <w:bidi w:val="0"/>
        <w:adjustRightInd/>
        <w:snapToGrid/>
        <w:spacing w:line="460" w:lineRule="exact"/>
        <w:ind w:left="440" w:hanging="440" w:hangingChars="200"/>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13.3  在中国境外发生的与本合同执行有关的一切税费由卖方承担。</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14.   违约终止合同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14.1  买方在卖方违约的情况下，如果发生下列情况之一，可考虑终止部分或全部合同：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 卖方未能在合同规定的期限内或买方同意延长的期限内提供全部或部分货物；</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w:t>
      </w:r>
      <w:r>
        <w:rPr>
          <w:rFonts w:hint="eastAsia" w:ascii="新宋体" w:hAnsi="新宋体" w:eastAsia="新宋体"/>
          <w:color w:val="auto"/>
          <w:spacing w:val="40"/>
          <w:sz w:val="22"/>
          <w:szCs w:val="22"/>
          <w:highlight w:val="none"/>
        </w:rPr>
        <w:t>）</w:t>
      </w:r>
      <w:r>
        <w:rPr>
          <w:rFonts w:hint="eastAsia" w:ascii="新宋体" w:hAnsi="新宋体" w:eastAsia="新宋体"/>
          <w:color w:val="auto"/>
          <w:sz w:val="22"/>
          <w:szCs w:val="22"/>
          <w:highlight w:val="none"/>
        </w:rPr>
        <w:t>卖方未能履行合同规定的任何其他义务。卖方在收到买方发出的违约通知后15天内，或经买方书面认可延长的时间内未能纠正其过失。买方可向卖方发出书面通知，终止部分或合同全部，通知到达卖方时合同即行解除。在这种情况下，并不影响买方向卖方提出的索赔。</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14.2  如果买方根据上述第14.1条的规定，终止了全部或部分合同，买方可以依其认为适当的条件和方法购买与未交货物类似的货物或服务，卖方应承担买方因购买类似货物或服务而产生的额外支出。但是，卖方应继续执行合同中未终止的部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15.   履约保证金的罚没</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15.1  如卖方未能履行合同规定的任何义务给买方造成直接或间接损失的，买方有权从直接从履约保证金中予以补偿。</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15.2  如果卖方毫无理由地拖延交货或拒绝履行合同规定的任何义务，买方有权没收全部履约保证金，并另行追索违约赔偿金。</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15.3  卖方提供的货物须和投标文件中所承诺的货物规格、数量、尺寸等相符（合同中另有规定除外）如不符，除追究卖方责任外，其履约保证金将被没收。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16.   双方责任</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16.1  买方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 按合同规定向卖方支付货款。</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 组织对货物的验收。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16.2  卖方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 按合同要求提供货物和服务。</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 对所提供的货物和服务质量问题无条件负责处理。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17.   争端的解决</w:t>
      </w:r>
    </w:p>
    <w:p>
      <w:pPr>
        <w:keepNext w:val="0"/>
        <w:keepLines w:val="0"/>
        <w:pageBreakBefore w:val="0"/>
        <w:kinsoku/>
        <w:wordWrap/>
        <w:overflowPunct/>
        <w:topLinePunct w:val="0"/>
        <w:bidi w:val="0"/>
        <w:spacing w:line="460" w:lineRule="exact"/>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 xml:space="preserve">17.1  </w:t>
      </w:r>
      <w:r>
        <w:rPr>
          <w:rFonts w:hint="eastAsia" w:ascii="宋体" w:hAnsi="宋体"/>
          <w:color w:val="auto"/>
          <w:sz w:val="22"/>
          <w:szCs w:val="22"/>
          <w:highlight w:val="none"/>
        </w:rPr>
        <w:t>有关本合同和签署本合同的争议应通过友好协商解决。如果协商不成，该争议应提交甲方所在地人民法院通过诉讼解决</w:t>
      </w:r>
      <w:r>
        <w:rPr>
          <w:rFonts w:hint="eastAsia" w:ascii="宋体" w:hAnsi="宋体"/>
          <w:color w:val="auto"/>
          <w:sz w:val="22"/>
          <w:szCs w:val="22"/>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18.   转让和分包及产品不可替代</w:t>
      </w:r>
    </w:p>
    <w:p>
      <w:pPr>
        <w:keepNext w:val="0"/>
        <w:keepLines w:val="0"/>
        <w:pageBreakBefore w:val="0"/>
        <w:widowControl w:val="0"/>
        <w:kinsoku/>
        <w:wordWrap/>
        <w:overflowPunct/>
        <w:topLinePunct w:val="0"/>
        <w:autoSpaceDE/>
        <w:autoSpaceDN/>
        <w:bidi w:val="0"/>
        <w:adjustRightInd/>
        <w:snapToGrid/>
        <w:spacing w:line="460" w:lineRule="exact"/>
        <w:ind w:left="715" w:hanging="715" w:hangingChars="325"/>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18.1  未经买方事先书面同意，卖方不得部分转让或全部转让和分包其履行合同的义务。</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18.2  产品不可替代，卖方在没有取得买方的书面授权的情况下，不得将合同货物的生产制造转交其他生产厂商或以其他厂商的产品替代。</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19.   适用法律</w:t>
      </w:r>
    </w:p>
    <w:p>
      <w:pPr>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本合同按照中华人民共和国的法律进行解释。</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20.   合同生效及其他</w:t>
      </w:r>
    </w:p>
    <w:p>
      <w:pPr>
        <w:keepNext w:val="0"/>
        <w:keepLines w:val="0"/>
        <w:pageBreakBefore w:val="0"/>
        <w:widowControl w:val="0"/>
        <w:kinsoku/>
        <w:wordWrap/>
        <w:overflowPunct/>
        <w:topLinePunct w:val="0"/>
        <w:autoSpaceDE/>
        <w:autoSpaceDN/>
        <w:bidi w:val="0"/>
        <w:adjustRightInd/>
        <w:snapToGrid/>
        <w:spacing w:line="460" w:lineRule="exact"/>
        <w:ind w:left="561" w:hanging="561" w:hangingChars="255"/>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20.1  合同应在双方签字盖章并在买方收到卖方提供的履约保证金后开始生效。</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20.2  本合同一式肆份，双方各执贰份，具有同等效力。</w:t>
      </w:r>
    </w:p>
    <w:p>
      <w:pPr>
        <w:keepNext w:val="0"/>
        <w:keepLines w:val="0"/>
        <w:pageBreakBefore w:val="0"/>
        <w:widowControl w:val="0"/>
        <w:kinsoku/>
        <w:wordWrap/>
        <w:overflowPunct/>
        <w:topLinePunct w:val="0"/>
        <w:autoSpaceDE/>
        <w:autoSpaceDN/>
        <w:bidi w:val="0"/>
        <w:adjustRightInd/>
        <w:snapToGrid/>
        <w:spacing w:line="460" w:lineRule="exact"/>
        <w:ind w:left="660" w:hanging="660" w:hangingChars="300"/>
        <w:textAlignment w:val="auto"/>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20.3  如需修改或补充合同内容，经协商，双方应签署书面修改或补充协议，该协议将作为本合同的一个组成部分。</w:t>
      </w:r>
    </w:p>
    <w:p>
      <w:pPr>
        <w:pStyle w:val="22"/>
        <w:keepNext w:val="0"/>
        <w:keepLines w:val="0"/>
        <w:pageBreakBefore w:val="0"/>
        <w:widowControl w:val="0"/>
        <w:kinsoku/>
        <w:wordWrap/>
        <w:overflowPunct/>
        <w:topLinePunct w:val="0"/>
        <w:autoSpaceDE/>
        <w:autoSpaceDN/>
        <w:bidi w:val="0"/>
        <w:adjustRightInd/>
        <w:snapToGrid/>
        <w:spacing w:after="0" w:line="460" w:lineRule="exact"/>
        <w:ind w:left="111" w:right="161" w:firstLine="576"/>
        <w:textAlignment w:val="auto"/>
        <w:rPr>
          <w:rFonts w:hint="eastAsia" w:ascii="新宋体" w:hAnsi="新宋体" w:eastAsia="新宋体" w:cs="新宋体"/>
          <w:bCs/>
          <w:color w:val="auto"/>
          <w:sz w:val="22"/>
          <w:szCs w:val="22"/>
          <w:highlight w:val="none"/>
        </w:rPr>
      </w:pPr>
    </w:p>
    <w:p>
      <w:pPr>
        <w:pStyle w:val="22"/>
        <w:keepNext w:val="0"/>
        <w:keepLines w:val="0"/>
        <w:pageBreakBefore w:val="0"/>
        <w:widowControl w:val="0"/>
        <w:kinsoku/>
        <w:wordWrap/>
        <w:overflowPunct/>
        <w:topLinePunct w:val="0"/>
        <w:autoSpaceDE/>
        <w:autoSpaceDN/>
        <w:bidi w:val="0"/>
        <w:adjustRightInd/>
        <w:snapToGrid/>
        <w:spacing w:after="0" w:line="460" w:lineRule="exact"/>
        <w:ind w:right="161"/>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以下无正文</w:t>
      </w:r>
    </w:p>
    <w:p>
      <w:pPr>
        <w:pStyle w:val="22"/>
        <w:keepNext w:val="0"/>
        <w:keepLines w:val="0"/>
        <w:pageBreakBefore w:val="0"/>
        <w:widowControl w:val="0"/>
        <w:kinsoku/>
        <w:wordWrap/>
        <w:overflowPunct/>
        <w:topLinePunct w:val="0"/>
        <w:autoSpaceDE/>
        <w:autoSpaceDN/>
        <w:bidi w:val="0"/>
        <w:adjustRightInd/>
        <w:snapToGrid/>
        <w:spacing w:after="0" w:line="460" w:lineRule="exact"/>
        <w:ind w:right="161"/>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甲方（盖章）：                                 乙方（盖章）：</w:t>
      </w:r>
    </w:p>
    <w:p>
      <w:pPr>
        <w:pStyle w:val="22"/>
        <w:keepNext w:val="0"/>
        <w:keepLines w:val="0"/>
        <w:pageBreakBefore w:val="0"/>
        <w:widowControl w:val="0"/>
        <w:kinsoku/>
        <w:wordWrap/>
        <w:overflowPunct/>
        <w:topLinePunct w:val="0"/>
        <w:autoSpaceDE/>
        <w:autoSpaceDN/>
        <w:bidi w:val="0"/>
        <w:adjustRightInd/>
        <w:snapToGrid/>
        <w:spacing w:after="0" w:line="460" w:lineRule="exact"/>
        <w:ind w:right="161"/>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地址：                                         地址：</w:t>
      </w:r>
    </w:p>
    <w:p>
      <w:pPr>
        <w:pStyle w:val="22"/>
        <w:keepNext w:val="0"/>
        <w:keepLines w:val="0"/>
        <w:pageBreakBefore w:val="0"/>
        <w:widowControl w:val="0"/>
        <w:kinsoku/>
        <w:wordWrap/>
        <w:overflowPunct/>
        <w:topLinePunct w:val="0"/>
        <w:autoSpaceDE/>
        <w:autoSpaceDN/>
        <w:bidi w:val="0"/>
        <w:adjustRightInd/>
        <w:snapToGrid/>
        <w:spacing w:after="0" w:line="460" w:lineRule="exact"/>
        <w:ind w:right="161"/>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法定（授权）代表人：                           法定（授权）代表人：</w:t>
      </w:r>
    </w:p>
    <w:p>
      <w:pPr>
        <w:pStyle w:val="25"/>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新宋体" w:hAnsi="新宋体" w:eastAsia="新宋体" w:cs="新宋体"/>
          <w:b/>
          <w:color w:val="auto"/>
          <w:sz w:val="44"/>
          <w:szCs w:val="44"/>
          <w:highlight w:val="none"/>
        </w:rPr>
      </w:pPr>
      <w:r>
        <w:rPr>
          <w:rFonts w:hint="eastAsia" w:ascii="新宋体" w:hAnsi="新宋体" w:eastAsia="新宋体" w:cs="新宋体"/>
          <w:b w:val="0"/>
          <w:bCs w:val="0"/>
          <w:color w:val="auto"/>
          <w:sz w:val="22"/>
          <w:szCs w:val="22"/>
          <w:highlight w:val="none"/>
        </w:rPr>
        <w:t>签字日期：年   月   日                         签字日期：年   月    日</w:t>
      </w:r>
      <w:r>
        <w:rPr>
          <w:rFonts w:hint="eastAsia" w:ascii="新宋体" w:hAnsi="新宋体" w:eastAsia="新宋体" w:cs="新宋体"/>
          <w:b/>
          <w:color w:val="auto"/>
          <w:kern w:val="2"/>
          <w:sz w:val="22"/>
          <w:szCs w:val="22"/>
          <w:highlight w:val="none"/>
          <w:lang w:val="en-US" w:eastAsia="zh-CN" w:bidi="ar-SA"/>
        </w:rPr>
        <w:br w:type="page"/>
      </w:r>
    </w:p>
    <w:p>
      <w:pPr>
        <w:spacing w:line="360" w:lineRule="auto"/>
        <w:rPr>
          <w:rFonts w:hint="eastAsia" w:ascii="宋体" w:hAnsi="宋体" w:eastAsia="宋体" w:cs="宋体"/>
          <w:b/>
          <w:color w:val="auto"/>
          <w:sz w:val="30"/>
          <w:highlight w:val="none"/>
        </w:rPr>
      </w:pPr>
    </w:p>
    <w:p>
      <w:pPr>
        <w:pStyle w:val="4"/>
        <w:bidi w:val="0"/>
        <w:rPr>
          <w:rFonts w:hint="eastAsia" w:ascii="宋体" w:hAnsi="宋体" w:eastAsia="宋体" w:cs="宋体"/>
          <w:color w:val="auto"/>
          <w:highlight w:val="none"/>
        </w:rPr>
      </w:pPr>
      <w:bookmarkStart w:id="26" w:name="_Toc18439"/>
      <w:bookmarkStart w:id="27" w:name="_Toc19081"/>
      <w:r>
        <w:rPr>
          <w:rFonts w:hint="eastAsia" w:ascii="宋体" w:hAnsi="宋体" w:eastAsia="宋体" w:cs="宋体"/>
          <w:color w:val="auto"/>
          <w:highlight w:val="none"/>
        </w:rPr>
        <w:t>第三部分    附件</w:t>
      </w:r>
      <w:bookmarkEnd w:id="26"/>
      <w:bookmarkEnd w:id="27"/>
    </w:p>
    <w:p>
      <w:pPr>
        <w:pStyle w:val="25"/>
        <w:spacing w:line="460" w:lineRule="exact"/>
        <w:ind w:left="433" w:hanging="433" w:hangingChars="196"/>
        <w:outlineLvl w:val="1"/>
        <w:rPr>
          <w:rFonts w:hint="eastAsia" w:ascii="宋体" w:hAnsi="宋体" w:eastAsia="宋体" w:cs="宋体"/>
          <w:b/>
          <w:color w:val="auto"/>
          <w:sz w:val="22"/>
          <w:highlight w:val="none"/>
        </w:rPr>
      </w:pPr>
      <w:bookmarkStart w:id="28" w:name="_Toc6368"/>
      <w:bookmarkStart w:id="29" w:name="_Toc7056"/>
      <w:r>
        <w:rPr>
          <w:rFonts w:hint="eastAsia" w:ascii="宋体" w:hAnsi="宋体" w:eastAsia="宋体" w:cs="宋体"/>
          <w:b/>
          <w:color w:val="auto"/>
          <w:sz w:val="22"/>
          <w:highlight w:val="none"/>
        </w:rPr>
        <w:t>附件一</w:t>
      </w:r>
      <w:bookmarkEnd w:id="28"/>
      <w:bookmarkEnd w:id="29"/>
    </w:p>
    <w:p>
      <w:pPr>
        <w:spacing w:line="400" w:lineRule="exact"/>
        <w:jc w:val="center"/>
        <w:outlineLvl w:val="2"/>
        <w:rPr>
          <w:rFonts w:hint="eastAsia" w:ascii="宋体" w:hAnsi="宋体" w:eastAsia="宋体" w:cs="宋体"/>
          <w:b/>
          <w:bCs/>
          <w:color w:val="auto"/>
          <w:sz w:val="28"/>
          <w:szCs w:val="28"/>
          <w:highlight w:val="none"/>
        </w:rPr>
      </w:pPr>
      <w:bookmarkStart w:id="30" w:name="_Toc5430"/>
      <w:bookmarkStart w:id="31" w:name="_Toc13365"/>
      <w:r>
        <w:rPr>
          <w:rFonts w:hint="eastAsia" w:ascii="宋体" w:hAnsi="宋体" w:eastAsia="宋体" w:cs="宋体"/>
          <w:b/>
          <w:bCs/>
          <w:color w:val="auto"/>
          <w:sz w:val="28"/>
          <w:szCs w:val="28"/>
          <w:highlight w:val="none"/>
        </w:rPr>
        <w:t>报价文件</w:t>
      </w:r>
      <w:bookmarkEnd w:id="30"/>
      <w:bookmarkEnd w:id="31"/>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lang w:val="zh-CN"/>
        </w:rPr>
        <w:t>投标函</w:t>
      </w:r>
    </w:p>
    <w:p>
      <w:pPr>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致：</w:t>
      </w:r>
      <w:r>
        <w:rPr>
          <w:rFonts w:hint="eastAsia" w:ascii="宋体" w:hAnsi="宋体" w:cs="宋体"/>
          <w:color w:val="auto"/>
          <w:sz w:val="22"/>
          <w:szCs w:val="22"/>
          <w:highlight w:val="none"/>
          <w:lang w:eastAsia="zh-CN"/>
        </w:rPr>
        <w:t>温州市中医院</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项目（招标编号：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（投标人名称）作为投标人正式授权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（授权代表全名，职务）代表我方处理有关本投标的一切事宜。为此：</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1、我方同意在投标人</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规定的开标日期起遵守本投标书中的承诺且在投标有效期满之前均具有约束力。</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2、我方承诺已经具备《中华人民共和国政府采购法》中规定的参加政府采购活动的供应商应当具备的条件：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(1)具有独立承担民事责任的能力；</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(2)遵守国家法律、行政法规，具有良好的信誉和商业道德；</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(3)具有履行合同的能力和良好的履行合同记录；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(4)良好的资金、财务状况；</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(5)提供的产品和服务符合中国政府规定的相应标准和环保标准；</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(6)没有违反政府采购法规、政策的记录；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(7)没有发生重大经济纠纷和走私犯罪记录。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3、提供</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规定的全部投标文件，包括资格文件、报价文件、商务技术文件。具体内容为：</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(1)资格文件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(2)报价文件；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商务</w:t>
      </w:r>
      <w:r>
        <w:rPr>
          <w:rFonts w:hint="eastAsia" w:ascii="宋体" w:hAnsi="宋体" w:eastAsia="宋体" w:cs="宋体"/>
          <w:color w:val="auto"/>
          <w:kern w:val="0"/>
          <w:sz w:val="22"/>
          <w:szCs w:val="22"/>
          <w:highlight w:val="none"/>
          <w:lang w:val="zh-CN"/>
        </w:rPr>
        <w:t>技术文件</w:t>
      </w:r>
      <w:r>
        <w:rPr>
          <w:rFonts w:hint="eastAsia" w:ascii="宋体" w:hAnsi="宋体" w:eastAsia="宋体" w:cs="宋体"/>
          <w:color w:val="auto"/>
          <w:sz w:val="22"/>
          <w:szCs w:val="22"/>
          <w:highlight w:val="none"/>
        </w:rPr>
        <w:t>；</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要求投标人提交的全部文件；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(5)按招标文件要求提供和交付的货物和服务的投标报价详见开标一览表；</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(6)保证忠实地执行双方所签订的合同，并承担合同规定的责任和义务；</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(7)保证遵守招标文件中的其他有关规定。</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4、投标有效期内不撤销投标文件，如中标，有效期将延至合同终止日为止。</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5、我方完全理解贵方不一定要接受最低价的投标。</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7、如中标，按招标文件规定的招标代理服务费标准，在领取中标通知书时向招标代理机构支付招标代理服务费。</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(1)提供虚假材料谋取中标、成交的；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(2)采取不正当手段诋毁、排挤其他供应商的；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(3)与招标人、其它供应商或者招标代理机构恶意串通的；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(4)向招标人、招标代理机构行贿或者提供其他不正当利益的；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(5)在招标采购过程中与招标人进行协商谈判的；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(6)拒绝有关部门监督检查或提供虚假情况的。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供应商有前款第(1)至(5)项情形之一的，中标、成交无效。</w:t>
      </w:r>
    </w:p>
    <w:p>
      <w:pPr>
        <w:shd w:val="clear" w:color="auto" w:fill="FFFFFF"/>
        <w:snapToGrid w:val="0"/>
        <w:spacing w:line="360" w:lineRule="auto"/>
        <w:rPr>
          <w:rFonts w:hint="eastAsia" w:ascii="宋体" w:hAnsi="宋体" w:eastAsia="宋体" w:cs="宋体"/>
          <w:color w:val="auto"/>
          <w:kern w:val="0"/>
          <w:sz w:val="22"/>
          <w:szCs w:val="22"/>
          <w:highlight w:val="none"/>
          <w:lang w:val="zh-CN"/>
        </w:rPr>
      </w:pP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法定（授权）代表人（签字）：</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lang w:val="zh-CN"/>
        </w:rPr>
      </w:pPr>
      <w:r>
        <w:rPr>
          <w:rFonts w:hint="eastAsia" w:ascii="宋体" w:hAnsi="宋体" w:eastAsia="宋体" w:cs="宋体"/>
          <w:color w:val="auto"/>
          <w:kern w:val="0"/>
          <w:sz w:val="22"/>
          <w:szCs w:val="22"/>
          <w:highlight w:val="none"/>
          <w:lang w:val="zh-CN"/>
        </w:rPr>
        <w:t>投标人盖 章：</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 xml:space="preserve">联系电话：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传真：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电子邮件：  </w:t>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联系地址：</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邮政编码：</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传真号码：</w:t>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lang w:val="zh-CN"/>
        </w:rPr>
        <w:t>日</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期</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val="zh-CN"/>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rPr>
        <w:tab/>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日</w:t>
      </w:r>
    </w:p>
    <w:p>
      <w:pPr>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zh-CN"/>
        </w:rPr>
        <w:t>注：未按照本投标响应函要求填报的将被视为非实质性响应，从而可能导致该投标文件被拒绝。</w:t>
      </w:r>
    </w:p>
    <w:p>
      <w:pPr>
        <w:pStyle w:val="25"/>
        <w:ind w:left="442" w:hanging="442"/>
        <w:rPr>
          <w:rFonts w:hint="eastAsia" w:ascii="宋体" w:hAnsi="宋体" w:eastAsia="宋体" w:cs="宋体"/>
          <w:b/>
          <w:bCs/>
          <w:color w:val="auto"/>
          <w:sz w:val="22"/>
          <w:szCs w:val="22"/>
          <w:highlight w:val="none"/>
        </w:rPr>
      </w:pPr>
    </w:p>
    <w:p>
      <w:pPr>
        <w:pStyle w:val="25"/>
        <w:ind w:left="442" w:hanging="442"/>
        <w:rPr>
          <w:rFonts w:hint="eastAsia" w:ascii="宋体" w:hAnsi="宋体" w:eastAsia="宋体" w:cs="宋体"/>
          <w:b/>
          <w:bCs/>
          <w:color w:val="auto"/>
          <w:sz w:val="22"/>
          <w:szCs w:val="22"/>
          <w:highlight w:val="none"/>
        </w:rPr>
      </w:pPr>
    </w:p>
    <w:p>
      <w:pPr>
        <w:pStyle w:val="25"/>
        <w:ind w:left="442" w:hanging="442"/>
        <w:rPr>
          <w:rFonts w:hint="eastAsia" w:ascii="宋体" w:hAnsi="宋体" w:eastAsia="宋体" w:cs="宋体"/>
          <w:b/>
          <w:bCs/>
          <w:color w:val="auto"/>
          <w:sz w:val="22"/>
          <w:szCs w:val="22"/>
          <w:highlight w:val="none"/>
        </w:rPr>
      </w:pPr>
    </w:p>
    <w:p>
      <w:pPr>
        <w:pStyle w:val="25"/>
        <w:ind w:left="442" w:hanging="442"/>
        <w:rPr>
          <w:rFonts w:hint="eastAsia" w:ascii="宋体" w:hAnsi="宋体" w:eastAsia="宋体" w:cs="宋体"/>
          <w:b/>
          <w:bCs/>
          <w:color w:val="auto"/>
          <w:sz w:val="22"/>
          <w:szCs w:val="22"/>
          <w:highlight w:val="none"/>
        </w:rPr>
      </w:pPr>
    </w:p>
    <w:p>
      <w:pPr>
        <w:pStyle w:val="25"/>
        <w:ind w:left="442" w:hanging="442"/>
        <w:rPr>
          <w:rFonts w:hint="eastAsia" w:ascii="宋体" w:hAnsi="宋体" w:eastAsia="宋体" w:cs="宋体"/>
          <w:b/>
          <w:bCs/>
          <w:color w:val="auto"/>
          <w:sz w:val="22"/>
          <w:szCs w:val="22"/>
          <w:highlight w:val="none"/>
        </w:rPr>
      </w:pPr>
    </w:p>
    <w:p>
      <w:pPr>
        <w:pStyle w:val="25"/>
        <w:ind w:left="442" w:hanging="442"/>
        <w:rPr>
          <w:rFonts w:hint="eastAsia" w:ascii="宋体" w:hAnsi="宋体" w:eastAsia="宋体" w:cs="宋体"/>
          <w:b/>
          <w:bCs/>
          <w:color w:val="auto"/>
          <w:sz w:val="22"/>
          <w:szCs w:val="22"/>
          <w:highlight w:val="none"/>
        </w:rPr>
      </w:pPr>
    </w:p>
    <w:p>
      <w:pPr>
        <w:pStyle w:val="25"/>
        <w:ind w:left="442" w:hanging="442"/>
        <w:rPr>
          <w:rFonts w:hint="eastAsia" w:ascii="宋体" w:hAnsi="宋体" w:eastAsia="宋体" w:cs="宋体"/>
          <w:b/>
          <w:bCs/>
          <w:color w:val="auto"/>
          <w:sz w:val="22"/>
          <w:szCs w:val="22"/>
          <w:highlight w:val="none"/>
        </w:rPr>
      </w:pPr>
    </w:p>
    <w:p>
      <w:pPr>
        <w:pStyle w:val="25"/>
        <w:ind w:left="442" w:hanging="442"/>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pPr>
        <w:pStyle w:val="25"/>
        <w:ind w:left="0" w:firstLine="0" w:firstLineChars="0"/>
        <w:rPr>
          <w:rFonts w:hint="eastAsia" w:ascii="宋体" w:hAnsi="宋体" w:eastAsia="宋体" w:cs="宋体"/>
          <w:b/>
          <w:bCs/>
          <w:color w:val="auto"/>
          <w:sz w:val="22"/>
          <w:szCs w:val="22"/>
          <w:highlight w:val="none"/>
        </w:rPr>
      </w:pPr>
    </w:p>
    <w:p>
      <w:pPr>
        <w:pStyle w:val="25"/>
        <w:ind w:left="0" w:firstLine="0" w:firstLineChars="0"/>
        <w:rPr>
          <w:rFonts w:hint="eastAsia" w:ascii="宋体" w:hAnsi="宋体" w:eastAsia="宋体" w:cs="宋体"/>
          <w:b/>
          <w:bCs/>
          <w:color w:val="auto"/>
          <w:sz w:val="22"/>
          <w:szCs w:val="22"/>
          <w:highlight w:val="none"/>
        </w:rPr>
      </w:pPr>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lang w:val="zh-CN"/>
        </w:rPr>
        <w:t>投标报价一览表</w:t>
      </w:r>
    </w:p>
    <w:p>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pPr>
        <w:spacing w:line="380" w:lineRule="exact"/>
        <w:rPr>
          <w:rFonts w:hint="eastAsia" w:ascii="宋体" w:hAnsi="宋体" w:eastAsia="宋体" w:cs="宋体"/>
          <w:b/>
          <w:color w:val="auto"/>
          <w:sz w:val="22"/>
          <w:highlight w:val="none"/>
        </w:rPr>
      </w:pPr>
      <w:r>
        <w:rPr>
          <w:rFonts w:hint="eastAsia" w:ascii="宋体" w:hAnsi="宋体" w:eastAsia="宋体" w:cs="宋体"/>
          <w:b/>
          <w:bCs/>
          <w:color w:val="auto"/>
          <w:sz w:val="22"/>
          <w:szCs w:val="22"/>
          <w:highlight w:val="none"/>
        </w:rPr>
        <w:t>项目名称：                                         项目编号：</w:t>
      </w:r>
    </w:p>
    <w:tbl>
      <w:tblPr>
        <w:tblStyle w:val="53"/>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2304"/>
        <w:gridCol w:w="4734"/>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5"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2304"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bCs/>
                <w:color w:val="auto"/>
                <w:sz w:val="22"/>
                <w:szCs w:val="22"/>
                <w:highlight w:val="none"/>
              </w:rPr>
              <w:t>项目名称</w:t>
            </w:r>
          </w:p>
        </w:tc>
        <w:tc>
          <w:tcPr>
            <w:tcW w:w="4734"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bCs/>
                <w:color w:val="auto"/>
                <w:sz w:val="22"/>
                <w:szCs w:val="22"/>
                <w:highlight w:val="none"/>
              </w:rPr>
              <w:t>报价</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人民币元</w:t>
            </w:r>
            <w:r>
              <w:rPr>
                <w:rFonts w:hint="eastAsia" w:ascii="宋体" w:hAnsi="宋体" w:eastAsia="宋体" w:cs="宋体"/>
                <w:bCs/>
                <w:color w:val="auto"/>
                <w:sz w:val="22"/>
                <w:szCs w:val="22"/>
                <w:highlight w:val="none"/>
                <w:lang w:eastAsia="zh-CN"/>
              </w:rPr>
              <w:t>）</w:t>
            </w:r>
          </w:p>
        </w:tc>
        <w:tc>
          <w:tcPr>
            <w:tcW w:w="1547" w:type="dxa"/>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auto"/>
                <w:sz w:val="22"/>
                <w:highlight w:val="none"/>
                <w:lang w:eastAsia="zh-CN"/>
              </w:rPr>
            </w:pPr>
            <w:r>
              <w:rPr>
                <w:rFonts w:hint="eastAsia" w:ascii="宋体" w:hAnsi="宋体" w:eastAsia="宋体" w:cs="宋体"/>
                <w:b w:val="0"/>
                <w:bCs/>
                <w:color w:val="auto"/>
                <w:sz w:val="22"/>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05" w:type="dxa"/>
            <w:vMerge w:val="restart"/>
            <w:vAlign w:val="center"/>
          </w:tcPr>
          <w:p>
            <w:pPr>
              <w:spacing w:line="380" w:lineRule="exact"/>
              <w:jc w:val="center"/>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1</w:t>
            </w:r>
          </w:p>
        </w:tc>
        <w:tc>
          <w:tcPr>
            <w:tcW w:w="2304" w:type="dxa"/>
            <w:vMerge w:val="restart"/>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auto"/>
                <w:sz w:val="22"/>
                <w:highlight w:val="none"/>
              </w:rPr>
            </w:pPr>
          </w:p>
        </w:tc>
        <w:tc>
          <w:tcPr>
            <w:tcW w:w="4734" w:type="dxa"/>
            <w:vAlign w:val="center"/>
          </w:tcPr>
          <w:p>
            <w:pPr>
              <w:pStyle w:val="7"/>
              <w:jc w:val="both"/>
              <w:rPr>
                <w:rFonts w:hint="eastAsia"/>
                <w:color w:val="auto"/>
                <w:highlight w:val="none"/>
              </w:rPr>
            </w:pPr>
            <w:r>
              <w:rPr>
                <w:rFonts w:hint="eastAsia" w:ascii="宋体" w:hAnsi="宋体" w:eastAsia="宋体" w:cs="宋体"/>
                <w:color w:val="auto"/>
                <w:sz w:val="22"/>
                <w:highlight w:val="none"/>
              </w:rPr>
              <w:t>大写：</w:t>
            </w:r>
          </w:p>
        </w:tc>
        <w:tc>
          <w:tcPr>
            <w:tcW w:w="1547" w:type="dxa"/>
            <w:vMerge w:val="restart"/>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05" w:type="dxa"/>
            <w:vMerge w:val="continue"/>
            <w:vAlign w:val="center"/>
          </w:tcPr>
          <w:p>
            <w:pPr>
              <w:spacing w:line="380" w:lineRule="exact"/>
              <w:jc w:val="center"/>
              <w:rPr>
                <w:rFonts w:hint="eastAsia" w:ascii="宋体" w:hAnsi="宋体" w:cs="宋体"/>
                <w:color w:val="auto"/>
                <w:sz w:val="22"/>
                <w:highlight w:val="none"/>
                <w:lang w:val="en-US" w:eastAsia="zh-CN"/>
              </w:rPr>
            </w:pPr>
          </w:p>
        </w:tc>
        <w:tc>
          <w:tcPr>
            <w:tcW w:w="2304" w:type="dxa"/>
            <w:vMerge w:val="continue"/>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auto"/>
                <w:sz w:val="22"/>
                <w:highlight w:val="none"/>
              </w:rPr>
            </w:pPr>
          </w:p>
        </w:tc>
        <w:tc>
          <w:tcPr>
            <w:tcW w:w="4734" w:type="dxa"/>
            <w:vAlign w:val="center"/>
          </w:tcPr>
          <w:p>
            <w:pPr>
              <w:pStyle w:val="7"/>
              <w:jc w:val="both"/>
              <w:rPr>
                <w:rFonts w:hint="eastAsia" w:ascii="宋体" w:hAnsi="宋体" w:eastAsia="宋体" w:cs="宋体"/>
                <w:bCs/>
                <w:color w:val="auto"/>
                <w:sz w:val="22"/>
                <w:szCs w:val="22"/>
                <w:highlight w:val="none"/>
                <w:lang w:val="en-US" w:eastAsia="zh-CN"/>
              </w:rPr>
            </w:pPr>
            <w:r>
              <w:rPr>
                <w:rFonts w:hint="eastAsia" w:ascii="宋体" w:hAnsi="宋体" w:eastAsia="宋体" w:cs="宋体"/>
                <w:color w:val="auto"/>
                <w:sz w:val="22"/>
                <w:highlight w:val="none"/>
              </w:rPr>
              <w:t>小写：</w:t>
            </w:r>
          </w:p>
        </w:tc>
        <w:tc>
          <w:tcPr>
            <w:tcW w:w="1547" w:type="dxa"/>
            <w:vMerge w:val="continue"/>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auto"/>
                <w:sz w:val="22"/>
                <w:highlight w:val="none"/>
              </w:rPr>
            </w:pPr>
          </w:p>
        </w:tc>
      </w:tr>
    </w:tbl>
    <w:p>
      <w:pPr>
        <w:spacing w:line="400" w:lineRule="exact"/>
        <w:rPr>
          <w:rFonts w:hint="eastAsia" w:ascii="宋体" w:hAnsi="宋体" w:eastAsia="宋体" w:cs="宋体"/>
          <w:b/>
          <w:color w:val="auto"/>
          <w:sz w:val="22"/>
          <w:highlight w:val="none"/>
        </w:rPr>
      </w:pPr>
    </w:p>
    <w:p>
      <w:pPr>
        <w:spacing w:line="400" w:lineRule="exac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说明：不提供此表格将被视为没有实质性响应招标文件</w:t>
      </w:r>
    </w:p>
    <w:p>
      <w:pPr>
        <w:spacing w:line="400" w:lineRule="exact"/>
        <w:jc w:val="center"/>
        <w:rPr>
          <w:rFonts w:hint="eastAsia" w:ascii="宋体" w:hAnsi="宋体" w:eastAsia="宋体" w:cs="宋体"/>
          <w:color w:val="auto"/>
          <w:sz w:val="22"/>
          <w:szCs w:val="22"/>
          <w:highlight w:val="none"/>
        </w:rPr>
      </w:pP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00" w:lineRule="exact"/>
        <w:ind w:firstLine="3740" w:firstLineChars="17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rPr>
          <w:rFonts w:hint="eastAsia" w:ascii="宋体" w:hAnsi="宋体" w:eastAsia="宋体" w:cs="宋体"/>
          <w:b/>
          <w:bCs/>
          <w:color w:val="auto"/>
          <w:sz w:val="28"/>
          <w:szCs w:val="28"/>
          <w:highlight w:val="none"/>
        </w:rPr>
      </w:pPr>
      <w:r>
        <w:rPr>
          <w:rFonts w:hint="eastAsia" w:ascii="宋体" w:hAnsi="宋体" w:eastAsia="宋体" w:cs="宋体"/>
          <w:b/>
          <w:color w:val="auto"/>
          <w:sz w:val="22"/>
          <w:szCs w:val="22"/>
          <w:highlight w:val="none"/>
          <w:lang w:val="zh-CN"/>
        </w:rPr>
        <w:br w:type="page"/>
      </w:r>
    </w:p>
    <w:p>
      <w:pPr>
        <w:spacing w:line="400" w:lineRule="exact"/>
        <w:jc w:val="center"/>
        <w:outlineLvl w:val="3"/>
        <w:rPr>
          <w:rStyle w:val="346"/>
          <w:rFonts w:ascii="新宋体" w:hAnsi="新宋体" w:eastAsia="新宋体"/>
          <w:b/>
          <w:bCs/>
          <w:color w:val="auto"/>
          <w:sz w:val="28"/>
          <w:szCs w:val="28"/>
          <w:highlight w:val="none"/>
        </w:rPr>
      </w:pPr>
      <w:r>
        <w:rPr>
          <w:rStyle w:val="346"/>
          <w:rFonts w:hint="eastAsia" w:ascii="新宋体" w:hAnsi="新宋体" w:eastAsia="新宋体"/>
          <w:b/>
          <w:bCs/>
          <w:color w:val="auto"/>
          <w:sz w:val="28"/>
          <w:szCs w:val="28"/>
          <w:highlight w:val="none"/>
          <w:lang w:val="en-US"/>
        </w:rPr>
        <w:t>3</w:t>
      </w:r>
      <w:r>
        <w:rPr>
          <w:rStyle w:val="346"/>
          <w:rFonts w:hint="eastAsia" w:ascii="新宋体" w:hAnsi="新宋体" w:eastAsia="新宋体"/>
          <w:b/>
          <w:bCs/>
          <w:color w:val="auto"/>
          <w:sz w:val="28"/>
          <w:szCs w:val="28"/>
          <w:highlight w:val="none"/>
        </w:rPr>
        <w:t>、</w:t>
      </w:r>
      <w:r>
        <w:rPr>
          <w:rStyle w:val="346"/>
          <w:rFonts w:ascii="新宋体" w:hAnsi="新宋体" w:eastAsia="新宋体"/>
          <w:b/>
          <w:bCs/>
          <w:color w:val="auto"/>
          <w:sz w:val="28"/>
          <w:szCs w:val="28"/>
          <w:highlight w:val="none"/>
        </w:rPr>
        <w:t>投标分项报价表</w:t>
      </w:r>
    </w:p>
    <w:p>
      <w:pPr>
        <w:spacing w:line="400" w:lineRule="exact"/>
        <w:jc w:val="center"/>
        <w:rPr>
          <w:rStyle w:val="346"/>
          <w:rFonts w:ascii="新宋体" w:hAnsi="新宋体" w:eastAsia="新宋体"/>
          <w:b/>
          <w:bCs/>
          <w:color w:val="auto"/>
          <w:sz w:val="28"/>
          <w:szCs w:val="28"/>
          <w:highlight w:val="none"/>
        </w:rPr>
      </w:pPr>
    </w:p>
    <w:p>
      <w:pPr>
        <w:spacing w:line="380" w:lineRule="exact"/>
        <w:rPr>
          <w:rStyle w:val="346"/>
          <w:rFonts w:ascii="新宋体" w:hAnsi="新宋体" w:eastAsia="新宋体"/>
          <w:b/>
          <w:bCs/>
          <w:color w:val="auto"/>
          <w:sz w:val="22"/>
          <w:szCs w:val="22"/>
          <w:highlight w:val="none"/>
        </w:rPr>
      </w:pPr>
      <w:r>
        <w:rPr>
          <w:rStyle w:val="346"/>
          <w:rFonts w:ascii="新宋体" w:hAnsi="新宋体" w:eastAsia="新宋体"/>
          <w:b/>
          <w:bCs/>
          <w:color w:val="auto"/>
          <w:sz w:val="22"/>
          <w:szCs w:val="22"/>
          <w:highlight w:val="none"/>
        </w:rPr>
        <w:t xml:space="preserve">项目名称： </w:t>
      </w:r>
      <w:r>
        <w:rPr>
          <w:rStyle w:val="346"/>
          <w:rFonts w:ascii="新宋体" w:hAnsi="新宋体" w:eastAsia="新宋体"/>
          <w:color w:val="auto"/>
          <w:sz w:val="22"/>
          <w:szCs w:val="22"/>
          <w:highlight w:val="none"/>
        </w:rPr>
        <w:t xml:space="preserve">                                         </w:t>
      </w:r>
      <w:r>
        <w:rPr>
          <w:rStyle w:val="346"/>
          <w:rFonts w:hint="eastAsia" w:ascii="新宋体" w:hAnsi="新宋体" w:eastAsia="新宋体"/>
          <w:color w:val="auto"/>
          <w:sz w:val="22"/>
          <w:szCs w:val="22"/>
          <w:highlight w:val="none"/>
        </w:rPr>
        <w:t xml:space="preserve">       </w:t>
      </w:r>
      <w:r>
        <w:rPr>
          <w:rStyle w:val="346"/>
          <w:rFonts w:ascii="新宋体" w:hAnsi="新宋体" w:eastAsia="新宋体"/>
          <w:b/>
          <w:bCs/>
          <w:color w:val="auto"/>
          <w:sz w:val="22"/>
          <w:szCs w:val="22"/>
          <w:highlight w:val="none"/>
        </w:rPr>
        <w:t xml:space="preserve"> 项目编号：</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225"/>
        <w:gridCol w:w="2227"/>
        <w:gridCol w:w="1493"/>
        <w:gridCol w:w="1050"/>
        <w:gridCol w:w="110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62"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p>
            <w:pPr>
              <w:spacing w:line="460" w:lineRule="exact"/>
              <w:jc w:val="center"/>
              <w:rPr>
                <w:rFonts w:hint="eastAsia" w:ascii="新宋体" w:hAnsi="新宋体" w:eastAsia="新宋体" w:cs="新宋体"/>
                <w:color w:val="auto"/>
                <w:sz w:val="22"/>
                <w:szCs w:val="22"/>
                <w:highlight w:val="none"/>
              </w:rPr>
            </w:pPr>
          </w:p>
        </w:tc>
        <w:tc>
          <w:tcPr>
            <w:tcW w:w="2225"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项目内容</w:t>
            </w:r>
          </w:p>
        </w:tc>
        <w:tc>
          <w:tcPr>
            <w:tcW w:w="2227" w:type="dxa"/>
            <w:noWrap w:val="0"/>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olor w:val="auto"/>
                <w:sz w:val="22"/>
                <w:szCs w:val="22"/>
                <w:highlight w:val="none"/>
              </w:rPr>
              <w:t>规格及技术参数</w:t>
            </w:r>
          </w:p>
        </w:tc>
        <w:tc>
          <w:tcPr>
            <w:tcW w:w="1493"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050"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单价 </w:t>
            </w:r>
          </w:p>
        </w:tc>
        <w:tc>
          <w:tcPr>
            <w:tcW w:w="1100"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合价 </w:t>
            </w:r>
          </w:p>
        </w:tc>
        <w:tc>
          <w:tcPr>
            <w:tcW w:w="870"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862" w:type="dxa"/>
            <w:shd w:val="clear" w:color="auto" w:fill="auto"/>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225" w:type="dxa"/>
            <w:shd w:val="clear" w:color="auto" w:fill="FFFFFF"/>
            <w:noWrap w:val="0"/>
            <w:vAlign w:val="center"/>
          </w:tcPr>
          <w:p>
            <w:pPr>
              <w:keepNext w:val="0"/>
              <w:keepLines w:val="0"/>
              <w:pageBreakBefore w:val="0"/>
              <w:widowControl w:val="0"/>
              <w:kinsoku/>
              <w:wordWrap/>
              <w:overflowPunct/>
              <w:topLinePunct w:val="0"/>
              <w:bidi w:val="0"/>
              <w:spacing w:line="460" w:lineRule="exact"/>
              <w:jc w:val="center"/>
              <w:rPr>
                <w:rFonts w:hint="eastAsia" w:ascii="新宋体" w:hAnsi="新宋体" w:eastAsia="新宋体" w:cs="新宋体"/>
                <w:color w:val="auto"/>
                <w:sz w:val="22"/>
                <w:szCs w:val="22"/>
                <w:highlight w:val="none"/>
              </w:rPr>
            </w:pPr>
            <w:r>
              <w:rPr>
                <w:rFonts w:hint="eastAsia" w:ascii="宋体" w:hAnsi="宋体" w:eastAsia="宋体" w:cs="宋体"/>
                <w:color w:val="auto"/>
                <w:sz w:val="22"/>
                <w:szCs w:val="22"/>
                <w:highlight w:val="none"/>
                <w:lang w:val="en-US" w:eastAsia="zh-CN"/>
              </w:rPr>
              <w:t>四格饭盒</w:t>
            </w:r>
          </w:p>
        </w:tc>
        <w:tc>
          <w:tcPr>
            <w:tcW w:w="2227" w:type="dxa"/>
            <w:shd w:val="clear" w:color="auto" w:fill="FFFFFF"/>
            <w:noWrap w:val="0"/>
            <w:vAlign w:val="center"/>
          </w:tcPr>
          <w:p>
            <w:pPr>
              <w:widowControl/>
              <w:spacing w:beforeLines="50" w:afterLines="50" w:line="460" w:lineRule="exact"/>
              <w:rPr>
                <w:rFonts w:hint="eastAsia" w:ascii="新宋体" w:hAnsi="新宋体" w:eastAsia="新宋体" w:cs="新宋体"/>
                <w:color w:val="auto"/>
                <w:sz w:val="22"/>
                <w:szCs w:val="22"/>
                <w:highlight w:val="none"/>
              </w:rPr>
            </w:pPr>
          </w:p>
        </w:tc>
        <w:tc>
          <w:tcPr>
            <w:tcW w:w="1493" w:type="dxa"/>
            <w:noWrap w:val="0"/>
            <w:vAlign w:val="center"/>
          </w:tcPr>
          <w:p>
            <w:pPr>
              <w:keepNext w:val="0"/>
              <w:keepLines w:val="0"/>
              <w:pageBreakBefore w:val="0"/>
              <w:widowControl w:val="0"/>
              <w:kinsoku/>
              <w:wordWrap/>
              <w:overflowPunct/>
              <w:topLinePunct w:val="0"/>
              <w:bidi w:val="0"/>
              <w:spacing w:line="460" w:lineRule="exact"/>
              <w:jc w:val="center"/>
              <w:rPr>
                <w:rFonts w:hint="eastAsia" w:ascii="新宋体" w:hAnsi="新宋体" w:eastAsia="新宋体" w:cs="新宋体"/>
                <w:color w:val="auto"/>
                <w:sz w:val="22"/>
                <w:szCs w:val="22"/>
                <w:highlight w:val="none"/>
              </w:rPr>
            </w:pPr>
            <w:r>
              <w:rPr>
                <w:rFonts w:hint="eastAsia" w:ascii="宋体" w:hAnsi="宋体" w:cs="宋体"/>
                <w:color w:val="auto"/>
                <w:sz w:val="22"/>
                <w:szCs w:val="22"/>
                <w:highlight w:val="none"/>
                <w:lang w:val="en-US" w:eastAsia="zh-CN"/>
              </w:rPr>
              <w:t>515</w:t>
            </w:r>
            <w:r>
              <w:rPr>
                <w:rFonts w:hint="eastAsia" w:ascii="宋体" w:hAnsi="宋体" w:eastAsia="宋体" w:cs="宋体"/>
                <w:color w:val="auto"/>
                <w:sz w:val="22"/>
                <w:szCs w:val="22"/>
                <w:highlight w:val="none"/>
                <w:lang w:val="en-US" w:eastAsia="zh-CN"/>
              </w:rPr>
              <w:t>000</w:t>
            </w:r>
            <w:r>
              <w:rPr>
                <w:rFonts w:hint="eastAsia" w:ascii="宋体" w:hAnsi="宋体" w:eastAsia="宋体" w:cs="宋体"/>
                <w:color w:val="auto"/>
                <w:sz w:val="22"/>
                <w:szCs w:val="22"/>
                <w:highlight w:val="none"/>
              </w:rPr>
              <w:t>只</w:t>
            </w:r>
          </w:p>
        </w:tc>
        <w:tc>
          <w:tcPr>
            <w:tcW w:w="1050"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100"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870" w:type="dxa"/>
            <w:noWrap w:val="0"/>
            <w:vAlign w:val="center"/>
          </w:tcPr>
          <w:p>
            <w:pPr>
              <w:spacing w:line="46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862" w:type="dxa"/>
            <w:shd w:val="clear" w:color="auto" w:fill="auto"/>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2225" w:type="dxa"/>
            <w:shd w:val="clear" w:color="auto" w:fill="FFFFFF"/>
            <w:noWrap w:val="0"/>
            <w:vAlign w:val="center"/>
          </w:tcPr>
          <w:p>
            <w:pPr>
              <w:keepNext w:val="0"/>
              <w:keepLines w:val="0"/>
              <w:pageBreakBefore w:val="0"/>
              <w:widowControl w:val="0"/>
              <w:kinsoku/>
              <w:wordWrap/>
              <w:overflowPunct/>
              <w:topLinePunct w:val="0"/>
              <w:bidi w:val="0"/>
              <w:spacing w:line="460" w:lineRule="exact"/>
              <w:jc w:val="center"/>
              <w:rPr>
                <w:rFonts w:hint="eastAsia" w:ascii="新宋体" w:hAnsi="新宋体" w:eastAsia="新宋体" w:cs="新宋体"/>
                <w:color w:val="auto"/>
                <w:sz w:val="22"/>
                <w:szCs w:val="22"/>
                <w:highlight w:val="none"/>
              </w:rPr>
            </w:pPr>
            <w:r>
              <w:rPr>
                <w:rFonts w:hint="eastAsia" w:ascii="宋体" w:hAnsi="宋体" w:eastAsia="宋体" w:cs="宋体"/>
                <w:color w:val="auto"/>
                <w:sz w:val="22"/>
                <w:szCs w:val="22"/>
                <w:highlight w:val="none"/>
              </w:rPr>
              <w:t>四格饭盒封口膜</w:t>
            </w:r>
          </w:p>
        </w:tc>
        <w:tc>
          <w:tcPr>
            <w:tcW w:w="2227" w:type="dxa"/>
            <w:shd w:val="clear" w:color="auto" w:fill="FFFFFF"/>
            <w:noWrap w:val="0"/>
            <w:vAlign w:val="center"/>
          </w:tcPr>
          <w:p>
            <w:pPr>
              <w:widowControl/>
              <w:spacing w:beforeLines="50" w:afterLines="50" w:line="460" w:lineRule="exact"/>
              <w:rPr>
                <w:rFonts w:hint="eastAsia" w:ascii="新宋体" w:hAnsi="新宋体" w:eastAsia="新宋体" w:cs="新宋体"/>
                <w:color w:val="auto"/>
                <w:sz w:val="22"/>
                <w:szCs w:val="22"/>
                <w:highlight w:val="none"/>
              </w:rPr>
            </w:pPr>
          </w:p>
        </w:tc>
        <w:tc>
          <w:tcPr>
            <w:tcW w:w="1493" w:type="dxa"/>
            <w:noWrap w:val="0"/>
            <w:vAlign w:val="center"/>
          </w:tcPr>
          <w:p>
            <w:pPr>
              <w:keepNext w:val="0"/>
              <w:keepLines w:val="0"/>
              <w:pageBreakBefore w:val="0"/>
              <w:widowControl w:val="0"/>
              <w:kinsoku/>
              <w:wordWrap/>
              <w:overflowPunct/>
              <w:topLinePunct w:val="0"/>
              <w:bidi w:val="0"/>
              <w:spacing w:line="460" w:lineRule="exact"/>
              <w:jc w:val="center"/>
              <w:rPr>
                <w:rFonts w:hint="eastAsia" w:ascii="新宋体" w:hAnsi="新宋体" w:eastAsia="新宋体" w:cs="新宋体"/>
                <w:color w:val="auto"/>
                <w:sz w:val="22"/>
                <w:szCs w:val="22"/>
                <w:highlight w:val="none"/>
              </w:rPr>
            </w:pPr>
            <w:r>
              <w:rPr>
                <w:rFonts w:hint="eastAsia" w:ascii="宋体" w:hAnsi="宋体" w:eastAsia="宋体" w:cs="宋体"/>
                <w:color w:val="auto"/>
                <w:sz w:val="22"/>
                <w:szCs w:val="22"/>
                <w:highlight w:val="none"/>
                <w:lang w:val="en-US" w:eastAsia="zh-CN"/>
              </w:rPr>
              <w:t>2000公斤</w:t>
            </w:r>
          </w:p>
        </w:tc>
        <w:tc>
          <w:tcPr>
            <w:tcW w:w="1050"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100"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870" w:type="dxa"/>
            <w:noWrap w:val="0"/>
            <w:vAlign w:val="center"/>
          </w:tcPr>
          <w:p>
            <w:pPr>
              <w:spacing w:line="46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862" w:type="dxa"/>
            <w:shd w:val="clear" w:color="auto" w:fill="auto"/>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2225" w:type="dxa"/>
            <w:shd w:val="clear" w:color="auto" w:fill="FFFFFF"/>
            <w:noWrap w:val="0"/>
            <w:vAlign w:val="center"/>
          </w:tcPr>
          <w:p>
            <w:pPr>
              <w:keepNext w:val="0"/>
              <w:keepLines w:val="0"/>
              <w:pageBreakBefore w:val="0"/>
              <w:widowControl w:val="0"/>
              <w:kinsoku/>
              <w:wordWrap/>
              <w:overflowPunct/>
              <w:topLinePunct w:val="0"/>
              <w:bidi w:val="0"/>
              <w:spacing w:line="460" w:lineRule="exact"/>
              <w:jc w:val="center"/>
              <w:rPr>
                <w:rFonts w:hint="eastAsia" w:ascii="新宋体" w:hAnsi="新宋体" w:eastAsia="新宋体" w:cs="新宋体"/>
                <w:color w:val="auto"/>
                <w:sz w:val="22"/>
                <w:szCs w:val="22"/>
                <w:highlight w:val="none"/>
              </w:rPr>
            </w:pPr>
            <w:r>
              <w:rPr>
                <w:rFonts w:hint="eastAsia" w:ascii="宋体" w:hAnsi="宋体" w:eastAsia="宋体" w:cs="宋体"/>
                <w:bCs/>
                <w:color w:val="auto"/>
                <w:kern w:val="0"/>
                <w:sz w:val="22"/>
                <w:szCs w:val="22"/>
                <w:highlight w:val="none"/>
                <w:lang w:eastAsia="zh-CN" w:bidi="ar"/>
              </w:rPr>
              <w:t>四格餐盒（</w:t>
            </w:r>
            <w:r>
              <w:rPr>
                <w:rFonts w:hint="eastAsia" w:ascii="宋体" w:hAnsi="宋体" w:eastAsia="宋体" w:cs="宋体"/>
                <w:bCs/>
                <w:color w:val="auto"/>
                <w:kern w:val="0"/>
                <w:sz w:val="22"/>
                <w:szCs w:val="22"/>
                <w:highlight w:val="none"/>
                <w:lang w:val="en-US" w:eastAsia="zh-CN" w:bidi="ar"/>
              </w:rPr>
              <w:t>带盖子）</w:t>
            </w:r>
          </w:p>
        </w:tc>
        <w:tc>
          <w:tcPr>
            <w:tcW w:w="2227" w:type="dxa"/>
            <w:shd w:val="clear" w:color="auto" w:fill="FFFFFF"/>
            <w:noWrap w:val="0"/>
            <w:vAlign w:val="center"/>
          </w:tcPr>
          <w:p>
            <w:pPr>
              <w:widowControl/>
              <w:spacing w:beforeLines="50" w:afterLines="50" w:line="460" w:lineRule="exact"/>
              <w:rPr>
                <w:rFonts w:hint="eastAsia" w:ascii="新宋体" w:hAnsi="新宋体" w:eastAsia="新宋体" w:cs="新宋体"/>
                <w:color w:val="auto"/>
                <w:sz w:val="22"/>
                <w:szCs w:val="22"/>
                <w:highlight w:val="none"/>
              </w:rPr>
            </w:pPr>
          </w:p>
        </w:tc>
        <w:tc>
          <w:tcPr>
            <w:tcW w:w="1493" w:type="dxa"/>
            <w:noWrap w:val="0"/>
            <w:vAlign w:val="center"/>
          </w:tcPr>
          <w:p>
            <w:pPr>
              <w:keepNext w:val="0"/>
              <w:keepLines w:val="0"/>
              <w:pageBreakBefore w:val="0"/>
              <w:widowControl w:val="0"/>
              <w:kinsoku/>
              <w:wordWrap/>
              <w:overflowPunct/>
              <w:topLinePunct w:val="0"/>
              <w:bidi w:val="0"/>
              <w:spacing w:line="460" w:lineRule="exact"/>
              <w:jc w:val="center"/>
              <w:rPr>
                <w:rFonts w:hint="eastAsia" w:ascii="新宋体" w:hAnsi="新宋体" w:eastAsia="新宋体" w:cs="新宋体"/>
                <w:color w:val="auto"/>
                <w:sz w:val="22"/>
                <w:szCs w:val="22"/>
                <w:highlight w:val="none"/>
              </w:rPr>
            </w:pPr>
            <w:r>
              <w:rPr>
                <w:rFonts w:hint="eastAsia" w:ascii="宋体" w:hAnsi="宋体" w:cs="宋体"/>
                <w:color w:val="auto"/>
                <w:sz w:val="22"/>
                <w:szCs w:val="22"/>
                <w:highlight w:val="none"/>
                <w:lang w:val="en-US" w:eastAsia="zh-CN"/>
              </w:rPr>
              <w:t>253200</w:t>
            </w:r>
            <w:r>
              <w:rPr>
                <w:rFonts w:hint="eastAsia" w:ascii="宋体" w:hAnsi="宋体" w:eastAsia="宋体" w:cs="宋体"/>
                <w:color w:val="auto"/>
                <w:sz w:val="22"/>
                <w:szCs w:val="22"/>
                <w:highlight w:val="none"/>
              </w:rPr>
              <w:t>只</w:t>
            </w:r>
          </w:p>
        </w:tc>
        <w:tc>
          <w:tcPr>
            <w:tcW w:w="1050"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100"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870" w:type="dxa"/>
            <w:noWrap w:val="0"/>
            <w:vAlign w:val="center"/>
          </w:tcPr>
          <w:p>
            <w:pPr>
              <w:spacing w:line="46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862" w:type="dxa"/>
            <w:shd w:val="clear" w:color="auto" w:fill="auto"/>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2225" w:type="dxa"/>
            <w:shd w:val="clear" w:color="auto" w:fill="FFFFFF"/>
            <w:noWrap w:val="0"/>
            <w:vAlign w:val="center"/>
          </w:tcPr>
          <w:p>
            <w:pPr>
              <w:keepNext w:val="0"/>
              <w:keepLines w:val="0"/>
              <w:pageBreakBefore w:val="0"/>
              <w:widowControl w:val="0"/>
              <w:kinsoku/>
              <w:wordWrap/>
              <w:overflowPunct/>
              <w:topLinePunct w:val="0"/>
              <w:bidi w:val="0"/>
              <w:spacing w:line="460" w:lineRule="exact"/>
              <w:jc w:val="center"/>
              <w:rPr>
                <w:rFonts w:hint="eastAsia" w:ascii="新宋体" w:hAnsi="新宋体" w:eastAsia="新宋体" w:cs="新宋体"/>
                <w:color w:val="auto"/>
                <w:sz w:val="22"/>
                <w:szCs w:val="22"/>
                <w:highlight w:val="none"/>
              </w:rPr>
            </w:pPr>
            <w:r>
              <w:rPr>
                <w:rFonts w:hint="eastAsia" w:ascii="宋体" w:hAnsi="宋体" w:eastAsia="宋体" w:cs="宋体"/>
                <w:color w:val="auto"/>
                <w:sz w:val="22"/>
                <w:szCs w:val="22"/>
                <w:highlight w:val="none"/>
              </w:rPr>
              <w:t>小菜碟</w:t>
            </w:r>
          </w:p>
        </w:tc>
        <w:tc>
          <w:tcPr>
            <w:tcW w:w="2227" w:type="dxa"/>
            <w:shd w:val="clear" w:color="auto" w:fill="FFFFFF"/>
            <w:noWrap w:val="0"/>
            <w:vAlign w:val="center"/>
          </w:tcPr>
          <w:p>
            <w:pPr>
              <w:widowControl/>
              <w:spacing w:beforeLines="50" w:afterLines="50" w:line="460" w:lineRule="exact"/>
              <w:rPr>
                <w:rFonts w:hint="eastAsia" w:ascii="新宋体" w:hAnsi="新宋体" w:eastAsia="新宋体" w:cs="新宋体"/>
                <w:color w:val="auto"/>
                <w:sz w:val="22"/>
                <w:szCs w:val="22"/>
                <w:highlight w:val="none"/>
              </w:rPr>
            </w:pPr>
          </w:p>
        </w:tc>
        <w:tc>
          <w:tcPr>
            <w:tcW w:w="1493" w:type="dxa"/>
            <w:noWrap w:val="0"/>
            <w:vAlign w:val="center"/>
          </w:tcPr>
          <w:p>
            <w:pPr>
              <w:keepNext w:val="0"/>
              <w:keepLines w:val="0"/>
              <w:pageBreakBefore w:val="0"/>
              <w:widowControl w:val="0"/>
              <w:kinsoku/>
              <w:wordWrap/>
              <w:overflowPunct/>
              <w:topLinePunct w:val="0"/>
              <w:bidi w:val="0"/>
              <w:spacing w:line="460" w:lineRule="exact"/>
              <w:jc w:val="center"/>
              <w:rPr>
                <w:rFonts w:hint="eastAsia" w:ascii="新宋体" w:hAnsi="新宋体" w:eastAsia="新宋体" w:cs="新宋体"/>
                <w:color w:val="auto"/>
                <w:sz w:val="22"/>
                <w:szCs w:val="22"/>
                <w:highlight w:val="none"/>
              </w:rPr>
            </w:pPr>
            <w:r>
              <w:rPr>
                <w:rFonts w:hint="eastAsia" w:ascii="宋体" w:hAnsi="宋体" w:eastAsia="宋体" w:cs="宋体"/>
                <w:color w:val="auto"/>
                <w:sz w:val="22"/>
                <w:szCs w:val="22"/>
                <w:highlight w:val="none"/>
                <w:lang w:val="en-US" w:eastAsia="zh-CN"/>
              </w:rPr>
              <w:t>16</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lang w:val="en-US" w:eastAsia="zh-CN"/>
              </w:rPr>
              <w:t>000只</w:t>
            </w:r>
          </w:p>
        </w:tc>
        <w:tc>
          <w:tcPr>
            <w:tcW w:w="1050"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100"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870" w:type="dxa"/>
            <w:noWrap w:val="0"/>
            <w:vAlign w:val="center"/>
          </w:tcPr>
          <w:p>
            <w:pPr>
              <w:spacing w:line="46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862" w:type="dxa"/>
            <w:shd w:val="clear" w:color="auto" w:fill="auto"/>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2225" w:type="dxa"/>
            <w:shd w:val="clear" w:color="auto" w:fill="FFFFFF"/>
            <w:noWrap w:val="0"/>
            <w:vAlign w:val="center"/>
          </w:tcPr>
          <w:p>
            <w:pPr>
              <w:widowControl/>
              <w:spacing w:beforeLines="50" w:afterLines="50" w:line="460" w:lineRule="exact"/>
              <w:rPr>
                <w:rFonts w:hint="eastAsia" w:ascii="新宋体" w:hAnsi="新宋体" w:eastAsia="新宋体" w:cs="新宋体"/>
                <w:color w:val="auto"/>
                <w:sz w:val="22"/>
                <w:szCs w:val="22"/>
                <w:highlight w:val="none"/>
              </w:rPr>
            </w:pPr>
          </w:p>
        </w:tc>
        <w:tc>
          <w:tcPr>
            <w:tcW w:w="2227" w:type="dxa"/>
            <w:shd w:val="clear" w:color="auto" w:fill="FFFFFF"/>
            <w:noWrap w:val="0"/>
            <w:vAlign w:val="center"/>
          </w:tcPr>
          <w:p>
            <w:pPr>
              <w:widowControl/>
              <w:spacing w:beforeLines="50" w:afterLines="50" w:line="460" w:lineRule="exact"/>
              <w:rPr>
                <w:rFonts w:hint="eastAsia" w:ascii="新宋体" w:hAnsi="新宋体" w:eastAsia="新宋体" w:cs="新宋体"/>
                <w:color w:val="auto"/>
                <w:sz w:val="22"/>
                <w:szCs w:val="22"/>
                <w:highlight w:val="none"/>
              </w:rPr>
            </w:pPr>
          </w:p>
        </w:tc>
        <w:tc>
          <w:tcPr>
            <w:tcW w:w="1493"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050"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100"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870" w:type="dxa"/>
            <w:noWrap w:val="0"/>
            <w:vAlign w:val="center"/>
          </w:tcPr>
          <w:p>
            <w:pPr>
              <w:spacing w:line="46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862" w:type="dxa"/>
            <w:shd w:val="clear" w:color="auto" w:fill="auto"/>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2225" w:type="dxa"/>
            <w:shd w:val="clear" w:color="auto" w:fill="FFFFFF"/>
            <w:noWrap w:val="0"/>
            <w:vAlign w:val="center"/>
          </w:tcPr>
          <w:p>
            <w:pPr>
              <w:widowControl/>
              <w:spacing w:beforeLines="50" w:afterLines="50" w:line="460" w:lineRule="exact"/>
              <w:rPr>
                <w:rFonts w:hint="eastAsia" w:ascii="新宋体" w:hAnsi="新宋体" w:eastAsia="新宋体" w:cs="新宋体"/>
                <w:color w:val="auto"/>
                <w:sz w:val="22"/>
                <w:szCs w:val="22"/>
                <w:highlight w:val="none"/>
              </w:rPr>
            </w:pPr>
          </w:p>
        </w:tc>
        <w:tc>
          <w:tcPr>
            <w:tcW w:w="2227" w:type="dxa"/>
            <w:shd w:val="clear" w:color="auto" w:fill="FFFFFF"/>
            <w:noWrap w:val="0"/>
            <w:vAlign w:val="center"/>
          </w:tcPr>
          <w:p>
            <w:pPr>
              <w:widowControl/>
              <w:spacing w:beforeLines="50" w:afterLines="50" w:line="460" w:lineRule="exact"/>
              <w:rPr>
                <w:rFonts w:hint="eastAsia" w:ascii="新宋体" w:hAnsi="新宋体" w:eastAsia="新宋体" w:cs="新宋体"/>
                <w:color w:val="auto"/>
                <w:sz w:val="22"/>
                <w:szCs w:val="22"/>
                <w:highlight w:val="none"/>
              </w:rPr>
            </w:pPr>
          </w:p>
        </w:tc>
        <w:tc>
          <w:tcPr>
            <w:tcW w:w="1493"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050"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100"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870" w:type="dxa"/>
            <w:noWrap w:val="0"/>
            <w:vAlign w:val="center"/>
          </w:tcPr>
          <w:p>
            <w:pPr>
              <w:spacing w:line="46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trPr>
        <w:tc>
          <w:tcPr>
            <w:tcW w:w="862" w:type="dxa"/>
            <w:shd w:val="clear" w:color="auto" w:fill="auto"/>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2225" w:type="dxa"/>
            <w:shd w:val="clear" w:color="auto" w:fill="FFFFFF"/>
            <w:noWrap w:val="0"/>
            <w:vAlign w:val="center"/>
          </w:tcPr>
          <w:p>
            <w:pPr>
              <w:widowControl/>
              <w:spacing w:beforeLines="50" w:afterLines="50" w:line="460" w:lineRule="exact"/>
              <w:rPr>
                <w:rFonts w:hint="eastAsia" w:ascii="新宋体" w:hAnsi="新宋体" w:eastAsia="新宋体" w:cs="新宋体"/>
                <w:color w:val="auto"/>
                <w:sz w:val="22"/>
                <w:szCs w:val="22"/>
                <w:highlight w:val="none"/>
              </w:rPr>
            </w:pPr>
          </w:p>
        </w:tc>
        <w:tc>
          <w:tcPr>
            <w:tcW w:w="2227" w:type="dxa"/>
            <w:shd w:val="clear" w:color="auto" w:fill="FFFFFF"/>
            <w:noWrap w:val="0"/>
            <w:vAlign w:val="center"/>
          </w:tcPr>
          <w:p>
            <w:pPr>
              <w:widowControl/>
              <w:spacing w:beforeLines="50" w:afterLines="50" w:line="460" w:lineRule="exact"/>
              <w:rPr>
                <w:rFonts w:hint="eastAsia" w:ascii="新宋体" w:hAnsi="新宋体" w:eastAsia="新宋体" w:cs="新宋体"/>
                <w:color w:val="auto"/>
                <w:sz w:val="22"/>
                <w:szCs w:val="22"/>
                <w:highlight w:val="none"/>
              </w:rPr>
            </w:pPr>
          </w:p>
        </w:tc>
        <w:tc>
          <w:tcPr>
            <w:tcW w:w="1493"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050"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100"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870" w:type="dxa"/>
            <w:noWrap w:val="0"/>
            <w:vAlign w:val="center"/>
          </w:tcPr>
          <w:p>
            <w:pPr>
              <w:spacing w:line="46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862" w:type="dxa"/>
            <w:shd w:val="clear" w:color="auto" w:fill="auto"/>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2225" w:type="dxa"/>
            <w:shd w:val="clear" w:color="auto" w:fill="FFFFFF"/>
            <w:noWrap w:val="0"/>
            <w:vAlign w:val="center"/>
          </w:tcPr>
          <w:p>
            <w:pPr>
              <w:widowControl/>
              <w:spacing w:beforeLines="50" w:afterLines="50"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w:t>
            </w:r>
          </w:p>
        </w:tc>
        <w:tc>
          <w:tcPr>
            <w:tcW w:w="2227" w:type="dxa"/>
            <w:shd w:val="clear" w:color="auto" w:fill="FFFFFF"/>
            <w:noWrap w:val="0"/>
            <w:vAlign w:val="center"/>
          </w:tcPr>
          <w:p>
            <w:pPr>
              <w:widowControl/>
              <w:spacing w:beforeLines="50" w:afterLines="50" w:line="460" w:lineRule="exact"/>
              <w:rPr>
                <w:rFonts w:hint="eastAsia" w:ascii="新宋体" w:hAnsi="新宋体" w:eastAsia="新宋体" w:cs="新宋体"/>
                <w:b/>
                <w:bCs/>
                <w:color w:val="auto"/>
                <w:sz w:val="22"/>
                <w:szCs w:val="22"/>
                <w:highlight w:val="none"/>
              </w:rPr>
            </w:pPr>
          </w:p>
        </w:tc>
        <w:tc>
          <w:tcPr>
            <w:tcW w:w="1493"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050"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100"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870" w:type="dxa"/>
            <w:noWrap w:val="0"/>
            <w:vAlign w:val="center"/>
          </w:tcPr>
          <w:p>
            <w:pPr>
              <w:spacing w:line="46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862"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4452" w:type="dxa"/>
            <w:gridSpan w:val="2"/>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税金</w:t>
            </w:r>
          </w:p>
        </w:tc>
        <w:tc>
          <w:tcPr>
            <w:tcW w:w="4513" w:type="dxa"/>
            <w:gridSpan w:val="4"/>
            <w:noWrap w:val="0"/>
            <w:vAlign w:val="center"/>
          </w:tcPr>
          <w:p>
            <w:pPr>
              <w:spacing w:line="46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862" w:type="dxa"/>
            <w:noWrap w:val="0"/>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4452" w:type="dxa"/>
            <w:gridSpan w:val="2"/>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招标代理服务费</w:t>
            </w:r>
          </w:p>
        </w:tc>
        <w:tc>
          <w:tcPr>
            <w:tcW w:w="4513" w:type="dxa"/>
            <w:gridSpan w:val="4"/>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862" w:type="dxa"/>
            <w:noWrap w:val="0"/>
            <w:vAlign w:val="center"/>
          </w:tcPr>
          <w:p>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4452" w:type="dxa"/>
            <w:gridSpan w:val="2"/>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其他</w:t>
            </w:r>
          </w:p>
        </w:tc>
        <w:tc>
          <w:tcPr>
            <w:tcW w:w="4513" w:type="dxa"/>
            <w:gridSpan w:val="4"/>
            <w:noWrap w:val="0"/>
            <w:vAlign w:val="center"/>
          </w:tcPr>
          <w:p>
            <w:pPr>
              <w:spacing w:line="46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5314" w:type="dxa"/>
            <w:gridSpan w:val="3"/>
            <w:noWrap w:val="0"/>
            <w:vAlign w:val="top"/>
          </w:tcPr>
          <w:p>
            <w:pPr>
              <w:spacing w:line="460" w:lineRule="exact"/>
              <w:ind w:firstLine="1650" w:firstLineChars="7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    计   价</w:t>
            </w:r>
          </w:p>
        </w:tc>
        <w:tc>
          <w:tcPr>
            <w:tcW w:w="4513" w:type="dxa"/>
            <w:gridSpan w:val="4"/>
            <w:noWrap w:val="0"/>
            <w:vAlign w:val="center"/>
          </w:tcPr>
          <w:p>
            <w:pPr>
              <w:spacing w:line="460" w:lineRule="exact"/>
              <w:jc w:val="center"/>
              <w:rPr>
                <w:rFonts w:hint="eastAsia" w:ascii="新宋体" w:hAnsi="新宋体" w:eastAsia="新宋体" w:cs="新宋体"/>
                <w:color w:val="auto"/>
                <w:sz w:val="22"/>
                <w:szCs w:val="22"/>
                <w:highlight w:val="none"/>
              </w:rPr>
            </w:pPr>
          </w:p>
        </w:tc>
      </w:tr>
    </w:tbl>
    <w:p>
      <w:pPr>
        <w:spacing w:line="380" w:lineRule="exact"/>
        <w:rPr>
          <w:rFonts w:hint="eastAsia" w:ascii="宋体" w:hAnsi="宋体" w:eastAsia="宋体" w:cs="宋体"/>
          <w:b/>
          <w:bCs/>
          <w:color w:val="auto"/>
          <w:sz w:val="22"/>
          <w:szCs w:val="22"/>
          <w:highlight w:val="none"/>
        </w:rPr>
      </w:pPr>
    </w:p>
    <w:p>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说明：1、此表总计价应与“2、报价一览表”中投标报价相一致。</w:t>
      </w:r>
    </w:p>
    <w:p>
      <w:pPr>
        <w:spacing w:line="380" w:lineRule="exact"/>
        <w:ind w:firstLine="663" w:firstLineChars="3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2、不提供详细投标分项报价将视为没有实质性响应</w:t>
      </w:r>
      <w:r>
        <w:rPr>
          <w:rFonts w:hint="eastAsia" w:ascii="宋体" w:hAnsi="宋体" w:cs="宋体"/>
          <w:b/>
          <w:bCs/>
          <w:color w:val="auto"/>
          <w:sz w:val="22"/>
          <w:szCs w:val="22"/>
          <w:highlight w:val="none"/>
          <w:lang w:val="en-US" w:eastAsia="zh-CN"/>
        </w:rPr>
        <w:t>招标</w:t>
      </w:r>
      <w:r>
        <w:rPr>
          <w:rFonts w:hint="eastAsia" w:ascii="宋体" w:hAnsi="宋体" w:eastAsia="宋体" w:cs="宋体"/>
          <w:b/>
          <w:bCs/>
          <w:color w:val="auto"/>
          <w:sz w:val="22"/>
          <w:szCs w:val="22"/>
          <w:highlight w:val="none"/>
        </w:rPr>
        <w:t>文件。</w:t>
      </w:r>
    </w:p>
    <w:p>
      <w:pPr>
        <w:spacing w:line="380" w:lineRule="exact"/>
        <w:ind w:firstLine="663" w:firstLineChars="3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3、如果免费请在该项内容栏内注明“免”，如果含在产品价格中则填“含”，如无此项内容则填“无”，不留空白</w:t>
      </w:r>
      <w:r>
        <w:rPr>
          <w:rFonts w:hint="eastAsia" w:ascii="宋体" w:hAnsi="宋体" w:eastAsia="宋体" w:cs="宋体"/>
          <w:color w:val="auto"/>
          <w:sz w:val="22"/>
          <w:szCs w:val="22"/>
          <w:highlight w:val="none"/>
        </w:rPr>
        <w:t>。</w:t>
      </w:r>
    </w:p>
    <w:p>
      <w:pPr>
        <w:spacing w:line="400" w:lineRule="exact"/>
        <w:jc w:val="both"/>
        <w:rPr>
          <w:rFonts w:hint="eastAsia" w:ascii="宋体" w:hAnsi="宋体" w:eastAsia="宋体" w:cs="宋体"/>
          <w:color w:val="auto"/>
          <w:sz w:val="22"/>
          <w:szCs w:val="22"/>
          <w:highlight w:val="none"/>
        </w:rPr>
      </w:pPr>
    </w:p>
    <w:p>
      <w:pPr>
        <w:spacing w:line="400" w:lineRule="exact"/>
        <w:jc w:val="both"/>
        <w:rPr>
          <w:rFonts w:hint="eastAsia" w:ascii="宋体" w:hAnsi="宋体" w:eastAsia="宋体" w:cs="宋体"/>
          <w:color w:val="auto"/>
          <w:sz w:val="22"/>
          <w:szCs w:val="22"/>
          <w:highlight w:val="none"/>
        </w:rPr>
      </w:pPr>
    </w:p>
    <w:p>
      <w:pPr>
        <w:spacing w:line="400" w:lineRule="exact"/>
        <w:ind w:firstLine="4620" w:firstLineChars="21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00" w:lineRule="exact"/>
        <w:ind w:firstLine="4620" w:firstLineChars="21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00" w:lineRule="exact"/>
        <w:ind w:firstLine="4620" w:firstLineChars="2100"/>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日    期：</w:t>
      </w:r>
    </w:p>
    <w:p>
      <w:pPr>
        <w:spacing w:line="400" w:lineRule="exact"/>
        <w:jc w:val="both"/>
        <w:rPr>
          <w:rFonts w:hint="eastAsia" w:ascii="宋体" w:hAnsi="宋体" w:eastAsia="宋体" w:cs="宋体"/>
          <w:color w:val="auto"/>
          <w:sz w:val="22"/>
          <w:szCs w:val="22"/>
          <w:highlight w:val="none"/>
          <w:lang w:val="en-US" w:eastAsia="zh-CN"/>
        </w:rPr>
      </w:pPr>
      <w:r>
        <w:rPr>
          <w:rFonts w:hint="eastAsia" w:ascii="宋体" w:hAnsi="宋体" w:cs="宋体"/>
          <w:b/>
          <w:bCs/>
          <w:color w:val="auto"/>
          <w:sz w:val="28"/>
          <w:szCs w:val="28"/>
          <w:highlight w:val="none"/>
          <w:lang w:val="en-US" w:eastAsia="zh-CN"/>
        </w:rPr>
        <w:br w:type="page"/>
      </w:r>
    </w:p>
    <w:p>
      <w:pPr>
        <w:pStyle w:val="25"/>
        <w:spacing w:line="460" w:lineRule="exact"/>
        <w:ind w:left="0" w:leftChars="0" w:firstLine="0" w:firstLineChars="0"/>
        <w:outlineLvl w:val="1"/>
        <w:rPr>
          <w:rFonts w:hint="eastAsia" w:ascii="宋体" w:hAnsi="宋体" w:eastAsia="宋体" w:cs="宋体"/>
          <w:b/>
          <w:color w:val="auto"/>
          <w:sz w:val="22"/>
          <w:szCs w:val="22"/>
          <w:highlight w:val="none"/>
        </w:rPr>
      </w:pPr>
      <w:bookmarkStart w:id="32" w:name="_Toc19402"/>
      <w:bookmarkStart w:id="33" w:name="_Toc12035"/>
      <w:r>
        <w:rPr>
          <w:rFonts w:hint="eastAsia" w:ascii="宋体" w:hAnsi="宋体" w:eastAsia="宋体" w:cs="宋体"/>
          <w:b/>
          <w:color w:val="auto"/>
          <w:sz w:val="22"/>
          <w:szCs w:val="22"/>
          <w:highlight w:val="none"/>
        </w:rPr>
        <w:t>附件二</w:t>
      </w:r>
      <w:bookmarkEnd w:id="32"/>
      <w:bookmarkEnd w:id="33"/>
    </w:p>
    <w:p>
      <w:pPr>
        <w:spacing w:line="460" w:lineRule="exact"/>
        <w:jc w:val="center"/>
        <w:outlineLvl w:val="2"/>
        <w:rPr>
          <w:rFonts w:hint="eastAsia" w:ascii="宋体" w:hAnsi="宋体" w:eastAsia="宋体" w:cs="宋体"/>
          <w:color w:val="auto"/>
          <w:sz w:val="28"/>
          <w:szCs w:val="28"/>
          <w:highlight w:val="none"/>
        </w:rPr>
      </w:pPr>
      <w:bookmarkStart w:id="34" w:name="_Toc25309"/>
      <w:bookmarkStart w:id="35" w:name="_Toc4718"/>
      <w:r>
        <w:rPr>
          <w:rFonts w:hint="eastAsia" w:ascii="宋体" w:hAnsi="宋体" w:eastAsia="宋体" w:cs="宋体"/>
          <w:b/>
          <w:bCs/>
          <w:color w:val="auto"/>
          <w:sz w:val="28"/>
          <w:szCs w:val="28"/>
          <w:highlight w:val="none"/>
        </w:rPr>
        <w:t>资格证明文件</w:t>
      </w:r>
      <w:bookmarkEnd w:id="34"/>
      <w:bookmarkEnd w:id="35"/>
      <w:r>
        <w:rPr>
          <w:rFonts w:hint="eastAsia" w:ascii="宋体" w:hAnsi="宋体" w:eastAsia="宋体" w:cs="宋体"/>
          <w:color w:val="auto"/>
          <w:sz w:val="28"/>
          <w:szCs w:val="28"/>
          <w:highlight w:val="none"/>
        </w:rPr>
        <w:t xml:space="preserve"> </w:t>
      </w: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1、有效营业执照（复印件盖单位公章）</w:t>
      </w: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2、最近一年财务报表(复印件，新成立的公司提供情况说明)；</w:t>
      </w:r>
    </w:p>
    <w:p>
      <w:pPr>
        <w:spacing w:line="460" w:lineRule="exact"/>
        <w:ind w:left="514" w:leftChars="245"/>
        <w:jc w:val="left"/>
        <w:rPr>
          <w:rFonts w:hint="eastAsia" w:ascii="宋体" w:hAnsi="宋体" w:eastAsia="宋体" w:cs="宋体"/>
          <w:b/>
          <w:bCs/>
          <w:color w:val="auto"/>
          <w:szCs w:val="21"/>
          <w:highlight w:val="none"/>
        </w:rPr>
      </w:pPr>
    </w:p>
    <w:p>
      <w:pPr>
        <w:spacing w:line="460" w:lineRule="exact"/>
        <w:jc w:val="left"/>
        <w:outlineLvl w:val="3"/>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3、具有履行合同所必需的场地、设备和专业技术能力的承诺函；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投标人</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rPr>
        <w:t>承诺具有履行合同所必需的场地、设备和专业技术能力。如有虚假，招标人可取消我方任何资格（投标/中标/签订合同），我方对此无任何异议。</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5"/>
        <w:spacing w:line="460" w:lineRule="exact"/>
        <w:ind w:left="479" w:leftChars="228" w:firstLine="5280" w:firstLineChars="24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pStyle w:val="25"/>
        <w:spacing w:line="460" w:lineRule="exact"/>
        <w:ind w:left="0" w:firstLine="0" w:firstLineChars="0"/>
        <w:rPr>
          <w:rFonts w:hint="eastAsia" w:ascii="宋体" w:hAnsi="宋体" w:eastAsia="宋体" w:cs="宋体"/>
          <w:color w:val="auto"/>
          <w:kern w:val="0"/>
          <w:highlight w:val="none"/>
        </w:rPr>
      </w:pPr>
    </w:p>
    <w:p>
      <w:pPr>
        <w:spacing w:line="460" w:lineRule="exact"/>
        <w:jc w:val="left"/>
        <w:outlineLvl w:val="3"/>
        <w:rPr>
          <w:rFonts w:hint="eastAsia" w:ascii="宋体" w:hAnsi="宋体" w:eastAsia="宋体" w:cs="宋体"/>
          <w:color w:val="auto"/>
          <w:sz w:val="20"/>
          <w:szCs w:val="22"/>
          <w:highlight w:val="none"/>
        </w:rPr>
      </w:pPr>
      <w:r>
        <w:rPr>
          <w:rFonts w:hint="eastAsia" w:ascii="宋体" w:hAnsi="宋体" w:eastAsia="宋体" w:cs="宋体"/>
          <w:b/>
          <w:bCs/>
          <w:color w:val="auto"/>
          <w:sz w:val="24"/>
          <w:highlight w:val="none"/>
        </w:rPr>
        <w:t>4、依法缴纳税收和社会保障资金的承诺函；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我公司郑重声明，我公司严格依法缴纳税收和社会保障资金，本文件中所提供的相关材料均真实有效，不存在虚假、造假行为。如有违反，愿承担一切责任。</w:t>
      </w:r>
    </w:p>
    <w:p>
      <w:pPr>
        <w:spacing w:line="460" w:lineRule="exact"/>
        <w:ind w:firstLine="440" w:firstLineChars="200"/>
        <w:rPr>
          <w:rFonts w:hint="eastAsia" w:ascii="宋体" w:hAnsi="宋体" w:eastAsia="宋体" w:cs="宋体"/>
          <w:color w:val="auto"/>
          <w:kern w:val="0"/>
          <w:sz w:val="22"/>
          <w:szCs w:val="22"/>
          <w:highlight w:val="none"/>
        </w:rPr>
      </w:pP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5"/>
        <w:spacing w:line="460" w:lineRule="exact"/>
        <w:ind w:left="-420" w:leftChars="-200" w:firstLine="6160" w:firstLineChars="28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pStyle w:val="25"/>
        <w:spacing w:line="460" w:lineRule="exact"/>
        <w:ind w:left="0" w:firstLine="0" w:firstLineChars="0"/>
        <w:rPr>
          <w:rFonts w:hint="eastAsia" w:ascii="宋体" w:hAnsi="宋体" w:eastAsia="宋体" w:cs="宋体"/>
          <w:color w:val="auto"/>
          <w:kern w:val="0"/>
          <w:highlight w:val="none"/>
        </w:rPr>
      </w:pPr>
    </w:p>
    <w:p>
      <w:pPr>
        <w:pStyle w:val="25"/>
        <w:spacing w:line="460" w:lineRule="exact"/>
        <w:ind w:left="0" w:firstLine="0" w:firstLineChars="0"/>
        <w:rPr>
          <w:rFonts w:hint="eastAsia" w:ascii="宋体" w:hAnsi="宋体" w:eastAsia="宋体" w:cs="宋体"/>
          <w:color w:val="auto"/>
          <w:kern w:val="0"/>
          <w:highlight w:val="none"/>
        </w:rPr>
      </w:pPr>
    </w:p>
    <w:p>
      <w:pPr>
        <w:pStyle w:val="25"/>
        <w:spacing w:line="460" w:lineRule="exact"/>
        <w:ind w:left="0" w:firstLine="0" w:firstLineChars="0"/>
        <w:rPr>
          <w:rFonts w:hint="eastAsia" w:ascii="宋体" w:hAnsi="宋体" w:eastAsia="宋体" w:cs="宋体"/>
          <w:color w:val="auto"/>
          <w:kern w:val="0"/>
          <w:highlight w:val="none"/>
        </w:rPr>
      </w:pPr>
    </w:p>
    <w:p>
      <w:pPr>
        <w:pStyle w:val="25"/>
        <w:spacing w:line="460" w:lineRule="exact"/>
        <w:ind w:left="0" w:firstLine="0" w:firstLineChars="0"/>
        <w:rPr>
          <w:rFonts w:hint="eastAsia" w:ascii="宋体" w:hAnsi="宋体" w:eastAsia="宋体" w:cs="宋体"/>
          <w:color w:val="auto"/>
          <w:kern w:val="0"/>
          <w:highlight w:val="none"/>
        </w:rPr>
      </w:pPr>
    </w:p>
    <w:p>
      <w:pPr>
        <w:spacing w:line="460" w:lineRule="exact"/>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4"/>
          <w:highlight w:val="none"/>
        </w:rPr>
        <w:t>5、参加政府采购活动前3年内在经营活动中没有重大违法记录的声明函</w:t>
      </w:r>
      <w:r>
        <w:rPr>
          <w:rFonts w:hint="eastAsia" w:ascii="宋体" w:hAnsi="宋体" w:eastAsia="宋体" w:cs="宋体"/>
          <w:b/>
          <w:bCs/>
          <w:color w:val="auto"/>
          <w:sz w:val="22"/>
          <w:szCs w:val="22"/>
          <w:highlight w:val="none"/>
        </w:rPr>
        <w:t>；</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投标人</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招标人可取消我方任何资格（投标/中标/签订合同），我方对此无任何异议。</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5"/>
        <w:spacing w:line="460" w:lineRule="exact"/>
        <w:ind w:left="514" w:leftChars="245" w:firstLine="5720" w:firstLineChars="2600"/>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rPr>
        <w:t>日期：     年  月  日</w:t>
      </w:r>
    </w:p>
    <w:p>
      <w:pPr>
        <w:spacing w:line="460" w:lineRule="exact"/>
        <w:ind w:left="514" w:leftChars="245"/>
        <w:rPr>
          <w:rFonts w:hint="eastAsia" w:ascii="宋体" w:hAnsi="宋体" w:eastAsia="宋体" w:cs="宋体"/>
          <w:b/>
          <w:bCs/>
          <w:color w:val="auto"/>
          <w:sz w:val="22"/>
          <w:szCs w:val="22"/>
          <w:highlight w:val="none"/>
        </w:rPr>
      </w:pPr>
    </w:p>
    <w:p>
      <w:pPr>
        <w:pStyle w:val="25"/>
        <w:ind w:left="0" w:firstLine="0" w:firstLineChars="0"/>
        <w:rPr>
          <w:rFonts w:hint="eastAsia" w:ascii="宋体" w:hAnsi="宋体" w:eastAsia="宋体" w:cs="宋体"/>
          <w:color w:val="auto"/>
          <w:highlight w:val="none"/>
        </w:rPr>
      </w:pPr>
    </w:p>
    <w:p>
      <w:pPr>
        <w:spacing w:line="460" w:lineRule="exact"/>
        <w:outlineLvl w:val="3"/>
        <w:rPr>
          <w:rFonts w:hint="eastAsia" w:ascii="宋体" w:hAnsi="宋体" w:eastAsia="宋体" w:cs="宋体"/>
          <w:b/>
          <w:bCs/>
          <w:color w:val="auto"/>
          <w:szCs w:val="21"/>
          <w:highlight w:val="none"/>
        </w:rPr>
      </w:pPr>
      <w:r>
        <w:rPr>
          <w:rFonts w:hint="eastAsia" w:ascii="宋体" w:hAnsi="宋体" w:eastAsia="宋体" w:cs="宋体"/>
          <w:b/>
          <w:bCs/>
          <w:color w:val="auto"/>
          <w:sz w:val="24"/>
          <w:highlight w:val="none"/>
        </w:rPr>
        <w:t>6、单位负责人为同一人或者存在直接控股、管理关系的不同供应商，不得参加同一合同项下的政府采购活动承诺函；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我方郑重承诺，我方此次参加</w:t>
      </w:r>
      <w:r>
        <w:rPr>
          <w:rFonts w:hint="eastAsia" w:ascii="宋体" w:hAnsi="宋体" w:cs="宋体"/>
          <w:color w:val="auto"/>
          <w:sz w:val="22"/>
          <w:szCs w:val="22"/>
          <w:highlight w:val="none"/>
          <w:u w:val="single"/>
          <w:lang w:eastAsia="zh-CN"/>
        </w:rPr>
        <w:t>温州市中医院食堂一次性用品采购（重）</w:t>
      </w:r>
      <w:r>
        <w:rPr>
          <w:rFonts w:hint="eastAsia" w:ascii="宋体" w:hAnsi="宋体" w:eastAsia="宋体" w:cs="宋体"/>
          <w:color w:val="auto"/>
          <w:kern w:val="0"/>
          <w:sz w:val="22"/>
          <w:szCs w:val="22"/>
          <w:highlight w:val="none"/>
        </w:rPr>
        <w:t>项目的投标，与参加本次项目同一合同项下政府采购活动的其他供应商不存在单位负责人为同一人或者直接控股、管理关系。如有虚假或隐瞒，愿意承担一切后果。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460" w:lineRule="exact"/>
        <w:jc w:val="center"/>
        <w:rPr>
          <w:rFonts w:hint="eastAsia" w:ascii="宋体" w:hAnsi="宋体" w:eastAsia="宋体" w:cs="宋体"/>
          <w:b/>
          <w:color w:val="auto"/>
          <w:kern w:val="36"/>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adjustRightInd w:val="0"/>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5"/>
        <w:spacing w:line="460" w:lineRule="exact"/>
        <w:ind w:left="514" w:leftChars="245" w:firstLine="5720" w:firstLineChars="2600"/>
        <w:rPr>
          <w:rFonts w:hint="eastAsia" w:ascii="宋体" w:hAnsi="宋体" w:eastAsia="宋体" w:cs="宋体"/>
          <w:color w:val="auto"/>
          <w:kern w:val="0"/>
          <w:highlight w:val="none"/>
        </w:rPr>
      </w:pPr>
      <w:r>
        <w:rPr>
          <w:rFonts w:hint="eastAsia" w:ascii="宋体" w:hAnsi="宋体" w:eastAsia="宋体" w:cs="宋体"/>
          <w:color w:val="auto"/>
          <w:kern w:val="0"/>
          <w:sz w:val="22"/>
          <w:szCs w:val="22"/>
          <w:highlight w:val="none"/>
        </w:rPr>
        <w:t>日期：     年  月  日</w:t>
      </w:r>
    </w:p>
    <w:p>
      <w:pPr>
        <w:pStyle w:val="25"/>
        <w:spacing w:line="460" w:lineRule="exact"/>
        <w:ind w:left="0" w:firstLine="0" w:firstLineChars="0"/>
        <w:rPr>
          <w:rFonts w:hint="eastAsia" w:ascii="宋体" w:hAnsi="宋体" w:eastAsia="宋体" w:cs="宋体"/>
          <w:color w:val="auto"/>
          <w:kern w:val="0"/>
          <w:highlight w:val="none"/>
        </w:rPr>
      </w:pPr>
    </w:p>
    <w:p>
      <w:pPr>
        <w:pStyle w:val="25"/>
        <w:spacing w:line="460" w:lineRule="exact"/>
        <w:ind w:left="0" w:firstLine="0" w:firstLineChars="0"/>
        <w:rPr>
          <w:rFonts w:hint="eastAsia" w:ascii="宋体" w:hAnsi="宋体" w:eastAsia="宋体" w:cs="宋体"/>
          <w:color w:val="auto"/>
          <w:kern w:val="0"/>
          <w:highlight w:val="none"/>
        </w:rPr>
      </w:pP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7、投标人不属于公益一类事业单位承诺函；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我方郑重承诺，我单位不属于公益一类事业单位，可承接</w:t>
      </w:r>
      <w:r>
        <w:rPr>
          <w:rFonts w:hint="eastAsia" w:ascii="宋体" w:hAnsi="宋体" w:cs="宋体"/>
          <w:color w:val="auto"/>
          <w:kern w:val="0"/>
          <w:sz w:val="22"/>
          <w:szCs w:val="22"/>
          <w:highlight w:val="none"/>
          <w:u w:val="single"/>
          <w:lang w:eastAsia="zh-CN"/>
        </w:rPr>
        <w:t>温州市中医院食堂一次性用品采购（重）</w:t>
      </w:r>
      <w:r>
        <w:rPr>
          <w:rFonts w:hint="eastAsia" w:ascii="宋体" w:hAnsi="宋体" w:eastAsia="宋体" w:cs="宋体"/>
          <w:color w:val="auto"/>
          <w:kern w:val="0"/>
          <w:sz w:val="22"/>
          <w:szCs w:val="22"/>
          <w:highlight w:val="none"/>
        </w:rPr>
        <w:t>项目的相关服务内容。如有虚假或隐瞒，愿意承担一切后果。</w:t>
      </w:r>
    </w:p>
    <w:p>
      <w:pPr>
        <w:shd w:val="clear" w:color="auto" w:fill="FFFFFF"/>
        <w:snapToGrid w:val="0"/>
        <w:spacing w:line="460" w:lineRule="exact"/>
        <w:jc w:val="center"/>
        <w:rPr>
          <w:rFonts w:hint="eastAsia" w:ascii="宋体" w:hAnsi="宋体" w:eastAsia="宋体" w:cs="宋体"/>
          <w:b/>
          <w:color w:val="auto"/>
          <w:kern w:val="36"/>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adjustRightInd w:val="0"/>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adjustRightInd w:val="0"/>
        <w:snapToGrid w:val="0"/>
        <w:spacing w:line="460" w:lineRule="exact"/>
        <w:ind w:firstLine="6160" w:firstLineChars="28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2"/>
          <w:szCs w:val="22"/>
          <w:highlight w:val="none"/>
        </w:rPr>
        <w:t>日期：     年  月  日</w:t>
      </w:r>
    </w:p>
    <w:p>
      <w:pPr>
        <w:pStyle w:val="25"/>
        <w:spacing w:line="460" w:lineRule="exact"/>
        <w:ind w:left="514" w:leftChars="245" w:firstLine="0" w:firstLineChars="0"/>
        <w:rPr>
          <w:rFonts w:hint="eastAsia" w:ascii="宋体" w:hAnsi="宋体" w:eastAsia="宋体" w:cs="宋体"/>
          <w:color w:val="auto"/>
          <w:highlight w:val="none"/>
        </w:rPr>
      </w:pPr>
    </w:p>
    <w:p>
      <w:pPr>
        <w:pStyle w:val="25"/>
        <w:spacing w:line="460" w:lineRule="exact"/>
        <w:ind w:left="514" w:leftChars="245" w:firstLine="0" w:firstLineChars="0"/>
        <w:rPr>
          <w:rFonts w:hint="eastAsia" w:ascii="宋体" w:hAnsi="宋体" w:eastAsia="宋体" w:cs="宋体"/>
          <w:color w:val="auto"/>
          <w:highlight w:val="none"/>
        </w:rPr>
      </w:pPr>
    </w:p>
    <w:p>
      <w:pPr>
        <w:pStyle w:val="25"/>
        <w:spacing w:line="460" w:lineRule="exact"/>
        <w:ind w:left="514" w:leftChars="245" w:firstLine="0" w:firstLineChars="0"/>
        <w:rPr>
          <w:rFonts w:hint="eastAsia" w:ascii="宋体" w:hAnsi="宋体" w:eastAsia="宋体" w:cs="宋体"/>
          <w:color w:val="auto"/>
          <w:highlight w:val="none"/>
        </w:rPr>
      </w:pPr>
    </w:p>
    <w:p>
      <w:pPr>
        <w:pStyle w:val="25"/>
        <w:spacing w:line="460" w:lineRule="exact"/>
        <w:ind w:left="514" w:leftChars="245" w:firstLine="0" w:firstLineChars="0"/>
        <w:rPr>
          <w:rFonts w:hint="eastAsia" w:ascii="宋体" w:hAnsi="宋体" w:eastAsia="宋体" w:cs="宋体"/>
          <w:color w:val="auto"/>
          <w:highlight w:val="none"/>
        </w:rPr>
      </w:pP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8、投标人信用查询：</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1、投标人信用信息查询的查询渠道：“信用中国”(www.creditchina.gov.cn)；“中国政府采购网”（http://www.ccgp.gov.cn/）；</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2、投标人信用信息查询截止时点：招标公告发布之日至投标截止时间前。</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3、投标人信用信息查询记录和证据留存的具体方式：网页截图；</w:t>
      </w:r>
    </w:p>
    <w:p>
      <w:pPr>
        <w:tabs>
          <w:tab w:val="left" w:pos="360"/>
        </w:tabs>
        <w:spacing w:line="460" w:lineRule="exact"/>
        <w:ind w:firstLine="552" w:firstLineChars="25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highlight w:val="none"/>
          <w:u w:val="single"/>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pStyle w:val="2"/>
        <w:rPr>
          <w:rFonts w:hint="eastAsia" w:ascii="宋体" w:hAnsi="宋体" w:eastAsia="宋体" w:cs="宋体"/>
          <w:bCs/>
          <w:color w:val="auto"/>
          <w:sz w:val="22"/>
          <w:szCs w:val="22"/>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460" w:lineRule="exact"/>
        <w:jc w:val="center"/>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9、采购活动现场确认声明书</w:t>
      </w: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color w:val="auto"/>
          <w:kern w:val="0"/>
          <w:sz w:val="22"/>
          <w:szCs w:val="22"/>
          <w:highlight w:val="none"/>
        </w:rPr>
        <w:t>温州历程招标有限公司：</w:t>
      </w:r>
    </w:p>
    <w:p>
      <w:pPr>
        <w:spacing w:line="460" w:lineRule="exact"/>
        <w:ind w:firstLine="440" w:firstLineChars="200"/>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rPr>
        <w:t>本人经由</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（供应商名称）负责人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（姓名）合法授权参加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项目（编号：</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）采购活动，经与本单位法人代表（负责人）联系确认，现就有关公平竞争事项郑重声明如下：</w:t>
      </w:r>
    </w:p>
    <w:p>
      <w:pPr>
        <w:numPr>
          <w:ilvl w:val="0"/>
          <w:numId w:val="6"/>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本单位与招标人之间 □不存在利害关系 □存在下列利害关系：</w:t>
      </w:r>
    </w:p>
    <w:p>
      <w:pPr>
        <w:numPr>
          <w:ilvl w:val="0"/>
          <w:numId w:val="6"/>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A.投资关系    </w:t>
      </w:r>
    </w:p>
    <w:p>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B.行政隶属关系    </w:t>
      </w:r>
    </w:p>
    <w:p>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C.业务指导关系  </w:t>
      </w:r>
    </w:p>
    <w:p>
      <w:pPr>
        <w:spacing w:line="46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D.其他可能影响采购公正的利害关系</w:t>
      </w:r>
      <w:r>
        <w:rPr>
          <w:rStyle w:val="333"/>
          <w:rFonts w:hint="eastAsia" w:ascii="宋体" w:hAnsi="宋体" w:eastAsia="宋体" w:cs="宋体"/>
          <w:color w:val="auto"/>
          <w:sz w:val="22"/>
          <w:szCs w:val="22"/>
          <w:highlight w:val="none"/>
        </w:rPr>
        <w:t xml:space="preserve">（如有，请如实说明）                 </w:t>
      </w:r>
      <w:r>
        <w:rPr>
          <w:rFonts w:hint="eastAsia" w:ascii="宋体" w:hAnsi="宋体" w:eastAsia="宋体" w:cs="宋体"/>
          <w:color w:val="auto"/>
          <w:kern w:val="0"/>
          <w:sz w:val="22"/>
          <w:szCs w:val="22"/>
          <w:highlight w:val="none"/>
        </w:rPr>
        <w:t>。</w:t>
      </w:r>
    </w:p>
    <w:p>
      <w:pPr>
        <w:numPr>
          <w:ilvl w:val="0"/>
          <w:numId w:val="6"/>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现已清楚知道参加本项目采购活动的其他所有供应商名称，本单位 </w:t>
      </w:r>
    </w:p>
    <w:p>
      <w:pPr>
        <w:numPr>
          <w:ilvl w:val="0"/>
          <w:numId w:val="6"/>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□与其他所有供应商之间均不存在利害关系 </w:t>
      </w:r>
    </w:p>
    <w:p>
      <w:pPr>
        <w:numPr>
          <w:ilvl w:val="0"/>
          <w:numId w:val="6"/>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□与</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p>
    <w:p>
      <w:pPr>
        <w:numPr>
          <w:ilvl w:val="0"/>
          <w:numId w:val="6"/>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A.法定代表人或负责人或实际控制人是同一人</w:t>
      </w:r>
    </w:p>
    <w:p>
      <w:pPr>
        <w:numPr>
          <w:ilvl w:val="0"/>
          <w:numId w:val="6"/>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B.法定代表人或负责人或实际控制人是夫妻关系</w:t>
      </w:r>
    </w:p>
    <w:p>
      <w:pPr>
        <w:numPr>
          <w:ilvl w:val="0"/>
          <w:numId w:val="6"/>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C.法定代表人或负责人或实际控制人是直系血亲关系</w:t>
      </w:r>
    </w:p>
    <w:p>
      <w:pPr>
        <w:numPr>
          <w:ilvl w:val="0"/>
          <w:numId w:val="6"/>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D.法定代表人或负责人或实际控制人存在三代以内旁系血亲关系</w:t>
      </w:r>
    </w:p>
    <w:p>
      <w:pPr>
        <w:numPr>
          <w:ilvl w:val="0"/>
          <w:numId w:val="6"/>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E.法定代表人或负责人或实际控制人存在近姻亲关系</w:t>
      </w:r>
    </w:p>
    <w:p>
      <w:pPr>
        <w:numPr>
          <w:ilvl w:val="0"/>
          <w:numId w:val="6"/>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F.法定代表人或负责人或实际控制人存在股份控制或实际控制关系</w:t>
      </w:r>
    </w:p>
    <w:p>
      <w:pPr>
        <w:numPr>
          <w:ilvl w:val="0"/>
          <w:numId w:val="6"/>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G.存在共同直接或间接投资设立子公司、联营企业和合营企业情况</w:t>
      </w:r>
    </w:p>
    <w:p>
      <w:pPr>
        <w:numPr>
          <w:ilvl w:val="0"/>
          <w:numId w:val="6"/>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H.存在分级代理或代销关系、同一生产制造商关系、管理关系、重要业务（占主营业务收入50%以上）或重要财务往来关系（如融资）等其他实质性控制关系</w:t>
      </w:r>
    </w:p>
    <w:p>
      <w:pPr>
        <w:numPr>
          <w:ilvl w:val="0"/>
          <w:numId w:val="6"/>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I.其他利害关系情况</w:t>
      </w:r>
      <w:r>
        <w:rPr>
          <w:rFonts w:hint="eastAsia" w:ascii="宋体" w:hAnsi="宋体" w:eastAsia="宋体" w:cs="宋体"/>
          <w:color w:val="auto"/>
          <w:kern w:val="0"/>
          <w:sz w:val="22"/>
          <w:szCs w:val="22"/>
          <w:highlight w:val="none"/>
          <w:u w:val="single"/>
        </w:rPr>
        <w:t xml:space="preserve">                              。</w:t>
      </w:r>
    </w:p>
    <w:p>
      <w:pPr>
        <w:pStyle w:val="25"/>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（三）现已清楚知道并严格遵守政府采购法律法规和现场纪律</w:t>
      </w:r>
    </w:p>
    <w:p>
      <w:pPr>
        <w:pStyle w:val="25"/>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（四）我发现</w:t>
      </w:r>
      <w:r>
        <w:rPr>
          <w:rStyle w:val="333"/>
          <w:rFonts w:hint="eastAsia" w:ascii="宋体" w:hAnsi="宋体" w:eastAsia="宋体" w:cs="宋体"/>
          <w:color w:val="auto"/>
          <w:sz w:val="22"/>
          <w:szCs w:val="22"/>
          <w:highlight w:val="none"/>
        </w:rPr>
        <w:t xml:space="preserve">                  与                  （供应商名称）</w:t>
      </w:r>
      <w:r>
        <w:rPr>
          <w:rFonts w:hint="eastAsia" w:ascii="宋体" w:hAnsi="宋体" w:eastAsia="宋体" w:cs="宋体"/>
          <w:color w:val="auto"/>
          <w:kern w:val="0"/>
          <w:sz w:val="22"/>
          <w:szCs w:val="22"/>
          <w:highlight w:val="none"/>
        </w:rPr>
        <w:t>之间存在或可能存在上述第二条第</w:t>
      </w:r>
      <w:r>
        <w:rPr>
          <w:rStyle w:val="333"/>
          <w:rFonts w:hint="eastAsia" w:ascii="宋体" w:hAnsi="宋体" w:eastAsia="宋体" w:cs="宋体"/>
          <w:color w:val="auto"/>
          <w:sz w:val="22"/>
          <w:szCs w:val="22"/>
          <w:highlight w:val="none"/>
        </w:rPr>
        <w:t xml:space="preserve">        </w:t>
      </w:r>
      <w:r>
        <w:rPr>
          <w:rFonts w:hint="eastAsia" w:ascii="宋体" w:hAnsi="宋体" w:eastAsia="宋体" w:cs="宋体"/>
          <w:color w:val="auto"/>
          <w:kern w:val="0"/>
          <w:sz w:val="22"/>
          <w:szCs w:val="22"/>
          <w:highlight w:val="none"/>
        </w:rPr>
        <w:t>项利害关系。</w:t>
      </w:r>
    </w:p>
    <w:p>
      <w:pPr>
        <w:pStyle w:val="25"/>
        <w:spacing w:line="460" w:lineRule="exact"/>
        <w:ind w:left="0" w:firstLine="0" w:firstLineChars="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供应商代表签名:</w:t>
      </w:r>
    </w:p>
    <w:p>
      <w:pPr>
        <w:pStyle w:val="25"/>
        <w:spacing w:line="460" w:lineRule="exact"/>
        <w:ind w:left="0" w:firstLine="0" w:firstLineChars="0"/>
        <w:jc w:val="right"/>
        <w:rPr>
          <w:rFonts w:hint="eastAsia" w:ascii="宋体" w:hAnsi="宋体" w:eastAsia="宋体" w:cs="宋体"/>
          <w:b/>
          <w:color w:val="auto"/>
          <w:kern w:val="0"/>
          <w:sz w:val="22"/>
          <w:szCs w:val="22"/>
          <w:highlight w:val="none"/>
        </w:rPr>
      </w:pPr>
    </w:p>
    <w:p>
      <w:pPr>
        <w:pStyle w:val="25"/>
        <w:spacing w:line="460" w:lineRule="exact"/>
        <w:ind w:left="0" w:firstLine="0" w:firstLineChars="0"/>
        <w:jc w:val="right"/>
        <w:rPr>
          <w:rFonts w:hint="eastAsia" w:ascii="宋体" w:hAnsi="宋体" w:eastAsia="宋体" w:cs="宋体"/>
          <w:b/>
          <w:color w:val="auto"/>
          <w:kern w:val="0"/>
          <w:sz w:val="22"/>
          <w:szCs w:val="22"/>
          <w:highlight w:val="none"/>
        </w:rPr>
      </w:pPr>
    </w:p>
    <w:p>
      <w:pPr>
        <w:pStyle w:val="25"/>
        <w:spacing w:line="460" w:lineRule="exact"/>
        <w:ind w:left="0" w:firstLine="0" w:firstLineChars="0"/>
        <w:jc w:val="right"/>
        <w:rPr>
          <w:rFonts w:hint="eastAsia" w:ascii="宋体" w:hAnsi="宋体" w:eastAsia="宋体" w:cs="宋体"/>
          <w:b/>
          <w:bCs/>
          <w:color w:val="auto"/>
          <w:sz w:val="22"/>
          <w:szCs w:val="22"/>
          <w:highlight w:val="none"/>
        </w:rPr>
      </w:pPr>
      <w:r>
        <w:rPr>
          <w:rFonts w:hint="eastAsia" w:ascii="宋体" w:hAnsi="宋体" w:eastAsia="宋体" w:cs="宋体"/>
          <w:b/>
          <w:color w:val="auto"/>
          <w:kern w:val="0"/>
          <w:sz w:val="22"/>
          <w:szCs w:val="22"/>
          <w:highlight w:val="none"/>
        </w:rPr>
        <w:t>日期:</w:t>
      </w:r>
      <w:r>
        <w:rPr>
          <w:rFonts w:hint="eastAsia" w:ascii="宋体" w:hAnsi="宋体" w:cs="宋体"/>
          <w:b/>
          <w:color w:val="auto"/>
          <w:kern w:val="0"/>
          <w:sz w:val="22"/>
          <w:szCs w:val="22"/>
          <w:highlight w:val="none"/>
          <w:lang w:eastAsia="zh-CN"/>
        </w:rPr>
        <w:t>2022</w:t>
      </w:r>
      <w:r>
        <w:rPr>
          <w:rFonts w:hint="eastAsia" w:ascii="宋体" w:hAnsi="宋体" w:eastAsia="宋体" w:cs="宋体"/>
          <w:b/>
          <w:color w:val="auto"/>
          <w:kern w:val="0"/>
          <w:sz w:val="22"/>
          <w:szCs w:val="22"/>
          <w:highlight w:val="none"/>
        </w:rPr>
        <w:t>年    月    日</w:t>
      </w:r>
    </w:p>
    <w:p>
      <w:pPr>
        <w:rPr>
          <w:rFonts w:hint="eastAsia" w:ascii="宋体" w:hAnsi="宋体" w:eastAsia="宋体" w:cs="宋体"/>
          <w:b/>
          <w:bCs/>
          <w:color w:val="auto"/>
          <w:sz w:val="22"/>
          <w:szCs w:val="22"/>
          <w:highlight w:val="none"/>
        </w:rPr>
      </w:pPr>
    </w:p>
    <w:p>
      <w:pPr>
        <w:outlineLvl w:val="1"/>
        <w:rPr>
          <w:rFonts w:hint="eastAsia" w:ascii="宋体" w:hAnsi="宋体" w:eastAsia="宋体" w:cs="宋体"/>
          <w:b/>
          <w:bCs/>
          <w:color w:val="auto"/>
          <w:sz w:val="22"/>
          <w:szCs w:val="22"/>
          <w:highlight w:val="none"/>
        </w:rPr>
      </w:pPr>
      <w:bookmarkStart w:id="36" w:name="_Toc31356"/>
      <w:bookmarkStart w:id="37" w:name="_Toc16516"/>
      <w:r>
        <w:rPr>
          <w:rFonts w:hint="eastAsia" w:ascii="宋体" w:hAnsi="宋体" w:eastAsia="宋体" w:cs="宋体"/>
          <w:b/>
          <w:bCs/>
          <w:color w:val="auto"/>
          <w:sz w:val="22"/>
          <w:szCs w:val="22"/>
          <w:highlight w:val="none"/>
        </w:rPr>
        <w:t>附件三</w:t>
      </w:r>
      <w:bookmarkEnd w:id="36"/>
      <w:bookmarkEnd w:id="37"/>
    </w:p>
    <w:p>
      <w:pPr>
        <w:spacing w:line="460" w:lineRule="exact"/>
        <w:jc w:val="center"/>
        <w:outlineLvl w:val="2"/>
        <w:rPr>
          <w:rFonts w:hint="eastAsia" w:ascii="宋体" w:hAnsi="宋体" w:eastAsia="宋体" w:cs="宋体"/>
          <w:b/>
          <w:bCs/>
          <w:color w:val="auto"/>
          <w:sz w:val="28"/>
          <w:szCs w:val="28"/>
          <w:highlight w:val="none"/>
          <w:lang w:val="zh-CN"/>
        </w:rPr>
      </w:pPr>
      <w:bookmarkStart w:id="38" w:name="_Toc29102"/>
      <w:bookmarkStart w:id="39" w:name="_Toc13639"/>
      <w:r>
        <w:rPr>
          <w:rFonts w:hint="eastAsia" w:ascii="宋体" w:hAnsi="宋体" w:eastAsia="宋体" w:cs="宋体"/>
          <w:b/>
          <w:bCs/>
          <w:color w:val="auto"/>
          <w:sz w:val="28"/>
          <w:szCs w:val="28"/>
          <w:highlight w:val="none"/>
          <w:lang w:val="zh-CN"/>
        </w:rPr>
        <w:t>商务技术文件</w:t>
      </w:r>
      <w:bookmarkEnd w:id="38"/>
      <w:bookmarkEnd w:id="39"/>
    </w:p>
    <w:p>
      <w:pPr>
        <w:spacing w:line="380" w:lineRule="exact"/>
        <w:jc w:val="center"/>
        <w:outlineLvl w:val="3"/>
        <w:rPr>
          <w:rFonts w:hint="eastAsia" w:ascii="宋体" w:hAnsi="宋体" w:eastAsia="宋体" w:cs="宋体"/>
          <w:b/>
          <w:color w:val="auto"/>
          <w:sz w:val="22"/>
          <w:szCs w:val="22"/>
          <w:highlight w:val="none"/>
        </w:rPr>
      </w:pPr>
      <w:r>
        <w:rPr>
          <w:rFonts w:hint="eastAsia" w:ascii="宋体" w:hAnsi="宋体" w:eastAsia="宋体" w:cs="宋体"/>
          <w:b/>
          <w:color w:val="auto"/>
          <w:sz w:val="28"/>
          <w:szCs w:val="28"/>
          <w:highlight w:val="none"/>
        </w:rPr>
        <w:t>1、法定代表人授权书</w:t>
      </w:r>
    </w:p>
    <w:p>
      <w:pPr>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w:t>
      </w:r>
    </w:p>
    <w:p>
      <w:pPr>
        <w:spacing w:line="460" w:lineRule="exact"/>
        <w:rPr>
          <w:rFonts w:hint="eastAsia" w:ascii="宋体" w:hAnsi="宋体" w:eastAsia="宋体" w:cs="宋体"/>
          <w:color w:val="auto"/>
          <w:sz w:val="22"/>
          <w:szCs w:val="22"/>
          <w:highlight w:val="none"/>
          <w:u w:val="single"/>
        </w:rPr>
      </w:pPr>
    </w:p>
    <w:p>
      <w:pPr>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（投标人全称）法定代表人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（全权代表姓名）为全权代表，参加贵处组织的（项目名称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）的招标活动，全权代表我方处理招标活动中的一切事宜。</w:t>
      </w:r>
    </w:p>
    <w:p>
      <w:pPr>
        <w:spacing w:line="460" w:lineRule="exact"/>
        <w:ind w:firstLine="2955"/>
        <w:rPr>
          <w:rFonts w:hint="eastAsia" w:ascii="宋体" w:hAnsi="宋体" w:eastAsia="宋体" w:cs="宋体"/>
          <w:color w:val="auto"/>
          <w:sz w:val="22"/>
          <w:szCs w:val="22"/>
          <w:highlight w:val="none"/>
        </w:rPr>
      </w:pP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ind w:firstLine="4081" w:firstLineChars="18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投标人全称（公章）：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w:t>
      </w: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授权代表姓名：                               </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职务：</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详细通讯地址：</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电话：</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传真：</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邮政编码:</w:t>
      </w:r>
    </w:p>
    <w:p>
      <w:pPr>
        <w:spacing w:line="380" w:lineRule="exact"/>
        <w:rPr>
          <w:rFonts w:hint="eastAsia" w:ascii="宋体" w:hAnsi="宋体" w:eastAsia="宋体" w:cs="宋体"/>
          <w:color w:val="auto"/>
          <w:sz w:val="22"/>
          <w:szCs w:val="22"/>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60288;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r>
                        <w:rPr>
                          <w:rFonts w:hint="eastAsia" w:ascii="新宋体" w:hAnsi="新宋体" w:eastAsia="新宋体"/>
                          <w:sz w:val="22"/>
                          <w:szCs w:val="22"/>
                        </w:rPr>
                        <w:t xml:space="preserve">  法定代表人身份证（正反面）：</w:t>
                      </w:r>
                    </w:p>
                  </w:txbxContent>
                </v:textbox>
              </v:shape>
            </w:pict>
          </mc:Fallback>
        </mc:AlternateContent>
      </w: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1312"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1312;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r>
                        <w:rPr>
                          <w:rFonts w:hint="eastAsia" w:ascii="新宋体" w:hAnsi="新宋体" w:eastAsia="新宋体"/>
                          <w:sz w:val="22"/>
                          <w:szCs w:val="22"/>
                        </w:rPr>
                        <w:t xml:space="preserve">  授权代表身份证（正反面）：</w:t>
                      </w:r>
                    </w:p>
                  </w:txbxContent>
                </v:textbox>
              </v:shape>
            </w:pict>
          </mc:Fallback>
        </mc:AlternateContent>
      </w: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outlineLvl w:val="3"/>
        <w:rPr>
          <w:rFonts w:hint="eastAsia" w:ascii="宋体" w:hAnsi="宋体" w:eastAsia="宋体" w:cs="宋体"/>
          <w:b/>
          <w:bCs/>
          <w:color w:val="auto"/>
          <w:sz w:val="22"/>
          <w:szCs w:val="22"/>
          <w:highlight w:val="none"/>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pPr>
        <w:spacing w:line="380" w:lineRule="exact"/>
        <w:jc w:val="center"/>
        <w:outlineLvl w:val="3"/>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2、投标人情况表</w:t>
      </w:r>
    </w:p>
    <w:p>
      <w:pPr>
        <w:tabs>
          <w:tab w:val="left" w:pos="780"/>
        </w:tabs>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单位名称（盖章）</w:t>
            </w:r>
          </w:p>
        </w:tc>
        <w:tc>
          <w:tcPr>
            <w:tcW w:w="2804" w:type="dxa"/>
            <w:gridSpan w:val="2"/>
          </w:tcPr>
          <w:p>
            <w:pPr>
              <w:spacing w:line="480" w:lineRule="exact"/>
              <w:rPr>
                <w:rFonts w:hint="eastAsia" w:ascii="宋体" w:hAnsi="宋体" w:eastAsia="宋体" w:cs="宋体"/>
                <w:color w:val="auto"/>
                <w:sz w:val="22"/>
                <w:szCs w:val="22"/>
                <w:highlight w:val="none"/>
              </w:rPr>
            </w:pPr>
          </w:p>
        </w:tc>
        <w:tc>
          <w:tcPr>
            <w:tcW w:w="1115"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p>
        </w:tc>
        <w:tc>
          <w:tcPr>
            <w:tcW w:w="2588" w:type="dxa"/>
            <w:gridSpan w:val="2"/>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主管部门</w:t>
            </w:r>
          </w:p>
        </w:tc>
        <w:tc>
          <w:tcPr>
            <w:tcW w:w="1502" w:type="dxa"/>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企业负责人</w:t>
            </w:r>
          </w:p>
        </w:tc>
        <w:tc>
          <w:tcPr>
            <w:tcW w:w="1115" w:type="dxa"/>
          </w:tcPr>
          <w:p>
            <w:pPr>
              <w:spacing w:line="480" w:lineRule="exact"/>
              <w:rPr>
                <w:rFonts w:hint="eastAsia" w:ascii="宋体" w:hAnsi="宋体" w:eastAsia="宋体" w:cs="宋体"/>
                <w:color w:val="auto"/>
                <w:sz w:val="22"/>
                <w:szCs w:val="22"/>
                <w:highlight w:val="none"/>
              </w:rPr>
            </w:pPr>
          </w:p>
        </w:tc>
        <w:tc>
          <w:tcPr>
            <w:tcW w:w="1461"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p>
        </w:tc>
        <w:tc>
          <w:tcPr>
            <w:tcW w:w="2804" w:type="dxa"/>
            <w:gridSpan w:val="2"/>
          </w:tcPr>
          <w:p>
            <w:pPr>
              <w:spacing w:line="480" w:lineRule="exact"/>
              <w:rPr>
                <w:rFonts w:hint="eastAsia" w:ascii="宋体" w:hAnsi="宋体" w:eastAsia="宋体" w:cs="宋体"/>
                <w:color w:val="auto"/>
                <w:sz w:val="22"/>
                <w:szCs w:val="22"/>
                <w:highlight w:val="none"/>
              </w:rPr>
            </w:pPr>
          </w:p>
        </w:tc>
        <w:tc>
          <w:tcPr>
            <w:tcW w:w="1115"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tc>
        <w:tc>
          <w:tcPr>
            <w:tcW w:w="2588" w:type="dxa"/>
            <w:gridSpan w:val="2"/>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企业性质</w:t>
            </w:r>
          </w:p>
        </w:tc>
        <w:tc>
          <w:tcPr>
            <w:tcW w:w="1502" w:type="dxa"/>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tc>
        <w:tc>
          <w:tcPr>
            <w:tcW w:w="1115" w:type="dxa"/>
          </w:tcPr>
          <w:p>
            <w:pPr>
              <w:spacing w:line="480" w:lineRule="exact"/>
              <w:rPr>
                <w:rFonts w:hint="eastAsia" w:ascii="宋体" w:hAnsi="宋体" w:eastAsia="宋体" w:cs="宋体"/>
                <w:color w:val="auto"/>
                <w:sz w:val="22"/>
                <w:szCs w:val="22"/>
                <w:highlight w:val="none"/>
              </w:rPr>
            </w:pPr>
          </w:p>
        </w:tc>
        <w:tc>
          <w:tcPr>
            <w:tcW w:w="1461"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单位简介</w:t>
            </w:r>
          </w:p>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及机构</w:t>
            </w:r>
          </w:p>
        </w:tc>
        <w:tc>
          <w:tcPr>
            <w:tcW w:w="6507" w:type="dxa"/>
            <w:gridSpan w:val="6"/>
            <w:vAlign w:val="center"/>
          </w:tcPr>
          <w:p>
            <w:pPr>
              <w:spacing w:line="480" w:lineRule="exact"/>
              <w:jc w:val="center"/>
              <w:rPr>
                <w:rFonts w:hint="eastAsia" w:ascii="宋体" w:hAnsi="宋体" w:eastAsia="宋体" w:cs="宋体"/>
                <w:color w:val="auto"/>
                <w:sz w:val="22"/>
                <w:szCs w:val="22"/>
                <w:highlight w:val="none"/>
              </w:rPr>
            </w:pPr>
          </w:p>
        </w:tc>
        <w:tc>
          <w:tcPr>
            <w:tcW w:w="1488"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单位优势</w:t>
            </w:r>
          </w:p>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及特长</w:t>
            </w:r>
          </w:p>
        </w:tc>
        <w:tc>
          <w:tcPr>
            <w:tcW w:w="5566" w:type="dxa"/>
            <w:gridSpan w:val="5"/>
          </w:tcPr>
          <w:p>
            <w:pPr>
              <w:spacing w:line="48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单位概况</w:t>
            </w: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职工总数</w:t>
            </w:r>
          </w:p>
        </w:tc>
        <w:tc>
          <w:tcPr>
            <w:tcW w:w="1689" w:type="dxa"/>
            <w:vMerge w:val="restart"/>
          </w:tcPr>
          <w:p>
            <w:pPr>
              <w:spacing w:line="480" w:lineRule="exact"/>
              <w:ind w:firstLine="1540" w:firstLineChars="700"/>
              <w:rPr>
                <w:rFonts w:hint="eastAsia" w:ascii="宋体" w:hAnsi="宋体" w:eastAsia="宋体" w:cs="宋体"/>
                <w:color w:val="auto"/>
                <w:sz w:val="22"/>
                <w:szCs w:val="22"/>
                <w:highlight w:val="none"/>
              </w:rPr>
            </w:pPr>
          </w:p>
        </w:tc>
        <w:tc>
          <w:tcPr>
            <w:tcW w:w="3703" w:type="dxa"/>
            <w:gridSpan w:val="4"/>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各人员构成情况</w:t>
            </w:r>
          </w:p>
        </w:tc>
        <w:tc>
          <w:tcPr>
            <w:tcW w:w="1488" w:type="dxa"/>
            <w:vMerge w:val="restart"/>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上一年主要  经济指标</w:t>
            </w: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指标名称</w:t>
            </w:r>
          </w:p>
        </w:tc>
        <w:tc>
          <w:tcPr>
            <w:tcW w:w="1488" w:type="dxa"/>
            <w:tcBorders>
              <w:tr2bl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实际完成</w:t>
            </w:r>
          </w:p>
        </w:tc>
        <w:tc>
          <w:tcPr>
            <w:tcW w:w="1106" w:type="dxa"/>
            <w:tcBorders>
              <w:tr2bl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continue"/>
          </w:tcPr>
          <w:p>
            <w:pPr>
              <w:spacing w:line="480" w:lineRule="exact"/>
              <w:rPr>
                <w:rFonts w:hint="eastAsia" w:ascii="宋体" w:hAnsi="宋体" w:eastAsia="宋体" w:cs="宋体"/>
                <w:color w:val="auto"/>
                <w:sz w:val="22"/>
                <w:szCs w:val="22"/>
                <w:highlight w:val="none"/>
              </w:rPr>
            </w:pPr>
          </w:p>
        </w:tc>
        <w:tc>
          <w:tcPr>
            <w:tcW w:w="1689" w:type="dxa"/>
            <w:vMerge w:val="continue"/>
          </w:tcPr>
          <w:p>
            <w:pPr>
              <w:spacing w:line="480" w:lineRule="exact"/>
              <w:rPr>
                <w:rFonts w:hint="eastAsia" w:ascii="宋体" w:hAnsi="宋体" w:eastAsia="宋体" w:cs="宋体"/>
                <w:color w:val="auto"/>
                <w:sz w:val="22"/>
                <w:szCs w:val="22"/>
                <w:highlight w:val="none"/>
              </w:rPr>
            </w:pPr>
          </w:p>
        </w:tc>
        <w:tc>
          <w:tcPr>
            <w:tcW w:w="3703" w:type="dxa"/>
            <w:gridSpan w:val="4"/>
            <w:vMerge w:val="continue"/>
          </w:tcPr>
          <w:p>
            <w:pPr>
              <w:spacing w:line="480" w:lineRule="exact"/>
              <w:rPr>
                <w:rFonts w:hint="eastAsia" w:ascii="宋体" w:hAnsi="宋体" w:eastAsia="宋体" w:cs="宋体"/>
                <w:color w:val="auto"/>
                <w:sz w:val="22"/>
                <w:szCs w:val="22"/>
                <w:highlight w:val="none"/>
              </w:rPr>
            </w:pP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488" w:type="dxa"/>
            <w:vAlign w:val="center"/>
          </w:tcPr>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106"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流动资金</w:t>
            </w:r>
          </w:p>
        </w:tc>
        <w:tc>
          <w:tcPr>
            <w:tcW w:w="1689" w:type="dxa"/>
            <w:vMerge w:val="restart"/>
          </w:tcPr>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万元 </w:t>
            </w:r>
          </w:p>
        </w:tc>
        <w:tc>
          <w:tcPr>
            <w:tcW w:w="728"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1487" w:type="dxa"/>
            <w:gridSpan w:val="2"/>
            <w:vAlign w:val="center"/>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自有资金</w:t>
            </w:r>
          </w:p>
        </w:tc>
        <w:tc>
          <w:tcPr>
            <w:tcW w:w="1488"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488" w:type="dxa"/>
            <w:vAlign w:val="center"/>
          </w:tcPr>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106"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115"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689"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728"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487" w:type="dxa"/>
            <w:gridSpan w:val="2"/>
            <w:tcBorders>
              <w:bottom w:val="single" w:color="auto" w:sz="4" w:space="0"/>
            </w:tcBorders>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银行贷款</w:t>
            </w:r>
          </w:p>
        </w:tc>
        <w:tc>
          <w:tcPr>
            <w:tcW w:w="1488" w:type="dxa"/>
            <w:tcBorders>
              <w:bottom w:val="single" w:color="auto" w:sz="4" w:space="0"/>
            </w:tcBorders>
          </w:tcPr>
          <w:p>
            <w:pPr>
              <w:spacing w:line="4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502" w:type="dxa"/>
            <w:vMerge w:val="restart"/>
            <w:tcBorders>
              <w:bottom w:val="single" w:color="auto" w:sz="4" w:space="0"/>
            </w:tcBorders>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主要业绩</w:t>
            </w:r>
          </w:p>
        </w:tc>
        <w:tc>
          <w:tcPr>
            <w:tcW w:w="4064" w:type="dxa"/>
            <w:gridSpan w:val="4"/>
            <w:vMerge w:val="restart"/>
            <w:tcBorders>
              <w:bottom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固定资产</w:t>
            </w:r>
          </w:p>
        </w:tc>
        <w:tc>
          <w:tcPr>
            <w:tcW w:w="1689" w:type="dxa"/>
            <w:vMerge w:val="restart"/>
          </w:tcPr>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原值   万元</w:t>
            </w:r>
          </w:p>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净值   万元</w:t>
            </w:r>
          </w:p>
        </w:tc>
        <w:tc>
          <w:tcPr>
            <w:tcW w:w="728"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资金性质</w:t>
            </w:r>
          </w:p>
        </w:tc>
        <w:tc>
          <w:tcPr>
            <w:tcW w:w="1487"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生产性</w:t>
            </w:r>
          </w:p>
        </w:tc>
        <w:tc>
          <w:tcPr>
            <w:tcW w:w="1488" w:type="dxa"/>
          </w:tcPr>
          <w:p>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Merge w:val="continue"/>
          </w:tcPr>
          <w:p>
            <w:pPr>
              <w:spacing w:line="480" w:lineRule="exact"/>
              <w:rPr>
                <w:rFonts w:hint="eastAsia" w:ascii="宋体" w:hAnsi="宋体" w:eastAsia="宋体" w:cs="宋体"/>
                <w:color w:val="auto"/>
                <w:sz w:val="22"/>
                <w:szCs w:val="22"/>
                <w:highlight w:val="none"/>
              </w:rPr>
            </w:pPr>
          </w:p>
        </w:tc>
        <w:tc>
          <w:tcPr>
            <w:tcW w:w="4064" w:type="dxa"/>
            <w:gridSpan w:val="4"/>
            <w:vMerge w:val="continue"/>
          </w:tcPr>
          <w:p>
            <w:pPr>
              <w:spacing w:line="48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continue"/>
          </w:tcPr>
          <w:p>
            <w:pPr>
              <w:spacing w:line="480" w:lineRule="exact"/>
              <w:rPr>
                <w:rFonts w:hint="eastAsia" w:ascii="宋体" w:hAnsi="宋体" w:eastAsia="宋体" w:cs="宋体"/>
                <w:color w:val="auto"/>
                <w:sz w:val="22"/>
                <w:szCs w:val="22"/>
                <w:highlight w:val="none"/>
              </w:rPr>
            </w:pPr>
          </w:p>
        </w:tc>
        <w:tc>
          <w:tcPr>
            <w:tcW w:w="1689" w:type="dxa"/>
            <w:vMerge w:val="continue"/>
          </w:tcPr>
          <w:p>
            <w:pPr>
              <w:spacing w:line="480" w:lineRule="exact"/>
              <w:rPr>
                <w:rFonts w:hint="eastAsia" w:ascii="宋体" w:hAnsi="宋体" w:eastAsia="宋体" w:cs="宋体"/>
                <w:color w:val="auto"/>
                <w:sz w:val="22"/>
                <w:szCs w:val="22"/>
                <w:highlight w:val="none"/>
              </w:rPr>
            </w:pPr>
          </w:p>
        </w:tc>
        <w:tc>
          <w:tcPr>
            <w:tcW w:w="728" w:type="dxa"/>
            <w:vMerge w:val="continue"/>
          </w:tcPr>
          <w:p>
            <w:pPr>
              <w:spacing w:line="480" w:lineRule="exact"/>
              <w:rPr>
                <w:rFonts w:hint="eastAsia" w:ascii="宋体" w:hAnsi="宋体" w:eastAsia="宋体" w:cs="宋体"/>
                <w:color w:val="auto"/>
                <w:sz w:val="22"/>
                <w:szCs w:val="22"/>
                <w:highlight w:val="none"/>
              </w:rPr>
            </w:pPr>
          </w:p>
        </w:tc>
        <w:tc>
          <w:tcPr>
            <w:tcW w:w="1487"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非生产性</w:t>
            </w:r>
          </w:p>
        </w:tc>
        <w:tc>
          <w:tcPr>
            <w:tcW w:w="1488" w:type="dxa"/>
          </w:tcPr>
          <w:p>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Merge w:val="continue"/>
          </w:tcPr>
          <w:p>
            <w:pPr>
              <w:spacing w:line="480" w:lineRule="exact"/>
              <w:rPr>
                <w:rFonts w:hint="eastAsia" w:ascii="宋体" w:hAnsi="宋体" w:eastAsia="宋体" w:cs="宋体"/>
                <w:color w:val="auto"/>
                <w:sz w:val="22"/>
                <w:szCs w:val="22"/>
                <w:highlight w:val="none"/>
              </w:rPr>
            </w:pPr>
          </w:p>
        </w:tc>
        <w:tc>
          <w:tcPr>
            <w:tcW w:w="4064" w:type="dxa"/>
            <w:gridSpan w:val="4"/>
            <w:vMerge w:val="continue"/>
          </w:tcPr>
          <w:p>
            <w:pPr>
              <w:spacing w:line="480" w:lineRule="exact"/>
              <w:rPr>
                <w:rFonts w:hint="eastAsia" w:ascii="宋体" w:hAnsi="宋体" w:eastAsia="宋体" w:cs="宋体"/>
                <w:color w:val="auto"/>
                <w:sz w:val="22"/>
                <w:szCs w:val="22"/>
                <w:highlight w:val="none"/>
              </w:rPr>
            </w:pPr>
          </w:p>
        </w:tc>
      </w:tr>
    </w:tbl>
    <w:p>
      <w:pPr>
        <w:spacing w:line="460" w:lineRule="exact"/>
        <w:rPr>
          <w:rFonts w:hint="eastAsia" w:ascii="宋体" w:hAnsi="宋体" w:eastAsia="宋体" w:cs="宋体"/>
          <w:color w:val="auto"/>
          <w:sz w:val="22"/>
          <w:szCs w:val="22"/>
          <w:highlight w:val="none"/>
        </w:rPr>
        <w:sectPr>
          <w:pgSz w:w="16838" w:h="11906" w:orient="landscape"/>
          <w:pgMar w:top="1134" w:right="1134" w:bottom="1134" w:left="1134" w:header="850" w:footer="992" w:gutter="0"/>
          <w:cols w:space="720" w:num="1"/>
          <w:docGrid w:type="lines" w:linePitch="321" w:charSpace="0"/>
        </w:sectPr>
      </w:pPr>
    </w:p>
    <w:p>
      <w:pPr>
        <w:spacing w:line="380" w:lineRule="exact"/>
        <w:jc w:val="center"/>
        <w:outlineLvl w:val="3"/>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3、</w:t>
      </w:r>
      <w:r>
        <w:rPr>
          <w:rFonts w:hint="eastAsia" w:ascii="宋体" w:hAnsi="宋体" w:eastAsia="宋体" w:cs="宋体"/>
          <w:b/>
          <w:color w:val="auto"/>
          <w:sz w:val="28"/>
          <w:szCs w:val="28"/>
          <w:highlight w:val="none"/>
          <w:lang w:val="zh-CN"/>
        </w:rPr>
        <w:t>偏离表（</w:t>
      </w:r>
      <w:r>
        <w:rPr>
          <w:rFonts w:hint="eastAsia" w:ascii="宋体" w:hAnsi="宋体" w:eastAsia="宋体" w:cs="宋体"/>
          <w:b/>
          <w:color w:val="auto"/>
          <w:sz w:val="28"/>
          <w:szCs w:val="28"/>
          <w:highlight w:val="none"/>
        </w:rPr>
        <w:t>商务、技术偏离</w:t>
      </w:r>
      <w:r>
        <w:rPr>
          <w:rFonts w:hint="eastAsia" w:ascii="宋体" w:hAnsi="宋体" w:eastAsia="宋体" w:cs="宋体"/>
          <w:b/>
          <w:color w:val="auto"/>
          <w:sz w:val="28"/>
          <w:szCs w:val="28"/>
          <w:highlight w:val="none"/>
          <w:lang w:val="zh-CN"/>
        </w:rPr>
        <w:t>）</w:t>
      </w:r>
    </w:p>
    <w:p>
      <w:pPr>
        <w:spacing w:line="560" w:lineRule="exact"/>
        <w:ind w:firstLine="433" w:firstLineChars="196"/>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44"/>
        <w:gridCol w:w="34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34"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  号</w:t>
            </w:r>
          </w:p>
        </w:tc>
        <w:tc>
          <w:tcPr>
            <w:tcW w:w="3544"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w:t>
            </w:r>
          </w:p>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规格要求</w:t>
            </w:r>
          </w:p>
        </w:tc>
        <w:tc>
          <w:tcPr>
            <w:tcW w:w="3402"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w:t>
            </w:r>
          </w:p>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对应规格</w:t>
            </w:r>
          </w:p>
        </w:tc>
        <w:tc>
          <w:tcPr>
            <w:tcW w:w="1843"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134" w:type="dxa"/>
            <w:vAlign w:val="center"/>
          </w:tcPr>
          <w:p>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bl>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z w:val="22"/>
          <w:szCs w:val="22"/>
          <w:highlight w:val="none"/>
        </w:rPr>
        <w:t>注： 如有偏离，必须在偏离表中进行详细对比说明并注明正偏离和负偏离，如不说明偏离情况，视为完全响应采购文件要求无偏离</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rPr>
          <w:rFonts w:hint="eastAsia" w:ascii="宋体" w:hAnsi="宋体" w:eastAsia="宋体" w:cs="宋体"/>
          <w:bCs/>
          <w:color w:val="auto"/>
          <w:sz w:val="22"/>
          <w:szCs w:val="22"/>
          <w:highlight w:val="none"/>
        </w:rPr>
      </w:pPr>
    </w:p>
    <w:p>
      <w:pPr>
        <w:rPr>
          <w:rFonts w:hint="eastAsia" w:ascii="宋体" w:hAnsi="宋体" w:eastAsia="宋体" w:cs="宋体"/>
          <w:bCs/>
          <w:color w:val="auto"/>
          <w:sz w:val="22"/>
          <w:szCs w:val="22"/>
          <w:highlight w:val="none"/>
        </w:rPr>
      </w:pPr>
    </w:p>
    <w:p>
      <w:pPr>
        <w:rPr>
          <w:rFonts w:hint="eastAsia" w:ascii="宋体" w:hAnsi="宋体" w:eastAsia="宋体" w:cs="宋体"/>
          <w:b/>
          <w:color w:val="auto"/>
          <w:sz w:val="24"/>
          <w:highlight w:val="none"/>
        </w:rPr>
      </w:pPr>
      <w:bookmarkStart w:id="40" w:name="_Toc415152386"/>
      <w:r>
        <w:rPr>
          <w:rFonts w:hint="eastAsia" w:ascii="宋体" w:hAnsi="宋体" w:eastAsia="宋体" w:cs="宋体"/>
          <w:b/>
          <w:color w:val="auto"/>
          <w:sz w:val="24"/>
          <w:highlight w:val="none"/>
        </w:rPr>
        <w:br w:type="page"/>
      </w:r>
    </w:p>
    <w:bookmarkEnd w:id="40"/>
    <w:p>
      <w:pPr>
        <w:spacing w:line="380" w:lineRule="exact"/>
        <w:jc w:val="center"/>
        <w:outlineLvl w:val="3"/>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4、企业综合情况</w:t>
      </w:r>
    </w:p>
    <w:p>
      <w:pPr>
        <w:spacing w:line="480" w:lineRule="exac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pStyle w:val="31"/>
        <w:spacing w:line="400" w:lineRule="atLeast"/>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spacing w:line="460" w:lineRule="exact"/>
        <w:ind w:firstLine="5060" w:firstLineChars="2300"/>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p>
    <w:p>
      <w:pPr>
        <w:spacing w:line="380" w:lineRule="exact"/>
        <w:rPr>
          <w:rFonts w:hint="eastAsia" w:ascii="宋体" w:hAnsi="宋体" w:eastAsia="宋体" w:cs="宋体"/>
          <w:b/>
          <w:color w:val="auto"/>
          <w:sz w:val="36"/>
          <w:szCs w:val="36"/>
          <w:highlight w:val="none"/>
        </w:rPr>
      </w:pPr>
    </w:p>
    <w:p>
      <w:pPr>
        <w:spacing w:line="380" w:lineRule="exact"/>
        <w:jc w:val="center"/>
        <w:outlineLvl w:val="3"/>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lang w:val="en-US" w:eastAsia="zh-CN"/>
        </w:rPr>
        <w:t>、检测情况</w:t>
      </w:r>
    </w:p>
    <w:p>
      <w:pPr>
        <w:spacing w:line="400" w:lineRule="exact"/>
        <w:jc w:val="center"/>
        <w:outlineLvl w:val="9"/>
        <w:rPr>
          <w:rFonts w:hint="eastAsia" w:ascii="宋体" w:hAnsi="宋体" w:eastAsia="宋体" w:cs="宋体"/>
          <w:b/>
          <w:color w:val="auto"/>
          <w:sz w:val="28"/>
          <w:szCs w:val="28"/>
          <w:highlight w:val="none"/>
          <w:lang w:val="zh-CN"/>
        </w:rPr>
      </w:pPr>
    </w:p>
    <w:p>
      <w:pPr>
        <w:spacing w:line="380" w:lineRule="exact"/>
        <w:rPr>
          <w:rFonts w:hint="eastAsia" w:ascii="宋体" w:hAnsi="宋体" w:eastAsia="宋体" w:cs="宋体"/>
          <w:color w:val="auto"/>
          <w:sz w:val="36"/>
          <w:szCs w:val="36"/>
          <w:highlight w:val="none"/>
        </w:rPr>
      </w:pPr>
      <w:r>
        <w:rPr>
          <w:rFonts w:hint="eastAsia" w:ascii="宋体" w:hAnsi="宋体" w:eastAsia="宋体" w:cs="宋体"/>
          <w:b/>
          <w:color w:val="auto"/>
          <w:sz w:val="22"/>
          <w:szCs w:val="22"/>
          <w:highlight w:val="none"/>
        </w:rPr>
        <w:t>项目名称：                                          项目编号：</w:t>
      </w:r>
    </w:p>
    <w:tbl>
      <w:tblPr>
        <w:tblStyle w:val="5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32" w:hRule="atLeast"/>
          <w:jc w:val="center"/>
        </w:trPr>
        <w:tc>
          <w:tcPr>
            <w:tcW w:w="9473" w:type="dxa"/>
            <w:vAlign w:val="center"/>
          </w:tcPr>
          <w:p>
            <w:pPr>
              <w:jc w:val="center"/>
              <w:rPr>
                <w:rFonts w:hint="eastAsia" w:ascii="宋体" w:hAnsi="宋体" w:eastAsia="宋体" w:cs="宋体"/>
                <w:b/>
                <w:color w:val="auto"/>
                <w:szCs w:val="21"/>
                <w:highlight w:val="none"/>
              </w:rPr>
            </w:pPr>
          </w:p>
        </w:tc>
      </w:tr>
    </w:tbl>
    <w:p>
      <w:pPr>
        <w:spacing w:line="380" w:lineRule="exact"/>
        <w:rPr>
          <w:rFonts w:hint="eastAsia" w:ascii="宋体" w:hAnsi="宋体" w:eastAsia="宋体" w:cs="宋体"/>
          <w:color w:val="auto"/>
          <w:sz w:val="36"/>
          <w:szCs w:val="36"/>
          <w:highlight w:val="none"/>
        </w:rPr>
      </w:pPr>
    </w:p>
    <w:p>
      <w:pPr>
        <w:spacing w:line="380" w:lineRule="exact"/>
        <w:rPr>
          <w:rFonts w:hint="eastAsia" w:ascii="宋体" w:hAnsi="宋体" w:eastAsia="宋体" w:cs="宋体"/>
          <w:color w:val="auto"/>
          <w:sz w:val="36"/>
          <w:szCs w:val="36"/>
          <w:highlight w:val="none"/>
        </w:rPr>
      </w:pP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color w:val="auto"/>
          <w:highlight w:val="none"/>
        </w:rPr>
      </w:pPr>
      <w:r>
        <w:rPr>
          <w:rFonts w:hint="eastAsia" w:ascii="宋体" w:hAnsi="宋体" w:eastAsia="宋体" w:cs="宋体"/>
          <w:color w:val="auto"/>
          <w:sz w:val="22"/>
          <w:szCs w:val="22"/>
          <w:highlight w:val="none"/>
        </w:rPr>
        <w:t>日  期：</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380" w:lineRule="exact"/>
        <w:jc w:val="center"/>
        <w:outlineLvl w:val="3"/>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lang w:val="en-US" w:eastAsia="zh-CN"/>
        </w:rPr>
        <w:t>、生产设备及工艺</w:t>
      </w:r>
    </w:p>
    <w:p>
      <w:pPr>
        <w:spacing w:line="400" w:lineRule="exact"/>
        <w:jc w:val="center"/>
        <w:outlineLvl w:val="9"/>
        <w:rPr>
          <w:rFonts w:hint="eastAsia" w:ascii="宋体" w:hAnsi="宋体" w:eastAsia="宋体" w:cs="宋体"/>
          <w:b/>
          <w:color w:val="auto"/>
          <w:sz w:val="24"/>
          <w:highlight w:val="none"/>
          <w:lang w:val="zh-CN"/>
        </w:rPr>
      </w:pPr>
    </w:p>
    <w:p>
      <w:pP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pStyle w:val="31"/>
        <w:tabs>
          <w:tab w:val="left" w:pos="0"/>
          <w:tab w:val="left" w:pos="540"/>
        </w:tabs>
        <w:spacing w:line="300" w:lineRule="auto"/>
        <w:ind w:firstLine="221" w:firstLineChars="100"/>
        <w:rPr>
          <w:rFonts w:hint="eastAsia" w:ascii="宋体" w:hAnsi="宋体" w:eastAsia="宋体" w:cs="宋体"/>
          <w:color w:val="auto"/>
          <w:sz w:val="22"/>
          <w:szCs w:val="22"/>
          <w:highlight w:val="none"/>
        </w:rPr>
      </w:pPr>
    </w:p>
    <w:p>
      <w:pPr>
        <w:pStyle w:val="31"/>
        <w:spacing w:line="400" w:lineRule="atLeast"/>
        <w:ind w:left="657" w:leftChars="313" w:firstLine="3975" w:firstLineChars="1800"/>
        <w:rPr>
          <w:rFonts w:hint="eastAsia" w:ascii="宋体" w:hAnsi="宋体" w:eastAsia="宋体" w:cs="宋体"/>
          <w:color w:val="auto"/>
          <w:sz w:val="22"/>
          <w:highlight w:val="none"/>
        </w:rPr>
      </w:pPr>
    </w:p>
    <w:p>
      <w:pPr>
        <w:pStyle w:val="31"/>
        <w:spacing w:line="460" w:lineRule="atLeast"/>
        <w:ind w:left="657" w:leftChars="313" w:firstLine="3960" w:firstLineChars="18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投标人名称（盖章）：</w:t>
      </w:r>
    </w:p>
    <w:p>
      <w:pPr>
        <w:pStyle w:val="31"/>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投标人代表（签字）：   </w:t>
      </w:r>
    </w:p>
    <w:p>
      <w:pPr>
        <w:pStyle w:val="31"/>
        <w:spacing w:line="460" w:lineRule="atLeast"/>
        <w:ind w:left="660" w:hanging="660" w:hangingChars="3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 xml:space="preserve">                                          日   期： </w:t>
      </w:r>
    </w:p>
    <w:p>
      <w:pPr>
        <w:pStyle w:val="31"/>
        <w:spacing w:line="460" w:lineRule="atLeast"/>
        <w:ind w:left="660" w:hanging="660" w:hangingChars="300"/>
        <w:rPr>
          <w:rFonts w:hint="eastAsia" w:ascii="宋体" w:hAnsi="宋体" w:eastAsia="宋体" w:cs="宋体"/>
          <w:b w:val="0"/>
          <w:bCs/>
          <w:color w:val="auto"/>
          <w:sz w:val="22"/>
          <w:highlight w:val="none"/>
        </w:rPr>
      </w:pPr>
    </w:p>
    <w:p>
      <w:pPr>
        <w:rPr>
          <w:rFonts w:hint="eastAsia" w:ascii="宋体" w:hAnsi="宋体" w:eastAsia="宋体" w:cs="宋体"/>
          <w:b/>
          <w:color w:val="auto"/>
          <w:sz w:val="24"/>
          <w:highlight w:val="none"/>
          <w:lang w:val="en-US" w:eastAsia="zh-CN"/>
        </w:rPr>
      </w:pPr>
    </w:p>
    <w:p>
      <w:pPr>
        <w:pStyle w:val="2"/>
        <w:rPr>
          <w:rFonts w:hint="eastAsia"/>
          <w:color w:val="auto"/>
          <w:highlight w:val="none"/>
          <w:lang w:val="en-US" w:eastAsia="zh-CN"/>
        </w:rPr>
      </w:pPr>
    </w:p>
    <w:p>
      <w:pPr>
        <w:spacing w:line="380" w:lineRule="exact"/>
        <w:jc w:val="center"/>
        <w:outlineLvl w:val="3"/>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lang w:val="en-US" w:eastAsia="zh-CN"/>
        </w:rPr>
        <w:t>、产品配置及技术参数</w:t>
      </w:r>
    </w:p>
    <w:p>
      <w:pPr>
        <w:spacing w:line="400" w:lineRule="exact"/>
        <w:jc w:val="center"/>
        <w:outlineLvl w:val="9"/>
        <w:rPr>
          <w:rFonts w:hint="eastAsia" w:ascii="宋体" w:hAnsi="宋体" w:eastAsia="宋体" w:cs="宋体"/>
          <w:b/>
          <w:color w:val="auto"/>
          <w:sz w:val="24"/>
          <w:highlight w:val="none"/>
          <w:lang w:val="zh-CN" w:eastAsia="zh-CN"/>
        </w:rPr>
      </w:pPr>
    </w:p>
    <w:p>
      <w:pPr>
        <w:spacing w:line="38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项目名称：                                          项目编号：</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spacing w:line="460" w:lineRule="exact"/>
        <w:rPr>
          <w:rFonts w:hint="eastAsia" w:ascii="宋体" w:hAnsi="宋体" w:eastAsia="宋体" w:cs="宋体"/>
          <w:color w:val="auto"/>
          <w:sz w:val="22"/>
          <w:szCs w:val="22"/>
          <w:highlight w:val="none"/>
        </w:rPr>
      </w:pPr>
    </w:p>
    <w:p>
      <w:pPr>
        <w:spacing w:line="460" w:lineRule="exact"/>
        <w:rPr>
          <w:rFonts w:hint="eastAsia" w:ascii="宋体" w:hAnsi="宋体" w:eastAsia="宋体" w:cs="宋体"/>
          <w:color w:val="auto"/>
          <w:sz w:val="22"/>
          <w:szCs w:val="22"/>
          <w:highlight w:val="none"/>
        </w:rPr>
      </w:pPr>
    </w:p>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pStyle w:val="31"/>
        <w:spacing w:line="460" w:lineRule="atLeast"/>
        <w:ind w:left="659" w:leftChars="314" w:firstLine="3740" w:firstLineChars="1700"/>
        <w:rPr>
          <w:rFonts w:hint="eastAsia" w:ascii="宋体" w:hAnsi="宋体" w:eastAsia="宋体" w:cs="宋体"/>
          <w:b w:val="0"/>
          <w:bCs/>
          <w:color w:val="auto"/>
          <w:sz w:val="22"/>
          <w:highlight w:val="none"/>
        </w:rPr>
      </w:pPr>
      <w:r>
        <w:rPr>
          <w:rFonts w:hint="eastAsia" w:ascii="宋体" w:hAnsi="宋体" w:eastAsia="宋体" w:cs="宋体"/>
          <w:b w:val="0"/>
          <w:color w:val="auto"/>
          <w:kern w:val="2"/>
          <w:sz w:val="22"/>
          <w:szCs w:val="22"/>
          <w:highlight w:val="none"/>
        </w:rPr>
        <w:t>日  期：</w:t>
      </w:r>
      <w:r>
        <w:rPr>
          <w:rFonts w:hint="eastAsia" w:ascii="宋体" w:hAnsi="宋体" w:eastAsia="宋体" w:cs="宋体"/>
          <w:b w:val="0"/>
          <w:bCs/>
          <w:color w:val="auto"/>
          <w:sz w:val="22"/>
          <w:highlight w:val="none"/>
        </w:rPr>
        <w:t xml:space="preserve"> </w:t>
      </w:r>
    </w:p>
    <w:p>
      <w:pPr>
        <w:pStyle w:val="31"/>
        <w:spacing w:line="400" w:lineRule="atLeast"/>
        <w:rPr>
          <w:rFonts w:hint="eastAsia" w:ascii="宋体" w:hAnsi="宋体" w:eastAsia="宋体" w:cs="宋体"/>
          <w:color w:val="auto"/>
          <w:sz w:val="22"/>
          <w:highlight w:val="none"/>
        </w:rPr>
      </w:pPr>
    </w:p>
    <w:p>
      <w:pPr>
        <w:spacing w:line="380" w:lineRule="exact"/>
        <w:jc w:val="center"/>
        <w:outlineLvl w:val="3"/>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8</w:t>
      </w:r>
      <w:r>
        <w:rPr>
          <w:rFonts w:hint="eastAsia" w:ascii="宋体" w:hAnsi="宋体" w:eastAsia="宋体" w:cs="宋体"/>
          <w:b/>
          <w:color w:val="auto"/>
          <w:sz w:val="28"/>
          <w:szCs w:val="28"/>
          <w:highlight w:val="none"/>
          <w:lang w:val="en-US" w:eastAsia="zh-CN"/>
        </w:rPr>
        <w:t>、保证措施</w:t>
      </w:r>
    </w:p>
    <w:p>
      <w:pPr>
        <w:spacing w:line="400" w:lineRule="exact"/>
        <w:jc w:val="center"/>
        <w:outlineLvl w:val="9"/>
        <w:rPr>
          <w:rFonts w:hint="eastAsia" w:ascii="宋体" w:hAnsi="宋体" w:eastAsia="宋体" w:cs="宋体"/>
          <w:b/>
          <w:color w:val="auto"/>
          <w:sz w:val="24"/>
          <w:highlight w:val="none"/>
          <w:lang w:val="zh-CN"/>
        </w:rPr>
      </w:pPr>
    </w:p>
    <w:p>
      <w:pPr>
        <w:spacing w:line="38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pStyle w:val="31"/>
        <w:spacing w:line="460" w:lineRule="atLeast"/>
        <w:ind w:left="659" w:leftChars="314" w:firstLine="3740" w:firstLineChars="1700"/>
        <w:rPr>
          <w:rFonts w:hint="eastAsia" w:ascii="宋体" w:hAnsi="宋体" w:eastAsia="宋体" w:cs="宋体"/>
          <w:b w:val="0"/>
          <w:bCs/>
          <w:color w:val="auto"/>
          <w:sz w:val="22"/>
          <w:highlight w:val="none"/>
        </w:rPr>
      </w:pPr>
      <w:r>
        <w:rPr>
          <w:rFonts w:hint="eastAsia" w:ascii="宋体" w:hAnsi="宋体" w:eastAsia="宋体" w:cs="宋体"/>
          <w:b w:val="0"/>
          <w:color w:val="auto"/>
          <w:kern w:val="2"/>
          <w:sz w:val="22"/>
          <w:szCs w:val="22"/>
          <w:highlight w:val="none"/>
        </w:rPr>
        <w:t>日  期：</w:t>
      </w:r>
      <w:r>
        <w:rPr>
          <w:rFonts w:hint="eastAsia" w:ascii="宋体" w:hAnsi="宋体" w:eastAsia="宋体" w:cs="宋体"/>
          <w:b w:val="0"/>
          <w:bCs/>
          <w:color w:val="auto"/>
          <w:sz w:val="22"/>
          <w:highlight w:val="none"/>
        </w:rPr>
        <w:t xml:space="preserve"> </w:t>
      </w:r>
    </w:p>
    <w:p>
      <w:pPr>
        <w:spacing w:line="460" w:lineRule="exact"/>
        <w:ind w:firstLine="4400" w:firstLineChars="2000"/>
        <w:rPr>
          <w:rFonts w:hint="eastAsia" w:ascii="宋体" w:hAnsi="宋体" w:eastAsia="宋体" w:cs="宋体"/>
          <w:color w:val="auto"/>
          <w:sz w:val="22"/>
          <w:szCs w:val="22"/>
          <w:highlight w:val="none"/>
        </w:rPr>
      </w:pPr>
    </w:p>
    <w:p>
      <w:pPr>
        <w:spacing w:line="460" w:lineRule="exact"/>
        <w:ind w:firstLine="4400" w:firstLineChars="2000"/>
        <w:rPr>
          <w:rFonts w:hint="eastAsia" w:ascii="宋体" w:hAnsi="宋体" w:eastAsia="宋体" w:cs="宋体"/>
          <w:color w:val="auto"/>
          <w:sz w:val="22"/>
          <w:szCs w:val="22"/>
          <w:highlight w:val="none"/>
        </w:rPr>
      </w:pP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spacing w:line="380" w:lineRule="exact"/>
        <w:jc w:val="center"/>
        <w:outlineLvl w:val="3"/>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9</w:t>
      </w:r>
      <w:r>
        <w:rPr>
          <w:rFonts w:hint="eastAsia" w:ascii="宋体" w:hAnsi="宋体" w:eastAsia="宋体" w:cs="宋体"/>
          <w:b/>
          <w:color w:val="auto"/>
          <w:sz w:val="28"/>
          <w:szCs w:val="28"/>
          <w:highlight w:val="none"/>
          <w:lang w:val="en-US" w:eastAsia="zh-CN"/>
        </w:rPr>
        <w:t>、业绩</w:t>
      </w:r>
    </w:p>
    <w:p>
      <w:p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项目名称：                                                项目编号：</w:t>
      </w:r>
    </w:p>
    <w:tbl>
      <w:tblPr>
        <w:tblStyle w:val="53"/>
        <w:tblpPr w:leftFromText="180" w:rightFromText="180" w:vertAnchor="text" w:horzAnchor="page" w:tblpX="1177" w:tblpY="4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用户名称</w:t>
            </w: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合同金额</w:t>
            </w: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联系方式</w:t>
            </w: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bl>
    <w:p>
      <w:pPr>
        <w:spacing w:line="460" w:lineRule="exact"/>
        <w:ind w:firstLine="5060" w:firstLineChars="2300"/>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pPr>
        <w:spacing w:line="380" w:lineRule="exact"/>
        <w:ind w:firstLine="4400" w:firstLineChars="2000"/>
        <w:rPr>
          <w:rFonts w:hint="eastAsia" w:ascii="宋体" w:hAnsi="宋体" w:eastAsia="宋体" w:cs="宋体"/>
          <w:color w:val="auto"/>
          <w:sz w:val="22"/>
          <w:szCs w:val="22"/>
          <w:highlight w:val="none"/>
        </w:rPr>
      </w:pPr>
    </w:p>
    <w:p>
      <w:pPr>
        <w:spacing w:line="460" w:lineRule="exact"/>
        <w:ind w:firstLine="4400" w:firstLineChars="2000"/>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pPr>
        <w:spacing w:line="380" w:lineRule="exact"/>
        <w:jc w:val="center"/>
        <w:outlineLvl w:val="3"/>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w:t>
      </w:r>
      <w:r>
        <w:rPr>
          <w:rFonts w:hint="eastAsia" w:ascii="宋体" w:hAnsi="宋体" w:cs="宋体"/>
          <w:b/>
          <w:color w:val="auto"/>
          <w:sz w:val="28"/>
          <w:szCs w:val="28"/>
          <w:highlight w:val="none"/>
          <w:lang w:val="en-US" w:eastAsia="zh-CN"/>
        </w:rPr>
        <w:t>0</w:t>
      </w:r>
      <w:r>
        <w:rPr>
          <w:rFonts w:hint="eastAsia" w:ascii="宋体" w:hAnsi="宋体" w:eastAsia="宋体" w:cs="宋体"/>
          <w:b/>
          <w:color w:val="auto"/>
          <w:sz w:val="28"/>
          <w:szCs w:val="28"/>
          <w:highlight w:val="none"/>
          <w:lang w:val="en-US" w:eastAsia="zh-CN"/>
        </w:rPr>
        <w:t>、售后服务方案</w:t>
      </w:r>
    </w:p>
    <w:p>
      <w:p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3" w:hRule="atLeast"/>
          <w:jc w:val="center"/>
        </w:trPr>
        <w:tc>
          <w:tcPr>
            <w:tcW w:w="9242" w:type="dxa"/>
            <w:noWrap w:val="0"/>
            <w:vAlign w:val="top"/>
          </w:tcPr>
          <w:p>
            <w:pPr>
              <w:spacing w:line="500" w:lineRule="exact"/>
              <w:jc w:val="center"/>
              <w:rPr>
                <w:rFonts w:hint="eastAsia" w:ascii="宋体" w:hAnsi="宋体" w:eastAsia="宋体" w:cs="宋体"/>
                <w:b/>
                <w:color w:val="auto"/>
                <w:sz w:val="22"/>
                <w:highlight w:val="none"/>
              </w:rPr>
            </w:pPr>
          </w:p>
        </w:tc>
      </w:tr>
    </w:tbl>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pPr>
        <w:rPr>
          <w:rFonts w:hint="eastAsia" w:ascii="宋体" w:hAnsi="宋体" w:eastAsia="宋体" w:cs="宋体"/>
          <w:color w:val="auto"/>
          <w:highlight w:val="none"/>
        </w:rPr>
      </w:pP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spacing w:line="380" w:lineRule="exact"/>
        <w:jc w:val="center"/>
        <w:outlineLvl w:val="3"/>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w:t>
      </w: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lang w:val="en-US" w:eastAsia="zh-CN"/>
        </w:rPr>
        <w:t>、服务网点</w:t>
      </w:r>
    </w:p>
    <w:p>
      <w:p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2" w:hRule="atLeast"/>
          <w:jc w:val="center"/>
        </w:trPr>
        <w:tc>
          <w:tcPr>
            <w:tcW w:w="9242" w:type="dxa"/>
            <w:noWrap w:val="0"/>
            <w:vAlign w:val="top"/>
          </w:tcPr>
          <w:p>
            <w:pPr>
              <w:spacing w:line="500" w:lineRule="exact"/>
              <w:jc w:val="center"/>
              <w:rPr>
                <w:rFonts w:hint="eastAsia" w:ascii="宋体" w:hAnsi="宋体" w:eastAsia="宋体" w:cs="宋体"/>
                <w:b/>
                <w:color w:val="auto"/>
                <w:sz w:val="22"/>
                <w:highlight w:val="none"/>
              </w:rPr>
            </w:pPr>
          </w:p>
        </w:tc>
      </w:tr>
    </w:tbl>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pPr>
        <w:rPr>
          <w:rFonts w:hint="eastAsia" w:ascii="宋体" w:hAnsi="宋体" w:eastAsia="宋体" w:cs="宋体"/>
          <w:b/>
          <w:bCs/>
          <w:color w:val="auto"/>
          <w:sz w:val="28"/>
          <w:szCs w:val="28"/>
          <w:highlight w:val="none"/>
        </w:rPr>
      </w:pP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spacing w:line="380" w:lineRule="exact"/>
        <w:jc w:val="center"/>
        <w:outlineLvl w:val="3"/>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w:t>
      </w:r>
      <w:r>
        <w:rPr>
          <w:rFonts w:hint="eastAsia" w:ascii="宋体" w:hAnsi="宋体" w:cs="宋体"/>
          <w:b/>
          <w:color w:val="auto"/>
          <w:sz w:val="28"/>
          <w:szCs w:val="28"/>
          <w:highlight w:val="none"/>
          <w:lang w:val="en-US" w:eastAsia="zh-CN"/>
        </w:rPr>
        <w:t>2</w:t>
      </w:r>
      <w:r>
        <w:rPr>
          <w:rFonts w:hint="eastAsia" w:ascii="宋体" w:hAnsi="宋体" w:eastAsia="宋体" w:cs="宋体"/>
          <w:b/>
          <w:color w:val="auto"/>
          <w:sz w:val="28"/>
          <w:szCs w:val="28"/>
          <w:highlight w:val="none"/>
          <w:lang w:val="en-US" w:eastAsia="zh-CN"/>
        </w:rPr>
        <w:t>、应急保障</w:t>
      </w:r>
    </w:p>
    <w:p>
      <w:p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5" w:hRule="atLeast"/>
          <w:jc w:val="center"/>
        </w:trPr>
        <w:tc>
          <w:tcPr>
            <w:tcW w:w="9242" w:type="dxa"/>
            <w:noWrap w:val="0"/>
            <w:vAlign w:val="top"/>
          </w:tcPr>
          <w:p>
            <w:pPr>
              <w:spacing w:line="500" w:lineRule="exact"/>
              <w:jc w:val="center"/>
              <w:rPr>
                <w:rFonts w:hint="eastAsia" w:ascii="宋体" w:hAnsi="宋体" w:eastAsia="宋体" w:cs="宋体"/>
                <w:b/>
                <w:color w:val="auto"/>
                <w:sz w:val="22"/>
                <w:highlight w:val="none"/>
              </w:rPr>
            </w:pPr>
          </w:p>
        </w:tc>
      </w:tr>
    </w:tbl>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pPr>
        <w:rPr>
          <w:rFonts w:hint="eastAsia" w:ascii="宋体" w:hAnsi="宋体" w:eastAsia="宋体" w:cs="宋体"/>
          <w:b/>
          <w:bCs/>
          <w:color w:val="auto"/>
          <w:sz w:val="28"/>
          <w:szCs w:val="28"/>
          <w:highlight w:val="none"/>
        </w:rPr>
      </w:pP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spacing w:line="380" w:lineRule="exact"/>
        <w:jc w:val="center"/>
        <w:outlineLvl w:val="3"/>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w:t>
      </w:r>
      <w:r>
        <w:rPr>
          <w:rFonts w:hint="eastAsia" w:ascii="宋体" w:hAnsi="宋体" w:cs="宋体"/>
          <w:b/>
          <w:color w:val="auto"/>
          <w:sz w:val="28"/>
          <w:szCs w:val="28"/>
          <w:highlight w:val="none"/>
          <w:lang w:val="en-US" w:eastAsia="zh-CN"/>
        </w:rPr>
        <w:t>3</w:t>
      </w:r>
      <w:r>
        <w:rPr>
          <w:rFonts w:hint="eastAsia" w:ascii="宋体" w:hAnsi="宋体" w:eastAsia="宋体" w:cs="宋体"/>
          <w:b/>
          <w:color w:val="auto"/>
          <w:sz w:val="28"/>
          <w:szCs w:val="28"/>
          <w:highlight w:val="none"/>
          <w:lang w:val="en-US" w:eastAsia="zh-CN"/>
        </w:rPr>
        <w:t>、其他优惠承诺</w:t>
      </w:r>
    </w:p>
    <w:p>
      <w:p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项目名称：                                                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8" w:hRule="atLeast"/>
          <w:jc w:val="center"/>
        </w:trPr>
        <w:tc>
          <w:tcPr>
            <w:tcW w:w="9561" w:type="dxa"/>
            <w:noWrap w:val="0"/>
            <w:vAlign w:val="top"/>
          </w:tcPr>
          <w:p>
            <w:pPr>
              <w:spacing w:line="500" w:lineRule="exact"/>
              <w:jc w:val="center"/>
              <w:rPr>
                <w:rFonts w:hint="eastAsia" w:ascii="宋体" w:hAnsi="宋体" w:eastAsia="宋体" w:cs="宋体"/>
                <w:b/>
                <w:color w:val="auto"/>
                <w:sz w:val="22"/>
                <w:highlight w:val="none"/>
              </w:rPr>
            </w:pPr>
          </w:p>
        </w:tc>
      </w:tr>
    </w:tbl>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pPr>
        <w:rPr>
          <w:rFonts w:hint="eastAsia" w:ascii="宋体" w:hAnsi="宋体" w:eastAsia="宋体" w:cs="宋体"/>
          <w:b/>
          <w:color w:val="auto"/>
          <w:highlight w:val="none"/>
        </w:rPr>
      </w:pPr>
    </w:p>
    <w:p>
      <w:pPr>
        <w:rPr>
          <w:rFonts w:hint="eastAsia" w:ascii="宋体" w:hAnsi="宋体" w:eastAsia="宋体" w:cs="宋体"/>
          <w:b/>
          <w:color w:val="auto"/>
          <w:highlight w:val="none"/>
        </w:rPr>
      </w:pPr>
      <w:r>
        <w:rPr>
          <w:rFonts w:hint="eastAsia" w:ascii="宋体" w:hAnsi="宋体" w:eastAsia="宋体" w:cs="宋体"/>
          <w:color w:val="auto"/>
          <w:highlight w:val="none"/>
        </w:rPr>
        <w:br w:type="page"/>
      </w:r>
    </w:p>
    <w:p>
      <w:pPr>
        <w:pStyle w:val="4"/>
        <w:numPr>
          <w:ilvl w:val="0"/>
          <w:numId w:val="7"/>
        </w:numPr>
        <w:bidi w:val="0"/>
        <w:rPr>
          <w:rFonts w:hint="eastAsia" w:ascii="宋体" w:hAnsi="宋体" w:eastAsia="宋体" w:cs="宋体"/>
          <w:b/>
          <w:color w:val="auto"/>
          <w:highlight w:val="none"/>
        </w:rPr>
      </w:pPr>
      <w:r>
        <w:rPr>
          <w:rFonts w:hint="eastAsia" w:ascii="宋体" w:hAnsi="宋体" w:eastAsia="宋体" w:cs="宋体"/>
          <w:color w:val="auto"/>
          <w:highlight w:val="none"/>
        </w:rPr>
        <w:t xml:space="preserve">  </w:t>
      </w:r>
      <w:bookmarkStart w:id="41" w:name="_Toc10142"/>
      <w:bookmarkStart w:id="42" w:name="_Toc3381"/>
      <w:bookmarkStart w:id="43" w:name="_Toc221356895"/>
      <w:bookmarkStart w:id="44" w:name="_Toc221356958"/>
      <w:r>
        <w:rPr>
          <w:rFonts w:hint="eastAsia" w:ascii="宋体" w:hAnsi="宋体" w:eastAsia="宋体" w:cs="宋体"/>
          <w:color w:val="auto"/>
          <w:highlight w:val="none"/>
        </w:rPr>
        <w:t>项目技术规范和服务要求</w:t>
      </w:r>
      <w:bookmarkEnd w:id="41"/>
      <w:bookmarkEnd w:id="42"/>
    </w:p>
    <w:bookmarkEnd w:id="43"/>
    <w:bookmarkEnd w:id="44"/>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color w:val="auto"/>
          <w:sz w:val="22"/>
          <w:szCs w:val="22"/>
          <w:highlight w:val="none"/>
          <w:lang w:val="zh-CN"/>
        </w:rPr>
      </w:pPr>
      <w:bookmarkStart w:id="45" w:name="_Toc182398356"/>
      <w:bookmarkStart w:id="46" w:name="_Toc188355454"/>
      <w:bookmarkStart w:id="47" w:name="_Toc175826929"/>
      <w:bookmarkStart w:id="48" w:name="_Toc18194"/>
      <w:bookmarkStart w:id="49" w:name="_Toc30323"/>
      <w:r>
        <w:rPr>
          <w:rFonts w:hint="eastAsia" w:ascii="新宋体" w:hAnsi="新宋体" w:eastAsia="新宋体" w:cs="新宋体"/>
          <w:b/>
          <w:color w:val="auto"/>
          <w:sz w:val="22"/>
          <w:szCs w:val="22"/>
          <w:highlight w:val="none"/>
          <w:lang w:val="zh-CN"/>
        </w:rPr>
        <w:t>一．总体要求</w:t>
      </w:r>
      <w:bookmarkEnd w:id="45"/>
    </w:p>
    <w:p>
      <w:pPr>
        <w:keepNext w:val="0"/>
        <w:keepLines w:val="0"/>
        <w:pageBreakBefore w:val="0"/>
        <w:widowControl w:val="0"/>
        <w:kinsoku/>
        <w:wordWrap/>
        <w:overflowPunct/>
        <w:topLinePunct w:val="0"/>
        <w:autoSpaceDE/>
        <w:autoSpaceDN/>
        <w:bidi w:val="0"/>
        <w:adjustRightInd/>
        <w:snapToGrid/>
        <w:spacing w:line="460" w:lineRule="exact"/>
        <w:ind w:left="0" w:leftChars="0"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供应商应对招标标段范围内的所有内容进行投标，提供产品及其附件的设计、采购、制造、检测、试验、至最终目的地的运输和保险、现场仓储以及安装、验收、技术服务及相关文件的提交、质保期维护等服务。</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投标供应商所投产品及主要部件的名称、品牌、型号、技术参数、性能、数量、单价、合价、制造商、质保期等应在投标文件中明确，对采购文件的技术条款及要求应予以实质性响应，如有偏离应在偏离表中注明。</w:t>
      </w:r>
    </w:p>
    <w:bookmarkEnd w:id="46"/>
    <w:bookmarkEnd w:id="47"/>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lang w:val="zh-CN"/>
        </w:rPr>
        <w:t>二、招标内容一览表</w:t>
      </w:r>
    </w:p>
    <w:p>
      <w:pPr>
        <w:keepNext w:val="0"/>
        <w:keepLines w:val="0"/>
        <w:pageBreakBefore w:val="0"/>
        <w:widowControl w:val="0"/>
        <w:kinsoku/>
        <w:wordWrap/>
        <w:overflowPunct/>
        <w:topLinePunct w:val="0"/>
        <w:bidi w:val="0"/>
        <w:spacing w:line="460" w:lineRule="exact"/>
        <w:ind w:left="439" w:leftChars="209"/>
        <w:rPr>
          <w:rFonts w:hint="eastAsia" w:ascii="新宋体" w:hAnsi="新宋体" w:eastAsia="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食堂一次性用品采购，</w:t>
      </w:r>
      <w:r>
        <w:rPr>
          <w:rFonts w:hint="eastAsia" w:ascii="新宋体" w:hAnsi="新宋体" w:eastAsia="新宋体" w:cs="新宋体"/>
          <w:color w:val="auto"/>
          <w:sz w:val="22"/>
          <w:szCs w:val="22"/>
          <w:highlight w:val="none"/>
          <w:lang w:val="en-US" w:eastAsia="zh-CN"/>
        </w:rPr>
        <w:t>包括</w:t>
      </w:r>
      <w:r>
        <w:rPr>
          <w:rFonts w:hint="eastAsia" w:ascii="宋体" w:hAnsi="宋体" w:eastAsia="宋体" w:cs="宋体"/>
          <w:color w:val="auto"/>
          <w:sz w:val="22"/>
          <w:szCs w:val="22"/>
          <w:highlight w:val="none"/>
          <w:lang w:val="en-US" w:eastAsia="zh-CN"/>
        </w:rPr>
        <w:t>四格饭盒</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四格饭盒封口膜</w:t>
      </w:r>
      <w:r>
        <w:rPr>
          <w:rFonts w:hint="eastAsia" w:ascii="宋体" w:hAnsi="宋体" w:cs="宋体"/>
          <w:color w:val="auto"/>
          <w:sz w:val="22"/>
          <w:szCs w:val="22"/>
          <w:highlight w:val="none"/>
          <w:lang w:eastAsia="zh-CN"/>
        </w:rPr>
        <w:t>、</w:t>
      </w:r>
      <w:r>
        <w:rPr>
          <w:rFonts w:hint="eastAsia" w:ascii="宋体" w:hAnsi="宋体" w:eastAsia="宋体" w:cs="宋体"/>
          <w:bCs/>
          <w:color w:val="auto"/>
          <w:kern w:val="0"/>
          <w:sz w:val="22"/>
          <w:szCs w:val="22"/>
          <w:highlight w:val="none"/>
          <w:lang w:eastAsia="zh-CN" w:bidi="ar"/>
        </w:rPr>
        <w:t>四格餐盒（</w:t>
      </w:r>
      <w:r>
        <w:rPr>
          <w:rFonts w:hint="eastAsia" w:ascii="宋体" w:hAnsi="宋体" w:eastAsia="宋体" w:cs="宋体"/>
          <w:bCs/>
          <w:color w:val="auto"/>
          <w:kern w:val="0"/>
          <w:sz w:val="22"/>
          <w:szCs w:val="22"/>
          <w:highlight w:val="none"/>
          <w:lang w:val="en-US" w:eastAsia="zh-CN" w:bidi="ar"/>
        </w:rPr>
        <w:t>带盖子）</w:t>
      </w:r>
      <w:r>
        <w:rPr>
          <w:rFonts w:hint="eastAsia" w:ascii="宋体" w:hAnsi="宋体" w:cs="宋体"/>
          <w:bCs/>
          <w:color w:val="auto"/>
          <w:kern w:val="0"/>
          <w:sz w:val="22"/>
          <w:szCs w:val="22"/>
          <w:highlight w:val="none"/>
          <w:lang w:val="en-US" w:eastAsia="zh-CN" w:bidi="ar"/>
        </w:rPr>
        <w:t>、</w:t>
      </w:r>
      <w:r>
        <w:rPr>
          <w:rFonts w:hint="eastAsia" w:ascii="宋体" w:hAnsi="宋体" w:eastAsia="宋体" w:cs="宋体"/>
          <w:color w:val="auto"/>
          <w:sz w:val="22"/>
          <w:szCs w:val="22"/>
          <w:highlight w:val="none"/>
        </w:rPr>
        <w:t>小菜碟</w:t>
      </w:r>
      <w:r>
        <w:rPr>
          <w:rFonts w:hint="eastAsia" w:ascii="宋体" w:hAnsi="宋体" w:eastAsia="宋体" w:cs="宋体"/>
          <w:color w:val="auto"/>
          <w:sz w:val="22"/>
          <w:szCs w:val="22"/>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lang w:val="zh-CN"/>
        </w:rPr>
        <w:t>三、技术规格及配置要求</w:t>
      </w:r>
    </w:p>
    <w:tbl>
      <w:tblPr>
        <w:tblStyle w:val="53"/>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58"/>
        <w:gridCol w:w="1213"/>
        <w:gridCol w:w="1350"/>
        <w:gridCol w:w="3137"/>
        <w:gridCol w:w="931"/>
        <w:gridCol w:w="2144"/>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58"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1213"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产品名称</w:t>
            </w:r>
          </w:p>
        </w:tc>
        <w:tc>
          <w:tcPr>
            <w:tcW w:w="1350" w:type="dxa"/>
            <w:shd w:val="clear" w:color="auto" w:fill="auto"/>
            <w:noWrap w:val="0"/>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rPr>
              <w:t>预计</w:t>
            </w:r>
            <w:r>
              <w:rPr>
                <w:rFonts w:hint="eastAsia" w:ascii="宋体" w:hAnsi="宋体" w:eastAsia="宋体" w:cs="宋体"/>
                <w:b/>
                <w:color w:val="auto"/>
                <w:sz w:val="22"/>
                <w:szCs w:val="22"/>
                <w:highlight w:val="none"/>
                <w:lang w:val="en-US" w:eastAsia="zh-CN"/>
              </w:rPr>
              <w:t>年用量</w:t>
            </w:r>
          </w:p>
        </w:tc>
        <w:tc>
          <w:tcPr>
            <w:tcW w:w="3137"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产品</w:t>
            </w:r>
            <w:r>
              <w:rPr>
                <w:rFonts w:hint="eastAsia" w:ascii="宋体" w:hAnsi="宋体" w:eastAsia="宋体" w:cs="宋体"/>
                <w:b/>
                <w:color w:val="auto"/>
                <w:sz w:val="22"/>
                <w:szCs w:val="22"/>
                <w:highlight w:val="none"/>
                <w:lang w:val="en-US" w:eastAsia="zh-CN"/>
              </w:rPr>
              <w:t>要求</w:t>
            </w:r>
          </w:p>
        </w:tc>
        <w:tc>
          <w:tcPr>
            <w:tcW w:w="931"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颜色</w:t>
            </w:r>
          </w:p>
        </w:tc>
        <w:tc>
          <w:tcPr>
            <w:tcW w:w="2144"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参考图样</w:t>
            </w:r>
          </w:p>
        </w:tc>
        <w:tc>
          <w:tcPr>
            <w:tcW w:w="1308"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最高限价单价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58"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213"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四格饭盒</w:t>
            </w:r>
          </w:p>
        </w:tc>
        <w:tc>
          <w:tcPr>
            <w:tcW w:w="1350" w:type="dxa"/>
            <w:shd w:val="clear" w:color="auto" w:fill="auto"/>
            <w:noWrap w:val="0"/>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515</w:t>
            </w:r>
            <w:r>
              <w:rPr>
                <w:rFonts w:hint="eastAsia" w:ascii="宋体" w:hAnsi="宋体" w:eastAsia="宋体" w:cs="宋体"/>
                <w:color w:val="auto"/>
                <w:sz w:val="22"/>
                <w:szCs w:val="22"/>
                <w:highlight w:val="none"/>
                <w:lang w:val="en-US" w:eastAsia="zh-CN"/>
              </w:rPr>
              <w:t>000</w:t>
            </w:r>
            <w:r>
              <w:rPr>
                <w:rFonts w:hint="eastAsia" w:ascii="宋体" w:hAnsi="宋体" w:eastAsia="宋体" w:cs="宋体"/>
                <w:color w:val="auto"/>
                <w:sz w:val="22"/>
                <w:szCs w:val="22"/>
                <w:highlight w:val="none"/>
              </w:rPr>
              <w:t>只</w:t>
            </w:r>
          </w:p>
        </w:tc>
        <w:tc>
          <w:tcPr>
            <w:tcW w:w="3137" w:type="dxa"/>
            <w:shd w:val="clear" w:color="auto" w:fill="auto"/>
            <w:noWrap/>
            <w:vAlign w:val="center"/>
          </w:tcPr>
          <w:p>
            <w:pPr>
              <w:keepNext w:val="0"/>
              <w:keepLines w:val="0"/>
              <w:pageBreakBefore w:val="0"/>
              <w:widowControl w:val="0"/>
              <w:kinsoku/>
              <w:wordWrap/>
              <w:overflowPunct/>
              <w:topLinePunct w:val="0"/>
              <w:bidi w:val="0"/>
              <w:spacing w:line="46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1、材质：</w:t>
            </w:r>
            <w:r>
              <w:rPr>
                <w:rFonts w:hint="eastAsia" w:ascii="宋体" w:hAnsi="宋体" w:eastAsia="宋体" w:cs="宋体"/>
                <w:b w:val="0"/>
                <w:bCs w:val="0"/>
                <w:color w:val="auto"/>
                <w:sz w:val="22"/>
                <w:szCs w:val="22"/>
                <w:highlight w:val="none"/>
              </w:rPr>
              <w:t>聚丙烯</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PP</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无毒、无味、无臭；环保型。</w:t>
            </w:r>
          </w:p>
          <w:p>
            <w:pPr>
              <w:keepNext w:val="0"/>
              <w:keepLines w:val="0"/>
              <w:pageBreakBefore w:val="0"/>
              <w:widowControl w:val="0"/>
              <w:kinsoku/>
              <w:wordWrap/>
              <w:overflowPunct/>
              <w:topLinePunct w:val="0"/>
              <w:bidi w:val="0"/>
              <w:spacing w:line="46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2、外径大小：235*204*35mm，</w:t>
            </w:r>
          </w:p>
          <w:p>
            <w:pPr>
              <w:keepNext w:val="0"/>
              <w:keepLines w:val="0"/>
              <w:pageBreakBefore w:val="0"/>
              <w:widowControl w:val="0"/>
              <w:kinsoku/>
              <w:wordWrap/>
              <w:overflowPunct/>
              <w:topLinePunct w:val="0"/>
              <w:bidi w:val="0"/>
              <w:spacing w:line="46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内径：213*182*35mm。</w:t>
            </w:r>
          </w:p>
          <w:p>
            <w:pPr>
              <w:keepNext w:val="0"/>
              <w:keepLines w:val="0"/>
              <w:pageBreakBefore w:val="0"/>
              <w:widowControl w:val="0"/>
              <w:numPr>
                <w:ilvl w:val="0"/>
                <w:numId w:val="0"/>
              </w:numPr>
              <w:kinsoku/>
              <w:wordWrap/>
              <w:overflowPunct/>
              <w:topLinePunct w:val="0"/>
              <w:bidi w:val="0"/>
              <w:spacing w:line="460" w:lineRule="exact"/>
              <w:jc w:val="lef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重量≥</w:t>
            </w:r>
            <w:r>
              <w:rPr>
                <w:rFonts w:hint="eastAsia" w:ascii="宋体" w:hAnsi="宋体" w:eastAsia="宋体" w:cs="宋体"/>
                <w:b w:val="0"/>
                <w:bCs w:val="0"/>
                <w:color w:val="auto"/>
                <w:sz w:val="22"/>
                <w:szCs w:val="22"/>
                <w:highlight w:val="none"/>
                <w:lang w:val="en-US" w:eastAsia="zh-CN"/>
              </w:rPr>
              <w:t>31</w:t>
            </w:r>
            <w:r>
              <w:rPr>
                <w:rFonts w:hint="eastAsia" w:ascii="宋体" w:hAnsi="宋体" w:eastAsia="宋体" w:cs="宋体"/>
                <w:b w:val="0"/>
                <w:bCs w:val="0"/>
                <w:color w:val="auto"/>
                <w:sz w:val="22"/>
                <w:szCs w:val="22"/>
                <w:highlight w:val="none"/>
              </w:rPr>
              <w:t>克/只</w:t>
            </w:r>
            <w:r>
              <w:rPr>
                <w:rFonts w:hint="eastAsia" w:ascii="宋体" w:hAnsi="宋体" w:eastAsia="宋体" w:cs="宋体"/>
                <w:b w:val="0"/>
                <w:bCs w:val="0"/>
                <w:color w:val="auto"/>
                <w:sz w:val="22"/>
                <w:szCs w:val="22"/>
                <w:highlight w:val="none"/>
                <w:lang w:eastAsia="zh-CN"/>
              </w:rPr>
              <w:t>。</w:t>
            </w:r>
          </w:p>
          <w:p>
            <w:pPr>
              <w:pStyle w:val="2"/>
              <w:keepNext w:val="0"/>
              <w:keepLines w:val="0"/>
              <w:pageBreakBefore w:val="0"/>
              <w:widowControl w:val="0"/>
              <w:numPr>
                <w:ilvl w:val="0"/>
                <w:numId w:val="0"/>
              </w:numPr>
              <w:kinsoku/>
              <w:wordWrap/>
              <w:overflowPunct/>
              <w:topLinePunct w:val="0"/>
              <w:bidi w:val="0"/>
              <w:spacing w:line="460" w:lineRule="exact"/>
              <w:ind w:leftChars="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4、要与医院现在用的封口设备适配。</w:t>
            </w:r>
          </w:p>
          <w:p>
            <w:pPr>
              <w:keepNext w:val="0"/>
              <w:keepLines w:val="0"/>
              <w:pageBreakBefore w:val="0"/>
              <w:widowControl w:val="0"/>
              <w:numPr>
                <w:ilvl w:val="0"/>
                <w:numId w:val="0"/>
              </w:numPr>
              <w:kinsoku/>
              <w:wordWrap/>
              <w:overflowPunct/>
              <w:topLinePunct w:val="0"/>
              <w:bidi w:val="0"/>
              <w:spacing w:line="460" w:lineRule="exact"/>
              <w:ind w:left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5、盒子加封口筋。</w:t>
            </w:r>
          </w:p>
        </w:tc>
        <w:tc>
          <w:tcPr>
            <w:tcW w:w="931"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乳白色</w:t>
            </w:r>
          </w:p>
        </w:tc>
        <w:tc>
          <w:tcPr>
            <w:tcW w:w="2144"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drawing>
                <wp:anchor distT="0" distB="0" distL="114300" distR="114300" simplePos="0" relativeHeight="251665408" behindDoc="0" locked="0" layoutInCell="1" allowOverlap="1">
                  <wp:simplePos x="0" y="0"/>
                  <wp:positionH relativeFrom="column">
                    <wp:posOffset>7620</wp:posOffset>
                  </wp:positionH>
                  <wp:positionV relativeFrom="paragraph">
                    <wp:posOffset>1455420</wp:posOffset>
                  </wp:positionV>
                  <wp:extent cx="1240790" cy="511175"/>
                  <wp:effectExtent l="0" t="0" r="16510" b="3175"/>
                  <wp:wrapTopAndBottom/>
                  <wp:docPr id="11" name="图片 2" descr="28c3ac12ec31769e3a7a611afbb03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28c3ac12ec31769e3a7a611afbb03a9"/>
                          <pic:cNvPicPr>
                            <a:picLocks noChangeAspect="1"/>
                          </pic:cNvPicPr>
                        </pic:nvPicPr>
                        <pic:blipFill>
                          <a:blip r:embed="rId8"/>
                          <a:stretch>
                            <a:fillRect/>
                          </a:stretch>
                        </pic:blipFill>
                        <pic:spPr>
                          <a:xfrm>
                            <a:off x="0" y="0"/>
                            <a:ext cx="1240790" cy="511175"/>
                          </a:xfrm>
                          <a:prstGeom prst="rect">
                            <a:avLst/>
                          </a:prstGeom>
                          <a:noFill/>
                          <a:ln>
                            <a:noFill/>
                          </a:ln>
                        </pic:spPr>
                      </pic:pic>
                    </a:graphicData>
                  </a:graphic>
                </wp:anchor>
              </w:drawing>
            </w:r>
            <w:r>
              <w:rPr>
                <w:rFonts w:hint="eastAsia" w:ascii="宋体" w:hAnsi="宋体" w:eastAsia="宋体" w:cs="宋体"/>
                <w:color w:val="auto"/>
                <w:sz w:val="22"/>
                <w:szCs w:val="22"/>
                <w:highlight w:val="none"/>
                <w:lang w:eastAsia="zh-CN"/>
              </w:rPr>
              <w:drawing>
                <wp:anchor distT="0" distB="0" distL="114300" distR="114300" simplePos="0" relativeHeight="251664384" behindDoc="0" locked="0" layoutInCell="1" allowOverlap="1">
                  <wp:simplePos x="0" y="0"/>
                  <wp:positionH relativeFrom="column">
                    <wp:posOffset>1270</wp:posOffset>
                  </wp:positionH>
                  <wp:positionV relativeFrom="paragraph">
                    <wp:posOffset>176530</wp:posOffset>
                  </wp:positionV>
                  <wp:extent cx="1228725" cy="922020"/>
                  <wp:effectExtent l="0" t="0" r="9525" b="11430"/>
                  <wp:wrapTopAndBottom/>
                  <wp:docPr id="2" name="图片 1" descr="89905ffcdf1daf3905558810aee0b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89905ffcdf1daf3905558810aee0b95"/>
                          <pic:cNvPicPr>
                            <a:picLocks noChangeAspect="1"/>
                          </pic:cNvPicPr>
                        </pic:nvPicPr>
                        <pic:blipFill>
                          <a:blip r:embed="rId9"/>
                          <a:stretch>
                            <a:fillRect/>
                          </a:stretch>
                        </pic:blipFill>
                        <pic:spPr>
                          <a:xfrm>
                            <a:off x="0" y="0"/>
                            <a:ext cx="1228725" cy="922020"/>
                          </a:xfrm>
                          <a:prstGeom prst="rect">
                            <a:avLst/>
                          </a:prstGeom>
                          <a:noFill/>
                          <a:ln>
                            <a:noFill/>
                          </a:ln>
                        </pic:spPr>
                      </pic:pic>
                    </a:graphicData>
                  </a:graphic>
                </wp:anchor>
              </w:drawing>
            </w:r>
          </w:p>
          <w:p>
            <w:pPr>
              <w:pStyle w:val="2"/>
              <w:keepNext w:val="0"/>
              <w:keepLines w:val="0"/>
              <w:pageBreakBefore w:val="0"/>
              <w:widowControl w:val="0"/>
              <w:kinsoku/>
              <w:wordWrap/>
              <w:overflowPunct/>
              <w:topLinePunct w:val="0"/>
              <w:bidi w:val="0"/>
              <w:spacing w:line="460" w:lineRule="exact"/>
              <w:ind w:left="0" w:leftChars="0" w:firstLine="0" w:firstLineChars="0"/>
              <w:rPr>
                <w:rFonts w:hint="eastAsia" w:ascii="宋体" w:hAnsi="宋体" w:eastAsia="宋体" w:cs="宋体"/>
                <w:color w:val="auto"/>
                <w:sz w:val="22"/>
                <w:szCs w:val="22"/>
                <w:highlight w:val="none"/>
                <w:lang w:eastAsia="zh-CN"/>
              </w:rPr>
            </w:pPr>
          </w:p>
        </w:tc>
        <w:tc>
          <w:tcPr>
            <w:tcW w:w="1308"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0.4</w:t>
            </w: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元/只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7" w:hRule="atLeast"/>
          <w:jc w:val="center"/>
        </w:trPr>
        <w:tc>
          <w:tcPr>
            <w:tcW w:w="658"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213"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四格饭盒封口膜</w:t>
            </w:r>
          </w:p>
        </w:tc>
        <w:tc>
          <w:tcPr>
            <w:tcW w:w="1350" w:type="dxa"/>
            <w:shd w:val="clear" w:color="auto" w:fill="auto"/>
            <w:noWrap w:val="0"/>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2000公斤</w:t>
            </w:r>
          </w:p>
        </w:tc>
        <w:tc>
          <w:tcPr>
            <w:tcW w:w="3137" w:type="dxa"/>
            <w:shd w:val="clear" w:color="auto" w:fill="auto"/>
            <w:noWrap/>
            <w:vAlign w:val="center"/>
          </w:tcPr>
          <w:p>
            <w:pPr>
              <w:keepNext w:val="0"/>
              <w:keepLines w:val="0"/>
              <w:pageBreakBefore w:val="0"/>
              <w:widowControl w:val="0"/>
              <w:kinsoku/>
              <w:wordWrap/>
              <w:overflowPunct/>
              <w:topLinePunct w:val="0"/>
              <w:bidi w:val="0"/>
              <w:spacing w:line="46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eastAsia="zh-CN"/>
              </w:rPr>
              <w:t>材质：</w:t>
            </w:r>
            <w:r>
              <w:rPr>
                <w:rFonts w:hint="eastAsia" w:ascii="宋体" w:hAnsi="宋体" w:eastAsia="宋体" w:cs="宋体"/>
                <w:b w:val="0"/>
                <w:bCs w:val="0"/>
                <w:color w:val="auto"/>
                <w:sz w:val="22"/>
                <w:szCs w:val="22"/>
                <w:highlight w:val="none"/>
                <w:lang w:val="en-US" w:eastAsia="zh-CN"/>
              </w:rPr>
              <w:t>PET/PE，易撕，无毒、无味、无臭；环保型。</w:t>
            </w:r>
          </w:p>
          <w:p>
            <w:pPr>
              <w:pStyle w:val="2"/>
              <w:keepNext w:val="0"/>
              <w:keepLines w:val="0"/>
              <w:pageBreakBefore w:val="0"/>
              <w:widowControl w:val="0"/>
              <w:kinsoku/>
              <w:wordWrap/>
              <w:overflowPunct/>
              <w:topLinePunct w:val="0"/>
              <w:bidi w:val="0"/>
              <w:spacing w:line="460" w:lineRule="exact"/>
              <w:ind w:left="0" w:leftChars="0" w:firstLine="0" w:firstLineChars="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2、膜宽425mm,厚度7丝±5%。</w:t>
            </w:r>
          </w:p>
          <w:p>
            <w:pPr>
              <w:keepNext w:val="0"/>
              <w:keepLines w:val="0"/>
              <w:pageBreakBefore w:val="0"/>
              <w:widowControl w:val="0"/>
              <w:kinsoku/>
              <w:wordWrap/>
              <w:overflowPunct/>
              <w:topLinePunct w:val="0"/>
              <w:bidi w:val="0"/>
              <w:spacing w:line="460" w:lineRule="exac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3、无印刷。</w:t>
            </w:r>
          </w:p>
          <w:p>
            <w:pPr>
              <w:pStyle w:val="2"/>
              <w:keepNext w:val="0"/>
              <w:keepLines w:val="0"/>
              <w:pageBreakBefore w:val="0"/>
              <w:widowControl w:val="0"/>
              <w:kinsoku/>
              <w:wordWrap/>
              <w:overflowPunct/>
              <w:topLinePunct w:val="0"/>
              <w:bidi w:val="0"/>
              <w:spacing w:line="460" w:lineRule="exact"/>
              <w:ind w:left="0" w:leftChars="0" w:firstLine="0" w:firstLineChars="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kern w:val="0"/>
                <w:sz w:val="22"/>
                <w:szCs w:val="22"/>
                <w:highlight w:val="none"/>
              </w:rPr>
              <w:t>须与</w:t>
            </w:r>
            <w:r>
              <w:rPr>
                <w:rFonts w:hint="eastAsia" w:ascii="宋体" w:hAnsi="宋体" w:eastAsia="宋体" w:cs="宋体"/>
                <w:b w:val="0"/>
                <w:bCs w:val="0"/>
                <w:color w:val="auto"/>
                <w:kern w:val="0"/>
                <w:sz w:val="22"/>
                <w:szCs w:val="22"/>
                <w:highlight w:val="none"/>
                <w:lang w:val="en-US" w:eastAsia="zh-CN"/>
              </w:rPr>
              <w:t>四格饭盒</w:t>
            </w:r>
            <w:r>
              <w:rPr>
                <w:rFonts w:hint="eastAsia" w:ascii="宋体" w:hAnsi="宋体" w:eastAsia="宋体" w:cs="宋体"/>
                <w:b w:val="0"/>
                <w:bCs w:val="0"/>
                <w:color w:val="auto"/>
                <w:kern w:val="0"/>
                <w:sz w:val="22"/>
                <w:szCs w:val="22"/>
                <w:highlight w:val="none"/>
              </w:rPr>
              <w:t>配套</w:t>
            </w:r>
            <w:r>
              <w:rPr>
                <w:rFonts w:hint="eastAsia" w:ascii="宋体" w:hAnsi="宋体" w:eastAsia="宋体" w:cs="宋体"/>
                <w:b w:val="0"/>
                <w:bCs w:val="0"/>
                <w:color w:val="auto"/>
                <w:kern w:val="0"/>
                <w:sz w:val="22"/>
                <w:szCs w:val="22"/>
                <w:highlight w:val="none"/>
                <w:lang w:eastAsia="zh-CN"/>
              </w:rPr>
              <w:t>。</w:t>
            </w:r>
          </w:p>
        </w:tc>
        <w:tc>
          <w:tcPr>
            <w:tcW w:w="931"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w:t>
            </w:r>
          </w:p>
        </w:tc>
        <w:tc>
          <w:tcPr>
            <w:tcW w:w="2144"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drawing>
                <wp:anchor distT="0" distB="0" distL="114300" distR="114300" simplePos="0" relativeHeight="251666432" behindDoc="0" locked="0" layoutInCell="1" allowOverlap="1">
                  <wp:simplePos x="0" y="0"/>
                  <wp:positionH relativeFrom="column">
                    <wp:posOffset>9525</wp:posOffset>
                  </wp:positionH>
                  <wp:positionV relativeFrom="paragraph">
                    <wp:posOffset>311150</wp:posOffset>
                  </wp:positionV>
                  <wp:extent cx="1228725" cy="922020"/>
                  <wp:effectExtent l="0" t="0" r="9525" b="11430"/>
                  <wp:wrapTopAndBottom/>
                  <wp:docPr id="8" name="图片 3" descr="da22700c097ee447e9af852322a8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da22700c097ee447e9af852322a8390"/>
                          <pic:cNvPicPr>
                            <a:picLocks noChangeAspect="1"/>
                          </pic:cNvPicPr>
                        </pic:nvPicPr>
                        <pic:blipFill>
                          <a:blip r:embed="rId10"/>
                          <a:stretch>
                            <a:fillRect/>
                          </a:stretch>
                        </pic:blipFill>
                        <pic:spPr>
                          <a:xfrm>
                            <a:off x="0" y="0"/>
                            <a:ext cx="1228725" cy="922020"/>
                          </a:xfrm>
                          <a:prstGeom prst="rect">
                            <a:avLst/>
                          </a:prstGeom>
                          <a:noFill/>
                          <a:ln>
                            <a:noFill/>
                          </a:ln>
                        </pic:spPr>
                      </pic:pic>
                    </a:graphicData>
                  </a:graphic>
                </wp:anchor>
              </w:drawing>
            </w:r>
          </w:p>
        </w:tc>
        <w:tc>
          <w:tcPr>
            <w:tcW w:w="1308"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元/</w:t>
            </w:r>
            <w:r>
              <w:rPr>
                <w:rFonts w:hint="eastAsia" w:ascii="宋体" w:hAnsi="宋体" w:eastAsia="宋体" w:cs="宋体"/>
                <w:color w:val="auto"/>
                <w:sz w:val="22"/>
                <w:szCs w:val="22"/>
                <w:highlight w:val="none"/>
                <w:lang w:val="en-US" w:eastAsia="zh-CN"/>
              </w:rPr>
              <w:t>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8" w:hRule="atLeast"/>
          <w:jc w:val="center"/>
        </w:trPr>
        <w:tc>
          <w:tcPr>
            <w:tcW w:w="658"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213"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eastAsia="zh-CN" w:bidi="ar"/>
              </w:rPr>
              <w:t>四格餐盒（</w:t>
            </w:r>
            <w:r>
              <w:rPr>
                <w:rFonts w:hint="eastAsia" w:ascii="宋体" w:hAnsi="宋体" w:eastAsia="宋体" w:cs="宋体"/>
                <w:bCs/>
                <w:color w:val="auto"/>
                <w:kern w:val="0"/>
                <w:sz w:val="22"/>
                <w:szCs w:val="22"/>
                <w:highlight w:val="none"/>
                <w:lang w:val="en-US" w:eastAsia="zh-CN" w:bidi="ar"/>
              </w:rPr>
              <w:t>带盖子）</w:t>
            </w:r>
          </w:p>
        </w:tc>
        <w:tc>
          <w:tcPr>
            <w:tcW w:w="1350" w:type="dxa"/>
            <w:shd w:val="clear" w:color="auto" w:fill="auto"/>
            <w:noWrap w:val="0"/>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253200</w:t>
            </w:r>
            <w:r>
              <w:rPr>
                <w:rFonts w:hint="eastAsia" w:ascii="宋体" w:hAnsi="宋体" w:eastAsia="宋体" w:cs="宋体"/>
                <w:color w:val="auto"/>
                <w:sz w:val="22"/>
                <w:szCs w:val="22"/>
                <w:highlight w:val="none"/>
              </w:rPr>
              <w:t>只</w:t>
            </w:r>
          </w:p>
        </w:tc>
        <w:tc>
          <w:tcPr>
            <w:tcW w:w="3137" w:type="dxa"/>
            <w:shd w:val="clear" w:color="auto" w:fill="auto"/>
            <w:noWrap/>
            <w:vAlign w:val="center"/>
          </w:tcPr>
          <w:p>
            <w:pPr>
              <w:keepNext w:val="0"/>
              <w:keepLines w:val="0"/>
              <w:pageBreakBefore w:val="0"/>
              <w:widowControl w:val="0"/>
              <w:kinsoku/>
              <w:wordWrap/>
              <w:overflowPunct/>
              <w:topLinePunct w:val="0"/>
              <w:bidi w:val="0"/>
              <w:spacing w:line="46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1、材质：</w:t>
            </w:r>
            <w:r>
              <w:rPr>
                <w:rFonts w:hint="eastAsia" w:ascii="宋体" w:hAnsi="宋体" w:eastAsia="宋体" w:cs="宋体"/>
                <w:color w:val="auto"/>
                <w:sz w:val="22"/>
                <w:szCs w:val="22"/>
                <w:highlight w:val="none"/>
              </w:rPr>
              <w:t>聚丙烯</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PP</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无毒、无味、无臭；环保型。</w:t>
            </w:r>
          </w:p>
          <w:p>
            <w:pPr>
              <w:keepNext w:val="0"/>
              <w:keepLines w:val="0"/>
              <w:pageBreakBefore w:val="0"/>
              <w:widowControl w:val="0"/>
              <w:kinsoku/>
              <w:wordWrap/>
              <w:overflowPunct/>
              <w:topLinePunct w:val="0"/>
              <w:bidi w:val="0"/>
              <w:spacing w:line="460" w:lineRule="exact"/>
              <w:ind w:left="0" w:leftChars="0" w:firstLine="0" w:firstLineChars="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2、外径大小：220*190*45mm。</w:t>
            </w:r>
          </w:p>
          <w:p>
            <w:pPr>
              <w:keepNext w:val="0"/>
              <w:keepLines w:val="0"/>
              <w:pageBreakBefore w:val="0"/>
              <w:widowControl w:val="0"/>
              <w:kinsoku/>
              <w:wordWrap/>
              <w:overflowPunct/>
              <w:topLinePunct w:val="0"/>
              <w:bidi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3、重量≥45克/只。</w:t>
            </w:r>
          </w:p>
        </w:tc>
        <w:tc>
          <w:tcPr>
            <w:tcW w:w="931"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白色透明</w:t>
            </w:r>
          </w:p>
        </w:tc>
        <w:tc>
          <w:tcPr>
            <w:tcW w:w="2144"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drawing>
                <wp:anchor distT="0" distB="0" distL="114300" distR="114300" simplePos="0" relativeHeight="251668480" behindDoc="0" locked="0" layoutInCell="1" allowOverlap="1">
                  <wp:simplePos x="0" y="0"/>
                  <wp:positionH relativeFrom="column">
                    <wp:posOffset>24130</wp:posOffset>
                  </wp:positionH>
                  <wp:positionV relativeFrom="paragraph">
                    <wp:posOffset>1300480</wp:posOffset>
                  </wp:positionV>
                  <wp:extent cx="1225550" cy="671195"/>
                  <wp:effectExtent l="0" t="0" r="12700" b="14605"/>
                  <wp:wrapTopAndBottom/>
                  <wp:docPr id="3" name="图片 5" descr="62a3628d852fe82a1e3316181d235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62a3628d852fe82a1e3316181d2354a"/>
                          <pic:cNvPicPr>
                            <a:picLocks noChangeAspect="1"/>
                          </pic:cNvPicPr>
                        </pic:nvPicPr>
                        <pic:blipFill>
                          <a:blip r:embed="rId11"/>
                          <a:stretch>
                            <a:fillRect/>
                          </a:stretch>
                        </pic:blipFill>
                        <pic:spPr>
                          <a:xfrm>
                            <a:off x="0" y="0"/>
                            <a:ext cx="1225550" cy="671195"/>
                          </a:xfrm>
                          <a:prstGeom prst="rect">
                            <a:avLst/>
                          </a:prstGeom>
                          <a:noFill/>
                          <a:ln>
                            <a:noFill/>
                          </a:ln>
                        </pic:spPr>
                      </pic:pic>
                    </a:graphicData>
                  </a:graphic>
                </wp:anchor>
              </w:drawing>
            </w:r>
            <w:r>
              <w:rPr>
                <w:rFonts w:hint="eastAsia" w:ascii="宋体" w:hAnsi="宋体" w:eastAsia="宋体" w:cs="宋体"/>
                <w:color w:val="auto"/>
                <w:sz w:val="22"/>
                <w:szCs w:val="22"/>
                <w:highlight w:val="none"/>
                <w:lang w:eastAsia="zh-CN"/>
              </w:rPr>
              <w:drawing>
                <wp:anchor distT="0" distB="0" distL="114300" distR="114300" simplePos="0" relativeHeight="251667456" behindDoc="0" locked="0" layoutInCell="1" allowOverlap="1">
                  <wp:simplePos x="0" y="0"/>
                  <wp:positionH relativeFrom="column">
                    <wp:posOffset>-6350</wp:posOffset>
                  </wp:positionH>
                  <wp:positionV relativeFrom="paragraph">
                    <wp:posOffset>96520</wp:posOffset>
                  </wp:positionV>
                  <wp:extent cx="1228725" cy="922020"/>
                  <wp:effectExtent l="0" t="0" r="9525" b="11430"/>
                  <wp:wrapTopAndBottom/>
                  <wp:docPr id="10" name="图片 4" descr="4c5b836cdb544994b226a5ee8fe51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4c5b836cdb544994b226a5ee8fe517c"/>
                          <pic:cNvPicPr>
                            <a:picLocks noChangeAspect="1"/>
                          </pic:cNvPicPr>
                        </pic:nvPicPr>
                        <pic:blipFill>
                          <a:blip r:embed="rId12"/>
                          <a:stretch>
                            <a:fillRect/>
                          </a:stretch>
                        </pic:blipFill>
                        <pic:spPr>
                          <a:xfrm>
                            <a:off x="0" y="0"/>
                            <a:ext cx="1228725" cy="922020"/>
                          </a:xfrm>
                          <a:prstGeom prst="rect">
                            <a:avLst/>
                          </a:prstGeom>
                          <a:noFill/>
                          <a:ln>
                            <a:noFill/>
                          </a:ln>
                        </pic:spPr>
                      </pic:pic>
                    </a:graphicData>
                  </a:graphic>
                </wp:anchor>
              </w:drawing>
            </w:r>
          </w:p>
        </w:tc>
        <w:tc>
          <w:tcPr>
            <w:tcW w:w="1308"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7</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元/只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213"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小菜碟</w:t>
            </w:r>
          </w:p>
        </w:tc>
        <w:tc>
          <w:tcPr>
            <w:tcW w:w="1350" w:type="dxa"/>
            <w:shd w:val="clear" w:color="auto" w:fill="auto"/>
            <w:noWrap w:val="0"/>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16</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lang w:val="en-US" w:eastAsia="zh-CN"/>
              </w:rPr>
              <w:t>000只</w:t>
            </w:r>
          </w:p>
        </w:tc>
        <w:tc>
          <w:tcPr>
            <w:tcW w:w="3137" w:type="dxa"/>
            <w:shd w:val="clear" w:color="auto" w:fill="auto"/>
            <w:noWrap/>
            <w:vAlign w:val="center"/>
          </w:tcPr>
          <w:p>
            <w:pPr>
              <w:keepNext w:val="0"/>
              <w:keepLines w:val="0"/>
              <w:pageBreakBefore w:val="0"/>
              <w:widowControl w:val="0"/>
              <w:numPr>
                <w:ilvl w:val="0"/>
                <w:numId w:val="8"/>
              </w:numPr>
              <w:kinsoku/>
              <w:wordWrap/>
              <w:overflowPunct/>
              <w:topLinePunct w:val="0"/>
              <w:bidi w:val="0"/>
              <w:spacing w:line="460" w:lineRule="exact"/>
              <w:jc w:val="left"/>
              <w:rPr>
                <w:rFonts w:hint="eastAsia" w:ascii="宋体" w:hAnsi="宋体" w:eastAsia="宋体" w:cs="宋体"/>
                <w:bCs/>
                <w:color w:val="auto"/>
                <w:kern w:val="0"/>
                <w:sz w:val="22"/>
                <w:szCs w:val="22"/>
                <w:highlight w:val="none"/>
                <w:lang w:eastAsia="zh-CN" w:bidi="ar"/>
              </w:rPr>
            </w:pPr>
            <w:r>
              <w:rPr>
                <w:rFonts w:hint="eastAsia" w:ascii="宋体" w:hAnsi="宋体" w:eastAsia="宋体" w:cs="宋体"/>
                <w:bCs/>
                <w:color w:val="auto"/>
                <w:kern w:val="0"/>
                <w:sz w:val="22"/>
                <w:szCs w:val="22"/>
                <w:highlight w:val="none"/>
                <w:lang w:bidi="ar"/>
              </w:rPr>
              <w:t>材质：</w:t>
            </w:r>
            <w:r>
              <w:rPr>
                <w:rFonts w:hint="eastAsia" w:ascii="宋体" w:hAnsi="宋体" w:cs="宋体"/>
                <w:bCs/>
                <w:color w:val="auto"/>
                <w:kern w:val="0"/>
                <w:sz w:val="22"/>
                <w:szCs w:val="22"/>
                <w:highlight w:val="none"/>
                <w:lang w:val="en-US" w:eastAsia="zh-CN" w:bidi="ar"/>
              </w:rPr>
              <w:t>BOPS</w:t>
            </w:r>
            <w:r>
              <w:rPr>
                <w:rFonts w:hint="eastAsia" w:ascii="宋体" w:hAnsi="宋体" w:eastAsia="宋体" w:cs="宋体"/>
                <w:bCs/>
                <w:color w:val="auto"/>
                <w:kern w:val="0"/>
                <w:sz w:val="22"/>
                <w:szCs w:val="22"/>
                <w:highlight w:val="none"/>
                <w:lang w:eastAsia="zh-CN" w:bidi="ar"/>
              </w:rPr>
              <w:t>，无毒、无味、无臭；环保型。</w:t>
            </w:r>
          </w:p>
          <w:p>
            <w:pPr>
              <w:keepNext w:val="0"/>
              <w:keepLines w:val="0"/>
              <w:pageBreakBefore w:val="0"/>
              <w:widowControl w:val="0"/>
              <w:numPr>
                <w:ilvl w:val="0"/>
                <w:numId w:val="8"/>
              </w:numPr>
              <w:kinsoku/>
              <w:wordWrap/>
              <w:overflowPunct/>
              <w:topLinePunct w:val="0"/>
              <w:bidi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重量</w:t>
            </w:r>
            <w:r>
              <w:rPr>
                <w:rFonts w:hint="eastAsia" w:ascii="宋体" w:hAnsi="宋体" w:eastAsia="宋体" w:cs="宋体"/>
                <w:bCs/>
                <w:color w:val="auto"/>
                <w:kern w:val="0"/>
                <w:sz w:val="22"/>
                <w:szCs w:val="22"/>
                <w:highlight w:val="none"/>
                <w:lang w:val="en-US" w:eastAsia="zh-CN" w:bidi="ar"/>
              </w:rPr>
              <w:t>≥</w:t>
            </w:r>
            <w:r>
              <w:rPr>
                <w:rFonts w:hint="eastAsia" w:ascii="宋体" w:hAnsi="宋体" w:cs="宋体"/>
                <w:bCs/>
                <w:color w:val="auto"/>
                <w:kern w:val="0"/>
                <w:sz w:val="22"/>
                <w:szCs w:val="22"/>
                <w:highlight w:val="none"/>
                <w:lang w:val="en-US" w:eastAsia="zh-CN" w:bidi="ar"/>
              </w:rPr>
              <w:t>4</w:t>
            </w:r>
            <w:r>
              <w:rPr>
                <w:rFonts w:hint="eastAsia" w:ascii="宋体" w:hAnsi="宋体" w:eastAsia="宋体" w:cs="宋体"/>
                <w:bCs/>
                <w:color w:val="auto"/>
                <w:kern w:val="0"/>
                <w:sz w:val="22"/>
                <w:szCs w:val="22"/>
                <w:highlight w:val="none"/>
                <w:lang w:bidi="ar"/>
              </w:rPr>
              <w:t>克</w:t>
            </w:r>
            <w:r>
              <w:rPr>
                <w:rFonts w:hint="eastAsia" w:ascii="宋体" w:hAnsi="宋体" w:eastAsia="宋体" w:cs="宋体"/>
                <w:bCs/>
                <w:color w:val="auto"/>
                <w:kern w:val="0"/>
                <w:sz w:val="22"/>
                <w:szCs w:val="22"/>
                <w:highlight w:val="none"/>
                <w:lang w:val="en-US" w:eastAsia="zh-CN" w:bidi="ar"/>
              </w:rPr>
              <w:t>/只。</w:t>
            </w:r>
          </w:p>
          <w:p>
            <w:pPr>
              <w:keepNext w:val="0"/>
              <w:keepLines w:val="0"/>
              <w:pageBreakBefore w:val="0"/>
              <w:widowControl w:val="0"/>
              <w:numPr>
                <w:ilvl w:val="0"/>
                <w:numId w:val="8"/>
              </w:numPr>
              <w:kinsoku/>
              <w:wordWrap/>
              <w:overflowPunct/>
              <w:topLinePunct w:val="0"/>
              <w:bidi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val="en-US" w:eastAsia="zh-CN" w:bidi="ar"/>
              </w:rPr>
              <w:t>外径大小：</w:t>
            </w:r>
            <w:r>
              <w:rPr>
                <w:rFonts w:hint="eastAsia" w:ascii="宋体" w:hAnsi="宋体" w:eastAsia="宋体" w:cs="宋体"/>
                <w:bCs/>
                <w:color w:val="auto"/>
                <w:kern w:val="0"/>
                <w:sz w:val="22"/>
                <w:szCs w:val="22"/>
                <w:highlight w:val="none"/>
                <w:lang w:bidi="ar"/>
              </w:rPr>
              <w:t>1</w:t>
            </w:r>
            <w:r>
              <w:rPr>
                <w:rFonts w:hint="eastAsia" w:ascii="宋体" w:hAnsi="宋体" w:cs="宋体"/>
                <w:bCs/>
                <w:color w:val="auto"/>
                <w:kern w:val="0"/>
                <w:sz w:val="22"/>
                <w:szCs w:val="22"/>
                <w:highlight w:val="none"/>
                <w:lang w:val="en-US" w:eastAsia="zh-CN" w:bidi="ar"/>
              </w:rPr>
              <w:t>25</w:t>
            </w:r>
            <w:r>
              <w:rPr>
                <w:rFonts w:hint="eastAsia" w:ascii="宋体" w:hAnsi="宋体" w:eastAsia="宋体" w:cs="宋体"/>
                <w:bCs/>
                <w:color w:val="auto"/>
                <w:kern w:val="0"/>
                <w:sz w:val="22"/>
                <w:szCs w:val="22"/>
                <w:highlight w:val="none"/>
                <w:lang w:bidi="ar"/>
              </w:rPr>
              <w:t>*</w:t>
            </w:r>
            <w:r>
              <w:rPr>
                <w:rFonts w:hint="eastAsia" w:ascii="宋体" w:hAnsi="宋体" w:cs="宋体"/>
                <w:bCs/>
                <w:color w:val="auto"/>
                <w:kern w:val="0"/>
                <w:sz w:val="22"/>
                <w:szCs w:val="22"/>
                <w:highlight w:val="none"/>
                <w:lang w:val="en-US" w:eastAsia="zh-CN" w:bidi="ar"/>
              </w:rPr>
              <w:t>93</w:t>
            </w:r>
            <w:r>
              <w:rPr>
                <w:rFonts w:hint="eastAsia" w:ascii="宋体" w:hAnsi="宋体" w:eastAsia="宋体" w:cs="宋体"/>
                <w:bCs/>
                <w:color w:val="auto"/>
                <w:kern w:val="0"/>
                <w:sz w:val="22"/>
                <w:szCs w:val="22"/>
                <w:highlight w:val="none"/>
                <w:lang w:bidi="ar"/>
              </w:rPr>
              <w:t>*3</w:t>
            </w:r>
            <w:r>
              <w:rPr>
                <w:rFonts w:hint="eastAsia" w:ascii="宋体" w:hAnsi="宋体" w:cs="宋体"/>
                <w:bCs/>
                <w:color w:val="auto"/>
                <w:kern w:val="0"/>
                <w:sz w:val="22"/>
                <w:szCs w:val="22"/>
                <w:highlight w:val="none"/>
                <w:lang w:val="en-US" w:eastAsia="zh-CN" w:bidi="ar"/>
              </w:rPr>
              <w:t>3</w:t>
            </w:r>
            <w:r>
              <w:rPr>
                <w:rFonts w:hint="eastAsia" w:ascii="宋体" w:hAnsi="宋体" w:eastAsia="宋体" w:cs="宋体"/>
                <w:bCs/>
                <w:color w:val="auto"/>
                <w:kern w:val="0"/>
                <w:sz w:val="22"/>
                <w:szCs w:val="22"/>
                <w:highlight w:val="none"/>
                <w:lang w:bidi="ar"/>
              </w:rPr>
              <w:t>mm</w:t>
            </w:r>
            <w:r>
              <w:rPr>
                <w:rFonts w:hint="eastAsia" w:ascii="宋体" w:hAnsi="宋体" w:eastAsia="宋体" w:cs="宋体"/>
                <w:bCs/>
                <w:color w:val="auto"/>
                <w:kern w:val="0"/>
                <w:sz w:val="22"/>
                <w:szCs w:val="22"/>
                <w:highlight w:val="none"/>
                <w:lang w:eastAsia="zh-CN" w:bidi="ar"/>
              </w:rPr>
              <w:t>。</w:t>
            </w:r>
          </w:p>
        </w:tc>
        <w:tc>
          <w:tcPr>
            <w:tcW w:w="931"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透明</w:t>
            </w:r>
          </w:p>
        </w:tc>
        <w:tc>
          <w:tcPr>
            <w:tcW w:w="2144" w:type="dxa"/>
            <w:shd w:val="clear" w:color="auto" w:fill="auto"/>
            <w:noWrap/>
            <w:vAlign w:val="center"/>
          </w:tcPr>
          <w:p>
            <w:pPr>
              <w:keepNext w:val="0"/>
              <w:keepLines w:val="0"/>
              <w:pageBreakBefore w:val="0"/>
              <w:widowControl w:val="0"/>
              <w:kinsoku/>
              <w:wordWrap/>
              <w:overflowPunct/>
              <w:topLinePunct w:val="0"/>
              <w:bidi w:val="0"/>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drawing>
                <wp:inline distT="0" distB="0" distL="114300" distR="114300">
                  <wp:extent cx="1177925" cy="883285"/>
                  <wp:effectExtent l="0" t="0" r="3175" b="12065"/>
                  <wp:docPr id="5" name="图片 5" descr="58381d95b7fbe9d556a8164fb473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8381d95b7fbe9d556a8164fb473282"/>
                          <pic:cNvPicPr>
                            <a:picLocks noChangeAspect="1"/>
                          </pic:cNvPicPr>
                        </pic:nvPicPr>
                        <pic:blipFill>
                          <a:blip r:embed="rId13"/>
                          <a:stretch>
                            <a:fillRect/>
                          </a:stretch>
                        </pic:blipFill>
                        <pic:spPr>
                          <a:xfrm>
                            <a:off x="0" y="0"/>
                            <a:ext cx="1177925" cy="883285"/>
                          </a:xfrm>
                          <a:prstGeom prst="rect">
                            <a:avLst/>
                          </a:prstGeom>
                        </pic:spPr>
                      </pic:pic>
                    </a:graphicData>
                  </a:graphic>
                </wp:inline>
              </w:drawing>
            </w:r>
          </w:p>
        </w:tc>
        <w:tc>
          <w:tcPr>
            <w:tcW w:w="1308" w:type="dxa"/>
            <w:shd w:val="clear" w:color="auto" w:fill="auto"/>
            <w:noWrap/>
            <w:vAlign w:val="center"/>
          </w:tcPr>
          <w:p>
            <w:pPr>
              <w:keepNext w:val="0"/>
              <w:keepLines w:val="0"/>
              <w:pageBreakBefore w:val="0"/>
              <w:widowControl w:val="0"/>
              <w:kinsoku/>
              <w:wordWrap/>
              <w:overflowPunct/>
              <w:topLinePunct w:val="0"/>
              <w:bidi w:val="0"/>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0.1</w:t>
            </w:r>
            <w:r>
              <w:rPr>
                <w:rFonts w:hint="eastAsia" w:ascii="宋体" w:hAnsi="宋体" w:eastAsia="宋体" w:cs="宋体"/>
                <w:color w:val="auto"/>
                <w:sz w:val="22"/>
                <w:szCs w:val="22"/>
                <w:highlight w:val="none"/>
              </w:rPr>
              <w:t>元/</w:t>
            </w:r>
            <w:r>
              <w:rPr>
                <w:rFonts w:hint="eastAsia" w:ascii="宋体" w:hAnsi="宋体" w:cs="宋体"/>
                <w:color w:val="auto"/>
                <w:sz w:val="22"/>
                <w:szCs w:val="22"/>
                <w:highlight w:val="none"/>
                <w:lang w:val="en-US" w:eastAsia="zh-CN"/>
              </w:rPr>
              <w:t>只</w:t>
            </w:r>
          </w:p>
        </w:tc>
      </w:tr>
    </w:tbl>
    <w:p>
      <w:pPr>
        <w:keepNext w:val="0"/>
        <w:keepLines w:val="0"/>
        <w:pageBreakBefore w:val="0"/>
        <w:widowControl w:val="0"/>
        <w:kinsoku/>
        <w:wordWrap/>
        <w:overflowPunct/>
        <w:topLinePunct w:val="0"/>
        <w:autoSpaceDE w:val="0"/>
        <w:autoSpaceDN w:val="0"/>
        <w:bidi w:val="0"/>
        <w:adjustRightInd w:val="0"/>
        <w:spacing w:line="460" w:lineRule="exact"/>
        <w:jc w:val="left"/>
        <w:textAlignment w:val="auto"/>
        <w:rPr>
          <w:rFonts w:hint="eastAsia" w:ascii="宋体" w:hAnsi="宋体" w:cs="宋体"/>
          <w:b/>
          <w:color w:val="auto"/>
          <w:sz w:val="22"/>
          <w:szCs w:val="22"/>
          <w:highlight w:val="none"/>
          <w:u w:val="none"/>
        </w:rPr>
      </w:pPr>
      <w:r>
        <w:rPr>
          <w:rFonts w:hint="eastAsia" w:ascii="宋体" w:hAnsi="宋体" w:cs="宋体"/>
          <w:b/>
          <w:color w:val="auto"/>
          <w:sz w:val="22"/>
          <w:szCs w:val="22"/>
          <w:highlight w:val="none"/>
          <w:u w:val="none"/>
        </w:rPr>
        <w:t>注：</w:t>
      </w:r>
      <w:r>
        <w:rPr>
          <w:rFonts w:hint="eastAsia" w:ascii="宋体" w:hAnsi="宋体" w:cs="宋体"/>
          <w:b/>
          <w:color w:val="auto"/>
          <w:sz w:val="22"/>
          <w:szCs w:val="22"/>
          <w:highlight w:val="none"/>
          <w:u w:val="none"/>
          <w:lang w:val="en-US" w:eastAsia="zh-CN"/>
        </w:rPr>
        <w:t>1、</w:t>
      </w:r>
      <w:r>
        <w:rPr>
          <w:rFonts w:hint="eastAsia" w:ascii="宋体" w:hAnsi="宋体" w:cs="宋体"/>
          <w:b/>
          <w:color w:val="auto"/>
          <w:sz w:val="22"/>
          <w:szCs w:val="22"/>
          <w:highlight w:val="none"/>
          <w:u w:val="none"/>
        </w:rPr>
        <w:t>本项目的投标价中包含所有费用。</w:t>
      </w:r>
    </w:p>
    <w:p>
      <w:pPr>
        <w:keepNext w:val="0"/>
        <w:keepLines w:val="0"/>
        <w:pageBreakBefore w:val="0"/>
        <w:widowControl w:val="0"/>
        <w:kinsoku/>
        <w:wordWrap/>
        <w:overflowPunct/>
        <w:topLinePunct w:val="0"/>
        <w:autoSpaceDE w:val="0"/>
        <w:autoSpaceDN w:val="0"/>
        <w:bidi w:val="0"/>
        <w:adjustRightInd w:val="0"/>
        <w:spacing w:line="460" w:lineRule="exact"/>
        <w:ind w:firstLine="442" w:firstLineChars="200"/>
        <w:jc w:val="left"/>
        <w:textAlignment w:val="auto"/>
        <w:rPr>
          <w:rFonts w:hint="default" w:ascii="宋体" w:hAnsi="宋体" w:eastAsia="宋体" w:cs="宋体"/>
          <w:b/>
          <w:color w:val="auto"/>
          <w:sz w:val="22"/>
          <w:szCs w:val="22"/>
          <w:highlight w:val="none"/>
          <w:u w:val="none"/>
          <w:lang w:val="en-US" w:eastAsia="zh-CN"/>
        </w:rPr>
      </w:pPr>
      <w:r>
        <w:rPr>
          <w:rFonts w:hint="eastAsia" w:ascii="宋体" w:hAnsi="宋体" w:cs="宋体"/>
          <w:b/>
          <w:color w:val="auto"/>
          <w:sz w:val="22"/>
          <w:szCs w:val="22"/>
          <w:highlight w:val="none"/>
          <w:u w:val="none"/>
          <w:lang w:val="en-US" w:eastAsia="zh-CN"/>
        </w:rPr>
        <w:t>2、需提供</w:t>
      </w:r>
      <w:r>
        <w:rPr>
          <w:rFonts w:hint="eastAsia" w:ascii="宋体" w:hAnsi="宋体" w:cs="宋体"/>
          <w:b/>
          <w:color w:val="auto"/>
          <w:sz w:val="22"/>
          <w:szCs w:val="22"/>
          <w:highlight w:val="none"/>
          <w:u w:val="none"/>
        </w:rPr>
        <w:t>所有实物样品（四格饭盒</w:t>
      </w:r>
      <w:r>
        <w:rPr>
          <w:rFonts w:hint="eastAsia" w:ascii="宋体" w:hAnsi="宋体" w:cs="宋体"/>
          <w:b/>
          <w:color w:val="auto"/>
          <w:sz w:val="22"/>
          <w:szCs w:val="22"/>
          <w:highlight w:val="none"/>
          <w:u w:val="none"/>
          <w:lang w:eastAsia="zh-CN"/>
        </w:rPr>
        <w:t>、四格餐盒（带盖子）、小菜碟</w:t>
      </w:r>
      <w:r>
        <w:rPr>
          <w:rFonts w:hint="eastAsia" w:ascii="宋体" w:hAnsi="宋体" w:cs="宋体"/>
          <w:b/>
          <w:color w:val="auto"/>
          <w:sz w:val="22"/>
          <w:szCs w:val="22"/>
          <w:highlight w:val="none"/>
          <w:u w:val="none"/>
        </w:rPr>
        <w:t>每样</w:t>
      </w:r>
      <w:r>
        <w:rPr>
          <w:rFonts w:hint="eastAsia" w:ascii="宋体" w:hAnsi="宋体" w:cs="宋体"/>
          <w:b/>
          <w:color w:val="auto"/>
          <w:sz w:val="22"/>
          <w:szCs w:val="22"/>
          <w:highlight w:val="none"/>
          <w:u w:val="none"/>
          <w:lang w:val="en-US" w:eastAsia="zh-CN"/>
        </w:rPr>
        <w:t>各</w:t>
      </w:r>
      <w:r>
        <w:rPr>
          <w:rFonts w:hint="eastAsia" w:ascii="宋体" w:hAnsi="宋体" w:cs="宋体"/>
          <w:b/>
          <w:color w:val="auto"/>
          <w:sz w:val="22"/>
          <w:szCs w:val="22"/>
          <w:highlight w:val="none"/>
          <w:u w:val="none"/>
        </w:rPr>
        <w:t>100</w:t>
      </w:r>
      <w:r>
        <w:rPr>
          <w:rFonts w:hint="eastAsia" w:ascii="宋体" w:hAnsi="宋体" w:cs="宋体"/>
          <w:b/>
          <w:color w:val="auto"/>
          <w:sz w:val="22"/>
          <w:szCs w:val="22"/>
          <w:highlight w:val="none"/>
          <w:u w:val="none"/>
          <w:lang w:val="en-US" w:eastAsia="zh-CN"/>
        </w:rPr>
        <w:t>只</w:t>
      </w:r>
      <w:r>
        <w:rPr>
          <w:rFonts w:hint="eastAsia" w:ascii="宋体" w:hAnsi="宋体" w:cs="宋体"/>
          <w:b/>
          <w:color w:val="auto"/>
          <w:sz w:val="22"/>
          <w:szCs w:val="22"/>
          <w:highlight w:val="none"/>
          <w:u w:val="none"/>
          <w:lang w:eastAsia="zh-CN"/>
        </w:rPr>
        <w:t>；四格饭盒封口膜</w:t>
      </w:r>
      <w:r>
        <w:rPr>
          <w:rFonts w:hint="eastAsia" w:ascii="宋体" w:hAnsi="宋体" w:cs="宋体"/>
          <w:b/>
          <w:color w:val="auto"/>
          <w:sz w:val="22"/>
          <w:szCs w:val="22"/>
          <w:highlight w:val="none"/>
          <w:u w:val="none"/>
          <w:lang w:val="en-US" w:eastAsia="zh-CN"/>
        </w:rPr>
        <w:t>3-4米</w:t>
      </w:r>
      <w:r>
        <w:rPr>
          <w:rFonts w:hint="eastAsia" w:ascii="宋体" w:hAnsi="宋体" w:cs="宋体"/>
          <w:b/>
          <w:color w:val="auto"/>
          <w:sz w:val="22"/>
          <w:szCs w:val="22"/>
          <w:highlight w:val="none"/>
          <w:u w:val="none"/>
        </w:rPr>
        <w:t>）</w:t>
      </w:r>
    </w:p>
    <w:p>
      <w:pPr>
        <w:keepNext w:val="0"/>
        <w:keepLines w:val="0"/>
        <w:pageBreakBefore w:val="0"/>
        <w:widowControl w:val="0"/>
        <w:kinsoku/>
        <w:wordWrap/>
        <w:overflowPunct/>
        <w:topLinePunct w:val="0"/>
        <w:autoSpaceDE w:val="0"/>
        <w:autoSpaceDN w:val="0"/>
        <w:bidi w:val="0"/>
        <w:adjustRightInd w:val="0"/>
        <w:spacing w:line="460" w:lineRule="exact"/>
        <w:ind w:firstLine="442" w:firstLineChars="200"/>
        <w:jc w:val="left"/>
        <w:textAlignment w:val="auto"/>
        <w:rPr>
          <w:rFonts w:hint="eastAsia" w:eastAsia="宋体"/>
          <w:color w:val="auto"/>
          <w:highlight w:val="none"/>
          <w:lang w:eastAsia="zh-CN"/>
        </w:rPr>
      </w:pPr>
      <w:r>
        <w:rPr>
          <w:rFonts w:hint="eastAsia" w:ascii="宋体" w:hAnsi="宋体" w:cs="宋体"/>
          <w:b/>
          <w:color w:val="auto"/>
          <w:sz w:val="22"/>
          <w:szCs w:val="22"/>
          <w:highlight w:val="none"/>
          <w:u w:val="single"/>
        </w:rPr>
        <w:t>▲与</w:t>
      </w:r>
      <w:r>
        <w:rPr>
          <w:rFonts w:hint="eastAsia" w:ascii="宋体" w:hAnsi="宋体" w:cs="宋体"/>
          <w:b/>
          <w:color w:val="auto"/>
          <w:sz w:val="22"/>
          <w:szCs w:val="22"/>
          <w:highlight w:val="none"/>
          <w:u w:val="single"/>
          <w:lang w:val="en-US" w:eastAsia="zh-CN"/>
        </w:rPr>
        <w:t>封口</w:t>
      </w:r>
      <w:r>
        <w:rPr>
          <w:rFonts w:hint="eastAsia" w:ascii="宋体" w:hAnsi="宋体" w:cs="宋体"/>
          <w:b/>
          <w:color w:val="auto"/>
          <w:sz w:val="22"/>
          <w:szCs w:val="22"/>
          <w:highlight w:val="none"/>
          <w:u w:val="single"/>
        </w:rPr>
        <w:t>膜配套使用的一次性餐盒（封膜方式）需与医院原包装机模具配套，便于封膜包装，具体规格需自行现场查勘（李老师 联系电话：0577-56671516）</w:t>
      </w:r>
      <w:r>
        <w:rPr>
          <w:rFonts w:hint="eastAsia" w:ascii="宋体" w:hAnsi="宋体" w:cs="宋体"/>
          <w:b/>
          <w:color w:val="auto"/>
          <w:sz w:val="22"/>
          <w:szCs w:val="22"/>
          <w:highlight w:val="none"/>
          <w:u w:val="single"/>
          <w:lang w:val="en-US" w:eastAsia="zh-CN"/>
        </w:rPr>
        <w:t xml:space="preserve"> </w:t>
      </w:r>
    </w:p>
    <w:tbl>
      <w:tblPr>
        <w:tblStyle w:val="5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7"/>
        <w:gridCol w:w="4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2" w:hRule="atLeast"/>
        </w:trPr>
        <w:tc>
          <w:tcPr>
            <w:tcW w:w="4927" w:type="dxa"/>
          </w:tcPr>
          <w:p>
            <w:pPr>
              <w:pStyle w:val="2"/>
              <w:keepNext w:val="0"/>
              <w:keepLines w:val="0"/>
              <w:pageBreakBefore w:val="0"/>
              <w:widowControl w:val="0"/>
              <w:kinsoku/>
              <w:wordWrap/>
              <w:overflowPunct/>
              <w:topLinePunct w:val="0"/>
              <w:bidi w:val="0"/>
              <w:spacing w:line="460" w:lineRule="exact"/>
              <w:rPr>
                <w:rFonts w:hint="eastAsia"/>
                <w:color w:val="auto"/>
                <w:highlight w:val="none"/>
                <w:vertAlign w:val="baseline"/>
              </w:rPr>
            </w:pPr>
            <w:r>
              <w:rPr>
                <w:rFonts w:hint="eastAsia" w:eastAsia="宋体"/>
                <w:color w:val="auto"/>
                <w:highlight w:val="none"/>
                <w:lang w:eastAsia="zh-CN"/>
              </w:rPr>
              <w:drawing>
                <wp:anchor distT="0" distB="0" distL="114300" distR="114300" simplePos="0" relativeHeight="251662336" behindDoc="0" locked="0" layoutInCell="1" allowOverlap="1">
                  <wp:simplePos x="0" y="0"/>
                  <wp:positionH relativeFrom="column">
                    <wp:posOffset>74930</wp:posOffset>
                  </wp:positionH>
                  <wp:positionV relativeFrom="paragraph">
                    <wp:posOffset>155575</wp:posOffset>
                  </wp:positionV>
                  <wp:extent cx="2850515" cy="2138045"/>
                  <wp:effectExtent l="0" t="0" r="6985" b="14605"/>
                  <wp:wrapTopAndBottom/>
                  <wp:docPr id="12" name="图片 7" descr="579dc2676088481409bd7b4714ab6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579dc2676088481409bd7b4714ab62a"/>
                          <pic:cNvPicPr>
                            <a:picLocks noChangeAspect="1"/>
                          </pic:cNvPicPr>
                        </pic:nvPicPr>
                        <pic:blipFill>
                          <a:blip r:embed="rId14"/>
                          <a:stretch>
                            <a:fillRect/>
                          </a:stretch>
                        </pic:blipFill>
                        <pic:spPr>
                          <a:xfrm>
                            <a:off x="0" y="0"/>
                            <a:ext cx="2850515" cy="2138045"/>
                          </a:xfrm>
                          <a:prstGeom prst="rect">
                            <a:avLst/>
                          </a:prstGeom>
                          <a:noFill/>
                          <a:ln>
                            <a:noFill/>
                          </a:ln>
                        </pic:spPr>
                      </pic:pic>
                    </a:graphicData>
                  </a:graphic>
                </wp:anchor>
              </w:drawing>
            </w:r>
          </w:p>
        </w:tc>
        <w:tc>
          <w:tcPr>
            <w:tcW w:w="4927" w:type="dxa"/>
          </w:tcPr>
          <w:p>
            <w:pPr>
              <w:pStyle w:val="2"/>
              <w:keepNext w:val="0"/>
              <w:keepLines w:val="0"/>
              <w:pageBreakBefore w:val="0"/>
              <w:widowControl w:val="0"/>
              <w:kinsoku/>
              <w:wordWrap/>
              <w:overflowPunct/>
              <w:topLinePunct w:val="0"/>
              <w:bidi w:val="0"/>
              <w:spacing w:line="460" w:lineRule="exact"/>
              <w:rPr>
                <w:rFonts w:hint="eastAsia"/>
                <w:color w:val="auto"/>
                <w:highlight w:val="none"/>
                <w:vertAlign w:val="baseline"/>
              </w:rPr>
            </w:pPr>
            <w:r>
              <w:rPr>
                <w:rFonts w:hint="eastAsia" w:eastAsia="宋体"/>
                <w:color w:val="auto"/>
                <w:highlight w:val="none"/>
                <w:lang w:eastAsia="zh-CN"/>
              </w:rPr>
              <w:drawing>
                <wp:anchor distT="0" distB="0" distL="114300" distR="114300" simplePos="0" relativeHeight="251663360" behindDoc="0" locked="0" layoutInCell="1" allowOverlap="1">
                  <wp:simplePos x="0" y="0"/>
                  <wp:positionH relativeFrom="column">
                    <wp:posOffset>129540</wp:posOffset>
                  </wp:positionH>
                  <wp:positionV relativeFrom="paragraph">
                    <wp:posOffset>207010</wp:posOffset>
                  </wp:positionV>
                  <wp:extent cx="2818765" cy="2113915"/>
                  <wp:effectExtent l="0" t="0" r="635" b="635"/>
                  <wp:wrapTopAndBottom/>
                  <wp:docPr id="13" name="图片 8" descr="63f4959ed2af43274de23c823ba0b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63f4959ed2af43274de23c823ba0bea"/>
                          <pic:cNvPicPr>
                            <a:picLocks noChangeAspect="1"/>
                          </pic:cNvPicPr>
                        </pic:nvPicPr>
                        <pic:blipFill>
                          <a:blip r:embed="rId15"/>
                          <a:stretch>
                            <a:fillRect/>
                          </a:stretch>
                        </pic:blipFill>
                        <pic:spPr>
                          <a:xfrm>
                            <a:off x="0" y="0"/>
                            <a:ext cx="2818765" cy="2113915"/>
                          </a:xfrm>
                          <a:prstGeom prst="rect">
                            <a:avLst/>
                          </a:prstGeom>
                          <a:noFill/>
                          <a:ln>
                            <a:noFill/>
                          </a:ln>
                        </pic:spPr>
                      </pic:pic>
                    </a:graphicData>
                  </a:graphic>
                </wp:anchor>
              </w:drawing>
            </w: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lang w:val="zh-CN"/>
        </w:rPr>
        <w:t>四、说明</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1、产品标准和规范应符合最新版本的中华人民共和国国家标准/规范，或相应的国际标准/规范，或厂家标准/规范</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本标书中的技术要求不得被认为是详尽无遗的，无论规定与否，投标供应商应提供所有投标文件没有规定但投标供应商认为完成本项目必要或必须的设备和材料，应在技术标表中一一列明并在商务标分项报价表中列出对应价格。</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3、★本次标书所列设备的技术性能及配置均为最低要求，投标供应商可以按技术性能及配置要求选用的设备功能、配置、技术性能等于或高于招标文件要求，并完全满足采购需要，否则将可能作出对投标供应商不利的评定。 </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4、对于低于原厂方对外公布的基本（标准）配置进行招标的商品，无论招标文件对此有无明确规定，供应商都必须在技术标中对低于基本（标准）配置的内容作出明确说明。</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5、保证所供货物、服务或其任何一部分不受第三方提出侵犯其专利权、商标权、版权和工业设计权的指控。</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6、使用单位：温州市中医院</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7、付款方式：合同签订后，接到采购单位通知按批次供货，至采购单位验收合格后结算给成交供应商该次货款（卖方必须开具该批次金额100%的增值税专用发票）直至合同期限结束。</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8、合同期限：1年</w:t>
      </w:r>
      <w:r>
        <w:rPr>
          <w:rFonts w:hint="eastAsia" w:ascii="新宋体" w:hAnsi="新宋体" w:eastAsia="新宋体" w:cs="新宋体"/>
          <w:color w:val="auto"/>
          <w:sz w:val="22"/>
          <w:szCs w:val="22"/>
          <w:highlight w:val="none"/>
        </w:rPr>
        <w:t>（1+1年方式，第一年无质量、服务问题，可续签一年。价格不变）</w:t>
      </w:r>
    </w:p>
    <w:p>
      <w:pPr>
        <w:pageBreakBefore w:val="0"/>
        <w:kinsoku/>
        <w:wordWrap/>
        <w:overflowPunct/>
        <w:topLinePunct w:val="0"/>
        <w:autoSpaceDE/>
        <w:autoSpaceDN/>
        <w:bidi w:val="0"/>
        <w:snapToGrid/>
        <w:spacing w:line="460" w:lineRule="exact"/>
        <w:ind w:firstLine="440" w:firstLineChars="200"/>
        <w:rPr>
          <w:rFonts w:hint="eastAsia" w:ascii="宋体" w:hAnsi="宋体" w:eastAsia="宋体" w:cs="宋体"/>
          <w:color w:val="auto"/>
          <w:sz w:val="22"/>
          <w:szCs w:val="22"/>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第五部分   评标原则及方法</w:t>
      </w:r>
      <w:bookmarkEnd w:id="48"/>
      <w:bookmarkEnd w:id="49"/>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0" w:name="_Toc15713"/>
      <w:bookmarkStart w:id="51" w:name="_Toc4407"/>
      <w:r>
        <w:rPr>
          <w:rFonts w:hint="eastAsia" w:ascii="宋体" w:hAnsi="宋体" w:eastAsia="宋体" w:cs="宋体"/>
          <w:b/>
          <w:color w:val="auto"/>
          <w:sz w:val="22"/>
          <w:szCs w:val="22"/>
          <w:highlight w:val="none"/>
        </w:rPr>
        <w:t>一、总 则</w:t>
      </w:r>
      <w:bookmarkEnd w:id="50"/>
      <w:bookmarkEnd w:id="51"/>
    </w:p>
    <w:p>
      <w:pPr>
        <w:spacing w:line="460" w:lineRule="exact"/>
        <w:ind w:firstLine="539" w:firstLineChars="245"/>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2" w:name="_Toc24468"/>
      <w:bookmarkStart w:id="53" w:name="_Toc23152"/>
      <w:r>
        <w:rPr>
          <w:rFonts w:hint="eastAsia" w:ascii="宋体" w:hAnsi="宋体" w:eastAsia="宋体" w:cs="宋体"/>
          <w:b/>
          <w:color w:val="auto"/>
          <w:sz w:val="22"/>
          <w:szCs w:val="22"/>
          <w:highlight w:val="none"/>
        </w:rPr>
        <w:t>二、评标组织</w:t>
      </w:r>
      <w:bookmarkEnd w:id="52"/>
      <w:bookmarkEnd w:id="53"/>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评标工作由招标人组建的评标委员会负责，评标全过程由有关部门指导监督。</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4" w:name="_Toc15153"/>
      <w:bookmarkStart w:id="55" w:name="_Toc67"/>
      <w:r>
        <w:rPr>
          <w:rFonts w:hint="eastAsia" w:ascii="宋体" w:hAnsi="宋体" w:eastAsia="宋体" w:cs="宋体"/>
          <w:b/>
          <w:color w:val="auto"/>
          <w:sz w:val="22"/>
          <w:szCs w:val="22"/>
          <w:highlight w:val="none"/>
        </w:rPr>
        <w:t>三、评标程序</w:t>
      </w:r>
      <w:bookmarkEnd w:id="54"/>
      <w:bookmarkEnd w:id="55"/>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1、评标委员按照招标文件中规定的评标方法和标准，对投标文件进行商务和技术评估，综合比较与评价</w:t>
      </w:r>
      <w:r>
        <w:rPr>
          <w:rFonts w:hint="eastAsia" w:ascii="宋体" w:hAnsi="宋体" w:eastAsia="宋体" w:cs="宋体"/>
          <w:color w:val="auto"/>
          <w:sz w:val="22"/>
          <w:szCs w:val="22"/>
          <w:highlight w:val="none"/>
        </w:rPr>
        <w:t>，根据综合评审结果，提交评审报告。</w:t>
      </w:r>
    </w:p>
    <w:p>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2、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非单一产品采购项目，应当根据采购项目技术构成、产品价格比重等合理确定核心产品。多家投标人提供的核心产品品牌相同的，按前款规定处理。</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6" w:name="_Toc24825"/>
      <w:bookmarkStart w:id="57" w:name="_Toc11306"/>
      <w:r>
        <w:rPr>
          <w:rFonts w:hint="eastAsia" w:ascii="宋体" w:hAnsi="宋体" w:eastAsia="宋体" w:cs="宋体"/>
          <w:b/>
          <w:color w:val="auto"/>
          <w:sz w:val="22"/>
          <w:szCs w:val="22"/>
          <w:highlight w:val="none"/>
        </w:rPr>
        <w:t>四、评标办法</w:t>
      </w:r>
      <w:bookmarkEnd w:id="56"/>
      <w:bookmarkEnd w:id="57"/>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eastAsia="宋体" w:cs="宋体"/>
          <w:b/>
          <w:color w:val="auto"/>
          <w:sz w:val="22"/>
          <w:szCs w:val="22"/>
          <w:highlight w:val="none"/>
        </w:rPr>
        <w:t>总分设定为100分：技术标</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0%），商务标（报价）</w:t>
      </w:r>
      <w:r>
        <w:rPr>
          <w:rFonts w:hint="eastAsia" w:ascii="宋体" w:hAnsi="宋体" w:cs="宋体"/>
          <w:b/>
          <w:color w:val="auto"/>
          <w:sz w:val="22"/>
          <w:szCs w:val="22"/>
          <w:highlight w:val="none"/>
          <w:lang w:val="en-US" w:eastAsia="zh-CN"/>
        </w:rPr>
        <w:t>3</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3</w:t>
      </w:r>
      <w:r>
        <w:rPr>
          <w:rFonts w:hint="eastAsia" w:ascii="宋体" w:hAnsi="宋体" w:eastAsia="宋体" w:cs="宋体"/>
          <w:b/>
          <w:color w:val="auto"/>
          <w:sz w:val="22"/>
          <w:szCs w:val="22"/>
          <w:highlight w:val="none"/>
        </w:rPr>
        <w:t>0%）。</w:t>
      </w:r>
    </w:p>
    <w:p>
      <w:pPr>
        <w:keepNext w:val="0"/>
        <w:keepLines w:val="0"/>
        <w:pageBreakBefore w:val="0"/>
        <w:widowControl w:val="0"/>
        <w:numPr>
          <w:ilvl w:val="0"/>
          <w:numId w:val="9"/>
        </w:numPr>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8" w:name="_Toc1535"/>
      <w:bookmarkStart w:id="59" w:name="_Toc11450"/>
      <w:r>
        <w:rPr>
          <w:rFonts w:hint="eastAsia" w:ascii="宋体" w:hAnsi="宋体" w:eastAsia="宋体" w:cs="宋体"/>
          <w:b/>
          <w:color w:val="auto"/>
          <w:sz w:val="22"/>
          <w:szCs w:val="22"/>
          <w:highlight w:val="none"/>
        </w:rPr>
        <w:t>评分细则</w:t>
      </w:r>
      <w:bookmarkEnd w:id="58"/>
      <w:bookmarkEnd w:id="59"/>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1、技术分的评定：技术标</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0%）</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eastAsia="宋体" w:cs="宋体"/>
          <w:color w:val="auto"/>
          <w:sz w:val="22"/>
          <w:highlight w:val="none"/>
        </w:rPr>
        <w:t>各评标委员会成员对各投标人的各项评分内容评分的算术平均值为各投标人技术分得分</w:t>
      </w:r>
      <w:r>
        <w:rPr>
          <w:rFonts w:hint="eastAsia" w:ascii="宋体" w:hAnsi="宋体" w:eastAsia="宋体" w:cs="宋体"/>
          <w:color w:val="auto"/>
          <w:sz w:val="22"/>
          <w:szCs w:val="22"/>
          <w:highlight w:val="none"/>
        </w:rPr>
        <w:t>（小数点后按四舍五入保留2位）。</w:t>
      </w:r>
    </w:p>
    <w:tbl>
      <w:tblPr>
        <w:tblStyle w:val="53"/>
        <w:tblW w:w="51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615"/>
        <w:gridCol w:w="7010"/>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序号</w:t>
            </w:r>
          </w:p>
        </w:tc>
        <w:tc>
          <w:tcPr>
            <w:tcW w:w="79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评分内容</w:t>
            </w:r>
          </w:p>
        </w:tc>
        <w:tc>
          <w:tcPr>
            <w:tcW w:w="34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评分细则</w:t>
            </w:r>
          </w:p>
        </w:tc>
        <w:tc>
          <w:tcPr>
            <w:tcW w:w="41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pct"/>
            <w:vMerge w:val="restart"/>
            <w:tcBorders>
              <w:top w:val="single" w:color="auto" w:sz="4" w:space="0"/>
              <w:left w:val="single" w:color="auto" w:sz="4" w:space="0"/>
              <w:right w:val="single" w:color="auto" w:sz="4" w:space="0"/>
            </w:tcBorders>
            <w:vAlign w:val="center"/>
          </w:tcPr>
          <w:p>
            <w:pPr>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p>
        </w:tc>
        <w:tc>
          <w:tcPr>
            <w:tcW w:w="797" w:type="pct"/>
            <w:vMerge w:val="restart"/>
            <w:tcBorders>
              <w:top w:val="single" w:color="auto" w:sz="4" w:space="0"/>
              <w:left w:val="single" w:color="auto" w:sz="4" w:space="0"/>
              <w:right w:val="single" w:color="auto" w:sz="4" w:space="0"/>
            </w:tcBorders>
            <w:vAlign w:val="center"/>
          </w:tcPr>
          <w:p>
            <w:pPr>
              <w:ind w:left="-50" w:leftChars="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企业综合情况</w:t>
            </w:r>
          </w:p>
          <w:p>
            <w:pPr>
              <w:ind w:left="-50" w:leftChars="0"/>
              <w:jc w:val="center"/>
              <w:rPr>
                <w:rFonts w:hint="eastAsia" w:ascii="宋体" w:hAnsi="宋体" w:eastAsia="宋体" w:cs="宋体"/>
                <w:color w:val="auto"/>
                <w:spacing w:val="-6"/>
                <w:kern w:val="2"/>
                <w:sz w:val="22"/>
                <w:szCs w:val="22"/>
                <w:highlight w:val="none"/>
                <w:lang w:val="en-US" w:eastAsia="zh-CN" w:bidi="ar-SA"/>
              </w:rPr>
            </w:pPr>
          </w:p>
        </w:tc>
        <w:tc>
          <w:tcPr>
            <w:tcW w:w="3460"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default" w:ascii="宋体" w:hAnsi="宋体" w:eastAsia="宋体" w:cs="宋体"/>
                <w:color w:val="auto"/>
                <w:spacing w:val="-6"/>
                <w:kern w:val="2"/>
                <w:sz w:val="22"/>
                <w:szCs w:val="22"/>
                <w:highlight w:val="none"/>
                <w:lang w:val="en-US" w:eastAsia="zh-CN" w:bidi="ar-SA"/>
              </w:rPr>
            </w:pPr>
            <w:r>
              <w:rPr>
                <w:rFonts w:hint="eastAsia" w:ascii="新宋体" w:hAnsi="新宋体" w:eastAsia="新宋体" w:cs="新宋体"/>
                <w:color w:val="auto"/>
                <w:sz w:val="22"/>
                <w:szCs w:val="22"/>
                <w:highlight w:val="none"/>
              </w:rPr>
              <w:t>根据投标供应商企业情况、综合能力，企业信誉等情况进行综合比较打分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0-6分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t>
            </w:r>
          </w:p>
        </w:tc>
        <w:tc>
          <w:tcPr>
            <w:tcW w:w="413" w:type="pct"/>
            <w:tcBorders>
              <w:top w:val="single" w:color="auto" w:sz="4" w:space="0"/>
              <w:left w:val="single" w:color="auto" w:sz="4" w:space="0"/>
              <w:bottom w:val="single" w:color="auto" w:sz="4" w:space="0"/>
              <w:right w:val="single" w:color="auto" w:sz="4" w:space="0"/>
            </w:tcBorders>
            <w:vAlign w:val="center"/>
          </w:tcPr>
          <w:p>
            <w:pPr>
              <w:ind w:left="-50" w:leftChars="0"/>
              <w:jc w:val="center"/>
              <w:rPr>
                <w:rFonts w:hint="eastAsia" w:ascii="宋体" w:hAnsi="宋体" w:eastAsia="宋体" w:cs="宋体"/>
                <w:color w:val="auto"/>
                <w:spacing w:val="-6"/>
                <w:kern w:val="2"/>
                <w:sz w:val="22"/>
                <w:szCs w:val="22"/>
                <w:highlight w:val="none"/>
                <w:lang w:val="en-US" w:eastAsia="zh-CN" w:bidi="ar-SA"/>
              </w:rPr>
            </w:pPr>
            <w:r>
              <w:rPr>
                <w:rFonts w:hint="eastAsia" w:ascii="宋体" w:hAnsi="宋体" w:cs="宋体"/>
                <w:color w:val="auto"/>
                <w:sz w:val="22"/>
                <w:szCs w:val="22"/>
                <w:highlight w:val="none"/>
              </w:rPr>
              <w:t>6</w:t>
            </w:r>
            <w:r>
              <w:rPr>
                <w:rFonts w:hint="eastAsia" w:ascii="宋体" w:hAnsi="宋体" w:cs="宋体"/>
                <w:color w:val="auto"/>
                <w:sz w:val="22"/>
                <w:szCs w:val="22"/>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pct"/>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2"/>
                <w:szCs w:val="22"/>
                <w:highlight w:val="none"/>
                <w:lang w:val="en-US" w:eastAsia="zh-CN"/>
              </w:rPr>
            </w:pPr>
          </w:p>
        </w:tc>
        <w:tc>
          <w:tcPr>
            <w:tcW w:w="797" w:type="pct"/>
            <w:vMerge w:val="continue"/>
            <w:tcBorders>
              <w:left w:val="single" w:color="auto" w:sz="4" w:space="0"/>
              <w:bottom w:val="single" w:color="auto" w:sz="4" w:space="0"/>
              <w:right w:val="single" w:color="auto" w:sz="4" w:space="0"/>
            </w:tcBorders>
            <w:vAlign w:val="center"/>
          </w:tcPr>
          <w:p>
            <w:pPr>
              <w:ind w:left="-50" w:leftChars="0"/>
              <w:jc w:val="center"/>
              <w:rPr>
                <w:rFonts w:hint="eastAsia" w:ascii="宋体" w:hAnsi="宋体" w:eastAsia="宋体" w:cs="宋体"/>
                <w:color w:val="auto"/>
                <w:spacing w:val="-6"/>
                <w:kern w:val="2"/>
                <w:sz w:val="22"/>
                <w:szCs w:val="22"/>
                <w:highlight w:val="none"/>
                <w:lang w:val="en-US" w:eastAsia="zh-CN" w:bidi="ar-SA"/>
              </w:rPr>
            </w:pPr>
          </w:p>
        </w:tc>
        <w:tc>
          <w:tcPr>
            <w:tcW w:w="3460"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投标人具有有效质量管理体系认证证书得2分，具有有效环境管理体系认证证书得2分，具有有效职业健康安全管理体系认证证书得2分。</w:t>
            </w:r>
          </w:p>
          <w:p>
            <w:pPr>
              <w:spacing w:line="460" w:lineRule="exact"/>
              <w:rPr>
                <w:rFonts w:hint="eastAsia" w:ascii="宋体" w:hAnsi="宋体" w:eastAsia="宋体" w:cs="Times New Roman"/>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注：提供认证证书复印件并加盖公章。</w:t>
            </w:r>
          </w:p>
        </w:tc>
        <w:tc>
          <w:tcPr>
            <w:tcW w:w="413" w:type="pct"/>
            <w:tcBorders>
              <w:top w:val="single" w:color="auto" w:sz="4" w:space="0"/>
              <w:left w:val="single" w:color="auto" w:sz="4" w:space="0"/>
              <w:bottom w:val="single" w:color="auto" w:sz="4" w:space="0"/>
              <w:right w:val="single" w:color="auto" w:sz="4" w:space="0"/>
            </w:tcBorders>
            <w:vAlign w:val="center"/>
          </w:tcPr>
          <w:p>
            <w:pPr>
              <w:ind w:left="-50" w:leftChars="0"/>
              <w:jc w:val="center"/>
              <w:rPr>
                <w:rFonts w:hint="eastAsia" w:ascii="宋体" w:hAnsi="宋体" w:eastAsia="宋体" w:cs="宋体"/>
                <w:color w:val="auto"/>
                <w:spacing w:val="-6"/>
                <w:kern w:val="2"/>
                <w:sz w:val="22"/>
                <w:szCs w:val="22"/>
                <w:highlight w:val="none"/>
                <w:lang w:val="en-US" w:eastAsia="zh-CN" w:bidi="ar-SA"/>
              </w:rPr>
            </w:pPr>
            <w:r>
              <w:rPr>
                <w:rFonts w:hint="eastAsia" w:ascii="宋体" w:hAnsi="宋体" w:cs="宋体"/>
                <w:color w:val="auto"/>
                <w:sz w:val="22"/>
                <w:szCs w:val="22"/>
                <w:highlight w:val="none"/>
              </w:rPr>
              <w:t>6</w:t>
            </w:r>
            <w:r>
              <w:rPr>
                <w:rFonts w:hint="eastAsia" w:ascii="宋体" w:hAnsi="宋体" w:cs="宋体"/>
                <w:color w:val="auto"/>
                <w:sz w:val="22"/>
                <w:szCs w:val="22"/>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797" w:type="pct"/>
            <w:tcBorders>
              <w:top w:val="single" w:color="auto" w:sz="4" w:space="0"/>
              <w:left w:val="single" w:color="auto" w:sz="4" w:space="0"/>
              <w:bottom w:val="single" w:color="auto" w:sz="4" w:space="0"/>
              <w:right w:val="single" w:color="auto" w:sz="4" w:space="0"/>
            </w:tcBorders>
            <w:vAlign w:val="center"/>
          </w:tcPr>
          <w:p>
            <w:pPr>
              <w:ind w:left="-50" w:leftChars="0"/>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bCs/>
                <w:color w:val="auto"/>
                <w:sz w:val="22"/>
                <w:szCs w:val="22"/>
                <w:highlight w:val="none"/>
              </w:rPr>
              <w:t>检测情况</w:t>
            </w:r>
          </w:p>
        </w:tc>
        <w:tc>
          <w:tcPr>
            <w:tcW w:w="3460"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宋体" w:hAnsi="宋体" w:eastAsia="宋体" w:cs="宋体"/>
                <w:color w:val="auto"/>
                <w:kern w:val="2"/>
                <w:sz w:val="22"/>
                <w:szCs w:val="22"/>
                <w:highlight w:val="none"/>
                <w:lang w:val="en-US" w:eastAsia="zh-CN" w:bidi="ar-SA"/>
              </w:rPr>
            </w:pPr>
            <w:r>
              <w:rPr>
                <w:rFonts w:ascii="新宋体" w:hAnsi="新宋体" w:eastAsia="新宋体" w:cs="新宋体"/>
                <w:color w:val="auto"/>
                <w:sz w:val="22"/>
                <w:szCs w:val="22"/>
                <w:highlight w:val="none"/>
              </w:rPr>
              <w:t>对投标</w:t>
            </w:r>
            <w:r>
              <w:rPr>
                <w:rFonts w:hint="eastAsia" w:ascii="新宋体" w:hAnsi="新宋体" w:eastAsia="新宋体" w:cs="新宋体"/>
                <w:color w:val="auto"/>
                <w:sz w:val="22"/>
                <w:szCs w:val="22"/>
                <w:highlight w:val="none"/>
              </w:rPr>
              <w:t>供应商</w:t>
            </w:r>
            <w:r>
              <w:rPr>
                <w:rFonts w:ascii="新宋体" w:hAnsi="新宋体" w:eastAsia="新宋体" w:cs="新宋体"/>
                <w:color w:val="auto"/>
                <w:sz w:val="22"/>
                <w:szCs w:val="22"/>
                <w:highlight w:val="none"/>
              </w:rPr>
              <w:t>检测设备、检测人员的配置、检测环境情况等</w:t>
            </w:r>
            <w:r>
              <w:rPr>
                <w:rFonts w:hint="eastAsia" w:ascii="新宋体" w:hAnsi="新宋体" w:eastAsia="新宋体" w:cs="新宋体"/>
                <w:color w:val="auto"/>
                <w:sz w:val="22"/>
                <w:szCs w:val="22"/>
                <w:highlight w:val="none"/>
              </w:rPr>
              <w:t>进行综合比较打分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0-6分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t>
            </w:r>
          </w:p>
        </w:tc>
        <w:tc>
          <w:tcPr>
            <w:tcW w:w="413" w:type="pct"/>
            <w:tcBorders>
              <w:top w:val="single" w:color="auto" w:sz="4" w:space="0"/>
              <w:left w:val="single" w:color="auto" w:sz="4" w:space="0"/>
              <w:bottom w:val="single" w:color="auto" w:sz="4" w:space="0"/>
              <w:right w:val="single" w:color="auto" w:sz="4" w:space="0"/>
            </w:tcBorders>
            <w:vAlign w:val="center"/>
          </w:tcPr>
          <w:p>
            <w:pPr>
              <w:ind w:left="-50" w:leftChars="0"/>
              <w:jc w:val="center"/>
              <w:rPr>
                <w:rFonts w:hint="eastAsia" w:ascii="宋体" w:hAnsi="宋体" w:eastAsia="宋体" w:cs="宋体"/>
                <w:b/>
                <w:color w:val="auto"/>
                <w:kern w:val="2"/>
                <w:sz w:val="22"/>
                <w:szCs w:val="22"/>
                <w:highlight w:val="none"/>
                <w:lang w:val="en-US" w:eastAsia="zh-CN" w:bidi="ar-SA"/>
              </w:rPr>
            </w:pPr>
            <w:r>
              <w:rPr>
                <w:rFonts w:hint="eastAsia" w:ascii="宋体" w:hAnsi="宋体" w:cs="宋体"/>
                <w:color w:val="auto"/>
                <w:sz w:val="22"/>
                <w:szCs w:val="22"/>
                <w:highlight w:val="none"/>
              </w:rPr>
              <w:t>6</w:t>
            </w:r>
            <w:r>
              <w:rPr>
                <w:rFonts w:hint="eastAsia" w:ascii="宋体" w:hAnsi="宋体" w:cs="宋体"/>
                <w:color w:val="auto"/>
                <w:sz w:val="22"/>
                <w:szCs w:val="22"/>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28" w:type="pct"/>
            <w:tcBorders>
              <w:top w:val="single" w:color="auto" w:sz="4" w:space="0"/>
              <w:left w:val="single" w:color="auto" w:sz="4" w:space="0"/>
              <w:right w:val="single" w:color="auto" w:sz="4" w:space="0"/>
            </w:tcBorders>
            <w:vAlign w:val="center"/>
          </w:tcPr>
          <w:p>
            <w:pPr>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p>
        </w:tc>
        <w:tc>
          <w:tcPr>
            <w:tcW w:w="797" w:type="pct"/>
            <w:tcBorders>
              <w:top w:val="single" w:color="auto" w:sz="4" w:space="0"/>
              <w:left w:val="single" w:color="auto" w:sz="4" w:space="0"/>
              <w:right w:val="single" w:color="auto" w:sz="4" w:space="0"/>
            </w:tcBorders>
            <w:vAlign w:val="center"/>
          </w:tcPr>
          <w:p>
            <w:pPr>
              <w:tabs>
                <w:tab w:val="left" w:pos="0"/>
              </w:tabs>
              <w:snapToGrid w:val="0"/>
              <w:spacing w:line="460" w:lineRule="exact"/>
              <w:jc w:val="center"/>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sz w:val="22"/>
                <w:szCs w:val="22"/>
                <w:highlight w:val="none"/>
              </w:rPr>
              <w:t>生产设备及工艺</w:t>
            </w:r>
          </w:p>
        </w:tc>
        <w:tc>
          <w:tcPr>
            <w:tcW w:w="3460" w:type="pct"/>
            <w:tcBorders>
              <w:top w:val="single" w:color="auto" w:sz="4" w:space="0"/>
              <w:left w:val="single" w:color="auto" w:sz="4" w:space="0"/>
              <w:right w:val="single" w:color="auto" w:sz="4" w:space="0"/>
            </w:tcBorders>
            <w:vAlign w:val="center"/>
          </w:tcPr>
          <w:p>
            <w:pPr>
              <w:widowControl/>
              <w:spacing w:before="120" w:beforeLines="50" w:line="460" w:lineRule="exact"/>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rPr>
              <w:t>根据投标人主要生产装备及加工工艺情况进行综合比较打分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0-6分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kern w:val="0"/>
                <w:sz w:val="22"/>
                <w:szCs w:val="22"/>
                <w:highlight w:val="none"/>
              </w:rPr>
              <w:t>。</w:t>
            </w:r>
          </w:p>
        </w:tc>
        <w:tc>
          <w:tcPr>
            <w:tcW w:w="413" w:type="pct"/>
            <w:tcBorders>
              <w:top w:val="single" w:color="auto" w:sz="4" w:space="0"/>
              <w:left w:val="single" w:color="auto" w:sz="4" w:space="0"/>
              <w:right w:val="single" w:color="auto" w:sz="4" w:space="0"/>
            </w:tcBorders>
            <w:vAlign w:val="center"/>
          </w:tcPr>
          <w:p>
            <w:pPr>
              <w:widowControl/>
              <w:spacing w:before="120" w:beforeLines="50" w:line="460" w:lineRule="exact"/>
              <w:jc w:val="center"/>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rPr>
              <w:t>6</w:t>
            </w:r>
            <w:r>
              <w:rPr>
                <w:rFonts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797"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sz w:val="22"/>
                <w:szCs w:val="22"/>
                <w:highlight w:val="none"/>
              </w:rPr>
              <w:t>产品配置及技术参数</w:t>
            </w:r>
          </w:p>
        </w:tc>
        <w:tc>
          <w:tcPr>
            <w:tcW w:w="3460"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根据所投产品技术指标与招标文件要求的响应程度，综合比较打分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0-6分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t>
            </w:r>
          </w:p>
        </w:tc>
        <w:tc>
          <w:tcPr>
            <w:tcW w:w="413"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rPr>
              <w:t>6</w:t>
            </w:r>
            <w:r>
              <w:rPr>
                <w:rFonts w:hint="eastAsia" w:ascii="新宋体" w:hAnsi="新宋体" w:eastAsia="新宋体" w:cs="新宋体"/>
                <w:color w:val="auto"/>
                <w:kern w:val="0"/>
                <w:sz w:val="22"/>
                <w:szCs w:val="22"/>
                <w:highlight w:val="none"/>
                <w:lang w:val="en-US" w:eastAsia="zh-CN"/>
              </w:rPr>
              <w:t>分</w:t>
            </w:r>
            <w:r>
              <w:rPr>
                <w:rFonts w:ascii="新宋体" w:hAnsi="新宋体" w:eastAsia="新宋体" w:cs="新宋体"/>
                <w:color w:val="auto"/>
                <w:kern w:val="0"/>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pct"/>
            <w:vMerge w:val="restart"/>
            <w:tcBorders>
              <w:top w:val="single" w:color="auto" w:sz="4" w:space="0"/>
              <w:left w:val="single" w:color="auto" w:sz="4" w:space="0"/>
              <w:right w:val="single" w:color="auto" w:sz="4" w:space="0"/>
            </w:tcBorders>
            <w:vAlign w:val="center"/>
          </w:tcPr>
          <w:p>
            <w:pPr>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797" w:type="pct"/>
            <w:vMerge w:val="restart"/>
            <w:tcBorders>
              <w:top w:val="single" w:color="auto" w:sz="4" w:space="0"/>
              <w:left w:val="single" w:color="auto" w:sz="4" w:space="0"/>
              <w:right w:val="single" w:color="auto" w:sz="4" w:space="0"/>
            </w:tcBorders>
            <w:vAlign w:val="center"/>
          </w:tcPr>
          <w:p>
            <w:pPr>
              <w:widowControl/>
              <w:spacing w:line="460" w:lineRule="exact"/>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保证措施</w:t>
            </w:r>
          </w:p>
        </w:tc>
        <w:tc>
          <w:tcPr>
            <w:tcW w:w="3460"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根据产品质量、服务质量保证措施及承诺</w:t>
            </w:r>
            <w:r>
              <w:rPr>
                <w:rFonts w:hint="eastAsia" w:ascii="新宋体" w:hAnsi="新宋体" w:eastAsia="新宋体" w:cs="新宋体"/>
                <w:color w:val="auto"/>
                <w:kern w:val="0"/>
                <w:sz w:val="22"/>
                <w:szCs w:val="22"/>
                <w:highlight w:val="none"/>
              </w:rPr>
              <w:t>综合比较打分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0-5分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kern w:val="0"/>
                <w:sz w:val="22"/>
                <w:szCs w:val="22"/>
                <w:highlight w:val="none"/>
              </w:rPr>
              <w:t>。</w:t>
            </w:r>
          </w:p>
        </w:tc>
        <w:tc>
          <w:tcPr>
            <w:tcW w:w="413"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rPr>
              <w:t>5</w:t>
            </w:r>
            <w:r>
              <w:rPr>
                <w:rFonts w:hint="eastAsia" w:ascii="新宋体" w:hAnsi="新宋体" w:eastAsia="新宋体" w:cs="新宋体"/>
                <w:color w:val="auto"/>
                <w:kern w:val="0"/>
                <w:sz w:val="22"/>
                <w:szCs w:val="22"/>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pct"/>
            <w:vMerge w:val="continue"/>
            <w:tcBorders>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2"/>
                <w:szCs w:val="22"/>
                <w:highlight w:val="none"/>
                <w:lang w:val="en-US" w:eastAsia="zh-CN"/>
              </w:rPr>
            </w:pPr>
          </w:p>
        </w:tc>
        <w:tc>
          <w:tcPr>
            <w:tcW w:w="797" w:type="pct"/>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2"/>
                <w:szCs w:val="22"/>
                <w:highlight w:val="none"/>
              </w:rPr>
            </w:pPr>
          </w:p>
        </w:tc>
        <w:tc>
          <w:tcPr>
            <w:tcW w:w="3460"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根据供货渠道、供货时间保证措施及承诺情况</w:t>
            </w:r>
            <w:r>
              <w:rPr>
                <w:rFonts w:hint="eastAsia" w:ascii="新宋体" w:hAnsi="新宋体" w:eastAsia="新宋体" w:cs="新宋体"/>
                <w:color w:val="auto"/>
                <w:kern w:val="0"/>
                <w:sz w:val="22"/>
                <w:szCs w:val="22"/>
                <w:highlight w:val="none"/>
              </w:rPr>
              <w:t>综合比较打分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0-3分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kern w:val="0"/>
                <w:sz w:val="22"/>
                <w:szCs w:val="22"/>
                <w:highlight w:val="none"/>
              </w:rPr>
              <w:t>。</w:t>
            </w:r>
          </w:p>
        </w:tc>
        <w:tc>
          <w:tcPr>
            <w:tcW w:w="413"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rPr>
              <w:t>3</w:t>
            </w:r>
            <w:r>
              <w:rPr>
                <w:rFonts w:hint="eastAsia" w:ascii="新宋体" w:hAnsi="新宋体" w:eastAsia="新宋体" w:cs="新宋体"/>
                <w:color w:val="auto"/>
                <w:kern w:val="0"/>
                <w:sz w:val="22"/>
                <w:szCs w:val="22"/>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c>
          <w:tcPr>
            <w:tcW w:w="797" w:type="pct"/>
            <w:tcBorders>
              <w:top w:val="single" w:color="auto" w:sz="4" w:space="0"/>
              <w:left w:val="single" w:color="auto" w:sz="4" w:space="0"/>
              <w:bottom w:val="single" w:color="auto" w:sz="4" w:space="0"/>
              <w:right w:val="single" w:color="auto" w:sz="4" w:space="0"/>
            </w:tcBorders>
            <w:vAlign w:val="center"/>
          </w:tcPr>
          <w:p>
            <w:pPr>
              <w:ind w:left="-50" w:leftChars="0"/>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业绩</w:t>
            </w:r>
          </w:p>
        </w:tc>
        <w:tc>
          <w:tcPr>
            <w:tcW w:w="3460"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提供2019年1月1日以来同类项目供货业绩，每提供一个得1分，最高得</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p>
            <w:pPr>
              <w:spacing w:line="460" w:lineRule="exact"/>
              <w:rPr>
                <w:rFonts w:hint="eastAsia" w:ascii="宋体" w:hAnsi="宋体" w:eastAsia="宋体" w:cs="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注：1、以合同签订时间为准；2、提供合同复印件</w:t>
            </w:r>
            <w:r>
              <w:rPr>
                <w:rFonts w:hint="eastAsia" w:ascii="新宋体" w:hAnsi="新宋体" w:eastAsia="新宋体" w:cs="新宋体"/>
                <w:color w:val="auto"/>
                <w:sz w:val="22"/>
                <w:szCs w:val="22"/>
                <w:highlight w:val="none"/>
                <w:lang w:val="en-US" w:eastAsia="zh-CN"/>
              </w:rPr>
              <w:t>并</w:t>
            </w:r>
            <w:r>
              <w:rPr>
                <w:rFonts w:hint="eastAsia" w:ascii="新宋体" w:hAnsi="新宋体" w:eastAsia="新宋体" w:cs="新宋体"/>
                <w:color w:val="auto"/>
                <w:sz w:val="22"/>
                <w:szCs w:val="22"/>
                <w:highlight w:val="none"/>
              </w:rPr>
              <w:t>加盖公章。</w:t>
            </w:r>
          </w:p>
        </w:tc>
        <w:tc>
          <w:tcPr>
            <w:tcW w:w="413" w:type="pct"/>
            <w:tcBorders>
              <w:top w:val="single" w:color="auto" w:sz="4" w:space="0"/>
              <w:left w:val="single" w:color="auto" w:sz="4" w:space="0"/>
              <w:bottom w:val="single" w:color="auto" w:sz="4" w:space="0"/>
              <w:right w:val="single" w:color="auto" w:sz="4" w:space="0"/>
            </w:tcBorders>
            <w:vAlign w:val="center"/>
          </w:tcPr>
          <w:p>
            <w:pPr>
              <w:ind w:left="-50" w:leftChars="0"/>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p>
        </w:tc>
        <w:tc>
          <w:tcPr>
            <w:tcW w:w="7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2"/>
                <w:szCs w:val="22"/>
                <w:highlight w:val="none"/>
                <w:lang w:val="en-US" w:eastAsia="zh-CN" w:bidi="ar-SA"/>
              </w:rPr>
            </w:pPr>
            <w:r>
              <w:rPr>
                <w:rFonts w:ascii="宋体" w:hAnsi="宋体"/>
                <w:color w:val="auto"/>
                <w:sz w:val="22"/>
                <w:szCs w:val="22"/>
                <w:highlight w:val="none"/>
              </w:rPr>
              <w:t>样品</w:t>
            </w:r>
          </w:p>
        </w:tc>
        <w:tc>
          <w:tcPr>
            <w:tcW w:w="3460"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宋体" w:hAnsi="宋体" w:eastAsia="宋体" w:cs="宋体"/>
                <w:color w:val="auto"/>
                <w:kern w:val="2"/>
                <w:sz w:val="22"/>
                <w:szCs w:val="22"/>
                <w:highlight w:val="none"/>
                <w:lang w:val="en-US" w:eastAsia="zh-CN" w:bidi="ar-SA"/>
              </w:rPr>
            </w:pPr>
            <w:r>
              <w:rPr>
                <w:rFonts w:ascii="新宋体" w:hAnsi="新宋体" w:eastAsia="新宋体" w:cs="新宋体"/>
                <w:color w:val="auto"/>
                <w:sz w:val="22"/>
                <w:szCs w:val="22"/>
                <w:highlight w:val="none"/>
              </w:rPr>
              <w:t>根据样品</w:t>
            </w:r>
            <w:r>
              <w:rPr>
                <w:rFonts w:hint="eastAsia" w:ascii="新宋体" w:hAnsi="新宋体" w:eastAsia="新宋体" w:cs="新宋体"/>
                <w:color w:val="auto"/>
                <w:sz w:val="22"/>
                <w:szCs w:val="22"/>
                <w:highlight w:val="none"/>
                <w:lang w:eastAsia="zh-CN"/>
              </w:rPr>
              <w:t>（</w:t>
            </w:r>
            <w:r>
              <w:rPr>
                <w:rFonts w:hint="eastAsia" w:ascii="宋体" w:hAnsi="宋体" w:eastAsia="宋体" w:cs="宋体"/>
                <w:color w:val="auto"/>
                <w:sz w:val="22"/>
                <w:szCs w:val="22"/>
                <w:highlight w:val="none"/>
                <w:lang w:val="en-US" w:eastAsia="zh-CN"/>
              </w:rPr>
              <w:t>四格饭盒</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四格饭盒封口膜</w:t>
            </w:r>
            <w:r>
              <w:rPr>
                <w:rFonts w:hint="eastAsia" w:ascii="宋体" w:hAnsi="宋体" w:cs="宋体"/>
                <w:color w:val="auto"/>
                <w:sz w:val="22"/>
                <w:szCs w:val="22"/>
                <w:highlight w:val="none"/>
                <w:lang w:eastAsia="zh-CN"/>
              </w:rPr>
              <w:t>、</w:t>
            </w:r>
            <w:r>
              <w:rPr>
                <w:rFonts w:hint="eastAsia" w:ascii="宋体" w:hAnsi="宋体" w:eastAsia="宋体" w:cs="宋体"/>
                <w:bCs/>
                <w:color w:val="auto"/>
                <w:kern w:val="0"/>
                <w:sz w:val="22"/>
                <w:szCs w:val="22"/>
                <w:highlight w:val="none"/>
                <w:lang w:eastAsia="zh-CN" w:bidi="ar"/>
              </w:rPr>
              <w:t>四格餐盒（</w:t>
            </w:r>
            <w:r>
              <w:rPr>
                <w:rFonts w:hint="eastAsia" w:ascii="宋体" w:hAnsi="宋体" w:eastAsia="宋体" w:cs="宋体"/>
                <w:bCs/>
                <w:color w:val="auto"/>
                <w:kern w:val="0"/>
                <w:sz w:val="22"/>
                <w:szCs w:val="22"/>
                <w:highlight w:val="none"/>
                <w:lang w:val="en-US" w:eastAsia="zh-CN" w:bidi="ar"/>
              </w:rPr>
              <w:t>带盖子）</w:t>
            </w:r>
            <w:r>
              <w:rPr>
                <w:rFonts w:hint="eastAsia" w:ascii="宋体" w:hAnsi="宋体" w:cs="宋体"/>
                <w:bCs/>
                <w:color w:val="auto"/>
                <w:kern w:val="0"/>
                <w:sz w:val="22"/>
                <w:szCs w:val="22"/>
                <w:highlight w:val="none"/>
                <w:lang w:val="en-US" w:eastAsia="zh-CN" w:bidi="ar"/>
              </w:rPr>
              <w:t>、</w:t>
            </w:r>
            <w:r>
              <w:rPr>
                <w:rFonts w:hint="eastAsia" w:ascii="宋体" w:hAnsi="宋体" w:eastAsia="宋体" w:cs="宋体"/>
                <w:color w:val="auto"/>
                <w:sz w:val="22"/>
                <w:szCs w:val="22"/>
                <w:highlight w:val="none"/>
              </w:rPr>
              <w:t>小菜碟</w:t>
            </w:r>
            <w:r>
              <w:rPr>
                <w:rFonts w:hint="eastAsia" w:ascii="新宋体" w:hAnsi="新宋体" w:eastAsia="新宋体" w:cs="新宋体"/>
                <w:color w:val="auto"/>
                <w:sz w:val="22"/>
                <w:szCs w:val="22"/>
                <w:highlight w:val="none"/>
                <w:lang w:eastAsia="zh-CN"/>
              </w:rPr>
              <w:t>）</w:t>
            </w:r>
            <w:r>
              <w:rPr>
                <w:rFonts w:ascii="新宋体" w:hAnsi="新宋体" w:eastAsia="新宋体" w:cs="新宋体"/>
                <w:color w:val="auto"/>
                <w:sz w:val="22"/>
                <w:szCs w:val="22"/>
                <w:highlight w:val="none"/>
              </w:rPr>
              <w:t>的</w:t>
            </w:r>
            <w:r>
              <w:rPr>
                <w:rFonts w:hint="eastAsia" w:ascii="新宋体" w:hAnsi="新宋体" w:eastAsia="新宋体" w:cs="新宋体"/>
                <w:color w:val="auto"/>
                <w:sz w:val="22"/>
                <w:szCs w:val="22"/>
                <w:highlight w:val="none"/>
              </w:rPr>
              <w:t>制作</w:t>
            </w:r>
            <w:r>
              <w:rPr>
                <w:rFonts w:ascii="新宋体" w:hAnsi="新宋体" w:eastAsia="新宋体" w:cs="新宋体"/>
                <w:color w:val="auto"/>
                <w:sz w:val="22"/>
                <w:szCs w:val="22"/>
                <w:highlight w:val="none"/>
              </w:rPr>
              <w:t>工艺、外观、色泽、质量等</w:t>
            </w:r>
            <w:r>
              <w:rPr>
                <w:rFonts w:hint="eastAsia" w:ascii="新宋体" w:hAnsi="新宋体" w:eastAsia="新宋体" w:cs="新宋体"/>
                <w:color w:val="auto"/>
                <w:sz w:val="22"/>
                <w:szCs w:val="22"/>
                <w:highlight w:val="none"/>
              </w:rPr>
              <w:t>由评委综合比较打分，每个样品</w:t>
            </w:r>
            <w:r>
              <w:rPr>
                <w:rFonts w:hint="eastAsia" w:ascii="新宋体" w:hAnsi="新宋体" w:eastAsia="新宋体" w:cs="新宋体"/>
                <w:color w:val="auto"/>
                <w:sz w:val="22"/>
                <w:szCs w:val="22"/>
                <w:highlight w:val="none"/>
                <w:lang w:val="en-US" w:eastAsia="zh-CN"/>
              </w:rPr>
              <w:t>0-3</w:t>
            </w:r>
            <w:r>
              <w:rPr>
                <w:rFonts w:hint="eastAsia" w:ascii="新宋体" w:hAnsi="新宋体" w:eastAsia="新宋体" w:cs="新宋体"/>
                <w:color w:val="auto"/>
                <w:sz w:val="22"/>
                <w:szCs w:val="22"/>
                <w:highlight w:val="none"/>
              </w:rPr>
              <w:t>分。需提供所有实物样品（每样100个）</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未提供样品或者提供样品</w:t>
            </w:r>
            <w:r>
              <w:rPr>
                <w:rFonts w:hint="eastAsia" w:ascii="新宋体" w:hAnsi="新宋体" w:eastAsia="新宋体" w:cs="新宋体"/>
                <w:color w:val="auto"/>
                <w:sz w:val="22"/>
                <w:szCs w:val="22"/>
                <w:highlight w:val="none"/>
                <w:lang w:val="en-US" w:eastAsia="zh-CN"/>
              </w:rPr>
              <w:t>数量未达到规定要求的</w:t>
            </w:r>
            <w:r>
              <w:rPr>
                <w:rFonts w:hint="eastAsia" w:ascii="新宋体" w:hAnsi="新宋体" w:eastAsia="新宋体" w:cs="新宋体"/>
                <w:color w:val="auto"/>
                <w:sz w:val="22"/>
                <w:szCs w:val="22"/>
                <w:highlight w:val="none"/>
              </w:rPr>
              <w:t>，不得分。本项最多</w:t>
            </w:r>
            <w:r>
              <w:rPr>
                <w:rFonts w:hint="eastAsia" w:ascii="新宋体" w:hAnsi="新宋体" w:eastAsia="新宋体" w:cs="新宋体"/>
                <w:color w:val="auto"/>
                <w:sz w:val="22"/>
                <w:szCs w:val="22"/>
                <w:highlight w:val="none"/>
                <w:lang w:val="en-US" w:eastAsia="zh-CN"/>
              </w:rPr>
              <w:t>12</w:t>
            </w:r>
            <w:r>
              <w:rPr>
                <w:rFonts w:hint="eastAsia" w:ascii="新宋体" w:hAnsi="新宋体" w:eastAsia="新宋体" w:cs="新宋体"/>
                <w:color w:val="auto"/>
                <w:sz w:val="22"/>
                <w:szCs w:val="22"/>
                <w:highlight w:val="none"/>
              </w:rPr>
              <w:t>分。</w:t>
            </w:r>
          </w:p>
        </w:tc>
        <w:tc>
          <w:tcPr>
            <w:tcW w:w="413" w:type="pct"/>
            <w:tcBorders>
              <w:top w:val="single" w:color="auto" w:sz="4" w:space="0"/>
              <w:left w:val="single" w:color="auto" w:sz="4" w:space="0"/>
              <w:bottom w:val="single" w:color="auto" w:sz="4" w:space="0"/>
              <w:right w:val="single" w:color="auto" w:sz="4" w:space="0"/>
            </w:tcBorders>
            <w:vAlign w:val="center"/>
          </w:tcPr>
          <w:p>
            <w:pPr>
              <w:ind w:left="-50" w:leftChars="0"/>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8</w:t>
            </w:r>
          </w:p>
        </w:tc>
        <w:tc>
          <w:tcPr>
            <w:tcW w:w="7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2"/>
                <w:szCs w:val="22"/>
                <w:highlight w:val="none"/>
                <w:lang w:val="en-US" w:eastAsia="zh-CN" w:bidi="ar-SA"/>
              </w:rPr>
            </w:pPr>
            <w:r>
              <w:rPr>
                <w:rFonts w:ascii="宋体" w:hAnsi="宋体"/>
                <w:color w:val="auto"/>
                <w:sz w:val="22"/>
                <w:szCs w:val="22"/>
                <w:highlight w:val="none"/>
              </w:rPr>
              <w:t>售后服务方案</w:t>
            </w:r>
          </w:p>
        </w:tc>
        <w:tc>
          <w:tcPr>
            <w:tcW w:w="3460"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default" w:ascii="宋体" w:hAnsi="宋体" w:eastAsia="新宋体" w:cs="宋体"/>
                <w:color w:val="auto"/>
                <w:kern w:val="2"/>
                <w:sz w:val="22"/>
                <w:szCs w:val="22"/>
                <w:highlight w:val="none"/>
                <w:lang w:val="en-US" w:eastAsia="zh-CN" w:bidi="ar-SA"/>
              </w:rPr>
            </w:pPr>
            <w:r>
              <w:rPr>
                <w:rFonts w:ascii="新宋体" w:hAnsi="新宋体" w:eastAsia="新宋体" w:cs="新宋体"/>
                <w:color w:val="auto"/>
                <w:sz w:val="22"/>
                <w:szCs w:val="22"/>
                <w:highlight w:val="none"/>
              </w:rPr>
              <w:t>售后服务方案（对交货后不合适的货物出现问题的所采取的措施，在有效期内上门服务以及服务承诺的可行性、完整性，服务承诺落实的保障措施等）</w:t>
            </w:r>
            <w:r>
              <w:rPr>
                <w:rFonts w:hint="eastAsia" w:ascii="新宋体" w:hAnsi="新宋体" w:eastAsia="新宋体" w:cs="新宋体"/>
                <w:color w:val="auto"/>
                <w:sz w:val="22"/>
                <w:szCs w:val="22"/>
                <w:highlight w:val="none"/>
                <w:lang w:val="en-US" w:eastAsia="zh-CN"/>
              </w:rPr>
              <w:t>进行比较打分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0-6分</w:t>
            </w:r>
            <w:r>
              <w:rPr>
                <w:rFonts w:hint="eastAsia" w:ascii="新宋体" w:hAnsi="新宋体" w:eastAsia="新宋体" w:cs="新宋体"/>
                <w:color w:val="auto"/>
                <w:sz w:val="22"/>
                <w:szCs w:val="22"/>
                <w:highlight w:val="none"/>
                <w:lang w:eastAsia="zh-CN"/>
              </w:rPr>
              <w:t>）。</w:t>
            </w:r>
          </w:p>
        </w:tc>
        <w:tc>
          <w:tcPr>
            <w:tcW w:w="413" w:type="pct"/>
            <w:tcBorders>
              <w:top w:val="single" w:color="auto" w:sz="4" w:space="0"/>
              <w:left w:val="single" w:color="auto" w:sz="4" w:space="0"/>
              <w:bottom w:val="single" w:color="auto" w:sz="4" w:space="0"/>
              <w:right w:val="single" w:color="auto" w:sz="4" w:space="0"/>
            </w:tcBorders>
            <w:vAlign w:val="center"/>
          </w:tcPr>
          <w:p>
            <w:pPr>
              <w:ind w:left="-50" w:leftChars="0"/>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6</w:t>
            </w:r>
            <w:r>
              <w:rPr>
                <w:rFonts w:hint="eastAsia" w:ascii="宋体" w:hAnsi="宋体" w:cs="宋体"/>
                <w:color w:val="auto"/>
                <w:sz w:val="22"/>
                <w:szCs w:val="22"/>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9</w:t>
            </w:r>
          </w:p>
        </w:tc>
        <w:tc>
          <w:tcPr>
            <w:tcW w:w="7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kern w:val="2"/>
                <w:sz w:val="22"/>
                <w:szCs w:val="22"/>
                <w:highlight w:val="none"/>
                <w:lang w:val="en-US" w:eastAsia="zh-CN" w:bidi="ar-SA"/>
              </w:rPr>
            </w:pPr>
            <w:r>
              <w:rPr>
                <w:rFonts w:hint="eastAsia" w:ascii="宋体" w:hAnsi="宋体"/>
                <w:color w:val="auto"/>
                <w:sz w:val="22"/>
                <w:szCs w:val="22"/>
                <w:highlight w:val="none"/>
              </w:rPr>
              <w:t>服务网点</w:t>
            </w:r>
          </w:p>
        </w:tc>
        <w:tc>
          <w:tcPr>
            <w:tcW w:w="3460"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宋体" w:hAnsi="宋体" w:eastAsia="宋体" w:cs="Times New Roman"/>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根据投标</w:t>
            </w:r>
            <w:r>
              <w:rPr>
                <w:rFonts w:hint="eastAsia" w:ascii="新宋体" w:hAnsi="新宋体" w:eastAsia="新宋体" w:cs="新宋体"/>
                <w:color w:val="auto"/>
                <w:sz w:val="22"/>
                <w:szCs w:val="22"/>
                <w:highlight w:val="none"/>
                <w:lang w:val="en-US" w:eastAsia="zh-CN"/>
              </w:rPr>
              <w:t>人</w:t>
            </w:r>
            <w:r>
              <w:rPr>
                <w:rFonts w:hint="eastAsia" w:ascii="新宋体" w:hAnsi="新宋体" w:eastAsia="新宋体" w:cs="新宋体"/>
                <w:color w:val="auto"/>
                <w:sz w:val="22"/>
                <w:szCs w:val="22"/>
                <w:highlight w:val="none"/>
              </w:rPr>
              <w:t>服务网点的设置情况等综合比较打分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0-3分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t>
            </w:r>
          </w:p>
        </w:tc>
        <w:tc>
          <w:tcPr>
            <w:tcW w:w="413" w:type="pct"/>
            <w:tcBorders>
              <w:top w:val="single" w:color="auto" w:sz="4" w:space="0"/>
              <w:left w:val="single" w:color="auto" w:sz="4" w:space="0"/>
              <w:bottom w:val="single" w:color="auto" w:sz="4" w:space="0"/>
              <w:right w:val="single" w:color="auto" w:sz="4" w:space="0"/>
            </w:tcBorders>
            <w:vAlign w:val="center"/>
          </w:tcPr>
          <w:p>
            <w:pPr>
              <w:ind w:left="-50" w:leftChars="0"/>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w:t>
            </w:r>
          </w:p>
        </w:tc>
        <w:tc>
          <w:tcPr>
            <w:tcW w:w="797"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应急保障</w:t>
            </w:r>
          </w:p>
        </w:tc>
        <w:tc>
          <w:tcPr>
            <w:tcW w:w="3460" w:type="pct"/>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根据投标人承诺的应急保障措施及危机处置预案的可操作性综合比较打分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0-5分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t>
            </w:r>
          </w:p>
        </w:tc>
        <w:tc>
          <w:tcPr>
            <w:tcW w:w="413"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rPr>
              <w:t>5</w:t>
            </w:r>
            <w:r>
              <w:rPr>
                <w:rFonts w:hint="eastAsia" w:ascii="新宋体" w:hAnsi="新宋体" w:eastAsia="新宋体" w:cs="新宋体"/>
                <w:color w:val="auto"/>
                <w:kern w:val="0"/>
                <w:sz w:val="22"/>
                <w:szCs w:val="22"/>
                <w:highlight w:val="none"/>
                <w:lang w:val="en-US" w:eastAsia="zh-CN"/>
              </w:rPr>
              <w:t>分</w:t>
            </w:r>
            <w:r>
              <w:rPr>
                <w:rFonts w:ascii="新宋体" w:hAnsi="新宋体" w:eastAsia="新宋体" w:cs="新宋体"/>
                <w:color w:val="auto"/>
                <w:kern w:val="0"/>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11</w:t>
            </w:r>
          </w:p>
        </w:tc>
        <w:tc>
          <w:tcPr>
            <w:tcW w:w="0" w:type="auto"/>
            <w:vAlign w:val="center"/>
          </w:tcPr>
          <w:p>
            <w:pPr>
              <w:widowControl/>
              <w:spacing w:line="460" w:lineRule="exact"/>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其他优惠承诺</w:t>
            </w:r>
          </w:p>
        </w:tc>
        <w:tc>
          <w:tcPr>
            <w:tcW w:w="0" w:type="auto"/>
            <w:vAlign w:val="center"/>
          </w:tcPr>
          <w:p>
            <w:pPr>
              <w:spacing w:line="460" w:lineRule="exac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根据投标人提供的</w:t>
            </w:r>
            <w:r>
              <w:rPr>
                <w:rFonts w:hint="eastAsia" w:ascii="新宋体" w:hAnsi="新宋体" w:eastAsia="新宋体" w:cs="新宋体"/>
                <w:color w:val="auto"/>
                <w:sz w:val="22"/>
                <w:szCs w:val="22"/>
                <w:highlight w:val="none"/>
                <w:lang w:val="en-US" w:eastAsia="zh-CN"/>
              </w:rPr>
              <w:t>其他</w:t>
            </w:r>
            <w:r>
              <w:rPr>
                <w:rFonts w:hint="eastAsia" w:ascii="新宋体" w:hAnsi="新宋体" w:eastAsia="新宋体" w:cs="新宋体"/>
                <w:color w:val="auto"/>
                <w:sz w:val="22"/>
                <w:szCs w:val="22"/>
                <w:highlight w:val="none"/>
              </w:rPr>
              <w:t>特色服务措施及承诺及优惠情况综合评分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0-3分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 xml:space="preserve">。 </w:t>
            </w:r>
          </w:p>
        </w:tc>
        <w:tc>
          <w:tcPr>
            <w:tcW w:w="0" w:type="auto"/>
            <w:vAlign w:val="center"/>
          </w:tcPr>
          <w:p>
            <w:pPr>
              <w:spacing w:line="460" w:lineRule="exact"/>
              <w:jc w:val="center"/>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rPr>
              <w:t>3</w:t>
            </w:r>
            <w:r>
              <w:rPr>
                <w:rFonts w:hint="eastAsia" w:ascii="新宋体" w:hAnsi="新宋体" w:eastAsia="新宋体" w:cs="新宋体"/>
                <w:color w:val="auto"/>
                <w:kern w:val="0"/>
                <w:sz w:val="22"/>
                <w:szCs w:val="22"/>
                <w:highlight w:val="none"/>
                <w:lang w:val="en-US" w:eastAsia="zh-CN"/>
              </w:rPr>
              <w:t>分</w:t>
            </w:r>
          </w:p>
        </w:tc>
      </w:tr>
    </w:tbl>
    <w:p>
      <w:pPr>
        <w:pStyle w:val="25"/>
        <w:spacing w:line="460" w:lineRule="exact"/>
        <w:ind w:left="0" w:leftChars="0" w:firstLine="442" w:firstLineChars="200"/>
        <w:rPr>
          <w:rFonts w:hint="eastAsia" w:ascii="宋体" w:hAnsi="宋体" w:eastAsia="宋体" w:cs="宋体"/>
          <w:b/>
          <w:color w:val="auto"/>
          <w:sz w:val="22"/>
          <w:szCs w:val="22"/>
          <w:highlight w:val="none"/>
        </w:rPr>
      </w:pPr>
    </w:p>
    <w:p>
      <w:pPr>
        <w:pStyle w:val="25"/>
        <w:spacing w:line="460" w:lineRule="exact"/>
        <w:ind w:left="0" w:lef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2、报价评分（</w:t>
      </w:r>
      <w:r>
        <w:rPr>
          <w:rFonts w:hint="eastAsia" w:ascii="宋体" w:hAnsi="宋体" w:cs="宋体"/>
          <w:b/>
          <w:color w:val="auto"/>
          <w:sz w:val="22"/>
          <w:szCs w:val="22"/>
          <w:highlight w:val="none"/>
          <w:lang w:val="en-US" w:eastAsia="zh-CN"/>
        </w:rPr>
        <w:t>3</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3</w:t>
      </w:r>
      <w:r>
        <w:rPr>
          <w:rFonts w:hint="eastAsia" w:ascii="宋体" w:hAnsi="宋体" w:eastAsia="宋体" w:cs="宋体"/>
          <w:b/>
          <w:color w:val="auto"/>
          <w:sz w:val="22"/>
          <w:szCs w:val="22"/>
          <w:highlight w:val="none"/>
        </w:rPr>
        <w:t>0%）：</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满足招标文件要求且投标报价最低的投标报价为评标基准价，其余投标人投标报价与该基准价对比，计算出商务报价评分值（保留小数2位）：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1）有效投标人的投标报价等于评标基准价时其报价分为满分；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2）其他投标人的价格分按以下公式计算：</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投标报价得分=（评分基准价/投标人投标报价）× 价格权值 ×100（保留小数2位）</w:t>
      </w:r>
    </w:p>
    <w:p>
      <w:pPr>
        <w:numPr>
          <w:ilvl w:val="0"/>
          <w:numId w:val="0"/>
        </w:numPr>
        <w:spacing w:line="460" w:lineRule="exact"/>
        <w:ind w:leftChars="0"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有效投标人的综合得分为技术分和商务（报价）分的总和。</w:t>
      </w:r>
    </w:p>
    <w:p>
      <w:pPr>
        <w:numPr>
          <w:ilvl w:val="0"/>
          <w:numId w:val="0"/>
        </w:numPr>
        <w:spacing w:line="460" w:lineRule="exact"/>
        <w:ind w:leftChars="0" w:firstLine="440" w:firstLineChars="200"/>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60" w:lineRule="exact"/>
        <w:ind w:firstLine="541" w:firstLineChars="245"/>
        <w:outlineLvl w:val="1"/>
        <w:rPr>
          <w:rFonts w:hint="eastAsia" w:ascii="宋体" w:hAnsi="宋体" w:eastAsia="宋体" w:cs="宋体"/>
          <w:b/>
          <w:bCs/>
          <w:color w:val="auto"/>
          <w:sz w:val="22"/>
          <w:szCs w:val="22"/>
          <w:highlight w:val="none"/>
        </w:rPr>
      </w:pPr>
      <w:bookmarkStart w:id="60" w:name="_Toc2482"/>
      <w:bookmarkStart w:id="61" w:name="_Toc4727"/>
      <w:r>
        <w:rPr>
          <w:rFonts w:hint="eastAsia" w:ascii="宋体" w:hAnsi="宋体" w:eastAsia="宋体" w:cs="宋体"/>
          <w:b/>
          <w:bCs/>
          <w:color w:val="auto"/>
          <w:sz w:val="22"/>
          <w:szCs w:val="22"/>
          <w:highlight w:val="none"/>
        </w:rPr>
        <w:t>六、定标办法</w:t>
      </w:r>
      <w:bookmarkEnd w:id="60"/>
      <w:bookmarkEnd w:id="61"/>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1.1由评标委员会确定中标候选人。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2、确定中标人</w:t>
      </w:r>
    </w:p>
    <w:p>
      <w:pPr>
        <w:spacing w:line="460" w:lineRule="exact"/>
        <w:rPr>
          <w:rFonts w:hint="eastAsia" w:ascii="宋体" w:hAnsi="宋体" w:eastAsia="宋体" w:cs="宋体"/>
          <w:b w:val="0"/>
          <w:bCs w:val="0"/>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b w:val="0"/>
          <w:bCs w:val="0"/>
          <w:color w:val="auto"/>
          <w:sz w:val="22"/>
          <w:szCs w:val="22"/>
          <w:highlight w:val="none"/>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中标人确定后，招标人将在指定媒体公告中标结果，招标人向中标人发出中标通知书。</w:t>
      </w:r>
      <w:bookmarkStart w:id="62" w:name="_Toc17587"/>
      <w:bookmarkStart w:id="63" w:name="_Toc3629"/>
    </w:p>
    <w:p>
      <w:pPr>
        <w:spacing w:line="460" w:lineRule="exact"/>
        <w:ind w:firstLine="541" w:firstLineChars="245"/>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七、投标人义务</w:t>
      </w:r>
      <w:bookmarkEnd w:id="62"/>
      <w:bookmarkEnd w:id="63"/>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投标人应随时接受评标委员会的询标，解答包括有关的商务、技术问题等。评标结束，所有评标资料存招标机构备查。</w:t>
      </w: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57"/>
      </w:rPr>
    </w:pPr>
    <w:r>
      <w:fldChar w:fldCharType="begin"/>
    </w:r>
    <w:r>
      <w:rPr>
        <w:rStyle w:val="57"/>
      </w:rPr>
      <w:instrText xml:space="preserve">PAGE  </w:instrText>
    </w:r>
    <w:r>
      <w:fldChar w:fldCharType="separate"/>
    </w:r>
    <w:r>
      <w:rPr>
        <w:rStyle w:val="57"/>
      </w:rPr>
      <w:t>28</w:t>
    </w:r>
    <w:r>
      <w:fldChar w:fldCharType="end"/>
    </w:r>
  </w:p>
  <w:p>
    <w:pPr>
      <w:pStyle w:val="37"/>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57"/>
      </w:rPr>
    </w:pPr>
    <w:r>
      <w:fldChar w:fldCharType="begin"/>
    </w:r>
    <w:r>
      <w:rPr>
        <w:rStyle w:val="57"/>
      </w:rPr>
      <w:instrText xml:space="preserve">PAGE  </w:instrText>
    </w:r>
    <w:r>
      <w:fldChar w:fldCharType="separate"/>
    </w:r>
    <w:r>
      <w:rPr>
        <w:rStyle w:val="57"/>
      </w:rPr>
      <w:t>72</w:t>
    </w:r>
    <w:r>
      <w:fldChar w:fldCharType="end"/>
    </w:r>
  </w:p>
  <w:p>
    <w:pPr>
      <w:pStyle w:val="37"/>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6" w:space="0"/>
      </w:pBdr>
      <w:jc w:val="both"/>
    </w:pPr>
    <w:r>
      <w:rPr>
        <w:rFonts w:hint="eastAsia"/>
        <w:lang w:eastAsia="zh-CN"/>
      </w:rPr>
      <w:t>温州市中医院</w:t>
    </w:r>
    <w:r>
      <w:rPr>
        <w:rFonts w:hint="eastAsia"/>
      </w:rPr>
      <w:t>招标文件                                             项目编号：</w:t>
    </w:r>
    <w:r>
      <w:rPr>
        <w:rFonts w:hint="eastAsia"/>
        <w:lang w:eastAsia="zh-CN"/>
      </w:rPr>
      <w:t xml:space="preserve">WZLCZB（W）-2023-01003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6" w:space="0"/>
      </w:pBdr>
      <w:jc w:val="both"/>
    </w:pPr>
    <w:r>
      <w:rPr>
        <w:rFonts w:hint="eastAsia"/>
        <w:lang w:eastAsia="zh-CN"/>
      </w:rPr>
      <w:t>温州市中医院</w:t>
    </w:r>
    <w:r>
      <w:rPr>
        <w:rFonts w:hint="eastAsia"/>
      </w:rPr>
      <w:t>招标文件                                             项目编号：</w:t>
    </w:r>
    <w:r>
      <w:rPr>
        <w:rFonts w:hint="eastAsia"/>
        <w:lang w:eastAsia="zh-CN"/>
      </w:rPr>
      <w:t xml:space="preserve">WZLCZB（W）-2023-01003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66A58"/>
    <w:multiLevelType w:val="singleLevel"/>
    <w:tmpl w:val="86B66A58"/>
    <w:lvl w:ilvl="0" w:tentative="0">
      <w:start w:val="3"/>
      <w:numFmt w:val="decimal"/>
      <w:lvlText w:val="%1."/>
      <w:lvlJc w:val="left"/>
      <w:pPr>
        <w:tabs>
          <w:tab w:val="left" w:pos="312"/>
        </w:tabs>
      </w:pPr>
    </w:lvl>
  </w:abstractNum>
  <w:abstractNum w:abstractNumId="1">
    <w:nsid w:val="9DED2AFC"/>
    <w:multiLevelType w:val="singleLevel"/>
    <w:tmpl w:val="9DED2AFC"/>
    <w:lvl w:ilvl="0" w:tentative="0">
      <w:start w:val="4"/>
      <w:numFmt w:val="chineseCounting"/>
      <w:suff w:val="space"/>
      <w:lvlText w:val="第%1部分"/>
      <w:lvlJc w:val="left"/>
      <w:rPr>
        <w:rFonts w:hint="eastAsia"/>
      </w:rPr>
    </w:lvl>
  </w:abstractNum>
  <w:abstractNum w:abstractNumId="2">
    <w:nsid w:val="B1C0EE6B"/>
    <w:multiLevelType w:val="singleLevel"/>
    <w:tmpl w:val="B1C0EE6B"/>
    <w:lvl w:ilvl="0" w:tentative="0">
      <w:start w:val="5"/>
      <w:numFmt w:val="chineseCounting"/>
      <w:suff w:val="nothing"/>
      <w:lvlText w:val="%1、"/>
      <w:lvlJc w:val="left"/>
      <w:rPr>
        <w:rFonts w:hint="eastAsia"/>
      </w:rPr>
    </w:lvl>
  </w:abstractNum>
  <w:abstractNum w:abstractNumId="3">
    <w:nsid w:val="BAF9EC89"/>
    <w:multiLevelType w:val="singleLevel"/>
    <w:tmpl w:val="BAF9EC89"/>
    <w:lvl w:ilvl="0" w:tentative="0">
      <w:start w:val="1"/>
      <w:numFmt w:val="chineseCounting"/>
      <w:suff w:val="nothing"/>
      <w:lvlText w:val="（%1）"/>
      <w:lvlJc w:val="left"/>
      <w:rPr>
        <w:rFonts w:hint="eastAsia"/>
      </w:rPr>
    </w:lvl>
  </w:abstractNum>
  <w:abstractNum w:abstractNumId="4">
    <w:nsid w:val="2D177BD0"/>
    <w:multiLevelType w:val="multilevel"/>
    <w:tmpl w:val="2D177BD0"/>
    <w:lvl w:ilvl="0" w:tentative="0">
      <w:start w:val="1"/>
      <w:numFmt w:val="decimal"/>
      <w:pStyle w:val="341"/>
      <w:suff w:val="nothing"/>
      <w:lvlText w:val="%1"/>
      <w:lvlJc w:val="left"/>
      <w:pPr>
        <w:ind w:left="0" w:firstLine="0"/>
      </w:pPr>
      <w:rPr>
        <w:rFonts w:hint="eastAsia" w:ascii="微软雅黑" w:hAnsi="微软雅黑" w:eastAsia="微软雅黑"/>
        <w:b w:val="0"/>
        <w:sz w:val="24"/>
      </w:rPr>
    </w:lvl>
    <w:lvl w:ilvl="1" w:tentative="0">
      <w:start w:val="1"/>
      <w:numFmt w:val="decimal"/>
      <w:pStyle w:val="342"/>
      <w:suff w:val="nothing"/>
      <w:lvlText w:val="%1.%2"/>
      <w:lvlJc w:val="left"/>
      <w:pPr>
        <w:ind w:left="0" w:firstLine="0"/>
      </w:pPr>
      <w:rPr>
        <w:rFonts w:hint="eastAsia" w:ascii="微软雅黑" w:hAnsi="微软雅黑" w:eastAsia="微软雅黑"/>
        <w:sz w:val="24"/>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40515ABD"/>
    <w:multiLevelType w:val="singleLevel"/>
    <w:tmpl w:val="40515ABD"/>
    <w:lvl w:ilvl="0" w:tentative="0">
      <w:start w:val="1"/>
      <w:numFmt w:val="decimal"/>
      <w:pStyle w:val="14"/>
      <w:lvlText w:val="%1."/>
      <w:lvlJc w:val="left"/>
      <w:pPr>
        <w:tabs>
          <w:tab w:val="left" w:pos="780"/>
        </w:tabs>
        <w:ind w:left="780" w:hanging="360"/>
      </w:pPr>
    </w:lvl>
  </w:abstractNum>
  <w:abstractNum w:abstractNumId="6">
    <w:nsid w:val="4DF73F39"/>
    <w:multiLevelType w:val="multilevel"/>
    <w:tmpl w:val="4DF73F39"/>
    <w:lvl w:ilvl="0" w:tentative="0">
      <w:start w:val="1"/>
      <w:numFmt w:val="decimal"/>
      <w:suff w:val="nothing"/>
      <w:lvlText w:val="%1"/>
      <w:lvlJc w:val="left"/>
      <w:pPr>
        <w:ind w:left="0" w:firstLine="0"/>
      </w:pPr>
      <w:rPr>
        <w:rFonts w:hint="default"/>
        <w:b w:val="0"/>
      </w:rPr>
    </w:lvl>
    <w:lvl w:ilvl="1" w:tentative="0">
      <w:start w:val="1"/>
      <w:numFmt w:val="decimal"/>
      <w:pStyle w:val="343"/>
      <w:suff w:val="nothing"/>
      <w:lvlText w:val="%1.%2"/>
      <w:lvlJc w:val="left"/>
      <w:pPr>
        <w:ind w:left="0"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52D7A3B6"/>
    <w:multiLevelType w:val="singleLevel"/>
    <w:tmpl w:val="52D7A3B6"/>
    <w:lvl w:ilvl="0" w:tentative="0">
      <w:start w:val="1"/>
      <w:numFmt w:val="decimal"/>
      <w:suff w:val="nothing"/>
      <w:lvlText w:val="（%1）"/>
      <w:lvlJc w:val="left"/>
    </w:lvl>
  </w:abstractNum>
  <w:abstractNum w:abstractNumId="8">
    <w:nsid w:val="5BBD744C"/>
    <w:multiLevelType w:val="singleLevel"/>
    <w:tmpl w:val="5BBD744C"/>
    <w:lvl w:ilvl="0" w:tentative="0">
      <w:start w:val="1"/>
      <w:numFmt w:val="decimal"/>
      <w:suff w:val="nothing"/>
      <w:lvlText w:val="%1、"/>
      <w:lvlJc w:val="left"/>
    </w:lvl>
  </w:abstractNum>
  <w:num w:numId="1">
    <w:abstractNumId w:val="5"/>
  </w:num>
  <w:num w:numId="2">
    <w:abstractNumId w:val="4"/>
  </w:num>
  <w:num w:numId="3">
    <w:abstractNumId w:val="6"/>
  </w:num>
  <w:num w:numId="4">
    <w:abstractNumId w:val="0"/>
  </w:num>
  <w:num w:numId="5">
    <w:abstractNumId w:val="7"/>
  </w:num>
  <w:num w:numId="6">
    <w:abstractNumId w:val="3"/>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0NWM0YjQ0NTJjNDY5ZjBmYTIzZWIyMWExMGIxOWEifQ=="/>
  </w:docVars>
  <w:rsids>
    <w:rsidRoot w:val="00172A27"/>
    <w:rsid w:val="000149E3"/>
    <w:rsid w:val="00020693"/>
    <w:rsid w:val="000217C7"/>
    <w:rsid w:val="00026A46"/>
    <w:rsid w:val="00027D0D"/>
    <w:rsid w:val="00031F49"/>
    <w:rsid w:val="00037B6F"/>
    <w:rsid w:val="000474B4"/>
    <w:rsid w:val="00063600"/>
    <w:rsid w:val="00090AE6"/>
    <w:rsid w:val="000A6326"/>
    <w:rsid w:val="000B2878"/>
    <w:rsid w:val="0010260A"/>
    <w:rsid w:val="0013451B"/>
    <w:rsid w:val="00146E35"/>
    <w:rsid w:val="00172A27"/>
    <w:rsid w:val="00176791"/>
    <w:rsid w:val="0019644F"/>
    <w:rsid w:val="001B0F17"/>
    <w:rsid w:val="001B2275"/>
    <w:rsid w:val="001D4048"/>
    <w:rsid w:val="001D49A1"/>
    <w:rsid w:val="001E7897"/>
    <w:rsid w:val="001F5D2B"/>
    <w:rsid w:val="002018F6"/>
    <w:rsid w:val="002044B9"/>
    <w:rsid w:val="00212172"/>
    <w:rsid w:val="00223CC1"/>
    <w:rsid w:val="00227214"/>
    <w:rsid w:val="00230913"/>
    <w:rsid w:val="00243D5B"/>
    <w:rsid w:val="002447E7"/>
    <w:rsid w:val="00261F3C"/>
    <w:rsid w:val="00270294"/>
    <w:rsid w:val="00271C2D"/>
    <w:rsid w:val="002843F3"/>
    <w:rsid w:val="00296547"/>
    <w:rsid w:val="002A31D6"/>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7176"/>
    <w:rsid w:val="00A92B83"/>
    <w:rsid w:val="00A957CF"/>
    <w:rsid w:val="00AA3DA6"/>
    <w:rsid w:val="00AA7C87"/>
    <w:rsid w:val="00AD66E6"/>
    <w:rsid w:val="00AE4B39"/>
    <w:rsid w:val="00AF7BEB"/>
    <w:rsid w:val="00B06E43"/>
    <w:rsid w:val="00B2584A"/>
    <w:rsid w:val="00B41362"/>
    <w:rsid w:val="00B43A9E"/>
    <w:rsid w:val="00B44537"/>
    <w:rsid w:val="00B5466C"/>
    <w:rsid w:val="00B74039"/>
    <w:rsid w:val="00B87E26"/>
    <w:rsid w:val="00B9767A"/>
    <w:rsid w:val="00BA78D1"/>
    <w:rsid w:val="00BC0A13"/>
    <w:rsid w:val="00BC2B54"/>
    <w:rsid w:val="00BC4AC5"/>
    <w:rsid w:val="00BC66D1"/>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C44CE"/>
    <w:rsid w:val="00FD52B1"/>
    <w:rsid w:val="00FF3A66"/>
    <w:rsid w:val="00FF6977"/>
    <w:rsid w:val="0116709E"/>
    <w:rsid w:val="01606883"/>
    <w:rsid w:val="020D29B1"/>
    <w:rsid w:val="021F7DAD"/>
    <w:rsid w:val="0224444B"/>
    <w:rsid w:val="022D7429"/>
    <w:rsid w:val="02451328"/>
    <w:rsid w:val="027D25C0"/>
    <w:rsid w:val="028270A2"/>
    <w:rsid w:val="02841565"/>
    <w:rsid w:val="029411C5"/>
    <w:rsid w:val="02B3222E"/>
    <w:rsid w:val="02F63BA4"/>
    <w:rsid w:val="031D0871"/>
    <w:rsid w:val="03283281"/>
    <w:rsid w:val="03331487"/>
    <w:rsid w:val="034A64CB"/>
    <w:rsid w:val="039714E5"/>
    <w:rsid w:val="03BE392F"/>
    <w:rsid w:val="03E13A1E"/>
    <w:rsid w:val="04156ACE"/>
    <w:rsid w:val="042A5AFC"/>
    <w:rsid w:val="043D6DF1"/>
    <w:rsid w:val="043F2279"/>
    <w:rsid w:val="044865A2"/>
    <w:rsid w:val="048B4A02"/>
    <w:rsid w:val="048D46D7"/>
    <w:rsid w:val="04A01243"/>
    <w:rsid w:val="04C27070"/>
    <w:rsid w:val="04E23C80"/>
    <w:rsid w:val="04FD6D0A"/>
    <w:rsid w:val="050751FC"/>
    <w:rsid w:val="05166806"/>
    <w:rsid w:val="0529508C"/>
    <w:rsid w:val="05355B4E"/>
    <w:rsid w:val="053A30CA"/>
    <w:rsid w:val="057D25F0"/>
    <w:rsid w:val="05936339"/>
    <w:rsid w:val="05992721"/>
    <w:rsid w:val="05B14A6B"/>
    <w:rsid w:val="05D76F02"/>
    <w:rsid w:val="062F7E7F"/>
    <w:rsid w:val="0650016B"/>
    <w:rsid w:val="06695ADA"/>
    <w:rsid w:val="067F52AB"/>
    <w:rsid w:val="068D1BAD"/>
    <w:rsid w:val="06E17425"/>
    <w:rsid w:val="06E81491"/>
    <w:rsid w:val="07081502"/>
    <w:rsid w:val="072046E3"/>
    <w:rsid w:val="07373C8C"/>
    <w:rsid w:val="074234A9"/>
    <w:rsid w:val="0747552D"/>
    <w:rsid w:val="074E1793"/>
    <w:rsid w:val="07592C30"/>
    <w:rsid w:val="07791E20"/>
    <w:rsid w:val="078177D5"/>
    <w:rsid w:val="07924879"/>
    <w:rsid w:val="079C0E64"/>
    <w:rsid w:val="07D60F62"/>
    <w:rsid w:val="08621901"/>
    <w:rsid w:val="08911C02"/>
    <w:rsid w:val="08913549"/>
    <w:rsid w:val="08B53A61"/>
    <w:rsid w:val="08E76FD5"/>
    <w:rsid w:val="08FD20E7"/>
    <w:rsid w:val="09101BCD"/>
    <w:rsid w:val="09315C91"/>
    <w:rsid w:val="09510BFE"/>
    <w:rsid w:val="097E368B"/>
    <w:rsid w:val="09816EE6"/>
    <w:rsid w:val="09A34824"/>
    <w:rsid w:val="09B85302"/>
    <w:rsid w:val="09B94936"/>
    <w:rsid w:val="09D26DBF"/>
    <w:rsid w:val="09F65854"/>
    <w:rsid w:val="0A07422F"/>
    <w:rsid w:val="0A1B49C1"/>
    <w:rsid w:val="0A3D0590"/>
    <w:rsid w:val="0A7416D8"/>
    <w:rsid w:val="0A8945EB"/>
    <w:rsid w:val="0AD52CE9"/>
    <w:rsid w:val="0AD95380"/>
    <w:rsid w:val="0B3042BA"/>
    <w:rsid w:val="0BAC1F4C"/>
    <w:rsid w:val="0BBE4F63"/>
    <w:rsid w:val="0BDA530A"/>
    <w:rsid w:val="0C0247C0"/>
    <w:rsid w:val="0C353302"/>
    <w:rsid w:val="0C496297"/>
    <w:rsid w:val="0C660E5E"/>
    <w:rsid w:val="0C7C51F9"/>
    <w:rsid w:val="0C9A109E"/>
    <w:rsid w:val="0CA74D09"/>
    <w:rsid w:val="0CA9483B"/>
    <w:rsid w:val="0CC51217"/>
    <w:rsid w:val="0D0A01F7"/>
    <w:rsid w:val="0D1F1C9D"/>
    <w:rsid w:val="0D3F6C37"/>
    <w:rsid w:val="0D735BCC"/>
    <w:rsid w:val="0D7C2119"/>
    <w:rsid w:val="0D920730"/>
    <w:rsid w:val="0DE33D9A"/>
    <w:rsid w:val="0E022677"/>
    <w:rsid w:val="0E064CB1"/>
    <w:rsid w:val="0E4706D1"/>
    <w:rsid w:val="0E4B6575"/>
    <w:rsid w:val="0E5C2643"/>
    <w:rsid w:val="0E6537C4"/>
    <w:rsid w:val="0E701E1B"/>
    <w:rsid w:val="0E750CB0"/>
    <w:rsid w:val="0E8E6882"/>
    <w:rsid w:val="0EE50D43"/>
    <w:rsid w:val="0F0377AE"/>
    <w:rsid w:val="0F0E6EE3"/>
    <w:rsid w:val="0F706416"/>
    <w:rsid w:val="0FCD5779"/>
    <w:rsid w:val="0FD03A0D"/>
    <w:rsid w:val="10381F40"/>
    <w:rsid w:val="104869BA"/>
    <w:rsid w:val="109A2257"/>
    <w:rsid w:val="10F47168"/>
    <w:rsid w:val="110264F1"/>
    <w:rsid w:val="1104198D"/>
    <w:rsid w:val="115434FF"/>
    <w:rsid w:val="115D3896"/>
    <w:rsid w:val="11A0539B"/>
    <w:rsid w:val="11B62E53"/>
    <w:rsid w:val="12103D4D"/>
    <w:rsid w:val="12345EA5"/>
    <w:rsid w:val="124027F2"/>
    <w:rsid w:val="125A673E"/>
    <w:rsid w:val="12775E6D"/>
    <w:rsid w:val="12930883"/>
    <w:rsid w:val="12A01322"/>
    <w:rsid w:val="12AB0828"/>
    <w:rsid w:val="12E05DF5"/>
    <w:rsid w:val="133616DD"/>
    <w:rsid w:val="13582BF6"/>
    <w:rsid w:val="13583E3E"/>
    <w:rsid w:val="136156A3"/>
    <w:rsid w:val="138356B4"/>
    <w:rsid w:val="13884680"/>
    <w:rsid w:val="13996DA4"/>
    <w:rsid w:val="13A56966"/>
    <w:rsid w:val="13B56A40"/>
    <w:rsid w:val="13D309B3"/>
    <w:rsid w:val="13EC3F05"/>
    <w:rsid w:val="14077D57"/>
    <w:rsid w:val="143079B7"/>
    <w:rsid w:val="14342819"/>
    <w:rsid w:val="14965811"/>
    <w:rsid w:val="14CE5CB2"/>
    <w:rsid w:val="14D92610"/>
    <w:rsid w:val="15001500"/>
    <w:rsid w:val="154A25D7"/>
    <w:rsid w:val="15525604"/>
    <w:rsid w:val="155E753C"/>
    <w:rsid w:val="156E5828"/>
    <w:rsid w:val="15B36E57"/>
    <w:rsid w:val="15B43A33"/>
    <w:rsid w:val="15C02CFA"/>
    <w:rsid w:val="15D02588"/>
    <w:rsid w:val="163004AD"/>
    <w:rsid w:val="164356BB"/>
    <w:rsid w:val="166F777C"/>
    <w:rsid w:val="169C21B8"/>
    <w:rsid w:val="169C6B59"/>
    <w:rsid w:val="16BB60A4"/>
    <w:rsid w:val="16D604C4"/>
    <w:rsid w:val="173A5387"/>
    <w:rsid w:val="17725C57"/>
    <w:rsid w:val="17755246"/>
    <w:rsid w:val="17800AEC"/>
    <w:rsid w:val="18245E40"/>
    <w:rsid w:val="184F1816"/>
    <w:rsid w:val="186B461D"/>
    <w:rsid w:val="188B4950"/>
    <w:rsid w:val="18C7387D"/>
    <w:rsid w:val="18C76564"/>
    <w:rsid w:val="19087A11"/>
    <w:rsid w:val="191B7534"/>
    <w:rsid w:val="196E2C37"/>
    <w:rsid w:val="1974690A"/>
    <w:rsid w:val="1A510684"/>
    <w:rsid w:val="1A6171B2"/>
    <w:rsid w:val="1AA65F2A"/>
    <w:rsid w:val="1AA666F2"/>
    <w:rsid w:val="1ADC340E"/>
    <w:rsid w:val="1AED2C78"/>
    <w:rsid w:val="1AEF15D5"/>
    <w:rsid w:val="1B1F6B22"/>
    <w:rsid w:val="1B343FD0"/>
    <w:rsid w:val="1B356551"/>
    <w:rsid w:val="1B377F92"/>
    <w:rsid w:val="1B3E4ABA"/>
    <w:rsid w:val="1B9D2D2C"/>
    <w:rsid w:val="1BA800ED"/>
    <w:rsid w:val="1BAB13EA"/>
    <w:rsid w:val="1BBF1820"/>
    <w:rsid w:val="1BE02644"/>
    <w:rsid w:val="1BF27CE6"/>
    <w:rsid w:val="1BF57F17"/>
    <w:rsid w:val="1C13053F"/>
    <w:rsid w:val="1C162BF5"/>
    <w:rsid w:val="1C212DFA"/>
    <w:rsid w:val="1C3065A1"/>
    <w:rsid w:val="1C32514E"/>
    <w:rsid w:val="1C6074FD"/>
    <w:rsid w:val="1C8449C2"/>
    <w:rsid w:val="1C8676F7"/>
    <w:rsid w:val="1C8B5EF5"/>
    <w:rsid w:val="1C9B7764"/>
    <w:rsid w:val="1C9C37E6"/>
    <w:rsid w:val="1CA3081A"/>
    <w:rsid w:val="1CB81673"/>
    <w:rsid w:val="1CEB7EC5"/>
    <w:rsid w:val="1D0A50BD"/>
    <w:rsid w:val="1D2A3DAB"/>
    <w:rsid w:val="1D46542E"/>
    <w:rsid w:val="1D6359BB"/>
    <w:rsid w:val="1D664936"/>
    <w:rsid w:val="1D71729C"/>
    <w:rsid w:val="1D981331"/>
    <w:rsid w:val="1DAB3C89"/>
    <w:rsid w:val="1DC06E93"/>
    <w:rsid w:val="1DCC77C2"/>
    <w:rsid w:val="1DCF4890"/>
    <w:rsid w:val="1DD5148C"/>
    <w:rsid w:val="1DFB57EB"/>
    <w:rsid w:val="1E0062C5"/>
    <w:rsid w:val="1E4F15C4"/>
    <w:rsid w:val="1E665E93"/>
    <w:rsid w:val="1E6D0B8E"/>
    <w:rsid w:val="1E8A1B7B"/>
    <w:rsid w:val="1ED05FDD"/>
    <w:rsid w:val="1EDA4565"/>
    <w:rsid w:val="1F0115E6"/>
    <w:rsid w:val="1F574D7C"/>
    <w:rsid w:val="1F8B73B9"/>
    <w:rsid w:val="1FC0508F"/>
    <w:rsid w:val="1FD17519"/>
    <w:rsid w:val="1FDE37FF"/>
    <w:rsid w:val="1FE87CF6"/>
    <w:rsid w:val="1FFE3B10"/>
    <w:rsid w:val="20142293"/>
    <w:rsid w:val="202875D1"/>
    <w:rsid w:val="203B6405"/>
    <w:rsid w:val="204042C4"/>
    <w:rsid w:val="204434A6"/>
    <w:rsid w:val="205143DE"/>
    <w:rsid w:val="20754984"/>
    <w:rsid w:val="208E2CB0"/>
    <w:rsid w:val="20C7192F"/>
    <w:rsid w:val="20F3606E"/>
    <w:rsid w:val="213009EF"/>
    <w:rsid w:val="213D75BE"/>
    <w:rsid w:val="21552388"/>
    <w:rsid w:val="217A33A1"/>
    <w:rsid w:val="21872636"/>
    <w:rsid w:val="218F2648"/>
    <w:rsid w:val="21AB5C9B"/>
    <w:rsid w:val="21B427AB"/>
    <w:rsid w:val="21BD46E0"/>
    <w:rsid w:val="227C0C68"/>
    <w:rsid w:val="227D1F07"/>
    <w:rsid w:val="22AE5DFE"/>
    <w:rsid w:val="23025E80"/>
    <w:rsid w:val="235C31B0"/>
    <w:rsid w:val="23C16FD2"/>
    <w:rsid w:val="242C445B"/>
    <w:rsid w:val="248B6BF0"/>
    <w:rsid w:val="24975A35"/>
    <w:rsid w:val="24A451C8"/>
    <w:rsid w:val="24B0777F"/>
    <w:rsid w:val="24B80E3D"/>
    <w:rsid w:val="24BA3A6C"/>
    <w:rsid w:val="24C14262"/>
    <w:rsid w:val="24DB11B1"/>
    <w:rsid w:val="24DB1DC1"/>
    <w:rsid w:val="24E80115"/>
    <w:rsid w:val="254579AD"/>
    <w:rsid w:val="25550995"/>
    <w:rsid w:val="25916749"/>
    <w:rsid w:val="25E5097B"/>
    <w:rsid w:val="25ED1CE2"/>
    <w:rsid w:val="25F220DD"/>
    <w:rsid w:val="260366CA"/>
    <w:rsid w:val="26190B1E"/>
    <w:rsid w:val="261954E5"/>
    <w:rsid w:val="26B25A04"/>
    <w:rsid w:val="26E86A48"/>
    <w:rsid w:val="2707113A"/>
    <w:rsid w:val="27101EDB"/>
    <w:rsid w:val="27450F96"/>
    <w:rsid w:val="27A03254"/>
    <w:rsid w:val="27A230C5"/>
    <w:rsid w:val="27A851CF"/>
    <w:rsid w:val="27F6755B"/>
    <w:rsid w:val="2835156C"/>
    <w:rsid w:val="285E7742"/>
    <w:rsid w:val="285F589C"/>
    <w:rsid w:val="2860075F"/>
    <w:rsid w:val="286E5C18"/>
    <w:rsid w:val="288E7537"/>
    <w:rsid w:val="28D51CE9"/>
    <w:rsid w:val="28E0382C"/>
    <w:rsid w:val="28FB2940"/>
    <w:rsid w:val="2935387C"/>
    <w:rsid w:val="29923BE6"/>
    <w:rsid w:val="29BF563D"/>
    <w:rsid w:val="29D70027"/>
    <w:rsid w:val="29E4565C"/>
    <w:rsid w:val="2A217644"/>
    <w:rsid w:val="2A5522DC"/>
    <w:rsid w:val="2A6D7AE4"/>
    <w:rsid w:val="2A81126C"/>
    <w:rsid w:val="2A9A509F"/>
    <w:rsid w:val="2ABE75C5"/>
    <w:rsid w:val="2AC54EDF"/>
    <w:rsid w:val="2ADE1592"/>
    <w:rsid w:val="2AE72478"/>
    <w:rsid w:val="2AFE6BB2"/>
    <w:rsid w:val="2AFF547A"/>
    <w:rsid w:val="2B0F5BE3"/>
    <w:rsid w:val="2B194010"/>
    <w:rsid w:val="2B1A0A86"/>
    <w:rsid w:val="2B766889"/>
    <w:rsid w:val="2BB62C14"/>
    <w:rsid w:val="2BB82208"/>
    <w:rsid w:val="2BC1544C"/>
    <w:rsid w:val="2BF83122"/>
    <w:rsid w:val="2C4D4422"/>
    <w:rsid w:val="2C61592A"/>
    <w:rsid w:val="2C725B11"/>
    <w:rsid w:val="2CCC3408"/>
    <w:rsid w:val="2CF23348"/>
    <w:rsid w:val="2D0212AF"/>
    <w:rsid w:val="2D0721CE"/>
    <w:rsid w:val="2D2D0FB8"/>
    <w:rsid w:val="2D5369A4"/>
    <w:rsid w:val="2D553E12"/>
    <w:rsid w:val="2D563294"/>
    <w:rsid w:val="2D572DE8"/>
    <w:rsid w:val="2D7657B0"/>
    <w:rsid w:val="2DA92533"/>
    <w:rsid w:val="2DC542FD"/>
    <w:rsid w:val="2E027319"/>
    <w:rsid w:val="2E740C9C"/>
    <w:rsid w:val="2E912614"/>
    <w:rsid w:val="2EB82B9B"/>
    <w:rsid w:val="2ECC2034"/>
    <w:rsid w:val="2EDB211E"/>
    <w:rsid w:val="2F92082D"/>
    <w:rsid w:val="2FAF734F"/>
    <w:rsid w:val="2FB74538"/>
    <w:rsid w:val="2FF16930"/>
    <w:rsid w:val="30255652"/>
    <w:rsid w:val="302A5959"/>
    <w:rsid w:val="305B0C4B"/>
    <w:rsid w:val="306F34C7"/>
    <w:rsid w:val="31024AE6"/>
    <w:rsid w:val="313F60CD"/>
    <w:rsid w:val="316C164E"/>
    <w:rsid w:val="31AC33EA"/>
    <w:rsid w:val="31B469D0"/>
    <w:rsid w:val="31D64F96"/>
    <w:rsid w:val="32017181"/>
    <w:rsid w:val="3202578C"/>
    <w:rsid w:val="326D3B31"/>
    <w:rsid w:val="327021FA"/>
    <w:rsid w:val="329C1DF0"/>
    <w:rsid w:val="329E2BA3"/>
    <w:rsid w:val="32AE7A75"/>
    <w:rsid w:val="32E032B1"/>
    <w:rsid w:val="32EF11A3"/>
    <w:rsid w:val="32EF2028"/>
    <w:rsid w:val="33011C41"/>
    <w:rsid w:val="333C6A3D"/>
    <w:rsid w:val="33420402"/>
    <w:rsid w:val="33644CFD"/>
    <w:rsid w:val="33774568"/>
    <w:rsid w:val="33A0028D"/>
    <w:rsid w:val="33A570FA"/>
    <w:rsid w:val="33D32C1C"/>
    <w:rsid w:val="33D92429"/>
    <w:rsid w:val="340D7427"/>
    <w:rsid w:val="343B3818"/>
    <w:rsid w:val="343C1893"/>
    <w:rsid w:val="3449265D"/>
    <w:rsid w:val="358526AE"/>
    <w:rsid w:val="35B54B22"/>
    <w:rsid w:val="35C16119"/>
    <w:rsid w:val="35DF0F8E"/>
    <w:rsid w:val="35E83CBD"/>
    <w:rsid w:val="35EF293B"/>
    <w:rsid w:val="35F13A2A"/>
    <w:rsid w:val="35FD564E"/>
    <w:rsid w:val="360453EB"/>
    <w:rsid w:val="362C0965"/>
    <w:rsid w:val="36495F37"/>
    <w:rsid w:val="36523501"/>
    <w:rsid w:val="366A6E58"/>
    <w:rsid w:val="37366041"/>
    <w:rsid w:val="373D0F4E"/>
    <w:rsid w:val="37625DAE"/>
    <w:rsid w:val="377717B0"/>
    <w:rsid w:val="379D7A74"/>
    <w:rsid w:val="37A03DDA"/>
    <w:rsid w:val="37DC389E"/>
    <w:rsid w:val="37E41DF1"/>
    <w:rsid w:val="37FC364E"/>
    <w:rsid w:val="38463090"/>
    <w:rsid w:val="3882116E"/>
    <w:rsid w:val="388234B9"/>
    <w:rsid w:val="38973473"/>
    <w:rsid w:val="38A56CC9"/>
    <w:rsid w:val="38C05F24"/>
    <w:rsid w:val="38D750B8"/>
    <w:rsid w:val="38F2240C"/>
    <w:rsid w:val="39171CC0"/>
    <w:rsid w:val="393F39C1"/>
    <w:rsid w:val="3941283A"/>
    <w:rsid w:val="395212E1"/>
    <w:rsid w:val="39976574"/>
    <w:rsid w:val="39A165F9"/>
    <w:rsid w:val="39B72706"/>
    <w:rsid w:val="39C84E5A"/>
    <w:rsid w:val="39FA0921"/>
    <w:rsid w:val="3A3457E8"/>
    <w:rsid w:val="3A3F0320"/>
    <w:rsid w:val="3A536E24"/>
    <w:rsid w:val="3A565A98"/>
    <w:rsid w:val="3A810ECA"/>
    <w:rsid w:val="3A871F8A"/>
    <w:rsid w:val="3AA31206"/>
    <w:rsid w:val="3AB57780"/>
    <w:rsid w:val="3AC65AD2"/>
    <w:rsid w:val="3ACF5A26"/>
    <w:rsid w:val="3B3575B2"/>
    <w:rsid w:val="3B4764C1"/>
    <w:rsid w:val="3B54731C"/>
    <w:rsid w:val="3B67428D"/>
    <w:rsid w:val="3B6F6D9A"/>
    <w:rsid w:val="3B713350"/>
    <w:rsid w:val="3B7A26BE"/>
    <w:rsid w:val="3BBD2198"/>
    <w:rsid w:val="3BE767A5"/>
    <w:rsid w:val="3C1701DB"/>
    <w:rsid w:val="3C2E25AC"/>
    <w:rsid w:val="3C33699A"/>
    <w:rsid w:val="3C41291B"/>
    <w:rsid w:val="3C447C27"/>
    <w:rsid w:val="3C4E3440"/>
    <w:rsid w:val="3E225ED0"/>
    <w:rsid w:val="3E29108F"/>
    <w:rsid w:val="3E5E3444"/>
    <w:rsid w:val="3E763568"/>
    <w:rsid w:val="3EB341AB"/>
    <w:rsid w:val="3EC20226"/>
    <w:rsid w:val="3EC451E1"/>
    <w:rsid w:val="3EC47F80"/>
    <w:rsid w:val="3F1E63B0"/>
    <w:rsid w:val="3F2226EC"/>
    <w:rsid w:val="3F601C75"/>
    <w:rsid w:val="3FAC6CE4"/>
    <w:rsid w:val="3FDA48AC"/>
    <w:rsid w:val="3FF01385"/>
    <w:rsid w:val="402A3DD6"/>
    <w:rsid w:val="402E363B"/>
    <w:rsid w:val="403A7A13"/>
    <w:rsid w:val="40883F9A"/>
    <w:rsid w:val="40A6403B"/>
    <w:rsid w:val="40C31767"/>
    <w:rsid w:val="40D11C13"/>
    <w:rsid w:val="40D14228"/>
    <w:rsid w:val="40E32648"/>
    <w:rsid w:val="413F338F"/>
    <w:rsid w:val="415D3A83"/>
    <w:rsid w:val="41A50FA5"/>
    <w:rsid w:val="41B113E8"/>
    <w:rsid w:val="41CC07BC"/>
    <w:rsid w:val="41DD5AAF"/>
    <w:rsid w:val="420569A4"/>
    <w:rsid w:val="4246080B"/>
    <w:rsid w:val="42CE24FD"/>
    <w:rsid w:val="42F302DD"/>
    <w:rsid w:val="43260C43"/>
    <w:rsid w:val="438034F8"/>
    <w:rsid w:val="4388321A"/>
    <w:rsid w:val="43D80906"/>
    <w:rsid w:val="441A31FF"/>
    <w:rsid w:val="446A3759"/>
    <w:rsid w:val="446B4961"/>
    <w:rsid w:val="449428DA"/>
    <w:rsid w:val="45132E7E"/>
    <w:rsid w:val="456F7A14"/>
    <w:rsid w:val="45B725A0"/>
    <w:rsid w:val="462E25CA"/>
    <w:rsid w:val="46303A17"/>
    <w:rsid w:val="46516D06"/>
    <w:rsid w:val="465A58CC"/>
    <w:rsid w:val="46620428"/>
    <w:rsid w:val="46D637ED"/>
    <w:rsid w:val="46DD3F38"/>
    <w:rsid w:val="46F16F1D"/>
    <w:rsid w:val="46FD2CBF"/>
    <w:rsid w:val="472910BD"/>
    <w:rsid w:val="47553E8E"/>
    <w:rsid w:val="477C293C"/>
    <w:rsid w:val="47CA2F97"/>
    <w:rsid w:val="47D84675"/>
    <w:rsid w:val="47E17B3A"/>
    <w:rsid w:val="47FF4104"/>
    <w:rsid w:val="481379C4"/>
    <w:rsid w:val="4816651B"/>
    <w:rsid w:val="481947FE"/>
    <w:rsid w:val="483B043E"/>
    <w:rsid w:val="486B0826"/>
    <w:rsid w:val="486B1D8E"/>
    <w:rsid w:val="48A93D74"/>
    <w:rsid w:val="48D139F6"/>
    <w:rsid w:val="48F56DD6"/>
    <w:rsid w:val="491916C6"/>
    <w:rsid w:val="49451A7F"/>
    <w:rsid w:val="49573AC8"/>
    <w:rsid w:val="49742A5E"/>
    <w:rsid w:val="49AA7971"/>
    <w:rsid w:val="49FE240E"/>
    <w:rsid w:val="4A141151"/>
    <w:rsid w:val="4A316318"/>
    <w:rsid w:val="4A643B84"/>
    <w:rsid w:val="4A777A6A"/>
    <w:rsid w:val="4A791AFA"/>
    <w:rsid w:val="4AC9062D"/>
    <w:rsid w:val="4AE52C42"/>
    <w:rsid w:val="4AF2187D"/>
    <w:rsid w:val="4AFC3953"/>
    <w:rsid w:val="4B103205"/>
    <w:rsid w:val="4B1E385E"/>
    <w:rsid w:val="4B425A6C"/>
    <w:rsid w:val="4B6870F9"/>
    <w:rsid w:val="4B6C2969"/>
    <w:rsid w:val="4BCF6DCB"/>
    <w:rsid w:val="4BD06B38"/>
    <w:rsid w:val="4BDF321A"/>
    <w:rsid w:val="4C0065CE"/>
    <w:rsid w:val="4C18241E"/>
    <w:rsid w:val="4C227943"/>
    <w:rsid w:val="4C472142"/>
    <w:rsid w:val="4C5F22C4"/>
    <w:rsid w:val="4C871B4D"/>
    <w:rsid w:val="4C9463A6"/>
    <w:rsid w:val="4DC86CD0"/>
    <w:rsid w:val="4DD62C1F"/>
    <w:rsid w:val="4DF46D27"/>
    <w:rsid w:val="4E367509"/>
    <w:rsid w:val="4E5211BA"/>
    <w:rsid w:val="4E90713C"/>
    <w:rsid w:val="4E9D1D1E"/>
    <w:rsid w:val="4F0E0B1D"/>
    <w:rsid w:val="4FBD41CA"/>
    <w:rsid w:val="4FD246D2"/>
    <w:rsid w:val="50077D56"/>
    <w:rsid w:val="50131451"/>
    <w:rsid w:val="50831BFE"/>
    <w:rsid w:val="50B52FE4"/>
    <w:rsid w:val="50BF2E54"/>
    <w:rsid w:val="50EC2322"/>
    <w:rsid w:val="51390BE4"/>
    <w:rsid w:val="51C804DE"/>
    <w:rsid w:val="51CF0D4C"/>
    <w:rsid w:val="51E33826"/>
    <w:rsid w:val="51E71C22"/>
    <w:rsid w:val="520C6B50"/>
    <w:rsid w:val="522E62F3"/>
    <w:rsid w:val="52A33960"/>
    <w:rsid w:val="52B476CE"/>
    <w:rsid w:val="52F47A95"/>
    <w:rsid w:val="531645CA"/>
    <w:rsid w:val="531F2A96"/>
    <w:rsid w:val="53262EC9"/>
    <w:rsid w:val="53734149"/>
    <w:rsid w:val="53932760"/>
    <w:rsid w:val="539873E7"/>
    <w:rsid w:val="53B46D0C"/>
    <w:rsid w:val="54087353"/>
    <w:rsid w:val="54375044"/>
    <w:rsid w:val="544232E7"/>
    <w:rsid w:val="54837B70"/>
    <w:rsid w:val="549661B6"/>
    <w:rsid w:val="54D24E79"/>
    <w:rsid w:val="5503429F"/>
    <w:rsid w:val="551027C6"/>
    <w:rsid w:val="552F7315"/>
    <w:rsid w:val="554B0FDD"/>
    <w:rsid w:val="55631D2D"/>
    <w:rsid w:val="55BB1E97"/>
    <w:rsid w:val="55BE587F"/>
    <w:rsid w:val="55C8709D"/>
    <w:rsid w:val="560509A3"/>
    <w:rsid w:val="56097CE2"/>
    <w:rsid w:val="56126C00"/>
    <w:rsid w:val="56250237"/>
    <w:rsid w:val="563420A4"/>
    <w:rsid w:val="564569EB"/>
    <w:rsid w:val="566A655E"/>
    <w:rsid w:val="56AB5944"/>
    <w:rsid w:val="56F645A2"/>
    <w:rsid w:val="57214861"/>
    <w:rsid w:val="572B4616"/>
    <w:rsid w:val="57541EAD"/>
    <w:rsid w:val="577465D8"/>
    <w:rsid w:val="57AE5029"/>
    <w:rsid w:val="57C23486"/>
    <w:rsid w:val="57D123D3"/>
    <w:rsid w:val="58117CC1"/>
    <w:rsid w:val="581B6D8F"/>
    <w:rsid w:val="582C3384"/>
    <w:rsid w:val="58624A55"/>
    <w:rsid w:val="5881143C"/>
    <w:rsid w:val="59216A89"/>
    <w:rsid w:val="59671A3A"/>
    <w:rsid w:val="59A14E6F"/>
    <w:rsid w:val="59A175DF"/>
    <w:rsid w:val="59B819C2"/>
    <w:rsid w:val="59C7668D"/>
    <w:rsid w:val="59FC4729"/>
    <w:rsid w:val="5A0B75E4"/>
    <w:rsid w:val="5A575BFF"/>
    <w:rsid w:val="5A77586F"/>
    <w:rsid w:val="5AA12CBD"/>
    <w:rsid w:val="5ACA65CD"/>
    <w:rsid w:val="5ACC7A53"/>
    <w:rsid w:val="5AE51758"/>
    <w:rsid w:val="5B581F93"/>
    <w:rsid w:val="5B6B529B"/>
    <w:rsid w:val="5BB250E2"/>
    <w:rsid w:val="5BB3320D"/>
    <w:rsid w:val="5BC31A45"/>
    <w:rsid w:val="5BC772C9"/>
    <w:rsid w:val="5C465FA2"/>
    <w:rsid w:val="5C544090"/>
    <w:rsid w:val="5C726BB6"/>
    <w:rsid w:val="5C7322D1"/>
    <w:rsid w:val="5CC93204"/>
    <w:rsid w:val="5CEF4070"/>
    <w:rsid w:val="5CFC28A8"/>
    <w:rsid w:val="5D246FFC"/>
    <w:rsid w:val="5D36426B"/>
    <w:rsid w:val="5DB12146"/>
    <w:rsid w:val="5DDA696A"/>
    <w:rsid w:val="5E410FFD"/>
    <w:rsid w:val="5E544606"/>
    <w:rsid w:val="5E8E05EA"/>
    <w:rsid w:val="5EFB61FA"/>
    <w:rsid w:val="5F2C7D02"/>
    <w:rsid w:val="5F5C7AFC"/>
    <w:rsid w:val="5F7663E9"/>
    <w:rsid w:val="5FB656F9"/>
    <w:rsid w:val="5FBC2CFA"/>
    <w:rsid w:val="5FC53466"/>
    <w:rsid w:val="5FD13015"/>
    <w:rsid w:val="60190EE3"/>
    <w:rsid w:val="601D48F2"/>
    <w:rsid w:val="601E31F8"/>
    <w:rsid w:val="602832C7"/>
    <w:rsid w:val="603D1F50"/>
    <w:rsid w:val="603F673E"/>
    <w:rsid w:val="605467C6"/>
    <w:rsid w:val="60D605A1"/>
    <w:rsid w:val="61464F6C"/>
    <w:rsid w:val="61515A7F"/>
    <w:rsid w:val="61633E93"/>
    <w:rsid w:val="61A4558D"/>
    <w:rsid w:val="61C32B70"/>
    <w:rsid w:val="61E045CD"/>
    <w:rsid w:val="62016875"/>
    <w:rsid w:val="628B7263"/>
    <w:rsid w:val="62902D58"/>
    <w:rsid w:val="62AE4BDA"/>
    <w:rsid w:val="62C97640"/>
    <w:rsid w:val="62D27C48"/>
    <w:rsid w:val="6307315E"/>
    <w:rsid w:val="63184211"/>
    <w:rsid w:val="631B5AD9"/>
    <w:rsid w:val="635C575B"/>
    <w:rsid w:val="636863CF"/>
    <w:rsid w:val="63752C12"/>
    <w:rsid w:val="638C1080"/>
    <w:rsid w:val="63B413CF"/>
    <w:rsid w:val="63FF6C27"/>
    <w:rsid w:val="6405263C"/>
    <w:rsid w:val="642454D9"/>
    <w:rsid w:val="644A58BB"/>
    <w:rsid w:val="64613942"/>
    <w:rsid w:val="6464336B"/>
    <w:rsid w:val="653C5193"/>
    <w:rsid w:val="655C7828"/>
    <w:rsid w:val="65652A5B"/>
    <w:rsid w:val="65CB1350"/>
    <w:rsid w:val="66330E7B"/>
    <w:rsid w:val="66351622"/>
    <w:rsid w:val="663E7042"/>
    <w:rsid w:val="665A2304"/>
    <w:rsid w:val="669C6349"/>
    <w:rsid w:val="66A80AC6"/>
    <w:rsid w:val="67144976"/>
    <w:rsid w:val="67202357"/>
    <w:rsid w:val="67603F26"/>
    <w:rsid w:val="676B1C85"/>
    <w:rsid w:val="67D3264E"/>
    <w:rsid w:val="68024DD3"/>
    <w:rsid w:val="680F332B"/>
    <w:rsid w:val="6832253F"/>
    <w:rsid w:val="685C3C4D"/>
    <w:rsid w:val="687102AD"/>
    <w:rsid w:val="68724B40"/>
    <w:rsid w:val="68902798"/>
    <w:rsid w:val="689F66D8"/>
    <w:rsid w:val="690C7142"/>
    <w:rsid w:val="69412846"/>
    <w:rsid w:val="695907E9"/>
    <w:rsid w:val="6964290E"/>
    <w:rsid w:val="698304CD"/>
    <w:rsid w:val="69932BAE"/>
    <w:rsid w:val="69A16FDB"/>
    <w:rsid w:val="69BA6060"/>
    <w:rsid w:val="69D62885"/>
    <w:rsid w:val="69ED079D"/>
    <w:rsid w:val="6A223F21"/>
    <w:rsid w:val="6A2403DA"/>
    <w:rsid w:val="6A4771F0"/>
    <w:rsid w:val="6A641277"/>
    <w:rsid w:val="6A985E45"/>
    <w:rsid w:val="6AAD0001"/>
    <w:rsid w:val="6ACC3B62"/>
    <w:rsid w:val="6AE30427"/>
    <w:rsid w:val="6B1B05C6"/>
    <w:rsid w:val="6B35684E"/>
    <w:rsid w:val="6B6C1D6A"/>
    <w:rsid w:val="6B706DFD"/>
    <w:rsid w:val="6B735145"/>
    <w:rsid w:val="6B76701F"/>
    <w:rsid w:val="6BB64940"/>
    <w:rsid w:val="6BBA5ABD"/>
    <w:rsid w:val="6BC04151"/>
    <w:rsid w:val="6BFF6B53"/>
    <w:rsid w:val="6C161EDD"/>
    <w:rsid w:val="6C17534B"/>
    <w:rsid w:val="6C52384A"/>
    <w:rsid w:val="6C5F577B"/>
    <w:rsid w:val="6C5F6B13"/>
    <w:rsid w:val="6C831486"/>
    <w:rsid w:val="6C8C7141"/>
    <w:rsid w:val="6C903E5F"/>
    <w:rsid w:val="6C92595F"/>
    <w:rsid w:val="6CA31D11"/>
    <w:rsid w:val="6CA820A8"/>
    <w:rsid w:val="6CE513BE"/>
    <w:rsid w:val="6CEE595E"/>
    <w:rsid w:val="6CF82160"/>
    <w:rsid w:val="6D094BFA"/>
    <w:rsid w:val="6D1D7324"/>
    <w:rsid w:val="6D283EB3"/>
    <w:rsid w:val="6D476F5C"/>
    <w:rsid w:val="6D524D35"/>
    <w:rsid w:val="6D631E8B"/>
    <w:rsid w:val="6DA45721"/>
    <w:rsid w:val="6DEF5724"/>
    <w:rsid w:val="6E011E0F"/>
    <w:rsid w:val="6E2D7396"/>
    <w:rsid w:val="6E967068"/>
    <w:rsid w:val="6E977E1E"/>
    <w:rsid w:val="6E9A083E"/>
    <w:rsid w:val="6F1013D6"/>
    <w:rsid w:val="6F1830F3"/>
    <w:rsid w:val="6F2C4E6B"/>
    <w:rsid w:val="6F7502BE"/>
    <w:rsid w:val="6F8E346E"/>
    <w:rsid w:val="6F922D77"/>
    <w:rsid w:val="6FA85985"/>
    <w:rsid w:val="6FBC55ED"/>
    <w:rsid w:val="6FEA2DEF"/>
    <w:rsid w:val="70231C9D"/>
    <w:rsid w:val="70411BFE"/>
    <w:rsid w:val="708C386D"/>
    <w:rsid w:val="7093353E"/>
    <w:rsid w:val="70A25D2A"/>
    <w:rsid w:val="70EC15F1"/>
    <w:rsid w:val="70F606D1"/>
    <w:rsid w:val="710C3141"/>
    <w:rsid w:val="71104E62"/>
    <w:rsid w:val="713927A1"/>
    <w:rsid w:val="71426CAF"/>
    <w:rsid w:val="719525E5"/>
    <w:rsid w:val="71C43EDF"/>
    <w:rsid w:val="71D12B7B"/>
    <w:rsid w:val="71EC2731"/>
    <w:rsid w:val="72047D57"/>
    <w:rsid w:val="72394BC6"/>
    <w:rsid w:val="72563FB1"/>
    <w:rsid w:val="726E28BC"/>
    <w:rsid w:val="729701F7"/>
    <w:rsid w:val="72C13435"/>
    <w:rsid w:val="7332304C"/>
    <w:rsid w:val="73460DCF"/>
    <w:rsid w:val="736F51CC"/>
    <w:rsid w:val="73765DF7"/>
    <w:rsid w:val="739C093C"/>
    <w:rsid w:val="739D0315"/>
    <w:rsid w:val="73CE4F10"/>
    <w:rsid w:val="73DE0BF4"/>
    <w:rsid w:val="73EF72A5"/>
    <w:rsid w:val="740166CA"/>
    <w:rsid w:val="741606DE"/>
    <w:rsid w:val="74504BE3"/>
    <w:rsid w:val="746B4618"/>
    <w:rsid w:val="748E187D"/>
    <w:rsid w:val="74F727ED"/>
    <w:rsid w:val="75395A4F"/>
    <w:rsid w:val="75A62599"/>
    <w:rsid w:val="75C718AC"/>
    <w:rsid w:val="75E5168E"/>
    <w:rsid w:val="75E65018"/>
    <w:rsid w:val="75FD7923"/>
    <w:rsid w:val="760C615E"/>
    <w:rsid w:val="764536B8"/>
    <w:rsid w:val="764C1E95"/>
    <w:rsid w:val="765340BE"/>
    <w:rsid w:val="76600B0B"/>
    <w:rsid w:val="76EC025F"/>
    <w:rsid w:val="77104195"/>
    <w:rsid w:val="77292F8C"/>
    <w:rsid w:val="77532B5B"/>
    <w:rsid w:val="77A72B49"/>
    <w:rsid w:val="77BA48A1"/>
    <w:rsid w:val="77EA45C3"/>
    <w:rsid w:val="77F3515D"/>
    <w:rsid w:val="77F537AF"/>
    <w:rsid w:val="78427D95"/>
    <w:rsid w:val="78CE3373"/>
    <w:rsid w:val="78EA06B1"/>
    <w:rsid w:val="79303653"/>
    <w:rsid w:val="79332894"/>
    <w:rsid w:val="79432FDA"/>
    <w:rsid w:val="794E031B"/>
    <w:rsid w:val="796340FE"/>
    <w:rsid w:val="79E3441F"/>
    <w:rsid w:val="79F651E3"/>
    <w:rsid w:val="7A4A0DFD"/>
    <w:rsid w:val="7A552236"/>
    <w:rsid w:val="7A735659"/>
    <w:rsid w:val="7A7E0068"/>
    <w:rsid w:val="7AC17447"/>
    <w:rsid w:val="7AD70C9B"/>
    <w:rsid w:val="7ADA5B3C"/>
    <w:rsid w:val="7B4531F1"/>
    <w:rsid w:val="7B4D07FD"/>
    <w:rsid w:val="7BAB3DF5"/>
    <w:rsid w:val="7BD26364"/>
    <w:rsid w:val="7BDB29F1"/>
    <w:rsid w:val="7C2F53CB"/>
    <w:rsid w:val="7C3A3603"/>
    <w:rsid w:val="7C461D0D"/>
    <w:rsid w:val="7C485C63"/>
    <w:rsid w:val="7CA834CE"/>
    <w:rsid w:val="7CB9036C"/>
    <w:rsid w:val="7D047631"/>
    <w:rsid w:val="7D1A1F9B"/>
    <w:rsid w:val="7D3475DB"/>
    <w:rsid w:val="7D771F95"/>
    <w:rsid w:val="7D942460"/>
    <w:rsid w:val="7DA54805"/>
    <w:rsid w:val="7DDD5D1F"/>
    <w:rsid w:val="7E0B3754"/>
    <w:rsid w:val="7E3C4D54"/>
    <w:rsid w:val="7E563F68"/>
    <w:rsid w:val="7EC40A24"/>
    <w:rsid w:val="7EDF5F74"/>
    <w:rsid w:val="7F270DFD"/>
    <w:rsid w:val="7F5F072D"/>
    <w:rsid w:val="7F711C25"/>
    <w:rsid w:val="7FC50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9"/>
    <w:qFormat/>
    <w:uiPriority w:val="0"/>
    <w:pPr>
      <w:keepNext/>
      <w:jc w:val="center"/>
      <w:outlineLvl w:val="0"/>
    </w:pPr>
    <w:rPr>
      <w:rFonts w:eastAsia="黑体"/>
      <w:b/>
      <w:sz w:val="32"/>
      <w:szCs w:val="20"/>
    </w:rPr>
  </w:style>
  <w:style w:type="paragraph" w:styleId="5">
    <w:name w:val="heading 2"/>
    <w:basedOn w:val="1"/>
    <w:next w:val="1"/>
    <w:link w:val="67"/>
    <w:qFormat/>
    <w:uiPriority w:val="0"/>
    <w:pPr>
      <w:keepNext/>
      <w:outlineLvl w:val="1"/>
    </w:pPr>
    <w:rPr>
      <w:rFonts w:ascii="仿宋_GB2312"/>
      <w:b/>
      <w:sz w:val="28"/>
      <w:szCs w:val="32"/>
    </w:rPr>
  </w:style>
  <w:style w:type="paragraph" w:styleId="6">
    <w:name w:val="heading 3"/>
    <w:basedOn w:val="1"/>
    <w:next w:val="1"/>
    <w:link w:val="152"/>
    <w:qFormat/>
    <w:uiPriority w:val="0"/>
    <w:pPr>
      <w:keepNext/>
      <w:keepLines/>
      <w:spacing w:line="540" w:lineRule="atLeast"/>
      <w:outlineLvl w:val="2"/>
    </w:pPr>
    <w:rPr>
      <w:rFonts w:eastAsia="黑体"/>
      <w:b/>
      <w:sz w:val="28"/>
      <w:szCs w:val="20"/>
    </w:rPr>
  </w:style>
  <w:style w:type="paragraph" w:styleId="7">
    <w:name w:val="heading 4"/>
    <w:basedOn w:val="1"/>
    <w:next w:val="1"/>
    <w:link w:val="149"/>
    <w:qFormat/>
    <w:uiPriority w:val="0"/>
    <w:pPr>
      <w:keepNext/>
      <w:keepLines/>
      <w:spacing w:line="540" w:lineRule="atLeast"/>
      <w:outlineLvl w:val="3"/>
    </w:pPr>
    <w:rPr>
      <w:sz w:val="28"/>
      <w:szCs w:val="28"/>
    </w:rPr>
  </w:style>
  <w:style w:type="paragraph" w:styleId="8">
    <w:name w:val="heading 5"/>
    <w:basedOn w:val="1"/>
    <w:next w:val="1"/>
    <w:link w:val="132"/>
    <w:qFormat/>
    <w:uiPriority w:val="0"/>
    <w:pPr>
      <w:keepNext/>
      <w:keepLines/>
      <w:spacing w:before="280" w:after="290" w:line="372" w:lineRule="auto"/>
      <w:outlineLvl w:val="4"/>
    </w:pPr>
    <w:rPr>
      <w:b/>
      <w:bCs/>
      <w:kern w:val="0"/>
      <w:sz w:val="28"/>
      <w:szCs w:val="28"/>
    </w:rPr>
  </w:style>
  <w:style w:type="paragraph" w:styleId="9">
    <w:name w:val="heading 6"/>
    <w:basedOn w:val="1"/>
    <w:next w:val="2"/>
    <w:link w:val="173"/>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2"/>
    <w:link w:val="70"/>
    <w:qFormat/>
    <w:uiPriority w:val="0"/>
    <w:pPr>
      <w:keepNext/>
      <w:keepLines/>
      <w:spacing w:before="240" w:after="64" w:line="317" w:lineRule="auto"/>
      <w:outlineLvl w:val="6"/>
    </w:pPr>
    <w:rPr>
      <w:b/>
      <w:sz w:val="24"/>
      <w:szCs w:val="20"/>
    </w:rPr>
  </w:style>
  <w:style w:type="paragraph" w:styleId="11">
    <w:name w:val="heading 8"/>
    <w:basedOn w:val="1"/>
    <w:next w:val="2"/>
    <w:link w:val="176"/>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2"/>
    <w:link w:val="163"/>
    <w:qFormat/>
    <w:uiPriority w:val="0"/>
    <w:pPr>
      <w:keepNext/>
      <w:keepLines/>
      <w:spacing w:before="240" w:after="64" w:line="317" w:lineRule="auto"/>
      <w:outlineLvl w:val="8"/>
    </w:pPr>
    <w:rPr>
      <w:rFonts w:ascii="Arial" w:hAnsi="Arial" w:eastAsia="黑体"/>
      <w:szCs w:val="20"/>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05"/>
    <w:qFormat/>
    <w:uiPriority w:val="0"/>
    <w:pPr>
      <w:adjustRightInd w:val="0"/>
      <w:spacing w:line="312" w:lineRule="atLeast"/>
      <w:ind w:firstLine="420"/>
      <w:textAlignment w:val="baseline"/>
    </w:pPr>
    <w:rPr>
      <w:rFonts w:ascii="仿宋_GB2312"/>
      <w:b/>
      <w:kern w:val="0"/>
      <w:szCs w:val="32"/>
    </w:rPr>
  </w:style>
  <w:style w:type="paragraph" w:styleId="3">
    <w:name w:val="macro"/>
    <w:link w:val="11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2"/>
    <w:basedOn w:val="1"/>
    <w:qFormat/>
    <w:uiPriority w:val="0"/>
    <w:pPr>
      <w:numPr>
        <w:ilvl w:val="0"/>
        <w:numId w:val="1"/>
      </w:numPr>
    </w:pPr>
  </w:style>
  <w:style w:type="paragraph" w:styleId="15">
    <w:name w:val="List Number"/>
    <w:basedOn w:val="1"/>
    <w:qFormat/>
    <w:uiPriority w:val="0"/>
    <w:pPr>
      <w:tabs>
        <w:tab w:val="left" w:pos="360"/>
      </w:tabs>
      <w:ind w:left="360" w:hanging="360" w:hangingChars="200"/>
    </w:pPr>
  </w:style>
  <w:style w:type="paragraph" w:styleId="16">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7">
    <w:name w:val="List Bullet"/>
    <w:basedOn w:val="1"/>
    <w:qFormat/>
    <w:uiPriority w:val="0"/>
    <w:pPr>
      <w:tabs>
        <w:tab w:val="left" w:pos="360"/>
      </w:tabs>
    </w:pPr>
    <w:rPr>
      <w:rFonts w:ascii="Calibri" w:hAnsi="Calibri"/>
      <w:szCs w:val="22"/>
    </w:rPr>
  </w:style>
  <w:style w:type="paragraph" w:styleId="18">
    <w:name w:val="Document Map"/>
    <w:basedOn w:val="1"/>
    <w:link w:val="131"/>
    <w:qFormat/>
    <w:uiPriority w:val="0"/>
    <w:pPr>
      <w:shd w:val="clear" w:color="auto" w:fill="000080"/>
    </w:pPr>
  </w:style>
  <w:style w:type="paragraph" w:styleId="19">
    <w:name w:val="annotation text"/>
    <w:basedOn w:val="1"/>
    <w:link w:val="91"/>
    <w:qFormat/>
    <w:uiPriority w:val="0"/>
    <w:pPr>
      <w:jc w:val="left"/>
    </w:pPr>
  </w:style>
  <w:style w:type="paragraph" w:styleId="20">
    <w:name w:val="Salutation"/>
    <w:basedOn w:val="1"/>
    <w:next w:val="1"/>
    <w:link w:val="79"/>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1">
    <w:name w:val="Body Text 3"/>
    <w:basedOn w:val="1"/>
    <w:link w:val="95"/>
    <w:qFormat/>
    <w:uiPriority w:val="0"/>
    <w:pPr>
      <w:autoSpaceDE w:val="0"/>
      <w:autoSpaceDN w:val="0"/>
      <w:adjustRightInd w:val="0"/>
      <w:jc w:val="center"/>
    </w:pPr>
  </w:style>
  <w:style w:type="paragraph" w:styleId="22">
    <w:name w:val="Body Text"/>
    <w:basedOn w:val="1"/>
    <w:next w:val="23"/>
    <w:link w:val="164"/>
    <w:qFormat/>
    <w:uiPriority w:val="0"/>
    <w:pPr>
      <w:spacing w:after="120"/>
    </w:pPr>
    <w:rPr>
      <w:rFonts w:ascii="仿宋_GB2312"/>
      <w:b/>
    </w:rPr>
  </w:style>
  <w:style w:type="paragraph" w:styleId="23">
    <w:name w:val="Body Text First Indent"/>
    <w:basedOn w:val="22"/>
    <w:next w:val="24"/>
    <w:link w:val="196"/>
    <w:qFormat/>
    <w:uiPriority w:val="0"/>
    <w:pPr>
      <w:autoSpaceDE w:val="0"/>
      <w:autoSpaceDN w:val="0"/>
      <w:adjustRightInd w:val="0"/>
      <w:ind w:firstLine="420" w:firstLineChars="100"/>
      <w:jc w:val="left"/>
    </w:pPr>
    <w:rPr>
      <w:rFonts w:ascii="Times New Roman"/>
      <w:b w:val="0"/>
      <w:kern w:val="0"/>
      <w:sz w:val="20"/>
      <w:szCs w:val="20"/>
    </w:rPr>
  </w:style>
  <w:style w:type="paragraph" w:styleId="24">
    <w:name w:val="toc 6"/>
    <w:basedOn w:val="1"/>
    <w:next w:val="1"/>
    <w:qFormat/>
    <w:uiPriority w:val="0"/>
    <w:pPr>
      <w:autoSpaceDE w:val="0"/>
      <w:autoSpaceDN w:val="0"/>
      <w:adjustRightInd w:val="0"/>
      <w:ind w:left="2100" w:leftChars="1000"/>
      <w:jc w:val="left"/>
    </w:pPr>
    <w:rPr>
      <w:kern w:val="0"/>
      <w:sz w:val="20"/>
      <w:szCs w:val="20"/>
    </w:rPr>
  </w:style>
  <w:style w:type="paragraph" w:styleId="25">
    <w:name w:val="Body Text Indent"/>
    <w:basedOn w:val="1"/>
    <w:link w:val="144"/>
    <w:qFormat/>
    <w:uiPriority w:val="0"/>
    <w:pPr>
      <w:ind w:left="480" w:hanging="480" w:hangingChars="200"/>
    </w:pPr>
    <w:rPr>
      <w:sz w:val="24"/>
    </w:rPr>
  </w:style>
  <w:style w:type="paragraph" w:styleId="26">
    <w:name w:val="List Number 3"/>
    <w:basedOn w:val="1"/>
    <w:qFormat/>
    <w:uiPriority w:val="0"/>
    <w:pPr>
      <w:tabs>
        <w:tab w:val="left" w:pos="1200"/>
      </w:tabs>
      <w:ind w:left="1200" w:leftChars="400" w:hanging="360" w:hangingChars="200"/>
    </w:pPr>
  </w:style>
  <w:style w:type="paragraph" w:styleId="27">
    <w:name w:val="Block Text"/>
    <w:basedOn w:val="1"/>
    <w:qFormat/>
    <w:uiPriority w:val="0"/>
    <w:pPr>
      <w:spacing w:line="520" w:lineRule="exact"/>
      <w:ind w:left="540" w:leftChars="257" w:right="-514"/>
    </w:pPr>
    <w:rPr>
      <w:rFonts w:ascii="宋体" w:hAnsi="宋体"/>
      <w:sz w:val="24"/>
    </w:rPr>
  </w:style>
  <w:style w:type="paragraph" w:styleId="28">
    <w:name w:val="List Bullet 2"/>
    <w:basedOn w:val="1"/>
    <w:qFormat/>
    <w:uiPriority w:val="0"/>
    <w:pPr>
      <w:tabs>
        <w:tab w:val="left" w:pos="780"/>
      </w:tabs>
      <w:spacing w:line="360" w:lineRule="auto"/>
      <w:ind w:left="780" w:leftChars="200" w:hanging="360" w:hangingChars="200"/>
    </w:pPr>
  </w:style>
  <w:style w:type="paragraph" w:styleId="29">
    <w:name w:val="toc 5"/>
    <w:basedOn w:val="1"/>
    <w:next w:val="1"/>
    <w:qFormat/>
    <w:uiPriority w:val="0"/>
    <w:pPr>
      <w:autoSpaceDE w:val="0"/>
      <w:autoSpaceDN w:val="0"/>
      <w:adjustRightInd w:val="0"/>
      <w:ind w:left="1680" w:leftChars="800"/>
      <w:jc w:val="left"/>
    </w:pPr>
    <w:rPr>
      <w:kern w:val="0"/>
      <w:sz w:val="20"/>
      <w:szCs w:val="20"/>
    </w:rPr>
  </w:style>
  <w:style w:type="paragraph" w:styleId="30">
    <w:name w:val="toc 3"/>
    <w:basedOn w:val="1"/>
    <w:next w:val="1"/>
    <w:qFormat/>
    <w:uiPriority w:val="0"/>
    <w:pPr>
      <w:ind w:left="840" w:leftChars="400"/>
    </w:pPr>
  </w:style>
  <w:style w:type="paragraph" w:styleId="31">
    <w:name w:val="Plain Text"/>
    <w:basedOn w:val="1"/>
    <w:link w:val="192"/>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2">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3">
    <w:name w:val="toc 8"/>
    <w:basedOn w:val="1"/>
    <w:next w:val="1"/>
    <w:qFormat/>
    <w:uiPriority w:val="0"/>
    <w:pPr>
      <w:autoSpaceDE w:val="0"/>
      <w:autoSpaceDN w:val="0"/>
      <w:adjustRightInd w:val="0"/>
      <w:ind w:left="2940" w:leftChars="1400"/>
      <w:jc w:val="left"/>
    </w:pPr>
    <w:rPr>
      <w:kern w:val="0"/>
      <w:sz w:val="20"/>
      <w:szCs w:val="20"/>
    </w:rPr>
  </w:style>
  <w:style w:type="paragraph" w:styleId="34">
    <w:name w:val="Date"/>
    <w:basedOn w:val="1"/>
    <w:next w:val="1"/>
    <w:link w:val="133"/>
    <w:qFormat/>
    <w:uiPriority w:val="0"/>
    <w:pPr>
      <w:ind w:left="100" w:leftChars="2500"/>
    </w:pPr>
  </w:style>
  <w:style w:type="paragraph" w:styleId="35">
    <w:name w:val="Body Text Indent 2"/>
    <w:basedOn w:val="1"/>
    <w:link w:val="178"/>
    <w:qFormat/>
    <w:uiPriority w:val="0"/>
    <w:pPr>
      <w:spacing w:line="500" w:lineRule="exact"/>
      <w:ind w:firstLine="511" w:firstLineChars="213"/>
    </w:pPr>
    <w:rPr>
      <w:sz w:val="24"/>
    </w:rPr>
  </w:style>
  <w:style w:type="paragraph" w:styleId="36">
    <w:name w:val="Balloon Text"/>
    <w:basedOn w:val="1"/>
    <w:link w:val="151"/>
    <w:qFormat/>
    <w:uiPriority w:val="0"/>
    <w:rPr>
      <w:sz w:val="18"/>
      <w:szCs w:val="18"/>
    </w:rPr>
  </w:style>
  <w:style w:type="paragraph" w:styleId="37">
    <w:name w:val="footer"/>
    <w:basedOn w:val="1"/>
    <w:link w:val="120"/>
    <w:qFormat/>
    <w:uiPriority w:val="0"/>
    <w:pPr>
      <w:tabs>
        <w:tab w:val="center" w:pos="4153"/>
        <w:tab w:val="right" w:pos="8306"/>
      </w:tabs>
      <w:snapToGrid w:val="0"/>
      <w:jc w:val="left"/>
    </w:pPr>
    <w:rPr>
      <w:sz w:val="18"/>
      <w:szCs w:val="18"/>
    </w:rPr>
  </w:style>
  <w:style w:type="paragraph" w:styleId="38">
    <w:name w:val="header"/>
    <w:basedOn w:val="1"/>
    <w:link w:val="135"/>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54"/>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40">
    <w:name w:val="toc 1"/>
    <w:basedOn w:val="1"/>
    <w:next w:val="1"/>
    <w:qFormat/>
    <w:uiPriority w:val="0"/>
  </w:style>
  <w:style w:type="paragraph" w:styleId="41">
    <w:name w:val="toc 4"/>
    <w:basedOn w:val="1"/>
    <w:next w:val="1"/>
    <w:qFormat/>
    <w:uiPriority w:val="0"/>
    <w:pPr>
      <w:autoSpaceDE w:val="0"/>
      <w:autoSpaceDN w:val="0"/>
      <w:adjustRightInd w:val="0"/>
      <w:ind w:left="1260" w:leftChars="600"/>
      <w:jc w:val="left"/>
    </w:pPr>
    <w:rPr>
      <w:kern w:val="0"/>
      <w:sz w:val="20"/>
      <w:szCs w:val="20"/>
    </w:rPr>
  </w:style>
  <w:style w:type="paragraph" w:styleId="42">
    <w:name w:val="Subtitle"/>
    <w:basedOn w:val="1"/>
    <w:next w:val="1"/>
    <w:link w:val="134"/>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qFormat/>
    <w:uiPriority w:val="0"/>
    <w:pPr>
      <w:ind w:left="200" w:hanging="200" w:hangingChars="200"/>
    </w:pPr>
  </w:style>
  <w:style w:type="paragraph" w:styleId="45">
    <w:name w:val="Body Text Indent 3"/>
    <w:basedOn w:val="1"/>
    <w:link w:val="146"/>
    <w:qFormat/>
    <w:uiPriority w:val="0"/>
    <w:pPr>
      <w:spacing w:line="500" w:lineRule="exact"/>
      <w:ind w:left="511" w:hanging="511" w:hangingChars="213"/>
    </w:pPr>
    <w:rPr>
      <w:sz w:val="24"/>
    </w:rPr>
  </w:style>
  <w:style w:type="paragraph" w:styleId="46">
    <w:name w:val="toc 2"/>
    <w:basedOn w:val="1"/>
    <w:next w:val="1"/>
    <w:qFormat/>
    <w:uiPriority w:val="0"/>
    <w:pPr>
      <w:ind w:left="420" w:leftChars="200"/>
    </w:pPr>
  </w:style>
  <w:style w:type="paragraph" w:styleId="47">
    <w:name w:val="toc 9"/>
    <w:basedOn w:val="1"/>
    <w:next w:val="1"/>
    <w:qFormat/>
    <w:uiPriority w:val="0"/>
    <w:pPr>
      <w:autoSpaceDE w:val="0"/>
      <w:autoSpaceDN w:val="0"/>
      <w:adjustRightInd w:val="0"/>
      <w:ind w:left="3360" w:leftChars="1600"/>
      <w:jc w:val="left"/>
    </w:pPr>
    <w:rPr>
      <w:kern w:val="0"/>
      <w:sz w:val="20"/>
      <w:szCs w:val="20"/>
    </w:rPr>
  </w:style>
  <w:style w:type="paragraph" w:styleId="48">
    <w:name w:val="Body Text 2"/>
    <w:basedOn w:val="1"/>
    <w:link w:val="198"/>
    <w:qFormat/>
    <w:uiPriority w:val="0"/>
    <w:pPr>
      <w:autoSpaceDE w:val="0"/>
      <w:autoSpaceDN w:val="0"/>
      <w:adjustRightInd w:val="0"/>
      <w:spacing w:after="120" w:line="480" w:lineRule="auto"/>
      <w:jc w:val="left"/>
    </w:pPr>
  </w:style>
  <w:style w:type="paragraph" w:styleId="4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0">
    <w:name w:val="Title"/>
    <w:basedOn w:val="1"/>
    <w:next w:val="1"/>
    <w:link w:val="111"/>
    <w:qFormat/>
    <w:uiPriority w:val="0"/>
    <w:pPr>
      <w:spacing w:before="240" w:after="60"/>
      <w:jc w:val="center"/>
      <w:outlineLvl w:val="0"/>
    </w:pPr>
    <w:rPr>
      <w:rFonts w:ascii="Cambria" w:hAnsi="Cambria"/>
      <w:b/>
      <w:bCs/>
      <w:sz w:val="32"/>
      <w:szCs w:val="32"/>
    </w:rPr>
  </w:style>
  <w:style w:type="paragraph" w:styleId="51">
    <w:name w:val="annotation subject"/>
    <w:basedOn w:val="19"/>
    <w:next w:val="19"/>
    <w:link w:val="96"/>
    <w:qFormat/>
    <w:uiPriority w:val="0"/>
    <w:rPr>
      <w:b/>
      <w:bCs/>
    </w:rPr>
  </w:style>
  <w:style w:type="paragraph" w:styleId="52">
    <w:name w:val="Body Text First Indent 2"/>
    <w:basedOn w:val="25"/>
    <w:qFormat/>
    <w:uiPriority w:val="0"/>
    <w:pPr>
      <w:spacing w:after="120"/>
      <w:ind w:left="420" w:leftChars="200" w:firstLine="420"/>
    </w:pPr>
    <w:rPr>
      <w:rFonts w:cs="宋体"/>
      <w:sz w:val="21"/>
      <w:szCs w:val="21"/>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basedOn w:val="55"/>
    <w:qFormat/>
    <w:uiPriority w:val="0"/>
    <w:rPr>
      <w:rFonts w:ascii="仿宋_GB2312" w:eastAsia="仿宋_GB2312"/>
      <w:bCs/>
      <w:sz w:val="32"/>
      <w:szCs w:val="32"/>
    </w:rPr>
  </w:style>
  <w:style w:type="character" w:styleId="57">
    <w:name w:val="page number"/>
    <w:basedOn w:val="55"/>
    <w:qFormat/>
    <w:uiPriority w:val="0"/>
  </w:style>
  <w:style w:type="character" w:styleId="58">
    <w:name w:val="FollowedHyperlink"/>
    <w:qFormat/>
    <w:uiPriority w:val="0"/>
    <w:rPr>
      <w:rFonts w:ascii="仿宋_GB2312" w:eastAsia="仿宋_GB2312"/>
      <w:b/>
      <w:color w:val="800080"/>
      <w:sz w:val="32"/>
      <w:szCs w:val="32"/>
      <w:u w:val="none"/>
    </w:rPr>
  </w:style>
  <w:style w:type="character" w:styleId="59">
    <w:name w:val="Emphasis"/>
    <w:qFormat/>
    <w:uiPriority w:val="0"/>
    <w:rPr>
      <w:i/>
      <w:iCs/>
    </w:rPr>
  </w:style>
  <w:style w:type="character" w:styleId="60">
    <w:name w:val="line number"/>
    <w:basedOn w:val="55"/>
    <w:qFormat/>
    <w:uiPriority w:val="0"/>
  </w:style>
  <w:style w:type="character" w:styleId="61">
    <w:name w:val="Hyperlink"/>
    <w:qFormat/>
    <w:uiPriority w:val="0"/>
    <w:rPr>
      <w:rFonts w:ascii="仿宋_GB2312" w:eastAsia="仿宋_GB2312"/>
      <w:b/>
      <w:color w:val="0000FF"/>
      <w:sz w:val="32"/>
      <w:szCs w:val="32"/>
      <w:u w:val="none"/>
    </w:rPr>
  </w:style>
  <w:style w:type="character" w:styleId="62">
    <w:name w:val="annotation reference"/>
    <w:qFormat/>
    <w:uiPriority w:val="0"/>
    <w:rPr>
      <w:sz w:val="21"/>
      <w:szCs w:val="21"/>
    </w:rPr>
  </w:style>
  <w:style w:type="character" w:styleId="63">
    <w:name w:val="HTML Cite"/>
    <w:qFormat/>
    <w:uiPriority w:val="0"/>
    <w:rPr>
      <w:color w:val="008000"/>
    </w:rPr>
  </w:style>
  <w:style w:type="paragraph" w:customStyle="1" w:styleId="64">
    <w:name w:val="Char3 Char Char Char"/>
    <w:basedOn w:val="1"/>
    <w:qFormat/>
    <w:uiPriority w:val="0"/>
  </w:style>
  <w:style w:type="character" w:customStyle="1" w:styleId="65">
    <w:name w:val="不明显参考1"/>
    <w:qFormat/>
    <w:uiPriority w:val="0"/>
    <w:rPr>
      <w:smallCaps/>
      <w:color w:val="C0504D"/>
      <w:u w:val="single"/>
    </w:rPr>
  </w:style>
  <w:style w:type="character" w:customStyle="1" w:styleId="66">
    <w:name w:val="PI Char1"/>
    <w:qFormat/>
    <w:uiPriority w:val="0"/>
    <w:rPr>
      <w:rFonts w:eastAsia="宋体"/>
      <w:kern w:val="2"/>
      <w:sz w:val="24"/>
      <w:szCs w:val="24"/>
      <w:lang w:val="en-US" w:eastAsia="zh-CN" w:bidi="ar-SA"/>
    </w:rPr>
  </w:style>
  <w:style w:type="character" w:customStyle="1" w:styleId="67">
    <w:name w:val="标题 2 Char"/>
    <w:link w:val="5"/>
    <w:qFormat/>
    <w:uiPriority w:val="0"/>
    <w:rPr>
      <w:rFonts w:ascii="仿宋_GB2312" w:eastAsia="宋体"/>
      <w:b/>
      <w:kern w:val="2"/>
      <w:sz w:val="28"/>
      <w:szCs w:val="32"/>
      <w:lang w:val="en-US" w:eastAsia="zh-CN" w:bidi="ar-SA"/>
    </w:rPr>
  </w:style>
  <w:style w:type="character" w:customStyle="1" w:styleId="68">
    <w:name w:val="pt141"/>
    <w:qFormat/>
    <w:uiPriority w:val="0"/>
    <w:rPr>
      <w:color w:val="330066"/>
      <w:spacing w:val="450"/>
      <w:sz w:val="22"/>
      <w:szCs w:val="22"/>
    </w:rPr>
  </w:style>
  <w:style w:type="character" w:customStyle="1" w:styleId="69">
    <w:name w:val="Char Char27"/>
    <w:qFormat/>
    <w:uiPriority w:val="0"/>
    <w:rPr>
      <w:rFonts w:eastAsia="宋体"/>
      <w:kern w:val="2"/>
      <w:sz w:val="28"/>
      <w:lang w:val="en-US" w:eastAsia="zh-CN" w:bidi="ar-SA"/>
    </w:rPr>
  </w:style>
  <w:style w:type="character" w:customStyle="1" w:styleId="70">
    <w:name w:val="标题 7 Char"/>
    <w:link w:val="10"/>
    <w:qFormat/>
    <w:uiPriority w:val="0"/>
    <w:rPr>
      <w:rFonts w:eastAsia="宋体"/>
      <w:b/>
      <w:kern w:val="2"/>
      <w:sz w:val="24"/>
      <w:lang w:val="en-US" w:eastAsia="zh-CN" w:bidi="ar-SA"/>
    </w:rPr>
  </w:style>
  <w:style w:type="character" w:customStyle="1" w:styleId="71">
    <w:name w:val="明显参考1"/>
    <w:qFormat/>
    <w:uiPriority w:val="0"/>
    <w:rPr>
      <w:b/>
      <w:bCs/>
      <w:smallCaps/>
      <w:color w:val="C0504D"/>
      <w:spacing w:val="5"/>
      <w:u w:val="single"/>
    </w:rPr>
  </w:style>
  <w:style w:type="character" w:customStyle="1" w:styleId="72">
    <w:name w:val="书籍标题1"/>
    <w:qFormat/>
    <w:uiPriority w:val="0"/>
    <w:rPr>
      <w:b/>
      <w:bCs/>
      <w:smallCaps/>
      <w:spacing w:val="5"/>
    </w:rPr>
  </w:style>
  <w:style w:type="character" w:customStyle="1" w:styleId="73">
    <w:name w:val="Char Char61"/>
    <w:qFormat/>
    <w:uiPriority w:val="0"/>
    <w:rPr>
      <w:rFonts w:ascii="Times New Roman" w:hAnsi="Times New Roman" w:eastAsia="宋体" w:cs="Times New Roman"/>
      <w:szCs w:val="24"/>
    </w:rPr>
  </w:style>
  <w:style w:type="character" w:customStyle="1" w:styleId="74">
    <w:name w:val="Char Char24"/>
    <w:qFormat/>
    <w:uiPriority w:val="0"/>
    <w:rPr>
      <w:rFonts w:eastAsia="宋体"/>
      <w:b/>
      <w:kern w:val="2"/>
      <w:sz w:val="28"/>
      <w:lang w:val="en-US" w:eastAsia="zh-CN" w:bidi="ar-SA"/>
    </w:rPr>
  </w:style>
  <w:style w:type="character" w:customStyle="1" w:styleId="75">
    <w:name w:val="Style4"/>
    <w:qFormat/>
    <w:uiPriority w:val="0"/>
    <w:rPr>
      <w:rFonts w:ascii="Calibri" w:hAnsi="宋体" w:eastAsia="宋体" w:cs="Times New Roman"/>
      <w:szCs w:val="22"/>
      <w:lang w:eastAsia="zh-CN"/>
    </w:rPr>
  </w:style>
  <w:style w:type="character" w:customStyle="1" w:styleId="76">
    <w:name w:val="Style1"/>
    <w:qFormat/>
    <w:uiPriority w:val="0"/>
    <w:rPr>
      <w:rFonts w:ascii="Calibri" w:hAnsi="宋体" w:eastAsia="宋体" w:cs="Times New Roman"/>
      <w:sz w:val="22"/>
      <w:szCs w:val="22"/>
      <w:lang w:eastAsia="zh-CN"/>
    </w:rPr>
  </w:style>
  <w:style w:type="character" w:customStyle="1" w:styleId="77">
    <w:name w:val="heading 1 Char1"/>
    <w:qFormat/>
    <w:uiPriority w:val="0"/>
    <w:rPr>
      <w:rFonts w:eastAsia="宋体"/>
      <w:b/>
      <w:bCs/>
      <w:kern w:val="44"/>
      <w:sz w:val="44"/>
      <w:szCs w:val="44"/>
      <w:lang w:val="en-US" w:eastAsia="zh-CN" w:bidi="ar-SA"/>
    </w:rPr>
  </w:style>
  <w:style w:type="character" w:customStyle="1" w:styleId="78">
    <w:name w:val="Style5"/>
    <w:qFormat/>
    <w:uiPriority w:val="0"/>
    <w:rPr>
      <w:rFonts w:ascii="Calibri" w:hAnsi="宋体" w:eastAsia="宋体" w:cs="Times New Roman"/>
      <w:sz w:val="22"/>
      <w:szCs w:val="22"/>
      <w:lang w:eastAsia="zh-CN"/>
    </w:rPr>
  </w:style>
  <w:style w:type="character" w:customStyle="1" w:styleId="79">
    <w:name w:val="称呼 Char"/>
    <w:link w:val="20"/>
    <w:qFormat/>
    <w:uiPriority w:val="0"/>
    <w:rPr>
      <w:rFonts w:ascii="仿宋_GB2312" w:eastAsia="仿宋_GB2312"/>
      <w:b/>
      <w:sz w:val="24"/>
      <w:szCs w:val="32"/>
    </w:rPr>
  </w:style>
  <w:style w:type="character" w:customStyle="1" w:styleId="80">
    <w:name w:val="Ò³Ã¼ Char Char2"/>
    <w:qFormat/>
    <w:uiPriority w:val="0"/>
    <w:rPr>
      <w:kern w:val="2"/>
      <w:sz w:val="18"/>
      <w:szCs w:val="18"/>
    </w:rPr>
  </w:style>
  <w:style w:type="character" w:customStyle="1" w:styleId="81">
    <w:name w:val="明显强调1"/>
    <w:qFormat/>
    <w:uiPriority w:val="0"/>
    <w:rPr>
      <w:b/>
      <w:bCs/>
      <w:i/>
      <w:iCs/>
      <w:color w:val="4F81BD"/>
    </w:rPr>
  </w:style>
  <w:style w:type="character" w:customStyle="1" w:styleId="82">
    <w:name w:val="样式 标题 3 + 黑体 小四 Char Char"/>
    <w:link w:val="83"/>
    <w:qFormat/>
    <w:uiPriority w:val="0"/>
    <w:rPr>
      <w:rFonts w:ascii="黑体" w:hAnsi="Arial" w:eastAsia="黑体"/>
      <w:bCs/>
      <w:sz w:val="24"/>
      <w:szCs w:val="24"/>
      <w:lang w:bidi="ar-SA"/>
    </w:rPr>
  </w:style>
  <w:style w:type="paragraph" w:customStyle="1" w:styleId="83">
    <w:name w:val="样式 标题 3 + 黑体 小四"/>
    <w:basedOn w:val="6"/>
    <w:link w:val="82"/>
    <w:qFormat/>
    <w:uiPriority w:val="0"/>
    <w:pPr>
      <w:spacing w:before="260" w:after="260" w:line="413" w:lineRule="auto"/>
    </w:pPr>
    <w:rPr>
      <w:rFonts w:ascii="黑体" w:hAnsi="Arial"/>
      <w:b w:val="0"/>
      <w:bCs/>
      <w:kern w:val="0"/>
      <w:sz w:val="24"/>
      <w:szCs w:val="24"/>
    </w:rPr>
  </w:style>
  <w:style w:type="character" w:customStyle="1" w:styleId="84">
    <w:name w:val="heading 7 Char1"/>
    <w:qFormat/>
    <w:uiPriority w:val="0"/>
    <w:rPr>
      <w:rFonts w:ascii="Arial" w:hAnsi="Arial" w:eastAsia="黑体"/>
      <w:sz w:val="21"/>
      <w:szCs w:val="21"/>
      <w:lang w:val="en-US" w:eastAsia="zh-CN" w:bidi="ar-SA"/>
    </w:rPr>
  </w:style>
  <w:style w:type="character" w:customStyle="1" w:styleId="85">
    <w:name w:val="Char Char1"/>
    <w:qFormat/>
    <w:uiPriority w:val="0"/>
    <w:rPr>
      <w:rFonts w:eastAsia="宋体"/>
      <w:sz w:val="21"/>
      <w:lang w:val="en-US" w:eastAsia="zh-CN" w:bidi="ar-SA"/>
    </w:rPr>
  </w:style>
  <w:style w:type="character" w:customStyle="1" w:styleId="86">
    <w:name w:val="Char Char12"/>
    <w:qFormat/>
    <w:uiPriority w:val="0"/>
    <w:rPr>
      <w:rFonts w:eastAsia="宋体"/>
      <w:kern w:val="2"/>
      <w:sz w:val="21"/>
      <w:szCs w:val="24"/>
      <w:lang w:val="en-US" w:eastAsia="zh-CN" w:bidi="ar-SA"/>
    </w:rPr>
  </w:style>
  <w:style w:type="character" w:customStyle="1" w:styleId="87">
    <w:name w:val="Char Char18"/>
    <w:qFormat/>
    <w:uiPriority w:val="0"/>
    <w:rPr>
      <w:b/>
      <w:bCs/>
      <w:kern w:val="2"/>
      <w:sz w:val="32"/>
      <w:szCs w:val="32"/>
    </w:rPr>
  </w:style>
  <w:style w:type="character" w:customStyle="1" w:styleId="88">
    <w:name w:val="Char Char4"/>
    <w:qFormat/>
    <w:uiPriority w:val="0"/>
    <w:rPr>
      <w:rFonts w:ascii="Cambria" w:hAnsi="Cambria" w:eastAsia="宋体"/>
      <w:b/>
      <w:bCs/>
      <w:sz w:val="32"/>
      <w:szCs w:val="32"/>
      <w:lang w:bidi="ar-SA"/>
    </w:rPr>
  </w:style>
  <w:style w:type="character" w:customStyle="1" w:styleId="89">
    <w:name w:val="PI Char"/>
    <w:qFormat/>
    <w:uiPriority w:val="0"/>
    <w:rPr>
      <w:rFonts w:ascii="宋体" w:hAnsi="宋体"/>
      <w:sz w:val="24"/>
    </w:rPr>
  </w:style>
  <w:style w:type="character" w:customStyle="1" w:styleId="90">
    <w:name w:val="明显参考2"/>
    <w:qFormat/>
    <w:uiPriority w:val="0"/>
    <w:rPr>
      <w:b/>
      <w:bCs/>
      <w:smallCaps/>
      <w:color w:val="C0504D"/>
      <w:spacing w:val="5"/>
      <w:u w:val="single"/>
    </w:rPr>
  </w:style>
  <w:style w:type="character" w:customStyle="1" w:styleId="91">
    <w:name w:val="批注文字 Char"/>
    <w:link w:val="19"/>
    <w:qFormat/>
    <w:uiPriority w:val="0"/>
    <w:rPr>
      <w:rFonts w:eastAsia="宋体"/>
      <w:kern w:val="2"/>
      <w:sz w:val="21"/>
      <w:szCs w:val="24"/>
      <w:lang w:val="en-US" w:eastAsia="zh-CN" w:bidi="ar-SA"/>
    </w:rPr>
  </w:style>
  <w:style w:type="character" w:customStyle="1" w:styleId="92">
    <w:name w:val="Style2"/>
    <w:qFormat/>
    <w:uiPriority w:val="0"/>
    <w:rPr>
      <w:rFonts w:ascii="Calibri" w:hAnsi="宋体" w:eastAsia="宋体" w:cs="Times New Roman"/>
      <w:sz w:val="22"/>
      <w:szCs w:val="22"/>
      <w:lang w:eastAsia="zh-CN"/>
    </w:rPr>
  </w:style>
  <w:style w:type="character" w:customStyle="1" w:styleId="93">
    <w:name w:val="Footer-Even Char1"/>
    <w:qFormat/>
    <w:uiPriority w:val="0"/>
    <w:rPr>
      <w:rFonts w:eastAsia="宋体"/>
      <w:kern w:val="2"/>
      <w:sz w:val="18"/>
      <w:szCs w:val="18"/>
      <w:lang w:val="en-US" w:eastAsia="zh-CN" w:bidi="ar-SA"/>
    </w:rPr>
  </w:style>
  <w:style w:type="character" w:customStyle="1" w:styleId="94">
    <w:name w:val="heading 4 Char1"/>
    <w:qFormat/>
    <w:uiPriority w:val="0"/>
    <w:rPr>
      <w:rFonts w:ascii="Cambria" w:hAnsi="Cambria" w:eastAsia="宋体"/>
      <w:b/>
      <w:bCs/>
      <w:kern w:val="2"/>
      <w:sz w:val="28"/>
      <w:szCs w:val="28"/>
      <w:lang w:val="en-US" w:eastAsia="zh-CN" w:bidi="ar-SA"/>
    </w:rPr>
  </w:style>
  <w:style w:type="character" w:customStyle="1" w:styleId="95">
    <w:name w:val="正文文本 3 Char"/>
    <w:basedOn w:val="55"/>
    <w:link w:val="21"/>
    <w:qFormat/>
    <w:uiPriority w:val="0"/>
  </w:style>
  <w:style w:type="character" w:customStyle="1" w:styleId="96">
    <w:name w:val="批注主题 Char"/>
    <w:link w:val="51"/>
    <w:qFormat/>
    <w:uiPriority w:val="0"/>
    <w:rPr>
      <w:rFonts w:eastAsia="宋体"/>
      <w:b/>
      <w:bCs/>
      <w:kern w:val="2"/>
      <w:sz w:val="21"/>
      <w:szCs w:val="24"/>
      <w:lang w:val="en-US" w:eastAsia="zh-CN" w:bidi="ar-SA"/>
    </w:rPr>
  </w:style>
  <w:style w:type="character" w:customStyle="1" w:styleId="97">
    <w:name w:val="不明显参考11"/>
    <w:qFormat/>
    <w:uiPriority w:val="0"/>
    <w:rPr>
      <w:smallCaps/>
      <w:color w:val="C0504D"/>
      <w:u w:val="single"/>
    </w:rPr>
  </w:style>
  <w:style w:type="character" w:customStyle="1" w:styleId="98">
    <w:name w:val="Plain Text Char"/>
    <w:qFormat/>
    <w:uiPriority w:val="0"/>
    <w:rPr>
      <w:rFonts w:ascii="宋体" w:hAnsi="Courier New" w:eastAsia="宋体" w:cs="Times New Roman"/>
      <w:sz w:val="21"/>
      <w:szCs w:val="21"/>
    </w:rPr>
  </w:style>
  <w:style w:type="character" w:customStyle="1" w:styleId="99">
    <w:name w:val="Char Char111"/>
    <w:qFormat/>
    <w:uiPriority w:val="0"/>
    <w:rPr>
      <w:rFonts w:ascii="Times New Roman" w:hAnsi="Times New Roman" w:eastAsia="宋体" w:cs="Times New Roman"/>
      <w:sz w:val="18"/>
      <w:szCs w:val="18"/>
    </w:rPr>
  </w:style>
  <w:style w:type="character" w:customStyle="1" w:styleId="100">
    <w:name w:val="无间距字符"/>
    <w:link w:val="101"/>
    <w:qFormat/>
    <w:uiPriority w:val="0"/>
    <w:rPr>
      <w:rFonts w:eastAsia="Times New Roman"/>
      <w:sz w:val="22"/>
      <w:szCs w:val="22"/>
      <w:lang w:val="en-US" w:eastAsia="zh-CN" w:bidi="ar-SA"/>
    </w:rPr>
  </w:style>
  <w:style w:type="paragraph" w:customStyle="1" w:styleId="101">
    <w:name w:val="无间距"/>
    <w:link w:val="100"/>
    <w:qFormat/>
    <w:uiPriority w:val="0"/>
    <w:rPr>
      <w:rFonts w:ascii="Times New Roman" w:hAnsi="Times New Roman" w:eastAsia="Times New Roman" w:cs="Times New Roman"/>
      <w:sz w:val="22"/>
      <w:szCs w:val="22"/>
      <w:lang w:val="en-US" w:eastAsia="zh-CN" w:bidi="ar-SA"/>
    </w:rPr>
  </w:style>
  <w:style w:type="character" w:customStyle="1" w:styleId="102">
    <w:name w:val="heading 5 Char2"/>
    <w:qFormat/>
    <w:uiPriority w:val="0"/>
    <w:rPr>
      <w:b/>
      <w:bCs/>
      <w:kern w:val="2"/>
      <w:sz w:val="28"/>
      <w:szCs w:val="28"/>
    </w:rPr>
  </w:style>
  <w:style w:type="character" w:customStyle="1" w:styleId="103">
    <w:name w:val="样式2 Char Char"/>
    <w:link w:val="104"/>
    <w:qFormat/>
    <w:uiPriority w:val="0"/>
    <w:rPr>
      <w:rFonts w:ascii="宋体" w:hAnsi="宋体" w:eastAsia="宋体"/>
      <w:bCs/>
      <w:kern w:val="2"/>
      <w:sz w:val="28"/>
      <w:szCs w:val="28"/>
      <w:lang w:val="en-US" w:eastAsia="zh-CN" w:bidi="ar-SA"/>
    </w:rPr>
  </w:style>
  <w:style w:type="paragraph" w:customStyle="1" w:styleId="104">
    <w:name w:val="样式2"/>
    <w:basedOn w:val="5"/>
    <w:link w:val="103"/>
    <w:qFormat/>
    <w:uiPriority w:val="0"/>
    <w:pPr>
      <w:keepLines/>
      <w:snapToGrid w:val="0"/>
      <w:spacing w:before="260" w:afterLines="50" w:line="480" w:lineRule="exact"/>
      <w:ind w:firstLine="556"/>
    </w:pPr>
    <w:rPr>
      <w:rFonts w:ascii="宋体" w:hAnsi="宋体"/>
      <w:b w:val="0"/>
      <w:bCs/>
      <w:szCs w:val="28"/>
    </w:rPr>
  </w:style>
  <w:style w:type="character" w:customStyle="1" w:styleId="105">
    <w:name w:val="正文缩进 Char"/>
    <w:link w:val="2"/>
    <w:qFormat/>
    <w:uiPriority w:val="0"/>
    <w:rPr>
      <w:rFonts w:ascii="仿宋_GB2312" w:eastAsia="宋体"/>
      <w:b/>
      <w:sz w:val="21"/>
      <w:szCs w:val="32"/>
      <w:lang w:val="en-US" w:eastAsia="zh-CN" w:bidi="ar-SA"/>
    </w:rPr>
  </w:style>
  <w:style w:type="character" w:customStyle="1" w:styleId="106">
    <w:name w:val="heading 2 Char1"/>
    <w:qFormat/>
    <w:uiPriority w:val="0"/>
    <w:rPr>
      <w:rFonts w:ascii="Cambria" w:hAnsi="Cambria" w:eastAsia="宋体"/>
      <w:b/>
      <w:bCs/>
      <w:kern w:val="2"/>
      <w:sz w:val="32"/>
      <w:szCs w:val="32"/>
      <w:lang w:val="en-US" w:eastAsia="zh-CN" w:bidi="ar-SA"/>
    </w:rPr>
  </w:style>
  <w:style w:type="character" w:customStyle="1" w:styleId="107">
    <w:name w:val="heading 3 Char1"/>
    <w:qFormat/>
    <w:uiPriority w:val="0"/>
    <w:rPr>
      <w:rFonts w:eastAsia="宋体"/>
      <w:b/>
      <w:bCs/>
      <w:kern w:val="2"/>
      <w:sz w:val="32"/>
      <w:szCs w:val="32"/>
      <w:lang w:val="en-US" w:eastAsia="zh-CN" w:bidi="ar-SA"/>
    </w:rPr>
  </w:style>
  <w:style w:type="character" w:customStyle="1" w:styleId="108">
    <w:name w:val="Char Char15"/>
    <w:qFormat/>
    <w:uiPriority w:val="0"/>
    <w:rPr>
      <w:rFonts w:ascii="Arial" w:hAnsi="Arial" w:eastAsia="黑体"/>
      <w:sz w:val="24"/>
      <w:szCs w:val="24"/>
    </w:rPr>
  </w:style>
  <w:style w:type="character" w:customStyle="1" w:styleId="109">
    <w:name w:val="heading 1 Char"/>
    <w:qFormat/>
    <w:uiPriority w:val="0"/>
    <w:rPr>
      <w:rFonts w:ascii="Arial" w:hAnsi="Arial" w:eastAsia="黑体"/>
      <w:b/>
      <w:sz w:val="36"/>
      <w:szCs w:val="36"/>
    </w:rPr>
  </w:style>
  <w:style w:type="character" w:customStyle="1" w:styleId="110">
    <w:name w:val="ändrad Char"/>
    <w:qFormat/>
    <w:uiPriority w:val="0"/>
    <w:rPr>
      <w:rFonts w:eastAsia="宋体"/>
      <w:kern w:val="2"/>
      <w:sz w:val="21"/>
      <w:szCs w:val="24"/>
      <w:lang w:val="en-US" w:eastAsia="zh-CN" w:bidi="ar-SA"/>
    </w:rPr>
  </w:style>
  <w:style w:type="character" w:customStyle="1" w:styleId="111">
    <w:name w:val="标题 Char"/>
    <w:link w:val="50"/>
    <w:qFormat/>
    <w:uiPriority w:val="0"/>
    <w:rPr>
      <w:rFonts w:ascii="Cambria" w:hAnsi="Cambria" w:eastAsia="宋体"/>
      <w:b/>
      <w:bCs/>
      <w:kern w:val="2"/>
      <w:sz w:val="32"/>
      <w:szCs w:val="32"/>
      <w:lang w:val="en-US" w:eastAsia="zh-CN" w:bidi="ar-SA"/>
    </w:rPr>
  </w:style>
  <w:style w:type="character" w:customStyle="1" w:styleId="112">
    <w:name w:val="Char Char22"/>
    <w:qFormat/>
    <w:uiPriority w:val="0"/>
    <w:rPr>
      <w:rFonts w:ascii="Arial" w:hAnsi="Arial" w:eastAsia="黑体"/>
      <w:b/>
      <w:bCs/>
      <w:kern w:val="44"/>
      <w:sz w:val="30"/>
      <w:szCs w:val="44"/>
      <w:lang w:val="en-US" w:eastAsia="zh-CN" w:bidi="ar-SA"/>
    </w:rPr>
  </w:style>
  <w:style w:type="character" w:customStyle="1" w:styleId="113">
    <w:name w:val="blue1"/>
    <w:basedOn w:val="55"/>
    <w:qFormat/>
    <w:uiPriority w:val="0"/>
  </w:style>
  <w:style w:type="character" w:customStyle="1" w:styleId="114">
    <w:name w:val="样式 宋体"/>
    <w:qFormat/>
    <w:uiPriority w:val="0"/>
    <w:rPr>
      <w:rFonts w:ascii="宋体" w:hAnsi="宋体" w:eastAsia="宋体"/>
      <w:sz w:val="24"/>
      <w:szCs w:val="24"/>
    </w:rPr>
  </w:style>
  <w:style w:type="character" w:customStyle="1" w:styleId="115">
    <w:name w:val="dandyren_title1"/>
    <w:qFormat/>
    <w:uiPriority w:val="0"/>
    <w:rPr>
      <w:b/>
      <w:bCs/>
      <w:color w:val="FF6633"/>
      <w:sz w:val="18"/>
      <w:szCs w:val="18"/>
    </w:rPr>
  </w:style>
  <w:style w:type="character" w:customStyle="1" w:styleId="116">
    <w:name w:val="font21"/>
    <w:basedOn w:val="55"/>
    <w:qFormat/>
    <w:uiPriority w:val="0"/>
    <w:rPr>
      <w:rFonts w:ascii="Wingdings 2" w:hAnsi="Wingdings 2" w:eastAsia="Wingdings 2" w:cs="Wingdings 2"/>
      <w:b/>
      <w:color w:val="000000"/>
      <w:sz w:val="20"/>
      <w:szCs w:val="20"/>
      <w:u w:val="none"/>
    </w:rPr>
  </w:style>
  <w:style w:type="character" w:customStyle="1" w:styleId="117">
    <w:name w:val="Ò³Ã¼ Char Char1"/>
    <w:qFormat/>
    <w:uiPriority w:val="0"/>
    <w:rPr>
      <w:rFonts w:eastAsia="宋体"/>
      <w:kern w:val="2"/>
      <w:sz w:val="18"/>
      <w:szCs w:val="18"/>
      <w:lang w:val="en-US" w:eastAsia="zh-CN" w:bidi="ar-SA"/>
    </w:rPr>
  </w:style>
  <w:style w:type="character" w:customStyle="1" w:styleId="118">
    <w:name w:val="宏文本 Char"/>
    <w:link w:val="3"/>
    <w:qFormat/>
    <w:uiPriority w:val="0"/>
    <w:rPr>
      <w:rFonts w:ascii="Courier New" w:hAnsi="Courier New" w:eastAsia="Times New Roman"/>
      <w:kern w:val="2"/>
      <w:sz w:val="24"/>
      <w:szCs w:val="24"/>
      <w:lang w:val="en-US" w:eastAsia="zh-CN" w:bidi="ar-SA"/>
    </w:rPr>
  </w:style>
  <w:style w:type="character" w:customStyle="1" w:styleId="119">
    <w:name w:val="Footer-Even Char"/>
    <w:qFormat/>
    <w:uiPriority w:val="0"/>
    <w:rPr>
      <w:sz w:val="18"/>
      <w:szCs w:val="18"/>
    </w:rPr>
  </w:style>
  <w:style w:type="character" w:customStyle="1" w:styleId="120">
    <w:name w:val="页脚 Char"/>
    <w:link w:val="37"/>
    <w:qFormat/>
    <w:uiPriority w:val="0"/>
    <w:rPr>
      <w:rFonts w:eastAsia="宋体"/>
      <w:kern w:val="2"/>
      <w:sz w:val="18"/>
      <w:szCs w:val="18"/>
      <w:lang w:val="en-US" w:eastAsia="zh-CN" w:bidi="ar-SA"/>
    </w:rPr>
  </w:style>
  <w:style w:type="character" w:customStyle="1" w:styleId="121">
    <w:name w:val="style111"/>
    <w:qFormat/>
    <w:uiPriority w:val="0"/>
    <w:rPr>
      <w:sz w:val="27"/>
      <w:szCs w:val="27"/>
    </w:rPr>
  </w:style>
  <w:style w:type="character" w:customStyle="1" w:styleId="122">
    <w:name w:val="PI Char2"/>
    <w:qFormat/>
    <w:uiPriority w:val="0"/>
    <w:rPr>
      <w:kern w:val="2"/>
      <w:sz w:val="24"/>
      <w:szCs w:val="24"/>
    </w:rPr>
  </w:style>
  <w:style w:type="character" w:customStyle="1" w:styleId="123">
    <w:name w:val="gray6"/>
    <w:basedOn w:val="55"/>
    <w:qFormat/>
    <w:uiPriority w:val="0"/>
  </w:style>
  <w:style w:type="character" w:customStyle="1" w:styleId="124">
    <w:name w:val="Char Char Char1"/>
    <w:qFormat/>
    <w:uiPriority w:val="0"/>
    <w:rPr>
      <w:rFonts w:ascii="宋体" w:hAnsi="Courier New"/>
      <w:sz w:val="21"/>
      <w:szCs w:val="21"/>
    </w:rPr>
  </w:style>
  <w:style w:type="character" w:customStyle="1" w:styleId="125">
    <w:name w:val="Char Char121"/>
    <w:qFormat/>
    <w:uiPriority w:val="0"/>
    <w:rPr>
      <w:rFonts w:eastAsia="宋体"/>
      <w:kern w:val="2"/>
      <w:sz w:val="21"/>
      <w:szCs w:val="24"/>
      <w:lang w:val="en-US" w:eastAsia="zh-CN" w:bidi="ar-SA"/>
    </w:rPr>
  </w:style>
  <w:style w:type="character" w:customStyle="1" w:styleId="126">
    <w:name w:val="Char Char Char Char Char Char Char Char Char"/>
    <w:qFormat/>
    <w:uiPriority w:val="0"/>
    <w:rPr>
      <w:rFonts w:ascii="宋体" w:hAnsi="Courier New" w:eastAsia="宋体"/>
      <w:sz w:val="21"/>
      <w:szCs w:val="21"/>
      <w:lang w:val="en-US" w:eastAsia="zh-CN" w:bidi="ar-SA"/>
    </w:rPr>
  </w:style>
  <w:style w:type="character" w:customStyle="1" w:styleId="127">
    <w:name w:val="heading 4 Char2"/>
    <w:qFormat/>
    <w:uiPriority w:val="0"/>
    <w:rPr>
      <w:rFonts w:ascii="Cambria" w:hAnsi="Cambria"/>
      <w:b/>
      <w:bCs/>
      <w:kern w:val="2"/>
      <w:sz w:val="28"/>
      <w:szCs w:val="28"/>
    </w:rPr>
  </w:style>
  <w:style w:type="character" w:customStyle="1" w:styleId="128">
    <w:name w:val="heading 3 Char"/>
    <w:qFormat/>
    <w:uiPriority w:val="0"/>
    <w:rPr>
      <w:rFonts w:ascii="Arial" w:hAnsi="Arial" w:eastAsia="黑体"/>
      <w:sz w:val="28"/>
      <w:szCs w:val="24"/>
    </w:rPr>
  </w:style>
  <w:style w:type="character" w:customStyle="1" w:styleId="129">
    <w:name w:val="标题 1 Char"/>
    <w:link w:val="4"/>
    <w:qFormat/>
    <w:uiPriority w:val="0"/>
    <w:rPr>
      <w:rFonts w:eastAsia="黑体"/>
      <w:b/>
      <w:kern w:val="2"/>
      <w:sz w:val="32"/>
      <w:lang w:val="en-US" w:eastAsia="zh-CN" w:bidi="ar-SA"/>
    </w:rPr>
  </w:style>
  <w:style w:type="character" w:customStyle="1" w:styleId="130">
    <w:name w:val="Char Char16"/>
    <w:qFormat/>
    <w:uiPriority w:val="0"/>
    <w:rPr>
      <w:b/>
      <w:bCs/>
      <w:kern w:val="2"/>
      <w:sz w:val="28"/>
      <w:szCs w:val="28"/>
    </w:rPr>
  </w:style>
  <w:style w:type="character" w:customStyle="1" w:styleId="131">
    <w:name w:val="文档结构图 Char"/>
    <w:link w:val="18"/>
    <w:qFormat/>
    <w:uiPriority w:val="0"/>
    <w:rPr>
      <w:rFonts w:eastAsia="宋体"/>
      <w:kern w:val="2"/>
      <w:sz w:val="21"/>
      <w:szCs w:val="24"/>
      <w:lang w:val="en-US" w:eastAsia="zh-CN" w:bidi="ar-SA"/>
    </w:rPr>
  </w:style>
  <w:style w:type="character" w:customStyle="1" w:styleId="132">
    <w:name w:val="标题 5 Char"/>
    <w:link w:val="8"/>
    <w:qFormat/>
    <w:uiPriority w:val="0"/>
    <w:rPr>
      <w:rFonts w:eastAsia="宋体"/>
      <w:b/>
      <w:bCs/>
      <w:sz w:val="28"/>
      <w:szCs w:val="28"/>
      <w:lang w:bidi="ar-SA"/>
    </w:rPr>
  </w:style>
  <w:style w:type="character" w:customStyle="1" w:styleId="133">
    <w:name w:val="日期 Char"/>
    <w:link w:val="34"/>
    <w:qFormat/>
    <w:uiPriority w:val="0"/>
    <w:rPr>
      <w:rFonts w:eastAsia="宋体"/>
      <w:kern w:val="2"/>
      <w:sz w:val="21"/>
      <w:szCs w:val="24"/>
      <w:lang w:val="en-US" w:eastAsia="zh-CN" w:bidi="ar-SA"/>
    </w:rPr>
  </w:style>
  <w:style w:type="character" w:customStyle="1" w:styleId="134">
    <w:name w:val="副标题 Char"/>
    <w:link w:val="42"/>
    <w:qFormat/>
    <w:uiPriority w:val="0"/>
    <w:rPr>
      <w:rFonts w:ascii="Cambria" w:hAnsi="Cambria" w:eastAsia="宋体"/>
      <w:b/>
      <w:bCs/>
      <w:kern w:val="28"/>
      <w:sz w:val="32"/>
      <w:szCs w:val="32"/>
      <w:lang w:val="en-US" w:eastAsia="zh-CN" w:bidi="ar-SA"/>
    </w:rPr>
  </w:style>
  <w:style w:type="character" w:customStyle="1" w:styleId="135">
    <w:name w:val="页眉 Char"/>
    <w:link w:val="38"/>
    <w:qFormat/>
    <w:uiPriority w:val="0"/>
    <w:rPr>
      <w:rFonts w:eastAsia="宋体"/>
      <w:kern w:val="2"/>
      <w:sz w:val="18"/>
      <w:szCs w:val="18"/>
      <w:lang w:val="en-US" w:eastAsia="zh-CN" w:bidi="ar-SA"/>
    </w:rPr>
  </w:style>
  <w:style w:type="character" w:customStyle="1" w:styleId="136">
    <w:name w:val="style13"/>
    <w:basedOn w:val="55"/>
    <w:qFormat/>
    <w:uiPriority w:val="0"/>
  </w:style>
  <w:style w:type="character" w:customStyle="1" w:styleId="137">
    <w:name w:val="textcolor1"/>
    <w:qFormat/>
    <w:uiPriority w:val="0"/>
    <w:rPr>
      <w:rFonts w:ascii="仿宋_GB2312" w:eastAsia="仿宋_GB2312"/>
      <w:b/>
      <w:color w:val="FF6600"/>
      <w:sz w:val="32"/>
      <w:szCs w:val="32"/>
    </w:rPr>
  </w:style>
  <w:style w:type="character" w:customStyle="1" w:styleId="138">
    <w:name w:val="Table Text Char Char"/>
    <w:link w:val="139"/>
    <w:qFormat/>
    <w:uiPriority w:val="0"/>
    <w:rPr>
      <w:sz w:val="21"/>
      <w:lang w:val="en-US" w:eastAsia="en-US" w:bidi="ar-SA"/>
    </w:rPr>
  </w:style>
  <w:style w:type="paragraph" w:customStyle="1" w:styleId="139">
    <w:name w:val="Table Text"/>
    <w:basedOn w:val="1"/>
    <w:link w:val="138"/>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40">
    <w:name w:val="Ò³Ã¼ Char Char"/>
    <w:qFormat/>
    <w:uiPriority w:val="0"/>
    <w:rPr>
      <w:sz w:val="18"/>
      <w:szCs w:val="18"/>
    </w:rPr>
  </w:style>
  <w:style w:type="character" w:customStyle="1" w:styleId="141">
    <w:name w:val="heading 2 Char2"/>
    <w:qFormat/>
    <w:uiPriority w:val="0"/>
    <w:rPr>
      <w:rFonts w:ascii="Cambria" w:hAnsi="Cambria"/>
      <w:b/>
      <w:bCs/>
      <w:kern w:val="2"/>
      <w:sz w:val="32"/>
      <w:szCs w:val="32"/>
    </w:rPr>
  </w:style>
  <w:style w:type="character" w:customStyle="1" w:styleId="142">
    <w:name w:val="书籍标题11"/>
    <w:qFormat/>
    <w:uiPriority w:val="0"/>
    <w:rPr>
      <w:b/>
      <w:bCs/>
      <w:smallCaps/>
      <w:spacing w:val="5"/>
    </w:rPr>
  </w:style>
  <w:style w:type="character" w:customStyle="1" w:styleId="143">
    <w:name w:val="Char Char21"/>
    <w:qFormat/>
    <w:uiPriority w:val="0"/>
    <w:rPr>
      <w:rFonts w:ascii="Times New Roman" w:hAnsi="Times New Roman" w:eastAsia="宋体" w:cs="Times New Roman"/>
      <w:b/>
      <w:bCs/>
      <w:kern w:val="44"/>
      <w:sz w:val="44"/>
      <w:szCs w:val="44"/>
    </w:rPr>
  </w:style>
  <w:style w:type="character" w:customStyle="1" w:styleId="144">
    <w:name w:val="正文文本缩进 Char"/>
    <w:link w:val="25"/>
    <w:qFormat/>
    <w:uiPriority w:val="0"/>
    <w:rPr>
      <w:rFonts w:eastAsia="宋体"/>
      <w:kern w:val="2"/>
      <w:sz w:val="24"/>
      <w:szCs w:val="24"/>
      <w:lang w:val="en-US" w:eastAsia="zh-CN" w:bidi="ar-SA"/>
    </w:rPr>
  </w:style>
  <w:style w:type="character" w:customStyle="1" w:styleId="145">
    <w:name w:val="不明显强调1"/>
    <w:qFormat/>
    <w:uiPriority w:val="0"/>
    <w:rPr>
      <w:i/>
      <w:iCs/>
      <w:color w:val="808080"/>
    </w:rPr>
  </w:style>
  <w:style w:type="character" w:customStyle="1" w:styleId="146">
    <w:name w:val="正文文本缩进 3 Char"/>
    <w:link w:val="45"/>
    <w:qFormat/>
    <w:uiPriority w:val="0"/>
    <w:rPr>
      <w:rFonts w:eastAsia="宋体"/>
      <w:kern w:val="2"/>
      <w:sz w:val="24"/>
      <w:szCs w:val="24"/>
      <w:lang w:val="en-US" w:eastAsia="zh-CN" w:bidi="ar-SA"/>
    </w:rPr>
  </w:style>
  <w:style w:type="character" w:customStyle="1" w:styleId="147">
    <w:name w:val="heading 5 Char"/>
    <w:qFormat/>
    <w:uiPriority w:val="0"/>
    <w:rPr>
      <w:rFonts w:ascii="Arial" w:hAnsi="Arial" w:eastAsia="黑体"/>
      <w:sz w:val="21"/>
      <w:szCs w:val="21"/>
    </w:rPr>
  </w:style>
  <w:style w:type="character" w:customStyle="1" w:styleId="148">
    <w:name w:val="Style3"/>
    <w:qFormat/>
    <w:uiPriority w:val="0"/>
    <w:rPr>
      <w:rFonts w:ascii="Calibri" w:hAnsi="宋体" w:eastAsia="宋体" w:cs="Times New Roman"/>
      <w:szCs w:val="22"/>
      <w:lang w:eastAsia="zh-CN"/>
    </w:rPr>
  </w:style>
  <w:style w:type="character" w:customStyle="1" w:styleId="149">
    <w:name w:val="标题 4 Char"/>
    <w:link w:val="7"/>
    <w:qFormat/>
    <w:uiPriority w:val="0"/>
    <w:rPr>
      <w:rFonts w:eastAsia="宋体"/>
      <w:kern w:val="2"/>
      <w:sz w:val="28"/>
      <w:szCs w:val="28"/>
      <w:lang w:val="en-US" w:eastAsia="zh-CN" w:bidi="ar-SA"/>
    </w:rPr>
  </w:style>
  <w:style w:type="character" w:customStyle="1" w:styleId="150">
    <w:name w:val="Char Char241"/>
    <w:qFormat/>
    <w:uiPriority w:val="0"/>
    <w:rPr>
      <w:rFonts w:eastAsia="宋体"/>
      <w:b/>
      <w:kern w:val="2"/>
      <w:sz w:val="28"/>
      <w:lang w:val="en-US" w:eastAsia="zh-CN" w:bidi="ar-SA"/>
    </w:rPr>
  </w:style>
  <w:style w:type="character" w:customStyle="1" w:styleId="151">
    <w:name w:val="批注框文本 Char"/>
    <w:link w:val="36"/>
    <w:qFormat/>
    <w:uiPriority w:val="0"/>
    <w:rPr>
      <w:rFonts w:eastAsia="宋体"/>
      <w:kern w:val="2"/>
      <w:sz w:val="18"/>
      <w:szCs w:val="18"/>
      <w:lang w:val="en-US" w:eastAsia="zh-CN" w:bidi="ar-SA"/>
    </w:rPr>
  </w:style>
  <w:style w:type="character" w:customStyle="1" w:styleId="152">
    <w:name w:val="标题 3 Char"/>
    <w:link w:val="6"/>
    <w:qFormat/>
    <w:uiPriority w:val="0"/>
    <w:rPr>
      <w:rFonts w:eastAsia="黑体"/>
      <w:b/>
      <w:kern w:val="2"/>
      <w:sz w:val="28"/>
      <w:lang w:val="en-US" w:eastAsia="zh-CN" w:bidi="ar-SA"/>
    </w:rPr>
  </w:style>
  <w:style w:type="character" w:customStyle="1" w:styleId="153">
    <w:name w:val="明显强调11"/>
    <w:qFormat/>
    <w:uiPriority w:val="0"/>
    <w:rPr>
      <w:b/>
      <w:bCs/>
      <w:i/>
      <w:iCs/>
      <w:color w:val="4F81BD"/>
    </w:rPr>
  </w:style>
  <w:style w:type="character" w:customStyle="1" w:styleId="154">
    <w:name w:val="签名 Char"/>
    <w:link w:val="39"/>
    <w:qFormat/>
    <w:uiPriority w:val="0"/>
    <w:rPr>
      <w:rFonts w:ascii="仿宋_GB2312" w:eastAsia="仿宋_GB2312"/>
      <w:b/>
      <w:sz w:val="24"/>
      <w:szCs w:val="32"/>
    </w:rPr>
  </w:style>
  <w:style w:type="character" w:customStyle="1" w:styleId="155">
    <w:name w:val="heading 3 Char2"/>
    <w:qFormat/>
    <w:uiPriority w:val="0"/>
    <w:rPr>
      <w:b/>
      <w:bCs/>
      <w:kern w:val="2"/>
      <w:sz w:val="32"/>
      <w:szCs w:val="32"/>
    </w:rPr>
  </w:style>
  <w:style w:type="character" w:customStyle="1" w:styleId="156">
    <w:name w:val="style21"/>
    <w:qFormat/>
    <w:uiPriority w:val="0"/>
    <w:rPr>
      <w:sz w:val="15"/>
      <w:szCs w:val="15"/>
    </w:rPr>
  </w:style>
  <w:style w:type="character" w:customStyle="1" w:styleId="157">
    <w:name w:val="Char Char271"/>
    <w:qFormat/>
    <w:uiPriority w:val="0"/>
    <w:rPr>
      <w:rFonts w:eastAsia="宋体"/>
      <w:kern w:val="2"/>
      <w:sz w:val="28"/>
      <w:lang w:val="en-US" w:eastAsia="zh-CN" w:bidi="ar-SA"/>
    </w:rPr>
  </w:style>
  <w:style w:type="character" w:customStyle="1" w:styleId="158">
    <w:name w:val="表格 Char Char"/>
    <w:link w:val="159"/>
    <w:qFormat/>
    <w:uiPriority w:val="0"/>
    <w:rPr>
      <w:rFonts w:ascii="宋体" w:hAnsi="宋体" w:eastAsia="宋体"/>
      <w:lang w:val="en-US" w:eastAsia="zh-CN" w:bidi="ar-SA"/>
    </w:rPr>
  </w:style>
  <w:style w:type="paragraph" w:customStyle="1" w:styleId="159">
    <w:name w:val="表格"/>
    <w:basedOn w:val="1"/>
    <w:link w:val="158"/>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60">
    <w:name w:val="heading 6 Char1"/>
    <w:qFormat/>
    <w:uiPriority w:val="0"/>
    <w:rPr>
      <w:rFonts w:ascii="Arial" w:hAnsi="Arial" w:eastAsia="黑体"/>
      <w:kern w:val="2"/>
      <w:sz w:val="24"/>
      <w:szCs w:val="24"/>
      <w:lang w:val="en-US" w:eastAsia="zh-CN" w:bidi="ar-SA"/>
    </w:rPr>
  </w:style>
  <w:style w:type="character" w:customStyle="1" w:styleId="161">
    <w:name w:val="Char Char211"/>
    <w:qFormat/>
    <w:uiPriority w:val="0"/>
    <w:rPr>
      <w:rFonts w:ascii="Times New Roman" w:hAnsi="Times New Roman" w:eastAsia="宋体" w:cs="Times New Roman"/>
      <w:b/>
      <w:bCs/>
      <w:kern w:val="44"/>
      <w:sz w:val="44"/>
      <w:szCs w:val="44"/>
    </w:rPr>
  </w:style>
  <w:style w:type="character" w:customStyle="1" w:styleId="162">
    <w:name w:val="不明显强调11"/>
    <w:qFormat/>
    <w:uiPriority w:val="0"/>
    <w:rPr>
      <w:i/>
      <w:iCs/>
      <w:color w:val="808080"/>
    </w:rPr>
  </w:style>
  <w:style w:type="character" w:customStyle="1" w:styleId="163">
    <w:name w:val="标题 9 Char"/>
    <w:link w:val="12"/>
    <w:qFormat/>
    <w:uiPriority w:val="0"/>
    <w:rPr>
      <w:rFonts w:ascii="Arial" w:hAnsi="Arial" w:eastAsia="黑体"/>
      <w:kern w:val="2"/>
      <w:sz w:val="21"/>
      <w:lang w:val="en-US" w:eastAsia="zh-CN" w:bidi="ar-SA"/>
    </w:rPr>
  </w:style>
  <w:style w:type="character" w:customStyle="1" w:styleId="164">
    <w:name w:val="正文文本 Char"/>
    <w:link w:val="22"/>
    <w:qFormat/>
    <w:uiPriority w:val="0"/>
    <w:rPr>
      <w:rFonts w:ascii="仿宋_GB2312" w:eastAsia="宋体"/>
      <w:b/>
      <w:kern w:val="2"/>
      <w:sz w:val="21"/>
      <w:szCs w:val="24"/>
      <w:lang w:val="en-US" w:eastAsia="zh-CN" w:bidi="ar-SA"/>
    </w:rPr>
  </w:style>
  <w:style w:type="character" w:customStyle="1" w:styleId="165">
    <w:name w:val="明显引用 Char"/>
    <w:link w:val="166"/>
    <w:qFormat/>
    <w:uiPriority w:val="0"/>
    <w:rPr>
      <w:rFonts w:ascii="Calibri" w:hAnsi="Calibri" w:eastAsia="宋体"/>
      <w:b/>
      <w:bCs/>
      <w:i/>
      <w:iCs/>
      <w:color w:val="4F81BD"/>
      <w:lang w:val="en-US" w:eastAsia="zh-CN" w:bidi="ar-SA"/>
    </w:rPr>
  </w:style>
  <w:style w:type="paragraph" w:styleId="166">
    <w:name w:val="Intense Quote"/>
    <w:basedOn w:val="1"/>
    <w:next w:val="1"/>
    <w:link w:val="165"/>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7">
    <w:name w:val="heading 5 Char1"/>
    <w:qFormat/>
    <w:uiPriority w:val="0"/>
    <w:rPr>
      <w:rFonts w:eastAsia="宋体"/>
      <w:b/>
      <w:bCs/>
      <w:kern w:val="2"/>
      <w:sz w:val="28"/>
      <w:szCs w:val="28"/>
      <w:lang w:val="en-US" w:eastAsia="zh-CN" w:bidi="ar-SA"/>
    </w:rPr>
  </w:style>
  <w:style w:type="character" w:customStyle="1" w:styleId="168">
    <w:name w:val="Texte Char Char"/>
    <w:qFormat/>
    <w:uiPriority w:val="0"/>
    <w:rPr>
      <w:rFonts w:ascii="宋体" w:hAnsi="Courier New" w:eastAsia="宋体"/>
      <w:sz w:val="21"/>
      <w:szCs w:val="21"/>
      <w:lang w:val="en-US" w:eastAsia="zh-CN" w:bidi="ar-SA"/>
    </w:rPr>
  </w:style>
  <w:style w:type="character" w:customStyle="1" w:styleId="169">
    <w:name w:val="正文1 Char Char"/>
    <w:link w:val="170"/>
    <w:qFormat/>
    <w:uiPriority w:val="0"/>
    <w:rPr>
      <w:rFonts w:ascii="宋体" w:hAnsi="宋体" w:eastAsia="宋体" w:cs="宋体"/>
      <w:sz w:val="21"/>
      <w:lang w:val="en-US" w:eastAsia="zh-CN" w:bidi="ar-SA"/>
    </w:rPr>
  </w:style>
  <w:style w:type="paragraph" w:customStyle="1" w:styleId="170">
    <w:name w:val="正文1"/>
    <w:basedOn w:val="1"/>
    <w:link w:val="169"/>
    <w:qFormat/>
    <w:uiPriority w:val="0"/>
    <w:pPr>
      <w:widowControl/>
      <w:spacing w:line="360" w:lineRule="auto"/>
      <w:ind w:left="360" w:firstLine="420"/>
      <w:jc w:val="left"/>
    </w:pPr>
    <w:rPr>
      <w:rFonts w:ascii="宋体" w:hAnsi="宋体" w:cs="宋体"/>
      <w:kern w:val="0"/>
      <w:szCs w:val="20"/>
    </w:rPr>
  </w:style>
  <w:style w:type="character" w:customStyle="1" w:styleId="171">
    <w:name w:val="heading 8 Char1"/>
    <w:qFormat/>
    <w:uiPriority w:val="0"/>
    <w:rPr>
      <w:rFonts w:ascii="Arial" w:hAnsi="Arial" w:eastAsia="黑体"/>
      <w:sz w:val="24"/>
      <w:lang w:val="en-US" w:eastAsia="zh-CN" w:bidi="ar-SA"/>
    </w:rPr>
  </w:style>
  <w:style w:type="character" w:customStyle="1" w:styleId="172">
    <w:name w:val="heading 9 Char1"/>
    <w:qFormat/>
    <w:uiPriority w:val="0"/>
    <w:rPr>
      <w:rFonts w:ascii="Arial" w:hAnsi="Arial" w:eastAsia="黑体"/>
      <w:sz w:val="21"/>
      <w:lang w:val="en-US" w:eastAsia="zh-CN" w:bidi="ar-SA"/>
    </w:rPr>
  </w:style>
  <w:style w:type="character" w:customStyle="1" w:styleId="173">
    <w:name w:val="标题 6 Char"/>
    <w:link w:val="9"/>
    <w:qFormat/>
    <w:uiPriority w:val="0"/>
    <w:rPr>
      <w:rFonts w:ascii="Arial" w:hAnsi="Arial" w:eastAsia="黑体"/>
      <w:b/>
      <w:kern w:val="2"/>
      <w:sz w:val="24"/>
      <w:lang w:val="en-US" w:eastAsia="zh-CN" w:bidi="ar-SA"/>
    </w:rPr>
  </w:style>
  <w:style w:type="character" w:customStyle="1" w:styleId="174">
    <w:name w:val="ändrad Char1"/>
    <w:qFormat/>
    <w:uiPriority w:val="0"/>
    <w:rPr>
      <w:rFonts w:ascii="仿宋_GB2312" w:eastAsia="宋体"/>
      <w:b/>
      <w:kern w:val="2"/>
      <w:sz w:val="21"/>
      <w:szCs w:val="24"/>
      <w:lang w:val="en-US" w:eastAsia="zh-CN" w:bidi="ar-SA"/>
    </w:rPr>
  </w:style>
  <w:style w:type="character" w:customStyle="1" w:styleId="175">
    <w:name w:val="Char Char41"/>
    <w:qFormat/>
    <w:uiPriority w:val="0"/>
    <w:rPr>
      <w:rFonts w:ascii="Cambria" w:hAnsi="Cambria" w:eastAsia="宋体"/>
      <w:b/>
      <w:bCs/>
      <w:sz w:val="32"/>
      <w:szCs w:val="32"/>
      <w:lang w:bidi="ar-SA"/>
    </w:rPr>
  </w:style>
  <w:style w:type="character" w:customStyle="1" w:styleId="176">
    <w:name w:val="标题 8 Char"/>
    <w:link w:val="11"/>
    <w:qFormat/>
    <w:uiPriority w:val="0"/>
    <w:rPr>
      <w:rFonts w:ascii="Arial" w:hAnsi="Arial" w:eastAsia="黑体"/>
      <w:kern w:val="2"/>
      <w:sz w:val="24"/>
      <w:lang w:val="en-US" w:eastAsia="zh-CN" w:bidi="ar-SA"/>
    </w:rPr>
  </w:style>
  <w:style w:type="character" w:customStyle="1" w:styleId="177">
    <w:name w:val="Char Char11"/>
    <w:qFormat/>
    <w:uiPriority w:val="0"/>
    <w:rPr>
      <w:rFonts w:ascii="Times New Roman" w:hAnsi="Times New Roman" w:eastAsia="宋体" w:cs="Times New Roman"/>
      <w:sz w:val="18"/>
      <w:szCs w:val="18"/>
    </w:rPr>
  </w:style>
  <w:style w:type="character" w:customStyle="1" w:styleId="178">
    <w:name w:val="正文文本缩进 2 Char"/>
    <w:link w:val="35"/>
    <w:qFormat/>
    <w:uiPriority w:val="0"/>
    <w:rPr>
      <w:rFonts w:eastAsia="宋体"/>
      <w:kern w:val="2"/>
      <w:sz w:val="24"/>
      <w:szCs w:val="24"/>
      <w:lang w:val="en-US" w:eastAsia="zh-CN" w:bidi="ar-SA"/>
    </w:rPr>
  </w:style>
  <w:style w:type="character" w:customStyle="1" w:styleId="179">
    <w:name w:val="Char Char6"/>
    <w:qFormat/>
    <w:uiPriority w:val="0"/>
    <w:rPr>
      <w:rFonts w:ascii="Times New Roman" w:hAnsi="Times New Roman" w:eastAsia="宋体" w:cs="Times New Roman"/>
      <w:szCs w:val="24"/>
    </w:rPr>
  </w:style>
  <w:style w:type="character" w:customStyle="1" w:styleId="180">
    <w:name w:val="Char Char Char"/>
    <w:qFormat/>
    <w:uiPriority w:val="0"/>
    <w:rPr>
      <w:rFonts w:ascii="宋体" w:hAnsi="Courier New" w:eastAsia="宋体"/>
      <w:b/>
      <w:sz w:val="21"/>
      <w:szCs w:val="21"/>
      <w:lang w:val="en-US" w:eastAsia="zh-CN" w:bidi="ar-SA"/>
    </w:rPr>
  </w:style>
  <w:style w:type="character" w:customStyle="1" w:styleId="181">
    <w:name w:val="heading 2 Char"/>
    <w:qFormat/>
    <w:uiPriority w:val="0"/>
    <w:rPr>
      <w:rFonts w:ascii="Arial" w:hAnsi="Arial" w:eastAsia="黑体" w:cs="Times New Roman"/>
      <w:sz w:val="30"/>
      <w:szCs w:val="24"/>
    </w:rPr>
  </w:style>
  <w:style w:type="character" w:customStyle="1" w:styleId="182">
    <w:name w:val="Char Char2"/>
    <w:qFormat/>
    <w:uiPriority w:val="0"/>
    <w:rPr>
      <w:rFonts w:ascii="Arial" w:hAnsi="Arial" w:eastAsia="黑体"/>
      <w:b/>
      <w:bCs/>
      <w:kern w:val="44"/>
      <w:sz w:val="30"/>
      <w:szCs w:val="44"/>
      <w:lang w:val="en-US" w:eastAsia="zh-CN" w:bidi="ar-SA"/>
    </w:rPr>
  </w:style>
  <w:style w:type="character" w:customStyle="1" w:styleId="183">
    <w:name w:val="Footer-Even Char2"/>
    <w:qFormat/>
    <w:uiPriority w:val="0"/>
    <w:rPr>
      <w:kern w:val="2"/>
      <w:sz w:val="18"/>
      <w:szCs w:val="18"/>
    </w:rPr>
  </w:style>
  <w:style w:type="character" w:customStyle="1" w:styleId="184">
    <w:name w:val="Char Char17"/>
    <w:qFormat/>
    <w:uiPriority w:val="0"/>
    <w:rPr>
      <w:rFonts w:ascii="Cambria" w:hAnsi="Cambria"/>
      <w:b/>
      <w:bCs/>
      <w:kern w:val="2"/>
      <w:sz w:val="28"/>
      <w:szCs w:val="28"/>
    </w:rPr>
  </w:style>
  <w:style w:type="character" w:customStyle="1" w:styleId="185">
    <w:name w:val="heading 4 Char"/>
    <w:qFormat/>
    <w:uiPriority w:val="0"/>
    <w:rPr>
      <w:rFonts w:ascii="Arial" w:hAnsi="Arial" w:eastAsia="黑体" w:cs="Times New Roman"/>
      <w:sz w:val="21"/>
      <w:szCs w:val="21"/>
    </w:rPr>
  </w:style>
  <w:style w:type="character" w:customStyle="1" w:styleId="186">
    <w:name w:val="Char Char20"/>
    <w:qFormat/>
    <w:uiPriority w:val="0"/>
    <w:rPr>
      <w:b/>
      <w:bCs/>
      <w:kern w:val="44"/>
      <w:sz w:val="44"/>
      <w:szCs w:val="44"/>
    </w:rPr>
  </w:style>
  <w:style w:type="character" w:customStyle="1" w:styleId="187">
    <w:name w:val="heading 1 Char2"/>
    <w:qFormat/>
    <w:uiPriority w:val="0"/>
    <w:rPr>
      <w:b/>
      <w:bCs/>
      <w:kern w:val="44"/>
      <w:sz w:val="44"/>
      <w:szCs w:val="44"/>
    </w:rPr>
  </w:style>
  <w:style w:type="character" w:customStyle="1" w:styleId="188">
    <w:name w:val="font11"/>
    <w:qFormat/>
    <w:uiPriority w:val="0"/>
    <w:rPr>
      <w:rFonts w:hint="eastAsia" w:ascii="宋体" w:hAnsi="宋体" w:eastAsia="宋体" w:cs="宋体"/>
      <w:b/>
      <w:color w:val="000000"/>
      <w:sz w:val="20"/>
      <w:szCs w:val="20"/>
      <w:u w:val="none"/>
    </w:rPr>
  </w:style>
  <w:style w:type="character" w:customStyle="1" w:styleId="189">
    <w:name w:val="表正文 Char2"/>
    <w:qFormat/>
    <w:uiPriority w:val="0"/>
    <w:rPr>
      <w:rFonts w:ascii="Times New Roman" w:hAnsi="Times New Roman" w:eastAsia="宋体" w:cs="Times New Roman"/>
      <w:szCs w:val="24"/>
    </w:rPr>
  </w:style>
  <w:style w:type="character" w:customStyle="1" w:styleId="190">
    <w:name w:val="引用 Char"/>
    <w:link w:val="191"/>
    <w:qFormat/>
    <w:uiPriority w:val="0"/>
    <w:rPr>
      <w:rFonts w:ascii="Calibri" w:hAnsi="Calibri" w:eastAsia="宋体"/>
      <w:i/>
      <w:iCs/>
      <w:color w:val="000000"/>
      <w:lang w:val="en-US" w:eastAsia="zh-CN" w:bidi="ar-SA"/>
    </w:rPr>
  </w:style>
  <w:style w:type="paragraph" w:styleId="191">
    <w:name w:val="Quote"/>
    <w:basedOn w:val="1"/>
    <w:next w:val="1"/>
    <w:link w:val="190"/>
    <w:qFormat/>
    <w:uiPriority w:val="0"/>
    <w:rPr>
      <w:rFonts w:ascii="Calibri" w:hAnsi="Calibri"/>
      <w:i/>
      <w:iCs/>
      <w:color w:val="000000"/>
      <w:kern w:val="0"/>
      <w:sz w:val="20"/>
      <w:szCs w:val="20"/>
    </w:rPr>
  </w:style>
  <w:style w:type="character" w:customStyle="1" w:styleId="192">
    <w:name w:val="纯文本 Char"/>
    <w:link w:val="31"/>
    <w:qFormat/>
    <w:uiPriority w:val="0"/>
    <w:rPr>
      <w:rFonts w:ascii="宋体" w:hAnsi="Courier New" w:eastAsia="宋体"/>
      <w:b/>
      <w:sz w:val="21"/>
      <w:szCs w:val="21"/>
      <w:lang w:val="en-US" w:eastAsia="zh-CN" w:bidi="ar-SA"/>
    </w:rPr>
  </w:style>
  <w:style w:type="character" w:customStyle="1" w:styleId="193">
    <w:name w:val="Char Char19"/>
    <w:qFormat/>
    <w:uiPriority w:val="0"/>
    <w:rPr>
      <w:rFonts w:ascii="Cambria" w:hAnsi="Cambria"/>
      <w:b/>
      <w:bCs/>
      <w:kern w:val="2"/>
      <w:sz w:val="32"/>
      <w:szCs w:val="32"/>
    </w:rPr>
  </w:style>
  <w:style w:type="character" w:customStyle="1" w:styleId="194">
    <w:name w:val="style41"/>
    <w:qFormat/>
    <w:uiPriority w:val="0"/>
    <w:rPr>
      <w:color w:val="auto"/>
    </w:rPr>
  </w:style>
  <w:style w:type="character" w:customStyle="1" w:styleId="195">
    <w:name w:val="Char Char201"/>
    <w:qFormat/>
    <w:uiPriority w:val="0"/>
    <w:rPr>
      <w:rFonts w:ascii="Cambria" w:hAnsi="Cambria" w:eastAsia="宋体" w:cs="Times New Roman"/>
      <w:b/>
      <w:bCs/>
      <w:sz w:val="32"/>
      <w:szCs w:val="32"/>
    </w:rPr>
  </w:style>
  <w:style w:type="character" w:customStyle="1" w:styleId="196">
    <w:name w:val="正文首行缩进 Char"/>
    <w:link w:val="23"/>
    <w:qFormat/>
    <w:uiPriority w:val="0"/>
    <w:rPr>
      <w:rFonts w:eastAsia="宋体"/>
      <w:lang w:val="en-US" w:eastAsia="zh-CN" w:bidi="ar-SA"/>
    </w:rPr>
  </w:style>
  <w:style w:type="character" w:customStyle="1" w:styleId="197">
    <w:name w:val="smalltxt1"/>
    <w:qFormat/>
    <w:uiPriority w:val="0"/>
    <w:rPr>
      <w:rFonts w:hint="default" w:ascii="ˎ̥" w:hAnsi="ˎ̥"/>
      <w:sz w:val="24"/>
      <w:szCs w:val="24"/>
    </w:rPr>
  </w:style>
  <w:style w:type="character" w:customStyle="1" w:styleId="198">
    <w:name w:val="正文文本 2 Char"/>
    <w:basedOn w:val="55"/>
    <w:link w:val="48"/>
    <w:qFormat/>
    <w:uiPriority w:val="0"/>
  </w:style>
  <w:style w:type="paragraph" w:customStyle="1" w:styleId="19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0">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01">
    <w:name w:val="表内文字"/>
    <w:basedOn w:val="1"/>
    <w:qFormat/>
    <w:uiPriority w:val="0"/>
    <w:pPr>
      <w:spacing w:line="240" w:lineRule="atLeast"/>
      <w:jc w:val="center"/>
    </w:pPr>
    <w:rPr>
      <w:rFonts w:ascii="Arial" w:hAnsi="Arial" w:cs="Arial"/>
      <w:b/>
      <w:bCs/>
    </w:rPr>
  </w:style>
  <w:style w:type="paragraph" w:customStyle="1" w:styleId="202">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3">
    <w:name w:val="Char Char Char Char Char Char Char"/>
    <w:basedOn w:val="1"/>
    <w:qFormat/>
    <w:uiPriority w:val="0"/>
    <w:rPr>
      <w:rFonts w:ascii="仿宋_GB2312" w:eastAsia="仿宋_GB2312"/>
      <w:b/>
      <w:sz w:val="32"/>
      <w:szCs w:val="32"/>
    </w:rPr>
  </w:style>
  <w:style w:type="paragraph" w:customStyle="1" w:styleId="20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5">
    <w:name w:val="列出段落1"/>
    <w:basedOn w:val="1"/>
    <w:qFormat/>
    <w:uiPriority w:val="0"/>
    <w:pPr>
      <w:ind w:firstLine="420" w:firstLineChars="200"/>
    </w:pPr>
    <w:rPr>
      <w:szCs w:val="20"/>
    </w:rPr>
  </w:style>
  <w:style w:type="paragraph" w:customStyle="1" w:styleId="206">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8">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9">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1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2">
    <w:name w:val="NICMAN Body Text"/>
    <w:basedOn w:val="1"/>
    <w:next w:val="22"/>
    <w:qFormat/>
    <w:uiPriority w:val="0"/>
    <w:pPr>
      <w:autoSpaceDE w:val="0"/>
      <w:autoSpaceDN w:val="0"/>
      <w:adjustRightInd w:val="0"/>
      <w:spacing w:after="120"/>
      <w:jc w:val="left"/>
    </w:pPr>
    <w:rPr>
      <w:kern w:val="0"/>
      <w:sz w:val="20"/>
      <w:szCs w:val="20"/>
    </w:rPr>
  </w:style>
  <w:style w:type="paragraph" w:customStyle="1" w:styleId="213">
    <w:name w:val="Char Char Char Char Char Char Char Char Char Char Char Char Char"/>
    <w:basedOn w:val="1"/>
    <w:qFormat/>
    <w:uiPriority w:val="0"/>
    <w:rPr>
      <w:rFonts w:ascii="Tahoma" w:hAnsi="Tahoma"/>
      <w:sz w:val="24"/>
      <w:szCs w:val="20"/>
    </w:rPr>
  </w:style>
  <w:style w:type="paragraph" w:customStyle="1" w:styleId="21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5">
    <w:name w:val="正文缩进1"/>
    <w:basedOn w:val="1"/>
    <w:next w:val="25"/>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6">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7">
    <w:name w:val="Char Char Char Char1"/>
    <w:basedOn w:val="18"/>
    <w:qFormat/>
    <w:uiPriority w:val="0"/>
    <w:rPr>
      <w:rFonts w:ascii="Tahoma" w:hAnsi="Tahoma"/>
      <w:sz w:val="24"/>
    </w:rPr>
  </w:style>
  <w:style w:type="paragraph" w:customStyle="1" w:styleId="218">
    <w:name w:val="正文 首行缩进:  2 字符 Char"/>
    <w:basedOn w:val="1"/>
    <w:qFormat/>
    <w:uiPriority w:val="0"/>
    <w:pPr>
      <w:spacing w:line="360" w:lineRule="auto"/>
      <w:ind w:firstLine="480"/>
    </w:pPr>
    <w:rPr>
      <w:rFonts w:cs="宋体"/>
      <w:sz w:val="24"/>
      <w:szCs w:val="20"/>
    </w:rPr>
  </w:style>
  <w:style w:type="paragraph" w:customStyle="1" w:styleId="219">
    <w:name w:val="样式1"/>
    <w:basedOn w:val="1"/>
    <w:qFormat/>
    <w:uiPriority w:val="0"/>
    <w:pPr>
      <w:autoSpaceDE w:val="0"/>
      <w:autoSpaceDN w:val="0"/>
      <w:adjustRightInd w:val="0"/>
      <w:spacing w:line="400" w:lineRule="exact"/>
    </w:pPr>
    <w:rPr>
      <w:rFonts w:ascii="宋体" w:cs="宋体"/>
      <w:kern w:val="0"/>
    </w:rPr>
  </w:style>
  <w:style w:type="paragraph" w:customStyle="1" w:styleId="2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1">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3">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4">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5">
    <w:name w:val="二级条标题"/>
    <w:basedOn w:val="206"/>
    <w:next w:val="1"/>
    <w:qFormat/>
    <w:uiPriority w:val="0"/>
    <w:pPr>
      <w:tabs>
        <w:tab w:val="left" w:pos="4309"/>
        <w:tab w:val="clear" w:pos="3889"/>
      </w:tabs>
      <w:ind w:left="4309"/>
      <w:outlineLvl w:val="3"/>
    </w:pPr>
  </w:style>
  <w:style w:type="paragraph" w:customStyle="1" w:styleId="226">
    <w:name w:val="正文－恩普"/>
    <w:basedOn w:val="2"/>
    <w:qFormat/>
    <w:uiPriority w:val="0"/>
    <w:pPr>
      <w:adjustRightInd/>
      <w:spacing w:line="360" w:lineRule="auto"/>
      <w:ind w:firstLine="200" w:firstLineChars="200"/>
      <w:textAlignment w:val="auto"/>
    </w:pPr>
    <w:rPr>
      <w:kern w:val="2"/>
      <w:sz w:val="24"/>
      <w:szCs w:val="24"/>
    </w:rPr>
  </w:style>
  <w:style w:type="paragraph" w:customStyle="1" w:styleId="227">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8">
    <w:name w:val="正文（首行缩进）"/>
    <w:basedOn w:val="25"/>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9">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30">
    <w:name w:val="文字"/>
    <w:basedOn w:val="1"/>
    <w:qFormat/>
    <w:uiPriority w:val="0"/>
    <w:pPr>
      <w:tabs>
        <w:tab w:val="left" w:pos="8520"/>
      </w:tabs>
      <w:spacing w:line="312" w:lineRule="auto"/>
      <w:ind w:right="-210" w:firstLine="556"/>
    </w:pPr>
    <w:rPr>
      <w:rFonts w:ascii="宋体"/>
      <w:sz w:val="28"/>
      <w:szCs w:val="20"/>
    </w:rPr>
  </w:style>
  <w:style w:type="paragraph" w:customStyle="1" w:styleId="23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2">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3">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34">
    <w:name w:val="三级条标题"/>
    <w:basedOn w:val="225"/>
    <w:next w:val="1"/>
    <w:qFormat/>
    <w:uiPriority w:val="0"/>
    <w:pPr>
      <w:tabs>
        <w:tab w:val="left" w:pos="4729"/>
        <w:tab w:val="clear" w:pos="4309"/>
      </w:tabs>
      <w:ind w:left="4729"/>
      <w:outlineLvl w:val="4"/>
    </w:pPr>
  </w:style>
  <w:style w:type="paragraph" w:customStyle="1" w:styleId="235">
    <w:name w:val="Test2"/>
    <w:basedOn w:val="5"/>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6">
    <w:name w:val="默认段落字体 Para Char Char Char Char Char Char Char"/>
    <w:basedOn w:val="1"/>
    <w:qFormat/>
    <w:uiPriority w:val="0"/>
  </w:style>
  <w:style w:type="paragraph" w:customStyle="1" w:styleId="237">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9">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4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1">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2">
    <w:name w:val="列表段落"/>
    <w:basedOn w:val="1"/>
    <w:qFormat/>
    <w:uiPriority w:val="0"/>
    <w:pPr>
      <w:ind w:firstLine="420" w:firstLineChars="200"/>
    </w:pPr>
    <w:rPr>
      <w:rFonts w:ascii="Calibri" w:hAnsi="Calibri"/>
      <w:szCs w:val="22"/>
    </w:rPr>
  </w:style>
  <w:style w:type="paragraph" w:customStyle="1" w:styleId="243">
    <w:name w:val="五级条标题"/>
    <w:basedOn w:val="244"/>
    <w:next w:val="1"/>
    <w:qFormat/>
    <w:uiPriority w:val="0"/>
    <w:pPr>
      <w:tabs>
        <w:tab w:val="left" w:pos="5149"/>
        <w:tab w:val="left" w:pos="5569"/>
      </w:tabs>
      <w:ind w:left="5569"/>
      <w:outlineLvl w:val="6"/>
    </w:pPr>
  </w:style>
  <w:style w:type="paragraph" w:customStyle="1" w:styleId="244">
    <w:name w:val="四级条标题"/>
    <w:basedOn w:val="234"/>
    <w:next w:val="1"/>
    <w:qFormat/>
    <w:uiPriority w:val="0"/>
    <w:pPr>
      <w:tabs>
        <w:tab w:val="left" w:pos="5149"/>
        <w:tab w:val="clear" w:pos="4729"/>
      </w:tabs>
      <w:ind w:left="5149"/>
      <w:outlineLvl w:val="5"/>
    </w:pPr>
  </w:style>
  <w:style w:type="paragraph" w:customStyle="1" w:styleId="245">
    <w:name w:val="正文-宋体四号"/>
    <w:basedOn w:val="1"/>
    <w:qFormat/>
    <w:uiPriority w:val="0"/>
    <w:pPr>
      <w:spacing w:line="360" w:lineRule="auto"/>
      <w:ind w:firstLine="560" w:firstLineChars="200"/>
    </w:pPr>
    <w:rPr>
      <w:rFonts w:cs="宋体"/>
      <w:sz w:val="28"/>
      <w:szCs w:val="20"/>
    </w:rPr>
  </w:style>
  <w:style w:type="paragraph" w:customStyle="1" w:styleId="246">
    <w:name w:val="纯文本1"/>
    <w:basedOn w:val="1"/>
    <w:qFormat/>
    <w:uiPriority w:val="0"/>
    <w:pPr>
      <w:adjustRightInd w:val="0"/>
      <w:textAlignment w:val="baseline"/>
    </w:pPr>
    <w:rPr>
      <w:rFonts w:ascii="宋体" w:hAnsi="Courier New" w:eastAsia="楷体_GB2312"/>
      <w:sz w:val="28"/>
      <w:szCs w:val="20"/>
    </w:rPr>
  </w:style>
  <w:style w:type="paragraph" w:customStyle="1" w:styleId="247">
    <w:name w:val="Char2"/>
    <w:basedOn w:val="1"/>
    <w:qFormat/>
    <w:uiPriority w:val="0"/>
  </w:style>
  <w:style w:type="paragraph" w:customStyle="1" w:styleId="248">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49">
    <w:name w:val="样式5"/>
    <w:basedOn w:val="2"/>
    <w:qFormat/>
    <w:uiPriority w:val="0"/>
    <w:pPr>
      <w:adjustRightInd/>
      <w:spacing w:line="360" w:lineRule="auto"/>
      <w:ind w:firstLine="200" w:firstLineChars="200"/>
      <w:textAlignment w:val="auto"/>
    </w:pPr>
    <w:rPr>
      <w:sz w:val="28"/>
      <w:szCs w:val="21"/>
    </w:rPr>
  </w:style>
  <w:style w:type="paragraph" w:customStyle="1" w:styleId="250">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1">
    <w:name w:val="Char Char Char Char Char Char Char Char Char Char Char Char Char1"/>
    <w:basedOn w:val="1"/>
    <w:qFormat/>
    <w:uiPriority w:val="0"/>
  </w:style>
  <w:style w:type="paragraph" w:customStyle="1" w:styleId="252">
    <w:name w:val="样式 标题 1Level 1Level 11h1II+IHeading1H1-Heading 1Header 1..."/>
    <w:basedOn w:val="4"/>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3">
    <w:name w:val="样式 标题 3 + 黑色 段前: 5 磅 段后: 5 磅 行距: 1.5 倍行距"/>
    <w:basedOn w:val="1"/>
    <w:qFormat/>
    <w:uiPriority w:val="0"/>
    <w:pPr>
      <w:ind w:left="855" w:hanging="855"/>
    </w:pPr>
    <w:rPr>
      <w:sz w:val="24"/>
      <w:szCs w:val="20"/>
    </w:rPr>
  </w:style>
  <w:style w:type="paragraph" w:customStyle="1" w:styleId="254">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5">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7">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8">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9">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60">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1">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6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5">
    <w:name w:val="tabletext"/>
    <w:basedOn w:val="1"/>
    <w:qFormat/>
    <w:uiPriority w:val="0"/>
    <w:pPr>
      <w:widowControl/>
      <w:spacing w:line="300" w:lineRule="atLeast"/>
      <w:jc w:val="left"/>
    </w:pPr>
    <w:rPr>
      <w:rFonts w:ascii="宋体" w:hAnsi="宋体" w:cs="宋体"/>
      <w:kern w:val="0"/>
      <w:sz w:val="18"/>
      <w:szCs w:val="18"/>
    </w:rPr>
  </w:style>
  <w:style w:type="paragraph" w:customStyle="1" w:styleId="266">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7">
    <w:name w:val="TOC 标题1"/>
    <w:basedOn w:val="4"/>
    <w:next w:val="1"/>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8">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9">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70">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1">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2">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3">
    <w:name w:val="简单回函地址"/>
    <w:basedOn w:val="1"/>
    <w:qFormat/>
    <w:uiPriority w:val="0"/>
  </w:style>
  <w:style w:type="paragraph" w:customStyle="1" w:styleId="274">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5">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6">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7">
    <w:name w:val="1 Char"/>
    <w:basedOn w:val="2"/>
    <w:qFormat/>
    <w:uiPriority w:val="0"/>
    <w:pPr>
      <w:adjustRightInd/>
      <w:spacing w:line="360" w:lineRule="auto"/>
      <w:ind w:firstLine="200" w:firstLineChars="200"/>
      <w:textAlignment w:val="auto"/>
    </w:pPr>
    <w:rPr>
      <w:kern w:val="2"/>
    </w:rPr>
  </w:style>
  <w:style w:type="paragraph" w:customStyle="1" w:styleId="278">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9">
    <w:name w:val="TOC 标题2"/>
    <w:basedOn w:val="4"/>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80">
    <w:name w:val="Char Char"/>
    <w:basedOn w:val="1"/>
    <w:qFormat/>
    <w:uiPriority w:val="0"/>
    <w:rPr>
      <w:rFonts w:ascii="仿宋_GB2312" w:eastAsia="仿宋_GB2312"/>
      <w:b/>
      <w:sz w:val="32"/>
      <w:szCs w:val="32"/>
    </w:rPr>
  </w:style>
  <w:style w:type="paragraph" w:customStyle="1" w:styleId="281">
    <w:name w:val="l正文"/>
    <w:basedOn w:val="1"/>
    <w:qFormat/>
    <w:uiPriority w:val="0"/>
    <w:pPr>
      <w:spacing w:line="360" w:lineRule="auto"/>
      <w:ind w:firstLine="200" w:firstLineChars="200"/>
    </w:pPr>
    <w:rPr>
      <w:rFonts w:ascii="宋体" w:hAnsi="宋体"/>
      <w:sz w:val="24"/>
    </w:rPr>
  </w:style>
  <w:style w:type="paragraph" w:customStyle="1" w:styleId="282">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4">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5">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6">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7">
    <w:name w:val="Char Char Char Char Char Char Char1"/>
    <w:basedOn w:val="1"/>
    <w:qFormat/>
    <w:uiPriority w:val="0"/>
    <w:rPr>
      <w:rFonts w:ascii="仿宋_GB2312" w:eastAsia="仿宋_GB2312"/>
      <w:b/>
      <w:sz w:val="32"/>
      <w:szCs w:val="32"/>
    </w:rPr>
  </w:style>
  <w:style w:type="paragraph" w:customStyle="1" w:styleId="28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9">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0">
    <w:name w:val="标题2"/>
    <w:basedOn w:val="5"/>
    <w:qFormat/>
    <w:uiPriority w:val="0"/>
    <w:pPr>
      <w:tabs>
        <w:tab w:val="left" w:pos="709"/>
      </w:tabs>
    </w:pPr>
    <w:rPr>
      <w:rFonts w:ascii="宋体" w:hAnsi="宋体"/>
      <w:sz w:val="36"/>
      <w:szCs w:val="36"/>
    </w:rPr>
  </w:style>
  <w:style w:type="paragraph" w:customStyle="1" w:styleId="291">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3">
    <w:name w:val="Char1"/>
    <w:basedOn w:val="1"/>
    <w:qFormat/>
    <w:uiPriority w:val="0"/>
    <w:rPr>
      <w:rFonts w:ascii="仿宋_GB2312" w:eastAsia="仿宋_GB2312"/>
      <w:b/>
      <w:sz w:val="32"/>
      <w:szCs w:val="32"/>
    </w:rPr>
  </w:style>
  <w:style w:type="paragraph" w:customStyle="1" w:styleId="294">
    <w:name w:val="正文字缩2字"/>
    <w:basedOn w:val="1"/>
    <w:qFormat/>
    <w:uiPriority w:val="0"/>
    <w:pPr>
      <w:spacing w:before="60" w:after="60" w:line="360" w:lineRule="auto"/>
      <w:ind w:left="200" w:leftChars="200" w:firstLine="200" w:firstLineChars="200"/>
    </w:pPr>
    <w:rPr>
      <w:sz w:val="24"/>
    </w:rPr>
  </w:style>
  <w:style w:type="paragraph" w:customStyle="1" w:styleId="295">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6">
    <w:name w:val="保留正文"/>
    <w:basedOn w:val="22"/>
    <w:qFormat/>
    <w:uiPriority w:val="0"/>
    <w:pPr>
      <w:keepNext/>
      <w:spacing w:after="160"/>
    </w:pPr>
    <w:rPr>
      <w:szCs w:val="20"/>
    </w:rPr>
  </w:style>
  <w:style w:type="paragraph" w:customStyle="1" w:styleId="297">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0">
    <w:name w:val="Char"/>
    <w:basedOn w:val="1"/>
    <w:qFormat/>
    <w:uiPriority w:val="0"/>
    <w:rPr>
      <w:rFonts w:ascii="仿宋_GB2312" w:eastAsia="仿宋_GB2312"/>
      <w:b/>
      <w:sz w:val="32"/>
      <w:szCs w:val="32"/>
    </w:rPr>
  </w:style>
  <w:style w:type="paragraph" w:customStyle="1" w:styleId="301">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2">
    <w:name w:val="正文文字表格居中"/>
    <w:basedOn w:val="1"/>
    <w:next w:val="48"/>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3">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4">
    <w:name w:val="Char1 Char Char Char Char Char Char"/>
    <w:basedOn w:val="1"/>
    <w:qFormat/>
    <w:uiPriority w:val="0"/>
    <w:rPr>
      <w:rFonts w:ascii="宋体" w:hAnsi="宋体"/>
      <w:color w:val="000000"/>
      <w:sz w:val="24"/>
    </w:rPr>
  </w:style>
  <w:style w:type="paragraph" w:customStyle="1" w:styleId="305">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6">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09">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10">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1">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3">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4">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5">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6">
    <w:name w:val="样式 标题 3 + 黑体 小四 非加粗"/>
    <w:basedOn w:val="6"/>
    <w:qFormat/>
    <w:uiPriority w:val="0"/>
    <w:pPr>
      <w:spacing w:before="260" w:after="260" w:line="413" w:lineRule="auto"/>
    </w:pPr>
    <w:rPr>
      <w:rFonts w:ascii="黑体" w:hAnsi="黑体"/>
      <w:b w:val="0"/>
      <w:kern w:val="0"/>
      <w:sz w:val="24"/>
      <w:szCs w:val="32"/>
    </w:rPr>
  </w:style>
  <w:style w:type="paragraph" w:customStyle="1" w:styleId="317">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9">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2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2">
    <w:name w:val="文档正文"/>
    <w:basedOn w:val="1"/>
    <w:qFormat/>
    <w:uiPriority w:val="0"/>
    <w:pPr>
      <w:adjustRightInd w:val="0"/>
      <w:spacing w:line="300" w:lineRule="auto"/>
      <w:ind w:firstLine="567"/>
      <w:textAlignment w:val="baseline"/>
    </w:pPr>
    <w:rPr>
      <w:kern w:val="0"/>
      <w:sz w:val="24"/>
      <w:szCs w:val="20"/>
    </w:rPr>
  </w:style>
  <w:style w:type="paragraph" w:customStyle="1" w:styleId="323">
    <w:name w:val="列出段落2"/>
    <w:basedOn w:val="1"/>
    <w:qFormat/>
    <w:uiPriority w:val="0"/>
    <w:pPr>
      <w:ind w:firstLine="420" w:firstLineChars="200"/>
    </w:pPr>
  </w:style>
  <w:style w:type="paragraph" w:customStyle="1" w:styleId="324">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5">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6">
    <w:name w:val="p0"/>
    <w:basedOn w:val="1"/>
    <w:qFormat/>
    <w:uiPriority w:val="0"/>
    <w:pPr>
      <w:widowControl/>
    </w:pPr>
    <w:rPr>
      <w:kern w:val="0"/>
      <w:szCs w:val="21"/>
    </w:rPr>
  </w:style>
  <w:style w:type="paragraph" w:customStyle="1" w:styleId="327">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8">
    <w:name w:val="TableGrid"/>
    <w:qFormat/>
    <w:uiPriority w:val="0"/>
    <w:tblPr>
      <w:tblCellMar>
        <w:top w:w="0" w:type="dxa"/>
        <w:left w:w="0" w:type="dxa"/>
        <w:bottom w:w="0" w:type="dxa"/>
        <w:right w:w="0" w:type="dxa"/>
      </w:tblCellMar>
    </w:tblPr>
  </w:style>
  <w:style w:type="paragraph" w:styleId="329">
    <w:name w:val="List Paragraph"/>
    <w:basedOn w:val="1"/>
    <w:qFormat/>
    <w:uiPriority w:val="99"/>
    <w:pPr>
      <w:ind w:firstLine="420" w:firstLineChars="200"/>
    </w:pPr>
  </w:style>
  <w:style w:type="paragraph" w:customStyle="1" w:styleId="330">
    <w:name w:val="正文段"/>
    <w:basedOn w:val="1"/>
    <w:qFormat/>
    <w:uiPriority w:val="0"/>
    <w:pPr>
      <w:widowControl/>
      <w:snapToGrid w:val="0"/>
      <w:spacing w:afterLines="50"/>
      <w:ind w:firstLine="200" w:firstLineChars="200"/>
    </w:pPr>
    <w:rPr>
      <w:sz w:val="24"/>
      <w:szCs w:val="20"/>
    </w:rPr>
  </w:style>
  <w:style w:type="paragraph" w:customStyle="1" w:styleId="331">
    <w:name w:val="_Style 3"/>
    <w:basedOn w:val="1"/>
    <w:next w:val="1"/>
    <w:qFormat/>
    <w:uiPriority w:val="34"/>
    <w:pPr>
      <w:spacing w:line="360" w:lineRule="auto"/>
      <w:ind w:firstLine="420" w:firstLineChars="200"/>
    </w:pPr>
  </w:style>
  <w:style w:type="paragraph" w:customStyle="1" w:styleId="332">
    <w:name w:val="_Style 2"/>
    <w:basedOn w:val="1"/>
    <w:next w:val="1"/>
    <w:qFormat/>
    <w:uiPriority w:val="0"/>
    <w:pPr>
      <w:pBdr>
        <w:bottom w:val="single" w:color="auto" w:sz="6" w:space="1"/>
      </w:pBdr>
      <w:jc w:val="center"/>
    </w:pPr>
    <w:rPr>
      <w:rFonts w:ascii="Arial"/>
      <w:vanish/>
      <w:sz w:val="16"/>
    </w:rPr>
  </w:style>
  <w:style w:type="character" w:customStyle="1" w:styleId="333">
    <w:name w:val="font31"/>
    <w:basedOn w:val="55"/>
    <w:qFormat/>
    <w:uiPriority w:val="0"/>
    <w:rPr>
      <w:rFonts w:hint="eastAsia" w:ascii="宋体" w:hAnsi="宋体" w:eastAsia="宋体" w:cs="宋体"/>
      <w:color w:val="000000"/>
      <w:sz w:val="24"/>
      <w:szCs w:val="24"/>
      <w:u w:val="single"/>
    </w:rPr>
  </w:style>
  <w:style w:type="paragraph" w:customStyle="1" w:styleId="334">
    <w:name w:val="表格文字"/>
    <w:basedOn w:val="1"/>
    <w:next w:val="22"/>
    <w:qFormat/>
    <w:uiPriority w:val="0"/>
    <w:pPr>
      <w:adjustRightInd w:val="0"/>
      <w:spacing w:line="420" w:lineRule="atLeast"/>
      <w:jc w:val="left"/>
      <w:textAlignment w:val="baseline"/>
    </w:pPr>
    <w:rPr>
      <w:kern w:val="0"/>
    </w:rPr>
  </w:style>
  <w:style w:type="character" w:customStyle="1" w:styleId="335">
    <w:name w:val="font01"/>
    <w:basedOn w:val="55"/>
    <w:qFormat/>
    <w:uiPriority w:val="0"/>
    <w:rPr>
      <w:rFonts w:ascii="Arial" w:hAnsi="Arial" w:cs="Arial"/>
      <w:color w:val="000000"/>
      <w:sz w:val="18"/>
      <w:szCs w:val="18"/>
      <w:u w:val="none"/>
    </w:rPr>
  </w:style>
  <w:style w:type="paragraph" w:customStyle="1" w:styleId="336">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7">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38">
    <w:name w:val="font61"/>
    <w:basedOn w:val="55"/>
    <w:qFormat/>
    <w:uiPriority w:val="0"/>
    <w:rPr>
      <w:rFonts w:hint="eastAsia" w:ascii="宋体" w:hAnsi="宋体" w:eastAsia="宋体" w:cs="宋体"/>
      <w:color w:val="000000"/>
      <w:sz w:val="20"/>
      <w:szCs w:val="20"/>
      <w:u w:val="none"/>
    </w:rPr>
  </w:style>
  <w:style w:type="character" w:customStyle="1" w:styleId="339">
    <w:name w:val="font81"/>
    <w:basedOn w:val="55"/>
    <w:qFormat/>
    <w:uiPriority w:val="0"/>
    <w:rPr>
      <w:rFonts w:ascii="Calibri" w:hAnsi="Calibri" w:cs="Calibri"/>
      <w:color w:val="000000"/>
      <w:sz w:val="20"/>
      <w:szCs w:val="20"/>
      <w:u w:val="none"/>
    </w:rPr>
  </w:style>
  <w:style w:type="character" w:customStyle="1" w:styleId="340">
    <w:name w:val="font71"/>
    <w:basedOn w:val="55"/>
    <w:qFormat/>
    <w:uiPriority w:val="0"/>
    <w:rPr>
      <w:rFonts w:hint="eastAsia" w:ascii="宋体" w:hAnsi="宋体" w:eastAsia="宋体" w:cs="宋体"/>
      <w:color w:val="000000"/>
      <w:sz w:val="22"/>
      <w:szCs w:val="22"/>
      <w:u w:val="none"/>
    </w:rPr>
  </w:style>
  <w:style w:type="paragraph" w:customStyle="1" w:styleId="341">
    <w:name w:val="列表编号1"/>
    <w:basedOn w:val="15"/>
    <w:qFormat/>
    <w:uiPriority w:val="0"/>
    <w:pPr>
      <w:numPr>
        <w:ilvl w:val="0"/>
        <w:numId w:val="2"/>
      </w:numPr>
      <w:adjustRightInd w:val="0"/>
      <w:snapToGrid w:val="0"/>
      <w:contextualSpacing w:val="0"/>
      <w:jc w:val="center"/>
    </w:pPr>
    <w:rPr>
      <w:rFonts w:eastAsia="微软雅黑"/>
      <w:sz w:val="24"/>
    </w:rPr>
  </w:style>
  <w:style w:type="paragraph" w:customStyle="1" w:styleId="342">
    <w:name w:val="列表编号2"/>
    <w:basedOn w:val="14"/>
    <w:next w:val="14"/>
    <w:qFormat/>
    <w:uiPriority w:val="0"/>
    <w:pPr>
      <w:numPr>
        <w:ilvl w:val="1"/>
        <w:numId w:val="2"/>
      </w:numPr>
      <w:adjustRightInd w:val="0"/>
      <w:snapToGrid w:val="0"/>
      <w:contextualSpacing w:val="0"/>
      <w:jc w:val="center"/>
    </w:pPr>
    <w:rPr>
      <w:rFonts w:eastAsia="微软雅黑"/>
      <w:sz w:val="24"/>
    </w:rPr>
  </w:style>
  <w:style w:type="paragraph" w:customStyle="1" w:styleId="343">
    <w:name w:val="列表段落2"/>
    <w:basedOn w:val="1"/>
    <w:next w:val="14"/>
    <w:qFormat/>
    <w:uiPriority w:val="99"/>
    <w:pPr>
      <w:widowControl/>
      <w:numPr>
        <w:ilvl w:val="1"/>
        <w:numId w:val="3"/>
      </w:numPr>
      <w:jc w:val="center"/>
    </w:pPr>
    <w:rPr>
      <w:rFonts w:ascii="宋体" w:hAnsi="宋体" w:eastAsia="宋体" w:cs="宋体"/>
      <w:kern w:val="0"/>
      <w:sz w:val="24"/>
      <w:szCs w:val="24"/>
    </w:rPr>
  </w:style>
  <w:style w:type="paragraph" w:customStyle="1" w:styleId="344">
    <w:name w:val="样式 正文缩进 + 首行缩进:  2 字符"/>
    <w:basedOn w:val="2"/>
    <w:qFormat/>
    <w:uiPriority w:val="0"/>
    <w:pPr>
      <w:spacing w:line="360" w:lineRule="auto"/>
      <w:ind w:firstLine="200"/>
    </w:pPr>
    <w:rPr>
      <w:rFonts w:ascii="Times New Roman" w:hAnsi="Times New Roman" w:eastAsia="仿宋" w:cs="Times New Roman"/>
      <w:sz w:val="24"/>
      <w:szCs w:val="20"/>
    </w:rPr>
  </w:style>
  <w:style w:type="paragraph" w:customStyle="1" w:styleId="34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346">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52</Pages>
  <Words>24159</Words>
  <Characters>25448</Characters>
  <Lines>322</Lines>
  <Paragraphs>90</Paragraphs>
  <TotalTime>0</TotalTime>
  <ScaleCrop>false</ScaleCrop>
  <LinksUpToDate>false</LinksUpToDate>
  <CharactersWithSpaces>27743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2020-10-13T06:50:00Z</dcterms:created>
  <dc:creator>zyq</dc:creator>
  <cp:lastModifiedBy>巴西</cp:lastModifiedBy>
  <cp:lastPrinted>2022-12-12T03:38:00Z</cp:lastPrinted>
  <dcterms:modified xsi:type="dcterms:W3CDTF">2023-01-05T09:05:03Z</dcterms:modified>
  <dc:title>招标文件目录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BC1BA64C697642BF92F420CC9F67FF35</vt:lpwstr>
  </property>
</Properties>
</file>