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distribute"/>
        <w:rPr>
          <w:rFonts w:hint="eastAsia" w:ascii="宋体" w:hAnsi="宋体" w:eastAsia="宋体" w:cs="宋体"/>
          <w:b/>
          <w:bCs/>
          <w:color w:val="auto"/>
          <w:sz w:val="52"/>
          <w:szCs w:val="52"/>
          <w:highlight w:val="none"/>
          <w:lang w:eastAsia="zh-CN"/>
        </w:rPr>
      </w:pPr>
      <w:r>
        <w:rPr>
          <w:rFonts w:hint="eastAsia" w:ascii="宋体" w:hAnsi="宋体" w:cs="宋体"/>
          <w:color w:val="auto"/>
          <w:spacing w:val="20"/>
          <w:sz w:val="84"/>
          <w:highlight w:val="none"/>
          <w:lang w:eastAsia="zh-CN"/>
        </w:rPr>
        <w:t>温州市中医院</w:t>
      </w:r>
    </w:p>
    <w:p>
      <w:pPr>
        <w:jc w:val="center"/>
        <w:rPr>
          <w:rFonts w:hint="eastAsia" w:ascii="宋体" w:hAnsi="宋体" w:eastAsia="宋体" w:cs="宋体"/>
          <w:b/>
          <w:bCs/>
          <w:color w:val="auto"/>
          <w:spacing w:val="26"/>
          <w:sz w:val="52"/>
          <w:highlight w:val="none"/>
        </w:rPr>
      </w:pPr>
    </w:p>
    <w:p>
      <w:pPr>
        <w:ind w:firstLine="2357" w:firstLineChars="235"/>
        <w:rPr>
          <w:rFonts w:hint="eastAsia" w:ascii="宋体" w:hAnsi="宋体" w:eastAsia="宋体" w:cs="宋体"/>
          <w:b/>
          <w:bCs/>
          <w:color w:val="auto"/>
          <w:spacing w:val="140"/>
          <w:sz w:val="72"/>
          <w:highlight w:val="none"/>
        </w:rPr>
      </w:pPr>
    </w:p>
    <w:p>
      <w:pPr>
        <w:adjustRightInd w:val="0"/>
        <w:snapToGrid w:val="0"/>
        <w:spacing w:line="480" w:lineRule="auto"/>
        <w:ind w:right="361"/>
        <w:jc w:val="center"/>
        <w:rPr>
          <w:rFonts w:hint="eastAsia" w:ascii="宋体" w:hAnsi="宋体" w:eastAsia="宋体" w:cs="宋体"/>
          <w:b w:val="0"/>
          <w:bCs w:val="0"/>
          <w:color w:val="auto"/>
          <w:sz w:val="72"/>
          <w:szCs w:val="72"/>
          <w:highlight w:val="none"/>
        </w:rPr>
      </w:pPr>
      <w:r>
        <w:rPr>
          <w:rFonts w:hint="eastAsia" w:ascii="宋体" w:hAnsi="宋体" w:eastAsia="宋体" w:cs="宋体"/>
          <w:b w:val="0"/>
          <w:bCs w:val="0"/>
          <w:color w:val="auto"/>
          <w:sz w:val="72"/>
          <w:szCs w:val="72"/>
          <w:highlight w:val="none"/>
        </w:rPr>
        <w:t>招 标 文 件</w:t>
      </w:r>
    </w:p>
    <w:tbl>
      <w:tblPr>
        <w:tblStyle w:val="54"/>
        <w:tblW w:w="0" w:type="auto"/>
        <w:tblInd w:w="9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80"/>
        <w:gridCol w:w="5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0"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项 目 编 号</w:t>
            </w:r>
            <w:r>
              <w:rPr>
                <w:rFonts w:hint="eastAsia" w:ascii="宋体" w:hAnsi="宋体" w:eastAsia="宋体" w:cs="宋体"/>
                <w:b w:val="0"/>
                <w:bCs w:val="0"/>
                <w:color w:val="auto"/>
                <w:spacing w:val="40"/>
                <w:sz w:val="28"/>
                <w:highlight w:val="none"/>
              </w:rPr>
              <w:t>：</w:t>
            </w:r>
          </w:p>
        </w:tc>
        <w:tc>
          <w:tcPr>
            <w:tcW w:w="5730" w:type="dxa"/>
            <w:vAlign w:val="center"/>
          </w:tcPr>
          <w:p>
            <w:pPr>
              <w:spacing w:line="700" w:lineRule="exact"/>
              <w:jc w:val="center"/>
              <w:rPr>
                <w:rFonts w:hint="eastAsia" w:ascii="宋体" w:hAnsi="宋体" w:eastAsia="宋体" w:cs="宋体"/>
                <w:b w:val="0"/>
                <w:bCs w:val="0"/>
                <w:color w:val="auto"/>
                <w:sz w:val="24"/>
                <w:highlight w:val="none"/>
                <w:vertAlign w:val="baseline"/>
                <w:lang w:eastAsia="zh-CN"/>
              </w:rPr>
            </w:pPr>
            <w:r>
              <w:rPr>
                <w:rFonts w:hint="eastAsia" w:ascii="宋体" w:hAnsi="宋体" w:cs="宋体"/>
                <w:b w:val="0"/>
                <w:bCs w:val="0"/>
                <w:color w:val="auto"/>
                <w:sz w:val="30"/>
                <w:szCs w:val="30"/>
                <w:highlight w:val="none"/>
                <w:lang w:eastAsia="zh-CN"/>
              </w:rPr>
              <w:t>WZLCZB（W）-2023-01002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0"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项 目 名 称：</w:t>
            </w:r>
          </w:p>
        </w:tc>
        <w:tc>
          <w:tcPr>
            <w:tcW w:w="5730"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cs="宋体"/>
                <w:b w:val="0"/>
                <w:bCs w:val="0"/>
                <w:color w:val="auto"/>
                <w:sz w:val="30"/>
                <w:szCs w:val="30"/>
                <w:highlight w:val="none"/>
                <w:lang w:eastAsia="zh-CN"/>
              </w:rPr>
              <w:t>污水处理消毒粉采购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0"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采 购 方 式：</w:t>
            </w:r>
          </w:p>
        </w:tc>
        <w:tc>
          <w:tcPr>
            <w:tcW w:w="5730"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0"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评 审 方 式：</w:t>
            </w:r>
          </w:p>
        </w:tc>
        <w:tc>
          <w:tcPr>
            <w:tcW w:w="5730"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线上电子招投标</w:t>
            </w:r>
          </w:p>
        </w:tc>
      </w:tr>
    </w:tbl>
    <w:p>
      <w:pPr>
        <w:spacing w:line="700" w:lineRule="exact"/>
        <w:ind w:firstLine="723" w:firstLineChars="300"/>
        <w:jc w:val="left"/>
        <w:rPr>
          <w:rFonts w:hint="eastAsia" w:ascii="宋体" w:hAnsi="宋体" w:eastAsia="宋体" w:cs="宋体"/>
          <w:b/>
          <w:bCs/>
          <w:color w:val="auto"/>
          <w:sz w:val="24"/>
          <w:highlight w:val="none"/>
        </w:rPr>
      </w:pPr>
    </w:p>
    <w:p>
      <w:pPr>
        <w:spacing w:line="700" w:lineRule="exact"/>
        <w:ind w:firstLine="904" w:firstLineChars="300"/>
        <w:jc w:val="left"/>
        <w:rPr>
          <w:rFonts w:hint="eastAsia" w:ascii="宋体" w:hAnsi="宋体" w:eastAsia="宋体" w:cs="宋体"/>
          <w:b/>
          <w:color w:val="auto"/>
          <w:spacing w:val="40"/>
          <w:sz w:val="30"/>
          <w:szCs w:val="30"/>
          <w:highlight w:val="none"/>
        </w:rPr>
      </w:pPr>
      <w:r>
        <w:rPr>
          <w:rFonts w:hint="eastAsia" w:ascii="宋体" w:hAnsi="宋体" w:eastAsia="宋体" w:cs="宋体"/>
          <w:b/>
          <w:bCs/>
          <w:color w:val="auto"/>
          <w:sz w:val="30"/>
          <w:szCs w:val="30"/>
          <w:highlight w:val="none"/>
          <w:lang w:eastAsia="zh-CN"/>
        </w:rPr>
        <w:t xml:space="preserve">   </w:t>
      </w:r>
      <w:r>
        <w:rPr>
          <w:rFonts w:hint="eastAsia" w:ascii="宋体" w:hAnsi="宋体" w:eastAsia="宋体" w:cs="宋体"/>
          <w:b/>
          <w:bCs/>
          <w:color w:val="auto"/>
          <w:sz w:val="30"/>
          <w:szCs w:val="30"/>
          <w:highlight w:val="none"/>
        </w:rPr>
        <w:t xml:space="preserve">  </w:t>
      </w:r>
    </w:p>
    <w:p>
      <w:pPr>
        <w:spacing w:line="700" w:lineRule="exact"/>
        <w:ind w:left="3802" w:leftChars="540" w:hanging="2668" w:hangingChars="700"/>
        <w:rPr>
          <w:rFonts w:hint="eastAsia" w:ascii="宋体" w:hAnsi="宋体" w:eastAsia="宋体" w:cs="宋体"/>
          <w:b/>
          <w:color w:val="auto"/>
          <w:spacing w:val="40"/>
          <w:sz w:val="30"/>
          <w:szCs w:val="30"/>
          <w:highlight w:val="none"/>
        </w:rPr>
      </w:pPr>
    </w:p>
    <w:p>
      <w:pPr>
        <w:keepNext/>
        <w:spacing w:line="700" w:lineRule="exact"/>
        <w:rPr>
          <w:rFonts w:hint="eastAsia" w:ascii="宋体" w:hAnsi="宋体" w:eastAsia="宋体" w:cs="宋体"/>
          <w:b/>
          <w:color w:val="auto"/>
          <w:spacing w:val="40"/>
          <w:sz w:val="30"/>
          <w:szCs w:val="30"/>
          <w:highlight w:val="none"/>
        </w:rPr>
      </w:pPr>
      <w:r>
        <w:rPr>
          <w:rFonts w:hint="eastAsia" w:ascii="宋体" w:hAnsi="宋体" w:eastAsia="宋体" w:cs="宋体"/>
          <w:b/>
          <w:color w:val="auto"/>
          <w:spacing w:val="40"/>
          <w:sz w:val="30"/>
          <w:szCs w:val="30"/>
          <w:highlight w:val="none"/>
        </w:rPr>
        <w:t xml:space="preserve">    </w:t>
      </w:r>
    </w:p>
    <w:p>
      <w:pPr>
        <w:pStyle w:val="2"/>
        <w:rPr>
          <w:rFonts w:hint="eastAsia" w:ascii="宋体" w:hAnsi="宋体" w:eastAsia="宋体" w:cs="宋体"/>
          <w:b/>
          <w:color w:val="auto"/>
          <w:spacing w:val="40"/>
          <w:sz w:val="30"/>
          <w:szCs w:val="30"/>
          <w:highlight w:val="none"/>
        </w:rPr>
      </w:pPr>
    </w:p>
    <w:p>
      <w:pPr>
        <w:rPr>
          <w:rFonts w:hint="eastAsia" w:ascii="宋体" w:hAnsi="宋体" w:eastAsia="宋体" w:cs="宋体"/>
          <w:b/>
          <w:color w:val="auto"/>
          <w:spacing w:val="40"/>
          <w:sz w:val="30"/>
          <w:szCs w:val="30"/>
          <w:highlight w:val="none"/>
        </w:rPr>
      </w:pPr>
    </w:p>
    <w:p>
      <w:pPr>
        <w:pStyle w:val="2"/>
        <w:rPr>
          <w:rFonts w:hint="eastAsia"/>
          <w:color w:val="auto"/>
          <w:highlight w:val="none"/>
        </w:rPr>
      </w:pPr>
    </w:p>
    <w:p>
      <w:pPr>
        <w:spacing w:line="600" w:lineRule="exact"/>
        <w:jc w:val="center"/>
        <w:rPr>
          <w:rFonts w:hint="eastAsia" w:ascii="宋体" w:hAnsi="宋体" w:eastAsia="宋体" w:cs="宋体"/>
          <w:color w:val="auto"/>
          <w:spacing w:val="30"/>
          <w:sz w:val="30"/>
          <w:highlight w:val="none"/>
          <w:lang w:eastAsia="zh-CN"/>
        </w:rPr>
      </w:pPr>
      <w:r>
        <w:rPr>
          <w:rFonts w:hint="eastAsia" w:ascii="宋体" w:hAnsi="宋体" w:eastAsia="宋体" w:cs="宋体"/>
          <w:color w:val="auto"/>
          <w:spacing w:val="30"/>
          <w:sz w:val="30"/>
          <w:highlight w:val="none"/>
        </w:rPr>
        <w:t>招 标 人:</w:t>
      </w:r>
      <w:r>
        <w:rPr>
          <w:rFonts w:hint="eastAsia" w:ascii="宋体" w:hAnsi="宋体" w:cs="宋体"/>
          <w:color w:val="auto"/>
          <w:spacing w:val="30"/>
          <w:sz w:val="30"/>
          <w:highlight w:val="none"/>
          <w:lang w:eastAsia="zh-CN"/>
        </w:rPr>
        <w:t>温州市中医院</w:t>
      </w:r>
    </w:p>
    <w:p>
      <w:pPr>
        <w:spacing w:line="600" w:lineRule="exact"/>
        <w:jc w:val="center"/>
        <w:rPr>
          <w:rFonts w:hint="eastAsia" w:ascii="宋体" w:hAnsi="宋体" w:eastAsia="宋体" w:cs="宋体"/>
          <w:color w:val="auto"/>
          <w:spacing w:val="30"/>
          <w:sz w:val="30"/>
          <w:highlight w:val="none"/>
        </w:rPr>
      </w:pPr>
      <w:r>
        <w:rPr>
          <w:rFonts w:hint="eastAsia" w:ascii="宋体" w:hAnsi="宋体" w:eastAsia="宋体" w:cs="宋体"/>
          <w:color w:val="auto"/>
          <w:spacing w:val="30"/>
          <w:sz w:val="30"/>
          <w:highlight w:val="none"/>
        </w:rPr>
        <w:t>招标代理机构：温州历程招标有限公司</w:t>
      </w:r>
    </w:p>
    <w:p>
      <w:pPr>
        <w:spacing w:line="600" w:lineRule="exact"/>
        <w:jc w:val="center"/>
        <w:rPr>
          <w:rFonts w:hint="eastAsia" w:ascii="宋体" w:hAnsi="宋体" w:eastAsia="宋体" w:cs="宋体"/>
          <w:color w:val="auto"/>
          <w:spacing w:val="30"/>
          <w:sz w:val="30"/>
          <w:highlight w:val="none"/>
        </w:rPr>
      </w:pPr>
      <w:r>
        <w:rPr>
          <w:rFonts w:hint="eastAsia" w:ascii="宋体" w:hAnsi="宋体" w:eastAsia="宋体" w:cs="宋体"/>
          <w:color w:val="auto"/>
          <w:spacing w:val="30"/>
          <w:sz w:val="30"/>
          <w:highlight w:val="none"/>
        </w:rPr>
        <w:t>二0二</w:t>
      </w:r>
      <w:r>
        <w:rPr>
          <w:rFonts w:hint="eastAsia" w:ascii="宋体" w:hAnsi="宋体" w:cs="宋体"/>
          <w:color w:val="auto"/>
          <w:spacing w:val="30"/>
          <w:sz w:val="30"/>
          <w:highlight w:val="none"/>
          <w:lang w:val="en-US" w:eastAsia="zh-CN"/>
        </w:rPr>
        <w:t>三</w:t>
      </w:r>
      <w:r>
        <w:rPr>
          <w:rFonts w:hint="eastAsia" w:ascii="宋体" w:hAnsi="宋体" w:eastAsia="宋体" w:cs="宋体"/>
          <w:color w:val="auto"/>
          <w:spacing w:val="30"/>
          <w:sz w:val="30"/>
          <w:highlight w:val="none"/>
        </w:rPr>
        <w:t>年</w:t>
      </w:r>
    </w:p>
    <w:p>
      <w:pPr>
        <w:rPr>
          <w:rFonts w:hint="eastAsia"/>
          <w:color w:val="auto"/>
          <w:highlight w:val="none"/>
        </w:rPr>
      </w:pPr>
      <w:r>
        <w:rPr>
          <w:rFonts w:hint="eastAsia" w:ascii="宋体" w:hAnsi="宋体" w:eastAsia="宋体" w:cs="宋体"/>
          <w:b/>
          <w:color w:val="auto"/>
          <w:sz w:val="36"/>
          <w:szCs w:val="36"/>
          <w:highlight w:val="none"/>
        </w:rPr>
        <w:br w:type="page"/>
      </w:r>
    </w:p>
    <w:sdt>
      <w:sdtPr>
        <w:rPr>
          <w:rFonts w:hint="eastAsia" w:ascii="宋体" w:hAnsi="宋体" w:eastAsia="宋体" w:cs="宋体"/>
          <w:color w:val="auto"/>
          <w:kern w:val="2"/>
          <w:sz w:val="21"/>
          <w:szCs w:val="24"/>
          <w:highlight w:val="none"/>
          <w:lang w:val="en-US" w:eastAsia="zh-CN" w:bidi="ar-SA"/>
        </w:rPr>
        <w:id w:val="147459729"/>
        <w15:color w:val="DBDBDB"/>
        <w:docPartObj>
          <w:docPartGallery w:val="Table of Contents"/>
          <w:docPartUnique/>
        </w:docPartObj>
      </w:sdtPr>
      <w:sdtEndPr>
        <w:rPr>
          <w:rFonts w:hint="eastAsia" w:ascii="宋体" w:hAnsi="宋体" w:eastAsia="宋体" w:cs="宋体"/>
          <w:color w:val="auto"/>
          <w:kern w:val="2"/>
          <w:sz w:val="21"/>
          <w:szCs w:val="36"/>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color w:val="auto"/>
              <w:highlight w:val="none"/>
            </w:rPr>
          </w:pPr>
        </w:p>
        <w:p>
          <w:pPr>
            <w:pStyle w:val="39"/>
            <w:tabs>
              <w:tab w:val="right" w:leader="dot" w:pos="9638"/>
            </w:tabs>
            <w:spacing w:line="360" w:lineRule="auto"/>
            <w:jc w:val="center"/>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目  录</w:t>
          </w:r>
        </w:p>
        <w:p>
          <w:pPr>
            <w:pStyle w:val="39"/>
            <w:tabs>
              <w:tab w:val="right" w:leader="dot" w:pos="9638"/>
            </w:tabs>
            <w:spacing w:line="360" w:lineRule="auto"/>
            <w:rPr>
              <w:color w:val="auto"/>
              <w:sz w:val="22"/>
              <w:szCs w:val="28"/>
              <w:highlight w:val="none"/>
            </w:rPr>
          </w:pPr>
          <w:r>
            <w:rPr>
              <w:rFonts w:hint="eastAsia" w:ascii="宋体" w:hAnsi="宋体" w:eastAsia="宋体" w:cs="宋体"/>
              <w:b/>
              <w:color w:val="auto"/>
              <w:sz w:val="40"/>
              <w:szCs w:val="40"/>
              <w:highlight w:val="none"/>
            </w:rPr>
            <w:fldChar w:fldCharType="begin"/>
          </w:r>
          <w:r>
            <w:rPr>
              <w:rFonts w:hint="eastAsia" w:ascii="宋体" w:hAnsi="宋体" w:eastAsia="宋体" w:cs="宋体"/>
              <w:b/>
              <w:color w:val="auto"/>
              <w:sz w:val="40"/>
              <w:szCs w:val="40"/>
              <w:highlight w:val="none"/>
            </w:rPr>
            <w:instrText xml:space="preserve">TOC \o "1-3" \h \u </w:instrText>
          </w:r>
          <w:r>
            <w:rPr>
              <w:rFonts w:hint="eastAsia" w:ascii="宋体" w:hAnsi="宋体" w:eastAsia="宋体" w:cs="宋体"/>
              <w:b/>
              <w:color w:val="auto"/>
              <w:sz w:val="40"/>
              <w:szCs w:val="40"/>
              <w:highlight w:val="none"/>
            </w:rPr>
            <w:fldChar w:fldCharType="separate"/>
          </w: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_Toc6599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招</w:t>
          </w:r>
          <w:r>
            <w:rPr>
              <w:rFonts w:hint="eastAsia" w:ascii="宋体" w:hAnsi="宋体" w:eastAsia="宋体" w:cs="宋体"/>
              <w:color w:val="auto"/>
              <w:sz w:val="22"/>
              <w:szCs w:val="28"/>
              <w:highlight w:val="none"/>
              <w:lang w:val="en-US" w:eastAsia="zh-CN"/>
            </w:rPr>
            <w:t xml:space="preserve"> </w:t>
          </w:r>
          <w:r>
            <w:rPr>
              <w:rFonts w:hint="eastAsia" w:ascii="宋体" w:hAnsi="宋体" w:eastAsia="宋体" w:cs="宋体"/>
              <w:color w:val="auto"/>
              <w:sz w:val="22"/>
              <w:szCs w:val="28"/>
              <w:highlight w:val="none"/>
            </w:rPr>
            <w:t>标</w:t>
          </w:r>
          <w:r>
            <w:rPr>
              <w:rFonts w:hint="eastAsia" w:ascii="宋体" w:hAnsi="宋体" w:eastAsia="宋体" w:cs="宋体"/>
              <w:color w:val="auto"/>
              <w:sz w:val="22"/>
              <w:szCs w:val="28"/>
              <w:highlight w:val="none"/>
              <w:lang w:val="en-US" w:eastAsia="zh-CN"/>
            </w:rPr>
            <w:t xml:space="preserve"> </w:t>
          </w:r>
          <w:r>
            <w:rPr>
              <w:rFonts w:hint="eastAsia" w:ascii="宋体" w:hAnsi="宋体" w:eastAsia="宋体" w:cs="宋体"/>
              <w:color w:val="auto"/>
              <w:sz w:val="22"/>
              <w:szCs w:val="28"/>
              <w:highlight w:val="none"/>
            </w:rPr>
            <w:t>公</w:t>
          </w:r>
          <w:r>
            <w:rPr>
              <w:rFonts w:hint="eastAsia" w:ascii="宋体" w:hAnsi="宋体" w:eastAsia="宋体" w:cs="宋体"/>
              <w:color w:val="auto"/>
              <w:sz w:val="22"/>
              <w:szCs w:val="28"/>
              <w:highlight w:val="none"/>
              <w:lang w:val="en-US" w:eastAsia="zh-CN"/>
            </w:rPr>
            <w:t xml:space="preserve"> </w:t>
          </w:r>
          <w:r>
            <w:rPr>
              <w:rFonts w:hint="eastAsia" w:ascii="宋体" w:hAnsi="宋体" w:eastAsia="宋体" w:cs="宋体"/>
              <w:color w:val="auto"/>
              <w:sz w:val="22"/>
              <w:szCs w:val="28"/>
              <w:highlight w:val="none"/>
            </w:rPr>
            <w:t>告</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_Toc6599 \h </w:instrText>
          </w:r>
          <w:r>
            <w:rPr>
              <w:color w:val="auto"/>
              <w:sz w:val="22"/>
              <w:szCs w:val="28"/>
              <w:highlight w:val="none"/>
            </w:rPr>
            <w:fldChar w:fldCharType="separate"/>
          </w:r>
          <w:r>
            <w:rPr>
              <w:color w:val="auto"/>
              <w:sz w:val="22"/>
              <w:szCs w:val="28"/>
              <w:highlight w:val="none"/>
            </w:rPr>
            <w:t>3</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39"/>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_Toc10401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第一部分  投标人须知</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_Toc10401 \h </w:instrText>
          </w:r>
          <w:r>
            <w:rPr>
              <w:color w:val="auto"/>
              <w:sz w:val="22"/>
              <w:szCs w:val="28"/>
              <w:highlight w:val="none"/>
            </w:rPr>
            <w:fldChar w:fldCharType="separate"/>
          </w:r>
          <w:r>
            <w:rPr>
              <w:color w:val="auto"/>
              <w:sz w:val="22"/>
              <w:szCs w:val="28"/>
              <w:highlight w:val="none"/>
            </w:rPr>
            <w:t>6</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_Toc6224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8"/>
              <w:highlight w:val="none"/>
            </w:rPr>
            <w:t>前 附 表</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_Toc6224 \h </w:instrText>
          </w:r>
          <w:r>
            <w:rPr>
              <w:color w:val="auto"/>
              <w:sz w:val="22"/>
              <w:szCs w:val="28"/>
              <w:highlight w:val="none"/>
            </w:rPr>
            <w:fldChar w:fldCharType="separate"/>
          </w:r>
          <w:r>
            <w:rPr>
              <w:color w:val="auto"/>
              <w:sz w:val="22"/>
              <w:szCs w:val="28"/>
              <w:highlight w:val="none"/>
            </w:rPr>
            <w:t>6</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_Toc19070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8"/>
              <w:highlight w:val="none"/>
            </w:rPr>
            <w:t>一、 说   明</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_Toc19070 \h </w:instrText>
          </w:r>
          <w:r>
            <w:rPr>
              <w:color w:val="auto"/>
              <w:sz w:val="22"/>
              <w:szCs w:val="28"/>
              <w:highlight w:val="none"/>
            </w:rPr>
            <w:fldChar w:fldCharType="separate"/>
          </w:r>
          <w:r>
            <w:rPr>
              <w:color w:val="auto"/>
              <w:sz w:val="22"/>
              <w:szCs w:val="28"/>
              <w:highlight w:val="none"/>
            </w:rPr>
            <w:t>10</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_Toc28278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8"/>
              <w:highlight w:val="none"/>
            </w:rPr>
            <w:t>二、 招标文件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_Toc28278 \h </w:instrText>
          </w:r>
          <w:r>
            <w:rPr>
              <w:color w:val="auto"/>
              <w:sz w:val="22"/>
              <w:szCs w:val="28"/>
              <w:highlight w:val="none"/>
            </w:rPr>
            <w:fldChar w:fldCharType="separate"/>
          </w:r>
          <w:r>
            <w:rPr>
              <w:color w:val="auto"/>
              <w:sz w:val="22"/>
              <w:szCs w:val="28"/>
              <w:highlight w:val="none"/>
            </w:rPr>
            <w:t>10</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_Toc22646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8"/>
              <w:highlight w:val="none"/>
            </w:rPr>
            <w:t>三、 投标文件的编制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_Toc22646 \h </w:instrText>
          </w:r>
          <w:r>
            <w:rPr>
              <w:color w:val="auto"/>
              <w:sz w:val="22"/>
              <w:szCs w:val="28"/>
              <w:highlight w:val="none"/>
            </w:rPr>
            <w:fldChar w:fldCharType="separate"/>
          </w:r>
          <w:r>
            <w:rPr>
              <w:color w:val="auto"/>
              <w:sz w:val="22"/>
              <w:szCs w:val="28"/>
              <w:highlight w:val="none"/>
            </w:rPr>
            <w:t>11</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_Toc18542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4"/>
              <w:highlight w:val="none"/>
            </w:rPr>
            <w:t>四、 投标文件的递交</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_Toc18542 \h </w:instrText>
          </w:r>
          <w:r>
            <w:rPr>
              <w:color w:val="auto"/>
              <w:sz w:val="22"/>
              <w:szCs w:val="28"/>
              <w:highlight w:val="none"/>
            </w:rPr>
            <w:fldChar w:fldCharType="separate"/>
          </w:r>
          <w:r>
            <w:rPr>
              <w:color w:val="auto"/>
              <w:sz w:val="22"/>
              <w:szCs w:val="28"/>
              <w:highlight w:val="none"/>
            </w:rPr>
            <w:t>14</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_Toc8079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4"/>
              <w:highlight w:val="none"/>
            </w:rPr>
            <w:t>五、 开标和评标</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_Toc8079 \h </w:instrText>
          </w:r>
          <w:r>
            <w:rPr>
              <w:color w:val="auto"/>
              <w:sz w:val="22"/>
              <w:szCs w:val="28"/>
              <w:highlight w:val="none"/>
            </w:rPr>
            <w:fldChar w:fldCharType="separate"/>
          </w:r>
          <w:r>
            <w:rPr>
              <w:color w:val="auto"/>
              <w:sz w:val="22"/>
              <w:szCs w:val="28"/>
              <w:highlight w:val="none"/>
            </w:rPr>
            <w:t>15</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_Toc21056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8"/>
              <w:highlight w:val="none"/>
            </w:rPr>
            <w:t>六、 授予合同</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_Toc21056 \h </w:instrText>
          </w:r>
          <w:r>
            <w:rPr>
              <w:color w:val="auto"/>
              <w:sz w:val="22"/>
              <w:szCs w:val="28"/>
              <w:highlight w:val="none"/>
            </w:rPr>
            <w:fldChar w:fldCharType="separate"/>
          </w:r>
          <w:r>
            <w:rPr>
              <w:color w:val="auto"/>
              <w:sz w:val="22"/>
              <w:szCs w:val="28"/>
              <w:highlight w:val="none"/>
            </w:rPr>
            <w:t>19</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39"/>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_Toc19043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第二部分  合同主要条款</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_Toc19043 \h </w:instrText>
          </w:r>
          <w:r>
            <w:rPr>
              <w:color w:val="auto"/>
              <w:sz w:val="22"/>
              <w:szCs w:val="28"/>
              <w:highlight w:val="none"/>
            </w:rPr>
            <w:fldChar w:fldCharType="separate"/>
          </w:r>
          <w:r>
            <w:rPr>
              <w:color w:val="auto"/>
              <w:sz w:val="22"/>
              <w:szCs w:val="28"/>
              <w:highlight w:val="none"/>
            </w:rPr>
            <w:t>20</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39"/>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_Toc18439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第三部分  附件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_Toc18439 \h </w:instrText>
          </w:r>
          <w:r>
            <w:rPr>
              <w:color w:val="auto"/>
              <w:sz w:val="22"/>
              <w:szCs w:val="28"/>
              <w:highlight w:val="none"/>
            </w:rPr>
            <w:fldChar w:fldCharType="separate"/>
          </w:r>
          <w:r>
            <w:rPr>
              <w:color w:val="auto"/>
              <w:sz w:val="22"/>
              <w:szCs w:val="28"/>
              <w:highlight w:val="none"/>
            </w:rPr>
            <w:t>26</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_Toc6368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附件一</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_Toc6368 \h </w:instrText>
          </w:r>
          <w:r>
            <w:rPr>
              <w:color w:val="auto"/>
              <w:sz w:val="22"/>
              <w:szCs w:val="28"/>
              <w:highlight w:val="none"/>
            </w:rPr>
            <w:fldChar w:fldCharType="separate"/>
          </w:r>
          <w:r>
            <w:rPr>
              <w:color w:val="auto"/>
              <w:sz w:val="22"/>
              <w:szCs w:val="28"/>
              <w:highlight w:val="none"/>
            </w:rPr>
            <w:t>26</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29"/>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_Toc5430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32"/>
              <w:highlight w:val="none"/>
            </w:rPr>
            <w:t>报价文件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_Toc5430 \h </w:instrText>
          </w:r>
          <w:r>
            <w:rPr>
              <w:color w:val="auto"/>
              <w:sz w:val="22"/>
              <w:szCs w:val="28"/>
              <w:highlight w:val="none"/>
            </w:rPr>
            <w:fldChar w:fldCharType="separate"/>
          </w:r>
          <w:r>
            <w:rPr>
              <w:color w:val="auto"/>
              <w:sz w:val="22"/>
              <w:szCs w:val="28"/>
              <w:highlight w:val="none"/>
            </w:rPr>
            <w:t>26</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_Toc12035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附件二</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_Toc12035 \h </w:instrText>
          </w:r>
          <w:r>
            <w:rPr>
              <w:color w:val="auto"/>
              <w:sz w:val="22"/>
              <w:szCs w:val="28"/>
              <w:highlight w:val="none"/>
            </w:rPr>
            <w:fldChar w:fldCharType="separate"/>
          </w:r>
          <w:r>
            <w:rPr>
              <w:color w:val="auto"/>
              <w:sz w:val="22"/>
              <w:szCs w:val="28"/>
              <w:highlight w:val="none"/>
            </w:rPr>
            <w:t>34</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29"/>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_Toc25309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32"/>
              <w:highlight w:val="none"/>
            </w:rPr>
            <w:t>资格证明文件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_Toc25309 \h </w:instrText>
          </w:r>
          <w:r>
            <w:rPr>
              <w:color w:val="auto"/>
              <w:sz w:val="22"/>
              <w:szCs w:val="28"/>
              <w:highlight w:val="none"/>
            </w:rPr>
            <w:fldChar w:fldCharType="separate"/>
          </w:r>
          <w:r>
            <w:rPr>
              <w:color w:val="auto"/>
              <w:sz w:val="22"/>
              <w:szCs w:val="28"/>
              <w:highlight w:val="none"/>
            </w:rPr>
            <w:t>34</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_Toc31356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4"/>
              <w:highlight w:val="none"/>
            </w:rPr>
            <w:t>附件三</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_Toc31356 \h </w:instrText>
          </w:r>
          <w:r>
            <w:rPr>
              <w:color w:val="auto"/>
              <w:sz w:val="22"/>
              <w:szCs w:val="28"/>
              <w:highlight w:val="none"/>
            </w:rPr>
            <w:fldChar w:fldCharType="separate"/>
          </w:r>
          <w:r>
            <w:rPr>
              <w:color w:val="auto"/>
              <w:sz w:val="22"/>
              <w:szCs w:val="28"/>
              <w:highlight w:val="none"/>
            </w:rPr>
            <w:t>38</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29"/>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_Toc13639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32"/>
              <w:highlight w:val="none"/>
              <w:lang w:val="zh-CN"/>
            </w:rPr>
            <w:t>商务技术文件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_Toc13639 \h </w:instrText>
          </w:r>
          <w:r>
            <w:rPr>
              <w:color w:val="auto"/>
              <w:sz w:val="22"/>
              <w:szCs w:val="28"/>
              <w:highlight w:val="none"/>
            </w:rPr>
            <w:fldChar w:fldCharType="separate"/>
          </w:r>
          <w:r>
            <w:rPr>
              <w:color w:val="auto"/>
              <w:sz w:val="22"/>
              <w:szCs w:val="28"/>
              <w:highlight w:val="none"/>
            </w:rPr>
            <w:t>38</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39"/>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_Toc3381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第四部分 项目技术规范和服务要求</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_Toc3381 \h </w:instrText>
          </w:r>
          <w:r>
            <w:rPr>
              <w:color w:val="auto"/>
              <w:sz w:val="22"/>
              <w:szCs w:val="28"/>
              <w:highlight w:val="none"/>
            </w:rPr>
            <w:fldChar w:fldCharType="separate"/>
          </w:r>
          <w:r>
            <w:rPr>
              <w:color w:val="auto"/>
              <w:sz w:val="22"/>
              <w:szCs w:val="28"/>
              <w:highlight w:val="none"/>
            </w:rPr>
            <w:t>50</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39"/>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_Toc18194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第五部分 评标原则及方法</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_Toc18194 \h </w:instrText>
          </w:r>
          <w:r>
            <w:rPr>
              <w:color w:val="auto"/>
              <w:sz w:val="22"/>
              <w:szCs w:val="28"/>
              <w:highlight w:val="none"/>
            </w:rPr>
            <w:fldChar w:fldCharType="separate"/>
          </w:r>
          <w:r>
            <w:rPr>
              <w:color w:val="auto"/>
              <w:sz w:val="22"/>
              <w:szCs w:val="28"/>
              <w:highlight w:val="none"/>
            </w:rPr>
            <w:t>50</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_Toc15713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一、总 则</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_Toc15713 \h </w:instrText>
          </w:r>
          <w:r>
            <w:rPr>
              <w:color w:val="auto"/>
              <w:sz w:val="22"/>
              <w:szCs w:val="28"/>
              <w:highlight w:val="none"/>
            </w:rPr>
            <w:fldChar w:fldCharType="separate"/>
          </w:r>
          <w:r>
            <w:rPr>
              <w:color w:val="auto"/>
              <w:sz w:val="22"/>
              <w:szCs w:val="28"/>
              <w:highlight w:val="none"/>
            </w:rPr>
            <w:t>53</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_Toc23152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二、评标组织</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_Toc23152 \h </w:instrText>
          </w:r>
          <w:r>
            <w:rPr>
              <w:color w:val="auto"/>
              <w:sz w:val="22"/>
              <w:szCs w:val="28"/>
              <w:highlight w:val="none"/>
            </w:rPr>
            <w:fldChar w:fldCharType="separate"/>
          </w:r>
          <w:r>
            <w:rPr>
              <w:color w:val="auto"/>
              <w:sz w:val="22"/>
              <w:szCs w:val="28"/>
              <w:highlight w:val="none"/>
            </w:rPr>
            <w:t>53</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_Toc67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三、评标程序</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_Toc67 \h </w:instrText>
          </w:r>
          <w:r>
            <w:rPr>
              <w:color w:val="auto"/>
              <w:sz w:val="22"/>
              <w:szCs w:val="28"/>
              <w:highlight w:val="none"/>
            </w:rPr>
            <w:fldChar w:fldCharType="separate"/>
          </w:r>
          <w:r>
            <w:rPr>
              <w:color w:val="auto"/>
              <w:sz w:val="22"/>
              <w:szCs w:val="28"/>
              <w:highlight w:val="none"/>
            </w:rPr>
            <w:t>53</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_Toc24825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四、评标办法</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_Toc24825 \h </w:instrText>
          </w:r>
          <w:r>
            <w:rPr>
              <w:color w:val="auto"/>
              <w:sz w:val="22"/>
              <w:szCs w:val="28"/>
              <w:highlight w:val="none"/>
            </w:rPr>
            <w:fldChar w:fldCharType="separate"/>
          </w:r>
          <w:r>
            <w:rPr>
              <w:color w:val="auto"/>
              <w:sz w:val="22"/>
              <w:szCs w:val="28"/>
              <w:highlight w:val="none"/>
            </w:rPr>
            <w:t>53</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_Toc11450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五、评分细则</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_Toc11450 \h </w:instrText>
          </w:r>
          <w:r>
            <w:rPr>
              <w:color w:val="auto"/>
              <w:sz w:val="22"/>
              <w:szCs w:val="28"/>
              <w:highlight w:val="none"/>
            </w:rPr>
            <w:fldChar w:fldCharType="separate"/>
          </w:r>
          <w:r>
            <w:rPr>
              <w:color w:val="auto"/>
              <w:sz w:val="22"/>
              <w:szCs w:val="28"/>
              <w:highlight w:val="none"/>
            </w:rPr>
            <w:t>53</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_Toc4727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4"/>
              <w:highlight w:val="none"/>
            </w:rPr>
            <w:t>六、定标办法</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_Toc4727 \h </w:instrText>
          </w:r>
          <w:r>
            <w:rPr>
              <w:color w:val="auto"/>
              <w:sz w:val="22"/>
              <w:szCs w:val="28"/>
              <w:highlight w:val="none"/>
            </w:rPr>
            <w:fldChar w:fldCharType="separate"/>
          </w:r>
          <w:r>
            <w:rPr>
              <w:color w:val="auto"/>
              <w:sz w:val="22"/>
              <w:szCs w:val="28"/>
              <w:highlight w:val="none"/>
            </w:rPr>
            <w:t>55</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_Toc3629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七、投标人义务</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_Toc3629 \h </w:instrText>
          </w:r>
          <w:r>
            <w:rPr>
              <w:color w:val="auto"/>
              <w:sz w:val="22"/>
              <w:szCs w:val="28"/>
              <w:highlight w:val="none"/>
            </w:rPr>
            <w:fldChar w:fldCharType="separate"/>
          </w:r>
          <w:r>
            <w:rPr>
              <w:color w:val="auto"/>
              <w:sz w:val="22"/>
              <w:szCs w:val="28"/>
              <w:highlight w:val="none"/>
            </w:rPr>
            <w:t>55</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spacing w:line="360" w:lineRule="auto"/>
            <w:ind w:firstLine="1870" w:firstLineChars="850"/>
            <w:rPr>
              <w:rFonts w:hint="eastAsia" w:ascii="宋体" w:hAnsi="宋体" w:eastAsia="宋体" w:cs="宋体"/>
              <w:b/>
              <w:color w:val="auto"/>
              <w:sz w:val="36"/>
              <w:szCs w:val="36"/>
              <w:highlight w:val="none"/>
            </w:rPr>
          </w:pPr>
          <w:r>
            <w:rPr>
              <w:rFonts w:hint="eastAsia" w:ascii="宋体" w:hAnsi="宋体" w:eastAsia="宋体" w:cs="宋体"/>
              <w:color w:val="auto"/>
              <w:sz w:val="22"/>
              <w:szCs w:val="40"/>
              <w:highlight w:val="none"/>
            </w:rPr>
            <w:fldChar w:fldCharType="end"/>
          </w:r>
        </w:p>
      </w:sdtContent>
    </w:sdt>
    <w:p>
      <w:pPr>
        <w:spacing w:line="360" w:lineRule="auto"/>
        <w:jc w:val="center"/>
        <w:rPr>
          <w:rFonts w:hint="eastAsia" w:ascii="宋体" w:hAnsi="宋体" w:eastAsia="宋体" w:cs="宋体"/>
          <w:b/>
          <w:color w:val="auto"/>
          <w:sz w:val="22"/>
          <w:szCs w:val="22"/>
          <w:highlight w:val="none"/>
        </w:rPr>
      </w:pPr>
    </w:p>
    <w:p>
      <w:pPr>
        <w:pStyle w:val="4"/>
        <w:bidi w:val="0"/>
        <w:rPr>
          <w:rFonts w:hint="eastAsia" w:ascii="宋体" w:hAnsi="宋体" w:eastAsia="宋体" w:cs="宋体"/>
          <w:b/>
          <w:color w:val="auto"/>
          <w:highlight w:val="none"/>
        </w:rPr>
      </w:pPr>
      <w:bookmarkStart w:id="0" w:name="_Toc32649"/>
      <w:bookmarkStart w:id="1" w:name="_Toc6599"/>
      <w:r>
        <w:rPr>
          <w:rFonts w:hint="eastAsia" w:ascii="宋体" w:hAnsi="宋体" w:eastAsia="宋体" w:cs="宋体"/>
          <w:color w:val="auto"/>
          <w:highlight w:val="none"/>
        </w:rPr>
        <w:t>招</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标</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公</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告</w:t>
      </w:r>
      <w:bookmarkEnd w:id="0"/>
      <w:bookmarkEnd w:id="1"/>
    </w:p>
    <w:p>
      <w:pPr>
        <w:tabs>
          <w:tab w:val="left" w:pos="360"/>
        </w:tabs>
        <w:spacing w:line="460" w:lineRule="exact"/>
        <w:ind w:firstLine="552" w:firstLineChars="250"/>
        <w:rPr>
          <w:rFonts w:hint="eastAsia" w:ascii="宋体" w:hAnsi="宋体" w:eastAsia="宋体" w:cs="宋体"/>
          <w:b/>
          <w:bCs/>
          <w:color w:val="auto"/>
          <w:sz w:val="22"/>
          <w:highlight w:val="none"/>
        </w:rPr>
      </w:pPr>
      <w:r>
        <w:rPr>
          <w:b/>
          <w:bCs/>
          <w:color w:val="auto"/>
          <w:sz w:val="22"/>
          <w:highlight w:val="none"/>
        </w:rPr>
        <mc:AlternateContent>
          <mc:Choice Requires="wps">
            <w:drawing>
              <wp:anchor distT="0" distB="0" distL="114300" distR="114300" simplePos="0" relativeHeight="251659264" behindDoc="1" locked="0" layoutInCell="1" allowOverlap="1">
                <wp:simplePos x="0" y="0"/>
                <wp:positionH relativeFrom="column">
                  <wp:posOffset>-196850</wp:posOffset>
                </wp:positionH>
                <wp:positionV relativeFrom="paragraph">
                  <wp:posOffset>3810</wp:posOffset>
                </wp:positionV>
                <wp:extent cx="6499225" cy="953135"/>
                <wp:effectExtent l="6350" t="6350" r="9525" b="12065"/>
                <wp:wrapNone/>
                <wp:docPr id="1" name="矩形 1"/>
                <wp:cNvGraphicFramePr/>
                <a:graphic xmlns:a="http://schemas.openxmlformats.org/drawingml/2006/main">
                  <a:graphicData uri="http://schemas.microsoft.com/office/word/2010/wordprocessingShape">
                    <wps:wsp>
                      <wps:cNvSpPr/>
                      <wps:spPr>
                        <a:xfrm>
                          <a:off x="0" y="0"/>
                          <a:ext cx="6499225" cy="953135"/>
                        </a:xfrm>
                        <a:prstGeom prst="rect">
                          <a:avLst/>
                        </a:prstGeom>
                        <a:noFill/>
                        <a:ln w="12700" cap="flat" cmpd="sng">
                          <a:solidFill>
                            <a:srgbClr val="000000"/>
                          </a:solidFill>
                          <a:prstDash val="solid"/>
                          <a:round/>
                          <a:headEnd type="none" w="med" len="med"/>
                          <a:tailEnd type="none" w="med" len="med"/>
                        </a:ln>
                      </wps:spPr>
                      <wps:txbx>
                        <w:txbxContent>
                          <w:p>
                            <w:pPr>
                              <w:jc w:val="both"/>
                            </w:pPr>
                          </w:p>
                        </w:txbxContent>
                      </wps:txbx>
                      <wps:bodyPr anchor="ctr" anchorCtr="0" upright="1"/>
                    </wps:wsp>
                  </a:graphicData>
                </a:graphic>
              </wp:anchor>
            </w:drawing>
          </mc:Choice>
          <mc:Fallback>
            <w:pict>
              <v:rect id="_x0000_s1026" o:spid="_x0000_s1026" o:spt="1" style="position:absolute;left:0pt;margin-left:-15.5pt;margin-top:0.3pt;height:75.05pt;width:511.75pt;z-index:-251657216;v-text-anchor:middle;mso-width-relative:page;mso-height-relative:page;" filled="f" stroked="t" coordsize="21600,21600" o:gfxdata="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uukNgAAAAIAQAADwAAAAAAAAABACAAAAAi&#10;AAAAZHJzL2Rvd25yZXYueG1sUEsBAhQAFAAAAAgAh07iQN3uu1cKAgAAHAQAAA4AAAAAAAAAAQAg&#10;AAAAJwEAAGRycy9lMm9Eb2MueG1sUEsFBgAAAAAGAAYAWQEAAKMFAAAAAA==&#10;">
                <v:fill on="f" focussize="0,0"/>
                <v:stroke weight="1pt" color="#000000" joinstyle="round"/>
                <v:imagedata o:title=""/>
                <o:lock v:ext="edit" aspectratio="f"/>
                <v:textbox>
                  <w:txbxContent>
                    <w:p>
                      <w:pPr>
                        <w:jc w:val="both"/>
                      </w:pPr>
                    </w:p>
                  </w:txbxContent>
                </v:textbox>
              </v:rect>
            </w:pict>
          </mc:Fallback>
        </mc:AlternateContent>
      </w:r>
      <w:r>
        <w:rPr>
          <w:rFonts w:hint="eastAsia" w:ascii="宋体" w:hAnsi="宋体" w:eastAsia="宋体" w:cs="宋体"/>
          <w:b/>
          <w:bCs/>
          <w:color w:val="auto"/>
          <w:sz w:val="22"/>
          <w:highlight w:val="none"/>
        </w:rPr>
        <w:t>项目概况</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cs="宋体"/>
          <w:color w:val="auto"/>
          <w:sz w:val="22"/>
          <w:highlight w:val="none"/>
          <w:lang w:eastAsia="zh-CN"/>
        </w:rPr>
        <w:t>污水处理消毒粉采购</w:t>
      </w:r>
      <w:r>
        <w:rPr>
          <w:rFonts w:hint="eastAsia" w:ascii="宋体" w:hAnsi="宋体" w:eastAsia="宋体" w:cs="宋体"/>
          <w:color w:val="auto"/>
          <w:sz w:val="22"/>
          <w:highlight w:val="none"/>
        </w:rPr>
        <w:t>招标项目的潜在投标人应在浙江政府采购网获取（下载）招标文件，并于</w:t>
      </w:r>
      <w:r>
        <w:rPr>
          <w:rFonts w:hint="eastAsia" w:ascii="宋体" w:hAnsi="宋体" w:cs="宋体"/>
          <w:color w:val="auto"/>
          <w:sz w:val="22"/>
          <w:highlight w:val="none"/>
          <w:lang w:eastAsia="zh-CN"/>
        </w:rPr>
        <w:t>202</w:t>
      </w:r>
      <w:r>
        <w:rPr>
          <w:rFonts w:hint="eastAsia" w:ascii="宋体" w:hAnsi="宋体" w:cs="宋体"/>
          <w:color w:val="auto"/>
          <w:sz w:val="22"/>
          <w:highlight w:val="none"/>
          <w:lang w:val="en-US" w:eastAsia="zh-CN"/>
        </w:rPr>
        <w:t>3</w:t>
      </w:r>
      <w:r>
        <w:rPr>
          <w:rFonts w:hint="eastAsia" w:ascii="宋体" w:hAnsi="宋体" w:cs="宋体"/>
          <w:color w:val="auto"/>
          <w:sz w:val="22"/>
          <w:highlight w:val="none"/>
          <w:lang w:eastAsia="zh-CN"/>
        </w:rPr>
        <w:t>年</w:t>
      </w:r>
      <w:r>
        <w:rPr>
          <w:rFonts w:hint="eastAsia" w:ascii="宋体" w:hAnsi="宋体" w:cs="宋体"/>
          <w:color w:val="auto"/>
          <w:sz w:val="22"/>
          <w:highlight w:val="none"/>
          <w:lang w:val="en-US" w:eastAsia="zh-CN"/>
        </w:rPr>
        <w:t>1</w:t>
      </w:r>
      <w:r>
        <w:rPr>
          <w:rFonts w:hint="eastAsia" w:ascii="宋体" w:hAnsi="宋体" w:eastAsia="宋体" w:cs="宋体"/>
          <w:color w:val="auto"/>
          <w:sz w:val="22"/>
          <w:highlight w:val="none"/>
        </w:rPr>
        <w:t>月</w:t>
      </w:r>
      <w:r>
        <w:rPr>
          <w:rFonts w:hint="eastAsia" w:ascii="宋体" w:hAnsi="宋体" w:cs="宋体"/>
          <w:color w:val="auto"/>
          <w:sz w:val="22"/>
          <w:highlight w:val="none"/>
          <w:lang w:val="en-US" w:eastAsia="zh-CN"/>
        </w:rPr>
        <w:t>31</w:t>
      </w:r>
      <w:r>
        <w:rPr>
          <w:rFonts w:hint="eastAsia" w:ascii="宋体" w:hAnsi="宋体" w:eastAsia="宋体" w:cs="宋体"/>
          <w:color w:val="auto"/>
          <w:sz w:val="22"/>
          <w:highlight w:val="none"/>
        </w:rPr>
        <w:t>日</w:t>
      </w:r>
      <w:r>
        <w:rPr>
          <w:rFonts w:hint="eastAsia" w:ascii="宋体" w:hAnsi="宋体" w:cs="宋体"/>
          <w:color w:val="auto"/>
          <w:sz w:val="22"/>
          <w:highlight w:val="none"/>
          <w:lang w:val="en-US" w:eastAsia="zh-CN"/>
        </w:rPr>
        <w:t>09</w:t>
      </w:r>
      <w:r>
        <w:rPr>
          <w:rFonts w:hint="eastAsia" w:ascii="宋体" w:hAnsi="宋体" w:eastAsia="宋体" w:cs="宋体"/>
          <w:color w:val="auto"/>
          <w:sz w:val="22"/>
          <w:highlight w:val="none"/>
        </w:rPr>
        <w:t>:30（北京时间）前递交（上传）投标文件。</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b/>
          <w:bCs/>
          <w:color w:val="auto"/>
          <w:sz w:val="22"/>
          <w:szCs w:val="22"/>
          <w:highlight w:val="none"/>
          <w:u w:val="none"/>
        </w:rPr>
      </w:pP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color w:val="auto"/>
          <w:sz w:val="22"/>
          <w:szCs w:val="22"/>
          <w:highlight w:val="none"/>
          <w:u w:val="none"/>
          <w:lang w:val="en-US" w:eastAsia="zh-CN"/>
        </w:rPr>
      </w:pPr>
      <w:r>
        <w:rPr>
          <w:rFonts w:hint="eastAsia"/>
          <w:b/>
          <w:bCs/>
          <w:color w:val="auto"/>
          <w:sz w:val="22"/>
          <w:szCs w:val="22"/>
          <w:highlight w:val="none"/>
          <w:u w:val="none"/>
        </w:rPr>
        <w:t>一、项目基本情况</w:t>
      </w:r>
      <w:r>
        <w:rPr>
          <w:rFonts w:hint="eastAsia"/>
          <w:color w:val="auto"/>
          <w:sz w:val="22"/>
          <w:szCs w:val="22"/>
          <w:highlight w:val="none"/>
          <w:u w:val="none"/>
          <w:lang w:val="en-US" w:eastAsia="zh-CN"/>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项目编号：</w:t>
      </w:r>
      <w:r>
        <w:rPr>
          <w:rFonts w:hint="eastAsia"/>
          <w:color w:val="auto"/>
          <w:sz w:val="22"/>
          <w:szCs w:val="22"/>
          <w:highlight w:val="none"/>
          <w:u w:val="none"/>
          <w:lang w:eastAsia="zh-CN"/>
        </w:rPr>
        <w:t>WZLCZB（W）-2023-01002</w:t>
      </w:r>
      <w:r>
        <w:rPr>
          <w:rFonts w:hint="eastAsia"/>
          <w:color w:val="auto"/>
          <w:sz w:val="22"/>
          <w:szCs w:val="22"/>
          <w:highlight w:val="none"/>
          <w:u w:val="none"/>
          <w:lang w:val="en-US" w:eastAsia="zh-CN"/>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项目名称：</w:t>
      </w:r>
      <w:r>
        <w:rPr>
          <w:rFonts w:hint="eastAsia"/>
          <w:color w:val="auto"/>
          <w:sz w:val="22"/>
          <w:szCs w:val="22"/>
          <w:highlight w:val="none"/>
          <w:u w:val="none"/>
          <w:lang w:eastAsia="zh-CN"/>
        </w:rPr>
        <w:t>污水处理消毒粉采购</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预算金额（元）：300000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最高限价（元）：300000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采购需求：</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标项名称:</w:t>
      </w:r>
      <w:r>
        <w:rPr>
          <w:rFonts w:hint="eastAsia"/>
          <w:color w:val="auto"/>
          <w:sz w:val="22"/>
          <w:szCs w:val="22"/>
          <w:highlight w:val="none"/>
          <w:u w:val="none"/>
          <w:lang w:eastAsia="zh-CN"/>
        </w:rPr>
        <w:t>污水处理消毒粉采购</w:t>
      </w:r>
      <w:r>
        <w:rPr>
          <w:rFonts w:hint="eastAsia"/>
          <w:color w:val="auto"/>
          <w:sz w:val="22"/>
          <w:szCs w:val="22"/>
          <w:highlight w:val="none"/>
          <w:u w:val="none"/>
          <w:lang w:val="en-US" w:eastAsia="zh-CN"/>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数量:1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预算金额（元）:300000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简要规格描述或项目基本概况介绍、用途：具体详见招标文件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备注：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合同履约期限：标项 1，具体详见招标文件</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lang w:val="en-US" w:eastAsia="zh-CN"/>
        </w:rPr>
        <w:t>本项目（否）接受联合体投标。</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color w:val="auto"/>
          <w:sz w:val="22"/>
          <w:szCs w:val="22"/>
          <w:highlight w:val="none"/>
          <w:u w:val="none"/>
          <w:lang w:val="en-US" w:eastAsia="zh-CN"/>
        </w:rPr>
      </w:pPr>
      <w:r>
        <w:rPr>
          <w:rFonts w:hint="eastAsia"/>
          <w:b/>
          <w:bCs/>
          <w:color w:val="auto"/>
          <w:sz w:val="22"/>
          <w:szCs w:val="22"/>
          <w:highlight w:val="none"/>
          <w:u w:val="none"/>
          <w:lang w:val="en-US" w:eastAsia="zh-CN"/>
        </w:rPr>
        <w:t>二、申请人的资格要求：</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1.满足《中华人民共和国政府采购法》第二十二条规定；未被“信用中国”（www.creditchina.gov.cn)、中国政府采购网（www.ccgp.gov.cn）等有关政府曝光台列入失信被执行人、重大税收违法案件当事人名单、政府采购严重违法失信行为记录名单。</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2.落实政府采购政策需满足的资格要求：无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3.本项目的特定资格要求：无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b/>
          <w:bCs/>
          <w:color w:val="auto"/>
          <w:sz w:val="22"/>
          <w:szCs w:val="22"/>
          <w:highlight w:val="none"/>
          <w:u w:val="none"/>
        </w:rPr>
      </w:pPr>
      <w:r>
        <w:rPr>
          <w:rFonts w:hint="eastAsia"/>
          <w:b/>
          <w:bCs/>
          <w:color w:val="auto"/>
          <w:sz w:val="22"/>
          <w:szCs w:val="22"/>
          <w:highlight w:val="none"/>
          <w:u w:val="none"/>
        </w:rPr>
        <w:t>三、获取招标文件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时间：</w:t>
      </w:r>
      <w:r>
        <w:rPr>
          <w:rFonts w:hint="eastAsia"/>
          <w:color w:val="auto"/>
          <w:sz w:val="22"/>
          <w:szCs w:val="22"/>
          <w:highlight w:val="none"/>
          <w:u w:val="none"/>
          <w:lang w:val="en-US" w:eastAsia="zh-CN"/>
        </w:rPr>
        <w:t>2023年1月4日</w:t>
      </w:r>
      <w:r>
        <w:rPr>
          <w:rFonts w:hint="eastAsia"/>
          <w:color w:val="auto"/>
          <w:sz w:val="22"/>
          <w:szCs w:val="22"/>
          <w:highlight w:val="none"/>
          <w:u w:val="none"/>
        </w:rPr>
        <w:t>至</w:t>
      </w:r>
      <w:r>
        <w:rPr>
          <w:rFonts w:hint="eastAsia" w:ascii="宋体" w:hAnsi="宋体" w:cs="宋体"/>
          <w:color w:val="auto"/>
          <w:sz w:val="22"/>
          <w:highlight w:val="none"/>
          <w:lang w:eastAsia="zh-CN"/>
        </w:rPr>
        <w:t>202</w:t>
      </w:r>
      <w:r>
        <w:rPr>
          <w:rFonts w:hint="eastAsia" w:ascii="宋体" w:hAnsi="宋体" w:cs="宋体"/>
          <w:color w:val="auto"/>
          <w:sz w:val="22"/>
          <w:highlight w:val="none"/>
          <w:lang w:val="en-US" w:eastAsia="zh-CN"/>
        </w:rPr>
        <w:t>3</w:t>
      </w:r>
      <w:r>
        <w:rPr>
          <w:rFonts w:hint="eastAsia" w:ascii="宋体" w:hAnsi="宋体" w:cs="宋体"/>
          <w:color w:val="auto"/>
          <w:sz w:val="22"/>
          <w:highlight w:val="none"/>
          <w:lang w:eastAsia="zh-CN"/>
        </w:rPr>
        <w:t>年</w:t>
      </w:r>
      <w:r>
        <w:rPr>
          <w:rFonts w:hint="eastAsia" w:ascii="宋体" w:hAnsi="宋体" w:cs="宋体"/>
          <w:color w:val="auto"/>
          <w:sz w:val="22"/>
          <w:highlight w:val="none"/>
          <w:lang w:val="en-US" w:eastAsia="zh-CN"/>
        </w:rPr>
        <w:t>1</w:t>
      </w:r>
      <w:r>
        <w:rPr>
          <w:rFonts w:hint="eastAsia" w:ascii="宋体" w:hAnsi="宋体" w:eastAsia="宋体" w:cs="宋体"/>
          <w:color w:val="auto"/>
          <w:sz w:val="22"/>
          <w:highlight w:val="none"/>
        </w:rPr>
        <w:t>月</w:t>
      </w:r>
      <w:r>
        <w:rPr>
          <w:rFonts w:hint="eastAsia" w:ascii="宋体" w:hAnsi="宋体" w:cs="宋体"/>
          <w:color w:val="auto"/>
          <w:sz w:val="22"/>
          <w:highlight w:val="none"/>
          <w:lang w:val="en-US" w:eastAsia="zh-CN"/>
        </w:rPr>
        <w:t>31</w:t>
      </w:r>
      <w:r>
        <w:rPr>
          <w:rFonts w:hint="eastAsia" w:ascii="宋体" w:hAnsi="宋体" w:eastAsia="宋体" w:cs="宋体"/>
          <w:color w:val="auto"/>
          <w:sz w:val="22"/>
          <w:highlight w:val="none"/>
        </w:rPr>
        <w:t>日</w:t>
      </w:r>
      <w:r>
        <w:rPr>
          <w:rFonts w:hint="eastAsia"/>
          <w:color w:val="auto"/>
          <w:sz w:val="22"/>
          <w:szCs w:val="22"/>
          <w:highlight w:val="none"/>
          <w:u w:val="none"/>
        </w:rPr>
        <w:t>，每天上午00:00至12:00，下午12:00至23:59（北京时间，线上获取法定节假日均可，线下获取文件法定节假日除外）</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地点（网址）：浙江政府采购网（https://zfcg.czt.zj.gov.cn/）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方式：供应商登录政采云平台https://www.zcygov.cn/在线申请获取采购文件（进入“项目采购”应用，在获取采购文件菜单中选择项目，申请获取采购文件）</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售价（元）：0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b/>
          <w:bCs/>
          <w:color w:val="auto"/>
          <w:sz w:val="22"/>
          <w:szCs w:val="22"/>
          <w:highlight w:val="none"/>
          <w:u w:val="none"/>
        </w:rPr>
      </w:pPr>
      <w:r>
        <w:rPr>
          <w:rFonts w:hint="eastAsia"/>
          <w:b/>
          <w:bCs/>
          <w:color w:val="auto"/>
          <w:sz w:val="22"/>
          <w:szCs w:val="22"/>
          <w:highlight w:val="none"/>
          <w:u w:val="none"/>
        </w:rPr>
        <w:t>四、提交投标文件截止时间、开标时间和地点</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提交投标文件截止时间</w:t>
      </w:r>
      <w:r>
        <w:rPr>
          <w:rFonts w:hint="eastAsia" w:ascii="宋体" w:hAnsi="宋体" w:cs="宋体"/>
          <w:color w:val="auto"/>
          <w:sz w:val="22"/>
          <w:highlight w:val="none"/>
          <w:lang w:eastAsia="zh-CN"/>
        </w:rPr>
        <w:t>202</w:t>
      </w:r>
      <w:r>
        <w:rPr>
          <w:rFonts w:hint="eastAsia" w:ascii="宋体" w:hAnsi="宋体" w:cs="宋体"/>
          <w:color w:val="auto"/>
          <w:sz w:val="22"/>
          <w:highlight w:val="none"/>
          <w:lang w:val="en-US" w:eastAsia="zh-CN"/>
        </w:rPr>
        <w:t>3</w:t>
      </w:r>
      <w:r>
        <w:rPr>
          <w:rFonts w:hint="eastAsia" w:ascii="宋体" w:hAnsi="宋体" w:cs="宋体"/>
          <w:color w:val="auto"/>
          <w:sz w:val="22"/>
          <w:highlight w:val="none"/>
          <w:lang w:eastAsia="zh-CN"/>
        </w:rPr>
        <w:t>年</w:t>
      </w:r>
      <w:r>
        <w:rPr>
          <w:rFonts w:hint="eastAsia" w:ascii="宋体" w:hAnsi="宋体" w:cs="宋体"/>
          <w:color w:val="auto"/>
          <w:sz w:val="22"/>
          <w:highlight w:val="none"/>
          <w:lang w:val="en-US" w:eastAsia="zh-CN"/>
        </w:rPr>
        <w:t>1</w:t>
      </w:r>
      <w:r>
        <w:rPr>
          <w:rFonts w:hint="eastAsia" w:ascii="宋体" w:hAnsi="宋体" w:eastAsia="宋体" w:cs="宋体"/>
          <w:color w:val="auto"/>
          <w:sz w:val="22"/>
          <w:highlight w:val="none"/>
        </w:rPr>
        <w:t>月</w:t>
      </w:r>
      <w:r>
        <w:rPr>
          <w:rFonts w:hint="eastAsia" w:ascii="宋体" w:hAnsi="宋体" w:cs="宋体"/>
          <w:color w:val="auto"/>
          <w:sz w:val="22"/>
          <w:highlight w:val="none"/>
          <w:lang w:val="en-US" w:eastAsia="zh-CN"/>
        </w:rPr>
        <w:t>31</w:t>
      </w:r>
      <w:r>
        <w:rPr>
          <w:rFonts w:hint="eastAsia" w:ascii="宋体" w:hAnsi="宋体" w:eastAsia="宋体" w:cs="宋体"/>
          <w:color w:val="auto"/>
          <w:sz w:val="22"/>
          <w:highlight w:val="none"/>
        </w:rPr>
        <w:t>日</w:t>
      </w:r>
      <w:r>
        <w:rPr>
          <w:rFonts w:hint="eastAsia" w:ascii="宋体" w:hAnsi="宋体" w:cs="宋体"/>
          <w:color w:val="auto"/>
          <w:sz w:val="22"/>
          <w:highlight w:val="none"/>
          <w:lang w:val="en-US" w:eastAsia="zh-CN"/>
        </w:rPr>
        <w:t>09</w:t>
      </w:r>
      <w:r>
        <w:rPr>
          <w:rFonts w:hint="eastAsia" w:ascii="宋体" w:hAnsi="宋体" w:eastAsia="宋体" w:cs="宋体"/>
          <w:color w:val="auto"/>
          <w:sz w:val="22"/>
          <w:highlight w:val="none"/>
        </w:rPr>
        <w:t>:30</w:t>
      </w:r>
      <w:r>
        <w:rPr>
          <w:rFonts w:hint="eastAsia"/>
          <w:color w:val="auto"/>
          <w:sz w:val="22"/>
          <w:szCs w:val="22"/>
          <w:highlight w:val="none"/>
          <w:u w:val="none"/>
        </w:rPr>
        <w:t>（北京时间）</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投标地点（网址）：</w:t>
      </w:r>
      <w:r>
        <w:rPr>
          <w:rFonts w:hint="eastAsia" w:ascii="宋体" w:hAnsi="宋体" w:eastAsia="宋体" w:cs="宋体"/>
          <w:color w:val="auto"/>
          <w:sz w:val="22"/>
          <w:highlight w:val="none"/>
          <w:lang w:val="en-US" w:eastAsia="zh-CN"/>
        </w:rPr>
        <w:t>温州市鹿城区学院中路229号三想集团5楼（政采云平台：http://zfcg.czt.zj.gov.cn）</w:t>
      </w:r>
      <w:r>
        <w:rPr>
          <w:rFonts w:hint="eastAsia"/>
          <w:color w:val="auto"/>
          <w:sz w:val="22"/>
          <w:szCs w:val="22"/>
          <w:highlight w:val="none"/>
          <w:u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开标时间：</w:t>
      </w:r>
      <w:r>
        <w:rPr>
          <w:rFonts w:hint="eastAsia" w:ascii="宋体" w:hAnsi="宋体" w:cs="宋体"/>
          <w:color w:val="auto"/>
          <w:sz w:val="22"/>
          <w:highlight w:val="none"/>
          <w:lang w:eastAsia="zh-CN"/>
        </w:rPr>
        <w:t>202</w:t>
      </w:r>
      <w:r>
        <w:rPr>
          <w:rFonts w:hint="eastAsia" w:ascii="宋体" w:hAnsi="宋体" w:cs="宋体"/>
          <w:color w:val="auto"/>
          <w:sz w:val="22"/>
          <w:highlight w:val="none"/>
          <w:lang w:val="en-US" w:eastAsia="zh-CN"/>
        </w:rPr>
        <w:t>3</w:t>
      </w:r>
      <w:r>
        <w:rPr>
          <w:rFonts w:hint="eastAsia" w:ascii="宋体" w:hAnsi="宋体" w:cs="宋体"/>
          <w:color w:val="auto"/>
          <w:sz w:val="22"/>
          <w:highlight w:val="none"/>
          <w:lang w:eastAsia="zh-CN"/>
        </w:rPr>
        <w:t>年</w:t>
      </w:r>
      <w:r>
        <w:rPr>
          <w:rFonts w:hint="eastAsia" w:ascii="宋体" w:hAnsi="宋体" w:cs="宋体"/>
          <w:color w:val="auto"/>
          <w:sz w:val="22"/>
          <w:highlight w:val="none"/>
          <w:lang w:val="en-US" w:eastAsia="zh-CN"/>
        </w:rPr>
        <w:t>1</w:t>
      </w:r>
      <w:r>
        <w:rPr>
          <w:rFonts w:hint="eastAsia" w:ascii="宋体" w:hAnsi="宋体" w:eastAsia="宋体" w:cs="宋体"/>
          <w:color w:val="auto"/>
          <w:sz w:val="22"/>
          <w:highlight w:val="none"/>
        </w:rPr>
        <w:t>月</w:t>
      </w:r>
      <w:r>
        <w:rPr>
          <w:rFonts w:hint="eastAsia" w:ascii="宋体" w:hAnsi="宋体" w:cs="宋体"/>
          <w:color w:val="auto"/>
          <w:sz w:val="22"/>
          <w:highlight w:val="none"/>
          <w:lang w:val="en-US" w:eastAsia="zh-CN"/>
        </w:rPr>
        <w:t>31</w:t>
      </w:r>
      <w:r>
        <w:rPr>
          <w:rFonts w:hint="eastAsia" w:ascii="宋体" w:hAnsi="宋体" w:eastAsia="宋体" w:cs="宋体"/>
          <w:color w:val="auto"/>
          <w:sz w:val="22"/>
          <w:highlight w:val="none"/>
        </w:rPr>
        <w:t>日</w:t>
      </w:r>
      <w:r>
        <w:rPr>
          <w:rFonts w:hint="eastAsia" w:ascii="宋体" w:hAnsi="宋体" w:cs="宋体"/>
          <w:color w:val="auto"/>
          <w:sz w:val="22"/>
          <w:highlight w:val="none"/>
          <w:lang w:val="en-US" w:eastAsia="zh-CN"/>
        </w:rPr>
        <w:t>09</w:t>
      </w:r>
      <w:r>
        <w:rPr>
          <w:rFonts w:hint="eastAsia" w:ascii="宋体" w:hAnsi="宋体" w:eastAsia="宋体" w:cs="宋体"/>
          <w:color w:val="auto"/>
          <w:sz w:val="22"/>
          <w:highlight w:val="none"/>
        </w:rPr>
        <w:t>:30</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开标地点（网址）：</w:t>
      </w:r>
      <w:r>
        <w:rPr>
          <w:rFonts w:hint="eastAsia" w:ascii="宋体" w:hAnsi="宋体" w:eastAsia="宋体" w:cs="宋体"/>
          <w:color w:val="auto"/>
          <w:sz w:val="22"/>
          <w:highlight w:val="none"/>
          <w:lang w:val="en-US" w:eastAsia="zh-CN"/>
        </w:rPr>
        <w:t>温州市鹿城区学院中路229号三想集团5楼（政采云平台：http://zfcg.czt.zj.gov.cn）</w:t>
      </w:r>
      <w:r>
        <w:rPr>
          <w:rFonts w:hint="eastAsia"/>
          <w:color w:val="auto"/>
          <w:sz w:val="22"/>
          <w:szCs w:val="22"/>
          <w:highlight w:val="none"/>
          <w:u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color w:val="auto"/>
          <w:sz w:val="22"/>
          <w:szCs w:val="22"/>
          <w:highlight w:val="none"/>
          <w:u w:val="none"/>
        </w:rPr>
      </w:pPr>
      <w:r>
        <w:rPr>
          <w:rFonts w:hint="eastAsia"/>
          <w:b/>
          <w:bCs/>
          <w:color w:val="auto"/>
          <w:sz w:val="22"/>
          <w:szCs w:val="22"/>
          <w:highlight w:val="none"/>
          <w:u w:val="none"/>
        </w:rPr>
        <w:t>五、公告期限</w:t>
      </w:r>
      <w:r>
        <w:rPr>
          <w:rFonts w:hint="eastAsia"/>
          <w:color w:val="auto"/>
          <w:sz w:val="22"/>
          <w:szCs w:val="22"/>
          <w:highlight w:val="none"/>
          <w:u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自本公告发布之日起5个工作日。</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b/>
          <w:bCs/>
          <w:color w:val="auto"/>
          <w:sz w:val="22"/>
          <w:szCs w:val="22"/>
          <w:highlight w:val="none"/>
          <w:u w:val="none"/>
        </w:rPr>
      </w:pPr>
      <w:r>
        <w:rPr>
          <w:rFonts w:hint="eastAsia"/>
          <w:b/>
          <w:bCs/>
          <w:color w:val="auto"/>
          <w:sz w:val="22"/>
          <w:szCs w:val="22"/>
          <w:highlight w:val="none"/>
          <w:u w:val="none"/>
        </w:rPr>
        <w:t>六、其他补充事宜</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eastAsia="宋体"/>
          <w:color w:val="auto"/>
          <w:sz w:val="22"/>
          <w:szCs w:val="22"/>
          <w:highlight w:val="none"/>
          <w:u w:val="none"/>
          <w:lang w:val="en-US" w:eastAsia="zh-CN"/>
        </w:rPr>
      </w:pPr>
      <w:r>
        <w:rPr>
          <w:rFonts w:hint="eastAsia" w:ascii="宋体" w:hAnsi="宋体" w:eastAsia="宋体" w:cs="宋体"/>
          <w:color w:val="auto"/>
          <w:sz w:val="22"/>
          <w:highlight w:val="none"/>
          <w:lang w:val="en-US" w:eastAsia="zh-CN"/>
        </w:rPr>
        <w:t>3.其他事项：（一）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二）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投标文件的传输递交：投标人在投标截止时间前将加密的投标文件上传至政府采购云平台； ⑥投标文件的解密：投标人按照平台提示和招标文件的规定在半小时内完成在线解密；⑦ 具体操作指南：详见政采云平台“服务中心-帮助文档-项目采购-操作流程-电子招投标-政府采购项目电子交易管理操作指南-供应商”：浙江省政府采购项目政采云平台学习专题https://edu.zcygov.cn/luban/e-biding。  </w:t>
      </w:r>
    </w:p>
    <w:p>
      <w:pPr>
        <w:keepNext w:val="0"/>
        <w:keepLines w:val="0"/>
        <w:pageBreakBefore w:val="0"/>
        <w:tabs>
          <w:tab w:val="left" w:pos="360"/>
        </w:tabs>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七、对本次招标提出询问，请按以下方式联系</w:t>
      </w:r>
      <w:r>
        <w:rPr>
          <w:rFonts w:hint="eastAsia" w:ascii="宋体" w:hAnsi="宋体" w:eastAsia="宋体" w:cs="宋体"/>
          <w:color w:val="auto"/>
          <w:sz w:val="22"/>
          <w:szCs w:val="22"/>
          <w:highlight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1.采购人信息</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eastAsia="宋体"/>
          <w:color w:val="auto"/>
          <w:sz w:val="22"/>
          <w:szCs w:val="22"/>
          <w:highlight w:val="none"/>
          <w:u w:val="none"/>
          <w:lang w:eastAsia="zh-CN"/>
        </w:rPr>
      </w:pPr>
      <w:r>
        <w:rPr>
          <w:rFonts w:hint="eastAsia"/>
          <w:color w:val="auto"/>
          <w:sz w:val="22"/>
          <w:szCs w:val="22"/>
          <w:highlight w:val="none"/>
          <w:u w:val="none"/>
        </w:rPr>
        <w:t>名  称：</w:t>
      </w:r>
      <w:r>
        <w:rPr>
          <w:rFonts w:hint="eastAsia"/>
          <w:color w:val="auto"/>
          <w:sz w:val="22"/>
          <w:szCs w:val="22"/>
          <w:highlight w:val="none"/>
          <w:u w:val="none"/>
          <w:lang w:eastAsia="zh-CN"/>
        </w:rPr>
        <w:t>温州市中医院</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地  址：</w:t>
      </w:r>
      <w:r>
        <w:rPr>
          <w:rFonts w:hint="eastAsia" w:ascii="宋体" w:hAnsi="宋体" w:eastAsia="宋体" w:cs="宋体"/>
          <w:i w:val="0"/>
          <w:iCs w:val="0"/>
          <w:caps w:val="0"/>
          <w:color w:val="auto"/>
          <w:spacing w:val="0"/>
          <w:sz w:val="22"/>
          <w:szCs w:val="22"/>
          <w:highlight w:val="none"/>
          <w:shd w:val="clear" w:fill="FFFFFF"/>
        </w:rPr>
        <w:t>温州市六虹桥蛟尾路9号</w:t>
      </w:r>
      <w:r>
        <w:rPr>
          <w:rFonts w:hint="eastAsia"/>
          <w:color w:val="auto"/>
          <w:sz w:val="22"/>
          <w:szCs w:val="22"/>
          <w:highlight w:val="none"/>
          <w:u w:val="none"/>
        </w:rPr>
        <w:t xml:space="preserve">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传  真：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项目联系人（询问）：</w:t>
      </w:r>
      <w:r>
        <w:rPr>
          <w:rFonts w:hint="eastAsia" w:ascii="宋体" w:hAnsi="宋体" w:eastAsia="宋体" w:cs="宋体"/>
          <w:i w:val="0"/>
          <w:iCs w:val="0"/>
          <w:caps w:val="0"/>
          <w:color w:val="auto"/>
          <w:spacing w:val="0"/>
          <w:sz w:val="22"/>
          <w:szCs w:val="22"/>
          <w:highlight w:val="none"/>
          <w:shd w:val="clear" w:fill="FFFFFF"/>
        </w:rPr>
        <w:t>李先生</w:t>
      </w:r>
      <w:r>
        <w:rPr>
          <w:rFonts w:hint="eastAsia"/>
          <w:color w:val="auto"/>
          <w:sz w:val="22"/>
          <w:szCs w:val="22"/>
          <w:highlight w:val="none"/>
          <w:u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项目联系方式（询问）：</w:t>
      </w:r>
      <w:r>
        <w:rPr>
          <w:rFonts w:hint="eastAsia" w:ascii="宋体" w:hAnsi="宋体" w:eastAsia="宋体" w:cs="宋体"/>
          <w:i w:val="0"/>
          <w:iCs w:val="0"/>
          <w:caps w:val="0"/>
          <w:color w:val="auto"/>
          <w:spacing w:val="0"/>
          <w:sz w:val="22"/>
          <w:szCs w:val="22"/>
          <w:highlight w:val="none"/>
          <w:shd w:val="clear" w:fill="FFFFFF"/>
        </w:rPr>
        <w:t>0577-56671516</w:t>
      </w:r>
      <w:r>
        <w:rPr>
          <w:rFonts w:hint="eastAsia"/>
          <w:color w:val="auto"/>
          <w:sz w:val="22"/>
          <w:szCs w:val="22"/>
          <w:highlight w:val="none"/>
          <w:u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color w:val="auto"/>
          <w:sz w:val="22"/>
          <w:szCs w:val="22"/>
          <w:highlight w:val="none"/>
          <w:u w:val="none"/>
        </w:rPr>
      </w:pPr>
      <w:r>
        <w:rPr>
          <w:rFonts w:hint="eastAsia"/>
          <w:color w:val="auto"/>
          <w:sz w:val="22"/>
          <w:szCs w:val="22"/>
          <w:highlight w:val="none"/>
          <w:u w:val="none"/>
        </w:rPr>
        <w:t>  2.采购代理机构信息</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名  称：</w:t>
      </w:r>
      <w:r>
        <w:rPr>
          <w:rFonts w:hint="eastAsia"/>
          <w:color w:val="auto"/>
          <w:sz w:val="22"/>
          <w:szCs w:val="22"/>
          <w:highlight w:val="none"/>
          <w:u w:val="none"/>
          <w:lang w:val="en-US" w:eastAsia="zh-CN"/>
        </w:rPr>
        <w:t>温州历程招标有限公司</w:t>
      </w:r>
      <w:r>
        <w:rPr>
          <w:rFonts w:hint="eastAsia"/>
          <w:color w:val="auto"/>
          <w:sz w:val="22"/>
          <w:szCs w:val="22"/>
          <w:highlight w:val="none"/>
          <w:u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地  址：</w:t>
      </w:r>
      <w:r>
        <w:rPr>
          <w:rFonts w:hint="eastAsia"/>
          <w:color w:val="auto"/>
          <w:sz w:val="22"/>
          <w:szCs w:val="22"/>
          <w:highlight w:val="none"/>
          <w:lang w:eastAsia="zh-CN"/>
        </w:rPr>
        <w:t>温州市鹿城区学院中路229号三想集团5楼</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 xml:space="preserve">传  真：0577-89887255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项目联系人（询问）： 郑永强、温碧霞</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项目联系方式（询问）：0577-89887322、13757727199</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eastAsia="宋体"/>
          <w:color w:val="auto"/>
          <w:sz w:val="22"/>
          <w:szCs w:val="22"/>
          <w:highlight w:val="none"/>
          <w:u w:val="none"/>
          <w:lang w:val="en-US" w:eastAsia="zh-CN"/>
        </w:rPr>
      </w:pPr>
      <w:r>
        <w:rPr>
          <w:rFonts w:hint="eastAsia"/>
          <w:color w:val="auto"/>
          <w:sz w:val="22"/>
          <w:szCs w:val="22"/>
          <w:highlight w:val="none"/>
          <w:u w:val="none"/>
        </w:rPr>
        <w:t>质疑联系人：</w:t>
      </w:r>
      <w:r>
        <w:rPr>
          <w:rFonts w:hint="eastAsia"/>
          <w:color w:val="auto"/>
          <w:sz w:val="22"/>
          <w:szCs w:val="22"/>
          <w:highlight w:val="none"/>
          <w:u w:val="none"/>
          <w:lang w:val="en-US" w:eastAsia="zh-CN"/>
        </w:rPr>
        <w:t>肖忠文</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质疑联系方式：13757727199 </w:t>
      </w:r>
    </w:p>
    <w:p>
      <w:pPr>
        <w:pStyle w:val="49"/>
        <w:keepNext w:val="0"/>
        <w:keepLines w:val="0"/>
        <w:pageBreakBefore w:val="0"/>
        <w:numPr>
          <w:ilvl w:val="0"/>
          <w:numId w:val="4"/>
        </w:numPr>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采购监督管理部门</w:t>
      </w:r>
    </w:p>
    <w:p>
      <w:pPr>
        <w:pStyle w:val="49"/>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名 </w:t>
      </w:r>
      <w:r>
        <w:rPr>
          <w:rFonts w:hint="eastAsia" w:cs="宋体"/>
          <w:color w:val="auto"/>
          <w:sz w:val="22"/>
          <w:highlight w:val="none"/>
          <w:lang w:val="en-US" w:eastAsia="zh-CN"/>
        </w:rPr>
        <w:t xml:space="preserve"> </w:t>
      </w:r>
      <w:r>
        <w:rPr>
          <w:rFonts w:hint="eastAsia" w:ascii="宋体" w:hAnsi="宋体" w:eastAsia="宋体" w:cs="宋体"/>
          <w:color w:val="auto"/>
          <w:sz w:val="22"/>
          <w:highlight w:val="none"/>
          <w:lang w:val="en-US" w:eastAsia="zh-CN"/>
        </w:rPr>
        <w:t>称：</w:t>
      </w:r>
      <w:r>
        <w:rPr>
          <w:rFonts w:hint="eastAsia" w:cs="宋体"/>
          <w:color w:val="auto"/>
          <w:sz w:val="22"/>
          <w:szCs w:val="22"/>
          <w:highlight w:val="none"/>
          <w:u w:val="none"/>
          <w:lang w:eastAsia="zh-CN"/>
        </w:rPr>
        <w:t>温州市中医院</w:t>
      </w:r>
      <w:r>
        <w:rPr>
          <w:rFonts w:hint="eastAsia" w:ascii="宋体" w:hAnsi="宋体" w:eastAsia="宋体" w:cs="宋体"/>
          <w:color w:val="auto"/>
          <w:sz w:val="22"/>
          <w:szCs w:val="22"/>
          <w:highlight w:val="none"/>
          <w:u w:val="none"/>
          <w:lang w:eastAsia="zh-CN"/>
        </w:rPr>
        <w:t>监察室</w:t>
      </w:r>
      <w:r>
        <w:rPr>
          <w:rFonts w:hint="eastAsia" w:ascii="宋体" w:hAnsi="宋体" w:eastAsia="宋体" w:cs="宋体"/>
          <w:color w:val="auto"/>
          <w:sz w:val="22"/>
          <w:highlight w:val="none"/>
          <w:lang w:val="en-US" w:eastAsia="zh-CN"/>
        </w:rPr>
        <w:t> </w:t>
      </w:r>
    </w:p>
    <w:p>
      <w:pPr>
        <w:tabs>
          <w:tab w:val="left" w:pos="360"/>
        </w:tabs>
        <w:spacing w:line="460" w:lineRule="exact"/>
        <w:ind w:firstLine="440" w:firstLineChars="200"/>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电</w:t>
      </w:r>
      <w:r>
        <w:rPr>
          <w:rFonts w:hint="eastAsia" w:ascii="宋体" w:hAnsi="宋体" w:cs="宋体"/>
          <w:color w:val="auto"/>
          <w:sz w:val="22"/>
          <w:highlight w:val="none"/>
          <w:lang w:val="en-US" w:eastAsia="zh-CN"/>
        </w:rPr>
        <w:t xml:space="preserve">   </w:t>
      </w:r>
      <w:r>
        <w:rPr>
          <w:rFonts w:hint="eastAsia" w:ascii="宋体" w:hAnsi="宋体" w:eastAsia="宋体" w:cs="宋体"/>
          <w:color w:val="auto"/>
          <w:sz w:val="22"/>
          <w:highlight w:val="none"/>
          <w:lang w:val="en-US" w:eastAsia="zh-CN"/>
        </w:rPr>
        <w:t>话：0577-56671511</w:t>
      </w:r>
    </w:p>
    <w:p>
      <w:pPr>
        <w:keepNext/>
        <w:keepLines/>
        <w:pageBreakBefore w:val="0"/>
        <w:widowControl w:val="0"/>
        <w:kinsoku/>
        <w:wordWrap/>
        <w:overflowPunct/>
        <w:topLinePunct w:val="0"/>
        <w:autoSpaceDE/>
        <w:autoSpaceDN/>
        <w:bidi w:val="0"/>
        <w:adjustRightInd/>
        <w:snapToGrid/>
        <w:textAlignment w:val="auto"/>
        <w:outlineLvl w:val="9"/>
        <w:rPr>
          <w:rFonts w:hint="eastAsia"/>
          <w:color w:val="auto"/>
          <w:highlight w:val="none"/>
        </w:rPr>
      </w:pP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 </w:t>
      </w:r>
    </w:p>
    <w:p>
      <w:pPr>
        <w:rPr>
          <w:rFonts w:hint="eastAsia" w:ascii="宋体" w:hAnsi="宋体" w:eastAsia="宋体" w:cs="宋体"/>
          <w:color w:val="auto"/>
          <w:highlight w:val="none"/>
        </w:rPr>
      </w:pPr>
    </w:p>
    <w:p>
      <w:pPr>
        <w:pStyle w:val="24"/>
        <w:spacing w:line="460" w:lineRule="exact"/>
        <w:ind w:left="602" w:hanging="602"/>
        <w:jc w:val="center"/>
        <w:rPr>
          <w:rFonts w:hint="eastAsia" w:ascii="宋体" w:hAnsi="宋体" w:eastAsia="宋体" w:cs="宋体"/>
          <w:b/>
          <w:color w:val="auto"/>
          <w:sz w:val="30"/>
          <w:highlight w:val="none"/>
        </w:rPr>
      </w:pPr>
    </w:p>
    <w:p>
      <w:pPr>
        <w:rPr>
          <w:rFonts w:hint="eastAsia" w:ascii="宋体" w:hAnsi="宋体" w:eastAsia="宋体" w:cs="宋体"/>
          <w:b/>
          <w:color w:val="auto"/>
          <w:sz w:val="30"/>
          <w:highlight w:val="none"/>
        </w:rPr>
      </w:pPr>
      <w:r>
        <w:rPr>
          <w:rFonts w:hint="eastAsia" w:ascii="宋体" w:hAnsi="宋体" w:eastAsia="宋体" w:cs="宋体"/>
          <w:b/>
          <w:color w:val="auto"/>
          <w:sz w:val="30"/>
          <w:highlight w:val="none"/>
        </w:rPr>
        <w:br w:type="page"/>
      </w:r>
    </w:p>
    <w:p>
      <w:pPr>
        <w:pStyle w:val="4"/>
        <w:bidi w:val="0"/>
        <w:rPr>
          <w:rFonts w:hint="eastAsia" w:ascii="宋体" w:hAnsi="宋体" w:eastAsia="宋体" w:cs="宋体"/>
          <w:color w:val="auto"/>
          <w:highlight w:val="none"/>
        </w:rPr>
      </w:pPr>
      <w:bookmarkStart w:id="2" w:name="_Toc5772"/>
      <w:bookmarkStart w:id="3" w:name="_Toc10401"/>
      <w:r>
        <w:rPr>
          <w:rFonts w:hint="eastAsia" w:ascii="宋体" w:hAnsi="宋体" w:eastAsia="宋体" w:cs="宋体"/>
          <w:color w:val="auto"/>
          <w:highlight w:val="none"/>
        </w:rPr>
        <w:t>第一部分    投标人须知</w:t>
      </w:r>
      <w:bookmarkEnd w:id="2"/>
      <w:bookmarkEnd w:id="3"/>
    </w:p>
    <w:p>
      <w:pPr>
        <w:keepNext/>
        <w:keepLines/>
        <w:shd w:val="clear" w:color="auto" w:fill="FFFFFF"/>
        <w:tabs>
          <w:tab w:val="left" w:pos="706"/>
        </w:tabs>
        <w:snapToGrid w:val="0"/>
        <w:spacing w:line="360" w:lineRule="auto"/>
        <w:jc w:val="center"/>
        <w:outlineLvl w:val="1"/>
        <w:rPr>
          <w:rFonts w:hint="eastAsia" w:ascii="宋体" w:hAnsi="宋体" w:eastAsia="宋体" w:cs="宋体"/>
          <w:b/>
          <w:bCs/>
          <w:color w:val="auto"/>
          <w:sz w:val="24"/>
          <w:highlight w:val="none"/>
        </w:rPr>
      </w:pPr>
      <w:bookmarkStart w:id="4" w:name="_Toc1839"/>
      <w:bookmarkStart w:id="5" w:name="_Toc354996695"/>
      <w:bookmarkStart w:id="6" w:name="_Toc33194387"/>
      <w:bookmarkStart w:id="7" w:name="_Toc6224"/>
      <w:bookmarkStart w:id="8" w:name="_Toc233618971"/>
      <w:r>
        <w:rPr>
          <w:rFonts w:hint="eastAsia" w:ascii="宋体" w:hAnsi="宋体" w:eastAsia="宋体" w:cs="宋体"/>
          <w:b/>
          <w:bCs/>
          <w:color w:val="auto"/>
          <w:sz w:val="24"/>
          <w:highlight w:val="none"/>
        </w:rPr>
        <w:t>前 附 表</w:t>
      </w:r>
      <w:bookmarkEnd w:id="4"/>
      <w:bookmarkEnd w:id="5"/>
      <w:bookmarkEnd w:id="6"/>
      <w:bookmarkEnd w:id="7"/>
      <w:bookmarkEnd w:id="8"/>
    </w:p>
    <w:tbl>
      <w:tblPr>
        <w:tblStyle w:val="53"/>
        <w:tblW w:w="1037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85"/>
        <w:gridCol w:w="95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8"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条款</w:t>
            </w:r>
          </w:p>
        </w:tc>
        <w:tc>
          <w:tcPr>
            <w:tcW w:w="9590" w:type="dxa"/>
            <w:tcBorders>
              <w:top w:val="single" w:color="000000" w:sz="8" w:space="0"/>
              <w:left w:val="single" w:color="000000" w:sz="2" w:space="0"/>
              <w:bottom w:val="single" w:color="000000" w:sz="2" w:space="0"/>
              <w:right w:val="single" w:color="000000" w:sz="8"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w:t>
            </w:r>
          </w:p>
        </w:tc>
        <w:tc>
          <w:tcPr>
            <w:tcW w:w="9590" w:type="dxa"/>
            <w:tcBorders>
              <w:top w:val="single" w:color="000000" w:sz="2" w:space="0"/>
              <w:left w:val="single" w:color="000000" w:sz="2" w:space="0"/>
              <w:bottom w:val="single" w:color="000000" w:sz="2" w:space="0"/>
              <w:right w:val="single" w:color="000000" w:sz="8" w:space="0"/>
            </w:tcBorders>
          </w:tcPr>
          <w:p>
            <w:pPr>
              <w:tabs>
                <w:tab w:val="left" w:pos="3780"/>
              </w:tabs>
              <w:snapToGrid w:val="0"/>
              <w:spacing w:line="460" w:lineRule="exact"/>
              <w:rPr>
                <w:rFonts w:hint="eastAsia" w:ascii="宋体" w:hAnsi="宋体" w:eastAsia="宋体" w:cs="宋体"/>
                <w:color w:val="auto"/>
                <w:sz w:val="22"/>
                <w:szCs w:val="22"/>
                <w:highlight w:val="none"/>
                <w:lang w:eastAsia="zh-CN"/>
              </w:rPr>
            </w:pPr>
            <w:r>
              <w:rPr>
                <w:rFonts w:hint="eastAsia" w:ascii="宋体" w:hAnsi="宋体" w:eastAsia="宋体" w:cs="宋体"/>
                <w:b/>
                <w:bCs/>
                <w:color w:val="auto"/>
                <w:sz w:val="22"/>
                <w:szCs w:val="22"/>
                <w:highlight w:val="none"/>
              </w:rPr>
              <w:t>一、项目名称</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eastAsia="zh-CN"/>
              </w:rPr>
              <w:t>污水处理消毒粉采购</w:t>
            </w:r>
          </w:p>
          <w:p>
            <w:pPr>
              <w:spacing w:line="460" w:lineRule="exact"/>
              <w:rPr>
                <w:rFonts w:hint="eastAsia" w:ascii="宋体" w:hAnsi="宋体" w:eastAsia="宋体" w:cs="宋体"/>
                <w:b/>
                <w:bCs/>
                <w:color w:val="auto"/>
                <w:sz w:val="22"/>
                <w:szCs w:val="22"/>
                <w:highlight w:val="none"/>
              </w:rPr>
            </w:pPr>
            <w:bookmarkStart w:id="9" w:name="_Hlt75139851"/>
            <w:bookmarkEnd w:id="9"/>
            <w:r>
              <w:rPr>
                <w:rFonts w:hint="eastAsia" w:ascii="宋体" w:hAnsi="宋体" w:eastAsia="宋体" w:cs="宋体"/>
                <w:b/>
                <w:bCs/>
                <w:color w:val="auto"/>
                <w:sz w:val="22"/>
                <w:szCs w:val="22"/>
                <w:highlight w:val="none"/>
              </w:rPr>
              <w:t>二、采购内容：</w:t>
            </w:r>
          </w:p>
          <w:tbl>
            <w:tblPr>
              <w:tblStyle w:val="53"/>
              <w:tblW w:w="91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3"/>
              <w:gridCol w:w="2720"/>
              <w:gridCol w:w="988"/>
              <w:gridCol w:w="1912"/>
              <w:gridCol w:w="28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color w:val="auto"/>
                      <w:sz w:val="22"/>
                      <w:szCs w:val="22"/>
                      <w:highlight w:val="none"/>
                      <w:shd w:val="clear" w:color="auto" w:fill="FFFFFF"/>
                    </w:rPr>
                  </w:pPr>
                  <w:r>
                    <w:rPr>
                      <w:rFonts w:hint="eastAsia" w:ascii="宋体" w:hAnsi="宋体" w:eastAsia="宋体" w:cs="宋体"/>
                      <w:color w:val="auto"/>
                      <w:sz w:val="22"/>
                      <w:szCs w:val="22"/>
                      <w:highlight w:val="none"/>
                    </w:rPr>
                    <w:t>序号</w:t>
                  </w:r>
                </w:p>
              </w:tc>
              <w:tc>
                <w:tcPr>
                  <w:tcW w:w="2720"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项目名称</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color w:val="auto"/>
                      <w:sz w:val="22"/>
                      <w:szCs w:val="22"/>
                      <w:highlight w:val="none"/>
                      <w:shd w:val="clear" w:color="auto" w:fill="FFFFFF"/>
                    </w:rPr>
                  </w:pPr>
                  <w:r>
                    <w:rPr>
                      <w:rFonts w:hint="eastAsia" w:ascii="宋体" w:hAnsi="宋体" w:eastAsia="宋体" w:cs="宋体"/>
                      <w:color w:val="auto"/>
                      <w:sz w:val="22"/>
                      <w:szCs w:val="22"/>
                      <w:highlight w:val="none"/>
                    </w:rPr>
                    <w:t>单位</w:t>
                  </w:r>
                </w:p>
              </w:tc>
              <w:tc>
                <w:tcPr>
                  <w:tcW w:w="1912"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s>
                    <w:spacing w:line="460" w:lineRule="exact"/>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highlight w:val="none"/>
                    </w:rPr>
                    <w:t>预算金额</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lang w:val="en-US" w:eastAsia="zh-CN"/>
                    </w:rPr>
                    <w:t>元</w:t>
                  </w:r>
                  <w:r>
                    <w:rPr>
                      <w:rFonts w:hint="eastAsia" w:ascii="宋体" w:hAnsi="宋体" w:eastAsia="宋体" w:cs="宋体"/>
                      <w:color w:val="auto"/>
                      <w:sz w:val="22"/>
                      <w:highlight w:val="none"/>
                      <w:lang w:eastAsia="zh-CN"/>
                    </w:rPr>
                    <w:t>）</w:t>
                  </w:r>
                </w:p>
              </w:tc>
              <w:tc>
                <w:tcPr>
                  <w:tcW w:w="2873"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简要技术要求、用途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9" w:hRule="atLeast"/>
                <w:jc w:val="center"/>
              </w:trPr>
              <w:tc>
                <w:tcPr>
                  <w:tcW w:w="693" w:type="dxa"/>
                  <w:tcBorders>
                    <w:top w:val="single" w:color="auto" w:sz="4" w:space="0"/>
                    <w:left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2720" w:type="dxa"/>
                  <w:tcBorders>
                    <w:top w:val="single" w:color="auto" w:sz="4" w:space="0"/>
                    <w:left w:val="single" w:color="auto" w:sz="4" w:space="0"/>
                    <w:right w:val="single" w:color="auto" w:sz="4" w:space="0"/>
                  </w:tcBorders>
                  <w:vAlign w:val="center"/>
                </w:tcPr>
                <w:p>
                  <w:pPr>
                    <w:spacing w:line="460" w:lineRule="exact"/>
                    <w:jc w:val="center"/>
                    <w:rPr>
                      <w:rFonts w:hint="eastAsia" w:ascii="宋体" w:hAnsi="宋体" w:eastAsia="宋体" w:cs="宋体"/>
                      <w:color w:val="auto"/>
                      <w:sz w:val="22"/>
                      <w:highlight w:val="none"/>
                    </w:rPr>
                  </w:pPr>
                  <w:r>
                    <w:rPr>
                      <w:rFonts w:hint="eastAsia" w:ascii="宋体" w:hAnsi="宋体" w:cs="宋体"/>
                      <w:color w:val="auto"/>
                      <w:sz w:val="22"/>
                      <w:highlight w:val="none"/>
                      <w:lang w:eastAsia="zh-CN"/>
                    </w:rPr>
                    <w:t>污水处理消毒粉采购</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default" w:ascii="宋体" w:hAnsi="宋体" w:eastAsia="宋体" w:cs="宋体"/>
                      <w:color w:val="auto"/>
                      <w:sz w:val="22"/>
                      <w:szCs w:val="22"/>
                      <w:highlight w:val="none"/>
                      <w:shd w:val="clear" w:color="auto" w:fill="FFFFFF"/>
                      <w:lang w:val="en-US" w:eastAsia="zh-CN"/>
                    </w:rPr>
                  </w:pPr>
                  <w:r>
                    <w:rPr>
                      <w:rFonts w:hint="eastAsia" w:ascii="宋体" w:hAnsi="宋体" w:cs="宋体"/>
                      <w:color w:val="auto"/>
                      <w:sz w:val="22"/>
                      <w:szCs w:val="22"/>
                      <w:highlight w:val="none"/>
                      <w:shd w:val="clear" w:color="auto" w:fill="FFFFFF"/>
                      <w:lang w:val="en-US" w:eastAsia="zh-CN"/>
                    </w:rPr>
                    <w:t>1项</w:t>
                  </w:r>
                </w:p>
              </w:tc>
              <w:tc>
                <w:tcPr>
                  <w:tcW w:w="1912" w:type="dxa"/>
                  <w:tcBorders>
                    <w:top w:val="single" w:color="auto" w:sz="4" w:space="0"/>
                    <w:left w:val="single" w:color="auto" w:sz="4" w:space="0"/>
                    <w:right w:val="single" w:color="auto" w:sz="4" w:space="0"/>
                  </w:tcBorders>
                  <w:shd w:val="clear" w:color="auto" w:fill="auto"/>
                  <w:vAlign w:val="center"/>
                </w:tcPr>
                <w:p>
                  <w:pPr>
                    <w:tabs>
                      <w:tab w:val="left" w:pos="360"/>
                    </w:tabs>
                    <w:spacing w:line="460" w:lineRule="exact"/>
                    <w:jc w:val="center"/>
                    <w:rPr>
                      <w:rFonts w:hint="default" w:ascii="宋体" w:hAnsi="宋体" w:eastAsia="宋体" w:cs="宋体"/>
                      <w:color w:val="auto"/>
                      <w:sz w:val="22"/>
                      <w:szCs w:val="22"/>
                      <w:highlight w:val="none"/>
                      <w:shd w:val="clear" w:color="auto" w:fill="FFFFFF"/>
                      <w:lang w:val="en-US" w:eastAsia="zh-CN"/>
                    </w:rPr>
                  </w:pPr>
                  <w:r>
                    <w:rPr>
                      <w:rFonts w:hint="eastAsia" w:ascii="宋体" w:hAnsi="宋体" w:eastAsia="宋体" w:cs="宋体"/>
                      <w:color w:val="auto"/>
                      <w:sz w:val="22"/>
                      <w:highlight w:val="none"/>
                      <w:lang w:val="en-US" w:eastAsia="zh-CN"/>
                    </w:rPr>
                    <w:t>300000</w:t>
                  </w:r>
                </w:p>
              </w:tc>
              <w:tc>
                <w:tcPr>
                  <w:tcW w:w="2873" w:type="dxa"/>
                  <w:tcBorders>
                    <w:top w:val="single" w:color="auto" w:sz="4" w:space="0"/>
                    <w:left w:val="single" w:color="auto" w:sz="4" w:space="0"/>
                    <w:right w:val="single" w:color="auto" w:sz="4" w:space="0"/>
                  </w:tcBorders>
                  <w:vAlign w:val="center"/>
                </w:tcPr>
                <w:p>
                  <w:pPr>
                    <w:shd w:val="clear" w:color="auto" w:fill="FFFFFF"/>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详见招标文件第</w:t>
                  </w:r>
                  <w:r>
                    <w:rPr>
                      <w:rFonts w:hint="eastAsia" w:ascii="宋体" w:hAnsi="宋体" w:eastAsia="宋体" w:cs="宋体"/>
                      <w:color w:val="auto"/>
                      <w:sz w:val="22"/>
                      <w:szCs w:val="22"/>
                      <w:highlight w:val="none"/>
                      <w:lang w:val="en-US" w:eastAsia="zh-CN"/>
                    </w:rPr>
                    <w:t>四</w:t>
                  </w:r>
                  <w:r>
                    <w:rPr>
                      <w:rFonts w:hint="eastAsia" w:ascii="宋体" w:hAnsi="宋体" w:eastAsia="宋体" w:cs="宋体"/>
                      <w:color w:val="auto"/>
                      <w:sz w:val="22"/>
                      <w:szCs w:val="22"/>
                      <w:highlight w:val="none"/>
                    </w:rPr>
                    <w:t>部分“项目技术规范和服务要求”</w:t>
                  </w:r>
                </w:p>
              </w:tc>
            </w:tr>
          </w:tbl>
          <w:p>
            <w:pPr>
              <w:tabs>
                <w:tab w:val="left" w:pos="360"/>
              </w:tabs>
              <w:spacing w:line="460" w:lineRule="exact"/>
              <w:rPr>
                <w:rFonts w:hint="eastAsia" w:ascii="宋体" w:hAnsi="宋体" w:eastAsia="宋体" w:cs="宋体"/>
                <w:color w:val="auto"/>
                <w:highlight w:val="none"/>
              </w:rPr>
            </w:pPr>
            <w:r>
              <w:rPr>
                <w:rFonts w:hint="eastAsia" w:ascii="宋体" w:hAnsi="宋体" w:eastAsia="宋体" w:cs="宋体"/>
                <w:b/>
                <w:color w:val="auto"/>
                <w:sz w:val="22"/>
                <w:szCs w:val="22"/>
                <w:highlight w:val="none"/>
              </w:rPr>
              <w:t>如投标人报价超过预算金额按无效标处理。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lang w:val="zh-CN"/>
              </w:rPr>
              <w:t>投标</w:t>
            </w:r>
            <w:r>
              <w:rPr>
                <w:rFonts w:hint="eastAsia" w:ascii="宋体" w:hAnsi="宋体" w:eastAsia="宋体" w:cs="宋体"/>
                <w:b/>
                <w:bCs/>
                <w:color w:val="auto"/>
                <w:sz w:val="22"/>
                <w:szCs w:val="22"/>
                <w:highlight w:val="none"/>
              </w:rPr>
              <w:t>有效期：</w:t>
            </w:r>
            <w:r>
              <w:rPr>
                <w:rFonts w:hint="eastAsia" w:ascii="宋体" w:hAnsi="宋体" w:eastAsia="宋体" w:cs="宋体"/>
                <w:color w:val="auto"/>
                <w:sz w:val="22"/>
                <w:szCs w:val="22"/>
                <w:highlight w:val="none"/>
              </w:rPr>
              <w:t>自投标截止日起120天。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3</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投标保证金数额：无</w:t>
            </w:r>
            <w:r>
              <w:rPr>
                <w:rFonts w:hint="eastAsia" w:ascii="宋体" w:hAnsi="宋体" w:eastAsia="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4</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eastAsia"/>
                <w:b/>
                <w:bCs/>
              </w:rPr>
            </w:pPr>
            <w:r>
              <w:rPr>
                <w:rFonts w:hint="eastAsia"/>
                <w:b/>
                <w:bCs/>
              </w:rPr>
              <w:t>招标服务费：根据国家计委计价格【2002】1980号《招标代理服务收费管理暂行办法》规定</w:t>
            </w:r>
            <w:r>
              <w:rPr>
                <w:rFonts w:hint="eastAsia"/>
                <w:b/>
                <w:bCs/>
                <w:lang w:val="en-US" w:eastAsia="zh-CN"/>
              </w:rPr>
              <w:t>标准的75%</w:t>
            </w:r>
            <w:r>
              <w:rPr>
                <w:rFonts w:hint="eastAsia"/>
                <w:b/>
                <w:bCs/>
              </w:rPr>
              <w:t>收取,由中标人在领取中标通知书时支付。</w:t>
            </w:r>
          </w:p>
          <w:p>
            <w:pPr>
              <w:spacing w:line="460" w:lineRule="exact"/>
              <w:ind w:firstLine="514" w:firstLineChars="245"/>
              <w:rPr>
                <w:rFonts w:hint="eastAsia"/>
              </w:rPr>
            </w:pPr>
            <w:r>
              <w:rPr>
                <w:rFonts w:hint="eastAsia"/>
              </w:rPr>
              <w:t>户   名：温州历程招标有限公司</w:t>
            </w:r>
          </w:p>
          <w:p>
            <w:pPr>
              <w:spacing w:line="460" w:lineRule="exact"/>
              <w:ind w:firstLine="514" w:firstLineChars="245"/>
              <w:rPr>
                <w:rFonts w:hint="eastAsia"/>
              </w:rPr>
            </w:pPr>
            <w:r>
              <w:rPr>
                <w:rFonts w:hint="eastAsia"/>
              </w:rPr>
              <w:t>账   号：33050162870409101001</w:t>
            </w:r>
          </w:p>
          <w:p>
            <w:pPr>
              <w:spacing w:line="460" w:lineRule="exact"/>
              <w:ind w:firstLine="514" w:firstLineChars="245"/>
              <w:rPr>
                <w:rFonts w:hint="eastAsia"/>
              </w:rPr>
            </w:pPr>
            <w:r>
              <w:rPr>
                <w:rFonts w:hint="eastAsia"/>
              </w:rPr>
              <w:t>开户行：中国建设银行温州黎明支行</w:t>
            </w:r>
          </w:p>
          <w:p>
            <w:pPr>
              <w:spacing w:line="360" w:lineRule="auto"/>
              <w:rPr>
                <w:rFonts w:hint="eastAsia" w:ascii="宋体" w:hAnsi="宋体"/>
                <w:b/>
                <w:spacing w:val="6"/>
                <w:sz w:val="22"/>
                <w:szCs w:val="22"/>
              </w:rPr>
            </w:pPr>
            <w:r>
              <w:rPr>
                <w:rFonts w:hint="eastAsia" w:ascii="宋体" w:hAnsi="宋体"/>
                <w:b/>
                <w:spacing w:val="6"/>
                <w:sz w:val="22"/>
                <w:szCs w:val="22"/>
              </w:rPr>
              <w:t>政采云平台技术服务费：</w:t>
            </w:r>
          </w:p>
          <w:p>
            <w:pPr>
              <w:spacing w:line="460" w:lineRule="exact"/>
              <w:ind w:firstLine="514" w:firstLineChars="245"/>
              <w:rPr>
                <w:rFonts w:hint="eastAsia"/>
              </w:rPr>
            </w:pPr>
            <w:r>
              <w:rPr>
                <w:rFonts w:hint="eastAsia"/>
              </w:rPr>
              <w:t>由政采云公司向中标供应商收取，该费用由采购代理公司在发布中标公告前先行代为缴纳，中标供应商在领取中标通知书时将该费用按实际缴纳金额（含税费）支付给代理机构。</w:t>
            </w:r>
          </w:p>
          <w:p>
            <w:pPr>
              <w:spacing w:line="460" w:lineRule="exact"/>
              <w:ind w:firstLine="514" w:firstLineChars="245"/>
              <w:rPr>
                <w:rFonts w:hint="eastAsia"/>
              </w:rPr>
            </w:pPr>
            <w:r>
              <w:rPr>
                <w:rFonts w:hint="eastAsia"/>
              </w:rPr>
              <w:t>（一）不涉及合同金额的采购项目，技术服务费500元/件；</w:t>
            </w:r>
          </w:p>
          <w:p>
            <w:pPr>
              <w:spacing w:line="460" w:lineRule="exact"/>
              <w:ind w:firstLine="514" w:firstLineChars="245"/>
              <w:rPr>
                <w:rFonts w:hint="eastAsia"/>
              </w:rPr>
            </w:pPr>
            <w:r>
              <w:rPr>
                <w:rFonts w:hint="eastAsia"/>
              </w:rPr>
              <w:t>（二）涉及合同金额的采购项目，根据合同标的额，按照下列比例收费：</w:t>
            </w:r>
          </w:p>
          <w:p>
            <w:pPr>
              <w:spacing w:line="460" w:lineRule="exact"/>
              <w:ind w:firstLine="514" w:firstLineChars="245"/>
              <w:rPr>
                <w:rFonts w:hint="eastAsia"/>
              </w:rPr>
            </w:pPr>
            <w:r>
              <w:rPr>
                <w:rFonts w:hint="eastAsia"/>
              </w:rPr>
              <w:t>中标价50万元以下(含50万元)：按500元收取；</w:t>
            </w:r>
          </w:p>
          <w:p>
            <w:pPr>
              <w:spacing w:line="460" w:lineRule="exact"/>
              <w:ind w:firstLine="514" w:firstLineChars="245"/>
              <w:rPr>
                <w:rFonts w:hint="eastAsia"/>
              </w:rPr>
            </w:pPr>
            <w:r>
              <w:rPr>
                <w:rFonts w:hint="eastAsia"/>
              </w:rPr>
              <w:t>50万元以上：千分之一（1‰）。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5</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投标文件的组成：</w:t>
            </w:r>
            <w:r>
              <w:rPr>
                <w:rFonts w:hint="eastAsia" w:ascii="宋体" w:hAnsi="宋体" w:eastAsia="宋体" w:cs="宋体"/>
                <w:color w:val="auto"/>
                <w:sz w:val="22"/>
                <w:szCs w:val="22"/>
                <w:highlight w:val="none"/>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6</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投标文件的编制：</w:t>
            </w:r>
            <w:r>
              <w:rPr>
                <w:rFonts w:hint="eastAsia" w:ascii="宋体" w:hAnsi="宋体" w:eastAsia="宋体" w:cs="宋体"/>
                <w:color w:val="auto"/>
                <w:sz w:val="22"/>
                <w:szCs w:val="22"/>
                <w:highlight w:val="none"/>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7</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投标文件的签章：</w:t>
            </w:r>
            <w:r>
              <w:rPr>
                <w:rFonts w:hint="eastAsia" w:ascii="宋体" w:hAnsi="宋体" w:eastAsia="宋体" w:cs="宋体"/>
                <w:color w:val="auto"/>
                <w:sz w:val="22"/>
                <w:szCs w:val="22"/>
                <w:highlight w:val="none"/>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8</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投标文件的形式：</w:t>
            </w:r>
            <w:r>
              <w:rPr>
                <w:rFonts w:hint="eastAsia" w:ascii="宋体" w:hAnsi="宋体" w:eastAsia="宋体" w:cs="宋体"/>
                <w:color w:val="auto"/>
                <w:sz w:val="22"/>
                <w:szCs w:val="22"/>
                <w:highlight w:val="none"/>
              </w:rPr>
              <w:t>☑电子投标文件（包括“电子加密投标文件”和“备份投标文件”，在投标文件编制完成后同时生成）；</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（1）“电子加密投标文件”是指通过“政采云电子交易客户端”完成投标文件编制后生成并加密的数据电文形式的投标文件。</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9</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color w:val="auto"/>
                <w:sz w:val="22"/>
                <w:szCs w:val="28"/>
                <w:highlight w:val="none"/>
              </w:rPr>
            </w:pPr>
            <w:r>
              <w:rPr>
                <w:rFonts w:hint="eastAsia"/>
                <w:color w:val="auto"/>
                <w:sz w:val="22"/>
                <w:szCs w:val="28"/>
                <w:highlight w:val="none"/>
              </w:rPr>
              <w:t>投标文件份数：</w:t>
            </w:r>
          </w:p>
          <w:p>
            <w:pPr>
              <w:numPr>
                <w:ilvl w:val="0"/>
                <w:numId w:val="5"/>
              </w:numPr>
              <w:spacing w:line="460" w:lineRule="exact"/>
              <w:rPr>
                <w:rFonts w:hint="eastAsia"/>
                <w:color w:val="auto"/>
                <w:sz w:val="22"/>
                <w:szCs w:val="28"/>
                <w:highlight w:val="none"/>
              </w:rPr>
            </w:pPr>
            <w:r>
              <w:rPr>
                <w:rFonts w:hint="eastAsia"/>
                <w:color w:val="auto"/>
                <w:sz w:val="22"/>
                <w:szCs w:val="28"/>
                <w:highlight w:val="none"/>
              </w:rPr>
              <w:t>“电子加密投标文件”：在线上传递交、一份。</w:t>
            </w:r>
          </w:p>
          <w:p>
            <w:pPr>
              <w:numPr>
                <w:ilvl w:val="0"/>
                <w:numId w:val="5"/>
              </w:numPr>
              <w:spacing w:line="460" w:lineRule="exact"/>
              <w:rPr>
                <w:rFonts w:hint="eastAsia"/>
                <w:color w:val="auto"/>
                <w:sz w:val="22"/>
                <w:szCs w:val="28"/>
                <w:highlight w:val="none"/>
              </w:rPr>
            </w:pPr>
            <w:r>
              <w:rPr>
                <w:rFonts w:hint="eastAsia"/>
                <w:color w:val="auto"/>
                <w:sz w:val="22"/>
                <w:szCs w:val="28"/>
                <w:highlight w:val="none"/>
              </w:rPr>
              <w:t>“备份投标文件”：密封包装后投标截止时间前递交、一份</w:t>
            </w:r>
          </w:p>
          <w:p>
            <w:pPr>
              <w:spacing w:line="460" w:lineRule="exact"/>
              <w:rPr>
                <w:rFonts w:hint="eastAsia"/>
                <w:color w:val="auto"/>
                <w:sz w:val="22"/>
                <w:szCs w:val="28"/>
                <w:highlight w:val="none"/>
              </w:rPr>
            </w:pPr>
            <w:r>
              <w:rPr>
                <w:rFonts w:hint="eastAsia"/>
                <w:color w:val="auto"/>
                <w:sz w:val="22"/>
                <w:szCs w:val="28"/>
                <w:highlight w:val="none"/>
              </w:rPr>
              <w:t>（若不提供备份投标文件，开标当天电子加密投标文件解密失败，投标人自行负责。）</w:t>
            </w:r>
          </w:p>
          <w:p>
            <w:pPr>
              <w:tabs>
                <w:tab w:val="left" w:pos="360"/>
              </w:tabs>
              <w:spacing w:line="460" w:lineRule="exact"/>
              <w:rPr>
                <w:rFonts w:hint="eastAsia"/>
                <w:color w:val="auto"/>
                <w:sz w:val="22"/>
                <w:szCs w:val="28"/>
                <w:highlight w:val="none"/>
              </w:rPr>
            </w:pPr>
            <w:r>
              <w:rPr>
                <w:rFonts w:hint="eastAsia"/>
                <w:color w:val="auto"/>
                <w:sz w:val="22"/>
                <w:szCs w:val="28"/>
                <w:highlight w:val="none"/>
              </w:rPr>
              <w:t>可以（邮寄形式，建议顺丰）在投标截止时间前递交，并需采购代理机构确认是否收到，</w:t>
            </w:r>
          </w:p>
          <w:p>
            <w:pPr>
              <w:spacing w:line="460" w:lineRule="exact"/>
              <w:rPr>
                <w:rFonts w:hint="eastAsia"/>
                <w:color w:val="auto"/>
                <w:sz w:val="22"/>
                <w:szCs w:val="28"/>
                <w:highlight w:val="none"/>
                <w:lang w:eastAsia="zh-CN"/>
              </w:rPr>
            </w:pPr>
            <w:r>
              <w:rPr>
                <w:rFonts w:hint="eastAsia"/>
                <w:color w:val="auto"/>
                <w:sz w:val="22"/>
                <w:szCs w:val="28"/>
                <w:highlight w:val="none"/>
              </w:rPr>
              <w:t>邮寄地址：</w:t>
            </w:r>
            <w:r>
              <w:rPr>
                <w:rFonts w:hint="eastAsia"/>
                <w:color w:val="auto"/>
                <w:sz w:val="22"/>
                <w:szCs w:val="28"/>
                <w:highlight w:val="none"/>
                <w:lang w:eastAsia="zh-CN"/>
              </w:rPr>
              <w:t>温州市鹿城区学院中路229号三想集团5楼</w:t>
            </w:r>
          </w:p>
          <w:p>
            <w:pPr>
              <w:spacing w:line="460" w:lineRule="exact"/>
              <w:rPr>
                <w:rFonts w:hint="default" w:eastAsia="宋体"/>
                <w:color w:val="auto"/>
                <w:highlight w:val="none"/>
                <w:lang w:val="en-US" w:eastAsia="zh-CN"/>
              </w:rPr>
            </w:pPr>
            <w:r>
              <w:rPr>
                <w:rFonts w:hint="eastAsia"/>
                <w:color w:val="auto"/>
                <w:sz w:val="22"/>
                <w:szCs w:val="28"/>
                <w:highlight w:val="none"/>
                <w:lang w:val="en-US" w:eastAsia="zh-CN"/>
              </w:rPr>
              <w:t>联系人：温先生    联系电话</w:t>
            </w:r>
            <w:r>
              <w:rPr>
                <w:rFonts w:hint="eastAsia"/>
                <w:b w:val="0"/>
                <w:bCs w:val="0"/>
                <w:color w:val="auto"/>
                <w:sz w:val="22"/>
                <w:szCs w:val="28"/>
                <w:highlight w:val="none"/>
                <w:lang w:val="en-US" w:eastAsia="zh-CN"/>
              </w:rPr>
              <w:t>：13868508737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10</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投标文件的上传和递交：</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（1）“电子加密投标文件”的上传、递交：</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a.投标人应在投标截止时间前将“电子加密投标文件”成功上传递交至“政府采购云平台”，否则投标无效。</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b.“电子加密投标文件”成功上传递交后，供应商可自行打印投标文件接收回执。</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（2）“备份投标文件”的密封包装、递交：</w:t>
            </w:r>
          </w:p>
          <w:p>
            <w:pPr>
              <w:tabs>
                <w:tab w:val="left" w:pos="360"/>
              </w:tabs>
              <w:spacing w:line="460" w:lineRule="exact"/>
              <w:ind w:firstLine="550" w:firstLineChars="250"/>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a.投标人在“政府采购云平台”完成“电子加密投标文件”的上传递交后，</w:t>
            </w:r>
            <w:r>
              <w:rPr>
                <w:rFonts w:hint="eastAsia" w:ascii="宋体" w:hAnsi="宋体" w:eastAsia="宋体" w:cs="宋体"/>
                <w:b/>
                <w:bCs/>
                <w:color w:val="auto"/>
                <w:sz w:val="22"/>
                <w:szCs w:val="22"/>
                <w:highlight w:val="none"/>
              </w:rPr>
              <w:t>还可以在投标截止时间前递交以介质（U盘）存储的数据电文形式的“备份投标文件”，（可以</w:t>
            </w:r>
            <w:r>
              <w:rPr>
                <w:rFonts w:hint="eastAsia" w:ascii="宋体" w:hAnsi="宋体" w:eastAsia="宋体" w:cs="宋体"/>
                <w:b/>
                <w:color w:val="auto"/>
                <w:sz w:val="22"/>
                <w:szCs w:val="22"/>
                <w:highlight w:val="none"/>
                <w:u w:val="single"/>
              </w:rPr>
              <w:t>（邮寄形式，建议顺丰）在投标截止时间前递交，并需采购代理机构确认是否收到</w:t>
            </w:r>
            <w:r>
              <w:rPr>
                <w:rFonts w:hint="eastAsia" w:ascii="宋体" w:hAnsi="宋体" w:eastAsia="宋体" w:cs="宋体"/>
                <w:b/>
                <w:bCs/>
                <w:color w:val="auto"/>
                <w:sz w:val="22"/>
                <w:szCs w:val="22"/>
                <w:highlight w:val="none"/>
              </w:rPr>
              <w:t>）</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b.“备份投标文件”应当密封包装，并在包装上标注投标项目名称、投标人名称并加盖公章。没有密封包装或者逾期（邮寄）送达至投标地点的“备份投标文件”将不予接收；</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c.通过“政府采购云平台”成功上传递交的“电子加密投标文件”已按时解密的，“备份投标文件”自动失效。投标截止时间前，投标人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11</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电子加密投标文件的解密和异常情况处理：</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（1）开标后，采购组织机构将向各投标人发出“电子加密投标文件”的解密通知，各投标人代表应当在接到解密通知后在系统规定的时间自行完成“电子加密投标文件”的在线解密。</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通过“政府采购云平台”成功上传递交的“电子加密投标文件”无法按时解密，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（3）投标截止时间前，投标人仅递交了“备份投标文件”而未将电子加密投标文件上传至“政府采购云平台”的，投标无效。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12</w:t>
            </w:r>
          </w:p>
        </w:tc>
        <w:tc>
          <w:tcPr>
            <w:tcW w:w="9590" w:type="dxa"/>
            <w:tcBorders>
              <w:top w:val="single" w:color="000000" w:sz="2" w:space="0"/>
              <w:left w:val="single" w:color="000000" w:sz="2" w:space="0"/>
              <w:bottom w:val="single" w:color="000000" w:sz="2" w:space="0"/>
              <w:right w:val="single" w:color="000000" w:sz="8" w:space="0"/>
            </w:tcBorders>
            <w:vAlign w:val="center"/>
          </w:tcPr>
          <w:p>
            <w:pPr>
              <w:widowControl/>
              <w:snapToGrid w:val="0"/>
              <w:spacing w:line="4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提交投标文件截止时间：</w:t>
            </w:r>
            <w:r>
              <w:rPr>
                <w:rFonts w:hint="eastAsia" w:ascii="宋体" w:hAnsi="宋体" w:cs="宋体"/>
                <w:color w:val="auto"/>
                <w:sz w:val="22"/>
                <w:highlight w:val="none"/>
                <w:lang w:eastAsia="zh-CN"/>
              </w:rPr>
              <w:t>202</w:t>
            </w:r>
            <w:r>
              <w:rPr>
                <w:rFonts w:hint="eastAsia" w:ascii="宋体" w:hAnsi="宋体" w:cs="宋体"/>
                <w:color w:val="auto"/>
                <w:sz w:val="22"/>
                <w:highlight w:val="none"/>
                <w:lang w:val="en-US" w:eastAsia="zh-CN"/>
              </w:rPr>
              <w:t>3</w:t>
            </w:r>
            <w:r>
              <w:rPr>
                <w:rFonts w:hint="eastAsia" w:ascii="宋体" w:hAnsi="宋体" w:cs="宋体"/>
                <w:color w:val="auto"/>
                <w:sz w:val="22"/>
                <w:highlight w:val="none"/>
                <w:lang w:eastAsia="zh-CN"/>
              </w:rPr>
              <w:t>年</w:t>
            </w:r>
            <w:r>
              <w:rPr>
                <w:rFonts w:hint="eastAsia" w:ascii="宋体" w:hAnsi="宋体" w:cs="宋体"/>
                <w:color w:val="auto"/>
                <w:sz w:val="22"/>
                <w:highlight w:val="none"/>
                <w:lang w:val="en-US" w:eastAsia="zh-CN"/>
              </w:rPr>
              <w:t>1</w:t>
            </w:r>
            <w:r>
              <w:rPr>
                <w:rFonts w:hint="eastAsia" w:ascii="宋体" w:hAnsi="宋体" w:eastAsia="宋体" w:cs="宋体"/>
                <w:color w:val="auto"/>
                <w:sz w:val="22"/>
                <w:highlight w:val="none"/>
              </w:rPr>
              <w:t>月</w:t>
            </w:r>
            <w:r>
              <w:rPr>
                <w:rFonts w:hint="eastAsia" w:ascii="宋体" w:hAnsi="宋体" w:cs="宋体"/>
                <w:color w:val="auto"/>
                <w:sz w:val="22"/>
                <w:highlight w:val="none"/>
                <w:lang w:val="en-US" w:eastAsia="zh-CN"/>
              </w:rPr>
              <w:t>31</w:t>
            </w:r>
            <w:r>
              <w:rPr>
                <w:rFonts w:hint="eastAsia" w:ascii="宋体" w:hAnsi="宋体" w:eastAsia="宋体" w:cs="宋体"/>
                <w:color w:val="auto"/>
                <w:sz w:val="22"/>
                <w:highlight w:val="none"/>
              </w:rPr>
              <w:t>日</w:t>
            </w:r>
            <w:r>
              <w:rPr>
                <w:rFonts w:hint="eastAsia" w:ascii="宋体" w:hAnsi="宋体" w:cs="宋体"/>
                <w:color w:val="auto"/>
                <w:sz w:val="22"/>
                <w:highlight w:val="none"/>
                <w:lang w:val="en-US" w:eastAsia="zh-CN"/>
              </w:rPr>
              <w:t>09</w:t>
            </w:r>
            <w:r>
              <w:rPr>
                <w:rFonts w:hint="eastAsia" w:ascii="宋体" w:hAnsi="宋体" w:eastAsia="宋体" w:cs="宋体"/>
                <w:color w:val="auto"/>
                <w:sz w:val="22"/>
                <w:highlight w:val="none"/>
              </w:rPr>
              <w:t>:30</w:t>
            </w:r>
            <w:r>
              <w:rPr>
                <w:rFonts w:hint="eastAsia"/>
                <w:color w:val="auto"/>
                <w:sz w:val="22"/>
                <w:szCs w:val="22"/>
                <w:highlight w:val="none"/>
                <w:u w:val="none"/>
              </w:rPr>
              <w:t>（北京时间）</w:t>
            </w:r>
            <w:r>
              <w:rPr>
                <w:rFonts w:hint="eastAsia" w:ascii="宋体" w:hAnsi="宋体" w:eastAsia="宋体" w:cs="宋体"/>
                <w:color w:val="auto"/>
                <w:sz w:val="22"/>
                <w:szCs w:val="22"/>
                <w:highlight w:val="none"/>
              </w:rPr>
              <w:t> </w:t>
            </w:r>
          </w:p>
          <w:p>
            <w:pPr>
              <w:widowControl/>
              <w:snapToGrid w:val="0"/>
              <w:spacing w:line="460" w:lineRule="exact"/>
              <w:jc w:val="left"/>
              <w:rPr>
                <w:rFonts w:hint="eastAsia"/>
                <w:color w:val="auto"/>
                <w:highlight w:val="none"/>
              </w:rPr>
            </w:pPr>
            <w:r>
              <w:rPr>
                <w:rFonts w:hint="eastAsia" w:ascii="宋体" w:hAnsi="宋体" w:eastAsia="宋体" w:cs="宋体"/>
                <w:color w:val="auto"/>
                <w:sz w:val="22"/>
                <w:szCs w:val="22"/>
                <w:highlight w:val="none"/>
              </w:rPr>
              <w:t>投标地点（网址）：</w:t>
            </w:r>
            <w:r>
              <w:rPr>
                <w:rFonts w:hint="eastAsia" w:ascii="宋体" w:hAnsi="宋体" w:eastAsia="宋体" w:cs="宋体"/>
                <w:color w:val="auto"/>
                <w:sz w:val="22"/>
                <w:szCs w:val="22"/>
                <w:highlight w:val="none"/>
                <w:lang w:eastAsia="zh-CN"/>
              </w:rPr>
              <w:t>温州市鹿城区学院中路229号三想集团5楼（</w:t>
            </w:r>
            <w:r>
              <w:rPr>
                <w:rFonts w:hint="eastAsia" w:ascii="宋体" w:hAnsi="宋体" w:eastAsia="宋体" w:cs="宋体"/>
                <w:color w:val="auto"/>
                <w:sz w:val="22"/>
                <w:szCs w:val="22"/>
                <w:highlight w:val="none"/>
                <w:lang w:val="en-US" w:eastAsia="zh-CN"/>
              </w:rPr>
              <w:t>政采云</w:t>
            </w:r>
            <w:r>
              <w:rPr>
                <w:rFonts w:hint="eastAsia" w:ascii="宋体" w:hAnsi="宋体" w:eastAsia="宋体" w:cs="宋体"/>
                <w:color w:val="auto"/>
                <w:sz w:val="21"/>
                <w:szCs w:val="21"/>
                <w:highlight w:val="none"/>
              </w:rPr>
              <w:t>http://zfcg.czt.zj.gov.cn</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auto" w:sz="4"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1</w:t>
            </w:r>
            <w:r>
              <w:rPr>
                <w:rFonts w:hint="eastAsia" w:ascii="宋体" w:hAnsi="宋体" w:eastAsia="宋体" w:cs="宋体"/>
                <w:b/>
                <w:bCs/>
                <w:color w:val="auto"/>
                <w:sz w:val="22"/>
                <w:szCs w:val="22"/>
                <w:highlight w:val="none"/>
                <w:lang w:val="en-US" w:eastAsia="zh-CN"/>
              </w:rPr>
              <w:t>3</w:t>
            </w:r>
          </w:p>
        </w:tc>
        <w:tc>
          <w:tcPr>
            <w:tcW w:w="9590" w:type="dxa"/>
            <w:tcBorders>
              <w:top w:val="single" w:color="000000" w:sz="2" w:space="0"/>
              <w:left w:val="single" w:color="000000" w:sz="2" w:space="0"/>
              <w:bottom w:val="single" w:color="auto" w:sz="4" w:space="0"/>
              <w:right w:val="single" w:color="000000" w:sz="8" w:space="0"/>
            </w:tcBorders>
            <w:vAlign w:val="center"/>
          </w:tcPr>
          <w:p>
            <w:pPr>
              <w:widowControl/>
              <w:snapToGrid w:val="0"/>
              <w:spacing w:line="460" w:lineRule="exact"/>
              <w:jc w:val="left"/>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开标时间</w:t>
            </w:r>
            <w:r>
              <w:rPr>
                <w:rFonts w:hint="eastAsia" w:ascii="宋体" w:hAnsi="宋体" w:eastAsia="宋体" w:cs="宋体"/>
                <w:b w:val="0"/>
                <w:bCs w:val="0"/>
                <w:color w:val="auto"/>
                <w:sz w:val="22"/>
                <w:szCs w:val="22"/>
                <w:highlight w:val="none"/>
                <w:lang w:eastAsia="zh-CN"/>
              </w:rPr>
              <w:t>：</w:t>
            </w:r>
            <w:r>
              <w:rPr>
                <w:rFonts w:hint="eastAsia" w:ascii="宋体" w:hAnsi="宋体" w:cs="宋体"/>
                <w:color w:val="auto"/>
                <w:sz w:val="22"/>
                <w:highlight w:val="none"/>
                <w:lang w:eastAsia="zh-CN"/>
              </w:rPr>
              <w:t>202</w:t>
            </w:r>
            <w:r>
              <w:rPr>
                <w:rFonts w:hint="eastAsia" w:ascii="宋体" w:hAnsi="宋体" w:cs="宋体"/>
                <w:color w:val="auto"/>
                <w:sz w:val="22"/>
                <w:highlight w:val="none"/>
                <w:lang w:val="en-US" w:eastAsia="zh-CN"/>
              </w:rPr>
              <w:t>3</w:t>
            </w:r>
            <w:r>
              <w:rPr>
                <w:rFonts w:hint="eastAsia" w:ascii="宋体" w:hAnsi="宋体" w:cs="宋体"/>
                <w:color w:val="auto"/>
                <w:sz w:val="22"/>
                <w:highlight w:val="none"/>
                <w:lang w:eastAsia="zh-CN"/>
              </w:rPr>
              <w:t>年</w:t>
            </w:r>
            <w:r>
              <w:rPr>
                <w:rFonts w:hint="eastAsia" w:ascii="宋体" w:hAnsi="宋体" w:cs="宋体"/>
                <w:color w:val="auto"/>
                <w:sz w:val="22"/>
                <w:highlight w:val="none"/>
                <w:lang w:val="en-US" w:eastAsia="zh-CN"/>
              </w:rPr>
              <w:t>1</w:t>
            </w:r>
            <w:r>
              <w:rPr>
                <w:rFonts w:hint="eastAsia" w:ascii="宋体" w:hAnsi="宋体" w:eastAsia="宋体" w:cs="宋体"/>
                <w:color w:val="auto"/>
                <w:sz w:val="22"/>
                <w:highlight w:val="none"/>
              </w:rPr>
              <w:t>月</w:t>
            </w:r>
            <w:r>
              <w:rPr>
                <w:rFonts w:hint="eastAsia" w:ascii="宋体" w:hAnsi="宋体" w:cs="宋体"/>
                <w:color w:val="auto"/>
                <w:sz w:val="22"/>
                <w:highlight w:val="none"/>
                <w:lang w:val="en-US" w:eastAsia="zh-CN"/>
              </w:rPr>
              <w:t>31</w:t>
            </w:r>
            <w:r>
              <w:rPr>
                <w:rFonts w:hint="eastAsia" w:ascii="宋体" w:hAnsi="宋体" w:eastAsia="宋体" w:cs="宋体"/>
                <w:color w:val="auto"/>
                <w:sz w:val="22"/>
                <w:highlight w:val="none"/>
              </w:rPr>
              <w:t>日</w:t>
            </w:r>
            <w:r>
              <w:rPr>
                <w:rFonts w:hint="eastAsia" w:ascii="宋体" w:hAnsi="宋体" w:cs="宋体"/>
                <w:color w:val="auto"/>
                <w:sz w:val="22"/>
                <w:highlight w:val="none"/>
                <w:lang w:val="en-US" w:eastAsia="zh-CN"/>
              </w:rPr>
              <w:t>09</w:t>
            </w:r>
            <w:r>
              <w:rPr>
                <w:rFonts w:hint="eastAsia" w:ascii="宋体" w:hAnsi="宋体" w:eastAsia="宋体" w:cs="宋体"/>
                <w:color w:val="auto"/>
                <w:sz w:val="22"/>
                <w:highlight w:val="none"/>
              </w:rPr>
              <w:t>:30</w:t>
            </w:r>
            <w:r>
              <w:rPr>
                <w:rFonts w:hint="eastAsia"/>
                <w:color w:val="auto"/>
                <w:sz w:val="22"/>
                <w:szCs w:val="22"/>
                <w:highlight w:val="none"/>
                <w:u w:val="none"/>
              </w:rPr>
              <w:t>（北京时间）</w:t>
            </w:r>
            <w:bookmarkStart w:id="62" w:name="_GoBack"/>
            <w:bookmarkEnd w:id="62"/>
          </w:p>
          <w:p>
            <w:pPr>
              <w:widowControl/>
              <w:snapToGrid w:val="0"/>
              <w:spacing w:line="460" w:lineRule="exact"/>
              <w:jc w:val="left"/>
              <w:rPr>
                <w:rFonts w:hint="eastAsia" w:ascii="宋体" w:hAnsi="宋体" w:eastAsia="宋体" w:cs="宋体"/>
                <w:color w:val="auto"/>
                <w:sz w:val="22"/>
                <w:szCs w:val="22"/>
                <w:highlight w:val="none"/>
              </w:rPr>
            </w:pPr>
            <w:r>
              <w:rPr>
                <w:rFonts w:hint="eastAsia" w:ascii="宋体" w:hAnsi="宋体" w:eastAsia="宋体" w:cs="宋体"/>
                <w:b w:val="0"/>
                <w:bCs w:val="0"/>
                <w:color w:val="auto"/>
                <w:sz w:val="22"/>
                <w:szCs w:val="22"/>
                <w:highlight w:val="none"/>
                <w:lang w:val="en-US" w:eastAsia="zh-CN"/>
              </w:rPr>
              <w:t>开标地点（网址）：</w:t>
            </w:r>
            <w:r>
              <w:rPr>
                <w:rFonts w:hint="eastAsia" w:ascii="宋体" w:hAnsi="宋体" w:eastAsia="宋体" w:cs="宋体"/>
                <w:color w:val="auto"/>
                <w:sz w:val="22"/>
                <w:highlight w:val="none"/>
                <w:lang w:eastAsia="zh-CN"/>
              </w:rPr>
              <w:t>温州市鹿城区学院中路229号三想集团5楼（</w:t>
            </w:r>
            <w:r>
              <w:rPr>
                <w:rFonts w:hint="eastAsia" w:ascii="宋体" w:hAnsi="宋体" w:eastAsia="宋体" w:cs="宋体"/>
                <w:color w:val="auto"/>
                <w:sz w:val="22"/>
                <w:highlight w:val="none"/>
                <w:lang w:val="en-US" w:eastAsia="zh-CN"/>
              </w:rPr>
              <w:t>政采云</w:t>
            </w:r>
            <w:r>
              <w:rPr>
                <w:rFonts w:hint="eastAsia" w:ascii="宋体" w:hAnsi="宋体" w:eastAsia="宋体" w:cs="宋体"/>
                <w:color w:val="auto"/>
                <w:sz w:val="21"/>
                <w:szCs w:val="22"/>
                <w:highlight w:val="none"/>
              </w:rPr>
              <w:t>http://zfcg.czt.zj.gov.cn</w:t>
            </w:r>
            <w:r>
              <w:rPr>
                <w:rFonts w:hint="eastAsia" w:ascii="宋体" w:hAnsi="宋体" w:eastAsia="宋体" w:cs="宋体"/>
                <w:color w:val="auto"/>
                <w:sz w:val="22"/>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auto" w:sz="4" w:space="0"/>
              <w:left w:val="single" w:color="000000" w:sz="8" w:space="0"/>
              <w:bottom w:val="single" w:color="auto" w:sz="4"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1</w:t>
            </w:r>
            <w:r>
              <w:rPr>
                <w:rFonts w:hint="eastAsia" w:ascii="宋体" w:hAnsi="宋体" w:eastAsia="宋体" w:cs="宋体"/>
                <w:b/>
                <w:bCs/>
                <w:color w:val="auto"/>
                <w:sz w:val="22"/>
                <w:szCs w:val="22"/>
                <w:highlight w:val="none"/>
                <w:lang w:val="en-US" w:eastAsia="zh-CN"/>
              </w:rPr>
              <w:t>4</w:t>
            </w:r>
          </w:p>
        </w:tc>
        <w:tc>
          <w:tcPr>
            <w:tcW w:w="9590" w:type="dxa"/>
            <w:tcBorders>
              <w:top w:val="single" w:color="auto" w:sz="4" w:space="0"/>
              <w:left w:val="single" w:color="000000" w:sz="2" w:space="0"/>
              <w:bottom w:val="single" w:color="auto" w:sz="4"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带“▲”条款系指实质性要求条款。“★”是关键技术参数及要求。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kern w:val="0"/>
                <w:sz w:val="22"/>
                <w:szCs w:val="22"/>
                <w:highlight w:val="none"/>
              </w:rPr>
              <w:t>1</w:t>
            </w:r>
            <w:r>
              <w:rPr>
                <w:rFonts w:hint="eastAsia" w:ascii="宋体" w:hAnsi="宋体" w:cs="宋体"/>
                <w:b/>
                <w:bCs/>
                <w:color w:val="auto"/>
                <w:kern w:val="0"/>
                <w:sz w:val="22"/>
                <w:szCs w:val="22"/>
                <w:highlight w:val="none"/>
                <w:lang w:val="en-US" w:eastAsia="zh-CN"/>
              </w:rPr>
              <w:t>5</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b/>
                <w:color w:val="auto"/>
                <w:kern w:val="10"/>
                <w:sz w:val="22"/>
                <w:szCs w:val="22"/>
                <w:highlight w:val="none"/>
              </w:rPr>
              <w:t>潜在供应商需在浙江政府采购网http://http://zfcg.czt.zj.gov.cn/进行免费注册，具体详见浙江政府采购网供应商注册要求。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kern w:val="0"/>
                <w:sz w:val="22"/>
                <w:szCs w:val="22"/>
                <w:highlight w:val="none"/>
              </w:rPr>
              <w:t>1</w:t>
            </w:r>
            <w:r>
              <w:rPr>
                <w:rFonts w:hint="eastAsia" w:ascii="宋体" w:hAnsi="宋体" w:cs="宋体"/>
                <w:b/>
                <w:bCs/>
                <w:color w:val="auto"/>
                <w:kern w:val="0"/>
                <w:sz w:val="22"/>
                <w:szCs w:val="22"/>
                <w:highlight w:val="none"/>
                <w:lang w:val="en-US" w:eastAsia="zh-CN"/>
              </w:rPr>
              <w:t>6</w:t>
            </w:r>
          </w:p>
        </w:tc>
        <w:tc>
          <w:tcPr>
            <w:tcW w:w="9590" w:type="dxa"/>
            <w:tcBorders>
              <w:top w:val="single" w:color="000000" w:sz="2" w:space="0"/>
              <w:left w:val="single" w:color="000000" w:sz="2" w:space="0"/>
              <w:bottom w:val="single" w:color="000000" w:sz="2" w:space="0"/>
              <w:right w:val="single" w:color="000000" w:sz="8" w:space="0"/>
            </w:tcBorders>
            <w:vAlign w:val="center"/>
          </w:tcPr>
          <w:p>
            <w:pPr>
              <w:widowControl/>
              <w:snapToGrid w:val="0"/>
              <w:spacing w:line="460" w:lineRule="exact"/>
              <w:ind w:firstLine="440" w:firstLineChars="200"/>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rPr>
              <w:t>1、本项目对符合财政扶持政策的中小企业（小型、微型）、监狱企业、残疾人福利性单位给予价格优惠扶持，价格优惠扶持</w:t>
            </w:r>
            <w:r>
              <w:rPr>
                <w:rFonts w:hint="eastAsia" w:ascii="宋体" w:hAnsi="宋体" w:cs="宋体"/>
                <w:color w:val="auto"/>
                <w:kern w:val="0"/>
                <w:sz w:val="22"/>
                <w:szCs w:val="22"/>
                <w:highlight w:val="none"/>
                <w:lang w:eastAsia="zh-CN"/>
              </w:rPr>
              <w:t>：</w:t>
            </w:r>
          </w:p>
          <w:p>
            <w:pPr>
              <w:widowControl/>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满足转发财政部 工业和信息化部关于印发《</w:t>
            </w:r>
            <w:r>
              <w:rPr>
                <w:rFonts w:hint="eastAsia" w:ascii="宋体" w:hAnsi="宋体" w:eastAsia="宋体" w:cs="宋体"/>
                <w:color w:val="auto"/>
                <w:kern w:val="0"/>
                <w:sz w:val="22"/>
                <w:szCs w:val="22"/>
                <w:highlight w:val="none"/>
                <w:lang w:eastAsia="zh-CN"/>
              </w:rPr>
              <w:t>政府采购促进中小企业发展管理办法</w:t>
            </w:r>
            <w:r>
              <w:rPr>
                <w:rFonts w:hint="eastAsia" w:ascii="宋体" w:hAnsi="宋体" w:eastAsia="宋体" w:cs="宋体"/>
                <w:color w:val="auto"/>
                <w:kern w:val="0"/>
                <w:sz w:val="22"/>
                <w:szCs w:val="22"/>
                <w:highlight w:val="none"/>
              </w:rPr>
              <w:t>》的通知（</w:t>
            </w:r>
            <w:r>
              <w:rPr>
                <w:rFonts w:hint="eastAsia" w:ascii="宋体" w:hAnsi="宋体" w:eastAsia="宋体" w:cs="宋体"/>
                <w:color w:val="auto"/>
                <w:kern w:val="0"/>
                <w:sz w:val="22"/>
                <w:szCs w:val="22"/>
                <w:highlight w:val="none"/>
                <w:lang w:eastAsia="zh-CN"/>
              </w:rPr>
              <w:t>财库﹝2020﹞46号</w:t>
            </w:r>
            <w:r>
              <w:rPr>
                <w:rFonts w:hint="eastAsia" w:ascii="宋体" w:hAnsi="宋体" w:eastAsia="宋体" w:cs="宋体"/>
                <w:color w:val="auto"/>
                <w:kern w:val="0"/>
                <w:sz w:val="22"/>
                <w:szCs w:val="22"/>
                <w:highlight w:val="none"/>
              </w:rPr>
              <w:t>）的规定的中小企业可享受优惠扶持。</w:t>
            </w:r>
          </w:p>
          <w:p>
            <w:pPr>
              <w:widowControl/>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满足关于政府采购支持监狱企业发展有关问题的通知（财库[2014]68号）的规定的供应商可享受优惠扶持。</w:t>
            </w:r>
          </w:p>
          <w:p>
            <w:pPr>
              <w:widowControl/>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满足关于促进残疾人就业政府采购政策的通知（财库[2017]141号）的规定的供应商可享受优惠扶持。</w:t>
            </w:r>
          </w:p>
          <w:p>
            <w:pPr>
              <w:widowControl/>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cs="宋体"/>
                <w:color w:val="auto"/>
                <w:kern w:val="0"/>
                <w:sz w:val="22"/>
                <w:szCs w:val="22"/>
                <w:highlight w:val="none"/>
                <w:lang w:val="en-US" w:eastAsia="zh-CN"/>
              </w:rPr>
              <w:t>2</w:t>
            </w:r>
            <w:r>
              <w:rPr>
                <w:rFonts w:hint="eastAsia" w:ascii="宋体" w:hAnsi="宋体" w:eastAsia="宋体" w:cs="宋体"/>
                <w:color w:val="auto"/>
                <w:kern w:val="0"/>
                <w:sz w:val="22"/>
                <w:szCs w:val="22"/>
                <w:highlight w:val="none"/>
              </w:rPr>
              <w:t>、节能产品、环境标志产品的强制采购政策</w:t>
            </w:r>
          </w:p>
          <w:p>
            <w:pPr>
              <w:widowControl/>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rPr>
              <w:t>、节能产品、环境标志产品的优先采购政策</w:t>
            </w:r>
          </w:p>
          <w:p>
            <w:pPr>
              <w:widowControl/>
              <w:snapToGrid w:val="0"/>
              <w:spacing w:line="460" w:lineRule="exact"/>
              <w:ind w:firstLine="440" w:firstLineChars="200"/>
              <w:jc w:val="left"/>
              <w:rPr>
                <w:rFonts w:hint="eastAsia" w:ascii="宋体" w:hAnsi="宋体" w:eastAsia="宋体" w:cs="宋体"/>
                <w:b/>
                <w:color w:val="auto"/>
                <w:kern w:val="10"/>
                <w:sz w:val="22"/>
                <w:szCs w:val="22"/>
                <w:highlight w:val="none"/>
              </w:rPr>
            </w:pPr>
            <w:r>
              <w:rPr>
                <w:rFonts w:hint="eastAsia" w:ascii="宋体" w:hAnsi="宋体" w:eastAsia="宋体" w:cs="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kern w:val="0"/>
                <w:sz w:val="22"/>
                <w:szCs w:val="22"/>
                <w:highlight w:val="none"/>
              </w:rPr>
              <w:t>1</w:t>
            </w:r>
            <w:r>
              <w:rPr>
                <w:rFonts w:hint="eastAsia" w:ascii="宋体" w:hAnsi="宋体" w:cs="宋体"/>
                <w:b/>
                <w:bCs/>
                <w:color w:val="auto"/>
                <w:kern w:val="0"/>
                <w:sz w:val="22"/>
                <w:szCs w:val="22"/>
                <w:highlight w:val="none"/>
                <w:lang w:val="en-US" w:eastAsia="zh-CN"/>
              </w:rPr>
              <w:t>7</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ind w:left="105" w:leftChars="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根据《关于在政府采购活动中查询及使用信用记录有关问题的通知》财库[2016]125号的规定：</w:t>
            </w:r>
          </w:p>
          <w:p>
            <w:pPr>
              <w:snapToGrid w:val="0"/>
              <w:spacing w:line="460" w:lineRule="exact"/>
              <w:ind w:left="105" w:leftChars="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1）招标人或采购代理机构将对本项目供应商的信用记录进行查询。查询渠道为信用中国网站（www.creditchina.gov.cn）、中国政府采购网（www.ccgp.gov.cn）；</w:t>
            </w:r>
          </w:p>
          <w:p>
            <w:pPr>
              <w:snapToGrid w:val="0"/>
              <w:spacing w:line="460" w:lineRule="exact"/>
              <w:ind w:firstLine="110" w:firstLineChars="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2）截止时点：提交投标文件（响应文件）截止时间前3年内；</w:t>
            </w:r>
          </w:p>
          <w:p>
            <w:pPr>
              <w:snapToGrid w:val="0"/>
              <w:spacing w:line="460" w:lineRule="exact"/>
              <w:ind w:left="105" w:leftChars="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3）查询记录和证据的留存：信用信息查询记录和证据以网页截图等方式留存。</w:t>
            </w:r>
          </w:p>
          <w:p>
            <w:pPr>
              <w:snapToGrid w:val="0"/>
              <w:spacing w:line="460" w:lineRule="exact"/>
              <w:ind w:left="105" w:leftChars="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460" w:lineRule="exact"/>
              <w:rPr>
                <w:rFonts w:hint="eastAsia" w:ascii="宋体" w:hAnsi="宋体" w:eastAsia="宋体" w:cs="宋体"/>
                <w:b/>
                <w:color w:val="auto"/>
                <w:kern w:val="10"/>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5）联合体成员任意一方存在不良信用记录的，视同联合体存在不良信用记录。</w:t>
            </w:r>
          </w:p>
        </w:tc>
      </w:tr>
    </w:tbl>
    <w:p>
      <w:pPr>
        <w:rPr>
          <w:rFonts w:hint="eastAsia" w:ascii="宋体" w:hAnsi="宋体" w:eastAsia="宋体" w:cs="宋体"/>
          <w:b/>
          <w:bCs/>
          <w:color w:val="auto"/>
          <w:sz w:val="26"/>
          <w:szCs w:val="26"/>
          <w:highlight w:val="none"/>
        </w:rPr>
      </w:pPr>
      <w:r>
        <w:rPr>
          <w:rFonts w:hint="eastAsia" w:ascii="宋体" w:hAnsi="宋体" w:eastAsia="宋体" w:cs="宋体"/>
          <w:b/>
          <w:bCs/>
          <w:color w:val="auto"/>
          <w:sz w:val="26"/>
          <w:szCs w:val="26"/>
          <w:highlight w:val="none"/>
        </w:rPr>
        <w:br w:type="page"/>
      </w:r>
    </w:p>
    <w:p>
      <w:pPr>
        <w:spacing w:before="100" w:beforeAutospacing="1" w:after="100" w:afterAutospacing="1" w:line="460" w:lineRule="exact"/>
        <w:jc w:val="center"/>
        <w:outlineLvl w:val="1"/>
        <w:rPr>
          <w:rFonts w:hint="eastAsia" w:ascii="宋体" w:hAnsi="宋体" w:eastAsia="宋体" w:cs="宋体"/>
          <w:b/>
          <w:bCs/>
          <w:color w:val="auto"/>
          <w:sz w:val="32"/>
          <w:szCs w:val="32"/>
          <w:highlight w:val="none"/>
        </w:rPr>
      </w:pPr>
      <w:bookmarkStart w:id="10" w:name="_Toc19070"/>
      <w:bookmarkStart w:id="11" w:name="_Toc20846"/>
      <w:r>
        <w:rPr>
          <w:rFonts w:hint="eastAsia" w:ascii="宋体" w:hAnsi="宋体" w:eastAsia="宋体" w:cs="宋体"/>
          <w:b/>
          <w:bCs/>
          <w:color w:val="auto"/>
          <w:sz w:val="26"/>
          <w:szCs w:val="26"/>
          <w:highlight w:val="none"/>
        </w:rPr>
        <w:t>一、 说   明</w:t>
      </w:r>
      <w:bookmarkEnd w:id="10"/>
      <w:bookmarkEnd w:id="11"/>
    </w:p>
    <w:p>
      <w:pPr>
        <w:tabs>
          <w:tab w:val="left" w:pos="360"/>
        </w:tabs>
        <w:spacing w:line="460" w:lineRule="exact"/>
        <w:ind w:firstLine="550" w:firstLineChars="250"/>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本次招标是按照《中华人民共和国政府采购法》、《政府采购货物和服务招标投标管理办法》、《中华人民共和国政府采购法实施条例》和《关于进一步规范政府采购活动的若干意见》等法律及有关法规组织和实施的。</w:t>
      </w:r>
    </w:p>
    <w:p>
      <w:pPr>
        <w:tabs>
          <w:tab w:val="left" w:pos="360"/>
        </w:tabs>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2、定义</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招标人：是指依法进行政府采购的国家机关、事业单位、团体组织</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招标代理机构：受招标人委托，在委托的范围内办理政府采购事宜的机构；</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投标人：是指参加本政府采购项目投标的供应商；</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投标人代表：是指参加本项目投标活动的供应商法定代表人或法定代表人授权代表；</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投标联合体：是指两个以上供应商组成联合体，以一个供应商的身份参加投标；</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甲方：是指合同签订的一方，一般与招标人、用户相同；</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乙方：是指合同签订的另一方，与中标人相同；</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制造商：是指拥有投标产品自主知识产权的单位；</w:t>
      </w:r>
    </w:p>
    <w:p>
      <w:pPr>
        <w:tabs>
          <w:tab w:val="left" w:pos="360"/>
        </w:tabs>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原件备查：要求携带原件备查的，供应商应按要求携带备查，如评标委员会发现投标文件资料复印件存有瑕疵，致使内容模糊、关键信息难以辨认、材料真实性存疑等情形的，有权核对原件或评标委员会认为有必有核对原件，若供应商未能提交原件，将会导致评标委员会作出对 其不利的评定，一切后果由供应商自行承担。</w:t>
      </w:r>
    </w:p>
    <w:p>
      <w:pPr>
        <w:tabs>
          <w:tab w:val="left" w:pos="360"/>
        </w:tabs>
        <w:spacing w:line="460" w:lineRule="exact"/>
        <w:ind w:firstLine="552" w:firstLineChars="25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带“▲”条款系指实质性要求条款。“★”是关键技术参数及要求。</w:t>
      </w:r>
    </w:p>
    <w:p>
      <w:pPr>
        <w:tabs>
          <w:tab w:val="left" w:pos="360"/>
        </w:tabs>
        <w:spacing w:line="460" w:lineRule="exact"/>
        <w:ind w:firstLine="541" w:firstLineChars="245"/>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3、投标人代表</w:t>
      </w:r>
    </w:p>
    <w:p>
      <w:pPr>
        <w:tabs>
          <w:tab w:val="left" w:pos="360"/>
        </w:tabs>
        <w:spacing w:line="460" w:lineRule="exact"/>
        <w:ind w:firstLine="539" w:firstLineChars="245"/>
        <w:rPr>
          <w:rFonts w:hint="eastAsia" w:ascii="宋体" w:hAnsi="宋体" w:eastAsia="宋体" w:cs="宋体"/>
          <w:b w:val="0"/>
          <w:bCs/>
          <w:color w:val="auto"/>
          <w:sz w:val="22"/>
          <w:highlight w:val="none"/>
        </w:rPr>
      </w:pPr>
      <w:r>
        <w:rPr>
          <w:rFonts w:hint="eastAsia" w:ascii="宋体" w:hAnsi="宋体" w:eastAsia="宋体" w:cs="宋体"/>
          <w:b w:val="0"/>
          <w:bCs/>
          <w:color w:val="auto"/>
          <w:sz w:val="22"/>
          <w:szCs w:val="22"/>
          <w:highlight w:val="none"/>
        </w:rPr>
        <w:t>3.1</w:t>
      </w:r>
      <w:r>
        <w:rPr>
          <w:rFonts w:hint="eastAsia" w:ascii="宋体" w:hAnsi="宋体" w:eastAsia="宋体" w:cs="宋体"/>
          <w:b w:val="0"/>
          <w:bCs/>
          <w:color w:val="auto"/>
          <w:sz w:val="22"/>
          <w:highlight w:val="none"/>
        </w:rPr>
        <w:t>指全权代表投标人参加投标活动并签署投标文件的人。如果投标人代表不是法定代表人，须持有《法定代表人授权书》（见附件）</w:t>
      </w:r>
    </w:p>
    <w:p>
      <w:pPr>
        <w:tabs>
          <w:tab w:val="left" w:pos="360"/>
        </w:tabs>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r>
        <w:rPr>
          <w:rFonts w:hint="eastAsia" w:ascii="宋体" w:hAnsi="宋体" w:eastAsia="宋体" w:cs="宋体"/>
          <w:b/>
          <w:color w:val="auto"/>
          <w:sz w:val="22"/>
          <w:szCs w:val="22"/>
          <w:highlight w:val="none"/>
        </w:rPr>
        <w:t>。</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4、投标费用</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4.1投标人应承担所有与准备和参加投标有关费用，不论投标的结果如何，招标人或招标代理机构均无义务和责任承担这些费用。</w:t>
      </w:r>
    </w:p>
    <w:p>
      <w:pPr>
        <w:spacing w:before="100" w:beforeAutospacing="1" w:after="100" w:afterAutospacing="1" w:line="460" w:lineRule="exact"/>
        <w:jc w:val="center"/>
        <w:outlineLvl w:val="1"/>
        <w:rPr>
          <w:rFonts w:hint="eastAsia" w:ascii="宋体" w:hAnsi="宋体" w:eastAsia="宋体" w:cs="宋体"/>
          <w:b/>
          <w:bCs/>
          <w:color w:val="auto"/>
          <w:sz w:val="26"/>
          <w:szCs w:val="26"/>
          <w:highlight w:val="none"/>
        </w:rPr>
      </w:pPr>
      <w:bookmarkStart w:id="12" w:name="_Toc28278"/>
      <w:bookmarkStart w:id="13" w:name="_Toc9899"/>
      <w:r>
        <w:rPr>
          <w:rFonts w:hint="eastAsia" w:ascii="宋体" w:hAnsi="宋体" w:eastAsia="宋体" w:cs="宋体"/>
          <w:b/>
          <w:bCs/>
          <w:color w:val="auto"/>
          <w:sz w:val="26"/>
          <w:szCs w:val="26"/>
          <w:highlight w:val="none"/>
        </w:rPr>
        <w:t>二、 招标文件</w:t>
      </w:r>
      <w:bookmarkEnd w:id="12"/>
      <w:bookmarkEnd w:id="13"/>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1、招标文件由招标文件目录所列内容及相关资料组成。</w:t>
      </w:r>
    </w:p>
    <w:p>
      <w:pPr>
        <w:tabs>
          <w:tab w:val="left" w:pos="360"/>
        </w:tabs>
        <w:spacing w:line="460" w:lineRule="exact"/>
        <w:ind w:firstLine="550" w:firstLineChars="25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2、招标文件的澄清</w:t>
      </w:r>
    </w:p>
    <w:p>
      <w:pPr>
        <w:tabs>
          <w:tab w:val="left" w:pos="360"/>
        </w:tabs>
        <w:spacing w:line="460" w:lineRule="exact"/>
        <w:ind w:firstLine="550" w:firstLineChars="25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2.1 任何要求对招标文件进行澄清的投标人，均应以书面形式（信函、传真，下同）通知，但该通知在知道或应知道其权益受到损害之日起七个工作日内以使招标人或招标代理机构收到，招标人或招标代理机构将以书面形式予以答复。如有必要，可将不说明问题来源的答复发给各投标文件收受人或召开答疑会。如果招标文件澄清期内未收到有关澄清要求，视为投标人完全同意招标文件所有条款，且对于招标文件有关表述以及未尽事宜如有异议，以招标人或招标代理机构解释为准。</w:t>
      </w:r>
    </w:p>
    <w:p>
      <w:pPr>
        <w:tabs>
          <w:tab w:val="left" w:pos="360"/>
        </w:tabs>
        <w:spacing w:line="460" w:lineRule="exact"/>
        <w:ind w:firstLine="550" w:firstLineChars="25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3、招标文件的修改</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3.1招标人或招标代理机构对已发出的招标文件进行必要的澄清或者修改的，应当在招标文件要求递交投标文件截止时间十五日前，在财政部门指定的政府采购信息发布媒体上发布更正公告，并以书面形式通知所有招标文件收受人。该澄清或修改内容为招标文件的组成部分。招标文件收受人收到该书面通知后，应立即书面回复确认已收到该通知。</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3.2招标人、招标代理机构可以视采购的具体情况决定是否延长投标截止时间和开标时间，并在招标文件要求递交投标文件的截止时间前，将变更时间书面通知所有招标文件收受人，同时在财政部门指定的政府采购信息发布媒体上发布变更公告。招标文件收受人收到变更时间的书面通知后，应立即书面回复确认已收到该通知</w:t>
      </w:r>
      <w:r>
        <w:rPr>
          <w:rFonts w:hint="eastAsia" w:ascii="宋体" w:hAnsi="宋体" w:eastAsia="宋体" w:cs="宋体"/>
          <w:color w:val="auto"/>
          <w:sz w:val="22"/>
          <w:szCs w:val="22"/>
          <w:highlight w:val="none"/>
        </w:rPr>
        <w:t>。</w:t>
      </w:r>
    </w:p>
    <w:p>
      <w:pPr>
        <w:spacing w:before="100" w:beforeAutospacing="1" w:after="100" w:afterAutospacing="1" w:line="460" w:lineRule="exact"/>
        <w:jc w:val="center"/>
        <w:outlineLvl w:val="1"/>
        <w:rPr>
          <w:rFonts w:hint="eastAsia" w:ascii="宋体" w:hAnsi="宋体" w:eastAsia="宋体" w:cs="宋体"/>
          <w:b/>
          <w:bCs/>
          <w:color w:val="auto"/>
          <w:sz w:val="26"/>
          <w:szCs w:val="26"/>
          <w:highlight w:val="none"/>
        </w:rPr>
      </w:pPr>
      <w:bookmarkStart w:id="14" w:name="_Toc22646"/>
      <w:bookmarkStart w:id="15" w:name="_Toc12726"/>
      <w:r>
        <w:rPr>
          <w:rFonts w:hint="eastAsia" w:ascii="宋体" w:hAnsi="宋体" w:eastAsia="宋体" w:cs="宋体"/>
          <w:b/>
          <w:bCs/>
          <w:color w:val="auto"/>
          <w:sz w:val="26"/>
          <w:szCs w:val="26"/>
          <w:highlight w:val="none"/>
        </w:rPr>
        <w:t>三、 投标文件的编制</w:t>
      </w:r>
      <w:bookmarkEnd w:id="14"/>
      <w:bookmarkEnd w:id="15"/>
    </w:p>
    <w:p>
      <w:pPr>
        <w:tabs>
          <w:tab w:val="left" w:pos="360"/>
        </w:tabs>
        <w:spacing w:line="460" w:lineRule="exact"/>
        <w:ind w:firstLine="550" w:firstLineChars="250"/>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1、投标人应认真阅读招标文件中所有事项、格式、条款和技术规范等。投标人没有按照招标文件要求提交全部资料，或者没有对招标文件各个方面做出实质性响应，导致投标被否决的风险由投标人自行承担。</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highlight w:val="none"/>
        </w:rPr>
        <w:t>2、投标人应保证所提供文件资料的真实性，所有文件资料必须是针对本次投标的。如发现投标人提供了虚假文件资料，其投标将被否决，并自行承担相应的法律责任。</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3、</w:t>
      </w:r>
      <w:r>
        <w:rPr>
          <w:rFonts w:hint="eastAsia" w:ascii="宋体" w:hAnsi="宋体" w:eastAsia="宋体" w:cs="宋体"/>
          <w:b/>
          <w:bCs/>
          <w:color w:val="auto"/>
          <w:sz w:val="22"/>
          <w:szCs w:val="22"/>
          <w:highlight w:val="none"/>
        </w:rPr>
        <w:t>投标文件的构成：</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rPr>
        <w:t>投标</w:t>
      </w:r>
      <w:r>
        <w:rPr>
          <w:rFonts w:hint="eastAsia" w:ascii="宋体" w:hAnsi="宋体" w:eastAsia="宋体" w:cs="宋体"/>
          <w:b/>
          <w:bCs/>
          <w:color w:val="auto"/>
          <w:kern w:val="0"/>
          <w:sz w:val="22"/>
          <w:szCs w:val="22"/>
          <w:highlight w:val="none"/>
          <w:lang w:val="zh-CN"/>
        </w:rPr>
        <w:t>文件应当包括以下主要内容：资格文件、报价文件、商务技术文件。</w:t>
      </w:r>
    </w:p>
    <w:p>
      <w:pPr>
        <w:spacing w:line="460" w:lineRule="exact"/>
        <w:ind w:firstLine="541" w:firstLineChars="245"/>
        <w:rPr>
          <w:rFonts w:hint="eastAsia" w:ascii="宋体" w:hAnsi="宋体" w:eastAsia="宋体" w:cs="宋体"/>
          <w:b/>
          <w:bCs/>
          <w:color w:val="auto"/>
          <w:kern w:val="0"/>
          <w:sz w:val="22"/>
          <w:szCs w:val="22"/>
          <w:highlight w:val="none"/>
          <w:u w:val="none"/>
          <w:lang w:val="zh-CN"/>
        </w:rPr>
      </w:pPr>
      <w:r>
        <w:rPr>
          <w:rFonts w:hint="eastAsia" w:ascii="宋体" w:hAnsi="宋体" w:eastAsia="宋体" w:cs="宋体"/>
          <w:b/>
          <w:bCs/>
          <w:color w:val="auto"/>
          <w:kern w:val="0"/>
          <w:sz w:val="22"/>
          <w:szCs w:val="22"/>
          <w:highlight w:val="none"/>
          <w:u w:val="none"/>
        </w:rPr>
        <w:t>3.1</w:t>
      </w:r>
      <w:r>
        <w:rPr>
          <w:rFonts w:hint="eastAsia" w:ascii="宋体" w:hAnsi="宋体" w:eastAsia="宋体" w:cs="宋体"/>
          <w:b/>
          <w:bCs/>
          <w:color w:val="auto"/>
          <w:kern w:val="0"/>
          <w:sz w:val="22"/>
          <w:szCs w:val="22"/>
          <w:highlight w:val="none"/>
          <w:u w:val="none"/>
          <w:lang w:val="zh-CN"/>
        </w:rPr>
        <w:t xml:space="preserve">投标人的资格文件至少应包括以下内容： </w:t>
      </w:r>
    </w:p>
    <w:p>
      <w:pPr>
        <w:spacing w:line="460" w:lineRule="exact"/>
        <w:ind w:firstLine="539" w:firstLineChars="245"/>
        <w:rPr>
          <w:rFonts w:hint="eastAsia" w:ascii="宋体" w:hAnsi="宋体" w:eastAsia="宋体" w:cs="宋体"/>
          <w:color w:val="auto"/>
          <w:kern w:val="0"/>
          <w:sz w:val="22"/>
          <w:szCs w:val="22"/>
          <w:highlight w:val="none"/>
          <w:u w:val="none"/>
          <w:lang w:val="zh-CN"/>
        </w:rPr>
      </w:pPr>
      <w:r>
        <w:rPr>
          <w:rFonts w:hint="eastAsia" w:ascii="宋体" w:hAnsi="宋体" w:eastAsia="宋体" w:cs="宋体"/>
          <w:color w:val="auto"/>
          <w:kern w:val="0"/>
          <w:sz w:val="22"/>
          <w:szCs w:val="22"/>
          <w:highlight w:val="none"/>
          <w:u w:val="none"/>
          <w:lang w:val="zh-CN"/>
        </w:rPr>
        <w:t>基本资格条件审查材料：即证明其符合《中华人民共和国政府采购法》规定的供应商基本条件的有关资格证明文件。</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包括：</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（1）</w:t>
      </w:r>
      <w:r>
        <w:rPr>
          <w:rFonts w:hint="eastAsia" w:ascii="宋体" w:hAnsi="宋体" w:eastAsia="宋体" w:cs="宋体"/>
          <w:bCs/>
          <w:color w:val="auto"/>
          <w:sz w:val="22"/>
          <w:szCs w:val="22"/>
          <w:highlight w:val="none"/>
          <w:u w:val="none"/>
        </w:rPr>
        <w:t>营业执照</w:t>
      </w:r>
      <w:r>
        <w:rPr>
          <w:rFonts w:hint="eastAsia" w:ascii="宋体" w:hAnsi="宋体" w:eastAsia="宋体" w:cs="宋体"/>
          <w:color w:val="auto"/>
          <w:sz w:val="22"/>
          <w:szCs w:val="22"/>
          <w:highlight w:val="none"/>
          <w:u w:val="none"/>
        </w:rPr>
        <w:t xml:space="preserve">(或事业法人登记证书或其它工商等登记证明材料；自然人参与政府采购，提供身份证)复印件； </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（2）最近一年财务报表(复印件，新成立的公司提供情况说明)；</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（3）具有履行合同所必需的场地、设备和专业技术能力的承诺函；</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（4）依法缴纳税收和社会保障资金的承诺函；</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（5）参加政府采购活动前3年内在经营活动中没有重大违法记录的声明函；</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（6）单位负责人为同一人或者存在直接控股、管理关系的不同供应商，不得参加同一合同项下的政府采购活动承诺函；</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（7）供应商不属于公益一类事业单位承诺函。</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（8）未被“信用中国”（www.creditchina.gov.cn）、中国政府采购网（www.ccgp.gov.cn）列入失信被执行人、重大税收违法案件当事人名单、政府采购严重违法失信行为记录名单.</w:t>
      </w:r>
    </w:p>
    <w:p>
      <w:pPr>
        <w:snapToGrid w:val="0"/>
        <w:spacing w:line="460" w:lineRule="exact"/>
        <w:ind w:left="525" w:leftChars="25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信用信息查询记录和证据以项目公告发出日期后的网页截图为准；</w:t>
      </w:r>
    </w:p>
    <w:p>
      <w:pPr>
        <w:snapToGrid w:val="0"/>
        <w:spacing w:line="460" w:lineRule="exact"/>
        <w:ind w:left="525" w:leftChars="25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（9）政府采购活动确认声明书</w:t>
      </w:r>
    </w:p>
    <w:p>
      <w:pPr>
        <w:snapToGrid w:val="0"/>
        <w:spacing w:line="460" w:lineRule="exact"/>
        <w:ind w:left="525" w:leftChars="25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上述资格条件审查材料有一项不提供的，视为资格审查不通过。</w:t>
      </w:r>
    </w:p>
    <w:p>
      <w:pPr>
        <w:snapToGrid w:val="0"/>
        <w:spacing w:line="460" w:lineRule="exact"/>
        <w:ind w:left="105" w:leftChars="50" w:firstLine="442" w:firstLineChars="200"/>
        <w:rPr>
          <w:rFonts w:hint="eastAsia" w:ascii="宋体" w:hAnsi="宋体" w:eastAsia="宋体" w:cs="宋体"/>
          <w:color w:val="auto"/>
          <w:sz w:val="22"/>
          <w:szCs w:val="22"/>
          <w:highlight w:val="none"/>
          <w:u w:val="single"/>
          <w:lang w:val="zh-CN"/>
        </w:rPr>
      </w:pPr>
      <w:r>
        <w:rPr>
          <w:rFonts w:hint="eastAsia" w:ascii="宋体" w:hAnsi="宋体" w:eastAsia="宋体" w:cs="宋体"/>
          <w:b/>
          <w:bCs/>
          <w:color w:val="auto"/>
          <w:sz w:val="22"/>
          <w:szCs w:val="22"/>
          <w:highlight w:val="none"/>
        </w:rPr>
        <w:t xml:space="preserve">3.2投标人的报价文件至少应包括以下内容： </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（1）投标函；</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（2）投标报价一览表；</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（3）投标分项报价表</w:t>
      </w:r>
    </w:p>
    <w:p>
      <w:pPr>
        <w:snapToGrid w:val="0"/>
        <w:spacing w:line="460" w:lineRule="exact"/>
        <w:ind w:left="105" w:leftChars="5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none"/>
        </w:rPr>
        <w:t>（4）中小企业声明函、监狱企业、残疾人福利性单位及其他相关的充分的证明材料。（如有）</w:t>
      </w:r>
      <w:r>
        <w:rPr>
          <w:rFonts w:hint="eastAsia" w:ascii="宋体" w:hAnsi="宋体" w:eastAsia="宋体" w:cs="宋体"/>
          <w:color w:val="auto"/>
          <w:sz w:val="22"/>
          <w:szCs w:val="22"/>
          <w:highlight w:val="none"/>
        </w:rPr>
        <w:t xml:space="preserve"> </w:t>
      </w:r>
    </w:p>
    <w:p>
      <w:pPr>
        <w:snapToGrid w:val="0"/>
        <w:spacing w:line="460" w:lineRule="exact"/>
        <w:ind w:firstLine="440" w:firstLineChars="200"/>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rPr>
        <w:t>3.3</w:t>
      </w:r>
      <w:r>
        <w:rPr>
          <w:rFonts w:hint="eastAsia" w:ascii="宋体" w:hAnsi="宋体" w:eastAsia="宋体" w:cs="宋体"/>
          <w:color w:val="auto"/>
          <w:kern w:val="0"/>
          <w:sz w:val="22"/>
          <w:szCs w:val="22"/>
          <w:highlight w:val="none"/>
          <w:lang w:val="zh-CN"/>
        </w:rPr>
        <w:t>投标人的</w:t>
      </w:r>
      <w:r>
        <w:rPr>
          <w:rFonts w:hint="eastAsia" w:ascii="宋体" w:hAnsi="宋体" w:eastAsia="宋体" w:cs="宋体"/>
          <w:b/>
          <w:bCs/>
          <w:color w:val="auto"/>
          <w:kern w:val="0"/>
          <w:sz w:val="22"/>
          <w:szCs w:val="22"/>
          <w:highlight w:val="none"/>
          <w:lang w:val="zh-CN"/>
        </w:rPr>
        <w:t>商务技术文件</w:t>
      </w:r>
      <w:r>
        <w:rPr>
          <w:rFonts w:hint="eastAsia" w:ascii="宋体" w:hAnsi="宋体" w:eastAsia="宋体" w:cs="宋体"/>
          <w:color w:val="auto"/>
          <w:kern w:val="0"/>
          <w:sz w:val="22"/>
          <w:szCs w:val="22"/>
          <w:highlight w:val="none"/>
          <w:lang w:val="zh-CN"/>
        </w:rPr>
        <w:t xml:space="preserve">应包括以下内容： </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（1）法定代表人授权委托书（需提供法定代表人及授权委托人的身份证复印件加盖公章）；</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（2）投标人情况表</w:t>
      </w:r>
    </w:p>
    <w:p>
      <w:pPr>
        <w:snapToGrid w:val="0"/>
        <w:spacing w:line="460" w:lineRule="exact"/>
        <w:ind w:firstLine="440" w:firstLine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zh-CN"/>
        </w:rPr>
        <w:t>偏离表（</w:t>
      </w:r>
      <w:r>
        <w:rPr>
          <w:rFonts w:hint="eastAsia" w:ascii="宋体" w:hAnsi="宋体" w:eastAsia="宋体" w:cs="宋体"/>
          <w:color w:val="auto"/>
          <w:sz w:val="22"/>
          <w:szCs w:val="22"/>
          <w:highlight w:val="none"/>
        </w:rPr>
        <w:t>商务、技术偏离</w:t>
      </w:r>
      <w:r>
        <w:rPr>
          <w:rFonts w:hint="eastAsia" w:ascii="宋体" w:hAnsi="宋体" w:eastAsia="宋体" w:cs="宋体"/>
          <w:color w:val="auto"/>
          <w:sz w:val="22"/>
          <w:szCs w:val="22"/>
          <w:highlight w:val="none"/>
          <w:lang w:val="zh-CN"/>
        </w:rPr>
        <w:t>）</w:t>
      </w:r>
    </w:p>
    <w:p>
      <w:pPr>
        <w:snapToGrid w:val="0"/>
        <w:spacing w:line="460" w:lineRule="exact"/>
        <w:ind w:firstLine="440" w:firstLine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w:t>
      </w: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lang w:val="zh-CN"/>
        </w:rPr>
        <w:t>）详细供货清单说明一览表</w:t>
      </w:r>
    </w:p>
    <w:p>
      <w:pPr>
        <w:snapToGrid w:val="0"/>
        <w:spacing w:line="460" w:lineRule="exact"/>
        <w:ind w:firstLine="440" w:firstLineChars="200"/>
        <w:rPr>
          <w:rFonts w:hint="eastAsia"/>
          <w:lang w:val="zh-CN"/>
        </w:rPr>
      </w:pPr>
      <w:r>
        <w:rPr>
          <w:rFonts w:hint="eastAsia" w:ascii="宋体" w:hAnsi="宋体" w:eastAsia="宋体" w:cs="宋体"/>
          <w:color w:val="auto"/>
          <w:sz w:val="22"/>
          <w:szCs w:val="22"/>
          <w:highlight w:val="none"/>
          <w:lang w:val="zh-CN"/>
        </w:rPr>
        <w:t>（</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lang w:val="zh-CN"/>
        </w:rPr>
        <w:t>）备品、易损件、备件、专用工具清单</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6</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投标产品知名度、美誉度</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7</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投标人情况</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8</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同类项目业绩</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9</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质量保证方案</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10</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售后服务能力</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11</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优惠条件</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）其他必要提供的资料。</w:t>
      </w:r>
    </w:p>
    <w:p>
      <w:pPr>
        <w:spacing w:line="460" w:lineRule="exact"/>
        <w:ind w:firstLine="442" w:firstLineChars="200"/>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投标文件中所需的各种证书、证件、证明资料如是复印件，须在复印件上加盖有效公章。</w:t>
      </w:r>
    </w:p>
    <w:p>
      <w:pPr>
        <w:pStyle w:val="30"/>
        <w:snapToGrid w:val="0"/>
        <w:spacing w:line="460" w:lineRule="exact"/>
        <w:ind w:firstLine="440" w:firstLineChars="200"/>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lang w:val="zh-CN"/>
        </w:rPr>
        <w:t>投标人的</w:t>
      </w:r>
      <w:r>
        <w:rPr>
          <w:rFonts w:hint="eastAsia" w:ascii="宋体" w:hAnsi="宋体" w:eastAsia="宋体" w:cs="宋体"/>
          <w:b w:val="0"/>
          <w:bCs/>
          <w:color w:val="auto"/>
          <w:sz w:val="22"/>
          <w:szCs w:val="22"/>
          <w:highlight w:val="none"/>
          <w:u w:val="none"/>
        </w:rPr>
        <w:t>投标文件必须按照招标文件要求制作。</w:t>
      </w:r>
    </w:p>
    <w:p>
      <w:pPr>
        <w:pStyle w:val="30"/>
        <w:snapToGrid w:val="0"/>
        <w:spacing w:line="460" w:lineRule="exact"/>
        <w:ind w:firstLine="440" w:firstLineChars="200"/>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投标人可在招标文件中对招标货物的技术规格和要求选用替代标准，但这些替代标准必须相当于或优于招标文件中提出的相应要求，并使招标人满意，同时在技术偏离表中作出详细说明。</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4、投标报价</w:t>
      </w:r>
    </w:p>
    <w:p>
      <w:pPr>
        <w:spacing w:line="460" w:lineRule="exact"/>
        <w:ind w:firstLine="539" w:firstLineChars="245"/>
        <w:rPr>
          <w:rFonts w:hint="eastAsia" w:ascii="宋体" w:hAnsi="宋体" w:cs="宋体"/>
          <w:b w:val="0"/>
          <w:bCs/>
          <w:color w:val="auto"/>
          <w:sz w:val="22"/>
          <w:highlight w:val="none"/>
          <w:u w:val="none"/>
        </w:rPr>
      </w:pPr>
      <w:r>
        <w:rPr>
          <w:rFonts w:hint="eastAsia" w:ascii="宋体" w:hAnsi="宋体" w:eastAsia="宋体" w:cs="宋体"/>
          <w:b w:val="0"/>
          <w:bCs/>
          <w:color w:val="auto"/>
          <w:sz w:val="22"/>
          <w:highlight w:val="none"/>
          <w:u w:val="none"/>
        </w:rPr>
        <w:t>4.1投标人应根据国家的有关规定和招标文件要求并结合企业的实际情况进行投标报价。</w:t>
      </w:r>
      <w:r>
        <w:rPr>
          <w:rFonts w:hint="eastAsia" w:ascii="宋体" w:hAnsi="宋体" w:cs="宋体"/>
          <w:b w:val="0"/>
          <w:bCs/>
          <w:color w:val="auto"/>
          <w:sz w:val="22"/>
          <w:szCs w:val="22"/>
          <w:highlight w:val="none"/>
          <w:u w:val="none"/>
        </w:rPr>
        <w:t>包括但不限于制造、货物款、装卸、运输、税金、保险、检测验收（含第三方检测验收）、售后服务、质保期保障、招标代理服务费及其他不可预见费等全部费用，实行固定费用总包干。</w:t>
      </w:r>
      <w:r>
        <w:rPr>
          <w:rFonts w:hint="eastAsia" w:ascii="宋体" w:hAnsi="宋体" w:cs="宋体"/>
          <w:b w:val="0"/>
          <w:bCs/>
          <w:color w:val="auto"/>
          <w:sz w:val="22"/>
          <w:highlight w:val="none"/>
          <w:u w:val="none"/>
          <w:lang w:val="en-US" w:eastAsia="zh-CN"/>
        </w:rPr>
        <w:t>投标人</w:t>
      </w:r>
      <w:r>
        <w:rPr>
          <w:rFonts w:hint="eastAsia" w:ascii="宋体" w:hAnsi="宋体" w:cs="宋体"/>
          <w:b w:val="0"/>
          <w:bCs/>
          <w:color w:val="auto"/>
          <w:sz w:val="22"/>
          <w:highlight w:val="none"/>
          <w:u w:val="none"/>
        </w:rPr>
        <w:t>应根据上述因素自行考虑含入</w:t>
      </w:r>
      <w:r>
        <w:rPr>
          <w:rFonts w:hint="eastAsia" w:ascii="宋体" w:hAnsi="宋体" w:cs="宋体"/>
          <w:b w:val="0"/>
          <w:bCs/>
          <w:color w:val="auto"/>
          <w:sz w:val="22"/>
          <w:highlight w:val="none"/>
          <w:u w:val="none"/>
          <w:lang w:val="en-US" w:eastAsia="zh-CN"/>
        </w:rPr>
        <w:t>投标</w:t>
      </w:r>
      <w:r>
        <w:rPr>
          <w:rFonts w:hint="eastAsia" w:ascii="宋体" w:hAnsi="宋体" w:cs="宋体"/>
          <w:b w:val="0"/>
          <w:bCs/>
          <w:color w:val="auto"/>
          <w:sz w:val="22"/>
          <w:highlight w:val="none"/>
          <w:u w:val="none"/>
        </w:rPr>
        <w:t>报价。</w:t>
      </w:r>
    </w:p>
    <w:p>
      <w:pPr>
        <w:spacing w:line="460" w:lineRule="exact"/>
        <w:ind w:firstLine="440" w:firstLineChars="200"/>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4.2投标人必须按附件中的投标报价一览表、投标分项报价表内容填写价格，并由投标人代表签署。</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4.3</w:t>
      </w:r>
      <w:r>
        <w:rPr>
          <w:rFonts w:hint="eastAsia" w:ascii="宋体" w:hAnsi="宋体" w:eastAsia="宋体" w:cs="宋体"/>
          <w:b w:val="0"/>
          <w:bCs/>
          <w:color w:val="auto"/>
          <w:sz w:val="22"/>
          <w:highlight w:val="none"/>
          <w:u w:val="none"/>
        </w:rPr>
        <w:t>投标货币以人民币进行投标</w:t>
      </w:r>
      <w:r>
        <w:rPr>
          <w:rFonts w:hint="eastAsia" w:ascii="宋体" w:hAnsi="宋体" w:eastAsia="宋体" w:cs="宋体"/>
          <w:b w:val="0"/>
          <w:bCs/>
          <w:color w:val="auto"/>
          <w:sz w:val="22"/>
          <w:szCs w:val="22"/>
          <w:highlight w:val="none"/>
          <w:u w:val="none"/>
        </w:rPr>
        <w:t>。</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4.4</w:t>
      </w:r>
      <w:r>
        <w:rPr>
          <w:rFonts w:hint="eastAsia" w:ascii="宋体" w:hAnsi="宋体" w:eastAsia="宋体" w:cs="宋体"/>
          <w:b w:val="0"/>
          <w:bCs/>
          <w:color w:val="auto"/>
          <w:sz w:val="22"/>
          <w:highlight w:val="none"/>
          <w:u w:val="none"/>
        </w:rPr>
        <w:t>招标人和招标代理机构不接受任何选择投标，对任何服务只允许一个价格。</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4.5招标人和</w:t>
      </w:r>
      <w:r>
        <w:rPr>
          <w:rFonts w:hint="eastAsia" w:ascii="宋体" w:hAnsi="宋体" w:eastAsia="宋体" w:cs="宋体"/>
          <w:b w:val="0"/>
          <w:bCs/>
          <w:color w:val="auto"/>
          <w:sz w:val="22"/>
          <w:highlight w:val="none"/>
          <w:u w:val="none"/>
        </w:rPr>
        <w:t>招标代理机构</w:t>
      </w:r>
      <w:r>
        <w:rPr>
          <w:rFonts w:hint="eastAsia" w:ascii="宋体" w:hAnsi="宋体" w:eastAsia="宋体" w:cs="宋体"/>
          <w:b w:val="0"/>
          <w:bCs/>
          <w:color w:val="auto"/>
          <w:sz w:val="22"/>
          <w:szCs w:val="22"/>
          <w:highlight w:val="none"/>
          <w:u w:val="none"/>
        </w:rPr>
        <w:t>要求分类报价是为了方便评标，但在任何情况下不限制招标人以其认为最合适的条款、条件签订合同的权利。</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4.6投标报价报出后，投标人不得以任何理由予以变更。任何包含价格调整的要求，将被认为是非实质性响应投标而予以否决。</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4.7最低报价不能作为中标的保证。</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5、投标有效期</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5.1自开标之日起 120 天内投标应保持有效。</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5.2特殊情况下，在原投标有效期截止前，招标人、招标代理机构可与投标人协商延长投标有效期，这种要求和答复均以书面形式进行。投标人可拒绝接受延期要求。同意延长投标有效期的投标人不得修改投标文件。</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6、投标保证金</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无。</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7、投标文件编制</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7.1本项目通过“政府采购云平台（http://zfcg.czt.zj.gov.cn）”实行在线投标响应（电子投标）。供应商应通过“政采云电子交易客户端”，并按照本招标文件和“政府采购云平台”的要求编制并加密投标文件。</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7.2投标人应当按照本章节 “投标文件的构成”规定的内容及顺序在“政采云电子交易客户端”编制投标文件。其中《资格文件》和《商务技术文件》中不得出现本项目投标报价。</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7.3本文件《第三部分  附件》中有提供格式的，投标人须参照格式进行编制（格式中要求提供相关证明材料的还需后附相关证明材料），并按格式要求在指定位置根据要求进行签章，否则视为未提供；本文件《第三部分  附件》未提供格式的，请各投标人自行拟定格式，并加盖单位公章并由法定代表人或其授权代表签署（签字或盖章），否则视为未提供。</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7.4《投标文件》内容不完整、编排混乱导致《投标文件》被误读、漏读或者查找不到相关内容的，投标人自行负责。</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7.5《投标文件》因字迹潦草或表达不清所引起的后果由投标人负责。</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7.6投标人没有按照本章节 “投标文件的构成”要求提供全部资料，或者没有仔细阅读招标文件，或者没有对招标文件在各方面的要求作出实质性响应是投标人的风险，由此造成的一切后果由投标人自行承担。</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8、投标文件的签章</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8.1《投标文件》的签章：见《前附表》；</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8.2《投标文件》应由投标人法定代表人或其授权代表签字（或盖章），并时加盖投标人公章。</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8.3电子签章操作指南详见采购公告附件《供应商项目采购-电子招投标操作指南》。</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9、投标文件的形式</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9.1投标文件的形式：见《前附表》；</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9.2“电子加密投标文件”：“电子加密投标文件”是指通过“政采云电子交易客户端”完成投标文件编制后生成并加密的数据电文形式的投标文件。</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9.3“备份投标文件”：“备份投标文件”是指与“电子加密投标文件”同时生成的数据电文形式的电子文件（备份标书），其他方式编制的“备份投标文件”视为无效的“备份投标文件”。</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10、投标文件的份数</w:t>
      </w:r>
    </w:p>
    <w:p>
      <w:pPr>
        <w:spacing w:line="460" w:lineRule="exact"/>
        <w:ind w:firstLine="539" w:firstLineChars="245"/>
        <w:rPr>
          <w:rFonts w:hint="eastAsia" w:ascii="宋体" w:hAnsi="宋体" w:eastAsia="宋体" w:cs="宋体"/>
          <w:b w:val="0"/>
          <w:bCs/>
          <w:color w:val="auto"/>
          <w:sz w:val="22"/>
          <w:szCs w:val="22"/>
          <w:highlight w:val="none"/>
          <w:u w:val="none"/>
        </w:rPr>
      </w:pPr>
      <w:r>
        <w:rPr>
          <w:rFonts w:hint="eastAsia" w:ascii="宋体" w:hAnsi="宋体" w:eastAsia="宋体" w:cs="宋体"/>
          <w:b w:val="0"/>
          <w:bCs/>
          <w:color w:val="auto"/>
          <w:sz w:val="22"/>
          <w:szCs w:val="22"/>
          <w:highlight w:val="none"/>
          <w:u w:val="none"/>
        </w:rPr>
        <w:t>10.1投标文件的份数：见《前附表》。</w:t>
      </w:r>
    </w:p>
    <w:p>
      <w:pPr>
        <w:spacing w:before="100" w:beforeAutospacing="1" w:after="100" w:afterAutospacing="1" w:line="440" w:lineRule="exact"/>
        <w:jc w:val="center"/>
        <w:outlineLvl w:val="1"/>
        <w:rPr>
          <w:rFonts w:hint="eastAsia" w:ascii="宋体" w:hAnsi="宋体" w:eastAsia="宋体" w:cs="宋体"/>
          <w:b/>
          <w:bCs/>
          <w:color w:val="auto"/>
          <w:sz w:val="22"/>
          <w:szCs w:val="22"/>
          <w:highlight w:val="none"/>
        </w:rPr>
      </w:pPr>
      <w:bookmarkStart w:id="16" w:name="_Toc15422"/>
      <w:bookmarkStart w:id="17" w:name="_Toc18542"/>
      <w:r>
        <w:rPr>
          <w:rFonts w:hint="eastAsia" w:ascii="宋体" w:hAnsi="宋体" w:eastAsia="宋体" w:cs="宋体"/>
          <w:b/>
          <w:bCs/>
          <w:color w:val="auto"/>
          <w:sz w:val="22"/>
          <w:szCs w:val="22"/>
          <w:highlight w:val="none"/>
        </w:rPr>
        <w:t>四、 投标文件的递交</w:t>
      </w:r>
      <w:bookmarkEnd w:id="16"/>
      <w:bookmarkEnd w:id="17"/>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1、投标文件的上传和递交</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1.1“投标文件”的上传、递交：见《前附表》。</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2、“电子加密投标文件”解密和异常情况处理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2.1“电子加密投标文件”解密：见《前附表》。</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3、投标文件的补充、修改或撤回</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3.2投标截止时间后，投标人不得撤回、修改《投标文件》。</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4、投标文件的备选方案</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4.1投标人不得递交任何的投标备选（替代）方案，否则其投标文件将作无效标处理。与“电子加密投标文件”同时生成的“备份投标文件”不是投标备选（替代）方案。</w:t>
      </w:r>
    </w:p>
    <w:p>
      <w:pPr>
        <w:spacing w:before="100" w:beforeAutospacing="1" w:after="100" w:afterAutospacing="1" w:line="460" w:lineRule="exact"/>
        <w:jc w:val="center"/>
        <w:outlineLvl w:val="1"/>
        <w:rPr>
          <w:rFonts w:hint="eastAsia" w:ascii="宋体" w:hAnsi="宋体" w:eastAsia="宋体" w:cs="宋体"/>
          <w:b/>
          <w:bCs/>
          <w:color w:val="auto"/>
          <w:sz w:val="22"/>
          <w:szCs w:val="22"/>
          <w:highlight w:val="none"/>
        </w:rPr>
      </w:pPr>
      <w:bookmarkStart w:id="18" w:name="_Toc8079"/>
      <w:bookmarkStart w:id="19" w:name="_Toc30172"/>
      <w:r>
        <w:rPr>
          <w:rFonts w:hint="eastAsia" w:ascii="宋体" w:hAnsi="宋体" w:eastAsia="宋体" w:cs="宋体"/>
          <w:b/>
          <w:bCs/>
          <w:color w:val="auto"/>
          <w:sz w:val="22"/>
          <w:szCs w:val="22"/>
          <w:highlight w:val="none"/>
        </w:rPr>
        <w:t>五、 开标和评标</w:t>
      </w:r>
      <w:bookmarkEnd w:id="18"/>
      <w:bookmarkEnd w:id="19"/>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1、评标委员会</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招标人和招标代理机构组建评标委员会。评标委员会的成员在评标过程中必须严格遵守《政府采购法》等有关法律、法规的规定。</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2、评标过程的保密性</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开标后直至向中标人授予合同时止，凡与评审有关的资料均不得向投标人及与评标无关人员透露。如果投标人在评标过程中试图向招标人和招标代理机构施加影响，其投标将被拒绝。</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3、开标形式</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 xml:space="preserve"> 采购组织机构将按照招标文件规定的时间通过“政府采购云平台”组织开标、开启投标文件，所有供应商均应当准时(在线)参加。</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4、开标准备</w:t>
      </w:r>
    </w:p>
    <w:p>
      <w:pPr>
        <w:spacing w:line="460" w:lineRule="exact"/>
        <w:ind w:firstLine="539" w:firstLineChars="245"/>
        <w:rPr>
          <w:rFonts w:hint="eastAsia" w:ascii="宋体" w:hAnsi="宋体" w:eastAsia="宋体" w:cs="宋体"/>
          <w:b w:val="0"/>
          <w:bCs w:val="0"/>
          <w:color w:val="auto"/>
          <w:kern w:val="0"/>
          <w:sz w:val="22"/>
          <w:szCs w:val="22"/>
          <w:highlight w:val="none"/>
        </w:rPr>
      </w:pPr>
      <w:r>
        <w:rPr>
          <w:rFonts w:hint="eastAsia" w:ascii="宋体" w:hAnsi="宋体" w:eastAsia="宋体" w:cs="宋体"/>
          <w:b w:val="0"/>
          <w:bCs w:val="0"/>
          <w:color w:val="auto"/>
          <w:kern w:val="0"/>
          <w:sz w:val="22"/>
          <w:szCs w:val="22"/>
          <w:highlight w:val="none"/>
        </w:rPr>
        <w:t>4.1开标的准备工作由采购组织机构负责落实；</w:t>
      </w:r>
    </w:p>
    <w:p>
      <w:pPr>
        <w:spacing w:line="460" w:lineRule="exact"/>
        <w:ind w:firstLine="539" w:firstLineChars="245"/>
        <w:rPr>
          <w:rFonts w:hint="eastAsia" w:ascii="宋体" w:hAnsi="宋体" w:eastAsia="宋体" w:cs="宋体"/>
          <w:b w:val="0"/>
          <w:bCs w:val="0"/>
          <w:color w:val="auto"/>
          <w:kern w:val="0"/>
          <w:sz w:val="22"/>
          <w:szCs w:val="22"/>
          <w:highlight w:val="none"/>
        </w:rPr>
      </w:pPr>
      <w:r>
        <w:rPr>
          <w:rFonts w:hint="eastAsia" w:ascii="宋体" w:hAnsi="宋体" w:eastAsia="宋体" w:cs="宋体"/>
          <w:b w:val="0"/>
          <w:bCs w:val="0"/>
          <w:color w:val="auto"/>
          <w:kern w:val="0"/>
          <w:sz w:val="22"/>
          <w:szCs w:val="22"/>
          <w:highlight w:val="none"/>
        </w:rPr>
        <w:t>4.2</w:t>
      </w:r>
      <w:r>
        <w:rPr>
          <w:rFonts w:hint="eastAsia" w:ascii="宋体" w:hAnsi="宋体" w:eastAsia="宋体" w:cs="宋体"/>
          <w:b w:val="0"/>
          <w:bCs w:val="0"/>
          <w:color w:val="auto"/>
          <w:sz w:val="22"/>
          <w:szCs w:val="22"/>
          <w:highlight w:val="none"/>
        </w:rPr>
        <w:t>采购组织机构将按照招标文件规定的时间通过“政府采购云平台”组织开标、开启投标文件，所有供应商均应当准时(在线)参加。</w:t>
      </w:r>
      <w:r>
        <w:rPr>
          <w:rFonts w:hint="eastAsia" w:ascii="宋体" w:hAnsi="宋体" w:eastAsia="宋体" w:cs="宋体"/>
          <w:b w:val="0"/>
          <w:bCs w:val="0"/>
          <w:color w:val="auto"/>
          <w:kern w:val="0"/>
          <w:sz w:val="22"/>
          <w:szCs w:val="22"/>
          <w:highlight w:val="none"/>
        </w:rPr>
        <w:t>投标人如不参加开标大会的，视同认可开标结果，事后不得对采购相关人员、开标过程和开标结果提出异议，同时投标人因未在线参加开标而导致投标文件无法按时解密等一切后果由供应商自己承担。</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5、开标流程</w:t>
      </w:r>
    </w:p>
    <w:p>
      <w:pPr>
        <w:spacing w:line="460" w:lineRule="exact"/>
        <w:ind w:firstLine="539" w:firstLineChars="245"/>
        <w:rPr>
          <w:rFonts w:hint="eastAsia" w:ascii="宋体" w:hAnsi="宋体" w:eastAsia="宋体" w:cs="宋体"/>
          <w:b w:val="0"/>
          <w:bCs w:val="0"/>
          <w:color w:val="auto"/>
          <w:kern w:val="0"/>
          <w:sz w:val="22"/>
          <w:szCs w:val="22"/>
          <w:highlight w:val="none"/>
        </w:rPr>
      </w:pPr>
      <w:r>
        <w:rPr>
          <w:rFonts w:hint="eastAsia" w:ascii="宋体" w:hAnsi="宋体" w:eastAsia="宋体" w:cs="宋体"/>
          <w:b w:val="0"/>
          <w:bCs w:val="0"/>
          <w:color w:val="auto"/>
          <w:kern w:val="0"/>
          <w:sz w:val="22"/>
          <w:szCs w:val="22"/>
          <w:highlight w:val="none"/>
        </w:rPr>
        <w:t>5.1开标、评标</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rPr>
        <w:t>（1）向各投标人发出电子加密投标文件【开始解密】通知，由供应商按招标文件规定的时间内自行进行投标文件解密。投标人在规定的时间内无法完成已递交的“电子加密投标文件”解密的，如已按规 定递交了备份投标文件的，将由采购组织机构按“政府采购云平台”操作规范将备份投标文件上传至“政府采购云平台”，上传成功后，“电子加密投标文件”自动失效；</w:t>
      </w:r>
    </w:p>
    <w:p>
      <w:pPr>
        <w:spacing w:line="460" w:lineRule="exact"/>
        <w:ind w:firstLine="539" w:firstLineChars="245"/>
        <w:rPr>
          <w:rFonts w:hint="eastAsia" w:ascii="宋体" w:hAnsi="宋体" w:eastAsia="宋体" w:cs="宋体"/>
          <w:b w:val="0"/>
          <w:bCs w:val="0"/>
          <w:color w:val="auto"/>
          <w:highlight w:val="none"/>
        </w:rPr>
      </w:pPr>
      <w:r>
        <w:rPr>
          <w:rFonts w:hint="eastAsia" w:ascii="宋体" w:hAnsi="宋体" w:eastAsia="宋体" w:cs="宋体"/>
          <w:b w:val="0"/>
          <w:bCs w:val="0"/>
          <w:color w:val="auto"/>
          <w:sz w:val="22"/>
          <w:szCs w:val="22"/>
          <w:highlight w:val="none"/>
        </w:rPr>
        <w:t>投标人不足3家的，不得开标。</w:t>
      </w:r>
    </w:p>
    <w:p>
      <w:pPr>
        <w:spacing w:line="460" w:lineRule="exact"/>
        <w:ind w:firstLine="539" w:firstLineChars="245"/>
        <w:rPr>
          <w:rFonts w:hint="eastAsia" w:ascii="宋体" w:hAnsi="宋体" w:eastAsia="宋体" w:cs="宋体"/>
          <w:b w:val="0"/>
          <w:bCs w:val="0"/>
          <w:color w:val="auto"/>
          <w:kern w:val="0"/>
          <w:sz w:val="22"/>
          <w:szCs w:val="22"/>
          <w:highlight w:val="none"/>
        </w:rPr>
      </w:pPr>
      <w:r>
        <w:rPr>
          <w:rFonts w:hint="eastAsia" w:ascii="宋体" w:hAnsi="宋体" w:eastAsia="宋体" w:cs="宋体"/>
          <w:b w:val="0"/>
          <w:bCs w:val="0"/>
          <w:color w:val="auto"/>
          <w:kern w:val="0"/>
          <w:sz w:val="22"/>
          <w:szCs w:val="22"/>
          <w:highlight w:val="none"/>
        </w:rPr>
        <w:t>（2）解密成功后，开启投标人的《报价文件》，由供应商对自己报价文件相关内容进行签字确认，（不予确认的应说明理由，否则视为无异议）。</w:t>
      </w:r>
    </w:p>
    <w:p>
      <w:pPr>
        <w:spacing w:line="460" w:lineRule="exact"/>
        <w:ind w:firstLine="539" w:firstLineChars="245"/>
        <w:rPr>
          <w:rFonts w:hint="eastAsia" w:ascii="宋体" w:hAnsi="宋体" w:eastAsia="宋体" w:cs="宋体"/>
          <w:b w:val="0"/>
          <w:bCs w:val="0"/>
          <w:color w:val="auto"/>
          <w:kern w:val="0"/>
          <w:sz w:val="22"/>
          <w:szCs w:val="22"/>
          <w:highlight w:val="none"/>
        </w:rPr>
      </w:pPr>
      <w:r>
        <w:rPr>
          <w:rFonts w:hint="eastAsia" w:ascii="宋体" w:hAnsi="宋体" w:eastAsia="宋体" w:cs="宋体"/>
          <w:b w:val="0"/>
          <w:bCs w:val="0"/>
          <w:color w:val="auto"/>
          <w:kern w:val="0"/>
          <w:sz w:val="22"/>
          <w:szCs w:val="22"/>
          <w:highlight w:val="none"/>
        </w:rPr>
        <w:t>（3）开启《投标文件》，进入资格审查；</w:t>
      </w:r>
      <w:r>
        <w:rPr>
          <w:rFonts w:hint="eastAsia" w:ascii="宋体" w:hAnsi="宋体" w:eastAsia="宋体" w:cs="宋体"/>
          <w:b w:val="0"/>
          <w:bCs w:val="0"/>
          <w:color w:val="auto"/>
          <w:sz w:val="22"/>
          <w:szCs w:val="22"/>
          <w:highlight w:val="none"/>
        </w:rPr>
        <w:t>合格投标人不足3家的，不得评标。</w:t>
      </w:r>
    </w:p>
    <w:p>
      <w:pPr>
        <w:spacing w:line="460" w:lineRule="exact"/>
        <w:ind w:firstLine="539" w:firstLineChars="245"/>
        <w:rPr>
          <w:rFonts w:hint="eastAsia" w:ascii="宋体" w:hAnsi="宋体" w:eastAsia="宋体" w:cs="宋体"/>
          <w:b w:val="0"/>
          <w:bCs w:val="0"/>
          <w:color w:val="auto"/>
          <w:kern w:val="0"/>
          <w:sz w:val="22"/>
          <w:szCs w:val="22"/>
          <w:highlight w:val="none"/>
        </w:rPr>
      </w:pPr>
      <w:r>
        <w:rPr>
          <w:rFonts w:hint="eastAsia" w:ascii="宋体" w:hAnsi="宋体" w:eastAsia="宋体" w:cs="宋体"/>
          <w:b w:val="0"/>
          <w:bCs w:val="0"/>
          <w:color w:val="auto"/>
          <w:kern w:val="0"/>
          <w:sz w:val="22"/>
          <w:szCs w:val="22"/>
          <w:highlight w:val="none"/>
        </w:rPr>
        <w:t>备注：开标大会的结束后，招标人或采购代理机构将对依法对投标人的资格进行审查，资格审查结束后进入符合性审查和商务技术的评审工作，具体见本章节“投标人资格审查”相关规定。</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color w:val="auto"/>
          <w:kern w:val="0"/>
          <w:sz w:val="22"/>
          <w:szCs w:val="22"/>
          <w:highlight w:val="none"/>
        </w:rPr>
        <w:t>（4）开启资格审查通过的投标人的商务技术文件进入符合性审查，</w:t>
      </w:r>
      <w:r>
        <w:rPr>
          <w:rFonts w:hint="eastAsia" w:ascii="宋体" w:hAnsi="宋体" w:eastAsia="宋体" w:cs="宋体"/>
          <w:bCs/>
          <w:color w:val="auto"/>
          <w:sz w:val="22"/>
          <w:szCs w:val="22"/>
          <w:highlight w:val="none"/>
        </w:rPr>
        <w:t>以确定其是否满足招标文件的实质性要求，合格投标人不足3家的，不得评标。</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没有满足招标文件的实质性要求的投标作无效标处理。评标委员会决定投标的实质性要求只根据投标文件本身的内容，而不寻求外部的证据。投标人不得通过修正或撤消不合要求的偏离或保留从而使其投标成为实质上响应的投标。</w:t>
      </w:r>
    </w:p>
    <w:p>
      <w:pPr>
        <w:spacing w:line="460" w:lineRule="exact"/>
        <w:ind w:firstLine="539" w:firstLineChars="245"/>
        <w:rPr>
          <w:rFonts w:hint="eastAsia" w:ascii="宋体" w:hAnsi="宋体" w:eastAsia="宋体" w:cs="宋体"/>
          <w:color w:val="auto"/>
          <w:highlight w:val="none"/>
        </w:rPr>
      </w:pPr>
      <w:r>
        <w:rPr>
          <w:rFonts w:hint="eastAsia" w:ascii="宋体" w:hAnsi="宋体" w:eastAsia="宋体" w:cs="宋体"/>
          <w:bCs/>
          <w:color w:val="auto"/>
          <w:sz w:val="22"/>
          <w:szCs w:val="22"/>
          <w:highlight w:val="none"/>
        </w:rPr>
        <w:t>（5）对通过资格审查、符合性审查的合格供应商进行商务技术部分的评审。</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（6）评标委员会对报价的合理性、准确性等进行审查核实。</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（7）评审结束后，公布中标（成交）候选供应商名单及招标人最终确定中标或成交供应商名单的时间和公告方式等，未在场的投标人通过发送邮件形式通知。</w:t>
      </w:r>
    </w:p>
    <w:p>
      <w:pPr>
        <w:spacing w:line="460" w:lineRule="exact"/>
        <w:ind w:firstLine="541" w:firstLineChars="245"/>
        <w:rPr>
          <w:rFonts w:hint="eastAsia" w:ascii="宋体" w:hAnsi="宋体" w:eastAsia="宋体" w:cs="宋体"/>
          <w:b/>
          <w:color w:val="auto"/>
          <w:kern w:val="0"/>
          <w:sz w:val="22"/>
          <w:szCs w:val="22"/>
          <w:highlight w:val="none"/>
        </w:rPr>
      </w:pPr>
      <w:r>
        <w:rPr>
          <w:rFonts w:hint="eastAsia" w:ascii="宋体" w:hAnsi="宋体" w:eastAsia="宋体" w:cs="宋体"/>
          <w:b/>
          <w:color w:val="auto"/>
          <w:kern w:val="0"/>
          <w:sz w:val="22"/>
          <w:szCs w:val="22"/>
          <w:highlight w:val="none"/>
        </w:rPr>
        <w:t>特别说明：如遇“政府采购云平台”电子化开标或评审程序调整的，按调整后程序执行。</w:t>
      </w:r>
    </w:p>
    <w:p>
      <w:pPr>
        <w:spacing w:line="460" w:lineRule="exact"/>
        <w:ind w:firstLine="539" w:firstLineChars="245"/>
        <w:rPr>
          <w:rFonts w:hint="eastAsia" w:ascii="宋体" w:hAnsi="宋体" w:eastAsia="宋体" w:cs="宋体"/>
          <w:b w:val="0"/>
          <w:bCs w:val="0"/>
          <w:color w:val="auto"/>
          <w:sz w:val="22"/>
          <w:szCs w:val="22"/>
          <w:highlight w:val="none"/>
        </w:rPr>
      </w:pPr>
      <w:bookmarkStart w:id="20" w:name="_Toc24550037"/>
      <w:bookmarkStart w:id="21" w:name="_Toc33194393"/>
      <w:r>
        <w:rPr>
          <w:rFonts w:hint="eastAsia" w:ascii="宋体" w:hAnsi="宋体" w:eastAsia="宋体" w:cs="宋体"/>
          <w:b w:val="0"/>
          <w:bCs w:val="0"/>
          <w:color w:val="auto"/>
          <w:sz w:val="22"/>
          <w:szCs w:val="22"/>
          <w:highlight w:val="none"/>
        </w:rPr>
        <w:t>6、投标人资格审查</w:t>
      </w:r>
      <w:bookmarkEnd w:id="20"/>
      <w:bookmarkEnd w:id="21"/>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6.1开标大会结束后，招标人或采购代理机构首先依法对各投标人的资格进行审查，审查各投标人的资格是否满足招标文件的要求。招标人或采购代理机构对投标人所提交的资格证明材料仅负审核的责任。如发现投标人所提交的资格证明材料不合法或与事实不符，招标人可取消其中标资格并追究投标人的法律责任。</w:t>
      </w:r>
    </w:p>
    <w:p>
      <w:pPr>
        <w:spacing w:line="460" w:lineRule="exact"/>
        <w:ind w:firstLine="539" w:firstLineChars="245"/>
        <w:rPr>
          <w:rFonts w:hint="eastAsia" w:ascii="宋体" w:hAnsi="宋体" w:eastAsia="宋体" w:cs="宋体"/>
          <w:b w:val="0"/>
          <w:bCs w:val="0"/>
          <w:color w:val="auto"/>
          <w:kern w:val="0"/>
          <w:sz w:val="22"/>
          <w:szCs w:val="22"/>
          <w:highlight w:val="none"/>
        </w:rPr>
      </w:pPr>
      <w:r>
        <w:rPr>
          <w:rFonts w:hint="eastAsia" w:ascii="宋体" w:hAnsi="宋体" w:eastAsia="宋体" w:cs="宋体"/>
          <w:b w:val="0"/>
          <w:bCs w:val="0"/>
          <w:color w:val="auto"/>
          <w:sz w:val="22"/>
          <w:szCs w:val="22"/>
          <w:highlight w:val="none"/>
        </w:rPr>
        <w:t>6.2投标人提交的资格证明材料无法证明其符合招标文件规定的“投标人资格要求”的，招标人或采购代理机构</w:t>
      </w:r>
      <w:r>
        <w:rPr>
          <w:rFonts w:hint="eastAsia" w:ascii="宋体" w:hAnsi="宋体" w:eastAsia="宋体" w:cs="宋体"/>
          <w:b w:val="0"/>
          <w:bCs w:val="0"/>
          <w:color w:val="auto"/>
          <w:kern w:val="0"/>
          <w:sz w:val="22"/>
          <w:szCs w:val="22"/>
          <w:highlight w:val="none"/>
        </w:rPr>
        <w:t>将对其作资格审查不通过处理（无效投标），并不再将其投标提交评标委员会进行后续评审。</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6</w:t>
      </w:r>
      <w:r>
        <w:rPr>
          <w:rFonts w:hint="eastAsia" w:ascii="宋体" w:hAnsi="宋体" w:eastAsia="宋体" w:cs="宋体"/>
          <w:b w:val="0"/>
          <w:bCs w:val="0"/>
          <w:color w:val="auto"/>
          <w:kern w:val="0"/>
          <w:sz w:val="22"/>
          <w:szCs w:val="22"/>
          <w:highlight w:val="none"/>
        </w:rPr>
        <w:t>.3单位负责人为同一人或者存在直接控股、管理关系的不同供应商参加同一合同项下的政府采购活动的，相关投标人均作资格无效处理。</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7、评标委员按照招标文件中规定的评标方法和标准，对投标文件进行商务和技术评估，综合比较与评价。</w:t>
      </w:r>
    </w:p>
    <w:p>
      <w:pPr>
        <w:spacing w:line="460" w:lineRule="exact"/>
        <w:ind w:firstLine="541" w:firstLineChars="245"/>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u w:val="single"/>
        </w:rPr>
        <w:t>8、投标人存在下列情况之一的，投标无效：</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（1）投标文件未按招标文件要求签署、盖章的；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（2）不具备招标文件中规定的资格要求的； </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（3）明显不符合招标文件中主要技术规格、技术标准的；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（4）投标文件内容不全或关键字迹模糊无法辨认的；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（5）报价超过招标文件中规定的预算金额的；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（6）投标人代表没有法定代表人合法、有效委托的；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（7）投标文件存在一个或一个以上备选（替代）投标方案的；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（8）仅提交“备份投标文件”的；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（9）投标文件含有招标人不能接受的附加条件的；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（10）法律、法规和招标文件规定的其他无效情形。</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9、有下列情形之一的，视为投标人串通投标，其投标无效</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（1）不同投标人的投标文件由同一单位或者个人编制；</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（2）不同投标人委托同一单位或者个人办理投标事宜；</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（3）不同投标人的投标文件载明的项目管理成员或者联系人员为同一人；</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（4）不同投标人的投标文件异常一致或者投标报价呈规律性差异；</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（5）不同投标人的投标文件相互混装。</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10、投标文件报价出现前后不一致的，按照下列规定修正：</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（1）系统上传的投标文件中开标一览表（报价表）（加盖公章）内容与投标文件中相应内容不一致的，以系统上传的投标文件中开标一览表（报价表）（加盖公章）为准；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（2）大写金额和小写金额不一致的，以大写金额为准；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（3）单价金额小数点或者百分比有明显错位的，以开标一览表的总价为准，并修改单价；</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（4）总价金额与按单价汇总金额不一致的，以单价金额计算结果为准。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同时出现两种以上不一致的，按照前款规定的顺序修正。修正后的报价按照本小节第12条第12.2款的规定经投标人确认后产生约束力，投标人不确认的，其投标无效。</w:t>
      </w:r>
    </w:p>
    <w:p>
      <w:pPr>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11、标委员会成员对需要共同认定的事项存在争议的，应当按照少数服从多数的原则作出结论。持不同意见的评标委员会成员应当在评标报告上签署不同意见及理由，否则视为同意评标报告。</w:t>
      </w:r>
    </w:p>
    <w:p>
      <w:pPr>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12、投标文件的澄清</w:t>
      </w:r>
    </w:p>
    <w:p>
      <w:pPr>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12.1在评标期间，评标委员会可要求投标人对于投标文件中含义不明确、同类问题表述不一致或者有明显文字和计算错误的内容，评标委员会应当以书面形式（或通过“政府采购云平台”在线询标）要求投标人在规定的时间内作出必要的澄清、说明或者补正。投标人澄清、说明或补正时间为30分钟。</w:t>
      </w:r>
    </w:p>
    <w:p>
      <w:pPr>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12.2投标人的澄清、说明或者补正应当采用书面形式（或通过“政府采购云平台”在线答复），并加盖公章，或者由法定代表人或其授权的代表签字。投标人的澄清、说明或者补正不得超出投标文件的范围或者改变投标文件的实质性内容。</w:t>
      </w:r>
    </w:p>
    <w:p>
      <w:pPr>
        <w:spacing w:line="460" w:lineRule="exact"/>
        <w:ind w:firstLine="759" w:firstLineChars="3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拒不按要求对其投标文件进行澄清，说明或补正的投标人，评标委员会可以否决其投标。</w:t>
      </w:r>
    </w:p>
    <w:p>
      <w:pPr>
        <w:spacing w:line="460" w:lineRule="exact"/>
        <w:ind w:firstLine="759" w:firstLineChars="3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12.2经澄清后，若偏差仍存在，且不可接受，投标人则被认为是“没有实质性响应招标文件要求”，其投标将被拒绝。</w:t>
      </w:r>
    </w:p>
    <w:p>
      <w:pPr>
        <w:spacing w:line="460" w:lineRule="exact"/>
        <w:ind w:firstLine="759" w:firstLineChars="3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13、评审结果的修改</w:t>
      </w:r>
    </w:p>
    <w:p>
      <w:pPr>
        <w:spacing w:line="460" w:lineRule="exact"/>
        <w:ind w:firstLine="759" w:firstLineChars="3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13.1评标结果汇总完成后，除下列情形外，任何人不得修改评标结果：</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（1）分值汇总计算错误的；</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（2）分项评分超出评分标准范围的；</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（3）评标委员会成员对客观评审因素评分不一致的；</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（4）经评标委员会认定评分畸高、畸低的。</w:t>
      </w:r>
    </w:p>
    <w:p>
      <w:pPr>
        <w:spacing w:line="460" w:lineRule="exact"/>
        <w:ind w:firstLine="759" w:firstLineChars="345"/>
        <w:rPr>
          <w:rFonts w:hint="eastAsia" w:ascii="宋体" w:hAnsi="宋体" w:eastAsia="宋体" w:cs="宋体"/>
          <w:b w:val="0"/>
          <w:bCs/>
          <w:color w:val="auto"/>
          <w:highlight w:val="none"/>
        </w:rPr>
      </w:pPr>
      <w:r>
        <w:rPr>
          <w:rFonts w:hint="eastAsia" w:ascii="宋体" w:hAnsi="宋体" w:eastAsia="宋体" w:cs="宋体"/>
          <w:b w:val="0"/>
          <w:bCs/>
          <w:color w:val="auto"/>
          <w:sz w:val="22"/>
          <w:szCs w:val="22"/>
          <w:highlight w:val="none"/>
        </w:rPr>
        <w:t>13.2书面评标报告签署前，经复核发现存在以上情形之一的，评标委员会将当场修改评标结果，并在评标报告中记载。</w:t>
      </w:r>
    </w:p>
    <w:p>
      <w:pPr>
        <w:spacing w:line="460" w:lineRule="exact"/>
        <w:ind w:firstLine="759" w:firstLineChars="3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14</w:t>
      </w:r>
      <w:r>
        <w:rPr>
          <w:rFonts w:hint="eastAsia" w:ascii="宋体" w:hAnsi="宋体" w:eastAsia="宋体" w:cs="宋体"/>
          <w:b w:val="0"/>
          <w:bCs/>
          <w:color w:val="auto"/>
          <w:kern w:val="0"/>
          <w:sz w:val="22"/>
          <w:szCs w:val="22"/>
          <w:highlight w:val="none"/>
        </w:rPr>
        <w:t>、</w:t>
      </w:r>
      <w:r>
        <w:rPr>
          <w:rFonts w:hint="eastAsia" w:ascii="宋体" w:hAnsi="宋体" w:eastAsia="宋体" w:cs="宋体"/>
          <w:b w:val="0"/>
          <w:bCs/>
          <w:color w:val="auto"/>
          <w:sz w:val="22"/>
          <w:szCs w:val="22"/>
          <w:highlight w:val="none"/>
        </w:rPr>
        <w:t>确定中标候选人</w:t>
      </w:r>
    </w:p>
    <w:p>
      <w:pPr>
        <w:spacing w:line="460" w:lineRule="exact"/>
        <w:ind w:firstLine="759" w:firstLineChars="3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14.1由评标委员会确定中标候选人。</w:t>
      </w:r>
    </w:p>
    <w:p>
      <w:pPr>
        <w:spacing w:line="460" w:lineRule="exact"/>
        <w:ind w:firstLine="759" w:firstLineChars="3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14.2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759" w:firstLineChars="3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15、确定中标人</w:t>
      </w:r>
    </w:p>
    <w:p>
      <w:pPr>
        <w:spacing w:line="460" w:lineRule="exact"/>
        <w:ind w:firstLine="759" w:firstLineChars="3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15.1招标人按照书面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759" w:firstLineChars="3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15.2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759" w:firstLineChars="3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16、起草、签署评审报告</w:t>
      </w:r>
    </w:p>
    <w:p>
      <w:pPr>
        <w:spacing w:line="460" w:lineRule="exact"/>
        <w:ind w:firstLine="759" w:firstLineChars="3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spacing w:line="460" w:lineRule="exact"/>
        <w:ind w:firstLine="759" w:firstLineChars="3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17</w:t>
      </w:r>
      <w:r>
        <w:rPr>
          <w:rFonts w:hint="eastAsia" w:ascii="宋体" w:hAnsi="宋体" w:eastAsia="宋体" w:cs="宋体"/>
          <w:b w:val="0"/>
          <w:bCs/>
          <w:color w:val="auto"/>
          <w:kern w:val="0"/>
          <w:sz w:val="22"/>
          <w:szCs w:val="22"/>
          <w:highlight w:val="none"/>
        </w:rPr>
        <w:t>、</w:t>
      </w:r>
      <w:r>
        <w:rPr>
          <w:rFonts w:hint="eastAsia" w:ascii="宋体" w:hAnsi="宋体" w:eastAsia="宋体" w:cs="宋体"/>
          <w:b w:val="0"/>
          <w:bCs/>
          <w:color w:val="auto"/>
          <w:sz w:val="22"/>
          <w:szCs w:val="22"/>
          <w:highlight w:val="none"/>
        </w:rPr>
        <w:t>中标人确定后，招标人将在政府指定媒体公告中标结果，招标人向中标人发出中标通知书。</w:t>
      </w:r>
    </w:p>
    <w:p>
      <w:pPr>
        <w:spacing w:line="460" w:lineRule="exact"/>
        <w:ind w:firstLine="759" w:firstLineChars="3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18、招标人对决标结果不做任何解释，也不保证最低价中标。</w:t>
      </w:r>
    </w:p>
    <w:p>
      <w:pPr>
        <w:spacing w:line="460" w:lineRule="exact"/>
        <w:ind w:firstLine="759" w:firstLineChars="345"/>
        <w:rPr>
          <w:rFonts w:hint="eastAsia" w:ascii="宋体" w:hAnsi="宋体" w:eastAsia="宋体" w:cs="宋体"/>
          <w:b/>
          <w:color w:val="auto"/>
          <w:sz w:val="22"/>
          <w:szCs w:val="22"/>
          <w:highlight w:val="none"/>
        </w:rPr>
      </w:pPr>
      <w:r>
        <w:rPr>
          <w:rFonts w:hint="eastAsia" w:ascii="宋体" w:hAnsi="宋体" w:eastAsia="宋体" w:cs="宋体"/>
          <w:b w:val="0"/>
          <w:bCs/>
          <w:color w:val="auto"/>
          <w:sz w:val="22"/>
          <w:szCs w:val="22"/>
          <w:highlight w:val="none"/>
        </w:rPr>
        <w:t>19、评标细则详见“评标原则及方法”。</w:t>
      </w:r>
    </w:p>
    <w:p>
      <w:pPr>
        <w:spacing w:before="100" w:beforeAutospacing="1" w:after="100" w:afterAutospacing="1" w:line="440" w:lineRule="exact"/>
        <w:jc w:val="center"/>
        <w:outlineLvl w:val="1"/>
        <w:rPr>
          <w:rFonts w:hint="eastAsia" w:ascii="宋体" w:hAnsi="宋体" w:eastAsia="宋体" w:cs="宋体"/>
          <w:b/>
          <w:bCs/>
          <w:color w:val="auto"/>
          <w:sz w:val="26"/>
          <w:szCs w:val="26"/>
          <w:highlight w:val="none"/>
        </w:rPr>
      </w:pPr>
      <w:bookmarkStart w:id="22" w:name="_Toc26836"/>
      <w:bookmarkStart w:id="23" w:name="_Toc21056"/>
      <w:r>
        <w:rPr>
          <w:rFonts w:hint="eastAsia" w:ascii="宋体" w:hAnsi="宋体" w:eastAsia="宋体" w:cs="宋体"/>
          <w:b/>
          <w:bCs/>
          <w:color w:val="auto"/>
          <w:sz w:val="26"/>
          <w:szCs w:val="26"/>
          <w:highlight w:val="none"/>
        </w:rPr>
        <w:t>六、 授予合同</w:t>
      </w:r>
      <w:bookmarkEnd w:id="22"/>
      <w:bookmarkEnd w:id="23"/>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highlight w:val="none"/>
        </w:rPr>
        <w:t>1、中标通知书</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 xml:space="preserve">1.1中标人确定后，招标人将向中标人发出中标通知书。 </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1.2中标通知书是合同的一个组成部分,对招标人和中标人均具有同等法律效力。</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highlight w:val="none"/>
        </w:rPr>
        <w:t>2、授标时更改采购货物数量的权力</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2.1招标人在授予合同时有权对采购货物的数量和服务在一定幅度范围内予以增加或减少,但不得对单价和其他的条款和条件作任何改变。</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highlight w:val="none"/>
        </w:rPr>
        <w:t>3、签订合同</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3.1中标人应按中标通知书规定的时间、地点与招标人签订合同。</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3.2</w:t>
      </w:r>
      <w:r>
        <w:rPr>
          <w:rFonts w:hint="eastAsia" w:ascii="宋体" w:hAnsi="宋体" w:eastAsia="宋体" w:cs="宋体"/>
          <w:b w:val="0"/>
          <w:bCs/>
          <w:color w:val="auto"/>
          <w:spacing w:val="6"/>
          <w:sz w:val="22"/>
          <w:szCs w:val="22"/>
          <w:highlight w:val="none"/>
        </w:rPr>
        <w:t>在签订合同前，招标人有权在中标总价不变的前提下要求中标人对商务报价中的不平衡报价和缺漏项进行调整，如果中标人无合理理由拒绝调整，其中投标资格将被取消，保证金将不予退还，且将导致其它进一步的赔偿和处罚。</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3.3招标文件、中标人的投标文件、投标修改文件、评标过程中有关澄清文件及经投标人和评委双方签字的询标纪要和中标通知书均作为合同附件。</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3.4拒签合同的违约责任</w:t>
      </w:r>
    </w:p>
    <w:p>
      <w:pPr>
        <w:spacing w:line="460" w:lineRule="exact"/>
        <w:ind w:firstLine="568" w:firstLineChars="245"/>
        <w:rPr>
          <w:rFonts w:hint="eastAsia" w:ascii="宋体" w:hAnsi="宋体" w:eastAsia="宋体" w:cs="宋体"/>
          <w:b w:val="0"/>
          <w:bCs/>
          <w:color w:val="auto"/>
          <w:spacing w:val="6"/>
          <w:sz w:val="22"/>
          <w:szCs w:val="22"/>
          <w:highlight w:val="none"/>
        </w:rPr>
      </w:pPr>
      <w:r>
        <w:rPr>
          <w:rFonts w:hint="eastAsia" w:ascii="宋体" w:hAnsi="宋体" w:eastAsia="宋体" w:cs="宋体"/>
          <w:b w:val="0"/>
          <w:bCs/>
          <w:color w:val="auto"/>
          <w:spacing w:val="6"/>
          <w:sz w:val="22"/>
          <w:szCs w:val="22"/>
          <w:highlight w:val="none"/>
        </w:rPr>
        <w:t>中标人接到中标通知书后，在规定时间内借故否认已经承诺的条件而拒签合同的，以违约处理。</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cs="宋体"/>
          <w:b w:val="0"/>
          <w:bCs/>
          <w:color w:val="auto"/>
          <w:sz w:val="22"/>
          <w:highlight w:val="none"/>
          <w:lang w:val="en-US" w:eastAsia="zh-CN"/>
        </w:rPr>
        <w:t>4</w:t>
      </w:r>
      <w:r>
        <w:rPr>
          <w:rFonts w:hint="eastAsia" w:ascii="宋体" w:hAnsi="宋体" w:eastAsia="宋体" w:cs="宋体"/>
          <w:b w:val="0"/>
          <w:bCs/>
          <w:color w:val="auto"/>
          <w:sz w:val="22"/>
          <w:highlight w:val="none"/>
        </w:rPr>
        <w:t>、质疑与投诉</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cs="宋体"/>
          <w:color w:val="auto"/>
          <w:sz w:val="22"/>
          <w:highlight w:val="none"/>
          <w:lang w:val="en-US" w:eastAsia="zh-CN"/>
        </w:rPr>
        <w:t>4</w:t>
      </w:r>
      <w:r>
        <w:rPr>
          <w:rFonts w:hint="eastAsia" w:ascii="宋体" w:hAnsi="宋体" w:eastAsia="宋体" w:cs="宋体"/>
          <w:color w:val="auto"/>
          <w:sz w:val="22"/>
          <w:highlight w:val="none"/>
        </w:rPr>
        <w:t>.1投标人认为招标文件、采购过程、中标和成交结果使自己的合法权益受到损害的，可以在知道或应知道其权益受到损害之日起七个工作日内以书面形式向招标人或招标代理机构提出质疑。</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cs="宋体"/>
          <w:color w:val="auto"/>
          <w:sz w:val="22"/>
          <w:highlight w:val="none"/>
          <w:lang w:val="en-US" w:eastAsia="zh-CN"/>
        </w:rPr>
        <w:t>4</w:t>
      </w:r>
      <w:r>
        <w:rPr>
          <w:rFonts w:hint="eastAsia" w:ascii="宋体" w:hAnsi="宋体" w:eastAsia="宋体" w:cs="宋体"/>
          <w:color w:val="auto"/>
          <w:sz w:val="22"/>
          <w:highlight w:val="none"/>
        </w:rPr>
        <w:t>.2招标人或招标代理机构在收到投标人的书面质疑后七个工作日内作出答复，但答复的内容不得涉及商业秘密。质疑投标人对招标人或招标代理机构的答复不满意，可以在答复期满后十五个工作日内向同级政府采购监督管理部门投诉。</w:t>
      </w:r>
    </w:p>
    <w:p>
      <w:pPr>
        <w:spacing w:line="460" w:lineRule="exact"/>
        <w:ind w:firstLine="539" w:firstLineChars="245"/>
        <w:rPr>
          <w:rFonts w:hint="eastAsia" w:ascii="宋体" w:hAnsi="宋体" w:eastAsia="宋体" w:cs="宋体"/>
          <w:color w:val="auto"/>
          <w:sz w:val="22"/>
          <w:highlight w:val="none"/>
        </w:rPr>
      </w:pPr>
      <w:r>
        <w:rPr>
          <w:rFonts w:hint="eastAsia" w:ascii="宋体" w:hAnsi="宋体" w:cs="宋体"/>
          <w:color w:val="auto"/>
          <w:sz w:val="22"/>
          <w:highlight w:val="none"/>
          <w:lang w:val="en-US" w:eastAsia="zh-CN"/>
        </w:rPr>
        <w:t>4</w:t>
      </w:r>
      <w:r>
        <w:rPr>
          <w:rFonts w:hint="eastAsia" w:ascii="宋体" w:hAnsi="宋体" w:eastAsia="宋体" w:cs="宋体"/>
          <w:color w:val="auto"/>
          <w:sz w:val="22"/>
          <w:highlight w:val="none"/>
        </w:rPr>
        <w:t>.3投诉人投诉时，应提交投诉书，投诉书应当由本人并由法定代表人签字盖公章，投诉书应说明具体的投诉事项及事实依据。投诉人对投诉书的真实性负责，恶意投诉将承当相应的法律和民事责任。</w:t>
      </w:r>
    </w:p>
    <w:p>
      <w:pPr>
        <w:rPr>
          <w:rFonts w:hint="eastAsia" w:ascii="宋体" w:hAnsi="宋体" w:eastAsia="宋体" w:cs="宋体"/>
          <w:color w:val="auto"/>
          <w:sz w:val="22"/>
          <w:highlight w:val="none"/>
        </w:rPr>
      </w:pPr>
    </w:p>
    <w:p>
      <w:pPr>
        <w:rPr>
          <w:rFonts w:hint="eastAsia" w:ascii="宋体" w:hAnsi="宋体" w:eastAsia="宋体" w:cs="宋体"/>
          <w:color w:val="auto"/>
          <w:highlight w:val="none"/>
        </w:rPr>
      </w:pPr>
      <w:bookmarkStart w:id="24" w:name="_Toc19043"/>
      <w:bookmarkStart w:id="25" w:name="_Toc28194"/>
      <w:r>
        <w:rPr>
          <w:rFonts w:hint="eastAsia" w:ascii="宋体" w:hAnsi="宋体" w:eastAsia="宋体" w:cs="宋体"/>
          <w:color w:val="auto"/>
          <w:highlight w:val="none"/>
        </w:rPr>
        <w:br w:type="page"/>
      </w:r>
    </w:p>
    <w:p>
      <w:pPr>
        <w:pStyle w:val="4"/>
        <w:bidi w:val="0"/>
        <w:rPr>
          <w:rFonts w:hint="eastAsia" w:ascii="宋体" w:hAnsi="宋体" w:eastAsia="宋体" w:cs="宋体"/>
          <w:color w:val="auto"/>
          <w:highlight w:val="none"/>
        </w:rPr>
      </w:pPr>
      <w:r>
        <w:rPr>
          <w:rFonts w:hint="eastAsia" w:ascii="宋体" w:hAnsi="宋体" w:eastAsia="宋体" w:cs="宋体"/>
          <w:color w:val="auto"/>
          <w:highlight w:val="none"/>
        </w:rPr>
        <w:t>第二部分    合同主要条款</w:t>
      </w:r>
      <w:bookmarkEnd w:id="24"/>
      <w:bookmarkEnd w:id="25"/>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注：如甲、乙双方同意，合同格式也可以按照其他形式, 具体条款以甲方为主协商确定。但合同条款的基本内容应与以下要求的内容相一致。</w:t>
      </w:r>
    </w:p>
    <w:p>
      <w:pPr>
        <w:keepNext w:val="0"/>
        <w:keepLines w:val="0"/>
        <w:pageBreakBefore w:val="0"/>
        <w:widowControl w:val="0"/>
        <w:kinsoku/>
        <w:wordWrap/>
        <w:overflowPunct/>
        <w:topLinePunct w:val="0"/>
        <w:autoSpaceDE/>
        <w:autoSpaceDN/>
        <w:bidi w:val="0"/>
        <w:snapToGrid/>
        <w:spacing w:line="460" w:lineRule="exact"/>
        <w:rPr>
          <w:rFonts w:hint="eastAsia"/>
          <w:color w:val="auto"/>
          <w:sz w:val="22"/>
          <w:szCs w:val="22"/>
          <w:highlight w:val="none"/>
          <w:lang w:eastAsia="zh-CN"/>
        </w:rPr>
      </w:pPr>
      <w:r>
        <w:rPr>
          <w:rFonts w:hint="eastAsia"/>
          <w:color w:val="auto"/>
          <w:sz w:val="22"/>
          <w:szCs w:val="22"/>
          <w:highlight w:val="none"/>
          <w:lang w:eastAsia="zh-CN"/>
        </w:rPr>
        <w:t>甲方：温州市中医院</w:t>
      </w:r>
    </w:p>
    <w:p>
      <w:pPr>
        <w:keepNext w:val="0"/>
        <w:keepLines w:val="0"/>
        <w:pageBreakBefore w:val="0"/>
        <w:widowControl w:val="0"/>
        <w:kinsoku/>
        <w:wordWrap/>
        <w:overflowPunct/>
        <w:topLinePunct w:val="0"/>
        <w:autoSpaceDE/>
        <w:autoSpaceDN/>
        <w:bidi w:val="0"/>
        <w:snapToGrid/>
        <w:spacing w:line="460" w:lineRule="exact"/>
        <w:rPr>
          <w:rFonts w:hint="eastAsia"/>
          <w:b/>
          <w:bCs/>
          <w:color w:val="auto"/>
          <w:sz w:val="22"/>
          <w:szCs w:val="22"/>
          <w:highlight w:val="none"/>
          <w:lang w:eastAsia="zh-CN"/>
        </w:rPr>
      </w:pPr>
      <w:r>
        <w:rPr>
          <w:rFonts w:hint="eastAsia"/>
          <w:color w:val="auto"/>
          <w:sz w:val="22"/>
          <w:szCs w:val="22"/>
          <w:highlight w:val="none"/>
          <w:lang w:eastAsia="zh-CN"/>
        </w:rPr>
        <w:t>乙方：</w:t>
      </w:r>
    </w:p>
    <w:p>
      <w:pPr>
        <w:keepNext w:val="0"/>
        <w:keepLines w:val="0"/>
        <w:pageBreakBefore w:val="0"/>
        <w:widowControl w:val="0"/>
        <w:kinsoku/>
        <w:wordWrap/>
        <w:overflowPunct/>
        <w:topLinePunct w:val="0"/>
        <w:autoSpaceDE/>
        <w:autoSpaceDN/>
        <w:bidi w:val="0"/>
        <w:snapToGrid/>
        <w:spacing w:line="460" w:lineRule="exact"/>
        <w:ind w:firstLine="440" w:firstLineChars="200"/>
        <w:rPr>
          <w:color w:val="auto"/>
          <w:sz w:val="22"/>
          <w:szCs w:val="22"/>
          <w:highlight w:val="none"/>
        </w:rPr>
      </w:pPr>
      <w:r>
        <w:rPr>
          <w:rFonts w:hint="eastAsia" w:ascii="宋体" w:hAnsi="宋体" w:cs="宋体"/>
          <w:bCs/>
          <w:color w:val="auto"/>
          <w:sz w:val="22"/>
          <w:szCs w:val="22"/>
          <w:highlight w:val="none"/>
          <w:lang w:bidi="ar"/>
        </w:rPr>
        <w:t>温州市中医院</w:t>
      </w:r>
      <w:r>
        <w:rPr>
          <w:rFonts w:hint="eastAsia" w:ascii="宋体" w:hAnsi="宋体" w:cs="宋体"/>
          <w:color w:val="auto"/>
          <w:sz w:val="22"/>
          <w:szCs w:val="22"/>
          <w:highlight w:val="none"/>
          <w:lang w:bidi="ar"/>
        </w:rPr>
        <w:t xml:space="preserve">采购的 </w:t>
      </w:r>
      <w:r>
        <w:rPr>
          <w:rFonts w:hint="eastAsia" w:ascii="宋体" w:hAnsi="宋体" w:cs="宋体"/>
          <w:color w:val="auto"/>
          <w:sz w:val="22"/>
          <w:szCs w:val="22"/>
          <w:highlight w:val="none"/>
          <w:u w:val="single"/>
          <w:lang w:bidi="ar"/>
        </w:rPr>
        <w:t xml:space="preserve"> </w:t>
      </w:r>
      <w:r>
        <w:rPr>
          <w:rFonts w:hint="eastAsia" w:ascii="宋体" w:hAnsi="宋体" w:cs="宋体"/>
          <w:color w:val="auto"/>
          <w:sz w:val="22"/>
          <w:szCs w:val="22"/>
          <w:highlight w:val="none"/>
          <w:u w:val="single"/>
          <w:lang w:val="en-US" w:eastAsia="zh-CN" w:bidi="ar"/>
        </w:rPr>
        <w:t xml:space="preserve">          </w:t>
      </w:r>
      <w:r>
        <w:rPr>
          <w:rFonts w:hint="eastAsia" w:ascii="宋体" w:hAnsi="宋体" w:cs="宋体"/>
          <w:color w:val="auto"/>
          <w:sz w:val="22"/>
          <w:szCs w:val="22"/>
          <w:highlight w:val="none"/>
          <w:u w:val="single"/>
          <w:lang w:eastAsia="zh-CN" w:bidi="ar"/>
        </w:rPr>
        <w:t>（项目编号：</w:t>
      </w:r>
      <w:r>
        <w:rPr>
          <w:rFonts w:hint="eastAsia" w:ascii="宋体" w:hAnsi="宋体" w:cs="宋体"/>
          <w:color w:val="auto"/>
          <w:sz w:val="22"/>
          <w:szCs w:val="22"/>
          <w:highlight w:val="none"/>
          <w:u w:val="single"/>
          <w:lang w:val="en-US" w:eastAsia="zh-CN" w:bidi="ar"/>
        </w:rPr>
        <w:t xml:space="preserve"> </w:t>
      </w:r>
      <w:r>
        <w:rPr>
          <w:rFonts w:hint="eastAsia" w:ascii="宋体" w:hAnsi="宋体" w:cs="宋体"/>
          <w:color w:val="auto"/>
          <w:sz w:val="22"/>
          <w:szCs w:val="22"/>
          <w:highlight w:val="none"/>
          <w:u w:val="single"/>
          <w:lang w:bidi="ar"/>
        </w:rPr>
        <w:t xml:space="preserve"> </w:t>
      </w:r>
      <w:r>
        <w:rPr>
          <w:rFonts w:hint="eastAsia" w:ascii="宋体" w:hAnsi="宋体" w:cs="宋体"/>
          <w:color w:val="auto"/>
          <w:sz w:val="22"/>
          <w:szCs w:val="22"/>
          <w:highlight w:val="none"/>
          <w:u w:val="single"/>
          <w:lang w:eastAsia="zh-CN" w:bidi="ar"/>
        </w:rPr>
        <w:t>）</w:t>
      </w:r>
      <w:r>
        <w:rPr>
          <w:rFonts w:hint="eastAsia" w:ascii="宋体" w:hAnsi="宋体" w:cs="宋体"/>
          <w:color w:val="auto"/>
          <w:sz w:val="22"/>
          <w:szCs w:val="22"/>
          <w:highlight w:val="none"/>
          <w:u w:val="single"/>
          <w:lang w:bidi="ar"/>
        </w:rPr>
        <w:t xml:space="preserve"> </w:t>
      </w:r>
      <w:r>
        <w:rPr>
          <w:rFonts w:hint="eastAsia" w:ascii="宋体" w:hAnsi="宋体" w:cs="宋体"/>
          <w:color w:val="auto"/>
          <w:sz w:val="22"/>
          <w:szCs w:val="22"/>
          <w:highlight w:val="none"/>
          <w:lang w:bidi="ar"/>
        </w:rPr>
        <w:t>在国内公开招标，经评标委员会决标</w:t>
      </w:r>
      <w:r>
        <w:rPr>
          <w:rFonts w:hint="eastAsia" w:ascii="宋体" w:hAnsi="宋体" w:cs="宋体"/>
          <w:color w:val="auto"/>
          <w:sz w:val="22"/>
          <w:szCs w:val="22"/>
          <w:highlight w:val="none"/>
          <w:u w:val="single"/>
          <w:lang w:bidi="ar"/>
        </w:rPr>
        <w:t xml:space="preserve">  </w:t>
      </w:r>
      <w:r>
        <w:rPr>
          <w:rFonts w:hint="eastAsia" w:ascii="宋体" w:hAnsi="宋体" w:cs="宋体"/>
          <w:color w:val="auto"/>
          <w:sz w:val="22"/>
          <w:szCs w:val="22"/>
          <w:highlight w:val="none"/>
          <w:u w:val="single"/>
          <w:lang w:val="en-US" w:eastAsia="zh-CN" w:bidi="ar"/>
        </w:rPr>
        <w:t xml:space="preserve">   </w:t>
      </w:r>
      <w:r>
        <w:rPr>
          <w:rFonts w:hint="eastAsia" w:ascii="宋体" w:hAnsi="宋体" w:cs="宋体"/>
          <w:color w:val="auto"/>
          <w:sz w:val="22"/>
          <w:szCs w:val="22"/>
          <w:highlight w:val="none"/>
          <w:u w:val="single"/>
          <w:lang w:bidi="ar"/>
        </w:rPr>
        <w:t xml:space="preserve"> </w:t>
      </w:r>
      <w:r>
        <w:rPr>
          <w:rFonts w:hint="eastAsia" w:ascii="宋体" w:hAnsi="宋体" w:cs="宋体"/>
          <w:color w:val="auto"/>
          <w:sz w:val="22"/>
          <w:szCs w:val="22"/>
          <w:highlight w:val="none"/>
          <w:lang w:bidi="ar"/>
        </w:rPr>
        <w:t>为中标供应商。</w:t>
      </w:r>
      <w:r>
        <w:rPr>
          <w:rFonts w:hint="eastAsia" w:ascii="宋体" w:hAnsi="宋体" w:cs="宋体"/>
          <w:color w:val="auto"/>
          <w:sz w:val="22"/>
          <w:szCs w:val="22"/>
          <w:highlight w:val="none"/>
          <w:lang w:eastAsia="zh-CN" w:bidi="ar"/>
        </w:rPr>
        <w:t>甲乙</w:t>
      </w:r>
      <w:r>
        <w:rPr>
          <w:rFonts w:hint="eastAsia" w:ascii="宋体" w:hAnsi="宋体" w:cs="宋体"/>
          <w:color w:val="auto"/>
          <w:sz w:val="22"/>
          <w:szCs w:val="22"/>
          <w:highlight w:val="none"/>
          <w:lang w:bidi="ar"/>
        </w:rPr>
        <w:t>双方同意按照下面条款和条件，签署本合同。</w:t>
      </w:r>
    </w:p>
    <w:p>
      <w:pPr>
        <w:keepNext w:val="0"/>
        <w:keepLines w:val="0"/>
        <w:pageBreakBefore w:val="0"/>
        <w:widowControl w:val="0"/>
        <w:numPr>
          <w:ilvl w:val="0"/>
          <w:numId w:val="6"/>
        </w:numPr>
        <w:kinsoku/>
        <w:wordWrap/>
        <w:overflowPunct/>
        <w:topLinePunct w:val="0"/>
        <w:autoSpaceDE/>
        <w:autoSpaceDN/>
        <w:bidi w:val="0"/>
        <w:snapToGrid/>
        <w:spacing w:line="460" w:lineRule="exact"/>
        <w:rPr>
          <w:rFonts w:ascii="宋体" w:hAnsi="宋体"/>
          <w:b/>
          <w:bCs/>
          <w:color w:val="auto"/>
          <w:sz w:val="22"/>
          <w:szCs w:val="22"/>
          <w:highlight w:val="none"/>
        </w:rPr>
      </w:pPr>
      <w:r>
        <w:rPr>
          <w:rFonts w:hint="eastAsia" w:ascii="宋体" w:hAnsi="宋体" w:cs="宋体"/>
          <w:b/>
          <w:bCs/>
          <w:color w:val="auto"/>
          <w:sz w:val="22"/>
          <w:szCs w:val="22"/>
          <w:highlight w:val="none"/>
        </w:rPr>
        <w:t>定义：</w:t>
      </w:r>
    </w:p>
    <w:p>
      <w:pPr>
        <w:keepNext w:val="0"/>
        <w:keepLines w:val="0"/>
        <w:pageBreakBefore w:val="0"/>
        <w:widowControl w:val="0"/>
        <w:kinsoku/>
        <w:wordWrap/>
        <w:overflowPunct/>
        <w:topLinePunct w:val="0"/>
        <w:autoSpaceDE/>
        <w:autoSpaceDN/>
        <w:bidi w:val="0"/>
        <w:snapToGrid/>
        <w:spacing w:line="460" w:lineRule="exact"/>
        <w:ind w:firstLine="440" w:firstLineChars="200"/>
        <w:rPr>
          <w:rFonts w:ascii="宋体" w:hAnsi="宋体"/>
          <w:color w:val="auto"/>
          <w:sz w:val="22"/>
          <w:szCs w:val="22"/>
          <w:highlight w:val="none"/>
        </w:rPr>
      </w:pPr>
      <w:r>
        <w:rPr>
          <w:rFonts w:hint="eastAsia" w:ascii="宋体" w:hAnsi="宋体" w:cs="宋体"/>
          <w:color w:val="auto"/>
          <w:sz w:val="22"/>
          <w:szCs w:val="22"/>
          <w:highlight w:val="none"/>
        </w:rPr>
        <w:t>本合同下列述语应解释为：</w:t>
      </w:r>
    </w:p>
    <w:p>
      <w:pPr>
        <w:keepNext w:val="0"/>
        <w:keepLines w:val="0"/>
        <w:pageBreakBefore w:val="0"/>
        <w:widowControl w:val="0"/>
        <w:numPr>
          <w:ilvl w:val="1"/>
          <w:numId w:val="6"/>
        </w:numPr>
        <w:tabs>
          <w:tab w:val="left" w:pos="540"/>
          <w:tab w:val="left" w:pos="851"/>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pacing w:val="6"/>
          <w:sz w:val="22"/>
          <w:szCs w:val="22"/>
          <w:highlight w:val="none"/>
        </w:rPr>
        <w:t>“</w:t>
      </w:r>
      <w:r>
        <w:rPr>
          <w:rFonts w:hint="eastAsia" w:ascii="宋体" w:hAnsi="宋体" w:cs="宋体"/>
          <w:color w:val="auto"/>
          <w:sz w:val="22"/>
          <w:szCs w:val="22"/>
          <w:highlight w:val="none"/>
        </w:rPr>
        <w:t>合同”即由甲乙方双方签订的合同格式中的文件，包括所有的附件、附录和组成合同部分的所有其他文件。</w:t>
      </w:r>
    </w:p>
    <w:p>
      <w:pPr>
        <w:keepNext w:val="0"/>
        <w:keepLines w:val="0"/>
        <w:pageBreakBefore w:val="0"/>
        <w:widowControl w:val="0"/>
        <w:tabs>
          <w:tab w:val="left" w:pos="540"/>
          <w:tab w:val="left" w:pos="567"/>
        </w:tabs>
        <w:kinsoku/>
        <w:wordWrap/>
        <w:overflowPunct/>
        <w:topLinePunct w:val="0"/>
        <w:autoSpaceDE/>
        <w:autoSpaceDN/>
        <w:bidi w:val="0"/>
        <w:snapToGrid/>
        <w:spacing w:line="460" w:lineRule="exact"/>
        <w:ind w:left="540"/>
        <w:rPr>
          <w:rFonts w:ascii="宋体" w:hAnsi="宋体"/>
          <w:color w:val="auto"/>
          <w:sz w:val="22"/>
          <w:szCs w:val="22"/>
          <w:highlight w:val="none"/>
        </w:rPr>
      </w:pPr>
      <w:r>
        <w:rPr>
          <w:rFonts w:hint="eastAsia" w:ascii="宋体" w:hAnsi="宋体" w:cs="宋体"/>
          <w:color w:val="auto"/>
          <w:sz w:val="22"/>
          <w:szCs w:val="22"/>
          <w:highlight w:val="none"/>
        </w:rPr>
        <w:t>合同将由温州市中医院（以下简称甲方）与经评审最终确定的中标人（以下简称乙方）结合本项目具体情况协商后签订。以下为采购人提出涉及乙方的主要条款，投标人在投标文件中应对其进行确认或拒绝。如投标人在其投标文件中未做拒绝或提出修改要求的，采购人将视作认同。</w:t>
      </w:r>
    </w:p>
    <w:p>
      <w:pPr>
        <w:keepNext w:val="0"/>
        <w:keepLines w:val="0"/>
        <w:pageBreakBefore w:val="0"/>
        <w:widowControl w:val="0"/>
        <w:numPr>
          <w:ilvl w:val="1"/>
          <w:numId w:val="6"/>
        </w:numPr>
        <w:tabs>
          <w:tab w:val="left" w:pos="540"/>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b/>
          <w:bCs/>
          <w:color w:val="auto"/>
          <w:sz w:val="22"/>
          <w:szCs w:val="22"/>
          <w:highlight w:val="none"/>
        </w:rPr>
        <w:t>“合同价”是指根据本合同规定，乙方在正确地完全履行合同义务后甲方应支付给乙方的价款。包括但不限于制造、货物款、装卸、运输、税金、保险、检测验收（含第三方检测验收）、售后服务、质保期保障、招标代理服务费及其他不可预见费等全部费用，实行固定费用总包干。</w:t>
      </w:r>
    </w:p>
    <w:p>
      <w:pPr>
        <w:keepNext w:val="0"/>
        <w:keepLines w:val="0"/>
        <w:pageBreakBefore w:val="0"/>
        <w:widowControl w:val="0"/>
        <w:numPr>
          <w:ilvl w:val="1"/>
          <w:numId w:val="6"/>
        </w:numPr>
        <w:tabs>
          <w:tab w:val="left" w:pos="540"/>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“货物”是指根据合同规定须向甲方提供的一切产品和其它材料。</w:t>
      </w:r>
    </w:p>
    <w:p>
      <w:pPr>
        <w:keepNext w:val="0"/>
        <w:keepLines w:val="0"/>
        <w:pageBreakBefore w:val="0"/>
        <w:widowControl w:val="0"/>
        <w:numPr>
          <w:ilvl w:val="1"/>
          <w:numId w:val="6"/>
        </w:numPr>
        <w:tabs>
          <w:tab w:val="left" w:pos="540"/>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“服务”是指根据合同规定乙方承担与供货有关的辅助服务，如运输、保险以及其它的伴随服务，例如三包、提供技术协助和合同中规定乙方应承担的其它义务。</w:t>
      </w:r>
    </w:p>
    <w:p>
      <w:pPr>
        <w:keepNext w:val="0"/>
        <w:keepLines w:val="0"/>
        <w:pageBreakBefore w:val="0"/>
        <w:widowControl w:val="0"/>
        <w:numPr>
          <w:ilvl w:val="1"/>
          <w:numId w:val="6"/>
        </w:numPr>
        <w:tabs>
          <w:tab w:val="left" w:pos="540"/>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“现场”是指合同项下货物将要进行运送的地点。</w:t>
      </w:r>
    </w:p>
    <w:p>
      <w:pPr>
        <w:keepNext w:val="0"/>
        <w:keepLines w:val="0"/>
        <w:pageBreakBefore w:val="0"/>
        <w:widowControl w:val="0"/>
        <w:numPr>
          <w:ilvl w:val="1"/>
          <w:numId w:val="6"/>
        </w:numPr>
        <w:tabs>
          <w:tab w:val="left" w:pos="540"/>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“验收”是指合同双方依据规定的程序和条件确认合同项下的货物符合技术规范的要求。</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b/>
          <w:bCs/>
          <w:color w:val="auto"/>
          <w:sz w:val="22"/>
          <w:szCs w:val="22"/>
          <w:highlight w:val="none"/>
        </w:rPr>
        <w:t>标准</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本合同项下交付的货物应符合技术规格所述的标准。如在招标文件中无相应说明，则以国家颁布的最新版本标准或行业（部）标准或相应的国际标准执行，没有国家或行业（部）标准的则按企业标准执行。</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除非技术规格中另有规定，计量单位均采用中华人民共和国法定计量单位。</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b/>
          <w:bCs/>
          <w:color w:val="auto"/>
          <w:sz w:val="22"/>
          <w:szCs w:val="22"/>
          <w:highlight w:val="none"/>
        </w:rPr>
        <w:t>专利权</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乙方应保证，甲方在使用该货物或货物的任何一部分时，免受第三方提出的侵犯其专利权、商标权、著作权或其它知识产权的起诉。乙方应承担由此可能产生的一切法律责任和费用。</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b/>
          <w:bCs/>
          <w:color w:val="auto"/>
          <w:sz w:val="22"/>
          <w:szCs w:val="22"/>
          <w:highlight w:val="none"/>
        </w:rPr>
      </w:pPr>
      <w:r>
        <w:rPr>
          <w:rFonts w:hint="eastAsia" w:ascii="宋体" w:hAnsi="宋体" w:cs="宋体"/>
          <w:b/>
          <w:bCs/>
          <w:color w:val="auto"/>
          <w:sz w:val="22"/>
          <w:szCs w:val="22"/>
          <w:highlight w:val="none"/>
        </w:rPr>
        <w:t>包装要求</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除合同另有规定外，乙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乙方应承担由于其包装或其防护措施不妥而引起货物锈蚀、损坏和丢失的任何损失的责任或费用。</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每一包装箱内必须附有装箱清单、合格证和齐全的技术资料等。</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b/>
          <w:bCs/>
          <w:color w:val="auto"/>
          <w:sz w:val="22"/>
          <w:szCs w:val="22"/>
          <w:highlight w:val="none"/>
        </w:rPr>
        <w:t>装运标记</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乙方应在每一包装箱相邻的四侧用不可擦除的油漆以醒目的中文字样标注下列标记：</w:t>
      </w:r>
    </w:p>
    <w:p>
      <w:pPr>
        <w:keepNext w:val="0"/>
        <w:keepLines w:val="0"/>
        <w:pageBreakBefore w:val="0"/>
        <w:widowControl w:val="0"/>
        <w:kinsoku/>
        <w:wordWrap/>
        <w:overflowPunct/>
        <w:topLinePunct w:val="0"/>
        <w:autoSpaceDE/>
        <w:autoSpaceDN/>
        <w:bidi w:val="0"/>
        <w:snapToGrid/>
        <w:spacing w:line="460" w:lineRule="exact"/>
        <w:ind w:left="-1" w:firstLine="539" w:firstLineChars="245"/>
        <w:rPr>
          <w:rFonts w:ascii="宋体" w:hAnsi="宋体"/>
          <w:color w:val="auto"/>
          <w:sz w:val="22"/>
          <w:szCs w:val="22"/>
          <w:highlight w:val="none"/>
        </w:rPr>
      </w:pPr>
      <w:r>
        <w:rPr>
          <w:rFonts w:ascii="宋体" w:hAnsi="宋体" w:cs="宋体"/>
          <w:color w:val="auto"/>
          <w:sz w:val="22"/>
          <w:szCs w:val="22"/>
          <w:highlight w:val="none"/>
        </w:rPr>
        <w:t>1</w:t>
      </w:r>
      <w:r>
        <w:rPr>
          <w:rFonts w:hint="eastAsia" w:ascii="宋体" w:hAnsi="宋体" w:cs="宋体"/>
          <w:color w:val="auto"/>
          <w:sz w:val="22"/>
          <w:szCs w:val="22"/>
          <w:highlight w:val="none"/>
        </w:rPr>
        <w:t>）</w:t>
      </w:r>
      <w:r>
        <w:rPr>
          <w:rFonts w:ascii="宋体" w:hAnsi="宋体" w:cs="宋体"/>
          <w:color w:val="auto"/>
          <w:sz w:val="22"/>
          <w:szCs w:val="22"/>
          <w:highlight w:val="none"/>
        </w:rPr>
        <w:t xml:space="preserve">   </w:t>
      </w:r>
      <w:r>
        <w:rPr>
          <w:rFonts w:hint="eastAsia" w:ascii="宋体" w:hAnsi="宋体" w:cs="宋体"/>
          <w:color w:val="auto"/>
          <w:sz w:val="22"/>
          <w:szCs w:val="22"/>
          <w:highlight w:val="none"/>
        </w:rPr>
        <w:t>收货人</w:t>
      </w:r>
      <w:r>
        <w:rPr>
          <w:rFonts w:ascii="宋体" w:hAnsi="宋体" w:cs="宋体"/>
          <w:color w:val="auto"/>
          <w:sz w:val="22"/>
          <w:szCs w:val="22"/>
          <w:highlight w:val="none"/>
          <w:u w:val="single"/>
        </w:rPr>
        <w:t xml:space="preserve">                                            </w:t>
      </w:r>
    </w:p>
    <w:p>
      <w:pPr>
        <w:keepNext w:val="0"/>
        <w:keepLines w:val="0"/>
        <w:pageBreakBefore w:val="0"/>
        <w:widowControl w:val="0"/>
        <w:kinsoku/>
        <w:wordWrap/>
        <w:overflowPunct/>
        <w:topLinePunct w:val="0"/>
        <w:autoSpaceDE/>
        <w:autoSpaceDN/>
        <w:bidi w:val="0"/>
        <w:snapToGrid/>
        <w:spacing w:line="460" w:lineRule="exact"/>
        <w:ind w:firstLine="539" w:firstLineChars="245"/>
        <w:rPr>
          <w:rFonts w:ascii="宋体" w:hAnsi="宋体"/>
          <w:color w:val="auto"/>
          <w:sz w:val="22"/>
          <w:szCs w:val="22"/>
          <w:highlight w:val="none"/>
        </w:rPr>
      </w:pPr>
      <w:r>
        <w:rPr>
          <w:rFonts w:ascii="宋体" w:hAnsi="宋体" w:cs="宋体"/>
          <w:color w:val="auto"/>
          <w:sz w:val="22"/>
          <w:szCs w:val="22"/>
          <w:highlight w:val="none"/>
        </w:rPr>
        <w:t>2</w:t>
      </w:r>
      <w:r>
        <w:rPr>
          <w:rFonts w:hint="eastAsia" w:ascii="宋体" w:hAnsi="宋体" w:cs="宋体"/>
          <w:color w:val="auto"/>
          <w:sz w:val="22"/>
          <w:szCs w:val="22"/>
          <w:highlight w:val="none"/>
        </w:rPr>
        <w:t>）</w:t>
      </w:r>
      <w:r>
        <w:rPr>
          <w:rFonts w:ascii="宋体" w:hAnsi="宋体" w:cs="宋体"/>
          <w:color w:val="auto"/>
          <w:sz w:val="22"/>
          <w:szCs w:val="22"/>
          <w:highlight w:val="none"/>
        </w:rPr>
        <w:t xml:space="preserve">   </w:t>
      </w:r>
      <w:r>
        <w:rPr>
          <w:rFonts w:hint="eastAsia" w:ascii="宋体" w:hAnsi="宋体" w:cs="宋体"/>
          <w:color w:val="auto"/>
          <w:sz w:val="22"/>
          <w:szCs w:val="22"/>
          <w:highlight w:val="none"/>
        </w:rPr>
        <w:t>货物名称和箱号</w:t>
      </w:r>
      <w:r>
        <w:rPr>
          <w:rFonts w:ascii="宋体" w:hAnsi="宋体" w:cs="宋体"/>
          <w:color w:val="auto"/>
          <w:sz w:val="22"/>
          <w:szCs w:val="22"/>
          <w:highlight w:val="none"/>
          <w:u w:val="single"/>
        </w:rPr>
        <w:t xml:space="preserve">                                    </w:t>
      </w:r>
    </w:p>
    <w:p>
      <w:pPr>
        <w:keepNext w:val="0"/>
        <w:keepLines w:val="0"/>
        <w:pageBreakBefore w:val="0"/>
        <w:widowControl w:val="0"/>
        <w:kinsoku/>
        <w:wordWrap/>
        <w:overflowPunct/>
        <w:topLinePunct w:val="0"/>
        <w:autoSpaceDE/>
        <w:autoSpaceDN/>
        <w:bidi w:val="0"/>
        <w:snapToGrid/>
        <w:spacing w:line="460" w:lineRule="exact"/>
        <w:ind w:firstLine="539" w:firstLineChars="245"/>
        <w:rPr>
          <w:rFonts w:ascii="宋体" w:hAnsi="宋体"/>
          <w:color w:val="auto"/>
          <w:sz w:val="22"/>
          <w:szCs w:val="22"/>
          <w:highlight w:val="none"/>
        </w:rPr>
      </w:pPr>
      <w:r>
        <w:rPr>
          <w:rFonts w:ascii="宋体" w:hAnsi="宋体" w:cs="宋体"/>
          <w:color w:val="auto"/>
          <w:sz w:val="22"/>
          <w:szCs w:val="22"/>
          <w:highlight w:val="none"/>
        </w:rPr>
        <w:t>3</w:t>
      </w:r>
      <w:r>
        <w:rPr>
          <w:rFonts w:hint="eastAsia" w:ascii="宋体" w:hAnsi="宋体" w:cs="宋体"/>
          <w:color w:val="auto"/>
          <w:sz w:val="22"/>
          <w:szCs w:val="22"/>
          <w:highlight w:val="none"/>
        </w:rPr>
        <w:t>）</w:t>
      </w:r>
      <w:r>
        <w:rPr>
          <w:rFonts w:ascii="宋体" w:hAnsi="宋体" w:cs="宋体"/>
          <w:color w:val="auto"/>
          <w:sz w:val="22"/>
          <w:szCs w:val="22"/>
          <w:highlight w:val="none"/>
        </w:rPr>
        <w:t xml:space="preserve">   </w:t>
      </w:r>
      <w:r>
        <w:rPr>
          <w:rFonts w:hint="eastAsia" w:ascii="宋体" w:hAnsi="宋体" w:cs="宋体"/>
          <w:color w:val="auto"/>
          <w:sz w:val="22"/>
          <w:szCs w:val="22"/>
          <w:highlight w:val="none"/>
        </w:rPr>
        <w:t>合同号</w:t>
      </w:r>
      <w:r>
        <w:rPr>
          <w:rFonts w:ascii="宋体" w:hAnsi="宋体" w:cs="宋体"/>
          <w:color w:val="auto"/>
          <w:sz w:val="22"/>
          <w:szCs w:val="22"/>
          <w:highlight w:val="none"/>
          <w:u w:val="single"/>
        </w:rPr>
        <w:t xml:space="preserve">                                            </w:t>
      </w:r>
    </w:p>
    <w:p>
      <w:pPr>
        <w:keepNext w:val="0"/>
        <w:keepLines w:val="0"/>
        <w:pageBreakBefore w:val="0"/>
        <w:widowControl w:val="0"/>
        <w:kinsoku/>
        <w:wordWrap/>
        <w:overflowPunct/>
        <w:topLinePunct w:val="0"/>
        <w:autoSpaceDE/>
        <w:autoSpaceDN/>
        <w:bidi w:val="0"/>
        <w:snapToGrid/>
        <w:spacing w:line="460" w:lineRule="exact"/>
        <w:ind w:firstLine="539" w:firstLineChars="245"/>
        <w:rPr>
          <w:rFonts w:ascii="宋体" w:hAnsi="宋体"/>
          <w:color w:val="auto"/>
          <w:sz w:val="22"/>
          <w:szCs w:val="22"/>
          <w:highlight w:val="none"/>
        </w:rPr>
      </w:pPr>
      <w:r>
        <w:rPr>
          <w:rFonts w:ascii="宋体" w:hAnsi="宋体" w:cs="宋体"/>
          <w:color w:val="auto"/>
          <w:sz w:val="22"/>
          <w:szCs w:val="22"/>
          <w:highlight w:val="none"/>
        </w:rPr>
        <w:t>4</w:t>
      </w:r>
      <w:r>
        <w:rPr>
          <w:rFonts w:hint="eastAsia" w:ascii="宋体" w:hAnsi="宋体" w:cs="宋体"/>
          <w:color w:val="auto"/>
          <w:sz w:val="22"/>
          <w:szCs w:val="22"/>
          <w:highlight w:val="none"/>
        </w:rPr>
        <w:t>）</w:t>
      </w:r>
      <w:r>
        <w:rPr>
          <w:rFonts w:ascii="宋体" w:hAnsi="宋体" w:cs="宋体"/>
          <w:color w:val="auto"/>
          <w:sz w:val="22"/>
          <w:szCs w:val="22"/>
          <w:highlight w:val="none"/>
        </w:rPr>
        <w:t xml:space="preserve">   </w:t>
      </w:r>
      <w:r>
        <w:rPr>
          <w:rFonts w:hint="eastAsia" w:ascii="宋体" w:hAnsi="宋体" w:cs="宋体"/>
          <w:color w:val="auto"/>
          <w:sz w:val="22"/>
          <w:szCs w:val="22"/>
          <w:highlight w:val="none"/>
        </w:rPr>
        <w:t>发货标记（唛头）</w:t>
      </w:r>
      <w:r>
        <w:rPr>
          <w:rFonts w:ascii="宋体" w:hAnsi="宋体" w:cs="宋体"/>
          <w:color w:val="auto"/>
          <w:sz w:val="22"/>
          <w:szCs w:val="22"/>
          <w:highlight w:val="none"/>
          <w:u w:val="single"/>
        </w:rPr>
        <w:t xml:space="preserve">                                  </w:t>
      </w:r>
    </w:p>
    <w:p>
      <w:pPr>
        <w:keepNext w:val="0"/>
        <w:keepLines w:val="0"/>
        <w:pageBreakBefore w:val="0"/>
        <w:widowControl w:val="0"/>
        <w:kinsoku/>
        <w:wordWrap/>
        <w:overflowPunct/>
        <w:topLinePunct w:val="0"/>
        <w:autoSpaceDE/>
        <w:autoSpaceDN/>
        <w:bidi w:val="0"/>
        <w:snapToGrid/>
        <w:spacing w:line="460" w:lineRule="exact"/>
        <w:ind w:firstLine="539" w:firstLineChars="245"/>
        <w:rPr>
          <w:rFonts w:ascii="宋体" w:hAnsi="宋体"/>
          <w:color w:val="auto"/>
          <w:sz w:val="22"/>
          <w:szCs w:val="22"/>
          <w:highlight w:val="none"/>
        </w:rPr>
      </w:pPr>
      <w:r>
        <w:rPr>
          <w:rFonts w:ascii="宋体" w:hAnsi="宋体" w:cs="宋体"/>
          <w:color w:val="auto"/>
          <w:sz w:val="22"/>
          <w:szCs w:val="22"/>
          <w:highlight w:val="none"/>
        </w:rPr>
        <w:t>5</w:t>
      </w:r>
      <w:r>
        <w:rPr>
          <w:rFonts w:hint="eastAsia" w:ascii="宋体" w:hAnsi="宋体" w:cs="宋体"/>
          <w:color w:val="auto"/>
          <w:sz w:val="22"/>
          <w:szCs w:val="22"/>
          <w:highlight w:val="none"/>
        </w:rPr>
        <w:t>）</w:t>
      </w:r>
      <w:r>
        <w:rPr>
          <w:rFonts w:ascii="宋体" w:hAnsi="宋体" w:cs="宋体"/>
          <w:color w:val="auto"/>
          <w:sz w:val="22"/>
          <w:szCs w:val="22"/>
          <w:highlight w:val="none"/>
        </w:rPr>
        <w:t xml:space="preserve">   </w:t>
      </w:r>
      <w:r>
        <w:rPr>
          <w:rFonts w:hint="eastAsia" w:ascii="宋体" w:hAnsi="宋体" w:cs="宋体"/>
          <w:color w:val="auto"/>
          <w:sz w:val="22"/>
          <w:szCs w:val="22"/>
          <w:highlight w:val="none"/>
        </w:rPr>
        <w:t>到达站或到货地点</w:t>
      </w:r>
      <w:r>
        <w:rPr>
          <w:rFonts w:ascii="宋体" w:hAnsi="宋体" w:cs="宋体"/>
          <w:color w:val="auto"/>
          <w:sz w:val="22"/>
          <w:szCs w:val="22"/>
          <w:highlight w:val="none"/>
          <w:u w:val="single"/>
        </w:rPr>
        <w:t xml:space="preserve">                                  </w:t>
      </w:r>
    </w:p>
    <w:p>
      <w:pPr>
        <w:keepNext w:val="0"/>
        <w:keepLines w:val="0"/>
        <w:pageBreakBefore w:val="0"/>
        <w:widowControl w:val="0"/>
        <w:kinsoku/>
        <w:wordWrap/>
        <w:overflowPunct/>
        <w:topLinePunct w:val="0"/>
        <w:autoSpaceDE/>
        <w:autoSpaceDN/>
        <w:bidi w:val="0"/>
        <w:snapToGrid/>
        <w:spacing w:line="460" w:lineRule="exact"/>
        <w:ind w:firstLine="539" w:firstLineChars="245"/>
        <w:rPr>
          <w:rFonts w:ascii="宋体" w:hAnsi="宋体"/>
          <w:color w:val="auto"/>
          <w:sz w:val="22"/>
          <w:szCs w:val="22"/>
          <w:highlight w:val="none"/>
        </w:rPr>
      </w:pPr>
      <w:r>
        <w:rPr>
          <w:rFonts w:ascii="宋体" w:hAnsi="宋体" w:cs="宋体"/>
          <w:color w:val="auto"/>
          <w:sz w:val="22"/>
          <w:szCs w:val="22"/>
          <w:highlight w:val="none"/>
        </w:rPr>
        <w:t>6</w:t>
      </w:r>
      <w:r>
        <w:rPr>
          <w:rFonts w:hint="eastAsia" w:ascii="宋体" w:hAnsi="宋体" w:cs="宋体"/>
          <w:color w:val="auto"/>
          <w:sz w:val="22"/>
          <w:szCs w:val="22"/>
          <w:highlight w:val="none"/>
        </w:rPr>
        <w:t>）</w:t>
      </w:r>
      <w:r>
        <w:rPr>
          <w:rFonts w:ascii="宋体" w:hAnsi="宋体" w:cs="宋体"/>
          <w:color w:val="auto"/>
          <w:sz w:val="22"/>
          <w:szCs w:val="22"/>
          <w:highlight w:val="none"/>
        </w:rPr>
        <w:t xml:space="preserve">   </w:t>
      </w:r>
      <w:r>
        <w:rPr>
          <w:rFonts w:hint="eastAsia" w:ascii="宋体" w:hAnsi="宋体" w:cs="宋体"/>
          <w:color w:val="auto"/>
          <w:sz w:val="22"/>
          <w:szCs w:val="22"/>
          <w:highlight w:val="none"/>
        </w:rPr>
        <w:t>外型尺寸（长×宽×高用厘米表示）</w:t>
      </w:r>
      <w:r>
        <w:rPr>
          <w:rFonts w:ascii="宋体" w:hAnsi="宋体" w:cs="宋体"/>
          <w:color w:val="auto"/>
          <w:sz w:val="22"/>
          <w:szCs w:val="22"/>
          <w:highlight w:val="none"/>
          <w:u w:val="single"/>
        </w:rPr>
        <w:t xml:space="preserve">                  </w:t>
      </w:r>
    </w:p>
    <w:p>
      <w:pPr>
        <w:keepNext w:val="0"/>
        <w:keepLines w:val="0"/>
        <w:pageBreakBefore w:val="0"/>
        <w:widowControl w:val="0"/>
        <w:kinsoku/>
        <w:wordWrap/>
        <w:overflowPunct/>
        <w:topLinePunct w:val="0"/>
        <w:autoSpaceDE/>
        <w:autoSpaceDN/>
        <w:bidi w:val="0"/>
        <w:snapToGrid/>
        <w:spacing w:line="460" w:lineRule="exact"/>
        <w:ind w:firstLine="539" w:firstLineChars="245"/>
        <w:rPr>
          <w:rFonts w:ascii="宋体" w:hAnsi="宋体"/>
          <w:color w:val="auto"/>
          <w:sz w:val="22"/>
          <w:szCs w:val="22"/>
          <w:highlight w:val="none"/>
        </w:rPr>
      </w:pPr>
      <w:r>
        <w:rPr>
          <w:rFonts w:ascii="宋体" w:hAnsi="宋体" w:cs="宋体"/>
          <w:color w:val="auto"/>
          <w:sz w:val="22"/>
          <w:szCs w:val="22"/>
          <w:highlight w:val="none"/>
        </w:rPr>
        <w:t>7</w:t>
      </w:r>
      <w:r>
        <w:rPr>
          <w:rFonts w:hint="eastAsia" w:ascii="宋体" w:hAnsi="宋体" w:cs="宋体"/>
          <w:color w:val="auto"/>
          <w:sz w:val="22"/>
          <w:szCs w:val="22"/>
          <w:highlight w:val="none"/>
        </w:rPr>
        <w:t>）</w:t>
      </w:r>
      <w:r>
        <w:rPr>
          <w:rFonts w:ascii="宋体" w:hAnsi="宋体" w:cs="宋体"/>
          <w:color w:val="auto"/>
          <w:sz w:val="22"/>
          <w:szCs w:val="22"/>
          <w:highlight w:val="none"/>
        </w:rPr>
        <w:t xml:space="preserve">   </w:t>
      </w:r>
      <w:r>
        <w:rPr>
          <w:rFonts w:hint="eastAsia" w:ascii="宋体" w:hAnsi="宋体" w:cs="宋体"/>
          <w:color w:val="auto"/>
          <w:sz w:val="22"/>
          <w:szCs w:val="22"/>
          <w:highlight w:val="none"/>
        </w:rPr>
        <w:t>毛重</w:t>
      </w:r>
      <w:r>
        <w:rPr>
          <w:rFonts w:ascii="宋体" w:hAnsi="宋体" w:cs="宋体"/>
          <w:color w:val="auto"/>
          <w:sz w:val="22"/>
          <w:szCs w:val="22"/>
          <w:highlight w:val="none"/>
        </w:rPr>
        <w:t>/</w:t>
      </w:r>
      <w:r>
        <w:rPr>
          <w:rFonts w:hint="eastAsia" w:ascii="宋体" w:hAnsi="宋体" w:cs="宋体"/>
          <w:color w:val="auto"/>
          <w:sz w:val="22"/>
          <w:szCs w:val="22"/>
          <w:highlight w:val="none"/>
        </w:rPr>
        <w:t>净重（用公斤表示）</w:t>
      </w:r>
      <w:r>
        <w:rPr>
          <w:rFonts w:ascii="宋体" w:hAnsi="宋体" w:cs="宋体"/>
          <w:color w:val="auto"/>
          <w:sz w:val="22"/>
          <w:szCs w:val="22"/>
          <w:highlight w:val="none"/>
          <w:u w:val="single"/>
        </w:rPr>
        <w:t xml:space="preserve">                           </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如果货物单件重量在</w:t>
      </w:r>
      <w:r>
        <w:rPr>
          <w:rFonts w:ascii="宋体" w:hAnsi="宋体" w:cs="宋体"/>
          <w:color w:val="auto"/>
          <w:sz w:val="22"/>
          <w:szCs w:val="22"/>
          <w:highlight w:val="none"/>
        </w:rPr>
        <w:t>2</w:t>
      </w:r>
      <w:r>
        <w:rPr>
          <w:rFonts w:hint="eastAsia" w:ascii="宋体" w:hAnsi="宋体" w:cs="宋体"/>
          <w:color w:val="auto"/>
          <w:sz w:val="22"/>
          <w:szCs w:val="22"/>
          <w:highlight w:val="none"/>
        </w:rPr>
        <w:t>吨或</w:t>
      </w:r>
      <w:r>
        <w:rPr>
          <w:rFonts w:ascii="宋体" w:hAnsi="宋体" w:cs="宋体"/>
          <w:color w:val="auto"/>
          <w:sz w:val="22"/>
          <w:szCs w:val="22"/>
          <w:highlight w:val="none"/>
        </w:rPr>
        <w:t>2</w:t>
      </w:r>
      <w:r>
        <w:rPr>
          <w:rFonts w:hint="eastAsia" w:ascii="宋体" w:hAnsi="宋体" w:cs="宋体"/>
          <w:color w:val="auto"/>
          <w:sz w:val="22"/>
          <w:szCs w:val="22"/>
          <w:highlight w:val="none"/>
        </w:rPr>
        <w:t>吨以上，乙方应在包装箱的两侧用中文和国际贸易通用的运输标记标注，“重心”和“吊装点”以便装卸和搬运。同时根据货物的特点和运输的不同要求，乙方还应在包装箱上清楚地标注“小心轻放”、“防潮”、“此端向上”、“请勿倒置”“保持干燥”等字样和其他国际贸易中使用的适当标志。</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b/>
          <w:bCs/>
          <w:color w:val="auto"/>
          <w:sz w:val="22"/>
          <w:szCs w:val="22"/>
          <w:highlight w:val="none"/>
        </w:rPr>
        <w:t>交货方式：</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现场交货：乙方负责办理运输和保险，将货物运抵甲方指定的现场并落地就位。有关运输和保险的一切费用由乙方承担。所有货物运抵现场的日期为交货日期。</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在现场交货条件下，乙方在货物发运前，将要发运货物的合同号、货物名称、规格、数量、包装箱件数、重量、包装箱尺寸（长×宽×高）和货物的卸车，贮存的特殊要求以及运输工具名称以及启运日期，以传真形式通知甲方。</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如因乙方延误将上述内容用传真形式通知甲方，由此引起的一切损失应由乙方承担。</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b/>
          <w:bCs/>
          <w:color w:val="auto"/>
          <w:sz w:val="22"/>
          <w:szCs w:val="22"/>
          <w:highlight w:val="none"/>
        </w:rPr>
      </w:pPr>
      <w:r>
        <w:rPr>
          <w:rFonts w:hint="eastAsia" w:ascii="宋体" w:hAnsi="宋体" w:cs="宋体"/>
          <w:b/>
          <w:bCs/>
          <w:color w:val="auto"/>
          <w:sz w:val="22"/>
          <w:szCs w:val="22"/>
          <w:highlight w:val="none"/>
        </w:rPr>
        <w:t>供货方式及期限：</w:t>
      </w:r>
    </w:p>
    <w:p>
      <w:pPr>
        <w:keepNext w:val="0"/>
        <w:keepLines w:val="0"/>
        <w:pageBreakBefore w:val="0"/>
        <w:widowControl w:val="0"/>
        <w:tabs>
          <w:tab w:val="left" w:pos="540"/>
          <w:tab w:val="left" w:pos="1722"/>
        </w:tabs>
        <w:kinsoku/>
        <w:wordWrap/>
        <w:overflowPunct/>
        <w:topLinePunct w:val="0"/>
        <w:autoSpaceDE/>
        <w:autoSpaceDN/>
        <w:bidi w:val="0"/>
        <w:snapToGrid/>
        <w:spacing w:line="460" w:lineRule="exact"/>
        <w:ind w:left="567"/>
        <w:rPr>
          <w:rFonts w:hint="eastAsia" w:ascii="宋体" w:hAnsi="宋体" w:cs="宋体"/>
          <w:color w:val="auto"/>
          <w:sz w:val="22"/>
          <w:szCs w:val="22"/>
          <w:highlight w:val="none"/>
        </w:rPr>
      </w:pPr>
      <w:r>
        <w:rPr>
          <w:rFonts w:hint="eastAsia" w:ascii="宋体" w:hAnsi="宋体" w:cs="宋体"/>
          <w:color w:val="auto"/>
          <w:sz w:val="22"/>
          <w:szCs w:val="22"/>
          <w:highlight w:val="none"/>
        </w:rPr>
        <w:t>合同生效后，乙方需为甲方准备每个月所需的消毒粉数量，由乙方负责将消毒粉运送至指定的地点。运输过程中发生的成本及风险由乙方承担。乙方未准备所需数量的消毒粉或超过规定时间仍未送货的，甲方有权选择解除合同。</w:t>
      </w:r>
    </w:p>
    <w:p>
      <w:pPr>
        <w:keepNext w:val="0"/>
        <w:keepLines w:val="0"/>
        <w:pageBreakBefore w:val="0"/>
        <w:widowControl w:val="0"/>
        <w:tabs>
          <w:tab w:val="left" w:pos="540"/>
          <w:tab w:val="left" w:pos="1722"/>
        </w:tabs>
        <w:kinsoku/>
        <w:wordWrap/>
        <w:overflowPunct/>
        <w:topLinePunct w:val="0"/>
        <w:autoSpaceDE/>
        <w:autoSpaceDN/>
        <w:bidi w:val="0"/>
        <w:snapToGrid/>
        <w:spacing w:line="460" w:lineRule="exact"/>
        <w:ind w:left="567"/>
        <w:rPr>
          <w:rFonts w:hint="default" w:ascii="宋体" w:hAnsi="宋体" w:eastAsia="宋体"/>
          <w:b w:val="0"/>
          <w:bCs w:val="0"/>
          <w:color w:val="auto"/>
          <w:sz w:val="22"/>
          <w:szCs w:val="22"/>
          <w:highlight w:val="none"/>
          <w:lang w:val="en-US" w:eastAsia="zh-CN"/>
        </w:rPr>
      </w:pPr>
      <w:r>
        <w:rPr>
          <w:rFonts w:hint="eastAsia" w:ascii="宋体" w:hAnsi="宋体" w:cs="宋体"/>
          <w:b w:val="0"/>
          <w:bCs w:val="0"/>
          <w:color w:val="auto"/>
          <w:sz w:val="22"/>
          <w:szCs w:val="22"/>
          <w:highlight w:val="none"/>
          <w:lang w:eastAsia="zh-CN"/>
        </w:rPr>
        <w:t>供货</w:t>
      </w:r>
      <w:r>
        <w:rPr>
          <w:rFonts w:hint="eastAsia" w:ascii="宋体" w:hAnsi="宋体" w:cs="宋体"/>
          <w:b w:val="0"/>
          <w:bCs w:val="0"/>
          <w:color w:val="auto"/>
          <w:sz w:val="22"/>
          <w:szCs w:val="22"/>
          <w:highlight w:val="none"/>
        </w:rPr>
        <w:t>时间为</w:t>
      </w:r>
      <w:r>
        <w:rPr>
          <w:rFonts w:ascii="宋体" w:hAnsi="宋体" w:cs="宋体"/>
          <w:b w:val="0"/>
          <w:bCs w:val="0"/>
          <w:color w:val="auto"/>
          <w:sz w:val="22"/>
          <w:szCs w:val="22"/>
          <w:highlight w:val="none"/>
        </w:rPr>
        <w:t>1</w:t>
      </w:r>
      <w:r>
        <w:rPr>
          <w:rFonts w:hint="eastAsia" w:ascii="宋体" w:hAnsi="宋体" w:cs="宋体"/>
          <w:b w:val="0"/>
          <w:bCs w:val="0"/>
          <w:color w:val="auto"/>
          <w:sz w:val="22"/>
          <w:szCs w:val="22"/>
          <w:highlight w:val="none"/>
        </w:rPr>
        <w:t>年</w:t>
      </w:r>
      <w:r>
        <w:rPr>
          <w:rFonts w:hint="eastAsia" w:ascii="宋体" w:hAnsi="宋体" w:cs="宋体"/>
          <w:b w:val="0"/>
          <w:bCs w:val="0"/>
          <w:color w:val="auto"/>
          <w:sz w:val="22"/>
          <w:szCs w:val="22"/>
          <w:highlight w:val="none"/>
          <w:lang w:eastAsia="zh-CN"/>
        </w:rPr>
        <w:t>，即</w:t>
      </w:r>
      <w:r>
        <w:rPr>
          <w:rFonts w:hint="eastAsia" w:ascii="宋体" w:hAnsi="宋体" w:cs="宋体"/>
          <w:b w:val="0"/>
          <w:bCs w:val="0"/>
          <w:color w:val="auto"/>
          <w:sz w:val="22"/>
          <w:szCs w:val="22"/>
          <w:highlight w:val="none"/>
          <w:lang w:val="en-US" w:eastAsia="zh-CN"/>
        </w:rPr>
        <w:t xml:space="preserve">     年    月    日至    年    月    日止。</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b/>
          <w:bCs/>
          <w:color w:val="auto"/>
          <w:sz w:val="22"/>
          <w:szCs w:val="22"/>
          <w:highlight w:val="none"/>
        </w:rPr>
      </w:pPr>
      <w:r>
        <w:rPr>
          <w:rFonts w:hint="eastAsia" w:ascii="宋体" w:hAnsi="宋体" w:cs="宋体"/>
          <w:b/>
          <w:bCs/>
          <w:color w:val="auto"/>
          <w:sz w:val="22"/>
          <w:szCs w:val="22"/>
          <w:highlight w:val="none"/>
        </w:rPr>
        <w:t>验收</w:t>
      </w:r>
    </w:p>
    <w:p>
      <w:pPr>
        <w:keepNext w:val="0"/>
        <w:keepLines w:val="0"/>
        <w:pageBreakBefore w:val="0"/>
        <w:widowControl w:val="0"/>
        <w:tabs>
          <w:tab w:val="left" w:pos="540"/>
          <w:tab w:val="left" w:pos="567"/>
          <w:tab w:val="left" w:pos="1722"/>
        </w:tabs>
        <w:kinsoku/>
        <w:wordWrap/>
        <w:overflowPunct/>
        <w:topLinePunct w:val="0"/>
        <w:autoSpaceDE/>
        <w:autoSpaceDN/>
        <w:bidi w:val="0"/>
        <w:snapToGrid/>
        <w:spacing w:line="460" w:lineRule="exact"/>
        <w:ind w:left="540"/>
        <w:rPr>
          <w:rFonts w:hint="eastAsia" w:ascii="宋体" w:hAnsi="宋体" w:cs="宋体"/>
          <w:color w:val="auto"/>
          <w:sz w:val="22"/>
          <w:szCs w:val="22"/>
          <w:highlight w:val="none"/>
        </w:rPr>
      </w:pPr>
      <w:r>
        <w:rPr>
          <w:rFonts w:hint="eastAsia" w:ascii="宋体" w:hAnsi="宋体" w:cs="宋体"/>
          <w:color w:val="auto"/>
          <w:sz w:val="22"/>
          <w:szCs w:val="22"/>
          <w:highlight w:val="none"/>
        </w:rPr>
        <w:t>乙方将货物运送至指定的地点，经</w:t>
      </w:r>
      <w:r>
        <w:rPr>
          <w:rFonts w:hint="eastAsia" w:ascii="宋体" w:hAnsi="宋体" w:cs="宋体"/>
          <w:color w:val="auto"/>
          <w:sz w:val="22"/>
          <w:szCs w:val="22"/>
          <w:highlight w:val="none"/>
          <w:lang w:eastAsia="zh-CN"/>
        </w:rPr>
        <w:t>甲方</w:t>
      </w:r>
      <w:r>
        <w:rPr>
          <w:rFonts w:hint="eastAsia" w:ascii="宋体" w:hAnsi="宋体" w:cs="宋体"/>
          <w:color w:val="auto"/>
          <w:sz w:val="22"/>
          <w:szCs w:val="22"/>
          <w:highlight w:val="none"/>
        </w:rPr>
        <w:t>有关部门检验合格后，配合甲方货物存放、入库等工作。</w:t>
      </w:r>
    </w:p>
    <w:p>
      <w:pPr>
        <w:pStyle w:val="335"/>
        <w:keepNext w:val="0"/>
        <w:keepLines w:val="0"/>
        <w:pageBreakBefore w:val="0"/>
        <w:widowControl w:val="0"/>
        <w:kinsoku/>
        <w:wordWrap/>
        <w:overflowPunct/>
        <w:topLinePunct w:val="0"/>
        <w:autoSpaceDE/>
        <w:autoSpaceDN/>
        <w:bidi w:val="0"/>
        <w:snapToGrid/>
        <w:spacing w:line="460" w:lineRule="exact"/>
        <w:ind w:left="638" w:leftChars="304" w:firstLine="0" w:firstLineChars="0"/>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kern w:val="2"/>
          <w:sz w:val="22"/>
          <w:szCs w:val="22"/>
          <w:highlight w:val="none"/>
          <w:lang w:val="en-US" w:eastAsia="zh-CN" w:bidi="ar-SA"/>
        </w:rPr>
        <w:t>如有必要甲方可随机对提供的货物进行实样抽检，指定第三方检测机构进行检测，并提供检测报告，检测费用由乙方承担，检测不合格视为验收不合格。验收中发现货物达不到验收标准或合同规定的性能指标，乙方必须无条件的重新生产满足本次采购需求的货物，并且承担由此给甲方造成的损失。</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cs="宋体"/>
          <w:b/>
          <w:bCs/>
          <w:color w:val="auto"/>
          <w:sz w:val="22"/>
          <w:szCs w:val="22"/>
          <w:highlight w:val="none"/>
        </w:rPr>
      </w:pPr>
      <w:r>
        <w:rPr>
          <w:rFonts w:hint="eastAsia" w:ascii="宋体" w:hAnsi="宋体" w:cs="宋体"/>
          <w:b/>
          <w:bCs/>
          <w:color w:val="auto"/>
          <w:sz w:val="22"/>
          <w:szCs w:val="22"/>
          <w:highlight w:val="none"/>
        </w:rPr>
        <w:t>付款方式</w:t>
      </w:r>
      <w:r>
        <w:rPr>
          <w:rFonts w:ascii="宋体" w:hAnsi="宋体" w:cs="宋体"/>
          <w:b/>
          <w:bCs/>
          <w:color w:val="auto"/>
          <w:sz w:val="22"/>
          <w:szCs w:val="22"/>
          <w:highlight w:val="none"/>
        </w:rPr>
        <w:t xml:space="preserve">  </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rPr>
          <w:rFonts w:ascii="宋体" w:hAnsi="宋体"/>
          <w:b/>
          <w:bCs/>
          <w:color w:val="auto"/>
          <w:sz w:val="22"/>
          <w:szCs w:val="22"/>
          <w:highlight w:val="none"/>
        </w:rPr>
      </w:pPr>
      <w:r>
        <w:rPr>
          <w:rFonts w:hint="eastAsia" w:ascii="宋体" w:hAnsi="宋体" w:cs="宋体"/>
          <w:b/>
          <w:bCs/>
          <w:color w:val="auto"/>
          <w:sz w:val="22"/>
          <w:szCs w:val="22"/>
          <w:highlight w:val="none"/>
        </w:rPr>
        <w:t>本项目消毒粉：</w:t>
      </w:r>
    </w:p>
    <w:tbl>
      <w:tblPr>
        <w:tblStyle w:val="53"/>
        <w:tblW w:w="990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363"/>
        <w:gridCol w:w="1375"/>
        <w:gridCol w:w="1337"/>
        <w:gridCol w:w="1438"/>
        <w:gridCol w:w="1312"/>
        <w:gridCol w:w="2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62" w:type="dxa"/>
            <w:shd w:val="clear" w:color="auto" w:fill="auto"/>
            <w:noWrap w:val="0"/>
            <w:vAlign w:val="center"/>
          </w:tcPr>
          <w:p>
            <w:pPr>
              <w:keepNext w:val="0"/>
              <w:keepLines w:val="0"/>
              <w:pageBreakBefore w:val="0"/>
              <w:widowControl w:val="0"/>
              <w:kinsoku/>
              <w:wordWrap/>
              <w:overflowPunct/>
              <w:topLinePunct w:val="0"/>
              <w:autoSpaceDE/>
              <w:autoSpaceDN/>
              <w:bidi w:val="0"/>
              <w:snapToGrid/>
              <w:spacing w:line="460" w:lineRule="exact"/>
              <w:jc w:val="center"/>
              <w:rPr>
                <w:rFonts w:ascii="宋体" w:hAnsi="宋体"/>
                <w:b/>
                <w:bCs/>
                <w:color w:val="auto"/>
                <w:sz w:val="22"/>
                <w:szCs w:val="22"/>
                <w:highlight w:val="none"/>
              </w:rPr>
            </w:pPr>
            <w:r>
              <w:rPr>
                <w:rFonts w:hint="eastAsia" w:ascii="宋体" w:hAnsi="宋体" w:cs="宋体"/>
                <w:b/>
                <w:bCs/>
                <w:color w:val="auto"/>
                <w:sz w:val="22"/>
                <w:szCs w:val="22"/>
                <w:highlight w:val="none"/>
              </w:rPr>
              <w:t>序号</w:t>
            </w:r>
          </w:p>
        </w:tc>
        <w:tc>
          <w:tcPr>
            <w:tcW w:w="1363" w:type="dxa"/>
            <w:shd w:val="clear" w:color="auto" w:fill="auto"/>
            <w:noWrap w:val="0"/>
            <w:vAlign w:val="center"/>
          </w:tcPr>
          <w:p>
            <w:pPr>
              <w:keepNext w:val="0"/>
              <w:keepLines w:val="0"/>
              <w:pageBreakBefore w:val="0"/>
              <w:widowControl w:val="0"/>
              <w:kinsoku/>
              <w:wordWrap/>
              <w:overflowPunct/>
              <w:topLinePunct w:val="0"/>
              <w:autoSpaceDE/>
              <w:autoSpaceDN/>
              <w:bidi w:val="0"/>
              <w:snapToGrid/>
              <w:spacing w:line="460" w:lineRule="exact"/>
              <w:rPr>
                <w:rFonts w:ascii="宋体" w:hAnsi="宋体"/>
                <w:b/>
                <w:bCs/>
                <w:color w:val="auto"/>
                <w:sz w:val="22"/>
                <w:szCs w:val="22"/>
                <w:highlight w:val="none"/>
              </w:rPr>
            </w:pPr>
            <w:r>
              <w:rPr>
                <w:rFonts w:hint="eastAsia" w:ascii="宋体" w:hAnsi="宋体" w:cs="宋体"/>
                <w:b/>
                <w:bCs/>
                <w:color w:val="auto"/>
                <w:sz w:val="22"/>
                <w:szCs w:val="22"/>
                <w:highlight w:val="none"/>
              </w:rPr>
              <w:t>产品名称</w:t>
            </w:r>
          </w:p>
        </w:tc>
        <w:tc>
          <w:tcPr>
            <w:tcW w:w="1375" w:type="dxa"/>
            <w:shd w:val="clear" w:color="auto" w:fill="auto"/>
            <w:noWrap w:val="0"/>
            <w:vAlign w:val="center"/>
          </w:tcPr>
          <w:p>
            <w:pPr>
              <w:keepNext w:val="0"/>
              <w:keepLines w:val="0"/>
              <w:pageBreakBefore w:val="0"/>
              <w:widowControl w:val="0"/>
              <w:kinsoku/>
              <w:wordWrap/>
              <w:overflowPunct/>
              <w:topLinePunct w:val="0"/>
              <w:autoSpaceDE/>
              <w:autoSpaceDN/>
              <w:bidi w:val="0"/>
              <w:snapToGrid/>
              <w:spacing w:line="460" w:lineRule="exact"/>
              <w:rPr>
                <w:rFonts w:hint="eastAsia" w:ascii="宋体" w:hAnsi="宋体" w:eastAsia="宋体" w:cs="Times New Roman"/>
                <w:b/>
                <w:bCs/>
                <w:color w:val="auto"/>
                <w:kern w:val="2"/>
                <w:sz w:val="22"/>
                <w:szCs w:val="22"/>
                <w:highlight w:val="none"/>
                <w:lang w:val="en-US" w:eastAsia="zh-CN" w:bidi="ar-SA"/>
              </w:rPr>
            </w:pPr>
            <w:r>
              <w:rPr>
                <w:rFonts w:hint="eastAsia" w:ascii="宋体" w:hAnsi="宋体" w:cs="宋体"/>
                <w:b/>
                <w:bCs/>
                <w:color w:val="auto"/>
                <w:sz w:val="22"/>
                <w:szCs w:val="22"/>
                <w:highlight w:val="none"/>
              </w:rPr>
              <w:t>产品规格</w:t>
            </w:r>
          </w:p>
        </w:tc>
        <w:tc>
          <w:tcPr>
            <w:tcW w:w="1337" w:type="dxa"/>
            <w:shd w:val="clear" w:color="auto" w:fill="auto"/>
            <w:noWrap w:val="0"/>
            <w:vAlign w:val="center"/>
          </w:tcPr>
          <w:p>
            <w:pPr>
              <w:keepNext w:val="0"/>
              <w:keepLines w:val="0"/>
              <w:pageBreakBefore w:val="0"/>
              <w:widowControl w:val="0"/>
              <w:kinsoku/>
              <w:wordWrap/>
              <w:overflowPunct/>
              <w:topLinePunct w:val="0"/>
              <w:autoSpaceDE/>
              <w:autoSpaceDN/>
              <w:bidi w:val="0"/>
              <w:snapToGrid/>
              <w:spacing w:line="460" w:lineRule="exact"/>
              <w:rPr>
                <w:rFonts w:ascii="宋体" w:hAnsi="宋体"/>
                <w:b/>
                <w:bCs/>
                <w:color w:val="auto"/>
                <w:sz w:val="22"/>
                <w:szCs w:val="22"/>
                <w:highlight w:val="none"/>
              </w:rPr>
            </w:pPr>
            <w:r>
              <w:rPr>
                <w:rFonts w:hint="eastAsia" w:ascii="宋体" w:hAnsi="宋体" w:cs="宋体"/>
                <w:b/>
                <w:bCs/>
                <w:color w:val="auto"/>
                <w:sz w:val="22"/>
                <w:szCs w:val="22"/>
                <w:highlight w:val="none"/>
              </w:rPr>
              <w:t>综合单价</w:t>
            </w:r>
          </w:p>
        </w:tc>
        <w:tc>
          <w:tcPr>
            <w:tcW w:w="1438" w:type="dxa"/>
            <w:shd w:val="clear" w:color="auto" w:fill="auto"/>
            <w:noWrap w:val="0"/>
            <w:vAlign w:val="center"/>
          </w:tcPr>
          <w:p>
            <w:pPr>
              <w:keepNext w:val="0"/>
              <w:keepLines w:val="0"/>
              <w:pageBreakBefore w:val="0"/>
              <w:widowControl w:val="0"/>
              <w:kinsoku/>
              <w:wordWrap/>
              <w:overflowPunct/>
              <w:topLinePunct w:val="0"/>
              <w:autoSpaceDE/>
              <w:autoSpaceDN/>
              <w:bidi w:val="0"/>
              <w:snapToGrid/>
              <w:spacing w:line="460" w:lineRule="exact"/>
              <w:rPr>
                <w:rFonts w:hint="default" w:ascii="宋体" w:hAnsi="宋体" w:eastAsia="宋体" w:cs="宋体"/>
                <w:b/>
                <w:bCs/>
                <w:color w:val="auto"/>
                <w:sz w:val="22"/>
                <w:szCs w:val="22"/>
                <w:highlight w:val="none"/>
                <w:lang w:val="en-US" w:eastAsia="zh-CN"/>
              </w:rPr>
            </w:pPr>
            <w:r>
              <w:rPr>
                <w:rFonts w:hint="eastAsia" w:ascii="宋体" w:hAnsi="宋体" w:cs="宋体"/>
                <w:b/>
                <w:bCs/>
                <w:color w:val="auto"/>
                <w:sz w:val="22"/>
                <w:szCs w:val="22"/>
                <w:highlight w:val="none"/>
                <w:lang w:val="en-US" w:eastAsia="zh-CN"/>
              </w:rPr>
              <w:t>货物总量</w:t>
            </w:r>
          </w:p>
        </w:tc>
        <w:tc>
          <w:tcPr>
            <w:tcW w:w="1312" w:type="dxa"/>
            <w:shd w:val="clear" w:color="auto" w:fill="auto"/>
            <w:noWrap w:val="0"/>
            <w:vAlign w:val="center"/>
          </w:tcPr>
          <w:p>
            <w:pPr>
              <w:keepNext w:val="0"/>
              <w:keepLines w:val="0"/>
              <w:pageBreakBefore w:val="0"/>
              <w:widowControl w:val="0"/>
              <w:kinsoku/>
              <w:wordWrap/>
              <w:overflowPunct/>
              <w:topLinePunct w:val="0"/>
              <w:autoSpaceDE/>
              <w:autoSpaceDN/>
              <w:bidi w:val="0"/>
              <w:snapToGrid/>
              <w:spacing w:line="460" w:lineRule="exact"/>
              <w:rPr>
                <w:rFonts w:hint="default" w:ascii="宋体" w:hAnsi="宋体" w:eastAsia="宋体" w:cs="宋体"/>
                <w:b/>
                <w:bCs/>
                <w:color w:val="auto"/>
                <w:sz w:val="22"/>
                <w:szCs w:val="22"/>
                <w:highlight w:val="none"/>
                <w:lang w:val="en-US" w:eastAsia="zh-CN"/>
              </w:rPr>
            </w:pPr>
            <w:r>
              <w:rPr>
                <w:rFonts w:hint="eastAsia" w:ascii="宋体" w:hAnsi="宋体" w:cs="宋体"/>
                <w:b/>
                <w:bCs/>
                <w:color w:val="auto"/>
                <w:sz w:val="22"/>
                <w:szCs w:val="22"/>
                <w:highlight w:val="none"/>
                <w:lang w:val="en-US" w:eastAsia="zh-CN"/>
              </w:rPr>
              <w:t>货物总价</w:t>
            </w:r>
          </w:p>
        </w:tc>
        <w:tc>
          <w:tcPr>
            <w:tcW w:w="2213" w:type="dxa"/>
            <w:shd w:val="clear" w:color="auto" w:fill="auto"/>
            <w:noWrap w:val="0"/>
            <w:vAlign w:val="center"/>
          </w:tcPr>
          <w:p>
            <w:pPr>
              <w:keepNext w:val="0"/>
              <w:keepLines w:val="0"/>
              <w:pageBreakBefore w:val="0"/>
              <w:widowControl w:val="0"/>
              <w:kinsoku/>
              <w:wordWrap/>
              <w:overflowPunct/>
              <w:topLinePunct w:val="0"/>
              <w:autoSpaceDE/>
              <w:autoSpaceDN/>
              <w:bidi w:val="0"/>
              <w:snapToGrid/>
              <w:spacing w:line="460" w:lineRule="exact"/>
              <w:jc w:val="center"/>
              <w:rPr>
                <w:rFonts w:hint="default" w:ascii="宋体" w:hAnsi="宋体" w:eastAsia="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62" w:type="dxa"/>
            <w:noWrap w:val="0"/>
            <w:vAlign w:val="center"/>
          </w:tcPr>
          <w:p>
            <w:pPr>
              <w:keepNext w:val="0"/>
              <w:keepLines w:val="0"/>
              <w:pageBreakBefore w:val="0"/>
              <w:widowControl w:val="0"/>
              <w:kinsoku/>
              <w:wordWrap/>
              <w:overflowPunct/>
              <w:topLinePunct w:val="0"/>
              <w:autoSpaceDE/>
              <w:autoSpaceDN/>
              <w:bidi w:val="0"/>
              <w:snapToGrid/>
              <w:spacing w:line="460" w:lineRule="exact"/>
              <w:jc w:val="center"/>
              <w:rPr>
                <w:rFonts w:ascii="宋体" w:hAnsi="宋体" w:cs="宋体"/>
                <w:color w:val="auto"/>
                <w:sz w:val="22"/>
                <w:szCs w:val="22"/>
                <w:highlight w:val="none"/>
              </w:rPr>
            </w:pPr>
            <w:r>
              <w:rPr>
                <w:rFonts w:ascii="宋体" w:hAnsi="宋体" w:cs="宋体"/>
                <w:color w:val="auto"/>
                <w:sz w:val="22"/>
                <w:szCs w:val="22"/>
                <w:highlight w:val="none"/>
              </w:rPr>
              <w:t>1</w:t>
            </w:r>
          </w:p>
        </w:tc>
        <w:tc>
          <w:tcPr>
            <w:tcW w:w="1363" w:type="dxa"/>
            <w:noWrap w:val="0"/>
            <w:vAlign w:val="center"/>
          </w:tcPr>
          <w:p>
            <w:pPr>
              <w:keepNext w:val="0"/>
              <w:keepLines w:val="0"/>
              <w:pageBreakBefore w:val="0"/>
              <w:widowControl w:val="0"/>
              <w:kinsoku/>
              <w:wordWrap/>
              <w:overflowPunct/>
              <w:topLinePunct w:val="0"/>
              <w:autoSpaceDE/>
              <w:autoSpaceDN/>
              <w:bidi w:val="0"/>
              <w:snapToGrid/>
              <w:spacing w:after="120" w:afterLines="50" w:line="460" w:lineRule="exact"/>
              <w:jc w:val="center"/>
              <w:rPr>
                <w:rFonts w:hint="default" w:ascii="宋体" w:hAnsi="宋体" w:eastAsia="宋体"/>
                <w:b/>
                <w:bCs/>
                <w:color w:val="auto"/>
                <w:sz w:val="22"/>
                <w:szCs w:val="22"/>
                <w:highlight w:val="none"/>
                <w:lang w:val="en-US" w:eastAsia="zh-CN"/>
              </w:rPr>
            </w:pPr>
          </w:p>
        </w:tc>
        <w:tc>
          <w:tcPr>
            <w:tcW w:w="1375" w:type="dxa"/>
            <w:noWrap w:val="0"/>
            <w:vAlign w:val="center"/>
          </w:tcPr>
          <w:p>
            <w:pPr>
              <w:keepNext w:val="0"/>
              <w:keepLines w:val="0"/>
              <w:pageBreakBefore w:val="0"/>
              <w:widowControl w:val="0"/>
              <w:kinsoku/>
              <w:wordWrap/>
              <w:overflowPunct/>
              <w:topLinePunct w:val="0"/>
              <w:autoSpaceDE/>
              <w:autoSpaceDN/>
              <w:bidi w:val="0"/>
              <w:snapToGrid/>
              <w:spacing w:after="120" w:afterLines="50" w:line="460" w:lineRule="exact"/>
              <w:jc w:val="center"/>
              <w:rPr>
                <w:rFonts w:hint="eastAsia" w:ascii="宋体" w:hAnsi="宋体" w:eastAsia="宋体" w:cs="Times New Roman"/>
                <w:b/>
                <w:bCs/>
                <w:color w:val="auto"/>
                <w:kern w:val="2"/>
                <w:sz w:val="22"/>
                <w:szCs w:val="22"/>
                <w:highlight w:val="none"/>
                <w:lang w:val="en-US" w:eastAsia="zh-CN" w:bidi="ar-SA"/>
              </w:rPr>
            </w:pPr>
          </w:p>
        </w:tc>
        <w:tc>
          <w:tcPr>
            <w:tcW w:w="1337" w:type="dxa"/>
            <w:noWrap w:val="0"/>
            <w:vAlign w:val="center"/>
          </w:tcPr>
          <w:p>
            <w:pPr>
              <w:keepNext w:val="0"/>
              <w:keepLines w:val="0"/>
              <w:pageBreakBefore w:val="0"/>
              <w:widowControl w:val="0"/>
              <w:kinsoku/>
              <w:wordWrap/>
              <w:overflowPunct/>
              <w:topLinePunct w:val="0"/>
              <w:autoSpaceDE/>
              <w:autoSpaceDN/>
              <w:bidi w:val="0"/>
              <w:snapToGrid/>
              <w:spacing w:after="120" w:afterLines="50" w:line="460" w:lineRule="exact"/>
              <w:jc w:val="center"/>
              <w:rPr>
                <w:rFonts w:hint="default" w:ascii="宋体" w:hAnsi="宋体" w:eastAsia="宋体"/>
                <w:b/>
                <w:bCs/>
                <w:color w:val="auto"/>
                <w:sz w:val="22"/>
                <w:szCs w:val="22"/>
                <w:highlight w:val="none"/>
                <w:lang w:val="en-US" w:eastAsia="zh-CN"/>
              </w:rPr>
            </w:pPr>
          </w:p>
        </w:tc>
        <w:tc>
          <w:tcPr>
            <w:tcW w:w="1438" w:type="dxa"/>
            <w:noWrap w:val="0"/>
            <w:vAlign w:val="center"/>
          </w:tcPr>
          <w:p>
            <w:pPr>
              <w:keepNext w:val="0"/>
              <w:keepLines w:val="0"/>
              <w:pageBreakBefore w:val="0"/>
              <w:widowControl w:val="0"/>
              <w:kinsoku/>
              <w:wordWrap/>
              <w:overflowPunct/>
              <w:topLinePunct w:val="0"/>
              <w:autoSpaceDE/>
              <w:autoSpaceDN/>
              <w:bidi w:val="0"/>
              <w:snapToGrid/>
              <w:spacing w:after="120" w:afterLines="50" w:line="460" w:lineRule="exact"/>
              <w:jc w:val="center"/>
              <w:rPr>
                <w:rFonts w:hint="eastAsia" w:ascii="宋体" w:hAnsi="宋体" w:eastAsia="宋体"/>
                <w:b/>
                <w:bCs/>
                <w:color w:val="auto"/>
                <w:sz w:val="22"/>
                <w:szCs w:val="22"/>
                <w:highlight w:val="none"/>
                <w:lang w:val="en-US" w:eastAsia="zh-CN"/>
              </w:rPr>
            </w:pPr>
          </w:p>
        </w:tc>
        <w:tc>
          <w:tcPr>
            <w:tcW w:w="1312" w:type="dxa"/>
            <w:noWrap w:val="0"/>
            <w:vAlign w:val="center"/>
          </w:tcPr>
          <w:p>
            <w:pPr>
              <w:keepNext w:val="0"/>
              <w:keepLines w:val="0"/>
              <w:pageBreakBefore w:val="0"/>
              <w:widowControl w:val="0"/>
              <w:kinsoku/>
              <w:wordWrap/>
              <w:overflowPunct/>
              <w:topLinePunct w:val="0"/>
              <w:autoSpaceDE/>
              <w:autoSpaceDN/>
              <w:bidi w:val="0"/>
              <w:snapToGrid/>
              <w:spacing w:after="120" w:afterLines="50" w:line="460" w:lineRule="exact"/>
              <w:jc w:val="center"/>
              <w:rPr>
                <w:rFonts w:hint="eastAsia" w:ascii="宋体" w:hAnsi="宋体" w:eastAsia="宋体"/>
                <w:b/>
                <w:bCs/>
                <w:color w:val="auto"/>
                <w:sz w:val="22"/>
                <w:szCs w:val="22"/>
                <w:highlight w:val="none"/>
                <w:lang w:val="en-US" w:eastAsia="zh-CN"/>
              </w:rPr>
            </w:pPr>
          </w:p>
        </w:tc>
        <w:tc>
          <w:tcPr>
            <w:tcW w:w="2213" w:type="dxa"/>
            <w:noWrap w:val="0"/>
            <w:vAlign w:val="center"/>
          </w:tcPr>
          <w:p>
            <w:pPr>
              <w:keepNext w:val="0"/>
              <w:keepLines w:val="0"/>
              <w:pageBreakBefore w:val="0"/>
              <w:widowControl w:val="0"/>
              <w:kinsoku/>
              <w:wordWrap/>
              <w:overflowPunct/>
              <w:topLinePunct w:val="0"/>
              <w:autoSpaceDE/>
              <w:autoSpaceDN/>
              <w:bidi w:val="0"/>
              <w:snapToGrid/>
              <w:spacing w:after="120" w:afterLines="50" w:line="46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62" w:type="dxa"/>
            <w:noWrap w:val="0"/>
            <w:vAlign w:val="center"/>
          </w:tcPr>
          <w:p>
            <w:pPr>
              <w:keepNext w:val="0"/>
              <w:keepLines w:val="0"/>
              <w:pageBreakBefore w:val="0"/>
              <w:widowControl w:val="0"/>
              <w:kinsoku/>
              <w:wordWrap/>
              <w:overflowPunct/>
              <w:topLinePunct w:val="0"/>
              <w:autoSpaceDE/>
              <w:autoSpaceDN/>
              <w:bidi w:val="0"/>
              <w:snapToGrid/>
              <w:spacing w:line="460" w:lineRule="exact"/>
              <w:jc w:val="center"/>
              <w:rPr>
                <w:rFonts w:ascii="宋体" w:hAnsi="宋体" w:cs="宋体"/>
                <w:color w:val="auto"/>
                <w:sz w:val="22"/>
                <w:szCs w:val="22"/>
                <w:highlight w:val="none"/>
              </w:rPr>
            </w:pPr>
            <w:r>
              <w:rPr>
                <w:rFonts w:ascii="宋体" w:hAnsi="宋体" w:cs="宋体"/>
                <w:color w:val="auto"/>
                <w:sz w:val="22"/>
                <w:szCs w:val="22"/>
                <w:highlight w:val="none"/>
              </w:rPr>
              <w:t>2</w:t>
            </w:r>
          </w:p>
        </w:tc>
        <w:tc>
          <w:tcPr>
            <w:tcW w:w="1363" w:type="dxa"/>
            <w:noWrap w:val="0"/>
            <w:vAlign w:val="center"/>
          </w:tcPr>
          <w:p>
            <w:pPr>
              <w:keepNext w:val="0"/>
              <w:keepLines w:val="0"/>
              <w:pageBreakBefore w:val="0"/>
              <w:widowControl w:val="0"/>
              <w:kinsoku/>
              <w:wordWrap/>
              <w:overflowPunct/>
              <w:topLinePunct w:val="0"/>
              <w:autoSpaceDE/>
              <w:autoSpaceDN/>
              <w:bidi w:val="0"/>
              <w:snapToGrid/>
              <w:spacing w:line="460" w:lineRule="exact"/>
              <w:jc w:val="center"/>
              <w:rPr>
                <w:rFonts w:ascii="宋体" w:hAnsi="宋体"/>
                <w:color w:val="auto"/>
                <w:sz w:val="22"/>
                <w:szCs w:val="22"/>
                <w:highlight w:val="none"/>
              </w:rPr>
            </w:pPr>
          </w:p>
        </w:tc>
        <w:tc>
          <w:tcPr>
            <w:tcW w:w="1375" w:type="dxa"/>
            <w:noWrap w:val="0"/>
            <w:vAlign w:val="top"/>
          </w:tcPr>
          <w:p>
            <w:pPr>
              <w:keepNext w:val="0"/>
              <w:keepLines w:val="0"/>
              <w:pageBreakBefore w:val="0"/>
              <w:widowControl w:val="0"/>
              <w:kinsoku/>
              <w:wordWrap/>
              <w:overflowPunct/>
              <w:topLinePunct w:val="0"/>
              <w:autoSpaceDE/>
              <w:autoSpaceDN/>
              <w:bidi w:val="0"/>
              <w:snapToGrid/>
              <w:spacing w:line="460" w:lineRule="exact"/>
              <w:ind w:left="420" w:leftChars="200"/>
              <w:jc w:val="center"/>
              <w:rPr>
                <w:rFonts w:ascii="宋体" w:hAnsi="宋体" w:eastAsia="宋体" w:cs="Times New Roman"/>
                <w:color w:val="auto"/>
                <w:kern w:val="2"/>
                <w:sz w:val="22"/>
                <w:szCs w:val="22"/>
                <w:highlight w:val="none"/>
                <w:lang w:val="en-US" w:eastAsia="zh-CN" w:bidi="ar-SA"/>
              </w:rPr>
            </w:pPr>
          </w:p>
        </w:tc>
        <w:tc>
          <w:tcPr>
            <w:tcW w:w="1337" w:type="dxa"/>
            <w:noWrap w:val="0"/>
            <w:vAlign w:val="top"/>
          </w:tcPr>
          <w:p>
            <w:pPr>
              <w:keepNext w:val="0"/>
              <w:keepLines w:val="0"/>
              <w:pageBreakBefore w:val="0"/>
              <w:widowControl w:val="0"/>
              <w:kinsoku/>
              <w:wordWrap/>
              <w:overflowPunct/>
              <w:topLinePunct w:val="0"/>
              <w:autoSpaceDE/>
              <w:autoSpaceDN/>
              <w:bidi w:val="0"/>
              <w:snapToGrid/>
              <w:spacing w:line="460" w:lineRule="exact"/>
              <w:jc w:val="center"/>
              <w:rPr>
                <w:rFonts w:ascii="宋体" w:hAnsi="宋体"/>
                <w:color w:val="auto"/>
                <w:sz w:val="22"/>
                <w:szCs w:val="22"/>
                <w:highlight w:val="none"/>
              </w:rPr>
            </w:pPr>
          </w:p>
        </w:tc>
        <w:tc>
          <w:tcPr>
            <w:tcW w:w="1438" w:type="dxa"/>
            <w:noWrap w:val="0"/>
            <w:vAlign w:val="center"/>
          </w:tcPr>
          <w:p>
            <w:pPr>
              <w:keepNext w:val="0"/>
              <w:keepLines w:val="0"/>
              <w:pageBreakBefore w:val="0"/>
              <w:widowControl w:val="0"/>
              <w:kinsoku/>
              <w:wordWrap/>
              <w:overflowPunct/>
              <w:topLinePunct w:val="0"/>
              <w:autoSpaceDE/>
              <w:autoSpaceDN/>
              <w:bidi w:val="0"/>
              <w:snapToGrid/>
              <w:spacing w:line="460" w:lineRule="exact"/>
              <w:ind w:left="420" w:leftChars="200"/>
              <w:jc w:val="center"/>
              <w:rPr>
                <w:rFonts w:ascii="宋体" w:hAnsi="宋体"/>
                <w:color w:val="auto"/>
                <w:sz w:val="22"/>
                <w:szCs w:val="22"/>
                <w:highlight w:val="none"/>
              </w:rPr>
            </w:pPr>
          </w:p>
        </w:tc>
        <w:tc>
          <w:tcPr>
            <w:tcW w:w="1312" w:type="dxa"/>
            <w:noWrap w:val="0"/>
            <w:vAlign w:val="center"/>
          </w:tcPr>
          <w:p>
            <w:pPr>
              <w:keepNext w:val="0"/>
              <w:keepLines w:val="0"/>
              <w:pageBreakBefore w:val="0"/>
              <w:widowControl w:val="0"/>
              <w:kinsoku/>
              <w:wordWrap/>
              <w:overflowPunct/>
              <w:topLinePunct w:val="0"/>
              <w:autoSpaceDE/>
              <w:autoSpaceDN/>
              <w:bidi w:val="0"/>
              <w:snapToGrid/>
              <w:spacing w:line="460" w:lineRule="exact"/>
              <w:ind w:left="420" w:leftChars="200"/>
              <w:jc w:val="center"/>
              <w:rPr>
                <w:rFonts w:ascii="宋体" w:hAnsi="宋体"/>
                <w:color w:val="auto"/>
                <w:sz w:val="22"/>
                <w:szCs w:val="22"/>
                <w:highlight w:val="none"/>
              </w:rPr>
            </w:pPr>
          </w:p>
        </w:tc>
        <w:tc>
          <w:tcPr>
            <w:tcW w:w="2213" w:type="dxa"/>
            <w:noWrap w:val="0"/>
            <w:vAlign w:val="center"/>
          </w:tcPr>
          <w:p>
            <w:pPr>
              <w:keepNext w:val="0"/>
              <w:keepLines w:val="0"/>
              <w:pageBreakBefore w:val="0"/>
              <w:widowControl w:val="0"/>
              <w:kinsoku/>
              <w:wordWrap/>
              <w:overflowPunct/>
              <w:topLinePunct w:val="0"/>
              <w:autoSpaceDE/>
              <w:autoSpaceDN/>
              <w:bidi w:val="0"/>
              <w:snapToGrid/>
              <w:spacing w:line="46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62" w:type="dxa"/>
            <w:noWrap w:val="0"/>
            <w:vAlign w:val="center"/>
          </w:tcPr>
          <w:p>
            <w:pPr>
              <w:keepNext w:val="0"/>
              <w:keepLines w:val="0"/>
              <w:pageBreakBefore w:val="0"/>
              <w:widowControl w:val="0"/>
              <w:kinsoku/>
              <w:wordWrap/>
              <w:overflowPunct/>
              <w:topLinePunct w:val="0"/>
              <w:autoSpaceDE/>
              <w:autoSpaceDN/>
              <w:bidi w:val="0"/>
              <w:snapToGrid/>
              <w:spacing w:line="460" w:lineRule="exact"/>
              <w:jc w:val="center"/>
              <w:rPr>
                <w:rFonts w:ascii="宋体" w:hAnsi="宋体" w:cs="宋体"/>
                <w:color w:val="auto"/>
                <w:sz w:val="22"/>
                <w:szCs w:val="22"/>
                <w:highlight w:val="none"/>
              </w:rPr>
            </w:pPr>
            <w:r>
              <w:rPr>
                <w:rFonts w:ascii="宋体" w:hAnsi="宋体" w:cs="宋体"/>
                <w:color w:val="auto"/>
                <w:sz w:val="22"/>
                <w:szCs w:val="22"/>
                <w:highlight w:val="none"/>
              </w:rPr>
              <w:t>3</w:t>
            </w:r>
          </w:p>
        </w:tc>
        <w:tc>
          <w:tcPr>
            <w:tcW w:w="1363" w:type="dxa"/>
            <w:noWrap w:val="0"/>
            <w:vAlign w:val="center"/>
          </w:tcPr>
          <w:p>
            <w:pPr>
              <w:keepNext w:val="0"/>
              <w:keepLines w:val="0"/>
              <w:pageBreakBefore w:val="0"/>
              <w:widowControl w:val="0"/>
              <w:kinsoku/>
              <w:wordWrap/>
              <w:overflowPunct/>
              <w:topLinePunct w:val="0"/>
              <w:autoSpaceDE/>
              <w:autoSpaceDN/>
              <w:bidi w:val="0"/>
              <w:snapToGrid/>
              <w:spacing w:line="460" w:lineRule="exact"/>
              <w:jc w:val="center"/>
              <w:rPr>
                <w:rFonts w:ascii="宋体" w:hAnsi="宋体"/>
                <w:color w:val="auto"/>
                <w:sz w:val="22"/>
                <w:szCs w:val="22"/>
                <w:highlight w:val="none"/>
              </w:rPr>
            </w:pPr>
          </w:p>
        </w:tc>
        <w:tc>
          <w:tcPr>
            <w:tcW w:w="1375" w:type="dxa"/>
            <w:noWrap w:val="0"/>
            <w:vAlign w:val="top"/>
          </w:tcPr>
          <w:p>
            <w:pPr>
              <w:keepNext w:val="0"/>
              <w:keepLines w:val="0"/>
              <w:pageBreakBefore w:val="0"/>
              <w:widowControl w:val="0"/>
              <w:kinsoku/>
              <w:wordWrap/>
              <w:overflowPunct/>
              <w:topLinePunct w:val="0"/>
              <w:autoSpaceDE/>
              <w:autoSpaceDN/>
              <w:bidi w:val="0"/>
              <w:snapToGrid/>
              <w:spacing w:line="460" w:lineRule="exact"/>
              <w:jc w:val="center"/>
              <w:rPr>
                <w:rFonts w:ascii="宋体" w:hAnsi="宋体" w:eastAsia="宋体" w:cs="Times New Roman"/>
                <w:color w:val="auto"/>
                <w:kern w:val="2"/>
                <w:sz w:val="22"/>
                <w:szCs w:val="22"/>
                <w:highlight w:val="none"/>
                <w:lang w:val="en-US" w:eastAsia="zh-CN" w:bidi="ar-SA"/>
              </w:rPr>
            </w:pPr>
          </w:p>
        </w:tc>
        <w:tc>
          <w:tcPr>
            <w:tcW w:w="1337" w:type="dxa"/>
            <w:noWrap w:val="0"/>
            <w:vAlign w:val="top"/>
          </w:tcPr>
          <w:p>
            <w:pPr>
              <w:keepNext w:val="0"/>
              <w:keepLines w:val="0"/>
              <w:pageBreakBefore w:val="0"/>
              <w:widowControl w:val="0"/>
              <w:kinsoku/>
              <w:wordWrap/>
              <w:overflowPunct/>
              <w:topLinePunct w:val="0"/>
              <w:autoSpaceDE/>
              <w:autoSpaceDN/>
              <w:bidi w:val="0"/>
              <w:snapToGrid/>
              <w:spacing w:line="460" w:lineRule="exact"/>
              <w:jc w:val="center"/>
              <w:rPr>
                <w:rFonts w:ascii="宋体" w:hAnsi="宋体"/>
                <w:color w:val="auto"/>
                <w:sz w:val="22"/>
                <w:szCs w:val="22"/>
                <w:highlight w:val="none"/>
              </w:rPr>
            </w:pPr>
          </w:p>
        </w:tc>
        <w:tc>
          <w:tcPr>
            <w:tcW w:w="1438" w:type="dxa"/>
            <w:noWrap w:val="0"/>
            <w:vAlign w:val="center"/>
          </w:tcPr>
          <w:p>
            <w:pPr>
              <w:keepNext w:val="0"/>
              <w:keepLines w:val="0"/>
              <w:pageBreakBefore w:val="0"/>
              <w:widowControl w:val="0"/>
              <w:kinsoku/>
              <w:wordWrap/>
              <w:overflowPunct/>
              <w:topLinePunct w:val="0"/>
              <w:autoSpaceDE/>
              <w:autoSpaceDN/>
              <w:bidi w:val="0"/>
              <w:snapToGrid/>
              <w:spacing w:line="460" w:lineRule="exact"/>
              <w:jc w:val="center"/>
              <w:rPr>
                <w:rFonts w:ascii="宋体" w:hAnsi="宋体"/>
                <w:color w:val="auto"/>
                <w:sz w:val="22"/>
                <w:szCs w:val="22"/>
                <w:highlight w:val="none"/>
              </w:rPr>
            </w:pPr>
          </w:p>
        </w:tc>
        <w:tc>
          <w:tcPr>
            <w:tcW w:w="1312" w:type="dxa"/>
            <w:noWrap w:val="0"/>
            <w:vAlign w:val="center"/>
          </w:tcPr>
          <w:p>
            <w:pPr>
              <w:keepNext w:val="0"/>
              <w:keepLines w:val="0"/>
              <w:pageBreakBefore w:val="0"/>
              <w:widowControl w:val="0"/>
              <w:kinsoku/>
              <w:wordWrap/>
              <w:overflowPunct/>
              <w:topLinePunct w:val="0"/>
              <w:autoSpaceDE/>
              <w:autoSpaceDN/>
              <w:bidi w:val="0"/>
              <w:snapToGrid/>
              <w:spacing w:line="460" w:lineRule="exact"/>
              <w:jc w:val="center"/>
              <w:rPr>
                <w:rFonts w:ascii="宋体" w:hAnsi="宋体"/>
                <w:color w:val="auto"/>
                <w:sz w:val="22"/>
                <w:szCs w:val="22"/>
                <w:highlight w:val="none"/>
              </w:rPr>
            </w:pPr>
          </w:p>
        </w:tc>
        <w:tc>
          <w:tcPr>
            <w:tcW w:w="2213" w:type="dxa"/>
            <w:noWrap w:val="0"/>
            <w:vAlign w:val="center"/>
          </w:tcPr>
          <w:p>
            <w:pPr>
              <w:keepNext w:val="0"/>
              <w:keepLines w:val="0"/>
              <w:pageBreakBefore w:val="0"/>
              <w:widowControl w:val="0"/>
              <w:kinsoku/>
              <w:wordWrap/>
              <w:overflowPunct/>
              <w:topLinePunct w:val="0"/>
              <w:autoSpaceDE/>
              <w:autoSpaceDN/>
              <w:bidi w:val="0"/>
              <w:snapToGrid/>
              <w:spacing w:line="460" w:lineRule="exact"/>
              <w:jc w:val="center"/>
              <w:rPr>
                <w:rFonts w:ascii="宋体" w:hAnsi="宋体"/>
                <w:color w:val="auto"/>
                <w:sz w:val="22"/>
                <w:szCs w:val="22"/>
                <w:highlight w:val="none"/>
              </w:rPr>
            </w:pPr>
          </w:p>
        </w:tc>
      </w:tr>
    </w:tbl>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rPr>
          <w:rFonts w:ascii="宋体" w:hAnsi="宋体"/>
          <w:color w:val="auto"/>
          <w:sz w:val="22"/>
          <w:szCs w:val="22"/>
          <w:highlight w:val="none"/>
        </w:rPr>
      </w:pPr>
      <w:r>
        <w:rPr>
          <w:rFonts w:hint="eastAsia" w:ascii="宋体" w:hAnsi="宋体" w:cs="宋体"/>
          <w:color w:val="auto"/>
          <w:sz w:val="22"/>
          <w:szCs w:val="22"/>
          <w:highlight w:val="none"/>
          <w:lang w:val="en-US" w:eastAsia="zh-CN"/>
        </w:rPr>
        <w:t>乙方</w:t>
      </w:r>
      <w:r>
        <w:rPr>
          <w:rFonts w:hint="eastAsia" w:ascii="宋体" w:hAnsi="宋体" w:cs="宋体"/>
          <w:color w:val="auto"/>
          <w:sz w:val="22"/>
          <w:szCs w:val="22"/>
          <w:highlight w:val="none"/>
          <w:lang w:eastAsia="zh-CN"/>
        </w:rPr>
        <w:t>在合同签订后三天内向</w:t>
      </w:r>
      <w:r>
        <w:rPr>
          <w:rFonts w:hint="eastAsia" w:ascii="宋体" w:hAnsi="宋体" w:cs="宋体"/>
          <w:color w:val="auto"/>
          <w:sz w:val="22"/>
          <w:szCs w:val="22"/>
          <w:highlight w:val="none"/>
          <w:lang w:val="en-US" w:eastAsia="zh-CN"/>
        </w:rPr>
        <w:t>甲方</w:t>
      </w:r>
      <w:r>
        <w:rPr>
          <w:rFonts w:hint="eastAsia" w:ascii="宋体" w:hAnsi="宋体" w:cs="宋体"/>
          <w:color w:val="auto"/>
          <w:sz w:val="22"/>
          <w:szCs w:val="22"/>
          <w:highlight w:val="none"/>
          <w:lang w:eastAsia="zh-CN"/>
        </w:rPr>
        <w:t>支付合同金额的2%作为履约保证金。</w:t>
      </w:r>
      <w:r>
        <w:rPr>
          <w:rFonts w:hint="eastAsia" w:ascii="宋体" w:hAnsi="宋体" w:cs="宋体"/>
          <w:color w:val="auto"/>
          <w:sz w:val="22"/>
          <w:szCs w:val="22"/>
          <w:highlight w:val="none"/>
          <w:lang w:val="en-US" w:eastAsia="zh-CN"/>
        </w:rPr>
        <w:t>即人民币：   元（大写： ）。甲方在收到履约保证金后应出具收款凭证。</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rPr>
          <w:rFonts w:ascii="宋体" w:hAnsi="宋体"/>
          <w:color w:val="auto"/>
          <w:sz w:val="22"/>
          <w:szCs w:val="22"/>
          <w:highlight w:val="none"/>
        </w:rPr>
      </w:pPr>
      <w:r>
        <w:rPr>
          <w:rFonts w:hint="eastAsia" w:ascii="宋体" w:hAnsi="宋体" w:cs="宋体"/>
          <w:color w:val="auto"/>
          <w:sz w:val="22"/>
          <w:szCs w:val="22"/>
          <w:highlight w:val="none"/>
        </w:rPr>
        <w:t>合同签订后，甲方在招标的货物实物、随货联、发票三者到齐并确认完成入库手续，以实际供货量乘以对应的各项综合单价作为结算金额，每月</w:t>
      </w:r>
      <w:r>
        <w:rPr>
          <w:rFonts w:ascii="宋体" w:hAnsi="宋体" w:cs="宋体"/>
          <w:color w:val="auto"/>
          <w:sz w:val="22"/>
          <w:szCs w:val="22"/>
          <w:highlight w:val="none"/>
        </w:rPr>
        <w:t>30</w:t>
      </w:r>
      <w:r>
        <w:rPr>
          <w:rFonts w:hint="eastAsia" w:ascii="宋体" w:hAnsi="宋体" w:cs="宋体"/>
          <w:color w:val="auto"/>
          <w:sz w:val="22"/>
          <w:szCs w:val="22"/>
          <w:highlight w:val="none"/>
        </w:rPr>
        <w:t>日前审核后进行支付金额汇总，原则上三个月内启动付款申请。（节假日顺延）</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rPr>
          <w:rFonts w:ascii="宋体" w:hAnsi="宋体"/>
          <w:color w:val="auto"/>
          <w:sz w:val="22"/>
          <w:szCs w:val="22"/>
          <w:highlight w:val="none"/>
        </w:rPr>
      </w:pPr>
      <w:r>
        <w:rPr>
          <w:rFonts w:hint="eastAsia" w:ascii="宋体" w:hAnsi="宋体" w:cs="宋体"/>
          <w:color w:val="auto"/>
          <w:sz w:val="22"/>
          <w:szCs w:val="22"/>
          <w:highlight w:val="none"/>
        </w:rPr>
        <w:t>在完成整个项目、办理结算手续并支付至结算价</w:t>
      </w:r>
      <w:r>
        <w:rPr>
          <w:rFonts w:ascii="宋体" w:hAnsi="宋体" w:cs="宋体"/>
          <w:color w:val="auto"/>
          <w:sz w:val="22"/>
          <w:szCs w:val="22"/>
          <w:highlight w:val="none"/>
        </w:rPr>
        <w:t>100%</w:t>
      </w:r>
      <w:r>
        <w:rPr>
          <w:rFonts w:hint="eastAsia" w:ascii="宋体" w:hAnsi="宋体" w:cs="宋体"/>
          <w:color w:val="auto"/>
          <w:sz w:val="22"/>
          <w:szCs w:val="22"/>
          <w:highlight w:val="none"/>
        </w:rPr>
        <w:t>后的一个月内无息退还履约保证金。（节假日顺延）</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b/>
          <w:bCs/>
          <w:color w:val="auto"/>
          <w:sz w:val="22"/>
          <w:szCs w:val="22"/>
          <w:highlight w:val="none"/>
        </w:rPr>
      </w:pPr>
      <w:r>
        <w:rPr>
          <w:rFonts w:hint="eastAsia" w:ascii="宋体" w:hAnsi="宋体" w:cs="宋体"/>
          <w:b/>
          <w:bCs/>
          <w:color w:val="auto"/>
          <w:sz w:val="22"/>
          <w:szCs w:val="22"/>
          <w:highlight w:val="none"/>
        </w:rPr>
        <w:t>技术文件和资料</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提供技术文件和资料的种类和数量在本招标文件《</w:t>
      </w:r>
      <w:r>
        <w:rPr>
          <w:rFonts w:hint="eastAsia" w:ascii="宋体" w:hAnsi="宋体" w:cs="宋体"/>
          <w:color w:val="auto"/>
          <w:sz w:val="22"/>
          <w:szCs w:val="22"/>
          <w:highlight w:val="none"/>
          <w:lang w:eastAsia="zh-CN"/>
        </w:rPr>
        <w:t>采购</w:t>
      </w:r>
      <w:r>
        <w:rPr>
          <w:rFonts w:hint="eastAsia" w:ascii="宋体" w:hAnsi="宋体" w:cs="宋体"/>
          <w:color w:val="auto"/>
          <w:sz w:val="22"/>
          <w:szCs w:val="22"/>
          <w:highlight w:val="none"/>
        </w:rPr>
        <w:t>内容及要求》部分中规定，</w:t>
      </w:r>
      <w:r>
        <w:rPr>
          <w:rFonts w:hint="eastAsia" w:ascii="宋体" w:hAnsi="宋体" w:cs="宋体"/>
          <w:color w:val="auto"/>
          <w:sz w:val="22"/>
          <w:szCs w:val="22"/>
          <w:highlight w:val="none"/>
          <w:lang w:eastAsia="zh-CN"/>
        </w:rPr>
        <w:t>甲乙双方</w:t>
      </w:r>
      <w:r>
        <w:rPr>
          <w:rFonts w:hint="eastAsia" w:ascii="宋体" w:hAnsi="宋体" w:cs="宋体"/>
          <w:color w:val="auto"/>
          <w:sz w:val="22"/>
          <w:szCs w:val="22"/>
          <w:highlight w:val="none"/>
        </w:rPr>
        <w:t>可根据招标要求和需要订立具体的技术文件和资料交付时间和数量。</w:t>
      </w:r>
    </w:p>
    <w:p>
      <w:pPr>
        <w:keepNext w:val="0"/>
        <w:keepLines w:val="0"/>
        <w:pageBreakBefore w:val="0"/>
        <w:widowControl w:val="0"/>
        <w:tabs>
          <w:tab w:val="left" w:pos="540"/>
          <w:tab w:val="left" w:pos="992"/>
        </w:tabs>
        <w:kinsoku/>
        <w:wordWrap/>
        <w:overflowPunct/>
        <w:topLinePunct w:val="0"/>
        <w:autoSpaceDE/>
        <w:autoSpaceDN/>
        <w:bidi w:val="0"/>
        <w:snapToGrid/>
        <w:spacing w:line="460" w:lineRule="exact"/>
        <w:ind w:left="525" w:hanging="550" w:hangingChars="250"/>
        <w:rPr>
          <w:rFonts w:ascii="宋体" w:hAnsi="宋体"/>
          <w:b/>
          <w:bCs/>
          <w:color w:val="auto"/>
          <w:sz w:val="22"/>
          <w:szCs w:val="22"/>
          <w:highlight w:val="none"/>
        </w:rPr>
      </w:pPr>
      <w:r>
        <w:rPr>
          <w:rFonts w:ascii="宋体" w:hAnsi="宋体" w:cs="宋体"/>
          <w:color w:val="auto"/>
          <w:sz w:val="22"/>
          <w:szCs w:val="22"/>
          <w:highlight w:val="none"/>
        </w:rPr>
        <w:t>10.2</w:t>
      </w:r>
      <w:r>
        <w:rPr>
          <w:rFonts w:hint="eastAsia" w:ascii="宋体" w:hAnsi="宋体" w:cs="宋体"/>
          <w:color w:val="auto"/>
          <w:sz w:val="22"/>
          <w:szCs w:val="22"/>
          <w:highlight w:val="none"/>
        </w:rPr>
        <w:t>如果甲方确认乙方提供的技术文件和资料不完整，或在运输途中丢失，乙方应在收到甲方通知后</w:t>
      </w:r>
      <w:r>
        <w:rPr>
          <w:rFonts w:ascii="宋体" w:hAnsi="宋体" w:cs="宋体"/>
          <w:color w:val="auto"/>
          <w:sz w:val="22"/>
          <w:szCs w:val="22"/>
          <w:highlight w:val="none"/>
        </w:rPr>
        <w:t>3</w:t>
      </w:r>
      <w:r>
        <w:rPr>
          <w:rFonts w:hint="eastAsia" w:ascii="宋体" w:hAnsi="宋体" w:cs="宋体"/>
          <w:color w:val="auto"/>
          <w:sz w:val="22"/>
          <w:szCs w:val="22"/>
          <w:highlight w:val="none"/>
        </w:rPr>
        <w:t>天内将这些文件、资料补齐。</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b/>
          <w:bCs/>
          <w:color w:val="auto"/>
          <w:sz w:val="22"/>
          <w:szCs w:val="22"/>
          <w:highlight w:val="none"/>
        </w:rPr>
      </w:pPr>
      <w:r>
        <w:rPr>
          <w:rFonts w:ascii="宋体" w:hAnsi="宋体" w:cs="宋体"/>
          <w:b/>
          <w:bCs/>
          <w:color w:val="auto"/>
          <w:sz w:val="22"/>
          <w:szCs w:val="22"/>
          <w:highlight w:val="none"/>
        </w:rPr>
        <w:t xml:space="preserve"> </w:t>
      </w:r>
      <w:r>
        <w:rPr>
          <w:rFonts w:hint="eastAsia" w:ascii="宋体" w:hAnsi="宋体" w:cs="宋体"/>
          <w:b/>
          <w:bCs/>
          <w:color w:val="auto"/>
          <w:sz w:val="22"/>
          <w:szCs w:val="22"/>
          <w:highlight w:val="none"/>
        </w:rPr>
        <w:t>质量保证</w:t>
      </w:r>
    </w:p>
    <w:p>
      <w:pPr>
        <w:keepNext w:val="0"/>
        <w:keepLines w:val="0"/>
        <w:pageBreakBefore w:val="0"/>
        <w:widowControl w:val="0"/>
        <w:numPr>
          <w:ilvl w:val="1"/>
          <w:numId w:val="6"/>
        </w:numPr>
        <w:tabs>
          <w:tab w:val="left" w:pos="0"/>
          <w:tab w:val="left" w:pos="180"/>
          <w:tab w:val="left" w:pos="992"/>
        </w:tabs>
        <w:kinsoku/>
        <w:wordWrap/>
        <w:overflowPunct/>
        <w:topLinePunct w:val="0"/>
        <w:autoSpaceDE/>
        <w:autoSpaceDN/>
        <w:bidi w:val="0"/>
        <w:snapToGrid/>
        <w:spacing w:line="460" w:lineRule="exact"/>
        <w:rPr>
          <w:rFonts w:ascii="宋体" w:hAnsi="宋体"/>
          <w:color w:val="auto"/>
          <w:sz w:val="22"/>
          <w:szCs w:val="22"/>
          <w:highlight w:val="none"/>
        </w:rPr>
      </w:pPr>
      <w:r>
        <w:rPr>
          <w:rFonts w:hint="eastAsia" w:ascii="宋体" w:hAnsi="宋体" w:cs="宋体"/>
          <w:color w:val="auto"/>
          <w:sz w:val="22"/>
          <w:szCs w:val="22"/>
          <w:highlight w:val="none"/>
        </w:rPr>
        <w:t>乙方所提供的货物应保证是企业原厂生产的产品而不是其他地方生产的、全新的、未使用过的，是原包装未拆封的，是用合格的工艺和材料制造而成的，并完全符合协议规定的质量、规格和性能要求，并随货提供质检报告单。乙方应保证所提供的货物经正确使用，在其使用寿命期内应具有使甲方满意的性能，并且确保一次性通过各项检验和测试。在货物质量保证期内，乙方应对由于设计、工艺、材料和配套件的缺陷所产生的任何不足或故障负责。</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根据甲方按检验标准检验的结果或当地质检部门检验的结果，或者在质量保证期内，如果货物的数量、质量或规格与协议不符，或证实货物是有缺陷的，包括潜在的缺陷或使用不符合要求的材料等，甲方应尽快以书面形式通知乙方，提出索赔。乙方在收到通知后，应在规定期限内，</w:t>
      </w:r>
      <w:r>
        <w:rPr>
          <w:rFonts w:hint="eastAsia" w:ascii="宋体" w:hAnsi="宋体" w:cs="宋体"/>
          <w:color w:val="auto"/>
          <w:sz w:val="22"/>
          <w:szCs w:val="22"/>
          <w:highlight w:val="none"/>
          <w:lang w:eastAsia="zh-CN"/>
        </w:rPr>
        <w:t>提供符合</w:t>
      </w:r>
      <w:r>
        <w:rPr>
          <w:rFonts w:hint="eastAsia" w:ascii="宋体" w:hAnsi="宋体" w:eastAsia="宋体" w:cs="宋体"/>
          <w:b w:val="0"/>
          <w:bCs w:val="0"/>
          <w:color w:val="auto"/>
          <w:kern w:val="2"/>
          <w:sz w:val="22"/>
          <w:szCs w:val="22"/>
          <w:highlight w:val="none"/>
          <w:lang w:val="en-US" w:eastAsia="zh-CN" w:bidi="ar-SA"/>
        </w:rPr>
        <w:t>验收标准</w:t>
      </w:r>
      <w:r>
        <w:rPr>
          <w:rFonts w:hint="eastAsia" w:ascii="宋体" w:hAnsi="宋体" w:cs="宋体"/>
          <w:b w:val="0"/>
          <w:bCs w:val="0"/>
          <w:color w:val="auto"/>
          <w:kern w:val="2"/>
          <w:sz w:val="22"/>
          <w:szCs w:val="22"/>
          <w:highlight w:val="none"/>
          <w:lang w:val="en-US" w:eastAsia="zh-CN" w:bidi="ar-SA"/>
        </w:rPr>
        <w:t>的货物，</w:t>
      </w:r>
      <w:r>
        <w:rPr>
          <w:rFonts w:hint="eastAsia" w:ascii="宋体" w:hAnsi="宋体" w:cs="宋体"/>
          <w:color w:val="auto"/>
          <w:sz w:val="22"/>
          <w:szCs w:val="22"/>
          <w:highlight w:val="none"/>
        </w:rPr>
        <w:t>同时相应延长质量保证期。</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b/>
          <w:bCs/>
          <w:color w:val="auto"/>
          <w:sz w:val="22"/>
          <w:szCs w:val="22"/>
          <w:highlight w:val="none"/>
        </w:rPr>
      </w:pPr>
      <w:r>
        <w:rPr>
          <w:rFonts w:hint="eastAsia" w:ascii="宋体" w:hAnsi="宋体" w:cs="宋体"/>
          <w:b/>
          <w:bCs/>
          <w:color w:val="auto"/>
          <w:sz w:val="22"/>
          <w:szCs w:val="22"/>
          <w:highlight w:val="none"/>
        </w:rPr>
        <w:t>交货时间及方式：</w:t>
      </w:r>
    </w:p>
    <w:p>
      <w:pPr>
        <w:keepNext w:val="0"/>
        <w:keepLines w:val="0"/>
        <w:pageBreakBefore w:val="0"/>
        <w:widowControl w:val="0"/>
        <w:kinsoku/>
        <w:wordWrap/>
        <w:overflowPunct/>
        <w:topLinePunct w:val="0"/>
        <w:autoSpaceDE/>
        <w:autoSpaceDN/>
        <w:bidi w:val="0"/>
        <w:snapToGrid/>
        <w:spacing w:line="460" w:lineRule="exact"/>
        <w:ind w:left="540"/>
        <w:rPr>
          <w:rFonts w:ascii="宋体" w:hAnsi="宋体"/>
          <w:b/>
          <w:bCs/>
          <w:color w:val="auto"/>
          <w:sz w:val="22"/>
          <w:szCs w:val="22"/>
          <w:highlight w:val="none"/>
        </w:rPr>
      </w:pPr>
      <w:r>
        <w:rPr>
          <w:rFonts w:hint="eastAsia" w:ascii="宋体" w:hAnsi="宋体" w:cs="宋体"/>
          <w:b/>
          <w:bCs/>
          <w:color w:val="auto"/>
          <w:sz w:val="22"/>
          <w:szCs w:val="22"/>
          <w:highlight w:val="none"/>
        </w:rPr>
        <w:t>乙方须在接到甲方通知后</w:t>
      </w:r>
      <w:r>
        <w:rPr>
          <w:rFonts w:ascii="宋体" w:hAnsi="宋体" w:cs="宋体"/>
          <w:b/>
          <w:bCs/>
          <w:color w:val="auto"/>
          <w:sz w:val="22"/>
          <w:szCs w:val="22"/>
          <w:highlight w:val="none"/>
        </w:rPr>
        <w:t>24</w:t>
      </w:r>
      <w:r>
        <w:rPr>
          <w:rFonts w:hint="eastAsia" w:ascii="宋体" w:hAnsi="宋体" w:cs="宋体"/>
          <w:b/>
          <w:bCs/>
          <w:color w:val="auto"/>
          <w:sz w:val="22"/>
          <w:szCs w:val="22"/>
          <w:highlight w:val="none"/>
        </w:rPr>
        <w:t>小时内将货物保质保量的运送至甲方指定地点。</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hint="eastAsia" w:ascii="宋体" w:hAnsi="宋体" w:cs="宋体"/>
          <w:b/>
          <w:bCs/>
          <w:color w:val="auto"/>
          <w:sz w:val="22"/>
          <w:szCs w:val="22"/>
          <w:highlight w:val="none"/>
        </w:rPr>
      </w:pPr>
      <w:r>
        <w:rPr>
          <w:rFonts w:hint="eastAsia" w:ascii="宋体" w:hAnsi="宋体" w:cs="宋体"/>
          <w:b/>
          <w:bCs/>
          <w:color w:val="auto"/>
          <w:sz w:val="22"/>
          <w:szCs w:val="22"/>
          <w:highlight w:val="none"/>
          <w:lang w:eastAsia="zh-CN"/>
        </w:rPr>
        <w:t>售后服务</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hint="eastAsia" w:ascii="宋体" w:hAnsi="宋体" w:cs="宋体"/>
          <w:color w:val="auto"/>
          <w:sz w:val="22"/>
          <w:szCs w:val="22"/>
          <w:highlight w:val="none"/>
        </w:rPr>
      </w:pPr>
      <w:r>
        <w:rPr>
          <w:rFonts w:hint="eastAsia" w:ascii="宋体" w:hAnsi="宋体" w:cs="宋体"/>
          <w:color w:val="auto"/>
          <w:sz w:val="22"/>
          <w:szCs w:val="22"/>
          <w:highlight w:val="none"/>
        </w:rPr>
        <w:t>需请有检测资质的第三方机构，为</w:t>
      </w:r>
      <w:r>
        <w:rPr>
          <w:rFonts w:hint="eastAsia" w:ascii="宋体" w:hAnsi="宋体" w:cs="宋体"/>
          <w:color w:val="auto"/>
          <w:sz w:val="22"/>
          <w:szCs w:val="22"/>
          <w:highlight w:val="none"/>
          <w:lang w:eastAsia="zh-CN"/>
        </w:rPr>
        <w:t>甲方</w:t>
      </w:r>
      <w:r>
        <w:rPr>
          <w:rFonts w:hint="eastAsia" w:ascii="宋体" w:hAnsi="宋体" w:cs="宋体"/>
          <w:color w:val="auto"/>
          <w:sz w:val="22"/>
          <w:szCs w:val="22"/>
          <w:highlight w:val="none"/>
        </w:rPr>
        <w:t>六虹桥、景山、水心三院区污水处理各做2次污水处理检测，每次检测提供检测报告，检测报告结论应符合综合医院污水排放标准，据此作为消毒粉的验收依据之一，费用由</w:t>
      </w:r>
      <w:r>
        <w:rPr>
          <w:rFonts w:hint="eastAsia" w:ascii="宋体" w:hAnsi="宋体" w:cs="宋体"/>
          <w:color w:val="auto"/>
          <w:sz w:val="22"/>
          <w:szCs w:val="22"/>
          <w:highlight w:val="none"/>
          <w:lang w:eastAsia="zh-CN"/>
        </w:rPr>
        <w:t>乙方</w:t>
      </w:r>
      <w:r>
        <w:rPr>
          <w:rFonts w:hint="eastAsia" w:ascii="宋体" w:hAnsi="宋体" w:cs="宋体"/>
          <w:color w:val="auto"/>
          <w:sz w:val="22"/>
          <w:szCs w:val="22"/>
          <w:highlight w:val="none"/>
        </w:rPr>
        <w:t>承担。</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b/>
          <w:bCs/>
          <w:color w:val="auto"/>
          <w:sz w:val="22"/>
          <w:szCs w:val="22"/>
          <w:highlight w:val="none"/>
        </w:rPr>
        <w:t>乙方履约延误</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乙方应按照合同规定的时间交货和提供服务。</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在履行合同过程中，如果乙方遇到妨碍按时交货和提供服务的情况时，应及时以书面形式将延误的事实、可能拖延的时间和原因通知甲方。甲方在收到乙方通知后，应尽快对情况进行分析评价，并确定是否同意延长交货时间以及是否收取误期赔偿费。</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除了合同条款中不可抗力的情况外，除甲方同意延误并不收赔偿费外，乙方延误交货或提供服务将按合同条款</w:t>
      </w:r>
      <w:r>
        <w:rPr>
          <w:rFonts w:ascii="宋体" w:hAnsi="宋体" w:cs="宋体"/>
          <w:color w:val="auto"/>
          <w:sz w:val="22"/>
          <w:szCs w:val="22"/>
          <w:highlight w:val="none"/>
        </w:rPr>
        <w:t>1</w:t>
      </w: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rPr>
        <w:t>条规定被收取误期赔偿费。</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所有提供的交货及验收都应服从甲方的统一安排。</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b/>
          <w:bCs/>
          <w:color w:val="auto"/>
          <w:sz w:val="22"/>
          <w:szCs w:val="22"/>
          <w:highlight w:val="none"/>
        </w:rPr>
        <w:t>误期赔偿费</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除不可抗力外，如果乙方没有按照合同规定的时间交货和提供服务，甲方应在不影响合同项下的其他补救措施的情况下，从合同价款中扣除误期赔偿费。每延误一周的赔偿费按迟交货物交货价费用的</w:t>
      </w:r>
      <w:r>
        <w:rPr>
          <w:rFonts w:hint="eastAsia" w:ascii="宋体" w:hAnsi="宋体" w:cs="宋体"/>
          <w:color w:val="auto"/>
          <w:sz w:val="22"/>
          <w:szCs w:val="22"/>
          <w:highlight w:val="none"/>
          <w:lang w:eastAsia="zh-CN"/>
        </w:rPr>
        <w:t>千分之五</w:t>
      </w:r>
      <w:r>
        <w:rPr>
          <w:rFonts w:hint="eastAsia" w:ascii="宋体" w:hAnsi="宋体" w:cs="宋体"/>
          <w:color w:val="auto"/>
          <w:sz w:val="22"/>
          <w:szCs w:val="22"/>
          <w:highlight w:val="none"/>
        </w:rPr>
        <w:t>（</w:t>
      </w:r>
      <w:r>
        <w:rPr>
          <w:rFonts w:ascii="宋体" w:hAnsi="宋体" w:cs="宋体"/>
          <w:color w:val="auto"/>
          <w:sz w:val="22"/>
          <w:szCs w:val="22"/>
          <w:highlight w:val="none"/>
        </w:rPr>
        <w:t>0.5%</w:t>
      </w:r>
      <w:r>
        <w:rPr>
          <w:rFonts w:hint="eastAsia" w:ascii="宋体" w:hAnsi="宋体" w:cs="宋体"/>
          <w:color w:val="auto"/>
          <w:sz w:val="22"/>
          <w:szCs w:val="22"/>
          <w:highlight w:val="none"/>
        </w:rPr>
        <w:t>）计收，直至交货为止。误期赔偿费最高限额为合同价的百分之五（</w:t>
      </w:r>
      <w:r>
        <w:rPr>
          <w:rFonts w:ascii="宋体" w:hAnsi="宋体" w:cs="宋体"/>
          <w:color w:val="auto"/>
          <w:sz w:val="22"/>
          <w:szCs w:val="22"/>
          <w:highlight w:val="none"/>
        </w:rPr>
        <w:t>5%</w:t>
      </w:r>
      <w:r>
        <w:rPr>
          <w:rFonts w:hint="eastAsia" w:ascii="宋体" w:hAnsi="宋体" w:cs="宋体"/>
          <w:color w:val="auto"/>
          <w:sz w:val="22"/>
          <w:szCs w:val="22"/>
          <w:highlight w:val="none"/>
        </w:rPr>
        <w:t>）。一旦延到误期赔偿费的最高限额，甲方可终止合同。</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b/>
          <w:bCs/>
          <w:color w:val="auto"/>
          <w:sz w:val="22"/>
          <w:szCs w:val="22"/>
          <w:highlight w:val="none"/>
        </w:rPr>
        <w:t>不可抗力</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如果双方中任何一方由于战争、严重火灾、水灾、破坏性台风和地震以及其它经双方同意属不可抗力的事故，致使合同履行受阻时，履行合同期限应予延长，延长时限应相当于事故所影响的时间，或双方协商解决。</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b/>
          <w:bCs/>
          <w:color w:val="auto"/>
          <w:sz w:val="22"/>
          <w:szCs w:val="22"/>
          <w:highlight w:val="none"/>
        </w:rPr>
        <w:t>税费</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根据国家现行税法对甲方征收的与本合同有关的一切费用由甲方承担。</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根据现行税法对乙方征收的与本合同有关的一切税费均由乙方承担。</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在中国境外发生的与本合同执行有关的一切税费由乙方承担。</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b/>
          <w:bCs/>
          <w:color w:val="auto"/>
          <w:sz w:val="22"/>
          <w:szCs w:val="22"/>
          <w:highlight w:val="none"/>
        </w:rPr>
        <w:t>违约终止合同</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甲方在乙方违约的情况下，如果发生下列情况之一，可考虑终止部分或全部合同：</w:t>
      </w:r>
    </w:p>
    <w:p>
      <w:pPr>
        <w:keepNext w:val="0"/>
        <w:keepLines w:val="0"/>
        <w:pageBreakBefore w:val="0"/>
        <w:widowControl w:val="0"/>
        <w:kinsoku/>
        <w:wordWrap/>
        <w:overflowPunct/>
        <w:topLinePunct w:val="0"/>
        <w:autoSpaceDE/>
        <w:autoSpaceDN/>
        <w:bidi w:val="0"/>
        <w:snapToGrid/>
        <w:spacing w:line="460" w:lineRule="exact"/>
        <w:rPr>
          <w:rFonts w:ascii="宋体" w:hAnsi="宋体"/>
          <w:color w:val="auto"/>
          <w:sz w:val="22"/>
          <w:szCs w:val="22"/>
          <w:highlight w:val="none"/>
        </w:rPr>
      </w:pPr>
      <w:r>
        <w:rPr>
          <w:rFonts w:hint="eastAsia" w:ascii="宋体" w:hAnsi="宋体" w:cs="宋体"/>
          <w:color w:val="auto"/>
          <w:sz w:val="22"/>
          <w:szCs w:val="22"/>
          <w:highlight w:val="none"/>
        </w:rPr>
        <w:t>（</w:t>
      </w:r>
      <w:r>
        <w:rPr>
          <w:rFonts w:ascii="宋体" w:hAnsi="宋体" w:cs="宋体"/>
          <w:color w:val="auto"/>
          <w:sz w:val="22"/>
          <w:szCs w:val="22"/>
          <w:highlight w:val="none"/>
        </w:rPr>
        <w:t>1</w:t>
      </w:r>
      <w:r>
        <w:rPr>
          <w:rFonts w:hint="eastAsia" w:ascii="宋体" w:hAnsi="宋体" w:cs="宋体"/>
          <w:color w:val="auto"/>
          <w:sz w:val="22"/>
          <w:szCs w:val="22"/>
          <w:highlight w:val="none"/>
        </w:rPr>
        <w:t>）</w:t>
      </w:r>
      <w:r>
        <w:rPr>
          <w:rFonts w:ascii="宋体" w:hAnsi="宋体" w:cs="宋体"/>
          <w:color w:val="auto"/>
          <w:sz w:val="22"/>
          <w:szCs w:val="22"/>
          <w:highlight w:val="none"/>
        </w:rPr>
        <w:t xml:space="preserve"> </w:t>
      </w:r>
      <w:r>
        <w:rPr>
          <w:rFonts w:hint="eastAsia" w:ascii="宋体" w:hAnsi="宋体" w:cs="宋体"/>
          <w:color w:val="auto"/>
          <w:sz w:val="22"/>
          <w:szCs w:val="22"/>
          <w:highlight w:val="none"/>
        </w:rPr>
        <w:t>乙方未能在合同规定的期限内或甲方同意延长的期限内提供全部或部分货物；</w:t>
      </w:r>
    </w:p>
    <w:p>
      <w:pPr>
        <w:keepNext w:val="0"/>
        <w:keepLines w:val="0"/>
        <w:pageBreakBefore w:val="0"/>
        <w:widowControl w:val="0"/>
        <w:kinsoku/>
        <w:wordWrap/>
        <w:overflowPunct/>
        <w:topLinePunct w:val="0"/>
        <w:autoSpaceDE/>
        <w:autoSpaceDN/>
        <w:bidi w:val="0"/>
        <w:snapToGrid/>
        <w:spacing w:line="460" w:lineRule="exact"/>
        <w:ind w:left="630" w:hanging="660" w:hangingChars="300"/>
        <w:rPr>
          <w:rFonts w:hint="eastAsia" w:ascii="宋体" w:hAnsi="宋体" w:cs="宋体"/>
          <w:color w:val="auto"/>
          <w:sz w:val="22"/>
          <w:szCs w:val="22"/>
          <w:highlight w:val="none"/>
        </w:rPr>
      </w:pPr>
      <w:r>
        <w:rPr>
          <w:rFonts w:hint="eastAsia" w:ascii="宋体" w:hAnsi="宋体" w:cs="宋体"/>
          <w:color w:val="auto"/>
          <w:sz w:val="22"/>
          <w:szCs w:val="22"/>
          <w:highlight w:val="none"/>
        </w:rPr>
        <w:t>（</w:t>
      </w:r>
      <w:r>
        <w:rPr>
          <w:rFonts w:ascii="宋体" w:hAnsi="宋体" w:cs="宋体"/>
          <w:color w:val="auto"/>
          <w:sz w:val="22"/>
          <w:szCs w:val="22"/>
          <w:highlight w:val="none"/>
        </w:rPr>
        <w:t>2</w:t>
      </w:r>
      <w:r>
        <w:rPr>
          <w:rFonts w:hint="eastAsia" w:ascii="宋体" w:hAnsi="宋体" w:cs="宋体"/>
          <w:color w:val="auto"/>
          <w:spacing w:val="40"/>
          <w:sz w:val="22"/>
          <w:szCs w:val="22"/>
          <w:highlight w:val="none"/>
        </w:rPr>
        <w:t>）</w:t>
      </w:r>
      <w:r>
        <w:rPr>
          <w:rFonts w:hint="eastAsia" w:ascii="宋体" w:hAnsi="宋体" w:cs="宋体"/>
          <w:color w:val="auto"/>
          <w:sz w:val="22"/>
          <w:szCs w:val="22"/>
          <w:highlight w:val="none"/>
        </w:rPr>
        <w:t>乙方未能履行合同规定的任何其他义务。乙方在收到甲方发出的违约通知后</w:t>
      </w:r>
      <w:r>
        <w:rPr>
          <w:rFonts w:ascii="宋体" w:hAnsi="宋体" w:cs="宋体"/>
          <w:color w:val="auto"/>
          <w:sz w:val="22"/>
          <w:szCs w:val="22"/>
          <w:highlight w:val="none"/>
        </w:rPr>
        <w:t>30</w:t>
      </w:r>
      <w:r>
        <w:rPr>
          <w:rFonts w:hint="eastAsia" w:ascii="宋体" w:hAnsi="宋体" w:cs="宋体"/>
          <w:color w:val="auto"/>
          <w:sz w:val="22"/>
          <w:szCs w:val="22"/>
          <w:highlight w:val="none"/>
        </w:rPr>
        <w:t>天内，或经甲方书面认可延长的时间内未能纠正其过失。甲方可向乙方发出书面通知，终止部分或合同全部，通知到达乙方时合同即行解除。在这种情况下，并不影响甲方向乙方提出的索赔。</w:t>
      </w:r>
    </w:p>
    <w:p>
      <w:pPr>
        <w:keepNext w:val="0"/>
        <w:keepLines w:val="0"/>
        <w:pageBreakBefore w:val="0"/>
        <w:widowControl w:val="0"/>
        <w:kinsoku/>
        <w:wordWrap/>
        <w:overflowPunct/>
        <w:topLinePunct w:val="0"/>
        <w:autoSpaceDE/>
        <w:autoSpaceDN/>
        <w:bidi w:val="0"/>
        <w:snapToGrid/>
        <w:spacing w:line="460" w:lineRule="exact"/>
        <w:ind w:left="630" w:hanging="660" w:hangingChars="300"/>
        <w:rPr>
          <w:rFonts w:ascii="宋体" w:hAnsi="宋体"/>
          <w:color w:val="auto"/>
          <w:sz w:val="22"/>
          <w:szCs w:val="22"/>
          <w:highlight w:val="none"/>
        </w:rPr>
      </w:pPr>
      <w:r>
        <w:rPr>
          <w:rFonts w:hint="eastAsia" w:ascii="宋体" w:hAnsi="宋体" w:cs="宋体"/>
          <w:color w:val="auto"/>
          <w:sz w:val="22"/>
          <w:szCs w:val="22"/>
          <w:highlight w:val="none"/>
        </w:rPr>
        <w:t>（3） 若乙方提供的消毒粉在每月的污水处理检测中不能达到综合医院污水排放标准要求，乙方必须在</w:t>
      </w:r>
      <w:r>
        <w:rPr>
          <w:rFonts w:hint="eastAsia" w:ascii="宋体" w:hAnsi="宋体" w:cs="宋体"/>
          <w:b/>
          <w:color w:val="auto"/>
          <w:sz w:val="22"/>
          <w:szCs w:val="22"/>
          <w:highlight w:val="none"/>
        </w:rPr>
        <w:t>1个月</w:t>
      </w:r>
      <w:r>
        <w:rPr>
          <w:rFonts w:hint="eastAsia" w:ascii="宋体" w:hAnsi="宋体" w:cs="宋体"/>
          <w:color w:val="auto"/>
          <w:sz w:val="22"/>
          <w:szCs w:val="22"/>
          <w:highlight w:val="none"/>
        </w:rPr>
        <w:t>内限期整改，直到污水处理排放达到合格要求为止；若</w:t>
      </w:r>
      <w:r>
        <w:rPr>
          <w:rFonts w:hint="eastAsia" w:ascii="宋体" w:hAnsi="宋体" w:cs="宋体"/>
          <w:b/>
          <w:color w:val="auto"/>
          <w:sz w:val="22"/>
          <w:szCs w:val="22"/>
          <w:highlight w:val="none"/>
        </w:rPr>
        <w:t>1个月</w:t>
      </w:r>
      <w:r>
        <w:rPr>
          <w:rFonts w:hint="eastAsia" w:ascii="宋体" w:hAnsi="宋体" w:cs="宋体"/>
          <w:color w:val="auto"/>
          <w:sz w:val="22"/>
          <w:szCs w:val="22"/>
          <w:highlight w:val="none"/>
        </w:rPr>
        <w:t>后仍不能使污水排放检测合格，甲方有权终止合同，并没收履约保证金。</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如果甲方根据上述第</w:t>
      </w:r>
      <w:r>
        <w:rPr>
          <w:rFonts w:ascii="宋体" w:hAnsi="宋体" w:cs="宋体"/>
          <w:color w:val="auto"/>
          <w:sz w:val="22"/>
          <w:szCs w:val="22"/>
          <w:highlight w:val="none"/>
        </w:rPr>
        <w:t>1</w:t>
      </w:r>
      <w:r>
        <w:rPr>
          <w:rFonts w:hint="eastAsia" w:ascii="宋体" w:hAnsi="宋体" w:cs="宋体"/>
          <w:color w:val="auto"/>
          <w:sz w:val="22"/>
          <w:szCs w:val="22"/>
          <w:highlight w:val="none"/>
          <w:lang w:val="en-US" w:eastAsia="zh-CN"/>
        </w:rPr>
        <w:t>8</w:t>
      </w:r>
      <w:r>
        <w:rPr>
          <w:rFonts w:ascii="宋体" w:hAnsi="宋体" w:cs="宋体"/>
          <w:color w:val="auto"/>
          <w:sz w:val="22"/>
          <w:szCs w:val="22"/>
          <w:highlight w:val="none"/>
        </w:rPr>
        <w:t>.1</w:t>
      </w:r>
      <w:r>
        <w:rPr>
          <w:rFonts w:hint="eastAsia" w:ascii="宋体" w:hAnsi="宋体" w:cs="宋体"/>
          <w:color w:val="auto"/>
          <w:sz w:val="22"/>
          <w:szCs w:val="22"/>
          <w:highlight w:val="none"/>
        </w:rPr>
        <w:t>条的规定，终止了全部或部分合同，甲方可以依其认为适当的条件和方法购买与未交货物类似的货物或服务，乙方应承担甲方因购买类似货物或服务而产生的额外支出。但是，乙方应继续执行合同中未终止的部分。</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若乙方提供的货物与合同规定的货物规格、数量、型号不符，并存在以次充好的情况，其情节严重的甲方有权终止合同</w:t>
      </w:r>
      <w:r>
        <w:rPr>
          <w:rFonts w:hint="eastAsia" w:ascii="宋体" w:hAnsi="宋体" w:cs="宋体"/>
          <w:color w:val="auto"/>
          <w:sz w:val="22"/>
          <w:szCs w:val="22"/>
          <w:highlight w:val="none"/>
          <w:lang w:eastAsia="zh-CN"/>
        </w:rPr>
        <w:t>，要求乙方向甲方支付合同总款项</w:t>
      </w:r>
      <w:r>
        <w:rPr>
          <w:rFonts w:hint="eastAsia" w:ascii="宋体" w:hAnsi="宋体" w:cs="宋体"/>
          <w:color w:val="auto"/>
          <w:sz w:val="22"/>
          <w:szCs w:val="22"/>
          <w:highlight w:val="none"/>
          <w:lang w:val="en-US" w:eastAsia="zh-CN"/>
        </w:rPr>
        <w:t>5%的违约金，并赔偿给甲方造成的损失。</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b/>
          <w:bCs/>
          <w:color w:val="auto"/>
          <w:sz w:val="22"/>
          <w:szCs w:val="22"/>
          <w:highlight w:val="none"/>
        </w:rPr>
        <w:t>双方责任</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甲方</w:t>
      </w:r>
    </w:p>
    <w:p>
      <w:pPr>
        <w:keepNext w:val="0"/>
        <w:keepLines w:val="0"/>
        <w:pageBreakBefore w:val="0"/>
        <w:widowControl w:val="0"/>
        <w:kinsoku/>
        <w:wordWrap/>
        <w:overflowPunct/>
        <w:topLinePunct w:val="0"/>
        <w:autoSpaceDE/>
        <w:autoSpaceDN/>
        <w:bidi w:val="0"/>
        <w:snapToGrid/>
        <w:spacing w:line="460" w:lineRule="exact"/>
        <w:rPr>
          <w:rFonts w:ascii="宋体" w:hAnsi="宋体"/>
          <w:color w:val="auto"/>
          <w:sz w:val="22"/>
          <w:szCs w:val="22"/>
          <w:highlight w:val="none"/>
        </w:rPr>
      </w:pPr>
      <w:r>
        <w:rPr>
          <w:rFonts w:hint="eastAsia" w:ascii="宋体" w:hAnsi="宋体" w:cs="宋体"/>
          <w:color w:val="auto"/>
          <w:sz w:val="22"/>
          <w:szCs w:val="22"/>
          <w:highlight w:val="none"/>
        </w:rPr>
        <w:t>（</w:t>
      </w:r>
      <w:r>
        <w:rPr>
          <w:rFonts w:ascii="宋体" w:hAnsi="宋体" w:cs="宋体"/>
          <w:color w:val="auto"/>
          <w:sz w:val="22"/>
          <w:szCs w:val="22"/>
          <w:highlight w:val="none"/>
        </w:rPr>
        <w:t>1</w:t>
      </w:r>
      <w:r>
        <w:rPr>
          <w:rFonts w:hint="eastAsia" w:ascii="宋体" w:hAnsi="宋体" w:cs="宋体"/>
          <w:color w:val="auto"/>
          <w:sz w:val="22"/>
          <w:szCs w:val="22"/>
          <w:highlight w:val="none"/>
        </w:rPr>
        <w:t>）</w:t>
      </w:r>
      <w:r>
        <w:rPr>
          <w:rFonts w:ascii="宋体" w:hAnsi="宋体" w:cs="宋体"/>
          <w:color w:val="auto"/>
          <w:sz w:val="22"/>
          <w:szCs w:val="22"/>
          <w:highlight w:val="none"/>
        </w:rPr>
        <w:t xml:space="preserve"> </w:t>
      </w:r>
      <w:r>
        <w:rPr>
          <w:rFonts w:hint="eastAsia" w:ascii="宋体" w:hAnsi="宋体" w:cs="宋体"/>
          <w:color w:val="auto"/>
          <w:sz w:val="22"/>
          <w:szCs w:val="22"/>
          <w:highlight w:val="none"/>
        </w:rPr>
        <w:t>按合同规定向乙方支付货款。</w:t>
      </w:r>
    </w:p>
    <w:p>
      <w:pPr>
        <w:keepNext w:val="0"/>
        <w:keepLines w:val="0"/>
        <w:pageBreakBefore w:val="0"/>
        <w:widowControl w:val="0"/>
        <w:kinsoku/>
        <w:wordWrap/>
        <w:overflowPunct/>
        <w:topLinePunct w:val="0"/>
        <w:autoSpaceDE/>
        <w:autoSpaceDN/>
        <w:bidi w:val="0"/>
        <w:snapToGrid/>
        <w:spacing w:line="460" w:lineRule="exact"/>
        <w:rPr>
          <w:rFonts w:ascii="宋体" w:hAnsi="宋体"/>
          <w:color w:val="auto"/>
          <w:sz w:val="22"/>
          <w:szCs w:val="22"/>
          <w:highlight w:val="none"/>
        </w:rPr>
      </w:pPr>
      <w:r>
        <w:rPr>
          <w:rFonts w:hint="eastAsia" w:ascii="宋体" w:hAnsi="宋体" w:cs="宋体"/>
          <w:color w:val="auto"/>
          <w:sz w:val="22"/>
          <w:szCs w:val="22"/>
          <w:highlight w:val="none"/>
        </w:rPr>
        <w:t>（</w:t>
      </w:r>
      <w:r>
        <w:rPr>
          <w:rFonts w:ascii="宋体" w:hAnsi="宋体" w:cs="宋体"/>
          <w:color w:val="auto"/>
          <w:sz w:val="22"/>
          <w:szCs w:val="22"/>
          <w:highlight w:val="none"/>
        </w:rPr>
        <w:t>2</w:t>
      </w:r>
      <w:r>
        <w:rPr>
          <w:rFonts w:hint="eastAsia" w:ascii="宋体" w:hAnsi="宋体" w:cs="宋体"/>
          <w:color w:val="auto"/>
          <w:sz w:val="22"/>
          <w:szCs w:val="22"/>
          <w:highlight w:val="none"/>
        </w:rPr>
        <w:t>）</w:t>
      </w:r>
      <w:r>
        <w:rPr>
          <w:rFonts w:ascii="宋体" w:hAnsi="宋体" w:cs="宋体"/>
          <w:color w:val="auto"/>
          <w:sz w:val="22"/>
          <w:szCs w:val="22"/>
          <w:highlight w:val="none"/>
        </w:rPr>
        <w:t xml:space="preserve"> </w:t>
      </w:r>
      <w:r>
        <w:rPr>
          <w:rFonts w:hint="eastAsia" w:ascii="宋体" w:hAnsi="宋体" w:cs="宋体"/>
          <w:color w:val="auto"/>
          <w:sz w:val="22"/>
          <w:szCs w:val="22"/>
          <w:highlight w:val="none"/>
        </w:rPr>
        <w:t>组织对货物的验收。</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乙方</w:t>
      </w:r>
    </w:p>
    <w:p>
      <w:pPr>
        <w:keepNext w:val="0"/>
        <w:keepLines w:val="0"/>
        <w:pageBreakBefore w:val="0"/>
        <w:widowControl w:val="0"/>
        <w:kinsoku/>
        <w:wordWrap/>
        <w:overflowPunct/>
        <w:topLinePunct w:val="0"/>
        <w:autoSpaceDE/>
        <w:autoSpaceDN/>
        <w:bidi w:val="0"/>
        <w:snapToGrid/>
        <w:spacing w:line="460" w:lineRule="exact"/>
        <w:rPr>
          <w:rFonts w:ascii="宋体" w:hAnsi="宋体"/>
          <w:color w:val="auto"/>
          <w:sz w:val="22"/>
          <w:szCs w:val="22"/>
          <w:highlight w:val="none"/>
        </w:rPr>
      </w:pPr>
      <w:r>
        <w:rPr>
          <w:rFonts w:hint="eastAsia" w:ascii="宋体" w:hAnsi="宋体" w:cs="宋体"/>
          <w:color w:val="auto"/>
          <w:sz w:val="22"/>
          <w:szCs w:val="22"/>
          <w:highlight w:val="none"/>
        </w:rPr>
        <w:t>（</w:t>
      </w:r>
      <w:r>
        <w:rPr>
          <w:rFonts w:ascii="宋体" w:hAnsi="宋体" w:cs="宋体"/>
          <w:color w:val="auto"/>
          <w:sz w:val="22"/>
          <w:szCs w:val="22"/>
          <w:highlight w:val="none"/>
        </w:rPr>
        <w:t>1</w:t>
      </w:r>
      <w:r>
        <w:rPr>
          <w:rFonts w:hint="eastAsia" w:ascii="宋体" w:hAnsi="宋体" w:cs="宋体"/>
          <w:color w:val="auto"/>
          <w:sz w:val="22"/>
          <w:szCs w:val="22"/>
          <w:highlight w:val="none"/>
        </w:rPr>
        <w:t>）</w:t>
      </w:r>
      <w:r>
        <w:rPr>
          <w:rFonts w:ascii="宋体" w:hAnsi="宋体" w:cs="宋体"/>
          <w:color w:val="auto"/>
          <w:sz w:val="22"/>
          <w:szCs w:val="22"/>
          <w:highlight w:val="none"/>
        </w:rPr>
        <w:t xml:space="preserve"> </w:t>
      </w:r>
      <w:r>
        <w:rPr>
          <w:rFonts w:hint="eastAsia" w:ascii="宋体" w:hAnsi="宋体" w:cs="宋体"/>
          <w:color w:val="auto"/>
          <w:sz w:val="22"/>
          <w:szCs w:val="22"/>
          <w:highlight w:val="none"/>
        </w:rPr>
        <w:t>按合同要求提供货物和服务。</w:t>
      </w:r>
    </w:p>
    <w:p>
      <w:pPr>
        <w:keepNext w:val="0"/>
        <w:keepLines w:val="0"/>
        <w:pageBreakBefore w:val="0"/>
        <w:widowControl w:val="0"/>
        <w:kinsoku/>
        <w:wordWrap/>
        <w:overflowPunct/>
        <w:topLinePunct w:val="0"/>
        <w:autoSpaceDE/>
        <w:autoSpaceDN/>
        <w:bidi w:val="0"/>
        <w:snapToGrid/>
        <w:spacing w:line="460" w:lineRule="exact"/>
        <w:rPr>
          <w:rFonts w:ascii="宋体" w:hAnsi="宋体"/>
          <w:color w:val="auto"/>
          <w:sz w:val="22"/>
          <w:szCs w:val="22"/>
          <w:highlight w:val="none"/>
        </w:rPr>
      </w:pPr>
      <w:r>
        <w:rPr>
          <w:rFonts w:hint="eastAsia" w:ascii="宋体" w:hAnsi="宋体" w:cs="宋体"/>
          <w:color w:val="auto"/>
          <w:sz w:val="22"/>
          <w:szCs w:val="22"/>
          <w:highlight w:val="none"/>
        </w:rPr>
        <w:t>（</w:t>
      </w:r>
      <w:r>
        <w:rPr>
          <w:rFonts w:ascii="宋体" w:hAnsi="宋体" w:cs="宋体"/>
          <w:color w:val="auto"/>
          <w:sz w:val="22"/>
          <w:szCs w:val="22"/>
          <w:highlight w:val="none"/>
        </w:rPr>
        <w:t>2</w:t>
      </w:r>
      <w:r>
        <w:rPr>
          <w:rFonts w:hint="eastAsia" w:ascii="宋体" w:hAnsi="宋体" w:cs="宋体"/>
          <w:color w:val="auto"/>
          <w:sz w:val="22"/>
          <w:szCs w:val="22"/>
          <w:highlight w:val="none"/>
        </w:rPr>
        <w:t>）</w:t>
      </w:r>
      <w:r>
        <w:rPr>
          <w:rFonts w:ascii="宋体" w:hAnsi="宋体" w:cs="宋体"/>
          <w:color w:val="auto"/>
          <w:sz w:val="22"/>
          <w:szCs w:val="22"/>
          <w:highlight w:val="none"/>
        </w:rPr>
        <w:t xml:space="preserve"> </w:t>
      </w:r>
      <w:r>
        <w:rPr>
          <w:rFonts w:hint="eastAsia" w:ascii="宋体" w:hAnsi="宋体" w:cs="宋体"/>
          <w:color w:val="auto"/>
          <w:sz w:val="22"/>
          <w:szCs w:val="22"/>
          <w:highlight w:val="none"/>
        </w:rPr>
        <w:t>对所提供的货物和服务质量问题无条件负责处理。</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b/>
          <w:bCs/>
          <w:color w:val="auto"/>
          <w:sz w:val="22"/>
          <w:szCs w:val="22"/>
          <w:highlight w:val="none"/>
        </w:rPr>
        <w:t>争端的解决</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合同实施或与合同有关的一切争端，</w:t>
      </w:r>
      <w:r>
        <w:rPr>
          <w:rFonts w:hint="eastAsia" w:ascii="宋体" w:hAnsi="宋体" w:cs="宋体"/>
          <w:color w:val="auto"/>
          <w:sz w:val="22"/>
          <w:szCs w:val="22"/>
          <w:highlight w:val="none"/>
          <w:lang w:eastAsia="zh-CN"/>
        </w:rPr>
        <w:t>甲乙双方</w:t>
      </w:r>
      <w:r>
        <w:rPr>
          <w:rFonts w:hint="eastAsia" w:ascii="宋体" w:hAnsi="宋体" w:cs="宋体"/>
          <w:color w:val="auto"/>
          <w:sz w:val="22"/>
          <w:szCs w:val="22"/>
          <w:highlight w:val="none"/>
        </w:rPr>
        <w:t>应通过友好协商解决，如果协商仍得不到解决，任何一方可向</w:t>
      </w:r>
      <w:r>
        <w:rPr>
          <w:rFonts w:hint="eastAsia" w:ascii="宋体" w:hAnsi="宋体" w:cs="宋体"/>
          <w:color w:val="auto"/>
          <w:sz w:val="22"/>
          <w:szCs w:val="22"/>
          <w:highlight w:val="none"/>
          <w:lang w:eastAsia="zh-CN"/>
        </w:rPr>
        <w:t>温州仲裁委员会</w:t>
      </w:r>
      <w:r>
        <w:rPr>
          <w:rFonts w:hint="eastAsia" w:ascii="宋体" w:hAnsi="宋体" w:cs="宋体"/>
          <w:color w:val="auto"/>
          <w:sz w:val="22"/>
          <w:szCs w:val="22"/>
          <w:highlight w:val="none"/>
        </w:rPr>
        <w:t>仲裁。</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仲裁裁决应为最终裁决，对双方均有约束力。</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仲裁费用除仲裁机构另有裁决外应由败诉方承担。</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在仲裁期间，除正在执行仲裁的部分外，本合同的其他部分应继续执行。</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b/>
          <w:bCs/>
          <w:color w:val="auto"/>
          <w:sz w:val="22"/>
          <w:szCs w:val="22"/>
          <w:highlight w:val="none"/>
        </w:rPr>
        <w:t>转让和分包及产品不可替代</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未经甲方事先书面同意，乙方不得部分转让或全部转让和分包其履行合同的义务。</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产品不可替代，乙方在没有取得甲方的书面授权的情况下，不得将合同货物的生产制造转交其他生产厂商或以其他厂商的产品替代。</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b/>
          <w:bCs/>
          <w:color w:val="auto"/>
          <w:sz w:val="22"/>
          <w:szCs w:val="22"/>
          <w:highlight w:val="none"/>
        </w:rPr>
      </w:pPr>
      <w:r>
        <w:rPr>
          <w:rFonts w:hint="eastAsia" w:ascii="宋体" w:hAnsi="宋体" w:cs="宋体"/>
          <w:b/>
          <w:bCs/>
          <w:color w:val="auto"/>
          <w:sz w:val="22"/>
          <w:szCs w:val="22"/>
          <w:highlight w:val="none"/>
        </w:rPr>
        <w:t>适用法律</w:t>
      </w:r>
    </w:p>
    <w:p>
      <w:pPr>
        <w:keepNext w:val="0"/>
        <w:keepLines w:val="0"/>
        <w:pageBreakBefore w:val="0"/>
        <w:widowControl w:val="0"/>
        <w:kinsoku/>
        <w:wordWrap/>
        <w:overflowPunct/>
        <w:topLinePunct w:val="0"/>
        <w:autoSpaceDE/>
        <w:autoSpaceDN/>
        <w:bidi w:val="0"/>
        <w:snapToGrid/>
        <w:spacing w:line="460" w:lineRule="exact"/>
        <w:ind w:firstLine="539" w:firstLineChars="245"/>
        <w:rPr>
          <w:rFonts w:ascii="宋体" w:hAnsi="宋体"/>
          <w:color w:val="auto"/>
          <w:sz w:val="22"/>
          <w:szCs w:val="22"/>
          <w:highlight w:val="none"/>
        </w:rPr>
      </w:pPr>
      <w:r>
        <w:rPr>
          <w:rFonts w:hint="eastAsia" w:ascii="宋体" w:hAnsi="宋体" w:cs="宋体"/>
          <w:color w:val="auto"/>
          <w:sz w:val="22"/>
          <w:szCs w:val="22"/>
          <w:highlight w:val="none"/>
        </w:rPr>
        <w:t>本合同按照中华人民共和国的法律进行解释。</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b/>
          <w:bCs/>
          <w:color w:val="auto"/>
          <w:sz w:val="22"/>
          <w:szCs w:val="22"/>
          <w:highlight w:val="none"/>
        </w:rPr>
        <w:t>合同生效及其他</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color w:val="auto"/>
          <w:sz w:val="22"/>
          <w:szCs w:val="22"/>
          <w:highlight w:val="none"/>
        </w:rPr>
      </w:pPr>
      <w:r>
        <w:rPr>
          <w:rFonts w:hint="eastAsia" w:ascii="宋体" w:hAnsi="宋体" w:cs="宋体"/>
          <w:b w:val="0"/>
          <w:bCs w:val="0"/>
          <w:color w:val="auto"/>
          <w:sz w:val="22"/>
          <w:szCs w:val="22"/>
          <w:highlight w:val="none"/>
          <w:lang w:val="en-US" w:eastAsia="zh-CN"/>
        </w:rPr>
        <w:t>如合同期内结算金额达到合同金额，即视为合同完全履行完毕。双方的合同将自动终止。</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合同应在双方签字盖章后开始生效。</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本合同一式肆份，</w:t>
      </w:r>
      <w:r>
        <w:rPr>
          <w:rFonts w:hint="eastAsia" w:ascii="宋体" w:hAnsi="宋体" w:cs="宋体"/>
          <w:color w:val="auto"/>
          <w:sz w:val="22"/>
          <w:szCs w:val="22"/>
          <w:highlight w:val="none"/>
          <w:lang w:eastAsia="zh-CN"/>
        </w:rPr>
        <w:t>甲乙双方</w:t>
      </w:r>
      <w:r>
        <w:rPr>
          <w:rFonts w:hint="eastAsia" w:ascii="宋体" w:hAnsi="宋体" w:cs="宋体"/>
          <w:color w:val="auto"/>
          <w:sz w:val="22"/>
          <w:szCs w:val="22"/>
          <w:highlight w:val="none"/>
        </w:rPr>
        <w:t>各执贰份。</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如需修改或补充合同内容，经协商，双方应签署书面修改或补充协议，该协议将作为本合同的一个组成部分。</w:t>
      </w:r>
    </w:p>
    <w:p>
      <w:pPr>
        <w:keepNext w:val="0"/>
        <w:keepLines w:val="0"/>
        <w:pageBreakBefore w:val="0"/>
        <w:widowControl w:val="0"/>
        <w:numPr>
          <w:ilvl w:val="0"/>
          <w:numId w:val="6"/>
        </w:numPr>
        <w:kinsoku/>
        <w:wordWrap/>
        <w:overflowPunct/>
        <w:topLinePunct w:val="0"/>
        <w:autoSpaceDE/>
        <w:autoSpaceDN/>
        <w:bidi w:val="0"/>
        <w:snapToGrid/>
        <w:spacing w:line="460" w:lineRule="exact"/>
        <w:ind w:left="540" w:hanging="540"/>
        <w:rPr>
          <w:rFonts w:ascii="宋体" w:hAnsi="宋体"/>
          <w:b/>
          <w:bCs/>
          <w:color w:val="auto"/>
          <w:sz w:val="22"/>
          <w:szCs w:val="22"/>
          <w:highlight w:val="none"/>
        </w:rPr>
      </w:pPr>
      <w:r>
        <w:rPr>
          <w:rFonts w:hint="eastAsia" w:ascii="宋体" w:hAnsi="宋体" w:cs="宋体"/>
          <w:b/>
          <w:bCs/>
          <w:color w:val="auto"/>
          <w:sz w:val="22"/>
          <w:szCs w:val="22"/>
          <w:highlight w:val="none"/>
        </w:rPr>
        <w:t>合同组成部分：</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合同补充条款或说明（如有）</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合同主要条款</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中标通知书</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承诺书（含询标记录和优惠条件）</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s="宋体"/>
          <w:color w:val="auto"/>
          <w:sz w:val="22"/>
          <w:szCs w:val="22"/>
          <w:highlight w:val="none"/>
        </w:rPr>
      </w:pPr>
      <w:r>
        <w:rPr>
          <w:rFonts w:hint="eastAsia" w:ascii="宋体" w:hAnsi="宋体" w:cs="宋体"/>
          <w:color w:val="auto"/>
          <w:sz w:val="22"/>
          <w:szCs w:val="22"/>
          <w:highlight w:val="none"/>
        </w:rPr>
        <w:t>投标文件</w:t>
      </w:r>
      <w:r>
        <w:rPr>
          <w:rFonts w:ascii="宋体" w:hAnsi="宋体" w:cs="宋体"/>
          <w:color w:val="auto"/>
          <w:sz w:val="22"/>
          <w:szCs w:val="22"/>
          <w:highlight w:val="none"/>
        </w:rPr>
        <w:t xml:space="preserve">               </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olor w:val="auto"/>
          <w:sz w:val="22"/>
          <w:szCs w:val="22"/>
          <w:highlight w:val="none"/>
        </w:rPr>
      </w:pPr>
      <w:r>
        <w:rPr>
          <w:rFonts w:hint="eastAsia" w:ascii="宋体" w:hAnsi="宋体" w:cs="宋体"/>
          <w:color w:val="auto"/>
          <w:sz w:val="22"/>
          <w:szCs w:val="22"/>
          <w:highlight w:val="none"/>
        </w:rPr>
        <w:t>招标文件的补充文件（如有）</w:t>
      </w:r>
    </w:p>
    <w:p>
      <w:pPr>
        <w:keepNext w:val="0"/>
        <w:keepLines w:val="0"/>
        <w:pageBreakBefore w:val="0"/>
        <w:widowControl w:val="0"/>
        <w:numPr>
          <w:ilvl w:val="1"/>
          <w:numId w:val="6"/>
        </w:numPr>
        <w:tabs>
          <w:tab w:val="left" w:pos="540"/>
          <w:tab w:val="left" w:pos="992"/>
        </w:tabs>
        <w:kinsoku/>
        <w:wordWrap/>
        <w:overflowPunct/>
        <w:topLinePunct w:val="0"/>
        <w:autoSpaceDE/>
        <w:autoSpaceDN/>
        <w:bidi w:val="0"/>
        <w:snapToGrid/>
        <w:spacing w:line="460" w:lineRule="exact"/>
        <w:ind w:left="540" w:hanging="540"/>
        <w:rPr>
          <w:rFonts w:ascii="宋体" w:hAnsi="宋体" w:cs="宋体"/>
          <w:color w:val="auto"/>
          <w:sz w:val="22"/>
          <w:szCs w:val="22"/>
          <w:highlight w:val="none"/>
        </w:rPr>
      </w:pPr>
      <w:r>
        <w:rPr>
          <w:rFonts w:hint="eastAsia" w:ascii="宋体" w:hAnsi="宋体" w:cs="宋体"/>
          <w:color w:val="auto"/>
          <w:sz w:val="22"/>
          <w:szCs w:val="22"/>
          <w:highlight w:val="none"/>
        </w:rPr>
        <w:t>招标文件</w:t>
      </w:r>
      <w:r>
        <w:rPr>
          <w:rFonts w:ascii="宋体" w:hAnsi="宋体" w:cs="宋体"/>
          <w:color w:val="auto"/>
          <w:sz w:val="22"/>
          <w:szCs w:val="22"/>
          <w:highlight w:val="none"/>
        </w:rPr>
        <w:t xml:space="preserve">                   </w:t>
      </w:r>
    </w:p>
    <w:p>
      <w:pPr>
        <w:keepNext w:val="0"/>
        <w:keepLines w:val="0"/>
        <w:pageBreakBefore w:val="0"/>
        <w:widowControl w:val="0"/>
        <w:tabs>
          <w:tab w:val="left" w:pos="540"/>
          <w:tab w:val="left" w:pos="567"/>
          <w:tab w:val="left" w:pos="992"/>
        </w:tabs>
        <w:kinsoku/>
        <w:wordWrap/>
        <w:overflowPunct/>
        <w:topLinePunct w:val="0"/>
        <w:autoSpaceDE/>
        <w:autoSpaceDN/>
        <w:bidi w:val="0"/>
        <w:snapToGrid/>
        <w:spacing w:line="460" w:lineRule="exact"/>
        <w:ind w:firstLine="440" w:firstLineChars="200"/>
        <w:rPr>
          <w:rFonts w:ascii="宋体" w:hAnsi="宋体"/>
          <w:b/>
          <w:bCs/>
          <w:color w:val="auto"/>
          <w:sz w:val="22"/>
          <w:szCs w:val="22"/>
          <w:highlight w:val="none"/>
        </w:rPr>
      </w:pPr>
      <w:r>
        <w:rPr>
          <w:rFonts w:ascii="宋体" w:hAnsi="宋体" w:cs="宋体"/>
          <w:color w:val="auto"/>
          <w:sz w:val="22"/>
          <w:szCs w:val="22"/>
          <w:highlight w:val="none"/>
        </w:rPr>
        <w:t xml:space="preserve">             </w:t>
      </w:r>
    </w:p>
    <w:tbl>
      <w:tblPr>
        <w:tblStyle w:val="53"/>
        <w:tblpPr w:leftFromText="180" w:rightFromText="180" w:vertAnchor="text" w:horzAnchor="page" w:tblpX="1285" w:tblpY="480"/>
        <w:tblOverlap w:val="never"/>
        <w:tblW w:w="9600" w:type="dxa"/>
        <w:tblInd w:w="0" w:type="dxa"/>
        <w:tblLayout w:type="fixed"/>
        <w:tblCellMar>
          <w:top w:w="0" w:type="dxa"/>
          <w:left w:w="108" w:type="dxa"/>
          <w:bottom w:w="0" w:type="dxa"/>
          <w:right w:w="108" w:type="dxa"/>
        </w:tblCellMar>
      </w:tblPr>
      <w:tblGrid>
        <w:gridCol w:w="4770"/>
        <w:gridCol w:w="4830"/>
      </w:tblGrid>
      <w:tr>
        <w:tblPrEx>
          <w:tblCellMar>
            <w:top w:w="0" w:type="dxa"/>
            <w:left w:w="108" w:type="dxa"/>
            <w:bottom w:w="0" w:type="dxa"/>
            <w:right w:w="108" w:type="dxa"/>
          </w:tblCellMar>
        </w:tblPrEx>
        <w:tc>
          <w:tcPr>
            <w:tcW w:w="4770" w:type="dxa"/>
            <w:noWrap w:val="0"/>
            <w:vAlign w:val="top"/>
          </w:tcPr>
          <w:p>
            <w:pPr>
              <w:keepNext w:val="0"/>
              <w:keepLines w:val="0"/>
              <w:pageBreakBefore w:val="0"/>
              <w:widowControl w:val="0"/>
              <w:numPr>
                <w:ilvl w:val="0"/>
                <w:numId w:val="0"/>
              </w:numPr>
              <w:tabs>
                <w:tab w:val="left" w:pos="540"/>
                <w:tab w:val="left" w:pos="992"/>
              </w:tabs>
              <w:kinsoku/>
              <w:wordWrap/>
              <w:overflowPunct/>
              <w:topLinePunct w:val="0"/>
              <w:autoSpaceDE/>
              <w:autoSpaceDN/>
              <w:bidi w:val="0"/>
              <w:snapToGrid/>
              <w:spacing w:line="460" w:lineRule="exact"/>
              <w:ind w:left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甲方：（印章）</w:t>
            </w:r>
            <w:r>
              <w:rPr>
                <w:rFonts w:hint="eastAsia" w:ascii="宋体" w:hAnsi="宋体" w:eastAsia="宋体" w:cs="宋体"/>
                <w:color w:val="auto"/>
                <w:sz w:val="22"/>
                <w:szCs w:val="22"/>
                <w:highlight w:val="none"/>
                <w:lang w:eastAsia="zh-CN"/>
              </w:rPr>
              <w:t>温州市中医院</w:t>
            </w:r>
          </w:p>
          <w:p>
            <w:pPr>
              <w:keepNext w:val="0"/>
              <w:keepLines w:val="0"/>
              <w:pageBreakBefore w:val="0"/>
              <w:widowControl w:val="0"/>
              <w:numPr>
                <w:ilvl w:val="0"/>
                <w:numId w:val="0"/>
              </w:numPr>
              <w:tabs>
                <w:tab w:val="left" w:pos="540"/>
                <w:tab w:val="left" w:pos="992"/>
              </w:tabs>
              <w:kinsoku/>
              <w:wordWrap/>
              <w:overflowPunct/>
              <w:topLinePunct w:val="0"/>
              <w:autoSpaceDE/>
              <w:autoSpaceDN/>
              <w:bidi w:val="0"/>
              <w:snapToGrid/>
              <w:spacing w:line="460" w:lineRule="exact"/>
              <w:ind w:left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全权代表:（签字）</w:t>
            </w:r>
          </w:p>
          <w:p>
            <w:pPr>
              <w:keepNext w:val="0"/>
              <w:keepLines w:val="0"/>
              <w:pageBreakBefore w:val="0"/>
              <w:widowControl w:val="0"/>
              <w:numPr>
                <w:ilvl w:val="0"/>
                <w:numId w:val="0"/>
              </w:numPr>
              <w:tabs>
                <w:tab w:val="left" w:pos="540"/>
                <w:tab w:val="left" w:pos="992"/>
              </w:tabs>
              <w:kinsoku/>
              <w:wordWrap/>
              <w:overflowPunct/>
              <w:topLinePunct w:val="0"/>
              <w:autoSpaceDE/>
              <w:autoSpaceDN/>
              <w:bidi w:val="0"/>
              <w:snapToGrid/>
              <w:spacing w:line="460" w:lineRule="exact"/>
              <w:ind w:leftChars="0"/>
              <w:rPr>
                <w:rFonts w:hint="default" w:ascii="宋体" w:hAnsi="宋体" w:eastAsia="宋体" w:cs="宋体"/>
                <w:color w:val="auto"/>
                <w:sz w:val="22"/>
                <w:szCs w:val="22"/>
                <w:highlight w:val="none"/>
                <w:lang w:val="en-US"/>
              </w:rPr>
            </w:pPr>
            <w:r>
              <w:rPr>
                <w:rFonts w:hint="eastAsia" w:ascii="宋体" w:hAnsi="宋体" w:eastAsia="宋体" w:cs="宋体"/>
                <w:color w:val="auto"/>
                <w:sz w:val="22"/>
                <w:szCs w:val="22"/>
                <w:highlight w:val="none"/>
              </w:rPr>
              <w:t>地址：</w:t>
            </w:r>
            <w:r>
              <w:rPr>
                <w:rFonts w:hint="eastAsia" w:ascii="宋体" w:hAnsi="宋体" w:eastAsia="宋体" w:cs="宋体"/>
                <w:color w:val="auto"/>
                <w:sz w:val="22"/>
                <w:szCs w:val="22"/>
                <w:highlight w:val="none"/>
                <w:lang w:eastAsia="zh-CN"/>
              </w:rPr>
              <w:t>温州市六虹桥蛟尾路9号</w:t>
            </w:r>
          </w:p>
          <w:p>
            <w:pPr>
              <w:keepNext w:val="0"/>
              <w:keepLines w:val="0"/>
              <w:pageBreakBefore w:val="0"/>
              <w:widowControl w:val="0"/>
              <w:numPr>
                <w:ilvl w:val="0"/>
                <w:numId w:val="0"/>
              </w:numPr>
              <w:tabs>
                <w:tab w:val="left" w:pos="540"/>
                <w:tab w:val="left" w:pos="992"/>
              </w:tabs>
              <w:kinsoku/>
              <w:wordWrap/>
              <w:overflowPunct/>
              <w:topLinePunct w:val="0"/>
              <w:autoSpaceDE/>
              <w:autoSpaceDN/>
              <w:bidi w:val="0"/>
              <w:snapToGrid/>
              <w:spacing w:line="460" w:lineRule="exact"/>
              <w:ind w:left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邮政编码：</w:t>
            </w:r>
            <w:r>
              <w:rPr>
                <w:rFonts w:hint="eastAsia" w:ascii="宋体" w:hAnsi="宋体" w:eastAsia="宋体" w:cs="宋体"/>
                <w:color w:val="auto"/>
                <w:sz w:val="22"/>
                <w:szCs w:val="22"/>
                <w:highlight w:val="none"/>
                <w:lang w:val="en-US" w:eastAsia="zh-CN"/>
              </w:rPr>
              <w:t>325000</w:t>
            </w:r>
          </w:p>
          <w:p>
            <w:pPr>
              <w:keepNext w:val="0"/>
              <w:keepLines w:val="0"/>
              <w:pageBreakBefore w:val="0"/>
              <w:widowControl w:val="0"/>
              <w:numPr>
                <w:ilvl w:val="0"/>
                <w:numId w:val="0"/>
              </w:numPr>
              <w:tabs>
                <w:tab w:val="left" w:pos="540"/>
                <w:tab w:val="left" w:pos="992"/>
              </w:tabs>
              <w:kinsoku/>
              <w:wordWrap/>
              <w:overflowPunct/>
              <w:topLinePunct w:val="0"/>
              <w:autoSpaceDE/>
              <w:autoSpaceDN/>
              <w:bidi w:val="0"/>
              <w:snapToGrid/>
              <w:spacing w:line="460" w:lineRule="exact"/>
              <w:ind w:left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电话：</w:t>
            </w:r>
          </w:p>
          <w:p>
            <w:pPr>
              <w:keepNext w:val="0"/>
              <w:keepLines w:val="0"/>
              <w:pageBreakBefore w:val="0"/>
              <w:widowControl w:val="0"/>
              <w:numPr>
                <w:ilvl w:val="0"/>
                <w:numId w:val="0"/>
              </w:numPr>
              <w:tabs>
                <w:tab w:val="left" w:pos="540"/>
                <w:tab w:val="left" w:pos="992"/>
              </w:tabs>
              <w:kinsoku/>
              <w:wordWrap/>
              <w:overflowPunct/>
              <w:topLinePunct w:val="0"/>
              <w:autoSpaceDE/>
              <w:autoSpaceDN/>
              <w:bidi w:val="0"/>
              <w:snapToGrid/>
              <w:spacing w:line="460" w:lineRule="exact"/>
              <w:ind w:left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传真：</w:t>
            </w:r>
          </w:p>
          <w:p>
            <w:pPr>
              <w:keepNext w:val="0"/>
              <w:keepLines w:val="0"/>
              <w:pageBreakBefore w:val="0"/>
              <w:widowControl w:val="0"/>
              <w:numPr>
                <w:ilvl w:val="0"/>
                <w:numId w:val="0"/>
              </w:numPr>
              <w:tabs>
                <w:tab w:val="left" w:pos="540"/>
                <w:tab w:val="left" w:pos="992"/>
              </w:tabs>
              <w:kinsoku/>
              <w:wordWrap/>
              <w:overflowPunct/>
              <w:topLinePunct w:val="0"/>
              <w:autoSpaceDE/>
              <w:autoSpaceDN/>
              <w:bidi w:val="0"/>
              <w:snapToGrid/>
              <w:spacing w:line="460" w:lineRule="exact"/>
              <w:ind w:left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开户银行：</w:t>
            </w:r>
          </w:p>
          <w:p>
            <w:pPr>
              <w:keepNext w:val="0"/>
              <w:keepLines w:val="0"/>
              <w:pageBreakBefore w:val="0"/>
              <w:widowControl w:val="0"/>
              <w:numPr>
                <w:ilvl w:val="0"/>
                <w:numId w:val="0"/>
              </w:numPr>
              <w:tabs>
                <w:tab w:val="left" w:pos="540"/>
                <w:tab w:val="left" w:pos="992"/>
              </w:tabs>
              <w:kinsoku/>
              <w:wordWrap/>
              <w:overflowPunct/>
              <w:topLinePunct w:val="0"/>
              <w:autoSpaceDE/>
              <w:autoSpaceDN/>
              <w:bidi w:val="0"/>
              <w:snapToGrid/>
              <w:spacing w:line="460" w:lineRule="exact"/>
              <w:ind w:leftChars="0"/>
              <w:rPr>
                <w:rFonts w:ascii="宋体" w:hAnsi="宋体" w:cs="Times New Roman"/>
                <w:color w:val="auto"/>
                <w:sz w:val="22"/>
                <w:szCs w:val="22"/>
                <w:highlight w:val="none"/>
              </w:rPr>
            </w:pPr>
            <w:r>
              <w:rPr>
                <w:rFonts w:hint="eastAsia" w:ascii="宋体" w:hAnsi="宋体" w:eastAsia="宋体" w:cs="宋体"/>
                <w:color w:val="auto"/>
                <w:sz w:val="22"/>
                <w:szCs w:val="22"/>
                <w:highlight w:val="none"/>
              </w:rPr>
              <w:t>帐号：</w:t>
            </w:r>
          </w:p>
        </w:tc>
        <w:tc>
          <w:tcPr>
            <w:tcW w:w="4830" w:type="dxa"/>
            <w:noWrap w:val="0"/>
            <w:vAlign w:val="top"/>
          </w:tcPr>
          <w:p>
            <w:pPr>
              <w:keepNext w:val="0"/>
              <w:keepLines w:val="0"/>
              <w:pageBreakBefore w:val="0"/>
              <w:widowControl w:val="0"/>
              <w:numPr>
                <w:ilvl w:val="0"/>
                <w:numId w:val="0"/>
              </w:numPr>
              <w:tabs>
                <w:tab w:val="left" w:pos="540"/>
                <w:tab w:val="left" w:pos="992"/>
              </w:tabs>
              <w:kinsoku/>
              <w:wordWrap/>
              <w:overflowPunct/>
              <w:topLinePunct w:val="0"/>
              <w:autoSpaceDE/>
              <w:autoSpaceDN/>
              <w:bidi w:val="0"/>
              <w:snapToGrid/>
              <w:spacing w:line="460" w:lineRule="exact"/>
              <w:ind w:leftChars="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乙方：（印章）</w:t>
            </w:r>
          </w:p>
          <w:p>
            <w:pPr>
              <w:keepNext w:val="0"/>
              <w:keepLines w:val="0"/>
              <w:pageBreakBefore w:val="0"/>
              <w:widowControl w:val="0"/>
              <w:numPr>
                <w:ilvl w:val="0"/>
                <w:numId w:val="0"/>
              </w:numPr>
              <w:tabs>
                <w:tab w:val="left" w:pos="540"/>
                <w:tab w:val="left" w:pos="992"/>
              </w:tabs>
              <w:kinsoku/>
              <w:wordWrap/>
              <w:overflowPunct/>
              <w:topLinePunct w:val="0"/>
              <w:autoSpaceDE/>
              <w:autoSpaceDN/>
              <w:bidi w:val="0"/>
              <w:snapToGrid/>
              <w:spacing w:line="460" w:lineRule="exact"/>
              <w:ind w:left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全权代表:（签字）</w:t>
            </w:r>
          </w:p>
          <w:p>
            <w:pPr>
              <w:keepNext w:val="0"/>
              <w:keepLines w:val="0"/>
              <w:pageBreakBefore w:val="0"/>
              <w:widowControl w:val="0"/>
              <w:numPr>
                <w:ilvl w:val="0"/>
                <w:numId w:val="0"/>
              </w:numPr>
              <w:tabs>
                <w:tab w:val="left" w:pos="540"/>
                <w:tab w:val="left" w:pos="992"/>
              </w:tabs>
              <w:kinsoku/>
              <w:wordWrap/>
              <w:overflowPunct/>
              <w:topLinePunct w:val="0"/>
              <w:autoSpaceDE/>
              <w:autoSpaceDN/>
              <w:bidi w:val="0"/>
              <w:snapToGrid/>
              <w:spacing w:line="460" w:lineRule="exact"/>
              <w:ind w:left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地址：</w:t>
            </w:r>
          </w:p>
          <w:p>
            <w:pPr>
              <w:keepNext w:val="0"/>
              <w:keepLines w:val="0"/>
              <w:pageBreakBefore w:val="0"/>
              <w:widowControl w:val="0"/>
              <w:numPr>
                <w:ilvl w:val="0"/>
                <w:numId w:val="0"/>
              </w:numPr>
              <w:tabs>
                <w:tab w:val="left" w:pos="540"/>
                <w:tab w:val="left" w:pos="992"/>
              </w:tabs>
              <w:kinsoku/>
              <w:wordWrap/>
              <w:overflowPunct/>
              <w:topLinePunct w:val="0"/>
              <w:autoSpaceDE/>
              <w:autoSpaceDN/>
              <w:bidi w:val="0"/>
              <w:snapToGrid/>
              <w:spacing w:line="460" w:lineRule="exact"/>
              <w:ind w:left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邮政编码：</w:t>
            </w:r>
          </w:p>
          <w:p>
            <w:pPr>
              <w:keepNext w:val="0"/>
              <w:keepLines w:val="0"/>
              <w:pageBreakBefore w:val="0"/>
              <w:widowControl w:val="0"/>
              <w:numPr>
                <w:ilvl w:val="0"/>
                <w:numId w:val="0"/>
              </w:numPr>
              <w:tabs>
                <w:tab w:val="left" w:pos="540"/>
                <w:tab w:val="left" w:pos="992"/>
              </w:tabs>
              <w:kinsoku/>
              <w:wordWrap/>
              <w:overflowPunct/>
              <w:topLinePunct w:val="0"/>
              <w:autoSpaceDE/>
              <w:autoSpaceDN/>
              <w:bidi w:val="0"/>
              <w:snapToGrid/>
              <w:spacing w:line="460" w:lineRule="exact"/>
              <w:ind w:left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电话：</w:t>
            </w:r>
          </w:p>
          <w:p>
            <w:pPr>
              <w:keepNext w:val="0"/>
              <w:keepLines w:val="0"/>
              <w:pageBreakBefore w:val="0"/>
              <w:widowControl w:val="0"/>
              <w:numPr>
                <w:ilvl w:val="0"/>
                <w:numId w:val="0"/>
              </w:numPr>
              <w:tabs>
                <w:tab w:val="left" w:pos="540"/>
                <w:tab w:val="left" w:pos="992"/>
              </w:tabs>
              <w:kinsoku/>
              <w:wordWrap/>
              <w:overflowPunct/>
              <w:topLinePunct w:val="0"/>
              <w:autoSpaceDE/>
              <w:autoSpaceDN/>
              <w:bidi w:val="0"/>
              <w:snapToGrid/>
              <w:spacing w:line="460" w:lineRule="exact"/>
              <w:ind w:left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传真：</w:t>
            </w:r>
          </w:p>
          <w:p>
            <w:pPr>
              <w:keepNext w:val="0"/>
              <w:keepLines w:val="0"/>
              <w:pageBreakBefore w:val="0"/>
              <w:widowControl w:val="0"/>
              <w:numPr>
                <w:ilvl w:val="0"/>
                <w:numId w:val="0"/>
              </w:numPr>
              <w:tabs>
                <w:tab w:val="left" w:pos="540"/>
                <w:tab w:val="left" w:pos="992"/>
              </w:tabs>
              <w:kinsoku/>
              <w:wordWrap/>
              <w:overflowPunct/>
              <w:topLinePunct w:val="0"/>
              <w:autoSpaceDE/>
              <w:autoSpaceDN/>
              <w:bidi w:val="0"/>
              <w:snapToGrid/>
              <w:spacing w:line="460" w:lineRule="exact"/>
              <w:ind w:left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开户银行：</w:t>
            </w:r>
          </w:p>
          <w:p>
            <w:pPr>
              <w:keepNext w:val="0"/>
              <w:keepLines w:val="0"/>
              <w:pageBreakBefore w:val="0"/>
              <w:widowControl w:val="0"/>
              <w:numPr>
                <w:ilvl w:val="0"/>
                <w:numId w:val="0"/>
              </w:numPr>
              <w:tabs>
                <w:tab w:val="left" w:pos="540"/>
                <w:tab w:val="left" w:pos="992"/>
              </w:tabs>
              <w:kinsoku/>
              <w:wordWrap/>
              <w:overflowPunct/>
              <w:topLinePunct w:val="0"/>
              <w:autoSpaceDE/>
              <w:autoSpaceDN/>
              <w:bidi w:val="0"/>
              <w:snapToGrid/>
              <w:spacing w:line="460" w:lineRule="exact"/>
              <w:ind w:leftChars="0"/>
              <w:rPr>
                <w:rFonts w:ascii="宋体" w:hAnsi="宋体" w:cs="Times New Roman"/>
                <w:color w:val="auto"/>
                <w:sz w:val="22"/>
                <w:szCs w:val="22"/>
                <w:highlight w:val="none"/>
              </w:rPr>
            </w:pPr>
            <w:r>
              <w:rPr>
                <w:rFonts w:hint="eastAsia" w:ascii="宋体" w:hAnsi="宋体" w:eastAsia="宋体" w:cs="宋体"/>
                <w:color w:val="auto"/>
                <w:sz w:val="22"/>
                <w:szCs w:val="22"/>
                <w:highlight w:val="none"/>
              </w:rPr>
              <w:t>帐号：</w:t>
            </w:r>
          </w:p>
        </w:tc>
      </w:tr>
    </w:tbl>
    <w:p>
      <w:pPr>
        <w:spacing w:line="360" w:lineRule="auto"/>
        <w:rPr>
          <w:rFonts w:hint="eastAsia" w:ascii="宋体" w:hAnsi="宋体" w:eastAsia="宋体" w:cs="宋体"/>
          <w:b/>
          <w:color w:val="auto"/>
          <w:sz w:val="30"/>
          <w:highlight w:val="none"/>
        </w:rPr>
      </w:pPr>
      <w:r>
        <w:rPr>
          <w:rFonts w:hint="eastAsia" w:ascii="宋体" w:hAnsi="宋体" w:eastAsia="宋体" w:cs="宋体"/>
          <w:b/>
          <w:color w:val="auto"/>
          <w:sz w:val="30"/>
          <w:highlight w:val="none"/>
        </w:rPr>
        <w:br w:type="page"/>
      </w:r>
    </w:p>
    <w:p>
      <w:pPr>
        <w:pStyle w:val="4"/>
        <w:bidi w:val="0"/>
        <w:rPr>
          <w:rFonts w:hint="eastAsia" w:ascii="宋体" w:hAnsi="宋体" w:eastAsia="宋体" w:cs="宋体"/>
          <w:color w:val="auto"/>
          <w:highlight w:val="none"/>
        </w:rPr>
      </w:pPr>
      <w:bookmarkStart w:id="26" w:name="_Toc19081"/>
      <w:bookmarkStart w:id="27" w:name="_Toc18439"/>
      <w:r>
        <w:rPr>
          <w:rFonts w:hint="eastAsia" w:ascii="宋体" w:hAnsi="宋体" w:eastAsia="宋体" w:cs="宋体"/>
          <w:color w:val="auto"/>
          <w:highlight w:val="none"/>
        </w:rPr>
        <w:t>第三部分    附件</w:t>
      </w:r>
      <w:bookmarkEnd w:id="26"/>
      <w:bookmarkEnd w:id="27"/>
    </w:p>
    <w:p>
      <w:pPr>
        <w:pStyle w:val="24"/>
        <w:spacing w:line="460" w:lineRule="exact"/>
        <w:ind w:left="433" w:hanging="433" w:hangingChars="196"/>
        <w:outlineLvl w:val="1"/>
        <w:rPr>
          <w:rFonts w:hint="eastAsia" w:ascii="宋体" w:hAnsi="宋体" w:eastAsia="宋体" w:cs="宋体"/>
          <w:b/>
          <w:color w:val="auto"/>
          <w:sz w:val="22"/>
          <w:highlight w:val="none"/>
        </w:rPr>
      </w:pPr>
      <w:bookmarkStart w:id="28" w:name="_Toc7056"/>
      <w:bookmarkStart w:id="29" w:name="_Toc6368"/>
      <w:r>
        <w:rPr>
          <w:rFonts w:hint="eastAsia" w:ascii="宋体" w:hAnsi="宋体" w:eastAsia="宋体" w:cs="宋体"/>
          <w:b/>
          <w:color w:val="auto"/>
          <w:sz w:val="22"/>
          <w:highlight w:val="none"/>
        </w:rPr>
        <w:t>附件一</w:t>
      </w:r>
      <w:bookmarkEnd w:id="28"/>
      <w:bookmarkEnd w:id="29"/>
    </w:p>
    <w:p>
      <w:pPr>
        <w:spacing w:line="400" w:lineRule="exact"/>
        <w:jc w:val="center"/>
        <w:outlineLvl w:val="2"/>
        <w:rPr>
          <w:rFonts w:hint="eastAsia" w:ascii="宋体" w:hAnsi="宋体" w:eastAsia="宋体" w:cs="宋体"/>
          <w:b/>
          <w:bCs/>
          <w:color w:val="auto"/>
          <w:sz w:val="28"/>
          <w:szCs w:val="28"/>
          <w:highlight w:val="none"/>
        </w:rPr>
      </w:pPr>
      <w:bookmarkStart w:id="30" w:name="_Toc5430"/>
      <w:bookmarkStart w:id="31" w:name="_Toc13365"/>
      <w:r>
        <w:rPr>
          <w:rFonts w:hint="eastAsia" w:ascii="宋体" w:hAnsi="宋体" w:eastAsia="宋体" w:cs="宋体"/>
          <w:b/>
          <w:bCs/>
          <w:color w:val="auto"/>
          <w:sz w:val="28"/>
          <w:szCs w:val="28"/>
          <w:highlight w:val="none"/>
        </w:rPr>
        <w:t>报价文件</w:t>
      </w:r>
      <w:bookmarkEnd w:id="30"/>
      <w:bookmarkEnd w:id="31"/>
    </w:p>
    <w:p>
      <w:pPr>
        <w:spacing w:line="400" w:lineRule="exact"/>
        <w:jc w:val="center"/>
        <w:outlineLvl w:val="3"/>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rPr>
        <w:t>1、</w:t>
      </w:r>
      <w:r>
        <w:rPr>
          <w:rFonts w:hint="eastAsia" w:ascii="宋体" w:hAnsi="宋体" w:eastAsia="宋体" w:cs="宋体"/>
          <w:b/>
          <w:color w:val="auto"/>
          <w:sz w:val="22"/>
          <w:szCs w:val="22"/>
          <w:highlight w:val="none"/>
          <w:lang w:val="zh-CN"/>
        </w:rPr>
        <w:t>投标函</w:t>
      </w:r>
    </w:p>
    <w:p>
      <w:pPr>
        <w:spacing w:line="460" w:lineRule="exac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致：</w:t>
      </w:r>
      <w:r>
        <w:rPr>
          <w:rFonts w:hint="eastAsia" w:ascii="宋体" w:hAnsi="宋体" w:cs="宋体"/>
          <w:color w:val="auto"/>
          <w:sz w:val="22"/>
          <w:szCs w:val="22"/>
          <w:highlight w:val="none"/>
          <w:lang w:eastAsia="zh-CN"/>
        </w:rPr>
        <w:t>温州市中医院</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根据贵方为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项目（招标编号：</w:t>
      </w:r>
      <w:r>
        <w:rPr>
          <w:rFonts w:hint="eastAsia" w:ascii="宋体" w:hAnsi="宋体" w:eastAsia="宋体" w:cs="宋体"/>
          <w:b/>
          <w:color w:val="auto"/>
          <w:sz w:val="22"/>
          <w:szCs w:val="22"/>
          <w:highlight w:val="none"/>
          <w:u w:val="single"/>
        </w:rPr>
        <w:t xml:space="preserve">        </w:t>
      </w:r>
      <w:r>
        <w:rPr>
          <w:rFonts w:hint="eastAsia" w:ascii="宋体" w:hAnsi="宋体" w:eastAsia="宋体" w:cs="宋体"/>
          <w:b/>
          <w:color w:val="auto"/>
          <w:sz w:val="22"/>
          <w:szCs w:val="22"/>
          <w:highlight w:val="none"/>
        </w:rPr>
        <w:t xml:space="preserve"> </w:t>
      </w:r>
      <w:r>
        <w:rPr>
          <w:rFonts w:hint="eastAsia" w:ascii="宋体" w:hAnsi="宋体" w:eastAsia="宋体" w:cs="宋体"/>
          <w:color w:val="auto"/>
          <w:sz w:val="22"/>
          <w:szCs w:val="22"/>
          <w:highlight w:val="none"/>
        </w:rPr>
        <w:t>）的投标邀请，我方</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（投标人名称）作为投标人正式授权</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（授权代表全名，职务）代表我方处理有关本投标的一切事宜。为此：</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1、我方同意在投标人</w:t>
      </w:r>
      <w:r>
        <w:rPr>
          <w:rFonts w:hint="eastAsia" w:ascii="宋体" w:hAnsi="宋体" w:eastAsia="宋体" w:cs="宋体"/>
          <w:color w:val="auto"/>
          <w:kern w:val="44"/>
          <w:sz w:val="22"/>
          <w:szCs w:val="22"/>
          <w:highlight w:val="none"/>
        </w:rPr>
        <w:t>编制和提交投标文件须知</w:t>
      </w:r>
      <w:r>
        <w:rPr>
          <w:rFonts w:hint="eastAsia" w:ascii="宋体" w:hAnsi="宋体" w:eastAsia="宋体" w:cs="宋体"/>
          <w:color w:val="auto"/>
          <w:sz w:val="22"/>
          <w:szCs w:val="22"/>
          <w:highlight w:val="none"/>
        </w:rPr>
        <w:t>规定的开标日期起遵守本投标书中的承诺且在投标有效期满之前均具有约束力。</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2、我方承诺已经具备《中华人民共和国政府采购法》中规定的参加政府采购活动的供应商应当具备的条件：</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(1)具有独立承担民事责任的能力；</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(2)遵守国家法律、行政法规，具有良好的信誉和商业道德；</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(3)具有履行合同的能力和良好的履行合同记录；</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(4)良好的资金、财务状况；</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(5)提供的产品和服务符合中国政府规定的相应标准和环保标准；</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(6)没有违反政府采购法规、政策的记录；</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(7)没有发生重大经济纠纷和走私犯罪记录。</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3、提供</w:t>
      </w:r>
      <w:r>
        <w:rPr>
          <w:rFonts w:hint="eastAsia" w:ascii="宋体" w:hAnsi="宋体" w:eastAsia="宋体" w:cs="宋体"/>
          <w:color w:val="auto"/>
          <w:kern w:val="44"/>
          <w:sz w:val="22"/>
          <w:szCs w:val="22"/>
          <w:highlight w:val="none"/>
        </w:rPr>
        <w:t>编制和提交投标文件须知</w:t>
      </w:r>
      <w:r>
        <w:rPr>
          <w:rFonts w:hint="eastAsia" w:ascii="宋体" w:hAnsi="宋体" w:eastAsia="宋体" w:cs="宋体"/>
          <w:color w:val="auto"/>
          <w:sz w:val="22"/>
          <w:szCs w:val="22"/>
          <w:highlight w:val="none"/>
        </w:rPr>
        <w:t>规定的全部投标文件，包括资格文件、报价文件、商务技术文件。具体内容为：</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(1)资格文件</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(2)报价文件；</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zh-CN"/>
        </w:rPr>
        <w:t>商务</w:t>
      </w:r>
      <w:r>
        <w:rPr>
          <w:rFonts w:hint="eastAsia" w:ascii="宋体" w:hAnsi="宋体" w:eastAsia="宋体" w:cs="宋体"/>
          <w:color w:val="auto"/>
          <w:kern w:val="0"/>
          <w:sz w:val="22"/>
          <w:szCs w:val="22"/>
          <w:highlight w:val="none"/>
          <w:lang w:val="zh-CN"/>
        </w:rPr>
        <w:t>技术文件</w:t>
      </w:r>
      <w:r>
        <w:rPr>
          <w:rFonts w:hint="eastAsia" w:ascii="宋体" w:hAnsi="宋体" w:eastAsia="宋体" w:cs="宋体"/>
          <w:color w:val="auto"/>
          <w:sz w:val="22"/>
          <w:szCs w:val="22"/>
          <w:highlight w:val="none"/>
        </w:rPr>
        <w:t>；</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r>
        <w:rPr>
          <w:rFonts w:hint="eastAsia" w:ascii="宋体" w:hAnsi="宋体" w:eastAsia="宋体" w:cs="宋体"/>
          <w:color w:val="auto"/>
          <w:kern w:val="44"/>
          <w:sz w:val="22"/>
          <w:szCs w:val="22"/>
          <w:highlight w:val="none"/>
        </w:rPr>
        <w:t>编制和提交投标文件须知</w:t>
      </w:r>
      <w:r>
        <w:rPr>
          <w:rFonts w:hint="eastAsia" w:ascii="宋体" w:hAnsi="宋体" w:eastAsia="宋体" w:cs="宋体"/>
          <w:color w:val="auto"/>
          <w:sz w:val="22"/>
          <w:szCs w:val="22"/>
          <w:highlight w:val="none"/>
        </w:rPr>
        <w:t>要求投标人提交的全部文件；</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(5)按招标文件要求提供和交付的货物和服务的投标报价详见开标一览表；</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(6)保证忠实地执行双方所签订的合同，并承担合同规定的责任和义务；</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(7)保证遵守招标文件中的其他有关规定。</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4、投标有效期内不撤销投标文件，如中标，有效期将延至合同终止日为止。</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5、我方完全理解贵方不一定要接受最低价的投标。</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7、如中标，按招标文件规定的招标代理服务费标准，在领取中标通知书时向招标代理机构支付招标代理服务费。</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(1)提供虚假材料谋取中标、成交的；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(2)采取不正当手段诋毁、排挤其他供应商的；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(3)与招标人、其它供应商或者招标代理机构恶意串通的；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(4)向招标人、招标代理机构行贿或者提供其他不正当利益的；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(5)在招标采购过程中与招标人进行协商谈判的；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(6)拒绝有关部门监督检查或提供虚假情况的。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供应商有前款第(1)至(5)项情形之一的，中标、成交无效。</w:t>
      </w:r>
    </w:p>
    <w:p>
      <w:pPr>
        <w:shd w:val="clear" w:color="auto" w:fill="FFFFFF"/>
        <w:snapToGrid w:val="0"/>
        <w:spacing w:line="360" w:lineRule="auto"/>
        <w:rPr>
          <w:rFonts w:hint="eastAsia" w:ascii="宋体" w:hAnsi="宋体" w:eastAsia="宋体" w:cs="宋体"/>
          <w:color w:val="auto"/>
          <w:kern w:val="0"/>
          <w:sz w:val="22"/>
          <w:szCs w:val="22"/>
          <w:highlight w:val="none"/>
          <w:lang w:val="zh-CN"/>
        </w:rPr>
      </w:pP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法定（授权）代表人（签字）：</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rPr>
        <w:tab/>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u w:val="single"/>
          <w:lang w:val="zh-CN"/>
        </w:rPr>
      </w:pPr>
      <w:r>
        <w:rPr>
          <w:rFonts w:hint="eastAsia" w:ascii="宋体" w:hAnsi="宋体" w:eastAsia="宋体" w:cs="宋体"/>
          <w:color w:val="auto"/>
          <w:kern w:val="0"/>
          <w:sz w:val="22"/>
          <w:szCs w:val="22"/>
          <w:highlight w:val="none"/>
          <w:lang w:val="zh-CN"/>
        </w:rPr>
        <w:t>投标人盖 章：</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rPr>
        <w:tab/>
      </w:r>
      <w:r>
        <w:rPr>
          <w:rFonts w:hint="eastAsia" w:ascii="宋体" w:hAnsi="宋体" w:eastAsia="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 xml:space="preserve">联系电话： </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lang w:val="zh-CN"/>
        </w:rPr>
        <w:t xml:space="preserve">传真：  </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lang w:val="zh-CN"/>
        </w:rPr>
        <w:t xml:space="preserve">电子邮件：  </w:t>
      </w:r>
      <w:r>
        <w:rPr>
          <w:rFonts w:hint="eastAsia" w:ascii="宋体" w:hAnsi="宋体" w:eastAsia="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联系地址：</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rPr>
        <w:tab/>
      </w:r>
      <w:r>
        <w:rPr>
          <w:rFonts w:hint="eastAsia" w:ascii="宋体" w:hAnsi="宋体" w:eastAsia="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邮政编码：</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lang w:val="zh-CN"/>
        </w:rPr>
        <w:t>传真号码：</w:t>
      </w:r>
      <w:r>
        <w:rPr>
          <w:rFonts w:hint="eastAsia" w:ascii="宋体" w:hAnsi="宋体" w:eastAsia="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u w:val="single"/>
        </w:rPr>
      </w:pPr>
      <w:r>
        <w:rPr>
          <w:rFonts w:hint="eastAsia" w:ascii="宋体" w:hAnsi="宋体" w:eastAsia="宋体" w:cs="宋体"/>
          <w:color w:val="auto"/>
          <w:kern w:val="0"/>
          <w:sz w:val="22"/>
          <w:szCs w:val="22"/>
          <w:highlight w:val="none"/>
          <w:lang w:val="zh-CN"/>
        </w:rPr>
        <w:t>日</w:t>
      </w:r>
      <w:r>
        <w:rPr>
          <w:rFonts w:hint="eastAsia" w:ascii="宋体" w:hAnsi="宋体" w:eastAsia="宋体" w:cs="宋体"/>
          <w:color w:val="auto"/>
          <w:kern w:val="0"/>
          <w:sz w:val="22"/>
          <w:szCs w:val="22"/>
          <w:highlight w:val="none"/>
        </w:rPr>
        <w:t xml:space="preserve">    </w:t>
      </w:r>
      <w:r>
        <w:rPr>
          <w:rFonts w:hint="eastAsia" w:ascii="宋体" w:hAnsi="宋体" w:eastAsia="宋体" w:cs="宋体"/>
          <w:color w:val="auto"/>
          <w:kern w:val="0"/>
          <w:sz w:val="22"/>
          <w:szCs w:val="22"/>
          <w:highlight w:val="none"/>
          <w:lang w:val="zh-CN"/>
        </w:rPr>
        <w:t>期</w:t>
      </w:r>
      <w:r>
        <w:rPr>
          <w:rFonts w:hint="eastAsia" w:ascii="宋体" w:hAnsi="宋体" w:eastAsia="宋体" w:cs="宋体"/>
          <w:color w:val="auto"/>
          <w:kern w:val="0"/>
          <w:sz w:val="22"/>
          <w:szCs w:val="22"/>
          <w:highlight w:val="none"/>
        </w:rPr>
        <w:t xml:space="preserve">： </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lang w:val="zh-CN"/>
        </w:rPr>
        <w:t>年</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u w:val="single"/>
        </w:rPr>
        <w:tab/>
      </w:r>
      <w:r>
        <w:rPr>
          <w:rFonts w:hint="eastAsia" w:ascii="宋体" w:hAnsi="宋体" w:eastAsia="宋体" w:cs="宋体"/>
          <w:color w:val="auto"/>
          <w:kern w:val="0"/>
          <w:sz w:val="22"/>
          <w:szCs w:val="22"/>
          <w:highlight w:val="none"/>
          <w:lang w:val="zh-CN"/>
        </w:rPr>
        <w:t>月</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lang w:val="zh-CN"/>
        </w:rPr>
        <w:t>日</w:t>
      </w:r>
    </w:p>
    <w:p>
      <w:pPr>
        <w:spacing w:line="44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val="zh-CN"/>
        </w:rPr>
        <w:t>注：未按照本投标响应函要求填报的将被视为非实质性响应，从而可能导致该投标文件被拒绝。</w:t>
      </w:r>
    </w:p>
    <w:p>
      <w:pPr>
        <w:pStyle w:val="24"/>
        <w:ind w:left="442" w:hanging="442"/>
        <w:rPr>
          <w:rFonts w:hint="eastAsia" w:ascii="宋体" w:hAnsi="宋体" w:eastAsia="宋体" w:cs="宋体"/>
          <w:b/>
          <w:bCs/>
          <w:color w:val="auto"/>
          <w:sz w:val="22"/>
          <w:szCs w:val="22"/>
          <w:highlight w:val="none"/>
        </w:rPr>
      </w:pPr>
    </w:p>
    <w:p>
      <w:pPr>
        <w:pStyle w:val="24"/>
        <w:ind w:left="442" w:hanging="442"/>
        <w:rPr>
          <w:rFonts w:hint="eastAsia" w:ascii="宋体" w:hAnsi="宋体" w:eastAsia="宋体" w:cs="宋体"/>
          <w:b/>
          <w:bCs/>
          <w:color w:val="auto"/>
          <w:sz w:val="22"/>
          <w:szCs w:val="22"/>
          <w:highlight w:val="none"/>
        </w:rPr>
      </w:pPr>
    </w:p>
    <w:p>
      <w:pPr>
        <w:pStyle w:val="24"/>
        <w:ind w:left="442" w:hanging="442"/>
        <w:rPr>
          <w:rFonts w:hint="eastAsia" w:ascii="宋体" w:hAnsi="宋体" w:eastAsia="宋体" w:cs="宋体"/>
          <w:b/>
          <w:bCs/>
          <w:color w:val="auto"/>
          <w:sz w:val="22"/>
          <w:szCs w:val="22"/>
          <w:highlight w:val="none"/>
        </w:rPr>
      </w:pPr>
    </w:p>
    <w:p>
      <w:pPr>
        <w:pStyle w:val="24"/>
        <w:ind w:left="442" w:hanging="442"/>
        <w:rPr>
          <w:rFonts w:hint="eastAsia" w:ascii="宋体" w:hAnsi="宋体" w:eastAsia="宋体" w:cs="宋体"/>
          <w:b/>
          <w:bCs/>
          <w:color w:val="auto"/>
          <w:sz w:val="22"/>
          <w:szCs w:val="22"/>
          <w:highlight w:val="none"/>
        </w:rPr>
      </w:pPr>
    </w:p>
    <w:p>
      <w:pPr>
        <w:pStyle w:val="24"/>
        <w:ind w:left="442" w:hanging="442"/>
        <w:rPr>
          <w:rFonts w:hint="eastAsia" w:ascii="宋体" w:hAnsi="宋体" w:eastAsia="宋体" w:cs="宋体"/>
          <w:b/>
          <w:bCs/>
          <w:color w:val="auto"/>
          <w:sz w:val="22"/>
          <w:szCs w:val="22"/>
          <w:highlight w:val="none"/>
        </w:rPr>
      </w:pPr>
    </w:p>
    <w:p>
      <w:pPr>
        <w:pStyle w:val="24"/>
        <w:ind w:left="442" w:hanging="442"/>
        <w:rPr>
          <w:rFonts w:hint="eastAsia" w:ascii="宋体" w:hAnsi="宋体" w:eastAsia="宋体" w:cs="宋体"/>
          <w:b/>
          <w:bCs/>
          <w:color w:val="auto"/>
          <w:sz w:val="22"/>
          <w:szCs w:val="22"/>
          <w:highlight w:val="none"/>
        </w:rPr>
      </w:pPr>
    </w:p>
    <w:p>
      <w:pPr>
        <w:pStyle w:val="24"/>
        <w:ind w:left="442" w:hanging="442"/>
        <w:rPr>
          <w:rFonts w:hint="eastAsia" w:ascii="宋体" w:hAnsi="宋体" w:eastAsia="宋体" w:cs="宋体"/>
          <w:b/>
          <w:bCs/>
          <w:color w:val="auto"/>
          <w:sz w:val="22"/>
          <w:szCs w:val="22"/>
          <w:highlight w:val="none"/>
        </w:rPr>
      </w:pPr>
    </w:p>
    <w:p>
      <w:pPr>
        <w:pStyle w:val="24"/>
        <w:ind w:left="442" w:hanging="442"/>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  </w:t>
      </w:r>
    </w:p>
    <w:p>
      <w:pPr>
        <w:pStyle w:val="24"/>
        <w:ind w:left="0" w:firstLine="0" w:firstLineChars="0"/>
        <w:rPr>
          <w:rFonts w:hint="eastAsia" w:ascii="宋体" w:hAnsi="宋体" w:eastAsia="宋体" w:cs="宋体"/>
          <w:b/>
          <w:bCs/>
          <w:color w:val="auto"/>
          <w:sz w:val="22"/>
          <w:szCs w:val="22"/>
          <w:highlight w:val="none"/>
        </w:rPr>
      </w:pPr>
    </w:p>
    <w:p>
      <w:pPr>
        <w:pStyle w:val="24"/>
        <w:ind w:left="0" w:firstLine="0" w:firstLineChars="0"/>
        <w:rPr>
          <w:rFonts w:hint="eastAsia" w:ascii="宋体" w:hAnsi="宋体" w:eastAsia="宋体" w:cs="宋体"/>
          <w:b/>
          <w:bCs/>
          <w:color w:val="auto"/>
          <w:sz w:val="22"/>
          <w:szCs w:val="22"/>
          <w:highlight w:val="none"/>
        </w:rPr>
      </w:pPr>
    </w:p>
    <w:p>
      <w:pPr>
        <w:spacing w:line="400" w:lineRule="exact"/>
        <w:jc w:val="center"/>
        <w:outlineLvl w:val="3"/>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rPr>
        <w:t>2、</w:t>
      </w:r>
      <w:r>
        <w:rPr>
          <w:rFonts w:hint="eastAsia" w:ascii="宋体" w:hAnsi="宋体" w:eastAsia="宋体" w:cs="宋体"/>
          <w:b/>
          <w:color w:val="auto"/>
          <w:sz w:val="22"/>
          <w:szCs w:val="22"/>
          <w:highlight w:val="none"/>
          <w:lang w:val="zh-CN"/>
        </w:rPr>
        <w:t>投标报价一览表</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WZLCZB（W）-2023-01002</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sz w:val="22"/>
          <w:szCs w:val="22"/>
          <w:highlight w:val="none"/>
        </w:rPr>
      </w:pPr>
      <w:r>
        <w:rPr>
          <w:rFonts w:hint="eastAsia" w:ascii="宋体" w:hAnsi="宋体" w:eastAsia="宋体" w:cs="宋体"/>
          <w:b w:val="0"/>
          <w:bCs w:val="0"/>
          <w:color w:val="auto"/>
          <w:sz w:val="22"/>
          <w:szCs w:val="22"/>
          <w:highlight w:val="none"/>
        </w:rPr>
        <w:t>项目名称：</w:t>
      </w:r>
      <w:r>
        <w:rPr>
          <w:rFonts w:hint="eastAsia"/>
          <w:color w:val="auto"/>
          <w:sz w:val="22"/>
          <w:szCs w:val="22"/>
          <w:highlight w:val="none"/>
          <w:u w:val="none"/>
          <w:lang w:eastAsia="zh-CN"/>
        </w:rPr>
        <w:t>污水处理消毒粉采购</w:t>
      </w:r>
    </w:p>
    <w:tbl>
      <w:tblPr>
        <w:tblStyle w:val="53"/>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2304"/>
        <w:gridCol w:w="5071"/>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0" w:type="dxa"/>
            <w:vAlign w:val="center"/>
          </w:tcPr>
          <w:p>
            <w:pPr>
              <w:spacing w:line="38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序号</w:t>
            </w:r>
          </w:p>
        </w:tc>
        <w:tc>
          <w:tcPr>
            <w:tcW w:w="2304" w:type="dxa"/>
            <w:vAlign w:val="center"/>
          </w:tcPr>
          <w:p>
            <w:pPr>
              <w:spacing w:line="380" w:lineRule="exact"/>
              <w:jc w:val="center"/>
              <w:rPr>
                <w:rFonts w:hint="eastAsia" w:ascii="宋体" w:hAnsi="宋体" w:eastAsia="宋体" w:cs="宋体"/>
                <w:color w:val="auto"/>
                <w:sz w:val="22"/>
                <w:highlight w:val="none"/>
              </w:rPr>
            </w:pPr>
            <w:r>
              <w:rPr>
                <w:rFonts w:hint="eastAsia" w:ascii="宋体" w:hAnsi="宋体" w:eastAsia="宋体" w:cs="宋体"/>
                <w:bCs/>
                <w:color w:val="auto"/>
                <w:sz w:val="22"/>
                <w:szCs w:val="22"/>
                <w:highlight w:val="none"/>
              </w:rPr>
              <w:t>项目名称</w:t>
            </w:r>
          </w:p>
        </w:tc>
        <w:tc>
          <w:tcPr>
            <w:tcW w:w="5071" w:type="dxa"/>
            <w:vAlign w:val="center"/>
          </w:tcPr>
          <w:p>
            <w:pPr>
              <w:spacing w:line="38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报价（人民币）</w:t>
            </w:r>
          </w:p>
        </w:tc>
        <w:tc>
          <w:tcPr>
            <w:tcW w:w="1210" w:type="dxa"/>
            <w:vAlign w:val="center"/>
          </w:tcPr>
          <w:p>
            <w:pPr>
              <w:spacing w:line="38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010" w:type="dxa"/>
            <w:vMerge w:val="restart"/>
            <w:vAlign w:val="center"/>
          </w:tcPr>
          <w:p>
            <w:pPr>
              <w:spacing w:line="380" w:lineRule="exact"/>
              <w:jc w:val="center"/>
              <w:rPr>
                <w:rFonts w:hint="eastAsia" w:ascii="宋体" w:hAnsi="宋体" w:eastAsia="宋体" w:cs="宋体"/>
                <w:color w:val="auto"/>
                <w:sz w:val="22"/>
                <w:highlight w:val="none"/>
              </w:rPr>
            </w:pPr>
          </w:p>
        </w:tc>
        <w:tc>
          <w:tcPr>
            <w:tcW w:w="2304" w:type="dxa"/>
            <w:vMerge w:val="restart"/>
            <w:vAlign w:val="center"/>
          </w:tcPr>
          <w:p>
            <w:pPr>
              <w:spacing w:line="380" w:lineRule="exact"/>
              <w:jc w:val="center"/>
              <w:rPr>
                <w:rFonts w:hint="eastAsia" w:ascii="宋体" w:hAnsi="宋体" w:eastAsia="宋体" w:cs="宋体"/>
                <w:color w:val="auto"/>
                <w:sz w:val="22"/>
                <w:highlight w:val="none"/>
              </w:rPr>
            </w:pPr>
          </w:p>
        </w:tc>
        <w:tc>
          <w:tcPr>
            <w:tcW w:w="5071" w:type="dxa"/>
            <w:vAlign w:val="center"/>
          </w:tcPr>
          <w:p>
            <w:pPr>
              <w:spacing w:line="38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大写：</w:t>
            </w:r>
          </w:p>
        </w:tc>
        <w:tc>
          <w:tcPr>
            <w:tcW w:w="1210" w:type="dxa"/>
            <w:vMerge w:val="restart"/>
            <w:vAlign w:val="center"/>
          </w:tcPr>
          <w:p>
            <w:pPr>
              <w:spacing w:line="380" w:lineRule="exact"/>
              <w:jc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010" w:type="dxa"/>
            <w:vMerge w:val="continue"/>
            <w:vAlign w:val="center"/>
          </w:tcPr>
          <w:p>
            <w:pPr>
              <w:spacing w:line="380" w:lineRule="exact"/>
              <w:jc w:val="center"/>
              <w:rPr>
                <w:rFonts w:hint="eastAsia" w:ascii="宋体" w:hAnsi="宋体" w:eastAsia="宋体" w:cs="宋体"/>
                <w:color w:val="auto"/>
                <w:sz w:val="22"/>
                <w:highlight w:val="none"/>
              </w:rPr>
            </w:pPr>
          </w:p>
        </w:tc>
        <w:tc>
          <w:tcPr>
            <w:tcW w:w="2304" w:type="dxa"/>
            <w:vMerge w:val="continue"/>
            <w:vAlign w:val="center"/>
          </w:tcPr>
          <w:p>
            <w:pPr>
              <w:spacing w:line="380" w:lineRule="exact"/>
              <w:jc w:val="center"/>
              <w:rPr>
                <w:rFonts w:hint="eastAsia" w:ascii="宋体" w:hAnsi="宋体" w:eastAsia="宋体" w:cs="宋体"/>
                <w:color w:val="auto"/>
                <w:sz w:val="22"/>
                <w:highlight w:val="none"/>
              </w:rPr>
            </w:pPr>
          </w:p>
        </w:tc>
        <w:tc>
          <w:tcPr>
            <w:tcW w:w="5071" w:type="dxa"/>
            <w:vAlign w:val="center"/>
          </w:tcPr>
          <w:p>
            <w:pPr>
              <w:spacing w:line="38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小写：</w:t>
            </w:r>
          </w:p>
        </w:tc>
        <w:tc>
          <w:tcPr>
            <w:tcW w:w="1210" w:type="dxa"/>
            <w:vMerge w:val="continue"/>
            <w:vAlign w:val="center"/>
          </w:tcPr>
          <w:p>
            <w:pPr>
              <w:spacing w:line="380" w:lineRule="exact"/>
              <w:jc w:val="center"/>
              <w:rPr>
                <w:rFonts w:hint="eastAsia" w:ascii="宋体" w:hAnsi="宋体" w:eastAsia="宋体" w:cs="宋体"/>
                <w:color w:val="auto"/>
                <w:sz w:val="22"/>
                <w:highlight w:val="none"/>
              </w:rPr>
            </w:pPr>
          </w:p>
        </w:tc>
      </w:tr>
    </w:tbl>
    <w:p>
      <w:pPr>
        <w:spacing w:line="400" w:lineRule="exact"/>
        <w:ind w:firstLine="541" w:firstLineChars="245"/>
        <w:rPr>
          <w:rFonts w:hint="eastAsia" w:ascii="宋体" w:hAnsi="宋体" w:eastAsia="宋体" w:cs="宋体"/>
          <w:b/>
          <w:color w:val="auto"/>
          <w:sz w:val="22"/>
          <w:highlight w:val="none"/>
        </w:rPr>
      </w:pPr>
      <w:r>
        <w:rPr>
          <w:rFonts w:hint="eastAsia" w:ascii="宋体" w:hAnsi="宋体" w:eastAsia="宋体" w:cs="宋体"/>
          <w:b/>
          <w:color w:val="auto"/>
          <w:sz w:val="22"/>
          <w:highlight w:val="none"/>
        </w:rPr>
        <w:t>说明：</w:t>
      </w:r>
    </w:p>
    <w:p>
      <w:pPr>
        <w:numPr>
          <w:ilvl w:val="0"/>
          <w:numId w:val="7"/>
        </w:numPr>
        <w:spacing w:line="450" w:lineRule="exact"/>
        <w:ind w:firstLine="541" w:firstLineChars="245"/>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此栏投标报价应与“3、投标分项报价表”中的总计价相一致。</w:t>
      </w:r>
    </w:p>
    <w:p>
      <w:pPr>
        <w:numPr>
          <w:ilvl w:val="0"/>
          <w:numId w:val="7"/>
        </w:numPr>
        <w:spacing w:line="450" w:lineRule="exact"/>
        <w:ind w:firstLine="541" w:firstLineChars="245"/>
        <w:rPr>
          <w:rFonts w:hint="eastAsia" w:ascii="宋体" w:hAnsi="宋体" w:eastAsia="宋体" w:cs="宋体"/>
          <w:b/>
          <w:color w:val="auto"/>
          <w:sz w:val="22"/>
          <w:highlight w:val="none"/>
        </w:rPr>
      </w:pPr>
      <w:r>
        <w:rPr>
          <w:rFonts w:hint="eastAsia" w:ascii="宋体" w:hAnsi="宋体" w:eastAsia="宋体" w:cs="宋体"/>
          <w:b/>
          <w:color w:val="auto"/>
          <w:sz w:val="22"/>
          <w:highlight w:val="none"/>
        </w:rPr>
        <w:t>不提供此表格将被视为没有实质性响应招标文件</w:t>
      </w:r>
    </w:p>
    <w:p>
      <w:pPr>
        <w:spacing w:line="40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0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38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日    期：</w:t>
      </w: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br w:type="page"/>
      </w:r>
    </w:p>
    <w:p>
      <w:pPr>
        <w:numPr>
          <w:ilvl w:val="0"/>
          <w:numId w:val="7"/>
        </w:numPr>
        <w:spacing w:line="400" w:lineRule="exact"/>
        <w:ind w:left="0" w:leftChars="0" w:firstLine="541" w:firstLineChars="245"/>
        <w:jc w:val="center"/>
        <w:outlineLvl w:val="3"/>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分项报价表</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WZLCZB（W）-2023-01002</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lang w:val="zh-CN"/>
        </w:rPr>
      </w:pPr>
      <w:r>
        <w:rPr>
          <w:rFonts w:hint="eastAsia" w:ascii="宋体" w:hAnsi="宋体" w:eastAsia="宋体" w:cs="宋体"/>
          <w:b w:val="0"/>
          <w:bCs w:val="0"/>
          <w:color w:val="auto"/>
          <w:sz w:val="22"/>
          <w:szCs w:val="22"/>
          <w:highlight w:val="none"/>
        </w:rPr>
        <w:t>项目名称：</w:t>
      </w:r>
      <w:r>
        <w:rPr>
          <w:rFonts w:hint="eastAsia"/>
          <w:color w:val="auto"/>
          <w:sz w:val="22"/>
          <w:szCs w:val="22"/>
          <w:highlight w:val="none"/>
          <w:u w:val="none"/>
          <w:lang w:eastAsia="zh-CN"/>
        </w:rPr>
        <w:t>污水处理消毒粉采购</w:t>
      </w:r>
    </w:p>
    <w:tbl>
      <w:tblPr>
        <w:tblStyle w:val="53"/>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4346"/>
        <w:gridCol w:w="1047"/>
        <w:gridCol w:w="1046"/>
        <w:gridCol w:w="1277"/>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62" w:type="dxa"/>
            <w:noWrap w:val="0"/>
            <w:vAlign w:val="center"/>
          </w:tcPr>
          <w:p>
            <w:pPr>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p>
            <w:pPr>
              <w:spacing w:line="460" w:lineRule="exact"/>
              <w:jc w:val="center"/>
              <w:rPr>
                <w:rFonts w:hint="eastAsia" w:ascii="宋体" w:hAnsi="宋体" w:eastAsia="宋体" w:cs="宋体"/>
                <w:color w:val="auto"/>
                <w:sz w:val="22"/>
                <w:szCs w:val="22"/>
                <w:highlight w:val="none"/>
              </w:rPr>
            </w:pPr>
          </w:p>
        </w:tc>
        <w:tc>
          <w:tcPr>
            <w:tcW w:w="4346" w:type="dxa"/>
            <w:noWrap w:val="0"/>
            <w:vAlign w:val="center"/>
          </w:tcPr>
          <w:p>
            <w:pPr>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项目内容</w:t>
            </w:r>
          </w:p>
        </w:tc>
        <w:tc>
          <w:tcPr>
            <w:tcW w:w="1047" w:type="dxa"/>
            <w:noWrap w:val="0"/>
            <w:vAlign w:val="center"/>
          </w:tcPr>
          <w:p>
            <w:pPr>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数量</w:t>
            </w:r>
          </w:p>
        </w:tc>
        <w:tc>
          <w:tcPr>
            <w:tcW w:w="1046" w:type="dxa"/>
            <w:noWrap w:val="0"/>
            <w:vAlign w:val="center"/>
          </w:tcPr>
          <w:p>
            <w:pPr>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单价 </w:t>
            </w:r>
          </w:p>
        </w:tc>
        <w:tc>
          <w:tcPr>
            <w:tcW w:w="1277" w:type="dxa"/>
            <w:noWrap w:val="0"/>
            <w:vAlign w:val="center"/>
          </w:tcPr>
          <w:p>
            <w:pPr>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合价 </w:t>
            </w:r>
          </w:p>
        </w:tc>
        <w:tc>
          <w:tcPr>
            <w:tcW w:w="958" w:type="dxa"/>
            <w:noWrap w:val="0"/>
            <w:vAlign w:val="center"/>
          </w:tcPr>
          <w:p>
            <w:pPr>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862" w:type="dxa"/>
            <w:shd w:val="clear" w:color="auto" w:fill="auto"/>
            <w:noWrap w:val="0"/>
            <w:vAlign w:val="center"/>
          </w:tcPr>
          <w:p>
            <w:pPr>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4346" w:type="dxa"/>
            <w:shd w:val="clear" w:color="auto" w:fill="FFFFFF"/>
            <w:noWrap w:val="0"/>
            <w:vAlign w:val="center"/>
          </w:tcPr>
          <w:p>
            <w:pPr>
              <w:widowControl/>
              <w:spacing w:before="120" w:beforeLines="50" w:after="120" w:afterLines="50" w:line="460" w:lineRule="exact"/>
              <w:rPr>
                <w:rFonts w:hint="eastAsia" w:ascii="宋体" w:hAnsi="宋体" w:eastAsia="宋体" w:cs="宋体"/>
                <w:color w:val="auto"/>
                <w:sz w:val="22"/>
                <w:szCs w:val="22"/>
                <w:highlight w:val="none"/>
              </w:rPr>
            </w:pPr>
          </w:p>
        </w:tc>
        <w:tc>
          <w:tcPr>
            <w:tcW w:w="1047" w:type="dxa"/>
            <w:noWrap w:val="0"/>
            <w:vAlign w:val="center"/>
          </w:tcPr>
          <w:p>
            <w:pPr>
              <w:spacing w:line="460" w:lineRule="exact"/>
              <w:jc w:val="center"/>
              <w:rPr>
                <w:rFonts w:hint="eastAsia" w:ascii="宋体" w:hAnsi="宋体" w:eastAsia="宋体" w:cs="宋体"/>
                <w:color w:val="auto"/>
                <w:sz w:val="22"/>
                <w:szCs w:val="22"/>
                <w:highlight w:val="none"/>
              </w:rPr>
            </w:pPr>
          </w:p>
        </w:tc>
        <w:tc>
          <w:tcPr>
            <w:tcW w:w="1046" w:type="dxa"/>
            <w:noWrap w:val="0"/>
            <w:vAlign w:val="center"/>
          </w:tcPr>
          <w:p>
            <w:pPr>
              <w:spacing w:line="460" w:lineRule="exact"/>
              <w:jc w:val="center"/>
              <w:rPr>
                <w:rFonts w:hint="eastAsia" w:ascii="宋体" w:hAnsi="宋体" w:eastAsia="宋体" w:cs="宋体"/>
                <w:color w:val="auto"/>
                <w:sz w:val="22"/>
                <w:szCs w:val="22"/>
                <w:highlight w:val="none"/>
              </w:rPr>
            </w:pPr>
          </w:p>
        </w:tc>
        <w:tc>
          <w:tcPr>
            <w:tcW w:w="1277" w:type="dxa"/>
            <w:noWrap w:val="0"/>
            <w:vAlign w:val="center"/>
          </w:tcPr>
          <w:p>
            <w:pPr>
              <w:spacing w:line="460" w:lineRule="exact"/>
              <w:jc w:val="center"/>
              <w:rPr>
                <w:rFonts w:hint="eastAsia" w:ascii="宋体" w:hAnsi="宋体" w:eastAsia="宋体" w:cs="宋体"/>
                <w:color w:val="auto"/>
                <w:sz w:val="22"/>
                <w:szCs w:val="22"/>
                <w:highlight w:val="none"/>
              </w:rPr>
            </w:pPr>
          </w:p>
        </w:tc>
        <w:tc>
          <w:tcPr>
            <w:tcW w:w="958" w:type="dxa"/>
            <w:noWrap w:val="0"/>
            <w:vAlign w:val="center"/>
          </w:tcPr>
          <w:p>
            <w:pPr>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862" w:type="dxa"/>
            <w:shd w:val="clear" w:color="auto" w:fill="auto"/>
            <w:noWrap w:val="0"/>
            <w:vAlign w:val="center"/>
          </w:tcPr>
          <w:p>
            <w:pPr>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4346" w:type="dxa"/>
            <w:shd w:val="clear" w:color="auto" w:fill="FFFFFF"/>
            <w:noWrap w:val="0"/>
            <w:vAlign w:val="center"/>
          </w:tcPr>
          <w:p>
            <w:pPr>
              <w:widowControl/>
              <w:spacing w:before="120" w:beforeLines="50" w:after="120" w:afterLines="50" w:line="460" w:lineRule="exact"/>
              <w:rPr>
                <w:rFonts w:hint="eastAsia" w:ascii="宋体" w:hAnsi="宋体" w:eastAsia="宋体" w:cs="宋体"/>
                <w:color w:val="auto"/>
                <w:sz w:val="22"/>
                <w:szCs w:val="22"/>
                <w:highlight w:val="none"/>
              </w:rPr>
            </w:pPr>
          </w:p>
        </w:tc>
        <w:tc>
          <w:tcPr>
            <w:tcW w:w="1047" w:type="dxa"/>
            <w:noWrap w:val="0"/>
            <w:vAlign w:val="center"/>
          </w:tcPr>
          <w:p>
            <w:pPr>
              <w:spacing w:line="460" w:lineRule="exact"/>
              <w:jc w:val="center"/>
              <w:rPr>
                <w:rFonts w:hint="eastAsia" w:ascii="宋体" w:hAnsi="宋体" w:eastAsia="宋体" w:cs="宋体"/>
                <w:color w:val="auto"/>
                <w:sz w:val="22"/>
                <w:szCs w:val="22"/>
                <w:highlight w:val="none"/>
              </w:rPr>
            </w:pPr>
          </w:p>
        </w:tc>
        <w:tc>
          <w:tcPr>
            <w:tcW w:w="1046" w:type="dxa"/>
            <w:noWrap w:val="0"/>
            <w:vAlign w:val="center"/>
          </w:tcPr>
          <w:p>
            <w:pPr>
              <w:spacing w:line="460" w:lineRule="exact"/>
              <w:jc w:val="center"/>
              <w:rPr>
                <w:rFonts w:hint="eastAsia" w:ascii="宋体" w:hAnsi="宋体" w:eastAsia="宋体" w:cs="宋体"/>
                <w:color w:val="auto"/>
                <w:sz w:val="22"/>
                <w:szCs w:val="22"/>
                <w:highlight w:val="none"/>
              </w:rPr>
            </w:pPr>
          </w:p>
        </w:tc>
        <w:tc>
          <w:tcPr>
            <w:tcW w:w="1277" w:type="dxa"/>
            <w:noWrap w:val="0"/>
            <w:vAlign w:val="center"/>
          </w:tcPr>
          <w:p>
            <w:pPr>
              <w:spacing w:line="460" w:lineRule="exact"/>
              <w:jc w:val="center"/>
              <w:rPr>
                <w:rFonts w:hint="eastAsia" w:ascii="宋体" w:hAnsi="宋体" w:eastAsia="宋体" w:cs="宋体"/>
                <w:color w:val="auto"/>
                <w:sz w:val="22"/>
                <w:szCs w:val="22"/>
                <w:highlight w:val="none"/>
              </w:rPr>
            </w:pPr>
          </w:p>
        </w:tc>
        <w:tc>
          <w:tcPr>
            <w:tcW w:w="958" w:type="dxa"/>
            <w:noWrap w:val="0"/>
            <w:vAlign w:val="center"/>
          </w:tcPr>
          <w:p>
            <w:pPr>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862" w:type="dxa"/>
            <w:shd w:val="clear" w:color="auto" w:fill="auto"/>
            <w:noWrap w:val="0"/>
            <w:vAlign w:val="center"/>
          </w:tcPr>
          <w:p>
            <w:pPr>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4346" w:type="dxa"/>
            <w:shd w:val="clear" w:color="auto" w:fill="FFFFFF"/>
            <w:noWrap w:val="0"/>
            <w:vAlign w:val="center"/>
          </w:tcPr>
          <w:p>
            <w:pPr>
              <w:widowControl/>
              <w:spacing w:before="120" w:beforeLines="50" w:after="120" w:afterLines="50" w:line="460" w:lineRule="exact"/>
              <w:rPr>
                <w:rFonts w:hint="eastAsia" w:ascii="宋体" w:hAnsi="宋体" w:eastAsia="宋体" w:cs="宋体"/>
                <w:color w:val="auto"/>
                <w:sz w:val="22"/>
                <w:szCs w:val="22"/>
                <w:highlight w:val="none"/>
              </w:rPr>
            </w:pPr>
          </w:p>
        </w:tc>
        <w:tc>
          <w:tcPr>
            <w:tcW w:w="1047" w:type="dxa"/>
            <w:noWrap w:val="0"/>
            <w:vAlign w:val="center"/>
          </w:tcPr>
          <w:p>
            <w:pPr>
              <w:spacing w:line="460" w:lineRule="exact"/>
              <w:jc w:val="center"/>
              <w:rPr>
                <w:rFonts w:hint="eastAsia" w:ascii="宋体" w:hAnsi="宋体" w:eastAsia="宋体" w:cs="宋体"/>
                <w:color w:val="auto"/>
                <w:sz w:val="22"/>
                <w:szCs w:val="22"/>
                <w:highlight w:val="none"/>
              </w:rPr>
            </w:pPr>
          </w:p>
        </w:tc>
        <w:tc>
          <w:tcPr>
            <w:tcW w:w="1046" w:type="dxa"/>
            <w:noWrap w:val="0"/>
            <w:vAlign w:val="center"/>
          </w:tcPr>
          <w:p>
            <w:pPr>
              <w:spacing w:line="460" w:lineRule="exact"/>
              <w:jc w:val="center"/>
              <w:rPr>
                <w:rFonts w:hint="eastAsia" w:ascii="宋体" w:hAnsi="宋体" w:eastAsia="宋体" w:cs="宋体"/>
                <w:color w:val="auto"/>
                <w:sz w:val="22"/>
                <w:szCs w:val="22"/>
                <w:highlight w:val="none"/>
              </w:rPr>
            </w:pPr>
          </w:p>
        </w:tc>
        <w:tc>
          <w:tcPr>
            <w:tcW w:w="1277" w:type="dxa"/>
            <w:noWrap w:val="0"/>
            <w:vAlign w:val="center"/>
          </w:tcPr>
          <w:p>
            <w:pPr>
              <w:spacing w:line="460" w:lineRule="exact"/>
              <w:jc w:val="center"/>
              <w:rPr>
                <w:rFonts w:hint="eastAsia" w:ascii="宋体" w:hAnsi="宋体" w:eastAsia="宋体" w:cs="宋体"/>
                <w:color w:val="auto"/>
                <w:sz w:val="22"/>
                <w:szCs w:val="22"/>
                <w:highlight w:val="none"/>
              </w:rPr>
            </w:pPr>
          </w:p>
        </w:tc>
        <w:tc>
          <w:tcPr>
            <w:tcW w:w="958" w:type="dxa"/>
            <w:noWrap w:val="0"/>
            <w:vAlign w:val="center"/>
          </w:tcPr>
          <w:p>
            <w:pPr>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862" w:type="dxa"/>
            <w:shd w:val="clear" w:color="auto" w:fill="auto"/>
            <w:noWrap w:val="0"/>
            <w:vAlign w:val="center"/>
          </w:tcPr>
          <w:p>
            <w:pPr>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4346" w:type="dxa"/>
            <w:shd w:val="clear" w:color="auto" w:fill="FFFFFF"/>
            <w:noWrap w:val="0"/>
            <w:vAlign w:val="center"/>
          </w:tcPr>
          <w:p>
            <w:pPr>
              <w:widowControl/>
              <w:spacing w:before="120" w:beforeLines="50" w:after="120" w:afterLines="50" w:line="460" w:lineRule="exact"/>
              <w:rPr>
                <w:rFonts w:hint="eastAsia" w:ascii="宋体" w:hAnsi="宋体" w:eastAsia="宋体" w:cs="宋体"/>
                <w:color w:val="auto"/>
                <w:sz w:val="22"/>
                <w:szCs w:val="22"/>
                <w:highlight w:val="none"/>
              </w:rPr>
            </w:pPr>
          </w:p>
        </w:tc>
        <w:tc>
          <w:tcPr>
            <w:tcW w:w="1047" w:type="dxa"/>
            <w:noWrap w:val="0"/>
            <w:vAlign w:val="center"/>
          </w:tcPr>
          <w:p>
            <w:pPr>
              <w:spacing w:line="460" w:lineRule="exact"/>
              <w:jc w:val="center"/>
              <w:rPr>
                <w:rFonts w:hint="eastAsia" w:ascii="宋体" w:hAnsi="宋体" w:eastAsia="宋体" w:cs="宋体"/>
                <w:color w:val="auto"/>
                <w:sz w:val="22"/>
                <w:szCs w:val="22"/>
                <w:highlight w:val="none"/>
              </w:rPr>
            </w:pPr>
          </w:p>
        </w:tc>
        <w:tc>
          <w:tcPr>
            <w:tcW w:w="1046" w:type="dxa"/>
            <w:noWrap w:val="0"/>
            <w:vAlign w:val="center"/>
          </w:tcPr>
          <w:p>
            <w:pPr>
              <w:spacing w:line="460" w:lineRule="exact"/>
              <w:jc w:val="center"/>
              <w:rPr>
                <w:rFonts w:hint="eastAsia" w:ascii="宋体" w:hAnsi="宋体" w:eastAsia="宋体" w:cs="宋体"/>
                <w:color w:val="auto"/>
                <w:sz w:val="22"/>
                <w:szCs w:val="22"/>
                <w:highlight w:val="none"/>
              </w:rPr>
            </w:pPr>
          </w:p>
        </w:tc>
        <w:tc>
          <w:tcPr>
            <w:tcW w:w="1277" w:type="dxa"/>
            <w:noWrap w:val="0"/>
            <w:vAlign w:val="center"/>
          </w:tcPr>
          <w:p>
            <w:pPr>
              <w:spacing w:line="460" w:lineRule="exact"/>
              <w:jc w:val="center"/>
              <w:rPr>
                <w:rFonts w:hint="eastAsia" w:ascii="宋体" w:hAnsi="宋体" w:eastAsia="宋体" w:cs="宋体"/>
                <w:color w:val="auto"/>
                <w:sz w:val="22"/>
                <w:szCs w:val="22"/>
                <w:highlight w:val="none"/>
              </w:rPr>
            </w:pPr>
          </w:p>
        </w:tc>
        <w:tc>
          <w:tcPr>
            <w:tcW w:w="958" w:type="dxa"/>
            <w:noWrap w:val="0"/>
            <w:vAlign w:val="center"/>
          </w:tcPr>
          <w:p>
            <w:pPr>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rPr>
        <w:tc>
          <w:tcPr>
            <w:tcW w:w="862" w:type="dxa"/>
            <w:shd w:val="clear" w:color="auto" w:fill="auto"/>
            <w:noWrap w:val="0"/>
            <w:vAlign w:val="center"/>
          </w:tcPr>
          <w:p>
            <w:pPr>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4346" w:type="dxa"/>
            <w:shd w:val="clear" w:color="auto" w:fill="FFFFFF"/>
            <w:noWrap w:val="0"/>
            <w:vAlign w:val="center"/>
          </w:tcPr>
          <w:p>
            <w:pPr>
              <w:widowControl/>
              <w:spacing w:before="120" w:beforeLines="50" w:after="120" w:afterLines="50" w:line="460" w:lineRule="exact"/>
              <w:rPr>
                <w:rFonts w:hint="eastAsia" w:ascii="宋体" w:hAnsi="宋体" w:eastAsia="宋体" w:cs="宋体"/>
                <w:color w:val="auto"/>
                <w:sz w:val="22"/>
                <w:szCs w:val="22"/>
                <w:highlight w:val="none"/>
              </w:rPr>
            </w:pPr>
          </w:p>
        </w:tc>
        <w:tc>
          <w:tcPr>
            <w:tcW w:w="1047" w:type="dxa"/>
            <w:noWrap w:val="0"/>
            <w:vAlign w:val="center"/>
          </w:tcPr>
          <w:p>
            <w:pPr>
              <w:spacing w:line="460" w:lineRule="exact"/>
              <w:jc w:val="center"/>
              <w:rPr>
                <w:rFonts w:hint="eastAsia" w:ascii="宋体" w:hAnsi="宋体" w:eastAsia="宋体" w:cs="宋体"/>
                <w:color w:val="auto"/>
                <w:sz w:val="22"/>
                <w:szCs w:val="22"/>
                <w:highlight w:val="none"/>
              </w:rPr>
            </w:pPr>
          </w:p>
        </w:tc>
        <w:tc>
          <w:tcPr>
            <w:tcW w:w="1046" w:type="dxa"/>
            <w:noWrap w:val="0"/>
            <w:vAlign w:val="center"/>
          </w:tcPr>
          <w:p>
            <w:pPr>
              <w:spacing w:line="460" w:lineRule="exact"/>
              <w:jc w:val="center"/>
              <w:rPr>
                <w:rFonts w:hint="eastAsia" w:ascii="宋体" w:hAnsi="宋体" w:eastAsia="宋体" w:cs="宋体"/>
                <w:color w:val="auto"/>
                <w:sz w:val="22"/>
                <w:szCs w:val="22"/>
                <w:highlight w:val="none"/>
              </w:rPr>
            </w:pPr>
          </w:p>
        </w:tc>
        <w:tc>
          <w:tcPr>
            <w:tcW w:w="1277" w:type="dxa"/>
            <w:noWrap w:val="0"/>
            <w:vAlign w:val="center"/>
          </w:tcPr>
          <w:p>
            <w:pPr>
              <w:spacing w:line="460" w:lineRule="exact"/>
              <w:jc w:val="center"/>
              <w:rPr>
                <w:rFonts w:hint="eastAsia" w:ascii="宋体" w:hAnsi="宋体" w:eastAsia="宋体" w:cs="宋体"/>
                <w:color w:val="auto"/>
                <w:sz w:val="22"/>
                <w:szCs w:val="22"/>
                <w:highlight w:val="none"/>
              </w:rPr>
            </w:pPr>
          </w:p>
        </w:tc>
        <w:tc>
          <w:tcPr>
            <w:tcW w:w="958" w:type="dxa"/>
            <w:noWrap w:val="0"/>
            <w:vAlign w:val="center"/>
          </w:tcPr>
          <w:p>
            <w:pPr>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862" w:type="dxa"/>
            <w:shd w:val="clear" w:color="auto" w:fill="auto"/>
            <w:noWrap w:val="0"/>
            <w:vAlign w:val="center"/>
          </w:tcPr>
          <w:p>
            <w:pPr>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4346" w:type="dxa"/>
            <w:shd w:val="clear" w:color="auto" w:fill="FFFFFF"/>
            <w:noWrap w:val="0"/>
            <w:vAlign w:val="center"/>
          </w:tcPr>
          <w:p>
            <w:pPr>
              <w:widowControl/>
              <w:spacing w:before="120" w:beforeLines="50" w:after="120" w:afterLines="50" w:line="460" w:lineRule="exact"/>
              <w:rPr>
                <w:rFonts w:hint="eastAsia" w:ascii="宋体" w:hAnsi="宋体" w:eastAsia="宋体" w:cs="宋体"/>
                <w:color w:val="auto"/>
                <w:sz w:val="22"/>
                <w:szCs w:val="22"/>
                <w:highlight w:val="none"/>
              </w:rPr>
            </w:pPr>
          </w:p>
        </w:tc>
        <w:tc>
          <w:tcPr>
            <w:tcW w:w="1047" w:type="dxa"/>
            <w:noWrap w:val="0"/>
            <w:vAlign w:val="center"/>
          </w:tcPr>
          <w:p>
            <w:pPr>
              <w:spacing w:line="460" w:lineRule="exact"/>
              <w:jc w:val="center"/>
              <w:rPr>
                <w:rFonts w:hint="eastAsia" w:ascii="宋体" w:hAnsi="宋体" w:eastAsia="宋体" w:cs="宋体"/>
                <w:color w:val="auto"/>
                <w:sz w:val="22"/>
                <w:szCs w:val="22"/>
                <w:highlight w:val="none"/>
              </w:rPr>
            </w:pPr>
          </w:p>
        </w:tc>
        <w:tc>
          <w:tcPr>
            <w:tcW w:w="1046" w:type="dxa"/>
            <w:noWrap w:val="0"/>
            <w:vAlign w:val="center"/>
          </w:tcPr>
          <w:p>
            <w:pPr>
              <w:spacing w:line="460" w:lineRule="exact"/>
              <w:jc w:val="center"/>
              <w:rPr>
                <w:rFonts w:hint="eastAsia" w:ascii="宋体" w:hAnsi="宋体" w:eastAsia="宋体" w:cs="宋体"/>
                <w:color w:val="auto"/>
                <w:sz w:val="22"/>
                <w:szCs w:val="22"/>
                <w:highlight w:val="none"/>
              </w:rPr>
            </w:pPr>
          </w:p>
        </w:tc>
        <w:tc>
          <w:tcPr>
            <w:tcW w:w="1277" w:type="dxa"/>
            <w:noWrap w:val="0"/>
            <w:vAlign w:val="center"/>
          </w:tcPr>
          <w:p>
            <w:pPr>
              <w:spacing w:line="460" w:lineRule="exact"/>
              <w:jc w:val="center"/>
              <w:rPr>
                <w:rFonts w:hint="eastAsia" w:ascii="宋体" w:hAnsi="宋体" w:eastAsia="宋体" w:cs="宋体"/>
                <w:color w:val="auto"/>
                <w:sz w:val="22"/>
                <w:szCs w:val="22"/>
                <w:highlight w:val="none"/>
              </w:rPr>
            </w:pPr>
          </w:p>
        </w:tc>
        <w:tc>
          <w:tcPr>
            <w:tcW w:w="958" w:type="dxa"/>
            <w:noWrap w:val="0"/>
            <w:vAlign w:val="center"/>
          </w:tcPr>
          <w:p>
            <w:pPr>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862" w:type="dxa"/>
            <w:shd w:val="clear" w:color="auto" w:fill="auto"/>
            <w:noWrap w:val="0"/>
            <w:vAlign w:val="center"/>
          </w:tcPr>
          <w:p>
            <w:pPr>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p>
        </w:tc>
        <w:tc>
          <w:tcPr>
            <w:tcW w:w="4346" w:type="dxa"/>
            <w:shd w:val="clear" w:color="auto" w:fill="FFFFFF"/>
            <w:noWrap w:val="0"/>
            <w:vAlign w:val="center"/>
          </w:tcPr>
          <w:p>
            <w:pPr>
              <w:widowControl/>
              <w:spacing w:before="120" w:beforeLines="50" w:after="120" w:afterLines="50" w:line="460" w:lineRule="exact"/>
              <w:rPr>
                <w:rFonts w:hint="eastAsia" w:ascii="宋体" w:hAnsi="宋体" w:eastAsia="宋体" w:cs="宋体"/>
                <w:color w:val="auto"/>
                <w:sz w:val="22"/>
                <w:szCs w:val="22"/>
                <w:highlight w:val="none"/>
              </w:rPr>
            </w:pPr>
          </w:p>
        </w:tc>
        <w:tc>
          <w:tcPr>
            <w:tcW w:w="1047" w:type="dxa"/>
            <w:noWrap w:val="0"/>
            <w:vAlign w:val="center"/>
          </w:tcPr>
          <w:p>
            <w:pPr>
              <w:spacing w:line="460" w:lineRule="exact"/>
              <w:jc w:val="center"/>
              <w:rPr>
                <w:rFonts w:hint="eastAsia" w:ascii="宋体" w:hAnsi="宋体" w:eastAsia="宋体" w:cs="宋体"/>
                <w:color w:val="auto"/>
                <w:sz w:val="22"/>
                <w:szCs w:val="22"/>
                <w:highlight w:val="none"/>
              </w:rPr>
            </w:pPr>
          </w:p>
        </w:tc>
        <w:tc>
          <w:tcPr>
            <w:tcW w:w="1046" w:type="dxa"/>
            <w:noWrap w:val="0"/>
            <w:vAlign w:val="center"/>
          </w:tcPr>
          <w:p>
            <w:pPr>
              <w:spacing w:line="460" w:lineRule="exact"/>
              <w:jc w:val="center"/>
              <w:rPr>
                <w:rFonts w:hint="eastAsia" w:ascii="宋体" w:hAnsi="宋体" w:eastAsia="宋体" w:cs="宋体"/>
                <w:color w:val="auto"/>
                <w:sz w:val="22"/>
                <w:szCs w:val="22"/>
                <w:highlight w:val="none"/>
              </w:rPr>
            </w:pPr>
          </w:p>
        </w:tc>
        <w:tc>
          <w:tcPr>
            <w:tcW w:w="1277" w:type="dxa"/>
            <w:noWrap w:val="0"/>
            <w:vAlign w:val="center"/>
          </w:tcPr>
          <w:p>
            <w:pPr>
              <w:spacing w:line="460" w:lineRule="exact"/>
              <w:jc w:val="center"/>
              <w:rPr>
                <w:rFonts w:hint="eastAsia" w:ascii="宋体" w:hAnsi="宋体" w:eastAsia="宋体" w:cs="宋体"/>
                <w:color w:val="auto"/>
                <w:sz w:val="22"/>
                <w:szCs w:val="22"/>
                <w:highlight w:val="none"/>
              </w:rPr>
            </w:pPr>
          </w:p>
        </w:tc>
        <w:tc>
          <w:tcPr>
            <w:tcW w:w="958" w:type="dxa"/>
            <w:noWrap w:val="0"/>
            <w:vAlign w:val="center"/>
          </w:tcPr>
          <w:p>
            <w:pPr>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862" w:type="dxa"/>
            <w:shd w:val="clear" w:color="auto" w:fill="auto"/>
            <w:noWrap w:val="0"/>
            <w:vAlign w:val="center"/>
          </w:tcPr>
          <w:p>
            <w:pPr>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w:t>
            </w:r>
          </w:p>
        </w:tc>
        <w:tc>
          <w:tcPr>
            <w:tcW w:w="4346" w:type="dxa"/>
            <w:shd w:val="clear" w:color="auto" w:fill="FFFFFF"/>
            <w:noWrap w:val="0"/>
            <w:vAlign w:val="center"/>
          </w:tcPr>
          <w:p>
            <w:pPr>
              <w:widowControl/>
              <w:spacing w:before="120" w:beforeLines="50" w:after="120" w:afterLines="50" w:line="460" w:lineRule="exact"/>
              <w:rPr>
                <w:rFonts w:hint="eastAsia" w:ascii="宋体" w:hAnsi="宋体" w:eastAsia="宋体" w:cs="宋体"/>
                <w:color w:val="auto"/>
                <w:sz w:val="22"/>
                <w:szCs w:val="22"/>
                <w:highlight w:val="none"/>
              </w:rPr>
            </w:pPr>
          </w:p>
        </w:tc>
        <w:tc>
          <w:tcPr>
            <w:tcW w:w="1047" w:type="dxa"/>
            <w:noWrap w:val="0"/>
            <w:vAlign w:val="center"/>
          </w:tcPr>
          <w:p>
            <w:pPr>
              <w:spacing w:line="460" w:lineRule="exact"/>
              <w:jc w:val="center"/>
              <w:rPr>
                <w:rFonts w:hint="eastAsia" w:ascii="宋体" w:hAnsi="宋体" w:eastAsia="宋体" w:cs="宋体"/>
                <w:color w:val="auto"/>
                <w:sz w:val="22"/>
                <w:szCs w:val="22"/>
                <w:highlight w:val="none"/>
              </w:rPr>
            </w:pPr>
          </w:p>
        </w:tc>
        <w:tc>
          <w:tcPr>
            <w:tcW w:w="1046" w:type="dxa"/>
            <w:noWrap w:val="0"/>
            <w:vAlign w:val="center"/>
          </w:tcPr>
          <w:p>
            <w:pPr>
              <w:spacing w:line="460" w:lineRule="exact"/>
              <w:jc w:val="center"/>
              <w:rPr>
                <w:rFonts w:hint="eastAsia" w:ascii="宋体" w:hAnsi="宋体" w:eastAsia="宋体" w:cs="宋体"/>
                <w:color w:val="auto"/>
                <w:sz w:val="22"/>
                <w:szCs w:val="22"/>
                <w:highlight w:val="none"/>
              </w:rPr>
            </w:pPr>
          </w:p>
        </w:tc>
        <w:tc>
          <w:tcPr>
            <w:tcW w:w="1277" w:type="dxa"/>
            <w:noWrap w:val="0"/>
            <w:vAlign w:val="center"/>
          </w:tcPr>
          <w:p>
            <w:pPr>
              <w:spacing w:line="460" w:lineRule="exact"/>
              <w:jc w:val="center"/>
              <w:rPr>
                <w:rFonts w:hint="eastAsia" w:ascii="宋体" w:hAnsi="宋体" w:eastAsia="宋体" w:cs="宋体"/>
                <w:color w:val="auto"/>
                <w:sz w:val="22"/>
                <w:szCs w:val="22"/>
                <w:highlight w:val="none"/>
              </w:rPr>
            </w:pPr>
          </w:p>
        </w:tc>
        <w:tc>
          <w:tcPr>
            <w:tcW w:w="958" w:type="dxa"/>
            <w:noWrap w:val="0"/>
            <w:vAlign w:val="center"/>
          </w:tcPr>
          <w:p>
            <w:pPr>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trPr>
        <w:tc>
          <w:tcPr>
            <w:tcW w:w="862" w:type="dxa"/>
            <w:shd w:val="clear" w:color="auto" w:fill="auto"/>
            <w:noWrap w:val="0"/>
            <w:vAlign w:val="center"/>
          </w:tcPr>
          <w:p>
            <w:pPr>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w:t>
            </w:r>
          </w:p>
        </w:tc>
        <w:tc>
          <w:tcPr>
            <w:tcW w:w="4346" w:type="dxa"/>
            <w:shd w:val="clear" w:color="auto" w:fill="FFFFFF"/>
            <w:noWrap w:val="0"/>
            <w:vAlign w:val="center"/>
          </w:tcPr>
          <w:p>
            <w:pPr>
              <w:widowControl/>
              <w:spacing w:before="120" w:beforeLines="50" w:after="120" w:afterLines="50" w:line="460" w:lineRule="exact"/>
              <w:rPr>
                <w:rFonts w:hint="eastAsia" w:ascii="宋体" w:hAnsi="宋体" w:eastAsia="宋体" w:cs="宋体"/>
                <w:color w:val="auto"/>
                <w:sz w:val="22"/>
                <w:szCs w:val="22"/>
                <w:highlight w:val="none"/>
              </w:rPr>
            </w:pPr>
          </w:p>
        </w:tc>
        <w:tc>
          <w:tcPr>
            <w:tcW w:w="1047" w:type="dxa"/>
            <w:noWrap w:val="0"/>
            <w:vAlign w:val="center"/>
          </w:tcPr>
          <w:p>
            <w:pPr>
              <w:spacing w:line="460" w:lineRule="exact"/>
              <w:jc w:val="center"/>
              <w:rPr>
                <w:rFonts w:hint="eastAsia" w:ascii="宋体" w:hAnsi="宋体" w:eastAsia="宋体" w:cs="宋体"/>
                <w:color w:val="auto"/>
                <w:sz w:val="22"/>
                <w:szCs w:val="22"/>
                <w:highlight w:val="none"/>
              </w:rPr>
            </w:pPr>
          </w:p>
        </w:tc>
        <w:tc>
          <w:tcPr>
            <w:tcW w:w="1046" w:type="dxa"/>
            <w:noWrap w:val="0"/>
            <w:vAlign w:val="center"/>
          </w:tcPr>
          <w:p>
            <w:pPr>
              <w:spacing w:line="460" w:lineRule="exact"/>
              <w:jc w:val="center"/>
              <w:rPr>
                <w:rFonts w:hint="eastAsia" w:ascii="宋体" w:hAnsi="宋体" w:eastAsia="宋体" w:cs="宋体"/>
                <w:color w:val="auto"/>
                <w:sz w:val="22"/>
                <w:szCs w:val="22"/>
                <w:highlight w:val="none"/>
              </w:rPr>
            </w:pPr>
          </w:p>
        </w:tc>
        <w:tc>
          <w:tcPr>
            <w:tcW w:w="1277" w:type="dxa"/>
            <w:noWrap w:val="0"/>
            <w:vAlign w:val="center"/>
          </w:tcPr>
          <w:p>
            <w:pPr>
              <w:spacing w:line="460" w:lineRule="exact"/>
              <w:jc w:val="center"/>
              <w:rPr>
                <w:rFonts w:hint="eastAsia" w:ascii="宋体" w:hAnsi="宋体" w:eastAsia="宋体" w:cs="宋体"/>
                <w:color w:val="auto"/>
                <w:sz w:val="22"/>
                <w:szCs w:val="22"/>
                <w:highlight w:val="none"/>
              </w:rPr>
            </w:pPr>
          </w:p>
        </w:tc>
        <w:tc>
          <w:tcPr>
            <w:tcW w:w="958" w:type="dxa"/>
            <w:noWrap w:val="0"/>
            <w:vAlign w:val="center"/>
          </w:tcPr>
          <w:p>
            <w:pPr>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862" w:type="dxa"/>
            <w:shd w:val="clear" w:color="auto" w:fill="auto"/>
            <w:noWrap w:val="0"/>
            <w:vAlign w:val="center"/>
          </w:tcPr>
          <w:p>
            <w:pPr>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c>
          <w:tcPr>
            <w:tcW w:w="4346" w:type="dxa"/>
            <w:shd w:val="clear" w:color="auto" w:fill="FFFFFF"/>
            <w:noWrap w:val="0"/>
            <w:vAlign w:val="center"/>
          </w:tcPr>
          <w:p>
            <w:pPr>
              <w:widowControl/>
              <w:spacing w:before="120" w:beforeLines="50" w:after="120" w:afterLines="50"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w:t>
            </w:r>
          </w:p>
        </w:tc>
        <w:tc>
          <w:tcPr>
            <w:tcW w:w="1047" w:type="dxa"/>
            <w:noWrap w:val="0"/>
            <w:vAlign w:val="center"/>
          </w:tcPr>
          <w:p>
            <w:pPr>
              <w:spacing w:line="460" w:lineRule="exact"/>
              <w:jc w:val="center"/>
              <w:rPr>
                <w:rFonts w:hint="eastAsia" w:ascii="宋体" w:hAnsi="宋体" w:eastAsia="宋体" w:cs="宋体"/>
                <w:color w:val="auto"/>
                <w:sz w:val="22"/>
                <w:szCs w:val="22"/>
                <w:highlight w:val="none"/>
              </w:rPr>
            </w:pPr>
          </w:p>
        </w:tc>
        <w:tc>
          <w:tcPr>
            <w:tcW w:w="1046" w:type="dxa"/>
            <w:noWrap w:val="0"/>
            <w:vAlign w:val="center"/>
          </w:tcPr>
          <w:p>
            <w:pPr>
              <w:spacing w:line="460" w:lineRule="exact"/>
              <w:jc w:val="center"/>
              <w:rPr>
                <w:rFonts w:hint="eastAsia" w:ascii="宋体" w:hAnsi="宋体" w:eastAsia="宋体" w:cs="宋体"/>
                <w:color w:val="auto"/>
                <w:sz w:val="22"/>
                <w:szCs w:val="22"/>
                <w:highlight w:val="none"/>
              </w:rPr>
            </w:pPr>
          </w:p>
        </w:tc>
        <w:tc>
          <w:tcPr>
            <w:tcW w:w="1277" w:type="dxa"/>
            <w:noWrap w:val="0"/>
            <w:vAlign w:val="center"/>
          </w:tcPr>
          <w:p>
            <w:pPr>
              <w:spacing w:line="460" w:lineRule="exact"/>
              <w:jc w:val="center"/>
              <w:rPr>
                <w:rFonts w:hint="eastAsia" w:ascii="宋体" w:hAnsi="宋体" w:eastAsia="宋体" w:cs="宋体"/>
                <w:color w:val="auto"/>
                <w:sz w:val="22"/>
                <w:szCs w:val="22"/>
                <w:highlight w:val="none"/>
              </w:rPr>
            </w:pPr>
          </w:p>
        </w:tc>
        <w:tc>
          <w:tcPr>
            <w:tcW w:w="958" w:type="dxa"/>
            <w:noWrap w:val="0"/>
            <w:vAlign w:val="center"/>
          </w:tcPr>
          <w:p>
            <w:pPr>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62" w:type="dxa"/>
            <w:noWrap w:val="0"/>
            <w:vAlign w:val="center"/>
          </w:tcPr>
          <w:p>
            <w:pPr>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w:t>
            </w:r>
          </w:p>
        </w:tc>
        <w:tc>
          <w:tcPr>
            <w:tcW w:w="4346" w:type="dxa"/>
            <w:noWrap w:val="0"/>
            <w:vAlign w:val="center"/>
          </w:tcPr>
          <w:p>
            <w:pPr>
              <w:spacing w:line="46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人员费用</w:t>
            </w:r>
          </w:p>
        </w:tc>
        <w:tc>
          <w:tcPr>
            <w:tcW w:w="1047" w:type="dxa"/>
            <w:noWrap w:val="0"/>
            <w:vAlign w:val="center"/>
          </w:tcPr>
          <w:p>
            <w:pPr>
              <w:spacing w:line="460" w:lineRule="exact"/>
              <w:jc w:val="center"/>
              <w:rPr>
                <w:rFonts w:hint="eastAsia" w:ascii="宋体" w:hAnsi="宋体" w:eastAsia="宋体" w:cs="宋体"/>
                <w:color w:val="auto"/>
                <w:sz w:val="22"/>
                <w:szCs w:val="22"/>
                <w:highlight w:val="none"/>
              </w:rPr>
            </w:pPr>
          </w:p>
        </w:tc>
        <w:tc>
          <w:tcPr>
            <w:tcW w:w="1046" w:type="dxa"/>
            <w:noWrap w:val="0"/>
            <w:vAlign w:val="center"/>
          </w:tcPr>
          <w:p>
            <w:pPr>
              <w:spacing w:line="460" w:lineRule="exact"/>
              <w:jc w:val="center"/>
              <w:rPr>
                <w:rFonts w:hint="eastAsia" w:ascii="宋体" w:hAnsi="宋体" w:eastAsia="宋体" w:cs="宋体"/>
                <w:color w:val="auto"/>
                <w:sz w:val="22"/>
                <w:szCs w:val="22"/>
                <w:highlight w:val="none"/>
              </w:rPr>
            </w:pPr>
          </w:p>
        </w:tc>
        <w:tc>
          <w:tcPr>
            <w:tcW w:w="1277" w:type="dxa"/>
            <w:noWrap w:val="0"/>
            <w:vAlign w:val="center"/>
          </w:tcPr>
          <w:p>
            <w:pPr>
              <w:spacing w:line="460" w:lineRule="exact"/>
              <w:jc w:val="center"/>
              <w:rPr>
                <w:rFonts w:hint="eastAsia" w:ascii="宋体" w:hAnsi="宋体" w:eastAsia="宋体" w:cs="宋体"/>
                <w:color w:val="auto"/>
                <w:sz w:val="22"/>
                <w:szCs w:val="22"/>
                <w:highlight w:val="none"/>
              </w:rPr>
            </w:pPr>
          </w:p>
        </w:tc>
        <w:tc>
          <w:tcPr>
            <w:tcW w:w="958" w:type="dxa"/>
            <w:noWrap w:val="0"/>
            <w:vAlign w:val="center"/>
          </w:tcPr>
          <w:p>
            <w:pPr>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862" w:type="dxa"/>
            <w:noWrap w:val="0"/>
            <w:vAlign w:val="center"/>
          </w:tcPr>
          <w:p>
            <w:pPr>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w:t>
            </w:r>
          </w:p>
        </w:tc>
        <w:tc>
          <w:tcPr>
            <w:tcW w:w="4346" w:type="dxa"/>
            <w:noWrap w:val="0"/>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税金</w:t>
            </w:r>
          </w:p>
        </w:tc>
        <w:tc>
          <w:tcPr>
            <w:tcW w:w="4328" w:type="dxa"/>
            <w:gridSpan w:val="4"/>
            <w:noWrap w:val="0"/>
            <w:vAlign w:val="center"/>
          </w:tcPr>
          <w:p>
            <w:pPr>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62" w:type="dxa"/>
            <w:noWrap w:val="0"/>
            <w:vAlign w:val="center"/>
          </w:tcPr>
          <w:p>
            <w:pPr>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13</w:t>
            </w:r>
          </w:p>
        </w:tc>
        <w:tc>
          <w:tcPr>
            <w:tcW w:w="4346" w:type="dxa"/>
            <w:noWrap w:val="0"/>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其他</w:t>
            </w:r>
          </w:p>
        </w:tc>
        <w:tc>
          <w:tcPr>
            <w:tcW w:w="4328" w:type="dxa"/>
            <w:gridSpan w:val="4"/>
            <w:noWrap w:val="0"/>
            <w:vAlign w:val="center"/>
          </w:tcPr>
          <w:p>
            <w:pPr>
              <w:spacing w:line="46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862" w:type="dxa"/>
            <w:noWrap w:val="0"/>
            <w:vAlign w:val="center"/>
          </w:tcPr>
          <w:p>
            <w:pPr>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w:t>
            </w:r>
          </w:p>
        </w:tc>
        <w:tc>
          <w:tcPr>
            <w:tcW w:w="4346" w:type="dxa"/>
            <w:noWrap w:val="0"/>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采购代理服务费</w:t>
            </w:r>
          </w:p>
        </w:tc>
        <w:tc>
          <w:tcPr>
            <w:tcW w:w="4328" w:type="dxa"/>
            <w:gridSpan w:val="4"/>
            <w:noWrap w:val="0"/>
            <w:vAlign w:val="center"/>
          </w:tcPr>
          <w:p>
            <w:pPr>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5208" w:type="dxa"/>
            <w:gridSpan w:val="2"/>
            <w:noWrap w:val="0"/>
            <w:vAlign w:val="top"/>
          </w:tcPr>
          <w:p>
            <w:pPr>
              <w:spacing w:line="460" w:lineRule="exact"/>
              <w:ind w:firstLine="1650" w:firstLineChars="7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总    计   价</w:t>
            </w:r>
          </w:p>
        </w:tc>
        <w:tc>
          <w:tcPr>
            <w:tcW w:w="4328" w:type="dxa"/>
            <w:gridSpan w:val="4"/>
            <w:noWrap w:val="0"/>
            <w:vAlign w:val="center"/>
          </w:tcPr>
          <w:p>
            <w:pPr>
              <w:spacing w:line="460" w:lineRule="exact"/>
              <w:jc w:val="center"/>
              <w:rPr>
                <w:rFonts w:hint="eastAsia" w:ascii="宋体" w:hAnsi="宋体" w:eastAsia="宋体" w:cs="宋体"/>
                <w:color w:val="auto"/>
                <w:sz w:val="22"/>
                <w:szCs w:val="22"/>
                <w:highlight w:val="none"/>
              </w:rPr>
            </w:pPr>
          </w:p>
        </w:tc>
      </w:tr>
    </w:tbl>
    <w:p>
      <w:pPr>
        <w:spacing w:line="380" w:lineRule="exact"/>
        <w:rPr>
          <w:rFonts w:hint="eastAsia" w:ascii="宋体" w:hAnsi="宋体" w:eastAsia="宋体" w:cs="宋体"/>
          <w:b/>
          <w:color w:val="auto"/>
          <w:sz w:val="22"/>
          <w:szCs w:val="22"/>
          <w:highlight w:val="none"/>
        </w:rPr>
      </w:pPr>
    </w:p>
    <w:p>
      <w:pPr>
        <w:spacing w:line="380" w:lineRule="exact"/>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rPr>
        <w:t xml:space="preserve">说明： </w:t>
      </w:r>
      <w:r>
        <w:rPr>
          <w:rFonts w:hint="eastAsia" w:ascii="宋体" w:hAnsi="宋体" w:eastAsia="宋体" w:cs="宋体"/>
          <w:b/>
          <w:bCs/>
          <w:color w:val="auto"/>
          <w:sz w:val="22"/>
          <w:szCs w:val="22"/>
          <w:highlight w:val="none"/>
        </w:rPr>
        <w:t>1、此表总计价应与“2、报价一览表”中报价相一致。</w:t>
      </w:r>
    </w:p>
    <w:p>
      <w:pPr>
        <w:spacing w:line="380" w:lineRule="exact"/>
        <w:ind w:firstLine="755" w:firstLineChars="342"/>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2、不提供详细分项报价将视为没有实质性响应</w:t>
      </w:r>
      <w:r>
        <w:rPr>
          <w:rFonts w:hint="eastAsia" w:ascii="宋体" w:hAnsi="宋体" w:eastAsia="宋体" w:cs="宋体"/>
          <w:b/>
          <w:bCs/>
          <w:color w:val="auto"/>
          <w:sz w:val="22"/>
          <w:szCs w:val="22"/>
          <w:highlight w:val="none"/>
          <w:lang w:val="en-US" w:eastAsia="zh-CN"/>
        </w:rPr>
        <w:t>招标</w:t>
      </w:r>
      <w:r>
        <w:rPr>
          <w:rFonts w:hint="eastAsia" w:ascii="宋体" w:hAnsi="宋体" w:eastAsia="宋体" w:cs="宋体"/>
          <w:b/>
          <w:bCs/>
          <w:color w:val="auto"/>
          <w:sz w:val="22"/>
          <w:szCs w:val="22"/>
          <w:highlight w:val="none"/>
        </w:rPr>
        <w:t>文件。</w:t>
      </w:r>
    </w:p>
    <w:p>
      <w:pPr>
        <w:spacing w:line="380" w:lineRule="exact"/>
        <w:ind w:firstLine="720"/>
        <w:rPr>
          <w:rFonts w:hint="eastAsia" w:ascii="宋体" w:hAnsi="宋体" w:eastAsia="宋体" w:cs="宋体"/>
          <w:color w:val="auto"/>
          <w:sz w:val="20"/>
          <w:szCs w:val="22"/>
          <w:highlight w:val="none"/>
        </w:rPr>
      </w:pPr>
      <w:r>
        <w:rPr>
          <w:rFonts w:hint="eastAsia" w:ascii="宋体" w:hAnsi="宋体" w:eastAsia="宋体" w:cs="宋体"/>
          <w:b/>
          <w:bCs/>
          <w:color w:val="auto"/>
          <w:sz w:val="22"/>
          <w:szCs w:val="22"/>
          <w:highlight w:val="none"/>
        </w:rPr>
        <w:t>3、如果免费请在该项内容栏内注明“免”，如果含在产品价格中则填“含”，如无此项内容则填“无”。</w:t>
      </w:r>
    </w:p>
    <w:p>
      <w:pPr>
        <w:spacing w:line="40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投标人全称（盖章）：</w:t>
      </w:r>
    </w:p>
    <w:p>
      <w:pPr>
        <w:spacing w:line="40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投标人代表（签字）：</w:t>
      </w:r>
    </w:p>
    <w:p>
      <w:pPr>
        <w:spacing w:line="38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 xml:space="preserve"> 日    期：</w:t>
      </w:r>
    </w:p>
    <w:p>
      <w:pPr>
        <w:outlineLvl w:val="9"/>
        <w:rPr>
          <w:rFonts w:hint="eastAsia" w:ascii="宋体" w:hAnsi="宋体" w:eastAsia="宋体" w:cs="宋体"/>
          <w:color w:val="auto"/>
          <w:sz w:val="22"/>
          <w:szCs w:val="22"/>
          <w:highlight w:val="none"/>
        </w:rPr>
      </w:pPr>
    </w:p>
    <w:p>
      <w:pPr>
        <w:outlineLvl w:val="9"/>
        <w:rPr>
          <w:rFonts w:hint="eastAsia" w:ascii="宋体" w:hAnsi="宋体" w:eastAsia="宋体" w:cs="宋体"/>
          <w:color w:val="auto"/>
          <w:sz w:val="22"/>
          <w:szCs w:val="22"/>
          <w:highlight w:val="none"/>
        </w:rPr>
      </w:pPr>
    </w:p>
    <w:p>
      <w:pPr>
        <w:outlineLvl w:val="9"/>
        <w:rPr>
          <w:rFonts w:hint="eastAsia" w:ascii="宋体" w:hAnsi="宋体" w:eastAsia="宋体" w:cs="宋体"/>
          <w:color w:val="auto"/>
          <w:sz w:val="22"/>
          <w:szCs w:val="22"/>
          <w:highlight w:val="none"/>
        </w:rPr>
      </w:pP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spacing w:line="420" w:lineRule="exact"/>
        <w:ind w:left="514" w:leftChars="245"/>
        <w:outlineLvl w:val="3"/>
        <w:rPr>
          <w:rFonts w:hint="eastAsia" w:ascii="宋体" w:hAnsi="宋体" w:eastAsia="宋体" w:cs="宋体"/>
          <w:b/>
          <w:bCs/>
          <w:color w:val="auto"/>
          <w:sz w:val="22"/>
          <w:szCs w:val="22"/>
          <w:highlight w:val="none"/>
        </w:rPr>
      </w:pPr>
      <w:r>
        <w:rPr>
          <w:rFonts w:hint="eastAsia" w:ascii="宋体" w:hAnsi="宋体" w:eastAsia="宋体" w:cs="宋体"/>
          <w:b/>
          <w:bCs/>
          <w:color w:val="auto"/>
          <w:sz w:val="28"/>
          <w:szCs w:val="28"/>
          <w:highlight w:val="none"/>
        </w:rPr>
        <w:t>4、监狱企业的相关证明材料</w:t>
      </w:r>
    </w:p>
    <w:p>
      <w:pPr>
        <w:spacing w:line="460" w:lineRule="exact"/>
        <w:ind w:firstLine="571" w:firstLineChars="245"/>
        <w:rPr>
          <w:rFonts w:hint="eastAsia" w:ascii="宋体" w:hAnsi="宋体" w:eastAsia="宋体" w:cs="宋体"/>
          <w:b/>
          <w:bCs/>
          <w:color w:val="auto"/>
          <w:sz w:val="22"/>
          <w:szCs w:val="22"/>
          <w:highlight w:val="none"/>
          <w:u w:val="single"/>
          <w:lang w:val="zh-CN"/>
        </w:rPr>
      </w:pPr>
      <w:r>
        <w:rPr>
          <w:rFonts w:hint="eastAsia" w:ascii="宋体" w:hAnsi="宋体" w:eastAsia="宋体" w:cs="宋体"/>
          <w:b/>
          <w:color w:val="auto"/>
          <w:spacing w:val="6"/>
          <w:sz w:val="22"/>
          <w:szCs w:val="22"/>
          <w:highlight w:val="none"/>
        </w:rPr>
        <w:t>需提供相关证明材料，</w:t>
      </w:r>
      <w:r>
        <w:rPr>
          <w:rFonts w:hint="eastAsia" w:ascii="宋体" w:hAnsi="宋体" w:eastAsia="宋体" w:cs="宋体"/>
          <w:b/>
          <w:bCs/>
          <w:color w:val="auto"/>
          <w:sz w:val="22"/>
          <w:szCs w:val="22"/>
          <w:highlight w:val="none"/>
          <w:u w:val="single"/>
          <w:lang w:val="zh-CN"/>
        </w:rPr>
        <w:t>未提供证明材料或不能清楚辨析</w:t>
      </w:r>
      <w:r>
        <w:rPr>
          <w:rFonts w:hint="eastAsia" w:ascii="宋体" w:hAnsi="宋体" w:eastAsia="宋体" w:cs="宋体"/>
          <w:b/>
          <w:bCs/>
          <w:color w:val="auto"/>
          <w:sz w:val="22"/>
          <w:szCs w:val="22"/>
          <w:highlight w:val="none"/>
          <w:u w:val="single"/>
        </w:rPr>
        <w:t>是监狱企业的按非监狱企业处理，所提供的证明材料应为最新的最近的</w:t>
      </w:r>
      <w:r>
        <w:rPr>
          <w:rFonts w:hint="eastAsia" w:ascii="宋体" w:hAnsi="宋体" w:eastAsia="宋体" w:cs="宋体"/>
          <w:b/>
          <w:bCs/>
          <w:color w:val="auto"/>
          <w:sz w:val="22"/>
          <w:szCs w:val="22"/>
          <w:highlight w:val="none"/>
          <w:u w:val="single"/>
          <w:lang w:val="zh-CN"/>
        </w:rPr>
        <w:t>。</w:t>
      </w:r>
    </w:p>
    <w:p>
      <w:pPr>
        <w:adjustRightInd w:val="0"/>
        <w:snapToGrid w:val="0"/>
        <w:spacing w:line="300" w:lineRule="auto"/>
        <w:jc w:val="center"/>
        <w:rPr>
          <w:rFonts w:hint="eastAsia" w:ascii="宋体" w:hAnsi="宋体" w:eastAsia="宋体" w:cs="宋体"/>
          <w:b/>
          <w:color w:val="auto"/>
          <w:spacing w:val="6"/>
          <w:sz w:val="22"/>
          <w:szCs w:val="22"/>
          <w:highlight w:val="none"/>
        </w:rPr>
      </w:pPr>
    </w:p>
    <w:p>
      <w:pPr>
        <w:adjustRightInd w:val="0"/>
        <w:snapToGrid w:val="0"/>
        <w:spacing w:line="300" w:lineRule="auto"/>
        <w:jc w:val="center"/>
        <w:rPr>
          <w:rFonts w:hint="eastAsia" w:ascii="宋体" w:hAnsi="宋体" w:eastAsia="宋体" w:cs="宋体"/>
          <w:b/>
          <w:color w:val="auto"/>
          <w:spacing w:val="6"/>
          <w:sz w:val="22"/>
          <w:szCs w:val="22"/>
          <w:highlight w:val="none"/>
        </w:rPr>
      </w:pPr>
    </w:p>
    <w:p>
      <w:pPr>
        <w:adjustRightInd w:val="0"/>
        <w:snapToGrid w:val="0"/>
        <w:spacing w:line="300" w:lineRule="auto"/>
        <w:jc w:val="center"/>
        <w:rPr>
          <w:rFonts w:hint="eastAsia" w:ascii="宋体" w:hAnsi="宋体" w:eastAsia="宋体" w:cs="宋体"/>
          <w:b/>
          <w:color w:val="auto"/>
          <w:spacing w:val="6"/>
          <w:sz w:val="22"/>
          <w:szCs w:val="22"/>
          <w:highlight w:val="none"/>
        </w:rPr>
      </w:pPr>
    </w:p>
    <w:p>
      <w:pPr>
        <w:adjustRightInd w:val="0"/>
        <w:snapToGrid w:val="0"/>
        <w:spacing w:line="300" w:lineRule="auto"/>
        <w:jc w:val="center"/>
        <w:rPr>
          <w:rFonts w:hint="eastAsia" w:ascii="宋体" w:hAnsi="宋体" w:eastAsia="宋体" w:cs="宋体"/>
          <w:color w:val="auto"/>
          <w:kern w:val="0"/>
          <w:sz w:val="22"/>
          <w:szCs w:val="22"/>
          <w:highlight w:val="none"/>
        </w:rPr>
      </w:pPr>
      <w:r>
        <w:rPr>
          <w:rFonts w:hint="eastAsia" w:ascii="宋体" w:hAnsi="宋体" w:eastAsia="宋体" w:cs="宋体"/>
          <w:b/>
          <w:color w:val="auto"/>
          <w:spacing w:val="6"/>
          <w:sz w:val="22"/>
          <w:szCs w:val="22"/>
          <w:highlight w:val="none"/>
        </w:rPr>
        <w:t>监狱企业声明函</w:t>
      </w:r>
    </w:p>
    <w:p>
      <w:pPr>
        <w:snapToGrid w:val="0"/>
        <w:spacing w:line="460" w:lineRule="exact"/>
        <w:ind w:firstLine="464" w:firstLineChars="200"/>
        <w:jc w:val="center"/>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【非监狱企业不用提供】</w:t>
      </w:r>
    </w:p>
    <w:p>
      <w:pPr>
        <w:snapToGrid w:val="0"/>
        <w:spacing w:line="460" w:lineRule="exact"/>
        <w:ind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 xml:space="preserve">本企业郑重声明，根据《关于政府采购支持监狱企业发展有关问题的通知》（财库[2014]68号）的规定，本企业为监狱企业。 </w:t>
      </w:r>
    </w:p>
    <w:p>
      <w:pPr>
        <w:snapToGrid w:val="0"/>
        <w:spacing w:line="460" w:lineRule="exact"/>
        <w:ind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根据上述标准，我企业属于监狱企业的理由为：</w:t>
      </w:r>
      <w:r>
        <w:rPr>
          <w:rFonts w:hint="eastAsia" w:ascii="宋体" w:hAnsi="宋体" w:eastAsia="宋体" w:cs="宋体"/>
          <w:color w:val="auto"/>
          <w:spacing w:val="6"/>
          <w:sz w:val="22"/>
          <w:szCs w:val="22"/>
          <w:highlight w:val="none"/>
          <w:u w:val="single"/>
        </w:rPr>
        <w:t xml:space="preserve">                                   </w:t>
      </w:r>
      <w:r>
        <w:rPr>
          <w:rFonts w:hint="eastAsia" w:ascii="宋体" w:hAnsi="宋体" w:eastAsia="宋体" w:cs="宋体"/>
          <w:color w:val="auto"/>
          <w:spacing w:val="6"/>
          <w:sz w:val="22"/>
          <w:szCs w:val="22"/>
          <w:highlight w:val="none"/>
        </w:rPr>
        <w:t xml:space="preserve">。 </w:t>
      </w:r>
    </w:p>
    <w:p>
      <w:pPr>
        <w:snapToGrid w:val="0"/>
        <w:spacing w:line="460" w:lineRule="exact"/>
        <w:ind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本企业为参加（招标项目名称</w:t>
      </w:r>
      <w:r>
        <w:rPr>
          <w:rFonts w:hint="eastAsia" w:ascii="宋体" w:hAnsi="宋体" w:eastAsia="宋体" w:cs="宋体"/>
          <w:color w:val="auto"/>
          <w:spacing w:val="6"/>
          <w:sz w:val="22"/>
          <w:szCs w:val="22"/>
          <w:highlight w:val="none"/>
          <w:u w:val="single"/>
        </w:rPr>
        <w:t xml:space="preserve">：         </w:t>
      </w:r>
      <w:r>
        <w:rPr>
          <w:rFonts w:hint="eastAsia" w:ascii="宋体" w:hAnsi="宋体" w:eastAsia="宋体" w:cs="宋体"/>
          <w:color w:val="auto"/>
          <w:spacing w:val="6"/>
          <w:sz w:val="22"/>
          <w:szCs w:val="22"/>
          <w:highlight w:val="none"/>
        </w:rPr>
        <w:t>）（招标编号</w:t>
      </w:r>
      <w:r>
        <w:rPr>
          <w:rFonts w:hint="eastAsia" w:ascii="宋体" w:hAnsi="宋体" w:eastAsia="宋体" w:cs="宋体"/>
          <w:color w:val="auto"/>
          <w:spacing w:val="6"/>
          <w:sz w:val="22"/>
          <w:szCs w:val="22"/>
          <w:highlight w:val="none"/>
          <w:u w:val="single"/>
        </w:rPr>
        <w:t xml:space="preserve">：         </w:t>
      </w:r>
      <w:r>
        <w:rPr>
          <w:rFonts w:hint="eastAsia" w:ascii="宋体" w:hAnsi="宋体" w:eastAsia="宋体" w:cs="宋体"/>
          <w:color w:val="auto"/>
          <w:spacing w:val="6"/>
          <w:sz w:val="22"/>
          <w:szCs w:val="22"/>
          <w:highlight w:val="none"/>
        </w:rPr>
        <w:t xml:space="preserve">）采购活动并承担本工程。 </w:t>
      </w:r>
    </w:p>
    <w:p>
      <w:pPr>
        <w:snapToGrid w:val="0"/>
        <w:spacing w:line="460" w:lineRule="exact"/>
        <w:ind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 xml:space="preserve">本企业对上述声明的真实性负责。如有虚假，将依法承担相应责任。  </w:t>
      </w:r>
    </w:p>
    <w:p>
      <w:pPr>
        <w:adjustRightInd w:val="0"/>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投标人全称（盖章）：</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 xml:space="preserve">                   </w:t>
      </w:r>
    </w:p>
    <w:p>
      <w:pPr>
        <w:adjustRightInd w:val="0"/>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日期：    年    月   日 </w:t>
      </w:r>
    </w:p>
    <w:p>
      <w:pPr>
        <w:snapToGrid w:val="0"/>
        <w:spacing w:line="460" w:lineRule="exact"/>
        <w:ind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 xml:space="preserve">监狱企业参加政府采购活动时，应当提供由省级以上监狱管理局、戒毒管理局（含新疆生产建设兵团）出具的属于监狱企业的证明文件。 </w:t>
      </w:r>
    </w:p>
    <w:p>
      <w:pPr>
        <w:adjustRightInd w:val="0"/>
        <w:snapToGrid w:val="0"/>
        <w:spacing w:line="460" w:lineRule="exact"/>
        <w:ind w:firstLine="464"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spacing w:val="6"/>
          <w:sz w:val="22"/>
          <w:szCs w:val="22"/>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pStyle w:val="24"/>
        <w:rPr>
          <w:rFonts w:hint="eastAsia" w:ascii="宋体" w:hAnsi="宋体" w:eastAsia="宋体" w:cs="宋体"/>
          <w:color w:val="auto"/>
          <w:highlight w:val="none"/>
        </w:rPr>
      </w:pPr>
    </w:p>
    <w:p>
      <w:pPr>
        <w:pStyle w:val="24"/>
        <w:rPr>
          <w:rFonts w:hint="eastAsia" w:ascii="宋体" w:hAnsi="宋体" w:eastAsia="宋体" w:cs="宋体"/>
          <w:color w:val="auto"/>
          <w:highlight w:val="none"/>
        </w:rPr>
      </w:pPr>
    </w:p>
    <w:p>
      <w:pPr>
        <w:tabs>
          <w:tab w:val="left" w:pos="1620"/>
        </w:tabs>
        <w:spacing w:line="460" w:lineRule="exact"/>
        <w:outlineLvl w:val="3"/>
        <w:rPr>
          <w:rFonts w:hint="eastAsia" w:ascii="宋体" w:hAnsi="宋体" w:eastAsia="宋体" w:cs="宋体"/>
          <w:b/>
          <w:bCs/>
          <w:color w:val="auto"/>
          <w:sz w:val="22"/>
          <w:szCs w:val="22"/>
          <w:highlight w:val="none"/>
        </w:rPr>
      </w:pPr>
      <w:r>
        <w:rPr>
          <w:rFonts w:hint="eastAsia" w:ascii="宋体" w:hAnsi="宋体" w:eastAsia="宋体" w:cs="宋体"/>
          <w:b/>
          <w:bCs/>
          <w:color w:val="auto"/>
          <w:sz w:val="28"/>
          <w:szCs w:val="28"/>
          <w:highlight w:val="none"/>
        </w:rPr>
        <w:t>5、中小企业的相关证明材料</w:t>
      </w:r>
    </w:p>
    <w:p>
      <w:pPr>
        <w:snapToGrid w:val="0"/>
        <w:spacing w:line="460" w:lineRule="exact"/>
        <w:ind w:firstLine="464" w:firstLineChars="200"/>
        <w:jc w:val="center"/>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【非</w:t>
      </w:r>
      <w:r>
        <w:rPr>
          <w:rFonts w:hint="eastAsia" w:ascii="宋体" w:hAnsi="宋体" w:eastAsia="宋体" w:cs="宋体"/>
          <w:color w:val="auto"/>
          <w:spacing w:val="6"/>
          <w:sz w:val="22"/>
          <w:szCs w:val="22"/>
          <w:highlight w:val="none"/>
          <w:lang w:val="zh-CN"/>
        </w:rPr>
        <w:t>小型、微型</w:t>
      </w:r>
      <w:r>
        <w:rPr>
          <w:rFonts w:hint="eastAsia" w:ascii="宋体" w:hAnsi="宋体" w:eastAsia="宋体" w:cs="宋体"/>
          <w:color w:val="auto"/>
          <w:spacing w:val="6"/>
          <w:sz w:val="22"/>
          <w:szCs w:val="22"/>
          <w:highlight w:val="none"/>
        </w:rPr>
        <w:t>企业不用提供】</w:t>
      </w:r>
    </w:p>
    <w:p>
      <w:pPr>
        <w:spacing w:line="380" w:lineRule="exact"/>
        <w:rPr>
          <w:rFonts w:hint="eastAsia" w:ascii="宋体" w:hAnsi="宋体" w:eastAsia="宋体" w:cs="宋体"/>
          <w:color w:val="auto"/>
          <w:sz w:val="22"/>
          <w:szCs w:val="22"/>
          <w:highlight w:val="none"/>
        </w:rPr>
      </w:pPr>
    </w:p>
    <w:p>
      <w:pPr>
        <w:spacing w:line="460" w:lineRule="exact"/>
        <w:ind w:firstLine="539" w:firstLineChars="245"/>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根据《政府采购促进中小企业发展管理办法》（财库﹝2020﹞46号），对投标产品为小型或微型企业生产的，</w:t>
      </w:r>
      <w:r>
        <w:rPr>
          <w:rFonts w:hint="eastAsia" w:ascii="宋体" w:hAnsi="宋体" w:eastAsia="宋体" w:cs="宋体"/>
          <w:b/>
          <w:bCs/>
          <w:color w:val="auto"/>
          <w:sz w:val="22"/>
          <w:szCs w:val="22"/>
          <w:highlight w:val="none"/>
          <w:u w:val="single"/>
          <w:lang w:val="zh-CN"/>
        </w:rPr>
        <w:t>价格给予</w:t>
      </w:r>
      <w:r>
        <w:rPr>
          <w:rFonts w:hint="eastAsia" w:ascii="宋体" w:hAnsi="宋体" w:cs="宋体"/>
          <w:b/>
          <w:bCs/>
          <w:color w:val="auto"/>
          <w:sz w:val="22"/>
          <w:szCs w:val="22"/>
          <w:highlight w:val="none"/>
          <w:u w:val="single"/>
          <w:lang w:val="en-US" w:eastAsia="zh-CN"/>
        </w:rPr>
        <w:t>10</w:t>
      </w:r>
      <w:r>
        <w:rPr>
          <w:rFonts w:hint="eastAsia" w:ascii="宋体" w:hAnsi="宋体" w:eastAsia="宋体" w:cs="宋体"/>
          <w:b/>
          <w:bCs/>
          <w:color w:val="auto"/>
          <w:sz w:val="22"/>
          <w:szCs w:val="22"/>
          <w:highlight w:val="none"/>
          <w:u w:val="single"/>
          <w:lang w:val="zh-CN"/>
        </w:rPr>
        <w:t>%的扣除</w:t>
      </w:r>
      <w:r>
        <w:rPr>
          <w:rFonts w:hint="eastAsia" w:ascii="宋体" w:hAnsi="宋体" w:eastAsia="宋体" w:cs="宋体"/>
          <w:color w:val="auto"/>
          <w:sz w:val="22"/>
          <w:szCs w:val="22"/>
          <w:highlight w:val="none"/>
          <w:lang w:val="zh-CN"/>
        </w:rPr>
        <w:t>，用扣除后的价格参与价格评分。</w:t>
      </w:r>
    </w:p>
    <w:p>
      <w:pPr>
        <w:spacing w:line="460" w:lineRule="exact"/>
        <w:ind w:firstLine="541" w:firstLineChars="245"/>
        <w:rPr>
          <w:rFonts w:hint="eastAsia" w:ascii="宋体" w:hAnsi="宋体" w:eastAsia="宋体" w:cs="宋体"/>
          <w:color w:val="auto"/>
          <w:sz w:val="22"/>
          <w:szCs w:val="22"/>
          <w:highlight w:val="none"/>
          <w:lang w:val="zh-CN"/>
        </w:rPr>
      </w:pPr>
      <w:r>
        <w:rPr>
          <w:rFonts w:hint="eastAsia" w:ascii="宋体" w:hAnsi="宋体" w:eastAsia="宋体" w:cs="宋体"/>
          <w:b/>
          <w:bCs/>
          <w:color w:val="auto"/>
          <w:sz w:val="22"/>
          <w:szCs w:val="22"/>
          <w:highlight w:val="none"/>
          <w:u w:val="single"/>
          <w:lang w:val="en-US" w:eastAsia="zh-CN"/>
        </w:rPr>
        <w:t>同时</w:t>
      </w:r>
      <w:r>
        <w:rPr>
          <w:rFonts w:hint="eastAsia" w:ascii="宋体" w:hAnsi="宋体" w:eastAsia="宋体" w:cs="宋体"/>
          <w:b/>
          <w:bCs/>
          <w:color w:val="auto"/>
          <w:sz w:val="22"/>
          <w:szCs w:val="22"/>
          <w:highlight w:val="none"/>
          <w:u w:val="single"/>
          <w:lang w:val="zh-CN"/>
        </w:rPr>
        <w:t>符合以下所有要求的投标人被认定为小型、微型企业：</w:t>
      </w:r>
    </w:p>
    <w:p>
      <w:pPr>
        <w:spacing w:line="460" w:lineRule="exact"/>
        <w:ind w:firstLine="541" w:firstLineChars="245"/>
        <w:rPr>
          <w:rFonts w:hint="eastAsia" w:ascii="宋体" w:hAnsi="宋体" w:eastAsia="宋体" w:cs="宋体"/>
          <w:b/>
          <w:bCs/>
          <w:color w:val="auto"/>
          <w:sz w:val="22"/>
          <w:szCs w:val="22"/>
          <w:highlight w:val="none"/>
          <w:lang w:val="zh-CN"/>
        </w:rPr>
      </w:pPr>
      <w:r>
        <w:rPr>
          <w:rFonts w:hint="eastAsia" w:ascii="宋体" w:hAnsi="宋体" w:eastAsia="宋体" w:cs="宋体"/>
          <w:b/>
          <w:bCs/>
          <w:color w:val="auto"/>
          <w:sz w:val="22"/>
          <w:szCs w:val="22"/>
          <w:highlight w:val="none"/>
          <w:lang w:val="zh-CN"/>
        </w:rPr>
        <w:t>①投标产品生产企业按照《关于印发中小企业划型标准规定的通知》（工信部联企业〔2011〕300号）的所属行业规定为小型、微型企业。</w:t>
      </w:r>
    </w:p>
    <w:p>
      <w:pPr>
        <w:spacing w:line="460" w:lineRule="exact"/>
        <w:ind w:firstLine="541" w:firstLineChars="245"/>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u w:val="single"/>
          <w:lang w:val="en-US" w:eastAsia="zh-CN"/>
        </w:rPr>
        <w:t>②</w:t>
      </w:r>
      <w:r>
        <w:rPr>
          <w:rFonts w:hint="eastAsia" w:ascii="宋体" w:hAnsi="宋体" w:eastAsia="宋体" w:cs="宋体"/>
          <w:b/>
          <w:bCs/>
          <w:color w:val="auto"/>
          <w:sz w:val="22"/>
          <w:szCs w:val="22"/>
          <w:highlight w:val="none"/>
          <w:u w:val="single"/>
          <w:lang w:val="zh-CN"/>
        </w:rPr>
        <w:t>投标文件中必须提供《中小企业声明函》。</w:t>
      </w:r>
    </w:p>
    <w:p>
      <w:pPr>
        <w:spacing w:line="460" w:lineRule="exact"/>
        <w:jc w:val="center"/>
        <w:rPr>
          <w:rFonts w:hint="eastAsia" w:ascii="宋体" w:hAnsi="宋体" w:eastAsia="宋体" w:cs="宋体"/>
          <w:b/>
          <w:bCs/>
          <w:color w:val="auto"/>
          <w:sz w:val="22"/>
          <w:szCs w:val="22"/>
          <w:highlight w:val="none"/>
        </w:rPr>
      </w:pPr>
    </w:p>
    <w:p>
      <w:pPr>
        <w:spacing w:line="460" w:lineRule="exact"/>
        <w:ind w:firstLine="420" w:firstLineChars="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w:t>
      </w:r>
      <w:r>
        <w:rPr>
          <w:rFonts w:hint="eastAsia" w:ascii="宋体" w:hAnsi="宋体" w:eastAsia="宋体" w:cs="宋体"/>
          <w:b/>
          <w:bCs/>
          <w:color w:val="auto"/>
          <w:spacing w:val="20"/>
          <w:sz w:val="22"/>
          <w:szCs w:val="22"/>
          <w:highlight w:val="none"/>
        </w:rPr>
        <w:t>中小企业声明函（货物</w:t>
      </w:r>
      <w:r>
        <w:rPr>
          <w:rFonts w:hint="eastAsia" w:ascii="宋体" w:hAnsi="宋体" w:eastAsia="宋体" w:cs="宋体"/>
          <w:b/>
          <w:bCs/>
          <w:color w:val="auto"/>
          <w:spacing w:val="20"/>
          <w:sz w:val="22"/>
          <w:szCs w:val="22"/>
          <w:highlight w:val="none"/>
          <w:lang w:eastAsia="zh-CN"/>
        </w:rPr>
        <w:t>）</w:t>
      </w:r>
      <w:r>
        <w:rPr>
          <w:rFonts w:hint="eastAsia" w:ascii="宋体" w:hAnsi="宋体" w:eastAsia="宋体" w:cs="宋体"/>
          <w:b/>
          <w:bCs/>
          <w:color w:val="auto"/>
          <w:sz w:val="22"/>
          <w:szCs w:val="22"/>
          <w:highlight w:val="none"/>
        </w:rPr>
        <w:t>》</w:t>
      </w:r>
    </w:p>
    <w:p>
      <w:pPr>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【不属于中小企业单位的无需填写、递交】</w:t>
      </w:r>
    </w:p>
    <w:p>
      <w:pPr>
        <w:spacing w:line="460" w:lineRule="exact"/>
        <w:ind w:firstLine="637" w:firstLineChars="245"/>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本公司（联合体）郑重声明，根据《政府采购促进中小企业发展管理办法》（财库﹝2020﹞46 号）的规定，本公司（联合体）参加</w:t>
      </w:r>
      <w:r>
        <w:rPr>
          <w:rFonts w:hint="eastAsia" w:ascii="宋体" w:hAnsi="宋体" w:eastAsia="宋体" w:cs="宋体"/>
          <w:color w:val="auto"/>
          <w:spacing w:val="20"/>
          <w:sz w:val="22"/>
          <w:szCs w:val="22"/>
          <w:highlight w:val="none"/>
          <w:u w:val="single"/>
        </w:rPr>
        <w:t>（单位名称）</w:t>
      </w:r>
      <w:r>
        <w:rPr>
          <w:rFonts w:hint="eastAsia" w:ascii="宋体" w:hAnsi="宋体" w:eastAsia="宋体" w:cs="宋体"/>
          <w:color w:val="auto"/>
          <w:spacing w:val="20"/>
          <w:sz w:val="22"/>
          <w:szCs w:val="22"/>
          <w:highlight w:val="none"/>
        </w:rPr>
        <w:t>的</w:t>
      </w:r>
      <w:r>
        <w:rPr>
          <w:rFonts w:hint="eastAsia" w:ascii="宋体" w:hAnsi="宋体" w:eastAsia="宋体" w:cs="宋体"/>
          <w:color w:val="auto"/>
          <w:spacing w:val="20"/>
          <w:sz w:val="22"/>
          <w:szCs w:val="22"/>
          <w:highlight w:val="none"/>
          <w:u w:val="single"/>
        </w:rPr>
        <w:t>（项目名称）</w:t>
      </w:r>
      <w:r>
        <w:rPr>
          <w:rFonts w:hint="eastAsia" w:ascii="宋体" w:hAnsi="宋体" w:eastAsia="宋体" w:cs="宋体"/>
          <w:color w:val="auto"/>
          <w:spacing w:val="20"/>
          <w:sz w:val="22"/>
          <w:szCs w:val="22"/>
          <w:highlight w:val="none"/>
        </w:rPr>
        <w:t>采购活动，提供的货物全部由符合政策要求的中小企业制造。相关企业（含联合体中的中小企业、签订分包意向协议的中小企业）的具体情况如下：</w:t>
      </w:r>
    </w:p>
    <w:p>
      <w:pPr>
        <w:spacing w:line="460" w:lineRule="exact"/>
        <w:ind w:firstLine="539" w:firstLineChars="245"/>
        <w:rPr>
          <w:rFonts w:hint="eastAsia" w:ascii="宋体" w:hAnsi="宋体" w:eastAsia="宋体" w:cs="宋体"/>
          <w:color w:val="auto"/>
          <w:spacing w:val="20"/>
          <w:sz w:val="22"/>
          <w:szCs w:val="22"/>
          <w:highlight w:val="none"/>
        </w:rPr>
      </w:pPr>
      <w:r>
        <w:rPr>
          <w:rFonts w:hint="eastAsia" w:ascii="宋体" w:hAnsi="宋体" w:eastAsia="宋体" w:cs="宋体"/>
          <w:b w:val="0"/>
          <w:bCs w:val="0"/>
          <w:color w:val="auto"/>
          <w:sz w:val="22"/>
          <w:szCs w:val="22"/>
          <w:highlight w:val="none"/>
          <w:lang w:val="zh-CN"/>
        </w:rPr>
        <w:t>1.</w:t>
      </w:r>
      <w:r>
        <w:rPr>
          <w:rFonts w:hint="eastAsia" w:ascii="宋体" w:hAnsi="宋体" w:eastAsia="宋体" w:cs="宋体"/>
          <w:b w:val="0"/>
          <w:bCs w:val="0"/>
          <w:color w:val="auto"/>
          <w:sz w:val="22"/>
          <w:szCs w:val="22"/>
          <w:highlight w:val="none"/>
          <w:u w:val="single"/>
          <w:lang w:val="zh-CN"/>
        </w:rPr>
        <w:t>（标的名称）</w:t>
      </w:r>
      <w:r>
        <w:rPr>
          <w:rFonts w:hint="eastAsia" w:ascii="宋体" w:hAnsi="宋体" w:eastAsia="宋体" w:cs="宋体"/>
          <w:b w:val="0"/>
          <w:bCs w:val="0"/>
          <w:color w:val="auto"/>
          <w:sz w:val="22"/>
          <w:szCs w:val="22"/>
          <w:highlight w:val="none"/>
          <w:lang w:val="zh-CN"/>
        </w:rPr>
        <w:t xml:space="preserve"> ，属于</w:t>
      </w:r>
      <w:r>
        <w:rPr>
          <w:rFonts w:hint="eastAsia" w:ascii="宋体" w:hAnsi="宋体" w:eastAsia="宋体" w:cs="宋体"/>
          <w:b w:val="0"/>
          <w:bCs w:val="0"/>
          <w:color w:val="auto"/>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行业；制造商为</w:t>
      </w:r>
      <w:r>
        <w:rPr>
          <w:rFonts w:hint="eastAsia" w:ascii="宋体" w:hAnsi="宋体" w:eastAsia="宋体" w:cs="宋体"/>
          <w:color w:val="auto"/>
          <w:spacing w:val="20"/>
          <w:sz w:val="22"/>
          <w:szCs w:val="22"/>
          <w:highlight w:val="none"/>
          <w:u w:val="single"/>
        </w:rPr>
        <w:t>（企业名称）</w:t>
      </w:r>
      <w:r>
        <w:rPr>
          <w:rFonts w:hint="eastAsia" w:ascii="宋体" w:hAnsi="宋体" w:eastAsia="宋体" w:cs="宋体"/>
          <w:color w:val="auto"/>
          <w:spacing w:val="20"/>
          <w:sz w:val="22"/>
          <w:szCs w:val="22"/>
          <w:highlight w:val="none"/>
          <w:u w:val="single"/>
          <w:lang w:eastAsia="zh-CN"/>
        </w:rPr>
        <w:t>，</w:t>
      </w:r>
      <w:r>
        <w:rPr>
          <w:rFonts w:hint="eastAsia" w:ascii="宋体" w:hAnsi="宋体" w:eastAsia="宋体" w:cs="宋体"/>
          <w:color w:val="auto"/>
          <w:spacing w:val="20"/>
          <w:sz w:val="22"/>
          <w:szCs w:val="22"/>
          <w:highlight w:val="none"/>
        </w:rPr>
        <w:t>从业人员</w:t>
      </w:r>
      <w:r>
        <w:rPr>
          <w:rFonts w:hint="eastAsia" w:ascii="宋体" w:hAnsi="宋体" w:eastAsia="宋体" w:cs="宋体"/>
          <w:color w:val="auto"/>
          <w:spacing w:val="20"/>
          <w:sz w:val="22"/>
          <w:szCs w:val="22"/>
          <w:highlight w:val="none"/>
          <w:u w:val="single"/>
        </w:rPr>
        <w:t xml:space="preserve"> </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人，营业收入为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万元，资产总额为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万元，属于</w:t>
      </w:r>
      <w:r>
        <w:rPr>
          <w:rFonts w:hint="eastAsia" w:ascii="宋体" w:hAnsi="宋体" w:eastAsia="宋体" w:cs="宋体"/>
          <w:color w:val="auto"/>
          <w:spacing w:val="20"/>
          <w:sz w:val="22"/>
          <w:szCs w:val="22"/>
          <w:highlight w:val="none"/>
          <w:u w:val="single"/>
        </w:rPr>
        <w:t>（中型企业、小型企业、微型企业）</w:t>
      </w:r>
      <w:r>
        <w:rPr>
          <w:rFonts w:hint="eastAsia" w:ascii="宋体" w:hAnsi="宋体" w:eastAsia="宋体" w:cs="宋体"/>
          <w:color w:val="auto"/>
          <w:spacing w:val="20"/>
          <w:sz w:val="22"/>
          <w:szCs w:val="22"/>
          <w:highlight w:val="none"/>
        </w:rPr>
        <w:t>；</w:t>
      </w:r>
    </w:p>
    <w:p>
      <w:pPr>
        <w:spacing w:line="460" w:lineRule="exact"/>
        <w:ind w:firstLine="520" w:firstLineChars="200"/>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2.</w:t>
      </w:r>
      <w:r>
        <w:rPr>
          <w:rFonts w:hint="eastAsia" w:ascii="宋体" w:hAnsi="宋体" w:eastAsia="宋体" w:cs="宋体"/>
          <w:color w:val="auto"/>
          <w:spacing w:val="20"/>
          <w:sz w:val="22"/>
          <w:szCs w:val="22"/>
          <w:highlight w:val="none"/>
          <w:u w:val="single"/>
        </w:rPr>
        <w:t>（标的名称）</w:t>
      </w:r>
      <w:r>
        <w:rPr>
          <w:rFonts w:hint="eastAsia" w:ascii="宋体" w:hAnsi="宋体" w:eastAsia="宋体" w:cs="宋体"/>
          <w:color w:val="auto"/>
          <w:spacing w:val="20"/>
          <w:sz w:val="22"/>
          <w:szCs w:val="22"/>
          <w:highlight w:val="none"/>
        </w:rPr>
        <w:t xml:space="preserve"> ，属于</w:t>
      </w:r>
      <w:r>
        <w:rPr>
          <w:rFonts w:hint="eastAsia" w:ascii="宋体" w:hAnsi="宋体" w:eastAsia="宋体" w:cs="宋体"/>
          <w:color w:val="auto"/>
          <w:spacing w:val="20"/>
          <w:sz w:val="22"/>
          <w:szCs w:val="22"/>
          <w:highlight w:val="none"/>
          <w:u w:val="single"/>
        </w:rPr>
        <w:t>（采购文件中明确的所属行业）</w:t>
      </w:r>
      <w:r>
        <w:rPr>
          <w:rFonts w:hint="eastAsia" w:ascii="宋体" w:hAnsi="宋体" w:eastAsia="宋体" w:cs="宋体"/>
          <w:color w:val="auto"/>
          <w:spacing w:val="20"/>
          <w:sz w:val="22"/>
          <w:szCs w:val="22"/>
          <w:highlight w:val="none"/>
        </w:rPr>
        <w:t>行业；制造商为（企业名称），从业人员</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人，营业收入为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万元，资产总额为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万元，属于（中型企业、小型企业、微型企业）；</w:t>
      </w:r>
    </w:p>
    <w:p>
      <w:pPr>
        <w:spacing w:line="460" w:lineRule="exact"/>
        <w:ind w:firstLine="520" w:firstLineChars="200"/>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w:t>
      </w:r>
    </w:p>
    <w:p>
      <w:pPr>
        <w:spacing w:line="460" w:lineRule="exact"/>
        <w:ind w:firstLine="520" w:firstLineChars="200"/>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以上企业，不属于大企业的分支机构，不存在控股股东为大企业的情形，也不存在与大企业的负责人为同一人的情形。</w:t>
      </w:r>
    </w:p>
    <w:p>
      <w:pPr>
        <w:spacing w:line="460" w:lineRule="exact"/>
        <w:ind w:firstLine="520" w:firstLineChars="200"/>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本企业对上述声明内容的真实性负责。如有虚假，将依法承担相应责任。</w:t>
      </w:r>
    </w:p>
    <w:p>
      <w:pPr>
        <w:spacing w:line="460" w:lineRule="exact"/>
        <w:rPr>
          <w:rFonts w:hint="eastAsia" w:ascii="宋体" w:hAnsi="宋体" w:eastAsia="宋体" w:cs="宋体"/>
          <w:color w:val="auto"/>
          <w:spacing w:val="20"/>
          <w:sz w:val="22"/>
          <w:szCs w:val="22"/>
          <w:highlight w:val="none"/>
        </w:rPr>
      </w:pPr>
    </w:p>
    <w:p>
      <w:pPr>
        <w:pStyle w:val="2"/>
        <w:rPr>
          <w:rFonts w:hint="eastAsia" w:ascii="宋体" w:hAnsi="宋体" w:eastAsia="宋体" w:cs="宋体"/>
          <w:color w:val="auto"/>
          <w:sz w:val="22"/>
          <w:szCs w:val="22"/>
          <w:highlight w:val="none"/>
        </w:rPr>
      </w:pPr>
    </w:p>
    <w:p>
      <w:pPr>
        <w:spacing w:line="460" w:lineRule="exact"/>
        <w:jc w:val="center"/>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lang w:val="en-US" w:eastAsia="zh-CN"/>
        </w:rPr>
        <w:t xml:space="preserve">          </w:t>
      </w:r>
      <w:r>
        <w:rPr>
          <w:rFonts w:hint="eastAsia" w:ascii="宋体" w:hAnsi="宋体" w:eastAsia="宋体" w:cs="宋体"/>
          <w:color w:val="auto"/>
          <w:spacing w:val="20"/>
          <w:sz w:val="22"/>
          <w:szCs w:val="22"/>
          <w:highlight w:val="none"/>
        </w:rPr>
        <w:t>企业名称（盖章）：</w:t>
      </w:r>
    </w:p>
    <w:p>
      <w:pPr>
        <w:spacing w:line="460" w:lineRule="exact"/>
        <w:jc w:val="center"/>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lang w:val="en-US" w:eastAsia="zh-CN"/>
        </w:rPr>
        <w:t xml:space="preserve"> </w:t>
      </w:r>
      <w:r>
        <w:rPr>
          <w:rFonts w:hint="eastAsia" w:ascii="宋体" w:hAnsi="宋体" w:eastAsia="宋体" w:cs="宋体"/>
          <w:color w:val="auto"/>
          <w:spacing w:val="20"/>
          <w:sz w:val="22"/>
          <w:szCs w:val="22"/>
          <w:highlight w:val="none"/>
        </w:rPr>
        <w:t>日 期：</w:t>
      </w:r>
    </w:p>
    <w:p>
      <w:pPr>
        <w:pStyle w:val="2"/>
        <w:rPr>
          <w:rFonts w:hint="eastAsia" w:ascii="宋体" w:hAnsi="宋体" w:eastAsia="宋体" w:cs="宋体"/>
          <w:color w:val="auto"/>
          <w:spacing w:val="20"/>
          <w:sz w:val="22"/>
          <w:szCs w:val="22"/>
          <w:highlight w:val="none"/>
        </w:rPr>
      </w:pPr>
    </w:p>
    <w:p>
      <w:pPr>
        <w:rPr>
          <w:rFonts w:hint="eastAsia" w:ascii="宋体" w:hAnsi="宋体" w:eastAsia="宋体" w:cs="宋体"/>
          <w:color w:val="auto"/>
          <w:spacing w:val="20"/>
          <w:sz w:val="22"/>
          <w:szCs w:val="22"/>
          <w:highlight w:val="none"/>
        </w:rPr>
      </w:pPr>
    </w:p>
    <w:p>
      <w:pPr>
        <w:pStyle w:val="2"/>
        <w:rPr>
          <w:rFonts w:hint="eastAsia" w:ascii="宋体" w:hAnsi="宋体" w:eastAsia="宋体" w:cs="宋体"/>
          <w:color w:val="auto"/>
          <w:spacing w:val="20"/>
          <w:sz w:val="22"/>
          <w:szCs w:val="22"/>
          <w:highlight w:val="none"/>
        </w:rPr>
      </w:pPr>
    </w:p>
    <w:p>
      <w:pPr>
        <w:rPr>
          <w:rFonts w:hint="eastAsia" w:ascii="宋体" w:hAnsi="宋体" w:eastAsia="宋体" w:cs="宋体"/>
          <w:color w:val="auto"/>
          <w:spacing w:val="20"/>
          <w:sz w:val="22"/>
          <w:szCs w:val="22"/>
          <w:highlight w:val="none"/>
        </w:rPr>
      </w:pPr>
    </w:p>
    <w:p>
      <w:pPr>
        <w:spacing w:line="460" w:lineRule="exact"/>
        <w:jc w:val="center"/>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中小企业声明函（工程、服务）</w:t>
      </w:r>
      <w:r>
        <w:rPr>
          <w:rFonts w:hint="eastAsia" w:ascii="宋体" w:hAnsi="宋体" w:eastAsia="宋体" w:cs="宋体"/>
          <w:b/>
          <w:bCs/>
          <w:color w:val="auto"/>
          <w:sz w:val="24"/>
          <w:szCs w:val="24"/>
          <w:highlight w:val="none"/>
          <w:lang w:eastAsia="zh-CN"/>
        </w:rPr>
        <w:t>》</w:t>
      </w:r>
    </w:p>
    <w:p>
      <w:pPr>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【不属于中小企业单位的无需填写、递交】</w:t>
      </w:r>
    </w:p>
    <w:p>
      <w:pPr>
        <w:spacing w:line="460" w:lineRule="exact"/>
        <w:ind w:firstLine="637" w:firstLineChars="245"/>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本公司（联合体）郑重声明，根据《政府采购促进中小企业发展管理办法》（财库﹝2020﹞46 号）的规定，本公司（联合体）参加</w:t>
      </w:r>
      <w:r>
        <w:rPr>
          <w:rFonts w:hint="eastAsia" w:ascii="宋体" w:hAnsi="宋体" w:eastAsia="宋体" w:cs="宋体"/>
          <w:color w:val="auto"/>
          <w:spacing w:val="20"/>
          <w:sz w:val="22"/>
          <w:szCs w:val="22"/>
          <w:highlight w:val="none"/>
          <w:u w:val="single"/>
        </w:rPr>
        <w:t>（单位名称）</w:t>
      </w:r>
      <w:r>
        <w:rPr>
          <w:rFonts w:hint="eastAsia" w:ascii="宋体" w:hAnsi="宋体" w:eastAsia="宋体" w:cs="宋体"/>
          <w:color w:val="auto"/>
          <w:spacing w:val="20"/>
          <w:sz w:val="22"/>
          <w:szCs w:val="22"/>
          <w:highlight w:val="none"/>
        </w:rPr>
        <w:t>的</w:t>
      </w:r>
      <w:r>
        <w:rPr>
          <w:rFonts w:hint="eastAsia" w:ascii="宋体" w:hAnsi="宋体" w:eastAsia="宋体" w:cs="宋体"/>
          <w:color w:val="auto"/>
          <w:spacing w:val="20"/>
          <w:sz w:val="22"/>
          <w:szCs w:val="22"/>
          <w:highlight w:val="none"/>
          <w:u w:val="single"/>
        </w:rPr>
        <w:t>（项目名称）</w:t>
      </w:r>
      <w:r>
        <w:rPr>
          <w:rFonts w:hint="eastAsia" w:ascii="宋体" w:hAnsi="宋体" w:eastAsia="宋体" w:cs="宋体"/>
          <w:color w:val="auto"/>
          <w:spacing w:val="20"/>
          <w:sz w:val="22"/>
          <w:szCs w:val="22"/>
          <w:highlight w:val="none"/>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spacing w:line="460" w:lineRule="exact"/>
        <w:ind w:firstLine="637" w:firstLineChars="245"/>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1.</w:t>
      </w:r>
      <w:r>
        <w:rPr>
          <w:rFonts w:hint="eastAsia" w:ascii="宋体" w:hAnsi="宋体" w:eastAsia="宋体" w:cs="宋体"/>
          <w:color w:val="auto"/>
          <w:spacing w:val="20"/>
          <w:sz w:val="22"/>
          <w:szCs w:val="22"/>
          <w:highlight w:val="none"/>
          <w:u w:val="single"/>
        </w:rPr>
        <w:t>（标的名称）</w:t>
      </w:r>
      <w:r>
        <w:rPr>
          <w:rFonts w:hint="eastAsia" w:ascii="宋体" w:hAnsi="宋体" w:eastAsia="宋体" w:cs="宋体"/>
          <w:color w:val="auto"/>
          <w:spacing w:val="20"/>
          <w:sz w:val="22"/>
          <w:szCs w:val="22"/>
          <w:highlight w:val="none"/>
        </w:rPr>
        <w:t>，属于</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u w:val="none"/>
          <w:lang w:val="en-US" w:eastAsia="zh-CN"/>
        </w:rPr>
        <w:t>行业</w:t>
      </w:r>
      <w:r>
        <w:rPr>
          <w:rFonts w:hint="eastAsia" w:ascii="宋体" w:hAnsi="宋体" w:eastAsia="宋体" w:cs="宋体"/>
          <w:color w:val="auto"/>
          <w:spacing w:val="20"/>
          <w:sz w:val="22"/>
          <w:szCs w:val="22"/>
          <w:highlight w:val="none"/>
        </w:rPr>
        <w:t>； 承建（承接）企业为</w:t>
      </w:r>
      <w:r>
        <w:rPr>
          <w:rFonts w:hint="eastAsia" w:ascii="宋体" w:hAnsi="宋体" w:eastAsia="宋体" w:cs="宋体"/>
          <w:color w:val="auto"/>
          <w:spacing w:val="20"/>
          <w:sz w:val="22"/>
          <w:szCs w:val="22"/>
          <w:highlight w:val="none"/>
          <w:u w:val="single"/>
        </w:rPr>
        <w:t>（企业名称）</w:t>
      </w:r>
      <w:r>
        <w:rPr>
          <w:rFonts w:hint="eastAsia" w:ascii="宋体" w:hAnsi="宋体" w:eastAsia="宋体" w:cs="宋体"/>
          <w:color w:val="auto"/>
          <w:spacing w:val="20"/>
          <w:sz w:val="22"/>
          <w:szCs w:val="22"/>
          <w:highlight w:val="none"/>
        </w:rPr>
        <w:t>，从业人员</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人，营业收入为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万元，资产总额为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万元，属于</w:t>
      </w:r>
      <w:r>
        <w:rPr>
          <w:rFonts w:hint="eastAsia" w:ascii="宋体" w:hAnsi="宋体" w:eastAsia="宋体" w:cs="宋体"/>
          <w:color w:val="auto"/>
          <w:spacing w:val="20"/>
          <w:sz w:val="22"/>
          <w:szCs w:val="22"/>
          <w:highlight w:val="none"/>
          <w:u w:val="single"/>
        </w:rPr>
        <w:t>（中型企业、 小型企业、微型企业）</w:t>
      </w:r>
      <w:r>
        <w:rPr>
          <w:rFonts w:hint="eastAsia" w:ascii="宋体" w:hAnsi="宋体" w:eastAsia="宋体" w:cs="宋体"/>
          <w:color w:val="auto"/>
          <w:spacing w:val="20"/>
          <w:sz w:val="22"/>
          <w:szCs w:val="22"/>
          <w:highlight w:val="none"/>
        </w:rPr>
        <w:t xml:space="preserve">； </w:t>
      </w:r>
    </w:p>
    <w:p>
      <w:pPr>
        <w:spacing w:line="460" w:lineRule="exact"/>
        <w:ind w:firstLine="637" w:firstLineChars="245"/>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2.</w:t>
      </w:r>
      <w:r>
        <w:rPr>
          <w:rFonts w:hint="eastAsia" w:ascii="宋体" w:hAnsi="宋体" w:eastAsia="宋体" w:cs="宋体"/>
          <w:color w:val="auto"/>
          <w:spacing w:val="20"/>
          <w:sz w:val="22"/>
          <w:szCs w:val="22"/>
          <w:highlight w:val="none"/>
          <w:u w:val="single"/>
        </w:rPr>
        <w:t>（标的名称）</w:t>
      </w:r>
      <w:r>
        <w:rPr>
          <w:rFonts w:hint="eastAsia" w:ascii="宋体" w:hAnsi="宋体" w:eastAsia="宋体" w:cs="宋体"/>
          <w:color w:val="auto"/>
          <w:spacing w:val="20"/>
          <w:sz w:val="22"/>
          <w:szCs w:val="22"/>
          <w:highlight w:val="none"/>
        </w:rPr>
        <w:t>，属于</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u w:val="none"/>
          <w:lang w:val="en-US" w:eastAsia="zh-CN"/>
        </w:rPr>
        <w:t>行业</w:t>
      </w:r>
      <w:r>
        <w:rPr>
          <w:rFonts w:hint="eastAsia" w:ascii="宋体" w:hAnsi="宋体" w:eastAsia="宋体" w:cs="宋体"/>
          <w:color w:val="auto"/>
          <w:spacing w:val="20"/>
          <w:sz w:val="22"/>
          <w:szCs w:val="22"/>
          <w:highlight w:val="none"/>
        </w:rPr>
        <w:t>；承建（承接）企业为</w:t>
      </w:r>
      <w:r>
        <w:rPr>
          <w:rFonts w:hint="eastAsia" w:ascii="宋体" w:hAnsi="宋体" w:eastAsia="宋体" w:cs="宋体"/>
          <w:color w:val="auto"/>
          <w:spacing w:val="20"/>
          <w:sz w:val="22"/>
          <w:szCs w:val="22"/>
          <w:highlight w:val="none"/>
          <w:u w:val="single"/>
        </w:rPr>
        <w:t>（企业名称）</w:t>
      </w:r>
      <w:r>
        <w:rPr>
          <w:rFonts w:hint="eastAsia" w:ascii="宋体" w:hAnsi="宋体" w:eastAsia="宋体" w:cs="宋体"/>
          <w:color w:val="auto"/>
          <w:spacing w:val="20"/>
          <w:sz w:val="22"/>
          <w:szCs w:val="22"/>
          <w:highlight w:val="none"/>
        </w:rPr>
        <w:t>，从业人员</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人，营业收入为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万元，资产总额为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万元，属于</w:t>
      </w:r>
      <w:r>
        <w:rPr>
          <w:rFonts w:hint="eastAsia" w:ascii="宋体" w:hAnsi="宋体" w:eastAsia="宋体" w:cs="宋体"/>
          <w:color w:val="auto"/>
          <w:spacing w:val="20"/>
          <w:sz w:val="22"/>
          <w:szCs w:val="22"/>
          <w:highlight w:val="none"/>
          <w:u w:val="single"/>
        </w:rPr>
        <w:t>（中型企业、 小型企业、微型企业）</w:t>
      </w:r>
      <w:r>
        <w:rPr>
          <w:rFonts w:hint="eastAsia" w:ascii="宋体" w:hAnsi="宋体" w:eastAsia="宋体" w:cs="宋体"/>
          <w:color w:val="auto"/>
          <w:spacing w:val="20"/>
          <w:sz w:val="22"/>
          <w:szCs w:val="22"/>
          <w:highlight w:val="none"/>
        </w:rPr>
        <w:t>；</w:t>
      </w:r>
    </w:p>
    <w:p>
      <w:pPr>
        <w:spacing w:line="460" w:lineRule="exact"/>
        <w:ind w:firstLine="639" w:firstLineChars="245"/>
        <w:rPr>
          <w:rFonts w:hint="eastAsia" w:ascii="宋体" w:hAnsi="宋体" w:eastAsia="宋体" w:cs="宋体"/>
          <w:b/>
          <w:bCs/>
          <w:color w:val="auto"/>
          <w:spacing w:val="20"/>
          <w:sz w:val="22"/>
          <w:szCs w:val="22"/>
          <w:highlight w:val="none"/>
        </w:rPr>
      </w:pPr>
      <w:r>
        <w:rPr>
          <w:rFonts w:hint="eastAsia" w:ascii="宋体" w:hAnsi="宋体" w:eastAsia="宋体" w:cs="宋体"/>
          <w:b/>
          <w:bCs/>
          <w:color w:val="auto"/>
          <w:spacing w:val="20"/>
          <w:sz w:val="22"/>
          <w:szCs w:val="22"/>
          <w:highlight w:val="none"/>
        </w:rPr>
        <w:t>……</w:t>
      </w:r>
    </w:p>
    <w:p>
      <w:pPr>
        <w:spacing w:line="460" w:lineRule="exact"/>
        <w:ind w:firstLine="637" w:firstLineChars="245"/>
        <w:rPr>
          <w:rFonts w:hint="eastAsia" w:ascii="宋体" w:hAnsi="宋体" w:eastAsia="宋体" w:cs="宋体"/>
          <w:color w:val="auto"/>
          <w:spacing w:val="20"/>
          <w:sz w:val="22"/>
          <w:szCs w:val="22"/>
          <w:highlight w:val="none"/>
          <w:lang w:val="en-US" w:eastAsia="zh-CN"/>
        </w:rPr>
      </w:pPr>
      <w:r>
        <w:rPr>
          <w:rFonts w:hint="eastAsia" w:ascii="宋体" w:hAnsi="宋体" w:eastAsia="宋体" w:cs="宋体"/>
          <w:color w:val="auto"/>
          <w:spacing w:val="20"/>
          <w:sz w:val="22"/>
          <w:szCs w:val="22"/>
          <w:highlight w:val="none"/>
        </w:rPr>
        <w:t xml:space="preserve">以上企业，不属于大企业的分支机构，不存在控股股东为大企业的情形，也不存在与大企业的负责人为同一人的情形。本企业对上述声明内容的真实性负责。如有虚假，将依法承担相应责任。 </w:t>
      </w:r>
    </w:p>
    <w:p>
      <w:pPr>
        <w:spacing w:line="460" w:lineRule="exact"/>
        <w:jc w:val="center"/>
        <w:rPr>
          <w:rFonts w:hint="eastAsia" w:ascii="宋体" w:hAnsi="宋体" w:eastAsia="宋体" w:cs="宋体"/>
          <w:color w:val="auto"/>
          <w:spacing w:val="20"/>
          <w:sz w:val="22"/>
          <w:szCs w:val="22"/>
          <w:highlight w:val="none"/>
          <w:lang w:val="en-US" w:eastAsia="zh-CN"/>
        </w:rPr>
      </w:pPr>
      <w:r>
        <w:rPr>
          <w:rFonts w:hint="eastAsia" w:ascii="宋体" w:hAnsi="宋体" w:eastAsia="宋体" w:cs="宋体"/>
          <w:color w:val="auto"/>
          <w:spacing w:val="20"/>
          <w:sz w:val="22"/>
          <w:szCs w:val="22"/>
          <w:highlight w:val="none"/>
          <w:lang w:val="en-US" w:eastAsia="zh-CN"/>
        </w:rPr>
        <w:t xml:space="preserve">           企业</w:t>
      </w:r>
      <w:r>
        <w:rPr>
          <w:rFonts w:hint="eastAsia" w:ascii="宋体" w:hAnsi="宋体" w:eastAsia="宋体" w:cs="宋体"/>
          <w:color w:val="auto"/>
          <w:spacing w:val="20"/>
          <w:sz w:val="22"/>
          <w:szCs w:val="22"/>
          <w:highlight w:val="none"/>
        </w:rPr>
        <w:t>名称（盖章）：</w:t>
      </w:r>
    </w:p>
    <w:p>
      <w:pPr>
        <w:spacing w:line="460" w:lineRule="exact"/>
        <w:jc w:val="center"/>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lang w:val="en-US" w:eastAsia="zh-CN"/>
        </w:rPr>
        <w:t xml:space="preserve">  日</w:t>
      </w:r>
      <w:r>
        <w:rPr>
          <w:rFonts w:hint="eastAsia" w:ascii="宋体" w:hAnsi="宋体" w:eastAsia="宋体" w:cs="宋体"/>
          <w:color w:val="auto"/>
          <w:spacing w:val="20"/>
          <w:sz w:val="22"/>
          <w:szCs w:val="22"/>
          <w:highlight w:val="none"/>
        </w:rPr>
        <w:t xml:space="preserve"> 期：</w:t>
      </w: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20" w:lineRule="exact"/>
        <w:ind w:left="514" w:leftChars="245"/>
        <w:outlineLvl w:val="3"/>
        <w:rPr>
          <w:rFonts w:hint="eastAsia" w:ascii="宋体" w:hAnsi="宋体" w:eastAsia="宋体" w:cs="宋体"/>
          <w:b/>
          <w:bCs/>
          <w:color w:val="auto"/>
          <w:sz w:val="22"/>
          <w:szCs w:val="22"/>
          <w:highlight w:val="none"/>
        </w:rPr>
      </w:pPr>
      <w:r>
        <w:rPr>
          <w:rFonts w:hint="eastAsia" w:ascii="宋体" w:hAnsi="宋体" w:eastAsia="宋体" w:cs="宋体"/>
          <w:b/>
          <w:bCs/>
          <w:color w:val="auto"/>
          <w:sz w:val="28"/>
          <w:szCs w:val="28"/>
          <w:highlight w:val="none"/>
        </w:rPr>
        <w:t>6、残疾人福利性单位的相关证明材料</w:t>
      </w:r>
    </w:p>
    <w:p>
      <w:pPr>
        <w:spacing w:line="460" w:lineRule="exact"/>
        <w:ind w:firstLine="699" w:firstLineChars="300"/>
        <w:rPr>
          <w:rFonts w:hint="eastAsia" w:ascii="宋体" w:hAnsi="宋体" w:eastAsia="宋体" w:cs="宋体"/>
          <w:color w:val="auto"/>
          <w:spacing w:val="20"/>
          <w:sz w:val="22"/>
          <w:szCs w:val="22"/>
          <w:highlight w:val="none"/>
        </w:rPr>
      </w:pPr>
      <w:r>
        <w:rPr>
          <w:rFonts w:hint="eastAsia" w:ascii="宋体" w:hAnsi="宋体" w:eastAsia="宋体" w:cs="宋体"/>
          <w:b/>
          <w:color w:val="auto"/>
          <w:spacing w:val="6"/>
          <w:sz w:val="22"/>
          <w:szCs w:val="22"/>
          <w:highlight w:val="none"/>
        </w:rPr>
        <w:t>需提供相关证明材料，</w:t>
      </w:r>
      <w:r>
        <w:rPr>
          <w:rFonts w:hint="eastAsia" w:ascii="宋体" w:hAnsi="宋体" w:eastAsia="宋体" w:cs="宋体"/>
          <w:b/>
          <w:bCs/>
          <w:color w:val="auto"/>
          <w:sz w:val="22"/>
          <w:szCs w:val="22"/>
          <w:highlight w:val="none"/>
          <w:u w:val="single"/>
          <w:lang w:val="zh-CN"/>
        </w:rPr>
        <w:t>未提供证明材料或不能清楚辨析</w:t>
      </w:r>
      <w:r>
        <w:rPr>
          <w:rFonts w:hint="eastAsia" w:ascii="宋体" w:hAnsi="宋体" w:eastAsia="宋体" w:cs="宋体"/>
          <w:b/>
          <w:bCs/>
          <w:color w:val="auto"/>
          <w:sz w:val="22"/>
          <w:szCs w:val="22"/>
          <w:highlight w:val="none"/>
          <w:u w:val="single"/>
        </w:rPr>
        <w:t>是残疾人福利性单位的按非残疾人福利性单位处理，所提供的证明材料应为最新的最近的</w:t>
      </w:r>
      <w:r>
        <w:rPr>
          <w:rFonts w:hint="eastAsia" w:ascii="宋体" w:hAnsi="宋体" w:eastAsia="宋体" w:cs="宋体"/>
          <w:b/>
          <w:bCs/>
          <w:color w:val="auto"/>
          <w:sz w:val="22"/>
          <w:szCs w:val="22"/>
          <w:highlight w:val="none"/>
          <w:u w:val="single"/>
          <w:lang w:val="zh-CN"/>
        </w:rPr>
        <w:t>。</w:t>
      </w: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60" w:lineRule="exact"/>
        <w:jc w:val="center"/>
        <w:rPr>
          <w:rFonts w:hint="eastAsia" w:ascii="宋体" w:hAnsi="宋体" w:eastAsia="宋体" w:cs="宋体"/>
          <w:color w:val="auto"/>
          <w:spacing w:val="6"/>
          <w:sz w:val="22"/>
          <w:szCs w:val="22"/>
          <w:highlight w:val="none"/>
        </w:rPr>
      </w:pPr>
      <w:r>
        <w:rPr>
          <w:rFonts w:hint="eastAsia" w:ascii="宋体" w:hAnsi="宋体" w:eastAsia="宋体" w:cs="宋体"/>
          <w:b/>
          <w:color w:val="auto"/>
          <w:spacing w:val="6"/>
          <w:sz w:val="22"/>
          <w:szCs w:val="22"/>
          <w:highlight w:val="none"/>
        </w:rPr>
        <w:t>残疾人福利性单位声明函</w:t>
      </w:r>
    </w:p>
    <w:p>
      <w:pPr>
        <w:widowControl/>
        <w:adjustRightInd w:val="0"/>
        <w:snapToGrid w:val="0"/>
        <w:spacing w:line="460" w:lineRule="exact"/>
        <w:ind w:firstLine="440" w:firstLineChars="20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【不属于残疾人福利性单位的无需填写、递交】</w:t>
      </w:r>
    </w:p>
    <w:p>
      <w:pPr>
        <w:snapToGrid w:val="0"/>
        <w:spacing w:line="460" w:lineRule="exact"/>
        <w:jc w:val="center"/>
        <w:rPr>
          <w:rFonts w:hint="eastAsia" w:ascii="宋体" w:hAnsi="宋体" w:eastAsia="宋体" w:cs="宋体"/>
          <w:b/>
          <w:bCs/>
          <w:color w:val="auto"/>
          <w:sz w:val="22"/>
          <w:szCs w:val="22"/>
          <w:highlight w:val="none"/>
        </w:rPr>
      </w:pPr>
    </w:p>
    <w:p>
      <w:pPr>
        <w:snapToGrid w:val="0"/>
        <w:spacing w:line="460" w:lineRule="exact"/>
        <w:ind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本单位郑重声明，根据《财政部民政部中国残疾人联合会关于促进残疾人就业政府采购政策的通知》（财库</w:t>
      </w:r>
      <w:r>
        <w:rPr>
          <w:rFonts w:hint="eastAsia" w:ascii="宋体" w:hAnsi="宋体" w:eastAsia="宋体" w:cs="宋体"/>
          <w:color w:val="auto"/>
          <w:sz w:val="22"/>
          <w:szCs w:val="22"/>
          <w:highlight w:val="none"/>
        </w:rPr>
        <w:t>〔2017〕141</w:t>
      </w:r>
      <w:r>
        <w:rPr>
          <w:rFonts w:hint="eastAsia" w:ascii="宋体" w:hAnsi="宋体" w:eastAsia="宋体" w:cs="宋体"/>
          <w:color w:val="auto"/>
          <w:spacing w:val="6"/>
          <w:sz w:val="22"/>
          <w:szCs w:val="22"/>
          <w:highlight w:val="none"/>
        </w:rPr>
        <w:t>号）的规定，本单位为符合条件的残疾人福利性单位，且本单位参加</w:t>
      </w:r>
      <w:r>
        <w:rPr>
          <w:rFonts w:hint="eastAsia" w:ascii="宋体" w:hAnsi="宋体" w:eastAsia="宋体" w:cs="宋体"/>
          <w:color w:val="auto"/>
          <w:spacing w:val="6"/>
          <w:sz w:val="22"/>
          <w:szCs w:val="22"/>
          <w:highlight w:val="none"/>
          <w:u w:val="single"/>
        </w:rPr>
        <w:t>（招标人名称）</w:t>
      </w:r>
      <w:r>
        <w:rPr>
          <w:rFonts w:hint="eastAsia" w:ascii="宋体" w:hAnsi="宋体" w:eastAsia="宋体" w:cs="宋体"/>
          <w:color w:val="auto"/>
          <w:spacing w:val="6"/>
          <w:sz w:val="22"/>
          <w:szCs w:val="22"/>
          <w:highlight w:val="none"/>
        </w:rPr>
        <w:t>单位的</w:t>
      </w:r>
      <w:r>
        <w:rPr>
          <w:rFonts w:hint="eastAsia" w:ascii="宋体" w:hAnsi="宋体" w:eastAsia="宋体" w:cs="宋体"/>
          <w:color w:val="auto"/>
          <w:spacing w:val="6"/>
          <w:sz w:val="22"/>
          <w:szCs w:val="22"/>
          <w:highlight w:val="none"/>
          <w:u w:val="single"/>
        </w:rPr>
        <w:t>（招标项目名称）</w:t>
      </w:r>
      <w:r>
        <w:rPr>
          <w:rFonts w:hint="eastAsia" w:ascii="宋体" w:hAnsi="宋体" w:eastAsia="宋体" w:cs="宋体"/>
          <w:color w:val="auto"/>
          <w:spacing w:val="6"/>
          <w:sz w:val="22"/>
          <w:szCs w:val="22"/>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460" w:lineRule="exact"/>
        <w:ind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本单位对上述声明的真实性负责。如有虚假，将依法承担相应责任。</w:t>
      </w:r>
    </w:p>
    <w:p>
      <w:pPr>
        <w:snapToGrid w:val="0"/>
        <w:spacing w:line="460" w:lineRule="exact"/>
        <w:ind w:firstLine="464" w:firstLineChars="200"/>
        <w:rPr>
          <w:rFonts w:hint="eastAsia" w:ascii="宋体" w:hAnsi="宋体" w:eastAsia="宋体" w:cs="宋体"/>
          <w:color w:val="auto"/>
          <w:spacing w:val="6"/>
          <w:sz w:val="22"/>
          <w:szCs w:val="22"/>
          <w:highlight w:val="none"/>
        </w:rPr>
      </w:pPr>
    </w:p>
    <w:p>
      <w:pPr>
        <w:snapToGrid w:val="0"/>
        <w:spacing w:line="460" w:lineRule="exact"/>
        <w:ind w:firstLine="464" w:firstLineChars="200"/>
        <w:rPr>
          <w:rFonts w:hint="eastAsia" w:ascii="宋体" w:hAnsi="宋体" w:eastAsia="宋体" w:cs="宋体"/>
          <w:color w:val="auto"/>
          <w:spacing w:val="6"/>
          <w:sz w:val="22"/>
          <w:szCs w:val="22"/>
          <w:highlight w:val="none"/>
        </w:rPr>
      </w:pPr>
    </w:p>
    <w:p>
      <w:pPr>
        <w:adjustRightInd w:val="0"/>
        <w:snapToGrid w:val="0"/>
        <w:spacing w:line="460" w:lineRule="exact"/>
        <w:ind w:firstLine="440" w:firstLineChars="200"/>
        <w:rPr>
          <w:rFonts w:hint="eastAsia" w:ascii="宋体" w:hAnsi="宋体" w:eastAsia="宋体" w:cs="宋体"/>
          <w:color w:val="auto"/>
          <w:kern w:val="0"/>
          <w:sz w:val="22"/>
          <w:szCs w:val="22"/>
          <w:highlight w:val="none"/>
          <w:u w:val="single"/>
        </w:rPr>
      </w:pPr>
      <w:r>
        <w:rPr>
          <w:rFonts w:hint="eastAsia" w:ascii="宋体" w:hAnsi="宋体" w:eastAsia="宋体" w:cs="宋体"/>
          <w:color w:val="auto"/>
          <w:kern w:val="0"/>
          <w:sz w:val="22"/>
          <w:szCs w:val="22"/>
          <w:highlight w:val="none"/>
        </w:rPr>
        <w:t>投标人全称（盖章）：</w:t>
      </w:r>
      <w:r>
        <w:rPr>
          <w:rFonts w:hint="eastAsia" w:ascii="宋体" w:hAnsi="宋体" w:eastAsia="宋体" w:cs="宋体"/>
          <w:color w:val="auto"/>
          <w:kern w:val="0"/>
          <w:sz w:val="22"/>
          <w:szCs w:val="22"/>
          <w:highlight w:val="none"/>
          <w:u w:val="single"/>
        </w:rPr>
        <w:t xml:space="preserve">                    </w:t>
      </w:r>
    </w:p>
    <w:p>
      <w:pPr>
        <w:pStyle w:val="24"/>
        <w:spacing w:line="460" w:lineRule="exact"/>
        <w:ind w:left="437" w:leftChars="208" w:firstLine="0"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日期：    年   月  日</w:t>
      </w:r>
    </w:p>
    <w:p>
      <w:pPr>
        <w:pStyle w:val="24"/>
        <w:spacing w:line="460" w:lineRule="exact"/>
        <w:ind w:left="440" w:hanging="440"/>
        <w:rPr>
          <w:rFonts w:hint="eastAsia" w:ascii="宋体" w:hAnsi="宋体" w:eastAsia="宋体" w:cs="宋体"/>
          <w:color w:val="auto"/>
          <w:kern w:val="0"/>
          <w:sz w:val="22"/>
          <w:szCs w:val="22"/>
          <w:highlight w:val="none"/>
        </w:rPr>
      </w:pPr>
    </w:p>
    <w:p>
      <w:pPr>
        <w:pStyle w:val="24"/>
        <w:ind w:left="440" w:hanging="440"/>
        <w:rPr>
          <w:rFonts w:hint="eastAsia" w:ascii="宋体" w:hAnsi="宋体" w:eastAsia="宋体" w:cs="宋体"/>
          <w:color w:val="auto"/>
          <w:kern w:val="0"/>
          <w:sz w:val="22"/>
          <w:szCs w:val="22"/>
          <w:highlight w:val="none"/>
        </w:rPr>
      </w:pPr>
    </w:p>
    <w:p>
      <w:pPr>
        <w:pStyle w:val="24"/>
        <w:ind w:left="440" w:hanging="440"/>
        <w:rPr>
          <w:rFonts w:hint="eastAsia" w:ascii="宋体" w:hAnsi="宋体" w:eastAsia="宋体" w:cs="宋体"/>
          <w:color w:val="auto"/>
          <w:kern w:val="0"/>
          <w:sz w:val="22"/>
          <w:szCs w:val="22"/>
          <w:highlight w:val="none"/>
        </w:rPr>
      </w:pPr>
    </w:p>
    <w:p>
      <w:pPr>
        <w:pStyle w:val="24"/>
        <w:ind w:left="440" w:hanging="440"/>
        <w:rPr>
          <w:rFonts w:hint="eastAsia" w:ascii="宋体" w:hAnsi="宋体" w:eastAsia="宋体" w:cs="宋体"/>
          <w:color w:val="auto"/>
          <w:kern w:val="0"/>
          <w:sz w:val="22"/>
          <w:szCs w:val="22"/>
          <w:highlight w:val="none"/>
        </w:rPr>
      </w:pPr>
    </w:p>
    <w:p>
      <w:pPr>
        <w:pStyle w:val="24"/>
        <w:ind w:left="440" w:hanging="440"/>
        <w:rPr>
          <w:rFonts w:hint="eastAsia" w:ascii="宋体" w:hAnsi="宋体" w:eastAsia="宋体" w:cs="宋体"/>
          <w:color w:val="auto"/>
          <w:kern w:val="0"/>
          <w:sz w:val="22"/>
          <w:szCs w:val="22"/>
          <w:highlight w:val="none"/>
        </w:rPr>
      </w:pPr>
    </w:p>
    <w:p>
      <w:pPr>
        <w:pStyle w:val="24"/>
        <w:ind w:left="440" w:hanging="440"/>
        <w:rPr>
          <w:rFonts w:hint="eastAsia" w:ascii="宋体" w:hAnsi="宋体" w:eastAsia="宋体" w:cs="宋体"/>
          <w:color w:val="auto"/>
          <w:kern w:val="0"/>
          <w:sz w:val="22"/>
          <w:szCs w:val="22"/>
          <w:highlight w:val="none"/>
        </w:rPr>
      </w:pPr>
    </w:p>
    <w:p>
      <w:pPr>
        <w:pStyle w:val="24"/>
        <w:ind w:left="440" w:hanging="440"/>
        <w:rPr>
          <w:rFonts w:hint="eastAsia" w:ascii="宋体" w:hAnsi="宋体" w:eastAsia="宋体" w:cs="宋体"/>
          <w:color w:val="auto"/>
          <w:kern w:val="0"/>
          <w:sz w:val="22"/>
          <w:szCs w:val="22"/>
          <w:highlight w:val="none"/>
        </w:rPr>
      </w:pPr>
    </w:p>
    <w:p>
      <w:pPr>
        <w:pStyle w:val="24"/>
        <w:ind w:left="440" w:hanging="440"/>
        <w:rPr>
          <w:rFonts w:hint="eastAsia" w:ascii="宋体" w:hAnsi="宋体" w:eastAsia="宋体" w:cs="宋体"/>
          <w:color w:val="auto"/>
          <w:kern w:val="0"/>
          <w:sz w:val="22"/>
          <w:szCs w:val="22"/>
          <w:highlight w:val="none"/>
        </w:rPr>
      </w:pPr>
    </w:p>
    <w:p>
      <w:pPr>
        <w:pStyle w:val="24"/>
        <w:ind w:left="440" w:hanging="440"/>
        <w:rPr>
          <w:rFonts w:hint="eastAsia" w:ascii="宋体" w:hAnsi="宋体" w:eastAsia="宋体" w:cs="宋体"/>
          <w:color w:val="auto"/>
          <w:kern w:val="0"/>
          <w:sz w:val="22"/>
          <w:szCs w:val="22"/>
          <w:highlight w:val="none"/>
        </w:rPr>
      </w:pPr>
    </w:p>
    <w:p>
      <w:pPr>
        <w:pStyle w:val="24"/>
        <w:ind w:left="440" w:hanging="440"/>
        <w:rPr>
          <w:rFonts w:hint="eastAsia" w:ascii="宋体" w:hAnsi="宋体" w:eastAsia="宋体" w:cs="宋体"/>
          <w:color w:val="auto"/>
          <w:kern w:val="0"/>
          <w:sz w:val="22"/>
          <w:szCs w:val="22"/>
          <w:highlight w:val="none"/>
        </w:rPr>
      </w:pPr>
    </w:p>
    <w:p>
      <w:pPr>
        <w:pStyle w:val="24"/>
        <w:ind w:left="440" w:hanging="440"/>
        <w:rPr>
          <w:rFonts w:hint="eastAsia" w:ascii="宋体" w:hAnsi="宋体" w:eastAsia="宋体" w:cs="宋体"/>
          <w:color w:val="auto"/>
          <w:kern w:val="0"/>
          <w:sz w:val="22"/>
          <w:szCs w:val="22"/>
          <w:highlight w:val="none"/>
        </w:rPr>
      </w:pPr>
    </w:p>
    <w:p>
      <w:pPr>
        <w:pStyle w:val="24"/>
        <w:ind w:left="440" w:hanging="440"/>
        <w:rPr>
          <w:rFonts w:hint="eastAsia" w:ascii="宋体" w:hAnsi="宋体" w:eastAsia="宋体" w:cs="宋体"/>
          <w:color w:val="auto"/>
          <w:kern w:val="0"/>
          <w:sz w:val="22"/>
          <w:szCs w:val="22"/>
          <w:highlight w:val="none"/>
        </w:rPr>
      </w:pPr>
    </w:p>
    <w:p>
      <w:pPr>
        <w:pStyle w:val="24"/>
        <w:ind w:left="440" w:hanging="440"/>
        <w:rPr>
          <w:rFonts w:hint="eastAsia" w:ascii="宋体" w:hAnsi="宋体" w:eastAsia="宋体" w:cs="宋体"/>
          <w:color w:val="auto"/>
          <w:kern w:val="0"/>
          <w:sz w:val="22"/>
          <w:szCs w:val="22"/>
          <w:highlight w:val="none"/>
        </w:rPr>
      </w:pPr>
    </w:p>
    <w:p>
      <w:pPr>
        <w:pStyle w:val="24"/>
        <w:ind w:left="440" w:hanging="440"/>
        <w:rPr>
          <w:rFonts w:hint="eastAsia" w:ascii="宋体" w:hAnsi="宋体" w:eastAsia="宋体" w:cs="宋体"/>
          <w:color w:val="auto"/>
          <w:kern w:val="0"/>
          <w:sz w:val="22"/>
          <w:szCs w:val="22"/>
          <w:highlight w:val="none"/>
        </w:rPr>
      </w:pPr>
    </w:p>
    <w:p>
      <w:pPr>
        <w:pStyle w:val="24"/>
        <w:ind w:left="440" w:hanging="440"/>
        <w:rPr>
          <w:rFonts w:hint="eastAsia" w:ascii="宋体" w:hAnsi="宋体" w:eastAsia="宋体" w:cs="宋体"/>
          <w:color w:val="auto"/>
          <w:kern w:val="0"/>
          <w:sz w:val="22"/>
          <w:szCs w:val="22"/>
          <w:highlight w:val="none"/>
        </w:rPr>
      </w:pPr>
    </w:p>
    <w:p>
      <w:pPr>
        <w:pStyle w:val="24"/>
        <w:ind w:left="440" w:hanging="440"/>
        <w:rPr>
          <w:rFonts w:hint="eastAsia" w:ascii="宋体" w:hAnsi="宋体" w:eastAsia="宋体" w:cs="宋体"/>
          <w:color w:val="auto"/>
          <w:kern w:val="0"/>
          <w:sz w:val="22"/>
          <w:szCs w:val="22"/>
          <w:highlight w:val="none"/>
        </w:rPr>
      </w:pPr>
    </w:p>
    <w:p>
      <w:pP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br w:type="page"/>
      </w:r>
    </w:p>
    <w:p>
      <w:pPr>
        <w:pStyle w:val="24"/>
        <w:spacing w:line="460" w:lineRule="exact"/>
        <w:ind w:left="433" w:hanging="433" w:hangingChars="196"/>
        <w:outlineLvl w:val="1"/>
        <w:rPr>
          <w:rFonts w:hint="eastAsia" w:ascii="宋体" w:hAnsi="宋体" w:eastAsia="宋体" w:cs="宋体"/>
          <w:b/>
          <w:color w:val="auto"/>
          <w:sz w:val="22"/>
          <w:szCs w:val="22"/>
          <w:highlight w:val="none"/>
        </w:rPr>
      </w:pPr>
      <w:bookmarkStart w:id="32" w:name="_Toc19402"/>
      <w:bookmarkStart w:id="33" w:name="_Toc12035"/>
      <w:r>
        <w:rPr>
          <w:rFonts w:hint="eastAsia" w:ascii="宋体" w:hAnsi="宋体" w:eastAsia="宋体" w:cs="宋体"/>
          <w:b/>
          <w:color w:val="auto"/>
          <w:sz w:val="22"/>
          <w:szCs w:val="22"/>
          <w:highlight w:val="none"/>
        </w:rPr>
        <w:t>附件二</w:t>
      </w:r>
      <w:bookmarkEnd w:id="32"/>
      <w:bookmarkEnd w:id="33"/>
    </w:p>
    <w:p>
      <w:pPr>
        <w:spacing w:line="460" w:lineRule="exact"/>
        <w:jc w:val="center"/>
        <w:outlineLvl w:val="2"/>
        <w:rPr>
          <w:rFonts w:hint="eastAsia" w:ascii="宋体" w:hAnsi="宋体" w:eastAsia="宋体" w:cs="宋体"/>
          <w:color w:val="auto"/>
          <w:sz w:val="28"/>
          <w:szCs w:val="28"/>
          <w:highlight w:val="none"/>
        </w:rPr>
      </w:pPr>
      <w:bookmarkStart w:id="34" w:name="_Toc25309"/>
      <w:bookmarkStart w:id="35" w:name="_Toc4718"/>
      <w:r>
        <w:rPr>
          <w:rFonts w:hint="eastAsia" w:ascii="宋体" w:hAnsi="宋体" w:eastAsia="宋体" w:cs="宋体"/>
          <w:b/>
          <w:bCs/>
          <w:color w:val="auto"/>
          <w:sz w:val="28"/>
          <w:szCs w:val="28"/>
          <w:highlight w:val="none"/>
        </w:rPr>
        <w:t>资格证明文件</w:t>
      </w:r>
      <w:bookmarkEnd w:id="34"/>
      <w:bookmarkEnd w:id="35"/>
      <w:r>
        <w:rPr>
          <w:rFonts w:hint="eastAsia" w:ascii="宋体" w:hAnsi="宋体" w:eastAsia="宋体" w:cs="宋体"/>
          <w:color w:val="auto"/>
          <w:sz w:val="28"/>
          <w:szCs w:val="28"/>
          <w:highlight w:val="none"/>
        </w:rPr>
        <w:t xml:space="preserve"> </w:t>
      </w:r>
    </w:p>
    <w:p>
      <w:pPr>
        <w:spacing w:line="400" w:lineRule="exact"/>
        <w:outlineLvl w:val="3"/>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1、有效营业执照（复印件盖单位公章）</w:t>
      </w:r>
    </w:p>
    <w:p>
      <w:pPr>
        <w:spacing w:line="400" w:lineRule="exact"/>
        <w:outlineLvl w:val="3"/>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2、最近一年财务报表(复印件，新成立的公司提供情况说明)；</w:t>
      </w:r>
    </w:p>
    <w:p>
      <w:pPr>
        <w:spacing w:line="460" w:lineRule="exact"/>
        <w:ind w:left="514" w:leftChars="245"/>
        <w:jc w:val="left"/>
        <w:rPr>
          <w:rFonts w:hint="eastAsia" w:ascii="宋体" w:hAnsi="宋体" w:eastAsia="宋体" w:cs="宋体"/>
          <w:b/>
          <w:bCs/>
          <w:color w:val="auto"/>
          <w:szCs w:val="21"/>
          <w:highlight w:val="none"/>
        </w:rPr>
      </w:pPr>
    </w:p>
    <w:p>
      <w:pPr>
        <w:spacing w:line="460" w:lineRule="exact"/>
        <w:jc w:val="left"/>
        <w:outlineLvl w:val="3"/>
        <w:rPr>
          <w:rFonts w:hint="eastAsia" w:ascii="宋体" w:hAnsi="宋体" w:eastAsia="宋体" w:cs="宋体"/>
          <w:color w:val="auto"/>
          <w:szCs w:val="21"/>
          <w:highlight w:val="none"/>
        </w:rPr>
      </w:pPr>
      <w:r>
        <w:rPr>
          <w:rFonts w:hint="eastAsia" w:ascii="宋体" w:hAnsi="宋体" w:eastAsia="宋体" w:cs="宋体"/>
          <w:b/>
          <w:bCs/>
          <w:color w:val="auto"/>
          <w:sz w:val="24"/>
          <w:highlight w:val="none"/>
        </w:rPr>
        <w:t>3、具有履行合同所必需的场地、设备和专业技术能力的承诺函；</w:t>
      </w:r>
    </w:p>
    <w:p>
      <w:pPr>
        <w:shd w:val="clear" w:color="auto" w:fill="FFFFFF"/>
        <w:snapToGrid w:val="0"/>
        <w:spacing w:line="46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温州市中医院</w:t>
      </w:r>
      <w:r>
        <w:rPr>
          <w:rFonts w:hint="eastAsia" w:ascii="宋体" w:hAnsi="宋体" w:eastAsia="宋体" w:cs="宋体"/>
          <w:color w:val="auto"/>
          <w:sz w:val="22"/>
          <w:szCs w:val="22"/>
          <w:highlight w:val="none"/>
        </w:rPr>
        <w:t>、温州历程招标有限公司</w:t>
      </w:r>
      <w:r>
        <w:rPr>
          <w:rFonts w:hint="eastAsia" w:ascii="宋体" w:hAnsi="宋体" w:eastAsia="宋体" w:cs="宋体"/>
          <w:color w:val="auto"/>
          <w:kern w:val="0"/>
          <w:sz w:val="22"/>
          <w:szCs w:val="22"/>
          <w:highlight w:val="none"/>
        </w:rPr>
        <w:t>：</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我方</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u w:val="single"/>
          <w:lang w:val="en-US" w:eastAsia="zh-CN"/>
        </w:rPr>
        <w:t>投标人</w:t>
      </w:r>
      <w:r>
        <w:rPr>
          <w:rFonts w:hint="eastAsia" w:ascii="宋体" w:hAnsi="宋体" w:eastAsia="宋体" w:cs="宋体"/>
          <w:color w:val="auto"/>
          <w:kern w:val="0"/>
          <w:sz w:val="22"/>
          <w:szCs w:val="22"/>
          <w:highlight w:val="none"/>
          <w:u w:val="single"/>
        </w:rPr>
        <w:t>）</w:t>
      </w:r>
      <w:r>
        <w:rPr>
          <w:rFonts w:hint="eastAsia" w:ascii="宋体" w:hAnsi="宋体" w:eastAsia="宋体" w:cs="宋体"/>
          <w:color w:val="auto"/>
          <w:kern w:val="0"/>
          <w:sz w:val="22"/>
          <w:szCs w:val="22"/>
          <w:highlight w:val="none"/>
        </w:rPr>
        <w:t>承诺具有履行合同所必需的场地、设备和专业技术能力。如有虚假，招标人可取消我方任何资格（投标/中标/签订合同），我方对此无任何异议。</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特此承诺！</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投标人全称（盖章）</w:t>
      </w:r>
      <w:r>
        <w:rPr>
          <w:rFonts w:hint="eastAsia" w:ascii="宋体" w:hAnsi="宋体" w:eastAsia="宋体" w:cs="宋体"/>
          <w:color w:val="auto"/>
          <w:kern w:val="0"/>
          <w:sz w:val="22"/>
          <w:szCs w:val="22"/>
          <w:highlight w:val="none"/>
        </w:rPr>
        <w:t xml:space="preserve"> ：</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法定代表人或其授权代表（签字或盖章）：</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pStyle w:val="24"/>
        <w:spacing w:line="460" w:lineRule="exact"/>
        <w:ind w:left="479" w:leftChars="228" w:firstLine="5280" w:firstLineChars="24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日期：     年  月  日</w:t>
      </w:r>
    </w:p>
    <w:p>
      <w:pPr>
        <w:pStyle w:val="24"/>
        <w:spacing w:line="460" w:lineRule="exact"/>
        <w:ind w:left="0" w:firstLine="0" w:firstLineChars="0"/>
        <w:rPr>
          <w:rFonts w:hint="eastAsia" w:ascii="宋体" w:hAnsi="宋体" w:eastAsia="宋体" w:cs="宋体"/>
          <w:color w:val="auto"/>
          <w:kern w:val="0"/>
          <w:highlight w:val="none"/>
        </w:rPr>
      </w:pPr>
    </w:p>
    <w:p>
      <w:pPr>
        <w:spacing w:line="460" w:lineRule="exact"/>
        <w:jc w:val="left"/>
        <w:outlineLvl w:val="3"/>
        <w:rPr>
          <w:rFonts w:hint="eastAsia" w:ascii="宋体" w:hAnsi="宋体" w:eastAsia="宋体" w:cs="宋体"/>
          <w:color w:val="auto"/>
          <w:sz w:val="20"/>
          <w:szCs w:val="22"/>
          <w:highlight w:val="none"/>
        </w:rPr>
      </w:pPr>
      <w:r>
        <w:rPr>
          <w:rFonts w:hint="eastAsia" w:ascii="宋体" w:hAnsi="宋体" w:eastAsia="宋体" w:cs="宋体"/>
          <w:b/>
          <w:bCs/>
          <w:color w:val="auto"/>
          <w:sz w:val="24"/>
          <w:highlight w:val="none"/>
        </w:rPr>
        <w:t>4、依法缴纳税收和社会保障资金的承诺函；</w:t>
      </w:r>
    </w:p>
    <w:p>
      <w:pPr>
        <w:shd w:val="clear" w:color="auto" w:fill="FFFFFF"/>
        <w:snapToGrid w:val="0"/>
        <w:spacing w:line="46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温州市中医院</w:t>
      </w:r>
      <w:r>
        <w:rPr>
          <w:rFonts w:hint="eastAsia" w:ascii="宋体" w:hAnsi="宋体" w:eastAsia="宋体" w:cs="宋体"/>
          <w:color w:val="auto"/>
          <w:sz w:val="22"/>
          <w:szCs w:val="22"/>
          <w:highlight w:val="none"/>
        </w:rPr>
        <w:t>、温州历程招标有限公司</w:t>
      </w:r>
      <w:r>
        <w:rPr>
          <w:rFonts w:hint="eastAsia" w:ascii="宋体" w:hAnsi="宋体" w:eastAsia="宋体" w:cs="宋体"/>
          <w:color w:val="auto"/>
          <w:kern w:val="0"/>
          <w:sz w:val="22"/>
          <w:szCs w:val="22"/>
          <w:highlight w:val="none"/>
        </w:rPr>
        <w:t>：</w:t>
      </w:r>
    </w:p>
    <w:p>
      <w:pPr>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我公司郑重声明，我公司严格依法缴纳税收和社会保障资金，本文件中所提供的相关材料均真实有效，不存在虚假、造假行为。如有违反，愿承担一切责任。</w:t>
      </w:r>
    </w:p>
    <w:p>
      <w:pPr>
        <w:spacing w:line="460" w:lineRule="exact"/>
        <w:ind w:firstLine="440" w:firstLineChars="200"/>
        <w:rPr>
          <w:rFonts w:hint="eastAsia" w:ascii="宋体" w:hAnsi="宋体" w:eastAsia="宋体" w:cs="宋体"/>
          <w:color w:val="auto"/>
          <w:kern w:val="0"/>
          <w:sz w:val="22"/>
          <w:szCs w:val="22"/>
          <w:highlight w:val="none"/>
        </w:rPr>
      </w:pPr>
    </w:p>
    <w:p>
      <w:pPr>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特此承诺！</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投标人全称（盖章）</w:t>
      </w:r>
      <w:r>
        <w:rPr>
          <w:rFonts w:hint="eastAsia" w:ascii="宋体" w:hAnsi="宋体" w:eastAsia="宋体" w:cs="宋体"/>
          <w:color w:val="auto"/>
          <w:kern w:val="0"/>
          <w:sz w:val="22"/>
          <w:szCs w:val="22"/>
          <w:highlight w:val="none"/>
        </w:rPr>
        <w:t xml:space="preserve"> ：</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法定代表人或其授权代表（签字或盖章）：</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pStyle w:val="24"/>
        <w:spacing w:line="460" w:lineRule="exact"/>
        <w:ind w:left="-420" w:leftChars="-200" w:firstLine="6160" w:firstLineChars="28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日期：     年  月  日</w:t>
      </w:r>
    </w:p>
    <w:p>
      <w:pPr>
        <w:pStyle w:val="24"/>
        <w:spacing w:line="460" w:lineRule="exact"/>
        <w:ind w:left="0" w:firstLine="0" w:firstLineChars="0"/>
        <w:rPr>
          <w:rFonts w:hint="eastAsia" w:ascii="宋体" w:hAnsi="宋体" w:eastAsia="宋体" w:cs="宋体"/>
          <w:color w:val="auto"/>
          <w:kern w:val="0"/>
          <w:highlight w:val="none"/>
        </w:rPr>
      </w:pPr>
    </w:p>
    <w:p>
      <w:pPr>
        <w:pStyle w:val="24"/>
        <w:spacing w:line="460" w:lineRule="exact"/>
        <w:ind w:left="0" w:firstLine="0" w:firstLineChars="0"/>
        <w:rPr>
          <w:rFonts w:hint="eastAsia" w:ascii="宋体" w:hAnsi="宋体" w:eastAsia="宋体" w:cs="宋体"/>
          <w:color w:val="auto"/>
          <w:kern w:val="0"/>
          <w:highlight w:val="none"/>
        </w:rPr>
      </w:pPr>
    </w:p>
    <w:p>
      <w:pPr>
        <w:pStyle w:val="24"/>
        <w:spacing w:line="460" w:lineRule="exact"/>
        <w:ind w:left="0" w:firstLine="0" w:firstLineChars="0"/>
        <w:rPr>
          <w:rFonts w:hint="eastAsia" w:ascii="宋体" w:hAnsi="宋体" w:eastAsia="宋体" w:cs="宋体"/>
          <w:color w:val="auto"/>
          <w:kern w:val="0"/>
          <w:highlight w:val="none"/>
        </w:rPr>
      </w:pPr>
    </w:p>
    <w:p>
      <w:pPr>
        <w:pStyle w:val="24"/>
        <w:spacing w:line="460" w:lineRule="exact"/>
        <w:ind w:left="0" w:firstLine="0" w:firstLineChars="0"/>
        <w:rPr>
          <w:rFonts w:hint="eastAsia" w:ascii="宋体" w:hAnsi="宋体" w:eastAsia="宋体" w:cs="宋体"/>
          <w:color w:val="auto"/>
          <w:kern w:val="0"/>
          <w:highlight w:val="none"/>
        </w:rPr>
      </w:pPr>
    </w:p>
    <w:p>
      <w:pPr>
        <w:spacing w:line="460" w:lineRule="exact"/>
        <w:outlineLvl w:val="3"/>
        <w:rPr>
          <w:rFonts w:hint="eastAsia" w:ascii="宋体" w:hAnsi="宋体" w:eastAsia="宋体" w:cs="宋体"/>
          <w:b/>
          <w:bCs/>
          <w:color w:val="auto"/>
          <w:sz w:val="22"/>
          <w:szCs w:val="22"/>
          <w:highlight w:val="none"/>
        </w:rPr>
      </w:pPr>
      <w:r>
        <w:rPr>
          <w:rFonts w:hint="eastAsia" w:ascii="宋体" w:hAnsi="宋体" w:eastAsia="宋体" w:cs="宋体"/>
          <w:b/>
          <w:bCs/>
          <w:color w:val="auto"/>
          <w:sz w:val="24"/>
          <w:highlight w:val="none"/>
        </w:rPr>
        <w:t>5、参加政府采购活动前3年内在经营活动中没有重大违法记录的声明函</w:t>
      </w:r>
      <w:r>
        <w:rPr>
          <w:rFonts w:hint="eastAsia" w:ascii="宋体" w:hAnsi="宋体" w:eastAsia="宋体" w:cs="宋体"/>
          <w:b/>
          <w:bCs/>
          <w:color w:val="auto"/>
          <w:sz w:val="22"/>
          <w:szCs w:val="22"/>
          <w:highlight w:val="none"/>
        </w:rPr>
        <w:t>；</w:t>
      </w:r>
    </w:p>
    <w:p>
      <w:pPr>
        <w:shd w:val="clear" w:color="auto" w:fill="FFFFFF"/>
        <w:snapToGrid w:val="0"/>
        <w:spacing w:line="46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温州市中医院</w:t>
      </w:r>
      <w:r>
        <w:rPr>
          <w:rFonts w:hint="eastAsia" w:ascii="宋体" w:hAnsi="宋体" w:eastAsia="宋体" w:cs="宋体"/>
          <w:color w:val="auto"/>
          <w:sz w:val="22"/>
          <w:szCs w:val="22"/>
          <w:highlight w:val="none"/>
        </w:rPr>
        <w:t>、温州历程招标有限公司</w:t>
      </w:r>
      <w:r>
        <w:rPr>
          <w:rFonts w:hint="eastAsia" w:ascii="宋体" w:hAnsi="宋体" w:eastAsia="宋体" w:cs="宋体"/>
          <w:color w:val="auto"/>
          <w:kern w:val="0"/>
          <w:sz w:val="22"/>
          <w:szCs w:val="22"/>
          <w:highlight w:val="none"/>
        </w:rPr>
        <w:t>：</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我方</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u w:val="single"/>
          <w:lang w:val="en-US" w:eastAsia="zh-CN"/>
        </w:rPr>
        <w:t>投标人</w:t>
      </w:r>
      <w:r>
        <w:rPr>
          <w:rFonts w:hint="eastAsia" w:ascii="宋体" w:hAnsi="宋体" w:eastAsia="宋体" w:cs="宋体"/>
          <w:color w:val="auto"/>
          <w:kern w:val="0"/>
          <w:sz w:val="22"/>
          <w:szCs w:val="22"/>
          <w:highlight w:val="none"/>
          <w:u w:val="single"/>
        </w:rPr>
        <w:t>）</w:t>
      </w:r>
      <w:r>
        <w:rPr>
          <w:rFonts w:hint="eastAsia" w:ascii="宋体" w:hAnsi="宋体" w:eastAsia="宋体" w:cs="宋体"/>
          <w:color w:val="auto"/>
          <w:kern w:val="0"/>
          <w:sz w:val="22"/>
          <w:szCs w:val="22"/>
          <w:highlight w:val="none"/>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招标人可取消我方任何资格（投标/中标/签订合同），我方对此无任何异议。</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特此承诺！</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投标人全称（盖章）</w:t>
      </w:r>
      <w:r>
        <w:rPr>
          <w:rFonts w:hint="eastAsia" w:ascii="宋体" w:hAnsi="宋体" w:eastAsia="宋体" w:cs="宋体"/>
          <w:color w:val="auto"/>
          <w:kern w:val="0"/>
          <w:sz w:val="22"/>
          <w:szCs w:val="22"/>
          <w:highlight w:val="none"/>
        </w:rPr>
        <w:t xml:space="preserve"> ：</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法定代表人或其授权代表（签字或盖章）：</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pStyle w:val="24"/>
        <w:spacing w:line="460" w:lineRule="exact"/>
        <w:ind w:left="514" w:leftChars="245" w:firstLine="5720" w:firstLineChars="2600"/>
        <w:rPr>
          <w:rFonts w:hint="eastAsia" w:ascii="宋体" w:hAnsi="宋体" w:eastAsia="宋体" w:cs="宋体"/>
          <w:color w:val="auto"/>
          <w:highlight w:val="none"/>
        </w:rPr>
      </w:pPr>
      <w:r>
        <w:rPr>
          <w:rFonts w:hint="eastAsia" w:ascii="宋体" w:hAnsi="宋体" w:eastAsia="宋体" w:cs="宋体"/>
          <w:color w:val="auto"/>
          <w:kern w:val="0"/>
          <w:sz w:val="22"/>
          <w:szCs w:val="22"/>
          <w:highlight w:val="none"/>
        </w:rPr>
        <w:t>日期：     年  月  日</w:t>
      </w:r>
    </w:p>
    <w:p>
      <w:pPr>
        <w:spacing w:line="460" w:lineRule="exact"/>
        <w:ind w:left="514" w:leftChars="245"/>
        <w:rPr>
          <w:rFonts w:hint="eastAsia" w:ascii="宋体" w:hAnsi="宋体" w:eastAsia="宋体" w:cs="宋体"/>
          <w:b/>
          <w:bCs/>
          <w:color w:val="auto"/>
          <w:sz w:val="22"/>
          <w:szCs w:val="22"/>
          <w:highlight w:val="none"/>
        </w:rPr>
      </w:pPr>
    </w:p>
    <w:p>
      <w:pPr>
        <w:pStyle w:val="24"/>
        <w:ind w:left="0" w:firstLine="0" w:firstLineChars="0"/>
        <w:rPr>
          <w:rFonts w:hint="eastAsia" w:ascii="宋体" w:hAnsi="宋体" w:eastAsia="宋体" w:cs="宋体"/>
          <w:color w:val="auto"/>
          <w:highlight w:val="none"/>
        </w:rPr>
      </w:pPr>
    </w:p>
    <w:p>
      <w:pPr>
        <w:spacing w:line="460" w:lineRule="exact"/>
        <w:outlineLvl w:val="3"/>
        <w:rPr>
          <w:rFonts w:hint="eastAsia" w:ascii="宋体" w:hAnsi="宋体" w:eastAsia="宋体" w:cs="宋体"/>
          <w:b/>
          <w:bCs/>
          <w:color w:val="auto"/>
          <w:szCs w:val="21"/>
          <w:highlight w:val="none"/>
        </w:rPr>
      </w:pPr>
      <w:r>
        <w:rPr>
          <w:rFonts w:hint="eastAsia" w:ascii="宋体" w:hAnsi="宋体" w:eastAsia="宋体" w:cs="宋体"/>
          <w:b/>
          <w:bCs/>
          <w:color w:val="auto"/>
          <w:sz w:val="24"/>
          <w:highlight w:val="none"/>
        </w:rPr>
        <w:t>6、单位负责人为同一人或者存在直接控股、管理关系的不同供应商，不得参加同一合同项下的政府采购活动承诺函；</w:t>
      </w:r>
    </w:p>
    <w:p>
      <w:pPr>
        <w:shd w:val="clear" w:color="auto" w:fill="FFFFFF"/>
        <w:snapToGrid w:val="0"/>
        <w:spacing w:line="46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温州市中医院</w:t>
      </w:r>
      <w:r>
        <w:rPr>
          <w:rFonts w:hint="eastAsia" w:ascii="宋体" w:hAnsi="宋体" w:eastAsia="宋体" w:cs="宋体"/>
          <w:color w:val="auto"/>
          <w:sz w:val="22"/>
          <w:szCs w:val="22"/>
          <w:highlight w:val="none"/>
        </w:rPr>
        <w:t>、温州历程招标有限公司</w:t>
      </w:r>
      <w:r>
        <w:rPr>
          <w:rFonts w:hint="eastAsia" w:ascii="宋体" w:hAnsi="宋体" w:eastAsia="宋体" w:cs="宋体"/>
          <w:color w:val="auto"/>
          <w:kern w:val="0"/>
          <w:sz w:val="22"/>
          <w:szCs w:val="22"/>
          <w:highlight w:val="none"/>
        </w:rPr>
        <w:t>：</w:t>
      </w:r>
    </w:p>
    <w:p>
      <w:pPr>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我方郑重承诺，我方此次参加</w:t>
      </w:r>
      <w:r>
        <w:rPr>
          <w:rFonts w:hint="eastAsia" w:ascii="宋体" w:hAnsi="宋体" w:cs="宋体"/>
          <w:color w:val="auto"/>
          <w:sz w:val="22"/>
          <w:szCs w:val="22"/>
          <w:highlight w:val="none"/>
          <w:u w:val="single"/>
          <w:lang w:eastAsia="zh-CN"/>
        </w:rPr>
        <w:t>温州市中医院</w:t>
      </w:r>
      <w:r>
        <w:rPr>
          <w:rFonts w:hint="eastAsia" w:ascii="宋体" w:hAnsi="宋体" w:eastAsia="宋体" w:cs="宋体"/>
          <w:color w:val="auto"/>
          <w:kern w:val="0"/>
          <w:sz w:val="22"/>
          <w:szCs w:val="22"/>
          <w:highlight w:val="none"/>
        </w:rPr>
        <w:t>项目的投标，与参加本次项目同一合同项下政府采购活动的其他供应商不存在单位负责人为同一人或者直接控股、管理关系。如有虚假或隐瞒，愿意承担一切后果。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460" w:lineRule="exact"/>
        <w:jc w:val="center"/>
        <w:rPr>
          <w:rFonts w:hint="eastAsia" w:ascii="宋体" w:hAnsi="宋体" w:eastAsia="宋体" w:cs="宋体"/>
          <w:b/>
          <w:color w:val="auto"/>
          <w:kern w:val="36"/>
          <w:sz w:val="22"/>
          <w:szCs w:val="22"/>
          <w:highlight w:val="none"/>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特此承诺！</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投标人全称（盖章）</w:t>
      </w:r>
      <w:r>
        <w:rPr>
          <w:rFonts w:hint="eastAsia" w:ascii="宋体" w:hAnsi="宋体" w:eastAsia="宋体" w:cs="宋体"/>
          <w:color w:val="auto"/>
          <w:kern w:val="0"/>
          <w:sz w:val="22"/>
          <w:szCs w:val="22"/>
          <w:highlight w:val="none"/>
        </w:rPr>
        <w:t>：</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法定代表人或其授权代表（签字或盖章）：</w:t>
      </w:r>
    </w:p>
    <w:p>
      <w:pPr>
        <w:widowControl/>
        <w:adjustRightInd w:val="0"/>
        <w:snapToGrid w:val="0"/>
        <w:spacing w:line="460" w:lineRule="exact"/>
        <w:ind w:firstLine="440" w:firstLineChars="200"/>
        <w:jc w:val="left"/>
        <w:rPr>
          <w:rFonts w:hint="eastAsia" w:ascii="宋体" w:hAnsi="宋体" w:eastAsia="宋体" w:cs="宋体"/>
          <w:color w:val="auto"/>
          <w:kern w:val="0"/>
          <w:sz w:val="22"/>
          <w:szCs w:val="22"/>
          <w:highlight w:val="none"/>
        </w:rPr>
      </w:pPr>
    </w:p>
    <w:p>
      <w:pPr>
        <w:pStyle w:val="24"/>
        <w:spacing w:line="460" w:lineRule="exact"/>
        <w:ind w:left="514" w:leftChars="245" w:firstLine="5720" w:firstLineChars="2600"/>
        <w:rPr>
          <w:rFonts w:hint="eastAsia" w:ascii="宋体" w:hAnsi="宋体" w:eastAsia="宋体" w:cs="宋体"/>
          <w:color w:val="auto"/>
          <w:kern w:val="0"/>
          <w:highlight w:val="none"/>
        </w:rPr>
      </w:pPr>
      <w:r>
        <w:rPr>
          <w:rFonts w:hint="eastAsia" w:ascii="宋体" w:hAnsi="宋体" w:eastAsia="宋体" w:cs="宋体"/>
          <w:color w:val="auto"/>
          <w:kern w:val="0"/>
          <w:sz w:val="22"/>
          <w:szCs w:val="22"/>
          <w:highlight w:val="none"/>
        </w:rPr>
        <w:t>日期：     年  月  日</w:t>
      </w:r>
    </w:p>
    <w:p>
      <w:pPr>
        <w:pStyle w:val="24"/>
        <w:spacing w:line="460" w:lineRule="exact"/>
        <w:ind w:left="0" w:firstLine="0" w:firstLineChars="0"/>
        <w:rPr>
          <w:rFonts w:hint="eastAsia" w:ascii="宋体" w:hAnsi="宋体" w:eastAsia="宋体" w:cs="宋体"/>
          <w:color w:val="auto"/>
          <w:kern w:val="0"/>
          <w:highlight w:val="none"/>
        </w:rPr>
      </w:pPr>
    </w:p>
    <w:p>
      <w:pPr>
        <w:pStyle w:val="24"/>
        <w:spacing w:line="460" w:lineRule="exact"/>
        <w:ind w:left="0" w:firstLine="0" w:firstLineChars="0"/>
        <w:rPr>
          <w:rFonts w:hint="eastAsia" w:ascii="宋体" w:hAnsi="宋体" w:eastAsia="宋体" w:cs="宋体"/>
          <w:color w:val="auto"/>
          <w:kern w:val="0"/>
          <w:highlight w:val="none"/>
        </w:rPr>
      </w:pPr>
    </w:p>
    <w:p>
      <w:pPr>
        <w:spacing w:line="400" w:lineRule="exact"/>
        <w:outlineLvl w:val="3"/>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7、投标人不属于公益一类事业单位承诺函；</w:t>
      </w:r>
    </w:p>
    <w:p>
      <w:pPr>
        <w:shd w:val="clear" w:color="auto" w:fill="FFFFFF"/>
        <w:snapToGrid w:val="0"/>
        <w:spacing w:line="46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温州市中医院</w:t>
      </w:r>
      <w:r>
        <w:rPr>
          <w:rFonts w:hint="eastAsia" w:ascii="宋体" w:hAnsi="宋体" w:eastAsia="宋体" w:cs="宋体"/>
          <w:color w:val="auto"/>
          <w:sz w:val="22"/>
          <w:szCs w:val="22"/>
          <w:highlight w:val="none"/>
        </w:rPr>
        <w:t>、温州历程招标有限公司</w:t>
      </w:r>
      <w:r>
        <w:rPr>
          <w:rFonts w:hint="eastAsia" w:ascii="宋体" w:hAnsi="宋体" w:eastAsia="宋体" w:cs="宋体"/>
          <w:color w:val="auto"/>
          <w:kern w:val="0"/>
          <w:sz w:val="22"/>
          <w:szCs w:val="22"/>
          <w:highlight w:val="none"/>
        </w:rPr>
        <w:t>：</w:t>
      </w:r>
    </w:p>
    <w:p>
      <w:pPr>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我方郑重承诺，我单位不属于公益一类事业单位，可承接</w:t>
      </w:r>
      <w:r>
        <w:rPr>
          <w:rFonts w:hint="eastAsia" w:ascii="宋体" w:hAnsi="宋体" w:cs="宋体"/>
          <w:color w:val="auto"/>
          <w:kern w:val="0"/>
          <w:sz w:val="22"/>
          <w:szCs w:val="22"/>
          <w:highlight w:val="none"/>
          <w:u w:val="single"/>
          <w:lang w:eastAsia="zh-CN"/>
        </w:rPr>
        <w:t>温州市中医院</w:t>
      </w:r>
      <w:r>
        <w:rPr>
          <w:rFonts w:hint="eastAsia" w:ascii="宋体" w:hAnsi="宋体" w:eastAsia="宋体" w:cs="宋体"/>
          <w:color w:val="auto"/>
          <w:kern w:val="0"/>
          <w:sz w:val="22"/>
          <w:szCs w:val="22"/>
          <w:highlight w:val="none"/>
        </w:rPr>
        <w:t>项目的相关服务内容。如有虚假或隐瞒，愿意承担一切后果。</w:t>
      </w:r>
    </w:p>
    <w:p>
      <w:pPr>
        <w:shd w:val="clear" w:color="auto" w:fill="FFFFFF"/>
        <w:snapToGrid w:val="0"/>
        <w:spacing w:line="460" w:lineRule="exact"/>
        <w:jc w:val="center"/>
        <w:rPr>
          <w:rFonts w:hint="eastAsia" w:ascii="宋体" w:hAnsi="宋体" w:eastAsia="宋体" w:cs="宋体"/>
          <w:b/>
          <w:color w:val="auto"/>
          <w:kern w:val="36"/>
          <w:sz w:val="22"/>
          <w:szCs w:val="22"/>
          <w:highlight w:val="none"/>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特此承诺！</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投标人全称（盖章）</w:t>
      </w:r>
      <w:r>
        <w:rPr>
          <w:rFonts w:hint="eastAsia" w:ascii="宋体" w:hAnsi="宋体" w:eastAsia="宋体" w:cs="宋体"/>
          <w:color w:val="auto"/>
          <w:kern w:val="0"/>
          <w:sz w:val="22"/>
          <w:szCs w:val="22"/>
          <w:highlight w:val="none"/>
        </w:rPr>
        <w:t xml:space="preserve"> ：</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法定代表人或其授权代表（签字或盖章）：</w:t>
      </w:r>
    </w:p>
    <w:p>
      <w:pPr>
        <w:widowControl/>
        <w:adjustRightInd w:val="0"/>
        <w:snapToGrid w:val="0"/>
        <w:spacing w:line="460" w:lineRule="exact"/>
        <w:ind w:firstLine="440" w:firstLineChars="200"/>
        <w:jc w:val="left"/>
        <w:rPr>
          <w:rFonts w:hint="eastAsia" w:ascii="宋体" w:hAnsi="宋体" w:eastAsia="宋体" w:cs="宋体"/>
          <w:color w:val="auto"/>
          <w:kern w:val="0"/>
          <w:sz w:val="22"/>
          <w:szCs w:val="22"/>
          <w:highlight w:val="none"/>
        </w:rPr>
      </w:pPr>
    </w:p>
    <w:p>
      <w:pPr>
        <w:widowControl/>
        <w:adjustRightInd w:val="0"/>
        <w:snapToGrid w:val="0"/>
        <w:spacing w:line="460" w:lineRule="exact"/>
        <w:ind w:firstLine="6160" w:firstLineChars="28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2"/>
          <w:szCs w:val="22"/>
          <w:highlight w:val="none"/>
        </w:rPr>
        <w:t>日期：     年  月  日</w:t>
      </w:r>
    </w:p>
    <w:p>
      <w:pPr>
        <w:pStyle w:val="24"/>
        <w:spacing w:line="460" w:lineRule="exact"/>
        <w:ind w:left="514" w:leftChars="245" w:firstLine="0" w:firstLineChars="0"/>
        <w:rPr>
          <w:rFonts w:hint="eastAsia" w:ascii="宋体" w:hAnsi="宋体" w:eastAsia="宋体" w:cs="宋体"/>
          <w:color w:val="auto"/>
          <w:highlight w:val="none"/>
        </w:rPr>
      </w:pPr>
    </w:p>
    <w:p>
      <w:pPr>
        <w:pStyle w:val="24"/>
        <w:spacing w:line="460" w:lineRule="exact"/>
        <w:ind w:left="514" w:leftChars="245" w:firstLine="0" w:firstLineChars="0"/>
        <w:rPr>
          <w:rFonts w:hint="eastAsia" w:ascii="宋体" w:hAnsi="宋体" w:eastAsia="宋体" w:cs="宋体"/>
          <w:color w:val="auto"/>
          <w:highlight w:val="none"/>
        </w:rPr>
      </w:pPr>
    </w:p>
    <w:p>
      <w:pPr>
        <w:pStyle w:val="24"/>
        <w:spacing w:line="460" w:lineRule="exact"/>
        <w:ind w:left="514" w:leftChars="245" w:firstLine="0" w:firstLineChars="0"/>
        <w:rPr>
          <w:rFonts w:hint="eastAsia" w:ascii="宋体" w:hAnsi="宋体" w:eastAsia="宋体" w:cs="宋体"/>
          <w:color w:val="auto"/>
          <w:highlight w:val="none"/>
        </w:rPr>
      </w:pPr>
    </w:p>
    <w:p>
      <w:pPr>
        <w:pStyle w:val="24"/>
        <w:spacing w:line="460" w:lineRule="exact"/>
        <w:ind w:left="514" w:leftChars="245" w:firstLine="0" w:firstLineChars="0"/>
        <w:rPr>
          <w:rFonts w:hint="eastAsia" w:ascii="宋体" w:hAnsi="宋体" w:eastAsia="宋体" w:cs="宋体"/>
          <w:color w:val="auto"/>
          <w:highlight w:val="none"/>
        </w:rPr>
      </w:pPr>
    </w:p>
    <w:p>
      <w:pPr>
        <w:spacing w:line="400" w:lineRule="exact"/>
        <w:outlineLvl w:val="3"/>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8、投标人信用查询：</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1、投标人信用信息查询的查询渠道：“信用中国”(www.creditchina.gov.cn)；“中国政府采购网”（http://www.ccgp.gov.cn/）；</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2、投标人信用信息查询截止时点：招标公告发布之日至投标截止时间前。</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3、投标人信用信息查询记录和证据留存的具体方式：网页截图；</w:t>
      </w:r>
    </w:p>
    <w:p>
      <w:pPr>
        <w:tabs>
          <w:tab w:val="left" w:pos="360"/>
        </w:tabs>
        <w:spacing w:line="460" w:lineRule="exact"/>
        <w:ind w:firstLine="552" w:firstLineChars="250"/>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highlight w:val="none"/>
          <w:u w:val="single"/>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p>
      <w:pPr>
        <w:spacing w:line="460" w:lineRule="exact"/>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p>
    <w:p>
      <w:pPr>
        <w:pStyle w:val="2"/>
        <w:rPr>
          <w:rFonts w:hint="eastAsia" w:ascii="宋体" w:hAnsi="宋体" w:eastAsia="宋体" w:cs="宋体"/>
          <w:bCs/>
          <w:color w:val="auto"/>
          <w:sz w:val="22"/>
          <w:szCs w:val="22"/>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460" w:lineRule="exact"/>
        <w:jc w:val="center"/>
        <w:outlineLvl w:val="3"/>
        <w:rPr>
          <w:rFonts w:hint="eastAsia" w:ascii="宋体" w:hAnsi="宋体" w:eastAsia="宋体" w:cs="宋体"/>
          <w:b/>
          <w:bCs/>
          <w:color w:val="auto"/>
          <w:sz w:val="22"/>
          <w:szCs w:val="22"/>
          <w:highlight w:val="none"/>
        </w:rPr>
      </w:pPr>
      <w:r>
        <w:rPr>
          <w:rFonts w:hint="eastAsia" w:ascii="宋体" w:hAnsi="宋体" w:eastAsia="宋体" w:cs="宋体"/>
          <w:b/>
          <w:bCs/>
          <w:color w:val="auto"/>
          <w:sz w:val="28"/>
          <w:szCs w:val="28"/>
          <w:highlight w:val="none"/>
        </w:rPr>
        <w:t>9、采购活动现场确认声明书</w:t>
      </w:r>
    </w:p>
    <w:p>
      <w:pPr>
        <w:spacing w:line="460" w:lineRule="exact"/>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color w:val="auto"/>
          <w:kern w:val="0"/>
          <w:sz w:val="22"/>
          <w:szCs w:val="22"/>
          <w:highlight w:val="none"/>
        </w:rPr>
        <w:t>温州历程招标有限公司：</w:t>
      </w:r>
    </w:p>
    <w:p>
      <w:pPr>
        <w:spacing w:line="460" w:lineRule="exact"/>
        <w:ind w:firstLine="440" w:firstLineChars="200"/>
        <w:rPr>
          <w:rFonts w:hint="eastAsia" w:ascii="宋体" w:hAnsi="宋体" w:eastAsia="宋体" w:cs="宋体"/>
          <w:color w:val="auto"/>
          <w:highlight w:val="none"/>
        </w:rPr>
      </w:pPr>
      <w:r>
        <w:rPr>
          <w:rFonts w:hint="eastAsia" w:ascii="宋体" w:hAnsi="宋体" w:eastAsia="宋体" w:cs="宋体"/>
          <w:color w:val="auto"/>
          <w:kern w:val="0"/>
          <w:sz w:val="22"/>
          <w:szCs w:val="22"/>
          <w:highlight w:val="none"/>
        </w:rPr>
        <w:t>本人经由</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（供应商名称）负责人</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（姓名）合法授权参加</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项目（编号：</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）采购活动，经与本单位法人代表（负责人）联系确认，现就有关公平竞争事项郑重声明如下：</w:t>
      </w:r>
    </w:p>
    <w:p>
      <w:pPr>
        <w:numPr>
          <w:ilvl w:val="0"/>
          <w:numId w:val="8"/>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本单位与招标人之间 □不存在利害关系 □存在下列利害关系：</w:t>
      </w:r>
    </w:p>
    <w:p>
      <w:pPr>
        <w:numPr>
          <w:ilvl w:val="0"/>
          <w:numId w:val="8"/>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A.投资关系    </w:t>
      </w:r>
    </w:p>
    <w:p>
      <w:pPr>
        <w:spacing w:line="460" w:lineRule="exact"/>
        <w:ind w:firstLine="660" w:firstLineChars="3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B.行政隶属关系    </w:t>
      </w:r>
    </w:p>
    <w:p>
      <w:pPr>
        <w:spacing w:line="460" w:lineRule="exact"/>
        <w:ind w:firstLine="660" w:firstLineChars="3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C.业务指导关系  </w:t>
      </w:r>
    </w:p>
    <w:p>
      <w:pPr>
        <w:spacing w:line="460" w:lineRule="exact"/>
        <w:ind w:firstLine="660" w:firstLineChars="30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D.其他可能影响采购公正的利害关系</w:t>
      </w:r>
      <w:r>
        <w:rPr>
          <w:rStyle w:val="334"/>
          <w:rFonts w:hint="eastAsia" w:ascii="宋体" w:hAnsi="宋体" w:eastAsia="宋体" w:cs="宋体"/>
          <w:color w:val="auto"/>
          <w:sz w:val="22"/>
          <w:szCs w:val="22"/>
          <w:highlight w:val="none"/>
        </w:rPr>
        <w:t xml:space="preserve">（如有，请如实说明）                 </w:t>
      </w:r>
      <w:r>
        <w:rPr>
          <w:rFonts w:hint="eastAsia" w:ascii="宋体" w:hAnsi="宋体" w:eastAsia="宋体" w:cs="宋体"/>
          <w:color w:val="auto"/>
          <w:kern w:val="0"/>
          <w:sz w:val="22"/>
          <w:szCs w:val="22"/>
          <w:highlight w:val="none"/>
        </w:rPr>
        <w:t>。</w:t>
      </w:r>
    </w:p>
    <w:p>
      <w:pPr>
        <w:numPr>
          <w:ilvl w:val="0"/>
          <w:numId w:val="8"/>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现已清楚知道参加本项目采购活动的其他所有供应商名称，本单位 </w:t>
      </w:r>
    </w:p>
    <w:p>
      <w:pPr>
        <w:numPr>
          <w:ilvl w:val="0"/>
          <w:numId w:val="8"/>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□与其他所有供应商之间均不存在利害关系 </w:t>
      </w:r>
    </w:p>
    <w:p>
      <w:pPr>
        <w:numPr>
          <w:ilvl w:val="0"/>
          <w:numId w:val="8"/>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□与</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供应商名称）之间存在下列利害关系</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w:t>
      </w:r>
    </w:p>
    <w:p>
      <w:pPr>
        <w:numPr>
          <w:ilvl w:val="0"/>
          <w:numId w:val="8"/>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A.法定代表人或负责人或实际控制人是同一人</w:t>
      </w:r>
    </w:p>
    <w:p>
      <w:pPr>
        <w:numPr>
          <w:ilvl w:val="0"/>
          <w:numId w:val="8"/>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B.法定代表人或负责人或实际控制人是夫妻关系</w:t>
      </w:r>
    </w:p>
    <w:p>
      <w:pPr>
        <w:numPr>
          <w:ilvl w:val="0"/>
          <w:numId w:val="8"/>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C.法定代表人或负责人或实际控制人是直系血亲关系</w:t>
      </w:r>
    </w:p>
    <w:p>
      <w:pPr>
        <w:numPr>
          <w:ilvl w:val="0"/>
          <w:numId w:val="8"/>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D.法定代表人或负责人或实际控制人存在三代以内旁系血亲关系</w:t>
      </w:r>
    </w:p>
    <w:p>
      <w:pPr>
        <w:numPr>
          <w:ilvl w:val="0"/>
          <w:numId w:val="8"/>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E.法定代表人或负责人或实际控制人存在近姻亲关系</w:t>
      </w:r>
    </w:p>
    <w:p>
      <w:pPr>
        <w:numPr>
          <w:ilvl w:val="0"/>
          <w:numId w:val="8"/>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F.法定代表人或负责人或实际控制人存在股份控制或实际控制关系</w:t>
      </w:r>
    </w:p>
    <w:p>
      <w:pPr>
        <w:numPr>
          <w:ilvl w:val="0"/>
          <w:numId w:val="8"/>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G.存在共同直接或间接投资设立子公司、联营企业和合营企业情况</w:t>
      </w:r>
    </w:p>
    <w:p>
      <w:pPr>
        <w:numPr>
          <w:ilvl w:val="0"/>
          <w:numId w:val="8"/>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H.存在分级代理或代销关系、同一生产制造商关系、管理关系、重要业务（占主营业务收入50%以上）或重要财务往来关系（如融资）等其他实质性控制关系</w:t>
      </w:r>
    </w:p>
    <w:p>
      <w:pPr>
        <w:numPr>
          <w:ilvl w:val="0"/>
          <w:numId w:val="8"/>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I.其他利害关系情况</w:t>
      </w:r>
      <w:r>
        <w:rPr>
          <w:rFonts w:hint="eastAsia" w:ascii="宋体" w:hAnsi="宋体" w:eastAsia="宋体" w:cs="宋体"/>
          <w:color w:val="auto"/>
          <w:kern w:val="0"/>
          <w:sz w:val="22"/>
          <w:szCs w:val="22"/>
          <w:highlight w:val="none"/>
          <w:u w:val="single"/>
        </w:rPr>
        <w:t xml:space="preserve">                              。</w:t>
      </w:r>
    </w:p>
    <w:p>
      <w:pPr>
        <w:pStyle w:val="24"/>
        <w:spacing w:line="460" w:lineRule="exact"/>
        <w:ind w:left="0" w:firstLine="0"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（三）现已清楚知道并严格遵守政府采购法律法规和现场纪律</w:t>
      </w:r>
    </w:p>
    <w:p>
      <w:pPr>
        <w:pStyle w:val="24"/>
        <w:spacing w:line="460" w:lineRule="exact"/>
        <w:ind w:left="0" w:firstLine="0"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（四）我发现</w:t>
      </w:r>
      <w:r>
        <w:rPr>
          <w:rStyle w:val="334"/>
          <w:rFonts w:hint="eastAsia" w:ascii="宋体" w:hAnsi="宋体" w:eastAsia="宋体" w:cs="宋体"/>
          <w:color w:val="auto"/>
          <w:sz w:val="22"/>
          <w:szCs w:val="22"/>
          <w:highlight w:val="none"/>
        </w:rPr>
        <w:t xml:space="preserve">                  与                  （供应商名称）</w:t>
      </w:r>
      <w:r>
        <w:rPr>
          <w:rFonts w:hint="eastAsia" w:ascii="宋体" w:hAnsi="宋体" w:eastAsia="宋体" w:cs="宋体"/>
          <w:color w:val="auto"/>
          <w:kern w:val="0"/>
          <w:sz w:val="22"/>
          <w:szCs w:val="22"/>
          <w:highlight w:val="none"/>
        </w:rPr>
        <w:t>之间存在或可能存在上述第二条第</w:t>
      </w:r>
      <w:r>
        <w:rPr>
          <w:rStyle w:val="334"/>
          <w:rFonts w:hint="eastAsia" w:ascii="宋体" w:hAnsi="宋体" w:eastAsia="宋体" w:cs="宋体"/>
          <w:color w:val="auto"/>
          <w:sz w:val="22"/>
          <w:szCs w:val="22"/>
          <w:highlight w:val="none"/>
        </w:rPr>
        <w:t xml:space="preserve">        </w:t>
      </w:r>
      <w:r>
        <w:rPr>
          <w:rFonts w:hint="eastAsia" w:ascii="宋体" w:hAnsi="宋体" w:eastAsia="宋体" w:cs="宋体"/>
          <w:color w:val="auto"/>
          <w:kern w:val="0"/>
          <w:sz w:val="22"/>
          <w:szCs w:val="22"/>
          <w:highlight w:val="none"/>
        </w:rPr>
        <w:t>项利害关系。</w:t>
      </w:r>
    </w:p>
    <w:p>
      <w:pPr>
        <w:pStyle w:val="24"/>
        <w:spacing w:line="460" w:lineRule="exact"/>
        <w:ind w:left="0" w:firstLine="0" w:firstLineChars="0"/>
        <w:rPr>
          <w:rFonts w:hint="eastAsia" w:ascii="宋体" w:hAnsi="宋体" w:eastAsia="宋体" w:cs="宋体"/>
          <w:b/>
          <w:color w:val="auto"/>
          <w:kern w:val="0"/>
          <w:sz w:val="22"/>
          <w:szCs w:val="22"/>
          <w:highlight w:val="none"/>
        </w:rPr>
      </w:pPr>
      <w:r>
        <w:rPr>
          <w:rFonts w:hint="eastAsia" w:ascii="宋体" w:hAnsi="宋体" w:eastAsia="宋体" w:cs="宋体"/>
          <w:b/>
          <w:color w:val="auto"/>
          <w:kern w:val="0"/>
          <w:sz w:val="22"/>
          <w:szCs w:val="22"/>
          <w:highlight w:val="none"/>
        </w:rPr>
        <w:t>供应商代表签名:</w:t>
      </w:r>
    </w:p>
    <w:p>
      <w:pPr>
        <w:pStyle w:val="24"/>
        <w:spacing w:line="460" w:lineRule="exact"/>
        <w:ind w:left="0" w:firstLine="0" w:firstLineChars="0"/>
        <w:jc w:val="right"/>
        <w:rPr>
          <w:rFonts w:hint="eastAsia" w:ascii="宋体" w:hAnsi="宋体" w:eastAsia="宋体" w:cs="宋体"/>
          <w:b/>
          <w:color w:val="auto"/>
          <w:kern w:val="0"/>
          <w:sz w:val="22"/>
          <w:szCs w:val="22"/>
          <w:highlight w:val="none"/>
        </w:rPr>
      </w:pPr>
    </w:p>
    <w:p>
      <w:pPr>
        <w:pStyle w:val="24"/>
        <w:spacing w:line="460" w:lineRule="exact"/>
        <w:ind w:left="0" w:firstLine="0" w:firstLineChars="0"/>
        <w:jc w:val="right"/>
        <w:rPr>
          <w:rFonts w:hint="eastAsia" w:ascii="宋体" w:hAnsi="宋体" w:eastAsia="宋体" w:cs="宋体"/>
          <w:b/>
          <w:color w:val="auto"/>
          <w:kern w:val="0"/>
          <w:sz w:val="22"/>
          <w:szCs w:val="22"/>
          <w:highlight w:val="none"/>
        </w:rPr>
      </w:pPr>
    </w:p>
    <w:p>
      <w:pPr>
        <w:jc w:val="right"/>
        <w:rPr>
          <w:rFonts w:hint="eastAsia" w:ascii="宋体" w:hAnsi="宋体" w:eastAsia="宋体" w:cs="宋体"/>
          <w:b/>
          <w:bCs/>
          <w:color w:val="auto"/>
          <w:sz w:val="22"/>
          <w:szCs w:val="22"/>
          <w:highlight w:val="none"/>
        </w:rPr>
      </w:pPr>
      <w:r>
        <w:rPr>
          <w:rFonts w:hint="eastAsia" w:ascii="宋体" w:hAnsi="宋体" w:eastAsia="宋体" w:cs="宋体"/>
          <w:b/>
          <w:color w:val="auto"/>
          <w:kern w:val="0"/>
          <w:sz w:val="22"/>
          <w:szCs w:val="22"/>
          <w:highlight w:val="none"/>
        </w:rPr>
        <w:t>日期:</w:t>
      </w:r>
      <w:r>
        <w:rPr>
          <w:rFonts w:hint="eastAsia" w:ascii="宋体" w:hAnsi="宋体" w:cs="宋体"/>
          <w:b/>
          <w:color w:val="auto"/>
          <w:kern w:val="0"/>
          <w:sz w:val="22"/>
          <w:szCs w:val="22"/>
          <w:highlight w:val="none"/>
          <w:lang w:eastAsia="zh-CN"/>
        </w:rPr>
        <w:t>202  年</w:t>
      </w:r>
      <w:r>
        <w:rPr>
          <w:rFonts w:hint="eastAsia" w:ascii="宋体" w:hAnsi="宋体" w:eastAsia="宋体" w:cs="宋体"/>
          <w:b/>
          <w:color w:val="auto"/>
          <w:kern w:val="0"/>
          <w:sz w:val="22"/>
          <w:szCs w:val="22"/>
          <w:highlight w:val="none"/>
        </w:rPr>
        <w:t xml:space="preserve">    月    日</w:t>
      </w:r>
    </w:p>
    <w:p>
      <w:pPr>
        <w:rPr>
          <w:rFonts w:hint="eastAsia" w:ascii="宋体" w:hAnsi="宋体" w:eastAsia="宋体" w:cs="宋体"/>
          <w:b/>
          <w:bCs/>
          <w:color w:val="auto"/>
          <w:sz w:val="22"/>
          <w:szCs w:val="22"/>
          <w:highlight w:val="none"/>
        </w:rPr>
      </w:pPr>
      <w:bookmarkStart w:id="36" w:name="_Toc16516"/>
      <w:bookmarkStart w:id="37" w:name="_Toc31356"/>
      <w:r>
        <w:rPr>
          <w:rFonts w:hint="eastAsia" w:ascii="宋体" w:hAnsi="宋体" w:eastAsia="宋体" w:cs="宋体"/>
          <w:b/>
          <w:bCs/>
          <w:color w:val="auto"/>
          <w:sz w:val="22"/>
          <w:szCs w:val="22"/>
          <w:highlight w:val="none"/>
        </w:rPr>
        <w:br w:type="page"/>
      </w:r>
    </w:p>
    <w:p>
      <w:pPr>
        <w:outlineLvl w:val="1"/>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附件三</w:t>
      </w:r>
      <w:bookmarkEnd w:id="36"/>
      <w:bookmarkEnd w:id="37"/>
    </w:p>
    <w:p>
      <w:pPr>
        <w:spacing w:line="460" w:lineRule="exact"/>
        <w:jc w:val="center"/>
        <w:outlineLvl w:val="2"/>
        <w:rPr>
          <w:rFonts w:hint="eastAsia" w:ascii="宋体" w:hAnsi="宋体" w:eastAsia="宋体" w:cs="宋体"/>
          <w:b/>
          <w:bCs/>
          <w:color w:val="auto"/>
          <w:sz w:val="28"/>
          <w:szCs w:val="28"/>
          <w:highlight w:val="none"/>
          <w:lang w:val="zh-CN"/>
        </w:rPr>
      </w:pPr>
      <w:bookmarkStart w:id="38" w:name="_Toc13639"/>
      <w:bookmarkStart w:id="39" w:name="_Toc29102"/>
      <w:r>
        <w:rPr>
          <w:rFonts w:hint="eastAsia" w:ascii="宋体" w:hAnsi="宋体" w:eastAsia="宋体" w:cs="宋体"/>
          <w:b/>
          <w:bCs/>
          <w:color w:val="auto"/>
          <w:sz w:val="28"/>
          <w:szCs w:val="28"/>
          <w:highlight w:val="none"/>
          <w:lang w:val="zh-CN"/>
        </w:rPr>
        <w:t>商务技术文件</w:t>
      </w:r>
      <w:bookmarkEnd w:id="38"/>
      <w:bookmarkEnd w:id="39"/>
    </w:p>
    <w:p>
      <w:pPr>
        <w:spacing w:line="380" w:lineRule="exact"/>
        <w:jc w:val="center"/>
        <w:outlineLvl w:val="3"/>
        <w:rPr>
          <w:rFonts w:hint="eastAsia" w:ascii="宋体" w:hAnsi="宋体" w:eastAsia="宋体" w:cs="宋体"/>
          <w:b/>
          <w:color w:val="auto"/>
          <w:sz w:val="22"/>
          <w:szCs w:val="22"/>
          <w:highlight w:val="none"/>
        </w:rPr>
      </w:pPr>
      <w:r>
        <w:rPr>
          <w:rFonts w:hint="eastAsia" w:ascii="宋体" w:hAnsi="宋体" w:eastAsia="宋体" w:cs="宋体"/>
          <w:b/>
          <w:color w:val="auto"/>
          <w:sz w:val="24"/>
          <w:highlight w:val="none"/>
        </w:rPr>
        <w:t>1、法定代表人授权书</w:t>
      </w:r>
    </w:p>
    <w:p>
      <w:pPr>
        <w:spacing w:line="46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温州市中医院</w:t>
      </w:r>
      <w:r>
        <w:rPr>
          <w:rFonts w:hint="eastAsia" w:ascii="宋体" w:hAnsi="宋体" w:eastAsia="宋体" w:cs="宋体"/>
          <w:color w:val="auto"/>
          <w:sz w:val="22"/>
          <w:szCs w:val="22"/>
          <w:highlight w:val="none"/>
        </w:rPr>
        <w:t>：</w:t>
      </w:r>
    </w:p>
    <w:p>
      <w:pPr>
        <w:spacing w:line="460" w:lineRule="exact"/>
        <w:rPr>
          <w:rFonts w:hint="eastAsia" w:ascii="宋体" w:hAnsi="宋体" w:eastAsia="宋体" w:cs="宋体"/>
          <w:color w:val="auto"/>
          <w:sz w:val="22"/>
          <w:szCs w:val="22"/>
          <w:highlight w:val="none"/>
          <w:u w:val="single"/>
        </w:rPr>
      </w:pPr>
    </w:p>
    <w:p>
      <w:pPr>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（投标人全称）法定代表人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授权</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（全权代表姓名）为全权代表，参加贵处组织的（项目名称</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、编号</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）的招标活动，全权代表我方处理招标活动中的一切事宜。</w:t>
      </w:r>
    </w:p>
    <w:p>
      <w:pPr>
        <w:spacing w:line="460" w:lineRule="exact"/>
        <w:ind w:firstLine="2955"/>
        <w:rPr>
          <w:rFonts w:hint="eastAsia" w:ascii="宋体" w:hAnsi="宋体" w:eastAsia="宋体" w:cs="宋体"/>
          <w:color w:val="auto"/>
          <w:sz w:val="22"/>
          <w:szCs w:val="22"/>
          <w:highlight w:val="none"/>
        </w:rPr>
      </w:pPr>
    </w:p>
    <w:p>
      <w:pPr>
        <w:spacing w:line="460" w:lineRule="exact"/>
        <w:ind w:firstLine="29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460" w:lineRule="exact"/>
        <w:ind w:firstLine="4081" w:firstLineChars="18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  (签字或盖章)：</w:t>
      </w:r>
    </w:p>
    <w:p>
      <w:pPr>
        <w:spacing w:line="460" w:lineRule="exact"/>
        <w:ind w:firstLine="29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投标人全称（公章）：</w:t>
      </w:r>
    </w:p>
    <w:p>
      <w:pPr>
        <w:spacing w:line="460" w:lineRule="exact"/>
        <w:ind w:firstLine="29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日   期：  </w:t>
      </w: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附：</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 xml:space="preserve">授权代表姓名：                               </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职务：</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详细通讯地址：</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电话：</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传真：</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邮政编码:</w:t>
      </w:r>
    </w:p>
    <w:p>
      <w:pPr>
        <w:spacing w:line="380" w:lineRule="exact"/>
        <w:rPr>
          <w:rFonts w:hint="eastAsia" w:ascii="宋体" w:hAnsi="宋体" w:eastAsia="宋体" w:cs="宋体"/>
          <w:color w:val="auto"/>
          <w:sz w:val="22"/>
          <w:szCs w:val="22"/>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r>
        <w:rPr>
          <w:rFonts w:hint="eastAsia" w:ascii="宋体" w:hAnsi="宋体" w:eastAsia="宋体" w:cs="宋体"/>
          <w:color w:val="auto"/>
          <w:sz w:val="22"/>
          <w:szCs w:val="22"/>
          <w:highlight w:val="none"/>
          <w:lang w:val="zh-CN"/>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320675</wp:posOffset>
                </wp:positionV>
                <wp:extent cx="6254115" cy="3004185"/>
                <wp:effectExtent l="5080" t="4445" r="8255" b="20320"/>
                <wp:wrapNone/>
                <wp:docPr id="6" name="Text Box 2"/>
                <wp:cNvGraphicFramePr/>
                <a:graphic xmlns:a="http://schemas.openxmlformats.org/drawingml/2006/main">
                  <a:graphicData uri="http://schemas.microsoft.com/office/word/2010/wordprocessingShape">
                    <wps:wsp>
                      <wps:cNvSpPr txBox="1"/>
                      <wps:spPr>
                        <a:xfrm>
                          <a:off x="0" y="0"/>
                          <a:ext cx="6254115" cy="30041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法定代表人身份证（正反面）：</w:t>
                            </w:r>
                          </w:p>
                        </w:txbxContent>
                      </wps:txbx>
                      <wps:bodyPr upright="1"/>
                    </wps:wsp>
                  </a:graphicData>
                </a:graphic>
              </wp:anchor>
            </w:drawing>
          </mc:Choice>
          <mc:Fallback>
            <w:pict>
              <v:shape id="Text Box 2" o:spid="_x0000_s1026" o:spt="202" type="#_x0000_t202" style="position:absolute;left:0pt;margin-left:8.95pt;margin-top:25.25pt;height:236.55pt;width:492.45pt;z-index:251660288;mso-width-relative:page;mso-height-relative:page;" fillcolor="#FFFFFF" filled="t" stroked="t" coordsize="21600,21600" o:gfxdata="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9wjaNgAAAAKAQAADwAAAAAAAAABACAAAAAiAAAAZHJzL2Rv&#10;d25yZXYueG1sUEsBAhQAFAAAAAgAh07iQCalZX0BAgAARAQAAA4AAAAAAAAAAQAgAAAAJwEAAGRy&#10;cy9lMm9Eb2MueG1sUEsFBgAAAAAGAAYAWQEAAJoFAAAAAA==&#10;">
                <v:fill on="t" focussize="0,0"/>
                <v:stroke color="#000000" joinstyle="miter"/>
                <v:imagedata o:title=""/>
                <o:lock v:ext="edit" aspectratio="f"/>
                <v:textbox>
                  <w:txbxContent>
                    <w:p>
                      <w:r>
                        <w:rPr>
                          <w:rFonts w:hint="eastAsia" w:ascii="新宋体" w:hAnsi="新宋体" w:eastAsia="新宋体"/>
                          <w:sz w:val="22"/>
                          <w:szCs w:val="22"/>
                        </w:rPr>
                        <w:t xml:space="preserve">  法定代表人身份证（正反面）：</w:t>
                      </w:r>
                    </w:p>
                  </w:txbxContent>
                </v:textbox>
              </v:shape>
            </w:pict>
          </mc:Fallback>
        </mc:AlternateContent>
      </w: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r>
        <w:rPr>
          <w:rFonts w:hint="eastAsia" w:ascii="宋体" w:hAnsi="宋体" w:eastAsia="宋体" w:cs="宋体"/>
          <w:color w:val="auto"/>
          <w:sz w:val="22"/>
          <w:szCs w:val="22"/>
          <w:highlight w:val="none"/>
          <w:lang w:val="zh-CN"/>
        </w:rPr>
        <mc:AlternateContent>
          <mc:Choice Requires="wps">
            <w:drawing>
              <wp:anchor distT="0" distB="0" distL="114300" distR="114300" simplePos="0" relativeHeight="251661312" behindDoc="0" locked="0" layoutInCell="1" allowOverlap="1">
                <wp:simplePos x="0" y="0"/>
                <wp:positionH relativeFrom="column">
                  <wp:posOffset>88265</wp:posOffset>
                </wp:positionH>
                <wp:positionV relativeFrom="paragraph">
                  <wp:posOffset>-53975</wp:posOffset>
                </wp:positionV>
                <wp:extent cx="6303645" cy="3875405"/>
                <wp:effectExtent l="4445" t="5080" r="16510" b="5715"/>
                <wp:wrapNone/>
                <wp:docPr id="7" name="文本框 26"/>
                <wp:cNvGraphicFramePr/>
                <a:graphic xmlns:a="http://schemas.openxmlformats.org/drawingml/2006/main">
                  <a:graphicData uri="http://schemas.microsoft.com/office/word/2010/wordprocessingShape">
                    <wps:wsp>
                      <wps:cNvSpPr txBox="1"/>
                      <wps:spPr>
                        <a:xfrm>
                          <a:off x="0" y="0"/>
                          <a:ext cx="6303645" cy="38754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授权代表身份证（正反面）：</w:t>
                            </w:r>
                          </w:p>
                        </w:txbxContent>
                      </wps:txbx>
                      <wps:bodyPr upright="1"/>
                    </wps:wsp>
                  </a:graphicData>
                </a:graphic>
              </wp:anchor>
            </w:drawing>
          </mc:Choice>
          <mc:Fallback>
            <w:pict>
              <v:shape id="文本框 26" o:spid="_x0000_s1026" o:spt="202" type="#_x0000_t202" style="position:absolute;left:0pt;margin-left:6.95pt;margin-top:-4.25pt;height:305.15pt;width:496.35pt;z-index:251661312;mso-width-relative:page;mso-height-relative:page;" fillcolor="#FFFFFF" filled="t" stroked="t" coordsize="21600,21600" o:gfxdata="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GqLXdgAAAAKAQAADwAAAAAA&#10;AAABACAAAAAiAAAAZHJzL2Rvd25yZXYueG1sUEsBAhQAFAAAAAgAh07iQELca5wTAgAARgQAAA4A&#10;AAAAAAAAAQAgAAAAJwEAAGRycy9lMm9Eb2MueG1sUEsFBgAAAAAGAAYAWQEAAKwFAAAAAA==&#10;">
                <v:fill on="t" focussize="0,0"/>
                <v:stroke color="#000000" joinstyle="miter"/>
                <v:imagedata o:title=""/>
                <o:lock v:ext="edit" aspectratio="f"/>
                <v:textbox>
                  <w:txbxContent>
                    <w:p>
                      <w:r>
                        <w:rPr>
                          <w:rFonts w:hint="eastAsia" w:ascii="新宋体" w:hAnsi="新宋体" w:eastAsia="新宋体"/>
                          <w:sz w:val="22"/>
                          <w:szCs w:val="22"/>
                        </w:rPr>
                        <w:t xml:space="preserve">  授权代表身份证（正反面）：</w:t>
                      </w:r>
                    </w:p>
                  </w:txbxContent>
                </v:textbox>
              </v:shape>
            </w:pict>
          </mc:Fallback>
        </mc:AlternateContent>
      </w: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outlineLvl w:val="3"/>
        <w:rPr>
          <w:rFonts w:hint="eastAsia" w:ascii="宋体" w:hAnsi="宋体" w:eastAsia="宋体" w:cs="宋体"/>
          <w:b/>
          <w:bCs/>
          <w:color w:val="auto"/>
          <w:sz w:val="22"/>
          <w:szCs w:val="22"/>
          <w:highlight w:val="none"/>
        </w:rPr>
        <w:sectPr>
          <w:headerReference r:id="rId3" w:type="default"/>
          <w:footerReference r:id="rId4" w:type="default"/>
          <w:pgSz w:w="11906" w:h="16838"/>
          <w:pgMar w:top="1134" w:right="1134" w:bottom="1134" w:left="1134" w:header="850" w:footer="992" w:gutter="0"/>
          <w:cols w:space="720" w:num="1"/>
          <w:titlePg/>
          <w:docGrid w:type="lines" w:linePitch="312" w:charSpace="0"/>
        </w:sectPr>
      </w:pPr>
    </w:p>
    <w:p>
      <w:pPr>
        <w:spacing w:line="380" w:lineRule="exact"/>
        <w:jc w:val="center"/>
        <w:outlineLvl w:val="3"/>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2、投标人情况表</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WZLCZB（W）-2023-01002</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rPr>
      </w:pPr>
      <w:r>
        <w:rPr>
          <w:rFonts w:hint="eastAsia" w:ascii="宋体" w:hAnsi="宋体" w:eastAsia="宋体" w:cs="宋体"/>
          <w:b w:val="0"/>
          <w:bCs w:val="0"/>
          <w:color w:val="auto"/>
          <w:sz w:val="22"/>
          <w:szCs w:val="22"/>
          <w:highlight w:val="none"/>
        </w:rPr>
        <w:t>项目名称：</w:t>
      </w:r>
      <w:r>
        <w:rPr>
          <w:rFonts w:hint="eastAsia"/>
          <w:color w:val="auto"/>
          <w:sz w:val="22"/>
          <w:szCs w:val="22"/>
          <w:highlight w:val="none"/>
          <w:u w:val="none"/>
          <w:lang w:eastAsia="zh-CN"/>
        </w:rPr>
        <w:t>污水处理消毒粉采购</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15"/>
        <w:gridCol w:w="1689"/>
        <w:gridCol w:w="728"/>
        <w:gridCol w:w="387"/>
        <w:gridCol w:w="1100"/>
        <w:gridCol w:w="1488"/>
        <w:gridCol w:w="1488"/>
        <w:gridCol w:w="1502"/>
        <w:gridCol w:w="1488"/>
        <w:gridCol w:w="1115"/>
        <w:gridCol w:w="355"/>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单位名称（盖章）</w:t>
            </w:r>
          </w:p>
        </w:tc>
        <w:tc>
          <w:tcPr>
            <w:tcW w:w="2804" w:type="dxa"/>
            <w:gridSpan w:val="2"/>
          </w:tcPr>
          <w:p>
            <w:pPr>
              <w:spacing w:line="480" w:lineRule="exact"/>
              <w:rPr>
                <w:rFonts w:hint="eastAsia" w:ascii="宋体" w:hAnsi="宋体" w:eastAsia="宋体" w:cs="宋体"/>
                <w:color w:val="auto"/>
                <w:sz w:val="22"/>
                <w:szCs w:val="22"/>
                <w:highlight w:val="none"/>
              </w:rPr>
            </w:pPr>
          </w:p>
        </w:tc>
        <w:tc>
          <w:tcPr>
            <w:tcW w:w="1115"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 话</w:t>
            </w:r>
          </w:p>
        </w:tc>
        <w:tc>
          <w:tcPr>
            <w:tcW w:w="2588" w:type="dxa"/>
            <w:gridSpan w:val="2"/>
          </w:tcPr>
          <w:p>
            <w:pPr>
              <w:spacing w:line="480" w:lineRule="exact"/>
              <w:rPr>
                <w:rFonts w:hint="eastAsia" w:ascii="宋体" w:hAnsi="宋体" w:eastAsia="宋体" w:cs="宋体"/>
                <w:color w:val="auto"/>
                <w:sz w:val="22"/>
                <w:szCs w:val="22"/>
                <w:highlight w:val="none"/>
              </w:rPr>
            </w:pPr>
          </w:p>
        </w:tc>
        <w:tc>
          <w:tcPr>
            <w:tcW w:w="1488"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主管部门</w:t>
            </w:r>
          </w:p>
        </w:tc>
        <w:tc>
          <w:tcPr>
            <w:tcW w:w="1502" w:type="dxa"/>
          </w:tcPr>
          <w:p>
            <w:pPr>
              <w:spacing w:line="480" w:lineRule="exact"/>
              <w:rPr>
                <w:rFonts w:hint="eastAsia" w:ascii="宋体" w:hAnsi="宋体" w:eastAsia="宋体" w:cs="宋体"/>
                <w:color w:val="auto"/>
                <w:sz w:val="22"/>
                <w:szCs w:val="22"/>
                <w:highlight w:val="none"/>
              </w:rPr>
            </w:pPr>
          </w:p>
        </w:tc>
        <w:tc>
          <w:tcPr>
            <w:tcW w:w="1488"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企业负责人</w:t>
            </w:r>
          </w:p>
        </w:tc>
        <w:tc>
          <w:tcPr>
            <w:tcW w:w="1115" w:type="dxa"/>
          </w:tcPr>
          <w:p>
            <w:pPr>
              <w:spacing w:line="480" w:lineRule="exact"/>
              <w:rPr>
                <w:rFonts w:hint="eastAsia" w:ascii="宋体" w:hAnsi="宋体" w:eastAsia="宋体" w:cs="宋体"/>
                <w:color w:val="auto"/>
                <w:sz w:val="22"/>
                <w:szCs w:val="22"/>
                <w:highlight w:val="none"/>
              </w:rPr>
            </w:pPr>
          </w:p>
        </w:tc>
        <w:tc>
          <w:tcPr>
            <w:tcW w:w="1461"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地    址</w:t>
            </w:r>
          </w:p>
        </w:tc>
        <w:tc>
          <w:tcPr>
            <w:tcW w:w="2804" w:type="dxa"/>
            <w:gridSpan w:val="2"/>
          </w:tcPr>
          <w:p>
            <w:pPr>
              <w:spacing w:line="480" w:lineRule="exact"/>
              <w:rPr>
                <w:rFonts w:hint="eastAsia" w:ascii="宋体" w:hAnsi="宋体" w:eastAsia="宋体" w:cs="宋体"/>
                <w:color w:val="auto"/>
                <w:sz w:val="22"/>
                <w:szCs w:val="22"/>
                <w:highlight w:val="none"/>
              </w:rPr>
            </w:pPr>
          </w:p>
        </w:tc>
        <w:tc>
          <w:tcPr>
            <w:tcW w:w="1115"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传 真</w:t>
            </w:r>
          </w:p>
        </w:tc>
        <w:tc>
          <w:tcPr>
            <w:tcW w:w="2588" w:type="dxa"/>
            <w:gridSpan w:val="2"/>
          </w:tcPr>
          <w:p>
            <w:pPr>
              <w:spacing w:line="480" w:lineRule="exact"/>
              <w:rPr>
                <w:rFonts w:hint="eastAsia" w:ascii="宋体" w:hAnsi="宋体" w:eastAsia="宋体" w:cs="宋体"/>
                <w:color w:val="auto"/>
                <w:sz w:val="22"/>
                <w:szCs w:val="22"/>
                <w:highlight w:val="none"/>
              </w:rPr>
            </w:pPr>
          </w:p>
        </w:tc>
        <w:tc>
          <w:tcPr>
            <w:tcW w:w="1488"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企业性质</w:t>
            </w:r>
          </w:p>
        </w:tc>
        <w:tc>
          <w:tcPr>
            <w:tcW w:w="1502" w:type="dxa"/>
          </w:tcPr>
          <w:p>
            <w:pPr>
              <w:spacing w:line="480" w:lineRule="exact"/>
              <w:rPr>
                <w:rFonts w:hint="eastAsia" w:ascii="宋体" w:hAnsi="宋体" w:eastAsia="宋体" w:cs="宋体"/>
                <w:color w:val="auto"/>
                <w:sz w:val="22"/>
                <w:szCs w:val="22"/>
                <w:highlight w:val="none"/>
              </w:rPr>
            </w:pPr>
          </w:p>
        </w:tc>
        <w:tc>
          <w:tcPr>
            <w:tcW w:w="1488"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授权代表</w:t>
            </w:r>
          </w:p>
        </w:tc>
        <w:tc>
          <w:tcPr>
            <w:tcW w:w="1115" w:type="dxa"/>
          </w:tcPr>
          <w:p>
            <w:pPr>
              <w:spacing w:line="480" w:lineRule="exact"/>
              <w:rPr>
                <w:rFonts w:hint="eastAsia" w:ascii="宋体" w:hAnsi="宋体" w:eastAsia="宋体" w:cs="宋体"/>
                <w:color w:val="auto"/>
                <w:sz w:val="22"/>
                <w:szCs w:val="22"/>
                <w:highlight w:val="none"/>
              </w:rPr>
            </w:pPr>
          </w:p>
        </w:tc>
        <w:tc>
          <w:tcPr>
            <w:tcW w:w="1461"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227"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单位简介</w:t>
            </w:r>
          </w:p>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及机构</w:t>
            </w:r>
          </w:p>
        </w:tc>
        <w:tc>
          <w:tcPr>
            <w:tcW w:w="6507" w:type="dxa"/>
            <w:gridSpan w:val="6"/>
            <w:vAlign w:val="center"/>
          </w:tcPr>
          <w:p>
            <w:pPr>
              <w:spacing w:line="480" w:lineRule="exact"/>
              <w:jc w:val="center"/>
              <w:rPr>
                <w:rFonts w:hint="eastAsia" w:ascii="宋体" w:hAnsi="宋体" w:eastAsia="宋体" w:cs="宋体"/>
                <w:color w:val="auto"/>
                <w:sz w:val="22"/>
                <w:szCs w:val="22"/>
                <w:highlight w:val="none"/>
              </w:rPr>
            </w:pPr>
          </w:p>
        </w:tc>
        <w:tc>
          <w:tcPr>
            <w:tcW w:w="1488"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单位优势</w:t>
            </w:r>
          </w:p>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及特长</w:t>
            </w:r>
          </w:p>
        </w:tc>
        <w:tc>
          <w:tcPr>
            <w:tcW w:w="5566" w:type="dxa"/>
            <w:gridSpan w:val="5"/>
          </w:tcPr>
          <w:p>
            <w:pPr>
              <w:spacing w:line="48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27" w:type="dxa"/>
            <w:vMerge w:val="restart"/>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单位概况</w:t>
            </w:r>
          </w:p>
        </w:tc>
        <w:tc>
          <w:tcPr>
            <w:tcW w:w="1115"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职工总数</w:t>
            </w:r>
          </w:p>
        </w:tc>
        <w:tc>
          <w:tcPr>
            <w:tcW w:w="1689" w:type="dxa"/>
            <w:vMerge w:val="restart"/>
          </w:tcPr>
          <w:p>
            <w:pPr>
              <w:spacing w:line="480" w:lineRule="exact"/>
              <w:ind w:firstLine="1540" w:firstLineChars="700"/>
              <w:rPr>
                <w:rFonts w:hint="eastAsia" w:ascii="宋体" w:hAnsi="宋体" w:eastAsia="宋体" w:cs="宋体"/>
                <w:color w:val="auto"/>
                <w:sz w:val="22"/>
                <w:szCs w:val="22"/>
                <w:highlight w:val="none"/>
              </w:rPr>
            </w:pPr>
          </w:p>
        </w:tc>
        <w:tc>
          <w:tcPr>
            <w:tcW w:w="3703" w:type="dxa"/>
            <w:gridSpan w:val="4"/>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各人员构成情况</w:t>
            </w:r>
          </w:p>
        </w:tc>
        <w:tc>
          <w:tcPr>
            <w:tcW w:w="1488" w:type="dxa"/>
            <w:vMerge w:val="restart"/>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上一年主要  经济指标</w:t>
            </w:r>
          </w:p>
        </w:tc>
        <w:tc>
          <w:tcPr>
            <w:tcW w:w="1502"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指标名称</w:t>
            </w:r>
          </w:p>
        </w:tc>
        <w:tc>
          <w:tcPr>
            <w:tcW w:w="1488" w:type="dxa"/>
            <w:tcBorders>
              <w:tr2bl w:val="single" w:color="auto" w:sz="4" w:space="0"/>
            </w:tcBorders>
            <w:vAlign w:val="center"/>
          </w:tcPr>
          <w:p>
            <w:pPr>
              <w:spacing w:line="480" w:lineRule="exact"/>
              <w:jc w:val="center"/>
              <w:rPr>
                <w:rFonts w:hint="eastAsia" w:ascii="宋体" w:hAnsi="宋体" w:eastAsia="宋体" w:cs="宋体"/>
                <w:color w:val="auto"/>
                <w:sz w:val="22"/>
                <w:szCs w:val="22"/>
                <w:highlight w:val="none"/>
              </w:rPr>
            </w:pPr>
          </w:p>
        </w:tc>
        <w:tc>
          <w:tcPr>
            <w:tcW w:w="1470" w:type="dxa"/>
            <w:gridSpan w:val="2"/>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实际完成</w:t>
            </w:r>
          </w:p>
        </w:tc>
        <w:tc>
          <w:tcPr>
            <w:tcW w:w="1106" w:type="dxa"/>
            <w:tcBorders>
              <w:tr2bl w:val="single" w:color="auto" w:sz="4" w:space="0"/>
            </w:tcBorders>
            <w:vAlign w:val="center"/>
          </w:tcPr>
          <w:p>
            <w:pPr>
              <w:spacing w:line="48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27" w:type="dxa"/>
            <w:vMerge w:val="continue"/>
          </w:tcPr>
          <w:p>
            <w:pPr>
              <w:spacing w:line="480" w:lineRule="exact"/>
              <w:rPr>
                <w:rFonts w:hint="eastAsia" w:ascii="宋体" w:hAnsi="宋体" w:eastAsia="宋体" w:cs="宋体"/>
                <w:color w:val="auto"/>
                <w:sz w:val="22"/>
                <w:szCs w:val="22"/>
                <w:highlight w:val="none"/>
              </w:rPr>
            </w:pPr>
          </w:p>
        </w:tc>
        <w:tc>
          <w:tcPr>
            <w:tcW w:w="1115" w:type="dxa"/>
            <w:vMerge w:val="continue"/>
          </w:tcPr>
          <w:p>
            <w:pPr>
              <w:spacing w:line="480" w:lineRule="exact"/>
              <w:rPr>
                <w:rFonts w:hint="eastAsia" w:ascii="宋体" w:hAnsi="宋体" w:eastAsia="宋体" w:cs="宋体"/>
                <w:color w:val="auto"/>
                <w:sz w:val="22"/>
                <w:szCs w:val="22"/>
                <w:highlight w:val="none"/>
              </w:rPr>
            </w:pPr>
          </w:p>
        </w:tc>
        <w:tc>
          <w:tcPr>
            <w:tcW w:w="1689" w:type="dxa"/>
            <w:vMerge w:val="continue"/>
          </w:tcPr>
          <w:p>
            <w:pPr>
              <w:spacing w:line="480" w:lineRule="exact"/>
              <w:rPr>
                <w:rFonts w:hint="eastAsia" w:ascii="宋体" w:hAnsi="宋体" w:eastAsia="宋体" w:cs="宋体"/>
                <w:color w:val="auto"/>
                <w:sz w:val="22"/>
                <w:szCs w:val="22"/>
                <w:highlight w:val="none"/>
              </w:rPr>
            </w:pPr>
          </w:p>
        </w:tc>
        <w:tc>
          <w:tcPr>
            <w:tcW w:w="3703" w:type="dxa"/>
            <w:gridSpan w:val="4"/>
            <w:vMerge w:val="continue"/>
          </w:tcPr>
          <w:p>
            <w:pPr>
              <w:spacing w:line="480" w:lineRule="exact"/>
              <w:rPr>
                <w:rFonts w:hint="eastAsia" w:ascii="宋体" w:hAnsi="宋体" w:eastAsia="宋体" w:cs="宋体"/>
                <w:color w:val="auto"/>
                <w:sz w:val="22"/>
                <w:szCs w:val="22"/>
                <w:highlight w:val="none"/>
              </w:rPr>
            </w:pPr>
          </w:p>
        </w:tc>
        <w:tc>
          <w:tcPr>
            <w:tcW w:w="1488" w:type="dxa"/>
            <w:vMerge w:val="continue"/>
          </w:tcPr>
          <w:p>
            <w:pPr>
              <w:spacing w:line="480" w:lineRule="exact"/>
              <w:rPr>
                <w:rFonts w:hint="eastAsia" w:ascii="宋体" w:hAnsi="宋体" w:eastAsia="宋体" w:cs="宋体"/>
                <w:color w:val="auto"/>
                <w:sz w:val="22"/>
                <w:szCs w:val="22"/>
                <w:highlight w:val="none"/>
              </w:rPr>
            </w:pPr>
          </w:p>
        </w:tc>
        <w:tc>
          <w:tcPr>
            <w:tcW w:w="1502"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总产值</w:t>
            </w:r>
          </w:p>
        </w:tc>
        <w:tc>
          <w:tcPr>
            <w:tcW w:w="1488" w:type="dxa"/>
            <w:vAlign w:val="center"/>
          </w:tcPr>
          <w:p>
            <w:pPr>
              <w:spacing w:line="480" w:lineRule="exact"/>
              <w:ind w:firstLine="660" w:firstLineChars="300"/>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万元</w:t>
            </w:r>
          </w:p>
        </w:tc>
        <w:tc>
          <w:tcPr>
            <w:tcW w:w="1470" w:type="dxa"/>
            <w:gridSpan w:val="2"/>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总产值</w:t>
            </w:r>
          </w:p>
        </w:tc>
        <w:tc>
          <w:tcPr>
            <w:tcW w:w="1106"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227" w:type="dxa"/>
            <w:vMerge w:val="continue"/>
          </w:tcPr>
          <w:p>
            <w:pPr>
              <w:spacing w:line="480" w:lineRule="exact"/>
              <w:rPr>
                <w:rFonts w:hint="eastAsia" w:ascii="宋体" w:hAnsi="宋体" w:eastAsia="宋体" w:cs="宋体"/>
                <w:color w:val="auto"/>
                <w:sz w:val="22"/>
                <w:szCs w:val="22"/>
                <w:highlight w:val="none"/>
              </w:rPr>
            </w:pPr>
          </w:p>
        </w:tc>
        <w:tc>
          <w:tcPr>
            <w:tcW w:w="1115"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流动资金</w:t>
            </w:r>
          </w:p>
        </w:tc>
        <w:tc>
          <w:tcPr>
            <w:tcW w:w="1689" w:type="dxa"/>
            <w:vMerge w:val="restart"/>
          </w:tcPr>
          <w:p>
            <w:pPr>
              <w:spacing w:line="48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480" w:lineRule="exact"/>
              <w:ind w:firstLine="660" w:firstLineChars="300"/>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万元 </w:t>
            </w:r>
          </w:p>
        </w:tc>
        <w:tc>
          <w:tcPr>
            <w:tcW w:w="728"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资金来源</w:t>
            </w:r>
          </w:p>
        </w:tc>
        <w:tc>
          <w:tcPr>
            <w:tcW w:w="1487" w:type="dxa"/>
            <w:gridSpan w:val="2"/>
            <w:vAlign w:val="center"/>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自有资金</w:t>
            </w:r>
          </w:p>
        </w:tc>
        <w:tc>
          <w:tcPr>
            <w:tcW w:w="1488"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c>
          <w:tcPr>
            <w:tcW w:w="1488" w:type="dxa"/>
            <w:vMerge w:val="continue"/>
          </w:tcPr>
          <w:p>
            <w:pPr>
              <w:spacing w:line="480" w:lineRule="exact"/>
              <w:rPr>
                <w:rFonts w:hint="eastAsia" w:ascii="宋体" w:hAnsi="宋体" w:eastAsia="宋体" w:cs="宋体"/>
                <w:color w:val="auto"/>
                <w:sz w:val="22"/>
                <w:szCs w:val="22"/>
                <w:highlight w:val="none"/>
              </w:rPr>
            </w:pPr>
          </w:p>
        </w:tc>
        <w:tc>
          <w:tcPr>
            <w:tcW w:w="1502"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实现利润</w:t>
            </w:r>
          </w:p>
        </w:tc>
        <w:tc>
          <w:tcPr>
            <w:tcW w:w="1488" w:type="dxa"/>
            <w:vAlign w:val="center"/>
          </w:tcPr>
          <w:p>
            <w:pPr>
              <w:spacing w:line="480" w:lineRule="exact"/>
              <w:ind w:firstLine="660" w:firstLineChars="300"/>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万元</w:t>
            </w:r>
          </w:p>
        </w:tc>
        <w:tc>
          <w:tcPr>
            <w:tcW w:w="1470" w:type="dxa"/>
            <w:gridSpan w:val="2"/>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实现利润</w:t>
            </w:r>
          </w:p>
        </w:tc>
        <w:tc>
          <w:tcPr>
            <w:tcW w:w="1106"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227"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1115"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1689"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728"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1487" w:type="dxa"/>
            <w:gridSpan w:val="2"/>
            <w:tcBorders>
              <w:bottom w:val="single" w:color="auto" w:sz="4" w:space="0"/>
            </w:tcBorders>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银行贷款</w:t>
            </w:r>
          </w:p>
        </w:tc>
        <w:tc>
          <w:tcPr>
            <w:tcW w:w="1488" w:type="dxa"/>
            <w:tcBorders>
              <w:bottom w:val="single" w:color="auto" w:sz="4" w:space="0"/>
            </w:tcBorders>
          </w:tcPr>
          <w:p>
            <w:pPr>
              <w:spacing w:line="48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万元</w:t>
            </w:r>
          </w:p>
        </w:tc>
        <w:tc>
          <w:tcPr>
            <w:tcW w:w="1488"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1502" w:type="dxa"/>
            <w:vMerge w:val="restart"/>
            <w:tcBorders>
              <w:bottom w:val="single" w:color="auto" w:sz="4" w:space="0"/>
            </w:tcBorders>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主要业绩</w:t>
            </w:r>
          </w:p>
        </w:tc>
        <w:tc>
          <w:tcPr>
            <w:tcW w:w="4064" w:type="dxa"/>
            <w:gridSpan w:val="4"/>
            <w:vMerge w:val="restart"/>
            <w:tcBorders>
              <w:bottom w:val="single" w:color="auto" w:sz="4" w:space="0"/>
            </w:tcBorders>
            <w:vAlign w:val="center"/>
          </w:tcPr>
          <w:p>
            <w:pPr>
              <w:spacing w:line="48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27" w:type="dxa"/>
            <w:vMerge w:val="continue"/>
          </w:tcPr>
          <w:p>
            <w:pPr>
              <w:spacing w:line="480" w:lineRule="exact"/>
              <w:rPr>
                <w:rFonts w:hint="eastAsia" w:ascii="宋体" w:hAnsi="宋体" w:eastAsia="宋体" w:cs="宋体"/>
                <w:color w:val="auto"/>
                <w:sz w:val="22"/>
                <w:szCs w:val="22"/>
                <w:highlight w:val="none"/>
              </w:rPr>
            </w:pPr>
          </w:p>
        </w:tc>
        <w:tc>
          <w:tcPr>
            <w:tcW w:w="1115"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固定资产</w:t>
            </w:r>
          </w:p>
        </w:tc>
        <w:tc>
          <w:tcPr>
            <w:tcW w:w="1689" w:type="dxa"/>
            <w:vMerge w:val="restart"/>
          </w:tcPr>
          <w:p>
            <w:pPr>
              <w:spacing w:line="48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原值   万元</w:t>
            </w:r>
          </w:p>
          <w:p>
            <w:pPr>
              <w:spacing w:line="48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净值   万元</w:t>
            </w:r>
          </w:p>
        </w:tc>
        <w:tc>
          <w:tcPr>
            <w:tcW w:w="728"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资金性质</w:t>
            </w:r>
          </w:p>
        </w:tc>
        <w:tc>
          <w:tcPr>
            <w:tcW w:w="1487"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生产性</w:t>
            </w:r>
          </w:p>
        </w:tc>
        <w:tc>
          <w:tcPr>
            <w:tcW w:w="1488" w:type="dxa"/>
          </w:tcPr>
          <w:p>
            <w:pPr>
              <w:spacing w:line="480" w:lineRule="exact"/>
              <w:ind w:left="220" w:hanging="220" w:hanging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c>
          <w:tcPr>
            <w:tcW w:w="1488" w:type="dxa"/>
            <w:vMerge w:val="continue"/>
          </w:tcPr>
          <w:p>
            <w:pPr>
              <w:spacing w:line="480" w:lineRule="exact"/>
              <w:rPr>
                <w:rFonts w:hint="eastAsia" w:ascii="宋体" w:hAnsi="宋体" w:eastAsia="宋体" w:cs="宋体"/>
                <w:color w:val="auto"/>
                <w:sz w:val="22"/>
                <w:szCs w:val="22"/>
                <w:highlight w:val="none"/>
              </w:rPr>
            </w:pPr>
          </w:p>
        </w:tc>
        <w:tc>
          <w:tcPr>
            <w:tcW w:w="1502" w:type="dxa"/>
            <w:vMerge w:val="continue"/>
          </w:tcPr>
          <w:p>
            <w:pPr>
              <w:spacing w:line="480" w:lineRule="exact"/>
              <w:rPr>
                <w:rFonts w:hint="eastAsia" w:ascii="宋体" w:hAnsi="宋体" w:eastAsia="宋体" w:cs="宋体"/>
                <w:color w:val="auto"/>
                <w:sz w:val="22"/>
                <w:szCs w:val="22"/>
                <w:highlight w:val="none"/>
              </w:rPr>
            </w:pPr>
          </w:p>
        </w:tc>
        <w:tc>
          <w:tcPr>
            <w:tcW w:w="4064" w:type="dxa"/>
            <w:gridSpan w:val="4"/>
            <w:vMerge w:val="continue"/>
          </w:tcPr>
          <w:p>
            <w:pPr>
              <w:spacing w:line="48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27" w:type="dxa"/>
            <w:vMerge w:val="continue"/>
          </w:tcPr>
          <w:p>
            <w:pPr>
              <w:spacing w:line="480" w:lineRule="exact"/>
              <w:rPr>
                <w:rFonts w:hint="eastAsia" w:ascii="宋体" w:hAnsi="宋体" w:eastAsia="宋体" w:cs="宋体"/>
                <w:color w:val="auto"/>
                <w:sz w:val="22"/>
                <w:szCs w:val="22"/>
                <w:highlight w:val="none"/>
              </w:rPr>
            </w:pPr>
          </w:p>
        </w:tc>
        <w:tc>
          <w:tcPr>
            <w:tcW w:w="1115" w:type="dxa"/>
            <w:vMerge w:val="continue"/>
          </w:tcPr>
          <w:p>
            <w:pPr>
              <w:spacing w:line="480" w:lineRule="exact"/>
              <w:rPr>
                <w:rFonts w:hint="eastAsia" w:ascii="宋体" w:hAnsi="宋体" w:eastAsia="宋体" w:cs="宋体"/>
                <w:color w:val="auto"/>
                <w:sz w:val="22"/>
                <w:szCs w:val="22"/>
                <w:highlight w:val="none"/>
              </w:rPr>
            </w:pPr>
          </w:p>
        </w:tc>
        <w:tc>
          <w:tcPr>
            <w:tcW w:w="1689" w:type="dxa"/>
            <w:vMerge w:val="continue"/>
          </w:tcPr>
          <w:p>
            <w:pPr>
              <w:spacing w:line="480" w:lineRule="exact"/>
              <w:rPr>
                <w:rFonts w:hint="eastAsia" w:ascii="宋体" w:hAnsi="宋体" w:eastAsia="宋体" w:cs="宋体"/>
                <w:color w:val="auto"/>
                <w:sz w:val="22"/>
                <w:szCs w:val="22"/>
                <w:highlight w:val="none"/>
              </w:rPr>
            </w:pPr>
          </w:p>
        </w:tc>
        <w:tc>
          <w:tcPr>
            <w:tcW w:w="728" w:type="dxa"/>
            <w:vMerge w:val="continue"/>
          </w:tcPr>
          <w:p>
            <w:pPr>
              <w:spacing w:line="480" w:lineRule="exact"/>
              <w:rPr>
                <w:rFonts w:hint="eastAsia" w:ascii="宋体" w:hAnsi="宋体" w:eastAsia="宋体" w:cs="宋体"/>
                <w:color w:val="auto"/>
                <w:sz w:val="22"/>
                <w:szCs w:val="22"/>
                <w:highlight w:val="none"/>
              </w:rPr>
            </w:pPr>
          </w:p>
        </w:tc>
        <w:tc>
          <w:tcPr>
            <w:tcW w:w="1487"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非生产性</w:t>
            </w:r>
          </w:p>
        </w:tc>
        <w:tc>
          <w:tcPr>
            <w:tcW w:w="1488" w:type="dxa"/>
          </w:tcPr>
          <w:p>
            <w:pPr>
              <w:spacing w:line="480" w:lineRule="exact"/>
              <w:ind w:left="220" w:hanging="220" w:hanging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c>
          <w:tcPr>
            <w:tcW w:w="1488" w:type="dxa"/>
            <w:vMerge w:val="continue"/>
          </w:tcPr>
          <w:p>
            <w:pPr>
              <w:spacing w:line="480" w:lineRule="exact"/>
              <w:rPr>
                <w:rFonts w:hint="eastAsia" w:ascii="宋体" w:hAnsi="宋体" w:eastAsia="宋体" w:cs="宋体"/>
                <w:color w:val="auto"/>
                <w:sz w:val="22"/>
                <w:szCs w:val="22"/>
                <w:highlight w:val="none"/>
              </w:rPr>
            </w:pPr>
          </w:p>
        </w:tc>
        <w:tc>
          <w:tcPr>
            <w:tcW w:w="1502" w:type="dxa"/>
            <w:vMerge w:val="continue"/>
          </w:tcPr>
          <w:p>
            <w:pPr>
              <w:spacing w:line="480" w:lineRule="exact"/>
              <w:rPr>
                <w:rFonts w:hint="eastAsia" w:ascii="宋体" w:hAnsi="宋体" w:eastAsia="宋体" w:cs="宋体"/>
                <w:color w:val="auto"/>
                <w:sz w:val="22"/>
                <w:szCs w:val="22"/>
                <w:highlight w:val="none"/>
              </w:rPr>
            </w:pPr>
          </w:p>
        </w:tc>
        <w:tc>
          <w:tcPr>
            <w:tcW w:w="4064" w:type="dxa"/>
            <w:gridSpan w:val="4"/>
            <w:vMerge w:val="continue"/>
          </w:tcPr>
          <w:p>
            <w:pPr>
              <w:spacing w:line="480" w:lineRule="exact"/>
              <w:rPr>
                <w:rFonts w:hint="eastAsia" w:ascii="宋体" w:hAnsi="宋体" w:eastAsia="宋体" w:cs="宋体"/>
                <w:color w:val="auto"/>
                <w:sz w:val="22"/>
                <w:szCs w:val="22"/>
                <w:highlight w:val="none"/>
              </w:rPr>
            </w:pPr>
          </w:p>
        </w:tc>
      </w:tr>
    </w:tbl>
    <w:p>
      <w:pPr>
        <w:spacing w:line="460" w:lineRule="exact"/>
        <w:rPr>
          <w:rFonts w:hint="eastAsia" w:ascii="宋体" w:hAnsi="宋体" w:eastAsia="宋体" w:cs="宋体"/>
          <w:color w:val="auto"/>
          <w:sz w:val="22"/>
          <w:szCs w:val="22"/>
          <w:highlight w:val="none"/>
        </w:rPr>
        <w:sectPr>
          <w:pgSz w:w="16838" w:h="11906" w:orient="landscape"/>
          <w:pgMar w:top="1134" w:right="1134" w:bottom="1134" w:left="1134" w:header="850" w:footer="992" w:gutter="0"/>
          <w:cols w:space="720" w:num="1"/>
          <w:docGrid w:type="lines" w:linePitch="321" w:charSpace="0"/>
        </w:sectPr>
      </w:pPr>
    </w:p>
    <w:p>
      <w:pPr>
        <w:spacing w:line="400" w:lineRule="exact"/>
        <w:jc w:val="center"/>
        <w:outlineLvl w:val="3"/>
        <w:rPr>
          <w:rFonts w:hint="eastAsia" w:ascii="宋体" w:hAnsi="宋体" w:eastAsia="宋体" w:cs="宋体"/>
          <w:b/>
          <w:bCs/>
          <w:color w:val="auto"/>
          <w:sz w:val="28"/>
          <w:szCs w:val="28"/>
          <w:highlight w:val="none"/>
        </w:rPr>
      </w:pPr>
      <w:r>
        <w:rPr>
          <w:rFonts w:hint="eastAsia" w:ascii="宋体" w:hAnsi="宋体" w:eastAsia="宋体" w:cs="宋体"/>
          <w:b/>
          <w:color w:val="auto"/>
          <w:sz w:val="24"/>
          <w:highlight w:val="none"/>
        </w:rPr>
        <w:t>3、</w:t>
      </w:r>
      <w:r>
        <w:rPr>
          <w:rFonts w:hint="eastAsia" w:ascii="宋体" w:hAnsi="宋体" w:eastAsia="宋体" w:cs="宋体"/>
          <w:b/>
          <w:color w:val="auto"/>
          <w:sz w:val="24"/>
          <w:highlight w:val="none"/>
          <w:lang w:val="zh-CN"/>
        </w:rPr>
        <w:t>偏离表（</w:t>
      </w:r>
      <w:r>
        <w:rPr>
          <w:rFonts w:hint="eastAsia" w:ascii="宋体" w:hAnsi="宋体" w:eastAsia="宋体" w:cs="宋体"/>
          <w:b/>
          <w:color w:val="auto"/>
          <w:sz w:val="24"/>
          <w:highlight w:val="none"/>
        </w:rPr>
        <w:t>商务、技术偏离</w:t>
      </w:r>
      <w:r>
        <w:rPr>
          <w:rFonts w:hint="eastAsia" w:ascii="宋体" w:hAnsi="宋体" w:eastAsia="宋体" w:cs="宋体"/>
          <w:b/>
          <w:color w:val="auto"/>
          <w:sz w:val="24"/>
          <w:highlight w:val="none"/>
          <w:lang w:val="zh-CN"/>
        </w:rPr>
        <w:t>）</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WZLCZB（W）-2023-01002</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sz w:val="22"/>
          <w:szCs w:val="22"/>
          <w:highlight w:val="none"/>
        </w:rPr>
      </w:pPr>
      <w:r>
        <w:rPr>
          <w:rFonts w:hint="eastAsia" w:ascii="宋体" w:hAnsi="宋体" w:eastAsia="宋体" w:cs="宋体"/>
          <w:b w:val="0"/>
          <w:bCs w:val="0"/>
          <w:color w:val="auto"/>
          <w:sz w:val="22"/>
          <w:szCs w:val="22"/>
          <w:highlight w:val="none"/>
        </w:rPr>
        <w:t>项目名称：</w:t>
      </w:r>
      <w:r>
        <w:rPr>
          <w:rFonts w:hint="eastAsia"/>
          <w:color w:val="auto"/>
          <w:sz w:val="22"/>
          <w:szCs w:val="22"/>
          <w:highlight w:val="none"/>
          <w:u w:val="none"/>
          <w:lang w:eastAsia="zh-CN"/>
        </w:rPr>
        <w:t>污水处理消毒粉采购</w:t>
      </w:r>
    </w:p>
    <w:tbl>
      <w:tblPr>
        <w:tblStyle w:val="53"/>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544"/>
        <w:gridCol w:w="34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134" w:type="dxa"/>
            <w:shd w:val="clear" w:color="auto" w:fill="FFFFFF"/>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序  号</w:t>
            </w:r>
          </w:p>
        </w:tc>
        <w:tc>
          <w:tcPr>
            <w:tcW w:w="3544" w:type="dxa"/>
            <w:shd w:val="clear" w:color="auto" w:fill="FFFFFF"/>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招标文件</w:t>
            </w:r>
          </w:p>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规格要求</w:t>
            </w:r>
          </w:p>
        </w:tc>
        <w:tc>
          <w:tcPr>
            <w:tcW w:w="3402" w:type="dxa"/>
            <w:shd w:val="clear" w:color="auto" w:fill="FFFFFF"/>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投标文件</w:t>
            </w:r>
          </w:p>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对应规格</w:t>
            </w:r>
          </w:p>
        </w:tc>
        <w:tc>
          <w:tcPr>
            <w:tcW w:w="1843" w:type="dxa"/>
            <w:shd w:val="clear" w:color="auto" w:fill="FFFFFF"/>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134" w:type="dxa"/>
            <w:vAlign w:val="center"/>
          </w:tcPr>
          <w:p>
            <w:pPr>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宋体" w:hAnsi="宋体" w:eastAsia="宋体" w:cs="宋体"/>
                <w:color w:val="auto"/>
                <w:sz w:val="22"/>
                <w:szCs w:val="22"/>
                <w:highlight w:val="none"/>
              </w:rPr>
            </w:pP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宋体" w:hAnsi="宋体" w:eastAsia="宋体" w:cs="宋体"/>
                <w:color w:val="auto"/>
                <w:sz w:val="22"/>
                <w:szCs w:val="22"/>
                <w:highlight w:val="none"/>
              </w:rPr>
            </w:pP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宋体" w:hAnsi="宋体" w:eastAsia="宋体" w:cs="宋体"/>
                <w:color w:val="auto"/>
                <w:sz w:val="22"/>
                <w:szCs w:val="22"/>
                <w:highlight w:val="none"/>
              </w:rPr>
            </w:pP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宋体" w:hAnsi="宋体" w:eastAsia="宋体" w:cs="宋体"/>
                <w:color w:val="auto"/>
                <w:sz w:val="22"/>
                <w:szCs w:val="22"/>
                <w:highlight w:val="none"/>
              </w:rPr>
            </w:pP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宋体" w:hAnsi="宋体" w:eastAsia="宋体" w:cs="宋体"/>
                <w:color w:val="auto"/>
                <w:sz w:val="22"/>
                <w:szCs w:val="22"/>
                <w:highlight w:val="none"/>
              </w:rPr>
            </w:pP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宋体" w:hAnsi="宋体" w:eastAsia="宋体" w:cs="宋体"/>
                <w:color w:val="auto"/>
                <w:sz w:val="22"/>
                <w:szCs w:val="22"/>
                <w:highlight w:val="none"/>
              </w:rPr>
            </w:pP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宋体" w:hAnsi="宋体" w:eastAsia="宋体" w:cs="宋体"/>
                <w:color w:val="auto"/>
                <w:sz w:val="22"/>
                <w:szCs w:val="22"/>
                <w:highlight w:val="none"/>
              </w:rPr>
            </w:pP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宋体" w:hAnsi="宋体" w:eastAsia="宋体" w:cs="宋体"/>
                <w:color w:val="auto"/>
                <w:sz w:val="22"/>
                <w:szCs w:val="22"/>
                <w:highlight w:val="none"/>
              </w:rPr>
            </w:pP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宋体" w:hAnsi="宋体" w:eastAsia="宋体" w:cs="宋体"/>
                <w:color w:val="auto"/>
                <w:sz w:val="22"/>
                <w:szCs w:val="22"/>
                <w:highlight w:val="none"/>
              </w:rPr>
            </w:pP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bl>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r>
        <w:rPr>
          <w:rFonts w:hint="eastAsia" w:ascii="宋体" w:hAnsi="宋体" w:eastAsia="宋体" w:cs="宋体"/>
          <w:b/>
          <w:bCs/>
          <w:color w:val="auto"/>
          <w:sz w:val="22"/>
          <w:szCs w:val="22"/>
          <w:highlight w:val="none"/>
        </w:rPr>
        <w:t>注： 如有偏离，必须在偏离表中进行详细对比说明并注明正偏离和负偏离，如不说明偏离情况，视为完全响应采购文件要求无偏离</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w:t>
      </w:r>
    </w:p>
    <w:p>
      <w:pPr>
        <w:rPr>
          <w:rFonts w:hint="eastAsia" w:ascii="宋体" w:hAnsi="宋体" w:eastAsia="宋体" w:cs="宋体"/>
          <w:bCs/>
          <w:color w:val="auto"/>
          <w:sz w:val="22"/>
          <w:szCs w:val="22"/>
          <w:highlight w:val="none"/>
        </w:rPr>
      </w:pPr>
    </w:p>
    <w:p>
      <w:pPr>
        <w:rPr>
          <w:rFonts w:hint="eastAsia" w:ascii="宋体" w:hAnsi="宋体" w:eastAsia="宋体" w:cs="宋体"/>
          <w:bCs/>
          <w:color w:val="auto"/>
          <w:sz w:val="22"/>
          <w:szCs w:val="22"/>
          <w:highlight w:val="none"/>
        </w:rPr>
      </w:pPr>
    </w:p>
    <w:p>
      <w:pPr>
        <w:rPr>
          <w:rFonts w:hint="eastAsia" w:ascii="宋体" w:hAnsi="宋体" w:eastAsia="宋体" w:cs="宋体"/>
          <w:b/>
          <w:color w:val="auto"/>
          <w:sz w:val="24"/>
          <w:highlight w:val="none"/>
        </w:rPr>
      </w:pPr>
      <w:bookmarkStart w:id="40" w:name="_Toc415152386"/>
      <w:r>
        <w:rPr>
          <w:rFonts w:hint="eastAsia" w:ascii="宋体" w:hAnsi="宋体" w:eastAsia="宋体" w:cs="宋体"/>
          <w:b/>
          <w:color w:val="auto"/>
          <w:sz w:val="24"/>
          <w:highlight w:val="none"/>
        </w:rPr>
        <w:br w:type="page"/>
      </w:r>
    </w:p>
    <w:bookmarkEnd w:id="40"/>
    <w:p>
      <w:pPr>
        <w:spacing w:line="400" w:lineRule="exact"/>
        <w:jc w:val="center"/>
        <w:outlineLvl w:val="3"/>
        <w:rPr>
          <w:rFonts w:hint="eastAsia" w:ascii="宋体" w:hAnsi="宋体" w:eastAsia="宋体" w:cs="宋体"/>
          <w:b/>
          <w:bCs/>
          <w:color w:val="auto"/>
          <w:sz w:val="28"/>
          <w:szCs w:val="28"/>
          <w:highlight w:val="none"/>
          <w:lang w:val="zh-CN" w:eastAsia="zh-CN"/>
        </w:rPr>
      </w:pPr>
      <w:r>
        <w:rPr>
          <w:rFonts w:hint="eastAsia" w:ascii="宋体" w:hAnsi="宋体" w:cs="宋体"/>
          <w:b/>
          <w:bCs/>
          <w:color w:val="auto"/>
          <w:sz w:val="28"/>
          <w:szCs w:val="28"/>
          <w:highlight w:val="none"/>
          <w:lang w:val="en-US" w:eastAsia="zh-CN"/>
        </w:rPr>
        <w:t>4、</w:t>
      </w:r>
      <w:r>
        <w:rPr>
          <w:rFonts w:hint="eastAsia" w:ascii="宋体" w:hAnsi="宋体" w:eastAsia="宋体" w:cs="宋体"/>
          <w:b/>
          <w:bCs/>
          <w:color w:val="auto"/>
          <w:sz w:val="28"/>
          <w:szCs w:val="28"/>
          <w:highlight w:val="none"/>
          <w:lang w:val="en-US" w:eastAsia="zh-CN"/>
        </w:rPr>
        <w:t>详细供货清单说明一览表</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WZLCZB（W）-2023-01002</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lang w:eastAsia="zh-CN"/>
        </w:rPr>
      </w:pPr>
      <w:r>
        <w:rPr>
          <w:rFonts w:hint="eastAsia" w:ascii="宋体" w:hAnsi="宋体" w:eastAsia="宋体" w:cs="宋体"/>
          <w:b w:val="0"/>
          <w:bCs w:val="0"/>
          <w:color w:val="auto"/>
          <w:sz w:val="22"/>
          <w:szCs w:val="22"/>
          <w:highlight w:val="none"/>
        </w:rPr>
        <w:t>项目名称：</w:t>
      </w:r>
      <w:r>
        <w:rPr>
          <w:rFonts w:hint="eastAsia"/>
          <w:color w:val="auto"/>
          <w:sz w:val="22"/>
          <w:szCs w:val="22"/>
          <w:highlight w:val="none"/>
          <w:u w:val="none"/>
          <w:lang w:eastAsia="zh-CN"/>
        </w:rPr>
        <w:t>污水处理消毒粉采购</w:t>
      </w:r>
    </w:p>
    <w:tbl>
      <w:tblPr>
        <w:tblStyle w:val="53"/>
        <w:tblpPr w:leftFromText="180" w:rightFromText="180" w:vertAnchor="text" w:horzAnchor="margin" w:tblpY="1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2"/>
        <w:gridCol w:w="2880"/>
        <w:gridCol w:w="1661"/>
        <w:gridCol w:w="1260"/>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828" w:type="dxa"/>
            <w:shd w:val="clear" w:color="auto" w:fill="FFFFFF"/>
            <w:noWrap w:val="0"/>
            <w:vAlign w:val="center"/>
          </w:tcPr>
          <w:p>
            <w:pPr>
              <w:jc w:val="center"/>
              <w:rPr>
                <w:rFonts w:ascii="新宋体" w:hAnsi="新宋体" w:eastAsia="新宋体"/>
                <w:b/>
                <w:bCs/>
                <w:color w:val="auto"/>
                <w:sz w:val="22"/>
                <w:szCs w:val="22"/>
              </w:rPr>
            </w:pPr>
            <w:r>
              <w:rPr>
                <w:rFonts w:hint="eastAsia" w:ascii="新宋体" w:hAnsi="新宋体" w:eastAsia="新宋体"/>
                <w:b/>
                <w:bCs/>
                <w:color w:val="auto"/>
                <w:sz w:val="22"/>
                <w:szCs w:val="22"/>
              </w:rPr>
              <w:t>序号</w:t>
            </w:r>
          </w:p>
        </w:tc>
        <w:tc>
          <w:tcPr>
            <w:tcW w:w="1692" w:type="dxa"/>
            <w:shd w:val="clear" w:color="auto" w:fill="FFFFFF"/>
            <w:noWrap w:val="0"/>
            <w:vAlign w:val="center"/>
          </w:tcPr>
          <w:p>
            <w:pPr>
              <w:jc w:val="center"/>
              <w:rPr>
                <w:rFonts w:ascii="新宋体" w:hAnsi="新宋体" w:eastAsia="新宋体"/>
                <w:b/>
                <w:bCs/>
                <w:color w:val="auto"/>
                <w:sz w:val="22"/>
                <w:szCs w:val="22"/>
              </w:rPr>
            </w:pPr>
            <w:r>
              <w:rPr>
                <w:rFonts w:hint="eastAsia" w:ascii="新宋体" w:hAnsi="新宋体" w:eastAsia="新宋体"/>
                <w:b/>
                <w:bCs/>
                <w:color w:val="auto"/>
                <w:sz w:val="22"/>
                <w:szCs w:val="22"/>
              </w:rPr>
              <w:t>设备名称</w:t>
            </w:r>
          </w:p>
        </w:tc>
        <w:tc>
          <w:tcPr>
            <w:tcW w:w="2880" w:type="dxa"/>
            <w:shd w:val="clear" w:color="auto" w:fill="FFFFFF"/>
            <w:noWrap w:val="0"/>
            <w:vAlign w:val="center"/>
          </w:tcPr>
          <w:p>
            <w:pPr>
              <w:jc w:val="center"/>
              <w:rPr>
                <w:rFonts w:ascii="新宋体" w:hAnsi="新宋体" w:eastAsia="新宋体"/>
                <w:b/>
                <w:bCs/>
                <w:color w:val="auto"/>
                <w:sz w:val="22"/>
                <w:szCs w:val="22"/>
              </w:rPr>
            </w:pPr>
            <w:r>
              <w:rPr>
                <w:rFonts w:hint="eastAsia" w:ascii="新宋体" w:hAnsi="新宋体" w:eastAsia="新宋体"/>
                <w:b/>
                <w:bCs/>
                <w:color w:val="auto"/>
                <w:sz w:val="22"/>
                <w:szCs w:val="22"/>
              </w:rPr>
              <w:t>规格及技术参数</w:t>
            </w:r>
          </w:p>
        </w:tc>
        <w:tc>
          <w:tcPr>
            <w:tcW w:w="1661" w:type="dxa"/>
            <w:shd w:val="clear" w:color="auto" w:fill="FFFFFF"/>
            <w:noWrap w:val="0"/>
            <w:vAlign w:val="center"/>
          </w:tcPr>
          <w:p>
            <w:pPr>
              <w:jc w:val="center"/>
              <w:rPr>
                <w:rFonts w:ascii="新宋体" w:hAnsi="新宋体" w:eastAsia="新宋体"/>
                <w:b/>
                <w:bCs/>
                <w:color w:val="auto"/>
                <w:sz w:val="22"/>
                <w:szCs w:val="22"/>
              </w:rPr>
            </w:pPr>
            <w:r>
              <w:rPr>
                <w:rFonts w:hint="eastAsia" w:ascii="新宋体" w:hAnsi="新宋体" w:eastAsia="新宋体"/>
                <w:b/>
                <w:bCs/>
                <w:color w:val="auto"/>
                <w:sz w:val="22"/>
                <w:szCs w:val="22"/>
              </w:rPr>
              <w:t>原产地</w:t>
            </w:r>
          </w:p>
          <w:p>
            <w:pPr>
              <w:jc w:val="center"/>
              <w:rPr>
                <w:rFonts w:ascii="新宋体" w:hAnsi="新宋体" w:eastAsia="新宋体"/>
                <w:b/>
                <w:bCs/>
                <w:color w:val="auto"/>
                <w:sz w:val="22"/>
                <w:szCs w:val="22"/>
              </w:rPr>
            </w:pPr>
            <w:r>
              <w:rPr>
                <w:rFonts w:hint="eastAsia" w:ascii="新宋体" w:hAnsi="新宋体" w:eastAsia="新宋体"/>
                <w:b/>
                <w:bCs/>
                <w:color w:val="auto"/>
                <w:sz w:val="22"/>
                <w:szCs w:val="22"/>
              </w:rPr>
              <w:t>（生产厂家）</w:t>
            </w:r>
          </w:p>
        </w:tc>
        <w:tc>
          <w:tcPr>
            <w:tcW w:w="1260" w:type="dxa"/>
            <w:shd w:val="clear" w:color="auto" w:fill="FFFFFF"/>
            <w:noWrap w:val="0"/>
            <w:vAlign w:val="center"/>
          </w:tcPr>
          <w:p>
            <w:pPr>
              <w:jc w:val="center"/>
              <w:rPr>
                <w:rFonts w:ascii="新宋体" w:hAnsi="新宋体" w:eastAsia="新宋体"/>
                <w:b/>
                <w:bCs/>
                <w:color w:val="auto"/>
                <w:sz w:val="22"/>
                <w:szCs w:val="22"/>
              </w:rPr>
            </w:pPr>
            <w:r>
              <w:rPr>
                <w:rFonts w:hint="eastAsia" w:ascii="新宋体" w:hAnsi="新宋体" w:eastAsia="新宋体"/>
                <w:b/>
                <w:bCs/>
                <w:color w:val="auto"/>
                <w:sz w:val="22"/>
                <w:szCs w:val="22"/>
              </w:rPr>
              <w:t>数量</w:t>
            </w:r>
          </w:p>
        </w:tc>
        <w:tc>
          <w:tcPr>
            <w:tcW w:w="1219" w:type="dxa"/>
            <w:shd w:val="clear" w:color="auto" w:fill="FFFFFF"/>
            <w:noWrap w:val="0"/>
            <w:vAlign w:val="center"/>
          </w:tcPr>
          <w:p>
            <w:pPr>
              <w:jc w:val="center"/>
              <w:rPr>
                <w:rFonts w:ascii="新宋体" w:hAnsi="新宋体" w:eastAsia="新宋体"/>
                <w:b/>
                <w:bCs/>
                <w:color w:val="auto"/>
                <w:sz w:val="22"/>
                <w:szCs w:val="22"/>
              </w:rPr>
            </w:pPr>
            <w:r>
              <w:rPr>
                <w:rFonts w:hint="eastAsia" w:ascii="新宋体" w:hAnsi="新宋体" w:eastAsia="新宋体"/>
                <w:b/>
                <w:bCs/>
                <w:color w:val="auto"/>
                <w:sz w:val="22"/>
                <w:szCs w:val="22"/>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rPr>
            </w:pPr>
          </w:p>
        </w:tc>
        <w:tc>
          <w:tcPr>
            <w:tcW w:w="1692" w:type="dxa"/>
            <w:noWrap w:val="0"/>
            <w:vAlign w:val="center"/>
          </w:tcPr>
          <w:p>
            <w:pPr>
              <w:spacing w:line="360" w:lineRule="auto"/>
              <w:jc w:val="center"/>
              <w:rPr>
                <w:rFonts w:ascii="新宋体" w:hAnsi="新宋体" w:eastAsia="新宋体"/>
                <w:b/>
                <w:bCs/>
                <w:color w:val="auto"/>
                <w:sz w:val="22"/>
                <w:szCs w:val="22"/>
              </w:rPr>
            </w:pPr>
          </w:p>
        </w:tc>
        <w:tc>
          <w:tcPr>
            <w:tcW w:w="2880" w:type="dxa"/>
            <w:noWrap w:val="0"/>
            <w:vAlign w:val="center"/>
          </w:tcPr>
          <w:p>
            <w:pPr>
              <w:spacing w:line="360" w:lineRule="auto"/>
              <w:jc w:val="center"/>
              <w:rPr>
                <w:rFonts w:ascii="新宋体" w:hAnsi="新宋体" w:eastAsia="新宋体"/>
                <w:b/>
                <w:bCs/>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rPr>
            </w:pPr>
          </w:p>
        </w:tc>
        <w:tc>
          <w:tcPr>
            <w:tcW w:w="1692" w:type="dxa"/>
            <w:noWrap w:val="0"/>
            <w:vAlign w:val="center"/>
          </w:tcPr>
          <w:p>
            <w:pPr>
              <w:spacing w:line="360" w:lineRule="auto"/>
              <w:jc w:val="center"/>
              <w:rPr>
                <w:rFonts w:ascii="新宋体" w:hAnsi="新宋体" w:eastAsia="新宋体"/>
                <w:b/>
                <w:bCs/>
                <w:color w:val="auto"/>
                <w:sz w:val="22"/>
                <w:szCs w:val="22"/>
              </w:rPr>
            </w:pPr>
          </w:p>
        </w:tc>
        <w:tc>
          <w:tcPr>
            <w:tcW w:w="2880" w:type="dxa"/>
            <w:noWrap w:val="0"/>
            <w:vAlign w:val="center"/>
          </w:tcPr>
          <w:p>
            <w:pPr>
              <w:spacing w:line="360" w:lineRule="auto"/>
              <w:jc w:val="center"/>
              <w:rPr>
                <w:rFonts w:ascii="新宋体" w:hAnsi="新宋体" w:eastAsia="新宋体"/>
                <w:b/>
                <w:bCs/>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rPr>
            </w:pPr>
          </w:p>
        </w:tc>
        <w:tc>
          <w:tcPr>
            <w:tcW w:w="1692" w:type="dxa"/>
            <w:noWrap w:val="0"/>
            <w:vAlign w:val="center"/>
          </w:tcPr>
          <w:p>
            <w:pPr>
              <w:spacing w:line="360" w:lineRule="auto"/>
              <w:jc w:val="center"/>
              <w:rPr>
                <w:rFonts w:ascii="新宋体" w:hAnsi="新宋体" w:eastAsia="新宋体"/>
                <w:b/>
                <w:bCs/>
                <w:color w:val="auto"/>
                <w:sz w:val="22"/>
                <w:szCs w:val="22"/>
              </w:rPr>
            </w:pPr>
          </w:p>
        </w:tc>
        <w:tc>
          <w:tcPr>
            <w:tcW w:w="2880" w:type="dxa"/>
            <w:noWrap w:val="0"/>
            <w:vAlign w:val="center"/>
          </w:tcPr>
          <w:p>
            <w:pPr>
              <w:spacing w:line="360" w:lineRule="auto"/>
              <w:jc w:val="center"/>
              <w:rPr>
                <w:rFonts w:ascii="新宋体" w:hAnsi="新宋体" w:eastAsia="新宋体"/>
                <w:b/>
                <w:bCs/>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rPr>
            </w:pPr>
          </w:p>
        </w:tc>
        <w:tc>
          <w:tcPr>
            <w:tcW w:w="1692" w:type="dxa"/>
            <w:noWrap w:val="0"/>
            <w:vAlign w:val="center"/>
          </w:tcPr>
          <w:p>
            <w:pPr>
              <w:spacing w:line="360" w:lineRule="auto"/>
              <w:jc w:val="center"/>
              <w:rPr>
                <w:rFonts w:ascii="新宋体" w:hAnsi="新宋体" w:eastAsia="新宋体"/>
                <w:b/>
                <w:bCs/>
                <w:color w:val="auto"/>
                <w:sz w:val="22"/>
                <w:szCs w:val="22"/>
              </w:rPr>
            </w:pPr>
          </w:p>
        </w:tc>
        <w:tc>
          <w:tcPr>
            <w:tcW w:w="2880" w:type="dxa"/>
            <w:noWrap w:val="0"/>
            <w:vAlign w:val="center"/>
          </w:tcPr>
          <w:p>
            <w:pPr>
              <w:spacing w:line="360" w:lineRule="auto"/>
              <w:jc w:val="center"/>
              <w:rPr>
                <w:rFonts w:ascii="新宋体" w:hAnsi="新宋体" w:eastAsia="新宋体"/>
                <w:b/>
                <w:bCs/>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rPr>
            </w:pPr>
          </w:p>
        </w:tc>
        <w:tc>
          <w:tcPr>
            <w:tcW w:w="1692" w:type="dxa"/>
            <w:noWrap w:val="0"/>
            <w:vAlign w:val="center"/>
          </w:tcPr>
          <w:p>
            <w:pPr>
              <w:spacing w:line="360" w:lineRule="auto"/>
              <w:jc w:val="center"/>
              <w:rPr>
                <w:rFonts w:ascii="新宋体" w:hAnsi="新宋体" w:eastAsia="新宋体"/>
                <w:b/>
                <w:bCs/>
                <w:color w:val="auto"/>
                <w:sz w:val="22"/>
                <w:szCs w:val="22"/>
              </w:rPr>
            </w:pPr>
          </w:p>
        </w:tc>
        <w:tc>
          <w:tcPr>
            <w:tcW w:w="2880" w:type="dxa"/>
            <w:noWrap w:val="0"/>
            <w:vAlign w:val="center"/>
          </w:tcPr>
          <w:p>
            <w:pPr>
              <w:spacing w:line="360" w:lineRule="auto"/>
              <w:jc w:val="center"/>
              <w:rPr>
                <w:rFonts w:ascii="新宋体" w:hAnsi="新宋体" w:eastAsia="新宋体"/>
                <w:b/>
                <w:bCs/>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rPr>
            </w:pPr>
          </w:p>
        </w:tc>
        <w:tc>
          <w:tcPr>
            <w:tcW w:w="1692" w:type="dxa"/>
            <w:noWrap w:val="0"/>
            <w:vAlign w:val="center"/>
          </w:tcPr>
          <w:p>
            <w:pPr>
              <w:spacing w:line="360" w:lineRule="auto"/>
              <w:jc w:val="center"/>
              <w:rPr>
                <w:rFonts w:ascii="新宋体" w:hAnsi="新宋体" w:eastAsia="新宋体"/>
                <w:b/>
                <w:bCs/>
                <w:color w:val="auto"/>
                <w:sz w:val="22"/>
                <w:szCs w:val="22"/>
              </w:rPr>
            </w:pPr>
          </w:p>
        </w:tc>
        <w:tc>
          <w:tcPr>
            <w:tcW w:w="2880" w:type="dxa"/>
            <w:noWrap w:val="0"/>
            <w:vAlign w:val="center"/>
          </w:tcPr>
          <w:p>
            <w:pPr>
              <w:spacing w:line="360" w:lineRule="auto"/>
              <w:jc w:val="center"/>
              <w:rPr>
                <w:rFonts w:ascii="新宋体" w:hAnsi="新宋体" w:eastAsia="新宋体"/>
                <w:b/>
                <w:bCs/>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rPr>
            </w:pPr>
          </w:p>
        </w:tc>
        <w:tc>
          <w:tcPr>
            <w:tcW w:w="1692" w:type="dxa"/>
            <w:noWrap w:val="0"/>
            <w:vAlign w:val="center"/>
          </w:tcPr>
          <w:p>
            <w:pPr>
              <w:spacing w:line="360" w:lineRule="auto"/>
              <w:jc w:val="center"/>
              <w:rPr>
                <w:rFonts w:ascii="新宋体" w:hAnsi="新宋体" w:eastAsia="新宋体"/>
                <w:color w:val="auto"/>
                <w:sz w:val="22"/>
                <w:szCs w:val="22"/>
              </w:rPr>
            </w:pPr>
          </w:p>
        </w:tc>
        <w:tc>
          <w:tcPr>
            <w:tcW w:w="2880" w:type="dxa"/>
            <w:noWrap w:val="0"/>
            <w:vAlign w:val="center"/>
          </w:tcPr>
          <w:p>
            <w:pPr>
              <w:spacing w:line="360" w:lineRule="auto"/>
              <w:jc w:val="center"/>
              <w:rPr>
                <w:rFonts w:ascii="新宋体" w:hAnsi="新宋体" w:eastAsia="新宋体"/>
                <w:b/>
                <w:bCs/>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rPr>
            </w:pPr>
          </w:p>
        </w:tc>
        <w:tc>
          <w:tcPr>
            <w:tcW w:w="1692" w:type="dxa"/>
            <w:noWrap w:val="0"/>
            <w:vAlign w:val="center"/>
          </w:tcPr>
          <w:p>
            <w:pPr>
              <w:spacing w:line="360" w:lineRule="auto"/>
              <w:jc w:val="center"/>
              <w:rPr>
                <w:rFonts w:ascii="新宋体" w:hAnsi="新宋体" w:eastAsia="新宋体"/>
                <w:b/>
                <w:bCs/>
                <w:color w:val="auto"/>
                <w:sz w:val="22"/>
                <w:szCs w:val="22"/>
              </w:rPr>
            </w:pPr>
          </w:p>
        </w:tc>
        <w:tc>
          <w:tcPr>
            <w:tcW w:w="2880" w:type="dxa"/>
            <w:noWrap w:val="0"/>
            <w:vAlign w:val="center"/>
          </w:tcPr>
          <w:p>
            <w:pPr>
              <w:spacing w:line="360" w:lineRule="auto"/>
              <w:jc w:val="center"/>
              <w:rPr>
                <w:rFonts w:ascii="新宋体" w:hAnsi="新宋体" w:eastAsia="新宋体"/>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rPr>
            </w:pPr>
          </w:p>
        </w:tc>
        <w:tc>
          <w:tcPr>
            <w:tcW w:w="1692" w:type="dxa"/>
            <w:noWrap w:val="0"/>
            <w:vAlign w:val="center"/>
          </w:tcPr>
          <w:p>
            <w:pPr>
              <w:spacing w:line="360" w:lineRule="auto"/>
              <w:jc w:val="center"/>
              <w:rPr>
                <w:rFonts w:ascii="新宋体" w:hAnsi="新宋体" w:eastAsia="新宋体"/>
                <w:color w:val="auto"/>
                <w:sz w:val="22"/>
                <w:szCs w:val="22"/>
              </w:rPr>
            </w:pPr>
          </w:p>
        </w:tc>
        <w:tc>
          <w:tcPr>
            <w:tcW w:w="2880" w:type="dxa"/>
            <w:noWrap w:val="0"/>
            <w:vAlign w:val="top"/>
          </w:tcPr>
          <w:p>
            <w:pPr>
              <w:spacing w:line="360" w:lineRule="auto"/>
              <w:rPr>
                <w:rFonts w:ascii="新宋体" w:hAnsi="新宋体" w:eastAsia="新宋体"/>
                <w:b/>
                <w:bCs/>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rPr>
            </w:pPr>
          </w:p>
        </w:tc>
        <w:tc>
          <w:tcPr>
            <w:tcW w:w="1692" w:type="dxa"/>
            <w:noWrap w:val="0"/>
            <w:vAlign w:val="center"/>
          </w:tcPr>
          <w:p>
            <w:pPr>
              <w:spacing w:line="360" w:lineRule="auto"/>
              <w:jc w:val="center"/>
              <w:rPr>
                <w:rFonts w:ascii="新宋体" w:hAnsi="新宋体" w:eastAsia="新宋体"/>
                <w:b/>
                <w:bCs/>
                <w:color w:val="auto"/>
                <w:sz w:val="22"/>
                <w:szCs w:val="22"/>
              </w:rPr>
            </w:pPr>
          </w:p>
        </w:tc>
        <w:tc>
          <w:tcPr>
            <w:tcW w:w="2880" w:type="dxa"/>
            <w:noWrap w:val="0"/>
            <w:vAlign w:val="top"/>
          </w:tcPr>
          <w:p>
            <w:pPr>
              <w:spacing w:line="360" w:lineRule="auto"/>
              <w:rPr>
                <w:rFonts w:ascii="新宋体" w:hAnsi="新宋体" w:eastAsia="新宋体"/>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rPr>
            </w:pPr>
          </w:p>
        </w:tc>
        <w:tc>
          <w:tcPr>
            <w:tcW w:w="1692" w:type="dxa"/>
            <w:noWrap w:val="0"/>
            <w:vAlign w:val="center"/>
          </w:tcPr>
          <w:p>
            <w:pPr>
              <w:spacing w:line="360" w:lineRule="auto"/>
              <w:jc w:val="center"/>
              <w:rPr>
                <w:rFonts w:ascii="新宋体" w:hAnsi="新宋体" w:eastAsia="新宋体"/>
                <w:color w:val="auto"/>
                <w:sz w:val="22"/>
                <w:szCs w:val="22"/>
              </w:rPr>
            </w:pPr>
          </w:p>
        </w:tc>
        <w:tc>
          <w:tcPr>
            <w:tcW w:w="2880" w:type="dxa"/>
            <w:noWrap w:val="0"/>
            <w:vAlign w:val="top"/>
          </w:tcPr>
          <w:p>
            <w:pPr>
              <w:spacing w:line="360" w:lineRule="auto"/>
              <w:rPr>
                <w:rFonts w:ascii="新宋体" w:hAnsi="新宋体" w:eastAsia="新宋体"/>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rPr>
            </w:pPr>
          </w:p>
        </w:tc>
        <w:tc>
          <w:tcPr>
            <w:tcW w:w="1692" w:type="dxa"/>
            <w:noWrap w:val="0"/>
            <w:vAlign w:val="center"/>
          </w:tcPr>
          <w:p>
            <w:pPr>
              <w:spacing w:line="360" w:lineRule="auto"/>
              <w:jc w:val="center"/>
              <w:rPr>
                <w:rFonts w:ascii="新宋体" w:hAnsi="新宋体" w:eastAsia="新宋体"/>
                <w:color w:val="auto"/>
                <w:sz w:val="22"/>
                <w:szCs w:val="22"/>
              </w:rPr>
            </w:pPr>
          </w:p>
        </w:tc>
        <w:tc>
          <w:tcPr>
            <w:tcW w:w="2880" w:type="dxa"/>
            <w:noWrap w:val="0"/>
            <w:vAlign w:val="top"/>
          </w:tcPr>
          <w:p>
            <w:pPr>
              <w:spacing w:line="360" w:lineRule="auto"/>
              <w:rPr>
                <w:rFonts w:ascii="新宋体" w:hAnsi="新宋体" w:eastAsia="新宋体"/>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rPr>
            </w:pPr>
          </w:p>
        </w:tc>
        <w:tc>
          <w:tcPr>
            <w:tcW w:w="1692" w:type="dxa"/>
            <w:noWrap w:val="0"/>
            <w:vAlign w:val="center"/>
          </w:tcPr>
          <w:p>
            <w:pPr>
              <w:spacing w:line="360" w:lineRule="auto"/>
              <w:jc w:val="center"/>
              <w:rPr>
                <w:rFonts w:ascii="新宋体" w:hAnsi="新宋体" w:eastAsia="新宋体"/>
                <w:b/>
                <w:bCs/>
                <w:color w:val="auto"/>
                <w:sz w:val="22"/>
                <w:szCs w:val="22"/>
              </w:rPr>
            </w:pPr>
          </w:p>
        </w:tc>
        <w:tc>
          <w:tcPr>
            <w:tcW w:w="2880" w:type="dxa"/>
            <w:noWrap w:val="0"/>
            <w:vAlign w:val="center"/>
          </w:tcPr>
          <w:p>
            <w:pPr>
              <w:spacing w:line="360" w:lineRule="auto"/>
              <w:jc w:val="center"/>
              <w:rPr>
                <w:rFonts w:ascii="新宋体" w:hAnsi="新宋体" w:eastAsia="新宋体"/>
                <w:b/>
                <w:bCs/>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rPr>
            </w:pPr>
          </w:p>
        </w:tc>
        <w:tc>
          <w:tcPr>
            <w:tcW w:w="1692" w:type="dxa"/>
            <w:noWrap w:val="0"/>
            <w:vAlign w:val="center"/>
          </w:tcPr>
          <w:p>
            <w:pPr>
              <w:spacing w:line="360" w:lineRule="auto"/>
              <w:rPr>
                <w:rFonts w:ascii="新宋体" w:hAnsi="新宋体" w:eastAsia="新宋体"/>
                <w:b/>
                <w:bCs/>
                <w:color w:val="auto"/>
                <w:sz w:val="22"/>
                <w:szCs w:val="22"/>
              </w:rPr>
            </w:pPr>
          </w:p>
        </w:tc>
        <w:tc>
          <w:tcPr>
            <w:tcW w:w="2880" w:type="dxa"/>
            <w:noWrap w:val="0"/>
            <w:vAlign w:val="center"/>
          </w:tcPr>
          <w:p>
            <w:pPr>
              <w:spacing w:line="360" w:lineRule="auto"/>
              <w:jc w:val="center"/>
              <w:rPr>
                <w:rFonts w:ascii="新宋体" w:hAnsi="新宋体" w:eastAsia="新宋体"/>
                <w:b/>
                <w:bCs/>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b/>
                <w:bCs/>
                <w:color w:val="auto"/>
                <w:sz w:val="22"/>
                <w:szCs w:val="22"/>
              </w:rPr>
            </w:pPr>
          </w:p>
        </w:tc>
        <w:tc>
          <w:tcPr>
            <w:tcW w:w="1692" w:type="dxa"/>
            <w:noWrap w:val="0"/>
            <w:vAlign w:val="center"/>
          </w:tcPr>
          <w:p>
            <w:pPr>
              <w:spacing w:line="360" w:lineRule="auto"/>
              <w:rPr>
                <w:rFonts w:ascii="新宋体" w:hAnsi="新宋体" w:eastAsia="新宋体"/>
                <w:b/>
                <w:bCs/>
                <w:color w:val="auto"/>
                <w:sz w:val="22"/>
                <w:szCs w:val="22"/>
              </w:rPr>
            </w:pPr>
          </w:p>
        </w:tc>
        <w:tc>
          <w:tcPr>
            <w:tcW w:w="2880" w:type="dxa"/>
            <w:noWrap w:val="0"/>
            <w:vAlign w:val="center"/>
          </w:tcPr>
          <w:p>
            <w:pPr>
              <w:spacing w:line="360" w:lineRule="auto"/>
              <w:jc w:val="center"/>
              <w:rPr>
                <w:rFonts w:ascii="新宋体" w:hAnsi="新宋体" w:eastAsia="新宋体"/>
                <w:b/>
                <w:bCs/>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bCs/>
                <w:color w:val="auto"/>
                <w:sz w:val="22"/>
                <w:szCs w:val="22"/>
              </w:rPr>
            </w:pPr>
          </w:p>
        </w:tc>
        <w:tc>
          <w:tcPr>
            <w:tcW w:w="1692" w:type="dxa"/>
            <w:noWrap w:val="0"/>
            <w:vAlign w:val="center"/>
          </w:tcPr>
          <w:p>
            <w:pPr>
              <w:spacing w:line="360" w:lineRule="auto"/>
              <w:rPr>
                <w:rFonts w:ascii="新宋体" w:hAnsi="新宋体" w:eastAsia="新宋体"/>
                <w:color w:val="auto"/>
                <w:sz w:val="22"/>
                <w:szCs w:val="22"/>
              </w:rPr>
            </w:pPr>
          </w:p>
        </w:tc>
        <w:tc>
          <w:tcPr>
            <w:tcW w:w="2880" w:type="dxa"/>
            <w:noWrap w:val="0"/>
            <w:vAlign w:val="center"/>
          </w:tcPr>
          <w:p>
            <w:pPr>
              <w:spacing w:line="360" w:lineRule="auto"/>
              <w:jc w:val="center"/>
              <w:rPr>
                <w:rFonts w:ascii="新宋体" w:hAnsi="新宋体" w:eastAsia="新宋体"/>
                <w:b/>
                <w:bCs/>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b/>
                <w:bCs/>
                <w:color w:val="auto"/>
                <w:sz w:val="22"/>
                <w:szCs w:val="22"/>
              </w:rPr>
            </w:pPr>
          </w:p>
        </w:tc>
        <w:tc>
          <w:tcPr>
            <w:tcW w:w="1692" w:type="dxa"/>
            <w:noWrap w:val="0"/>
            <w:vAlign w:val="center"/>
          </w:tcPr>
          <w:p>
            <w:pPr>
              <w:spacing w:line="360" w:lineRule="auto"/>
              <w:rPr>
                <w:rFonts w:ascii="新宋体" w:hAnsi="新宋体" w:eastAsia="新宋体"/>
                <w:b/>
                <w:bCs/>
                <w:color w:val="auto"/>
                <w:sz w:val="22"/>
                <w:szCs w:val="22"/>
              </w:rPr>
            </w:pPr>
          </w:p>
        </w:tc>
        <w:tc>
          <w:tcPr>
            <w:tcW w:w="2880" w:type="dxa"/>
            <w:noWrap w:val="0"/>
            <w:vAlign w:val="center"/>
          </w:tcPr>
          <w:p>
            <w:pPr>
              <w:spacing w:line="360" w:lineRule="auto"/>
              <w:jc w:val="center"/>
              <w:rPr>
                <w:rFonts w:ascii="新宋体" w:hAnsi="新宋体" w:eastAsia="新宋体"/>
                <w:b/>
                <w:bCs/>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b/>
                <w:bCs/>
                <w:color w:val="auto"/>
                <w:sz w:val="22"/>
                <w:szCs w:val="22"/>
              </w:rPr>
            </w:pPr>
          </w:p>
        </w:tc>
        <w:tc>
          <w:tcPr>
            <w:tcW w:w="1692" w:type="dxa"/>
            <w:noWrap w:val="0"/>
            <w:vAlign w:val="center"/>
          </w:tcPr>
          <w:p>
            <w:pPr>
              <w:spacing w:line="360" w:lineRule="auto"/>
              <w:rPr>
                <w:rFonts w:ascii="新宋体" w:hAnsi="新宋体" w:eastAsia="新宋体"/>
                <w:color w:val="auto"/>
                <w:sz w:val="22"/>
                <w:szCs w:val="22"/>
              </w:rPr>
            </w:pPr>
          </w:p>
        </w:tc>
        <w:tc>
          <w:tcPr>
            <w:tcW w:w="2880" w:type="dxa"/>
            <w:noWrap w:val="0"/>
            <w:vAlign w:val="center"/>
          </w:tcPr>
          <w:p>
            <w:pPr>
              <w:spacing w:line="360" w:lineRule="auto"/>
              <w:jc w:val="center"/>
              <w:rPr>
                <w:rFonts w:ascii="新宋体" w:hAnsi="新宋体" w:eastAsia="新宋体"/>
                <w:b/>
                <w:bCs/>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b/>
                <w:bCs/>
                <w:color w:val="auto"/>
                <w:sz w:val="22"/>
                <w:szCs w:val="22"/>
              </w:rPr>
            </w:pPr>
          </w:p>
        </w:tc>
        <w:tc>
          <w:tcPr>
            <w:tcW w:w="1692" w:type="dxa"/>
            <w:noWrap w:val="0"/>
            <w:vAlign w:val="center"/>
          </w:tcPr>
          <w:p>
            <w:pPr>
              <w:spacing w:line="360" w:lineRule="auto"/>
              <w:rPr>
                <w:rFonts w:ascii="新宋体" w:hAnsi="新宋体" w:eastAsia="新宋体"/>
                <w:b/>
                <w:bCs/>
                <w:color w:val="auto"/>
                <w:sz w:val="22"/>
                <w:szCs w:val="22"/>
              </w:rPr>
            </w:pPr>
          </w:p>
        </w:tc>
        <w:tc>
          <w:tcPr>
            <w:tcW w:w="2880" w:type="dxa"/>
            <w:noWrap w:val="0"/>
            <w:vAlign w:val="center"/>
          </w:tcPr>
          <w:p>
            <w:pPr>
              <w:spacing w:line="360" w:lineRule="auto"/>
              <w:jc w:val="center"/>
              <w:rPr>
                <w:rFonts w:ascii="新宋体" w:hAnsi="新宋体" w:eastAsia="新宋体"/>
                <w:b/>
                <w:bCs/>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b/>
                <w:bCs/>
                <w:color w:val="auto"/>
                <w:sz w:val="22"/>
                <w:szCs w:val="22"/>
              </w:rPr>
            </w:pPr>
          </w:p>
        </w:tc>
        <w:tc>
          <w:tcPr>
            <w:tcW w:w="1692" w:type="dxa"/>
            <w:noWrap w:val="0"/>
            <w:vAlign w:val="center"/>
          </w:tcPr>
          <w:p>
            <w:pPr>
              <w:spacing w:line="360" w:lineRule="auto"/>
              <w:rPr>
                <w:rFonts w:ascii="新宋体" w:hAnsi="新宋体" w:eastAsia="新宋体"/>
                <w:b/>
                <w:bCs/>
                <w:color w:val="auto"/>
                <w:sz w:val="22"/>
                <w:szCs w:val="22"/>
              </w:rPr>
            </w:pPr>
          </w:p>
        </w:tc>
        <w:tc>
          <w:tcPr>
            <w:tcW w:w="2880" w:type="dxa"/>
            <w:noWrap w:val="0"/>
            <w:vAlign w:val="center"/>
          </w:tcPr>
          <w:p>
            <w:pPr>
              <w:spacing w:line="360" w:lineRule="auto"/>
              <w:jc w:val="center"/>
              <w:rPr>
                <w:rFonts w:ascii="新宋体" w:hAnsi="新宋体" w:eastAsia="新宋体"/>
                <w:b/>
                <w:bCs/>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rPr>
            </w:pPr>
          </w:p>
        </w:tc>
        <w:tc>
          <w:tcPr>
            <w:tcW w:w="1692" w:type="dxa"/>
            <w:noWrap w:val="0"/>
            <w:vAlign w:val="center"/>
          </w:tcPr>
          <w:p>
            <w:pPr>
              <w:spacing w:line="360" w:lineRule="auto"/>
              <w:rPr>
                <w:rFonts w:ascii="新宋体" w:hAnsi="新宋体" w:eastAsia="新宋体"/>
                <w:color w:val="auto"/>
                <w:sz w:val="22"/>
                <w:szCs w:val="22"/>
              </w:rPr>
            </w:pPr>
          </w:p>
        </w:tc>
        <w:tc>
          <w:tcPr>
            <w:tcW w:w="2880" w:type="dxa"/>
            <w:noWrap w:val="0"/>
            <w:vAlign w:val="center"/>
          </w:tcPr>
          <w:p>
            <w:pPr>
              <w:spacing w:line="360" w:lineRule="auto"/>
              <w:jc w:val="center"/>
              <w:rPr>
                <w:rFonts w:ascii="新宋体" w:hAnsi="新宋体" w:eastAsia="新宋体"/>
                <w:b/>
                <w:bCs/>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rPr>
                <w:rFonts w:ascii="新宋体" w:hAnsi="新宋体" w:eastAsia="新宋体"/>
                <w:color w:val="auto"/>
                <w:sz w:val="22"/>
                <w:szCs w:val="22"/>
              </w:rPr>
            </w:pPr>
          </w:p>
        </w:tc>
        <w:tc>
          <w:tcPr>
            <w:tcW w:w="1692" w:type="dxa"/>
            <w:noWrap w:val="0"/>
            <w:vAlign w:val="center"/>
          </w:tcPr>
          <w:p>
            <w:pPr>
              <w:spacing w:line="360" w:lineRule="auto"/>
              <w:rPr>
                <w:rFonts w:ascii="新宋体" w:hAnsi="新宋体" w:eastAsia="新宋体"/>
                <w:color w:val="auto"/>
                <w:sz w:val="22"/>
                <w:szCs w:val="22"/>
              </w:rPr>
            </w:pPr>
          </w:p>
        </w:tc>
        <w:tc>
          <w:tcPr>
            <w:tcW w:w="2880" w:type="dxa"/>
            <w:noWrap w:val="0"/>
            <w:vAlign w:val="center"/>
          </w:tcPr>
          <w:p>
            <w:pPr>
              <w:spacing w:line="360" w:lineRule="auto"/>
              <w:jc w:val="center"/>
              <w:rPr>
                <w:rFonts w:ascii="新宋体" w:hAnsi="新宋体" w:eastAsia="新宋体"/>
                <w:b/>
                <w:bCs/>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b/>
                <w:bCs/>
                <w:color w:val="auto"/>
                <w:sz w:val="22"/>
                <w:szCs w:val="22"/>
              </w:rPr>
            </w:pPr>
          </w:p>
        </w:tc>
        <w:tc>
          <w:tcPr>
            <w:tcW w:w="1692" w:type="dxa"/>
            <w:noWrap w:val="0"/>
            <w:vAlign w:val="top"/>
          </w:tcPr>
          <w:p>
            <w:pPr>
              <w:spacing w:line="360" w:lineRule="auto"/>
              <w:rPr>
                <w:rFonts w:ascii="新宋体" w:hAnsi="新宋体" w:eastAsia="新宋体"/>
                <w:color w:val="auto"/>
                <w:sz w:val="22"/>
                <w:szCs w:val="22"/>
              </w:rPr>
            </w:pPr>
          </w:p>
        </w:tc>
        <w:tc>
          <w:tcPr>
            <w:tcW w:w="2880" w:type="dxa"/>
            <w:noWrap w:val="0"/>
            <w:vAlign w:val="center"/>
          </w:tcPr>
          <w:p>
            <w:pPr>
              <w:spacing w:line="360" w:lineRule="auto"/>
              <w:jc w:val="center"/>
              <w:rPr>
                <w:rFonts w:ascii="新宋体" w:hAnsi="新宋体" w:eastAsia="新宋体"/>
                <w:b/>
                <w:bCs/>
                <w:color w:val="auto"/>
                <w:sz w:val="22"/>
                <w:szCs w:val="22"/>
              </w:rPr>
            </w:pPr>
          </w:p>
        </w:tc>
        <w:tc>
          <w:tcPr>
            <w:tcW w:w="1661" w:type="dxa"/>
            <w:noWrap w:val="0"/>
            <w:vAlign w:val="center"/>
          </w:tcPr>
          <w:p>
            <w:pPr>
              <w:spacing w:line="360" w:lineRule="auto"/>
              <w:jc w:val="center"/>
              <w:rPr>
                <w:rFonts w:ascii="新宋体" w:hAnsi="新宋体" w:eastAsia="新宋体"/>
                <w:b/>
                <w:bCs/>
                <w:color w:val="auto"/>
                <w:sz w:val="22"/>
                <w:szCs w:val="22"/>
              </w:rPr>
            </w:pPr>
          </w:p>
        </w:tc>
        <w:tc>
          <w:tcPr>
            <w:tcW w:w="1260" w:type="dxa"/>
            <w:noWrap w:val="0"/>
            <w:vAlign w:val="center"/>
          </w:tcPr>
          <w:p>
            <w:pPr>
              <w:spacing w:line="360" w:lineRule="auto"/>
              <w:jc w:val="center"/>
              <w:rPr>
                <w:rFonts w:ascii="新宋体" w:hAnsi="新宋体" w:eastAsia="新宋体"/>
                <w:b/>
                <w:bCs/>
                <w:color w:val="auto"/>
                <w:sz w:val="22"/>
                <w:szCs w:val="22"/>
              </w:rPr>
            </w:pPr>
          </w:p>
        </w:tc>
        <w:tc>
          <w:tcPr>
            <w:tcW w:w="1219" w:type="dxa"/>
            <w:noWrap w:val="0"/>
            <w:vAlign w:val="top"/>
          </w:tcPr>
          <w:p>
            <w:pPr>
              <w:rPr>
                <w:rFonts w:ascii="新宋体" w:hAnsi="新宋体" w:eastAsia="新宋体"/>
                <w:color w:val="auto"/>
                <w:sz w:val="22"/>
                <w:szCs w:val="22"/>
              </w:rPr>
            </w:pPr>
          </w:p>
        </w:tc>
      </w:tr>
    </w:tbl>
    <w:p>
      <w:pPr>
        <w:pStyle w:val="30"/>
        <w:spacing w:line="400" w:lineRule="atLeast"/>
        <w:rPr>
          <w:rFonts w:hint="eastAsia" w:ascii="宋体" w:hAnsi="宋体" w:eastAsia="宋体" w:cs="宋体"/>
          <w:color w:val="auto"/>
          <w:sz w:val="22"/>
          <w:szCs w:val="22"/>
          <w:highlight w:val="none"/>
        </w:rPr>
      </w:pP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w:t>
      </w:r>
    </w:p>
    <w:p>
      <w:pPr>
        <w:spacing w:line="460" w:lineRule="exact"/>
        <w:ind w:firstLine="5060" w:firstLineChars="2300"/>
        <w:rPr>
          <w:rFonts w:hint="eastAsia" w:ascii="宋体" w:hAnsi="宋体" w:eastAsia="宋体" w:cs="宋体"/>
          <w:color w:val="auto"/>
          <w:sz w:val="22"/>
          <w:szCs w:val="22"/>
          <w:highlight w:val="none"/>
        </w:rPr>
      </w:pPr>
    </w:p>
    <w:p>
      <w:pPr>
        <w:spacing w:line="460" w:lineRule="exact"/>
        <w:rPr>
          <w:rFonts w:hint="eastAsia" w:ascii="宋体" w:hAnsi="宋体" w:eastAsia="宋体" w:cs="宋体"/>
          <w:color w:val="auto"/>
          <w:sz w:val="22"/>
          <w:szCs w:val="22"/>
          <w:highlight w:val="none"/>
        </w:rPr>
      </w:pP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spacing w:line="400" w:lineRule="exact"/>
        <w:jc w:val="center"/>
        <w:outlineLvl w:val="3"/>
        <w:rPr>
          <w:rFonts w:hint="eastAsia" w:ascii="宋体" w:hAnsi="宋体" w:eastAsia="宋体" w:cs="宋体"/>
          <w:b/>
          <w:bCs/>
          <w:color w:val="auto"/>
          <w:sz w:val="28"/>
          <w:szCs w:val="28"/>
          <w:highlight w:val="none"/>
          <w:lang w:val="zh-CN" w:eastAsia="zh-CN"/>
        </w:rPr>
      </w:pPr>
      <w:r>
        <w:rPr>
          <w:rFonts w:hint="eastAsia" w:ascii="宋体" w:hAnsi="宋体" w:eastAsia="宋体" w:cs="宋体"/>
          <w:b/>
          <w:bCs/>
          <w:color w:val="auto"/>
          <w:sz w:val="28"/>
          <w:szCs w:val="28"/>
          <w:highlight w:val="none"/>
          <w:lang w:val="en-US" w:eastAsia="zh-CN"/>
        </w:rPr>
        <w:t>5、备品、易损件、备件、专用工具清单</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WZLCZB（W）-2023-01002</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lang w:eastAsia="zh-CN"/>
        </w:rPr>
      </w:pPr>
      <w:r>
        <w:rPr>
          <w:rFonts w:hint="eastAsia" w:ascii="宋体" w:hAnsi="宋体" w:eastAsia="宋体" w:cs="宋体"/>
          <w:b w:val="0"/>
          <w:bCs w:val="0"/>
          <w:color w:val="auto"/>
          <w:sz w:val="22"/>
          <w:szCs w:val="22"/>
          <w:highlight w:val="none"/>
        </w:rPr>
        <w:t>项目名称：</w:t>
      </w:r>
      <w:r>
        <w:rPr>
          <w:rFonts w:hint="eastAsia"/>
          <w:color w:val="auto"/>
          <w:sz w:val="22"/>
          <w:szCs w:val="22"/>
          <w:highlight w:val="none"/>
          <w:u w:val="none"/>
          <w:lang w:eastAsia="zh-CN"/>
        </w:rPr>
        <w:t>污水处理消毒粉采购</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240"/>
        <w:gridCol w:w="1404"/>
        <w:gridCol w:w="796"/>
        <w:gridCol w:w="3704"/>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56" w:type="dxa"/>
            <w:shd w:val="clear" w:color="auto" w:fill="FFFFFF"/>
            <w:noWrap w:val="0"/>
            <w:vAlign w:val="center"/>
          </w:tcPr>
          <w:p>
            <w:pPr>
              <w:spacing w:line="400" w:lineRule="exact"/>
              <w:jc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序号</w:t>
            </w:r>
          </w:p>
        </w:tc>
        <w:tc>
          <w:tcPr>
            <w:tcW w:w="1240" w:type="dxa"/>
            <w:shd w:val="clear" w:color="auto" w:fill="FFFFFF"/>
            <w:noWrap w:val="0"/>
            <w:vAlign w:val="center"/>
          </w:tcPr>
          <w:p>
            <w:pPr>
              <w:spacing w:line="400" w:lineRule="exact"/>
              <w:jc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名  称</w:t>
            </w:r>
          </w:p>
        </w:tc>
        <w:tc>
          <w:tcPr>
            <w:tcW w:w="1404" w:type="dxa"/>
            <w:shd w:val="clear" w:color="auto" w:fill="FFFFFF"/>
            <w:noWrap w:val="0"/>
            <w:vAlign w:val="center"/>
          </w:tcPr>
          <w:p>
            <w:pPr>
              <w:spacing w:line="400" w:lineRule="exact"/>
              <w:jc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规格型号</w:t>
            </w:r>
          </w:p>
        </w:tc>
        <w:tc>
          <w:tcPr>
            <w:tcW w:w="796" w:type="dxa"/>
            <w:shd w:val="clear" w:color="auto" w:fill="FFFFFF"/>
            <w:noWrap w:val="0"/>
            <w:vAlign w:val="center"/>
          </w:tcPr>
          <w:p>
            <w:pPr>
              <w:spacing w:line="400" w:lineRule="exact"/>
              <w:jc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数量</w:t>
            </w:r>
          </w:p>
        </w:tc>
        <w:tc>
          <w:tcPr>
            <w:tcW w:w="3704" w:type="dxa"/>
            <w:shd w:val="clear" w:color="auto" w:fill="FFFFFF"/>
            <w:noWrap w:val="0"/>
            <w:vAlign w:val="center"/>
          </w:tcPr>
          <w:p>
            <w:pPr>
              <w:spacing w:line="400" w:lineRule="exact"/>
              <w:jc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原产地/制造商</w:t>
            </w:r>
          </w:p>
        </w:tc>
        <w:tc>
          <w:tcPr>
            <w:tcW w:w="1568" w:type="dxa"/>
            <w:shd w:val="clear" w:color="auto" w:fill="FFFFFF"/>
            <w:noWrap w:val="0"/>
            <w:vAlign w:val="center"/>
          </w:tcPr>
          <w:p>
            <w:pPr>
              <w:spacing w:line="400" w:lineRule="exact"/>
              <w:jc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s="新宋体"/>
                <w:color w:val="auto"/>
                <w:sz w:val="22"/>
                <w:szCs w:val="22"/>
              </w:rPr>
            </w:pPr>
          </w:p>
        </w:tc>
        <w:tc>
          <w:tcPr>
            <w:tcW w:w="1240" w:type="dxa"/>
            <w:noWrap w:val="0"/>
            <w:vAlign w:val="top"/>
          </w:tcPr>
          <w:p>
            <w:pPr>
              <w:spacing w:line="400" w:lineRule="exact"/>
              <w:rPr>
                <w:rFonts w:ascii="新宋体" w:hAnsi="新宋体" w:eastAsia="新宋体" w:cs="新宋体"/>
                <w:color w:val="auto"/>
                <w:sz w:val="22"/>
                <w:szCs w:val="22"/>
              </w:rPr>
            </w:pPr>
          </w:p>
        </w:tc>
        <w:tc>
          <w:tcPr>
            <w:tcW w:w="1404" w:type="dxa"/>
            <w:noWrap w:val="0"/>
            <w:vAlign w:val="top"/>
          </w:tcPr>
          <w:p>
            <w:pPr>
              <w:spacing w:line="400" w:lineRule="exact"/>
              <w:rPr>
                <w:rFonts w:ascii="新宋体" w:hAnsi="新宋体" w:eastAsia="新宋体" w:cs="新宋体"/>
                <w:color w:val="auto"/>
                <w:sz w:val="22"/>
                <w:szCs w:val="22"/>
              </w:rPr>
            </w:pPr>
          </w:p>
        </w:tc>
        <w:tc>
          <w:tcPr>
            <w:tcW w:w="796" w:type="dxa"/>
            <w:noWrap w:val="0"/>
            <w:vAlign w:val="top"/>
          </w:tcPr>
          <w:p>
            <w:pPr>
              <w:spacing w:line="400" w:lineRule="exact"/>
              <w:rPr>
                <w:rFonts w:ascii="新宋体" w:hAnsi="新宋体" w:eastAsia="新宋体" w:cs="新宋体"/>
                <w:color w:val="auto"/>
                <w:sz w:val="22"/>
                <w:szCs w:val="22"/>
              </w:rPr>
            </w:pPr>
          </w:p>
        </w:tc>
        <w:tc>
          <w:tcPr>
            <w:tcW w:w="3704" w:type="dxa"/>
            <w:noWrap w:val="0"/>
            <w:vAlign w:val="top"/>
          </w:tcPr>
          <w:p>
            <w:pPr>
              <w:spacing w:line="400" w:lineRule="exact"/>
              <w:rPr>
                <w:rFonts w:ascii="新宋体" w:hAnsi="新宋体" w:eastAsia="新宋体" w:cs="新宋体"/>
                <w:color w:val="auto"/>
                <w:sz w:val="22"/>
                <w:szCs w:val="22"/>
              </w:rPr>
            </w:pPr>
          </w:p>
        </w:tc>
        <w:tc>
          <w:tcPr>
            <w:tcW w:w="1568" w:type="dxa"/>
            <w:noWrap w:val="0"/>
            <w:vAlign w:val="top"/>
          </w:tcPr>
          <w:p>
            <w:pPr>
              <w:spacing w:line="400" w:lineRule="exact"/>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s="新宋体"/>
                <w:color w:val="auto"/>
                <w:sz w:val="22"/>
                <w:szCs w:val="22"/>
              </w:rPr>
            </w:pPr>
          </w:p>
        </w:tc>
        <w:tc>
          <w:tcPr>
            <w:tcW w:w="1240" w:type="dxa"/>
            <w:noWrap w:val="0"/>
            <w:vAlign w:val="top"/>
          </w:tcPr>
          <w:p>
            <w:pPr>
              <w:spacing w:line="400" w:lineRule="exact"/>
              <w:rPr>
                <w:rFonts w:ascii="新宋体" w:hAnsi="新宋体" w:eastAsia="新宋体" w:cs="新宋体"/>
                <w:color w:val="auto"/>
                <w:sz w:val="22"/>
                <w:szCs w:val="22"/>
              </w:rPr>
            </w:pPr>
          </w:p>
        </w:tc>
        <w:tc>
          <w:tcPr>
            <w:tcW w:w="1404" w:type="dxa"/>
            <w:noWrap w:val="0"/>
            <w:vAlign w:val="top"/>
          </w:tcPr>
          <w:p>
            <w:pPr>
              <w:spacing w:line="400" w:lineRule="exact"/>
              <w:rPr>
                <w:rFonts w:ascii="新宋体" w:hAnsi="新宋体" w:eastAsia="新宋体" w:cs="新宋体"/>
                <w:color w:val="auto"/>
                <w:sz w:val="22"/>
                <w:szCs w:val="22"/>
              </w:rPr>
            </w:pPr>
          </w:p>
        </w:tc>
        <w:tc>
          <w:tcPr>
            <w:tcW w:w="796" w:type="dxa"/>
            <w:noWrap w:val="0"/>
            <w:vAlign w:val="top"/>
          </w:tcPr>
          <w:p>
            <w:pPr>
              <w:spacing w:line="400" w:lineRule="exact"/>
              <w:rPr>
                <w:rFonts w:ascii="新宋体" w:hAnsi="新宋体" w:eastAsia="新宋体" w:cs="新宋体"/>
                <w:color w:val="auto"/>
                <w:sz w:val="22"/>
                <w:szCs w:val="22"/>
              </w:rPr>
            </w:pPr>
          </w:p>
        </w:tc>
        <w:tc>
          <w:tcPr>
            <w:tcW w:w="3704" w:type="dxa"/>
            <w:noWrap w:val="0"/>
            <w:vAlign w:val="top"/>
          </w:tcPr>
          <w:p>
            <w:pPr>
              <w:spacing w:line="400" w:lineRule="exact"/>
              <w:rPr>
                <w:rFonts w:ascii="新宋体" w:hAnsi="新宋体" w:eastAsia="新宋体" w:cs="新宋体"/>
                <w:color w:val="auto"/>
                <w:sz w:val="22"/>
                <w:szCs w:val="22"/>
              </w:rPr>
            </w:pPr>
          </w:p>
        </w:tc>
        <w:tc>
          <w:tcPr>
            <w:tcW w:w="1568" w:type="dxa"/>
            <w:noWrap w:val="0"/>
            <w:vAlign w:val="top"/>
          </w:tcPr>
          <w:p>
            <w:pPr>
              <w:spacing w:line="400" w:lineRule="exact"/>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s="新宋体"/>
                <w:color w:val="auto"/>
                <w:sz w:val="22"/>
                <w:szCs w:val="22"/>
              </w:rPr>
            </w:pPr>
          </w:p>
        </w:tc>
        <w:tc>
          <w:tcPr>
            <w:tcW w:w="1240" w:type="dxa"/>
            <w:noWrap w:val="0"/>
            <w:vAlign w:val="top"/>
          </w:tcPr>
          <w:p>
            <w:pPr>
              <w:spacing w:line="400" w:lineRule="exact"/>
              <w:rPr>
                <w:rFonts w:ascii="新宋体" w:hAnsi="新宋体" w:eastAsia="新宋体" w:cs="新宋体"/>
                <w:color w:val="auto"/>
                <w:sz w:val="22"/>
                <w:szCs w:val="22"/>
              </w:rPr>
            </w:pPr>
          </w:p>
        </w:tc>
        <w:tc>
          <w:tcPr>
            <w:tcW w:w="1404" w:type="dxa"/>
            <w:noWrap w:val="0"/>
            <w:vAlign w:val="top"/>
          </w:tcPr>
          <w:p>
            <w:pPr>
              <w:spacing w:line="400" w:lineRule="exact"/>
              <w:rPr>
                <w:rFonts w:ascii="新宋体" w:hAnsi="新宋体" w:eastAsia="新宋体" w:cs="新宋体"/>
                <w:color w:val="auto"/>
                <w:sz w:val="22"/>
                <w:szCs w:val="22"/>
              </w:rPr>
            </w:pPr>
          </w:p>
        </w:tc>
        <w:tc>
          <w:tcPr>
            <w:tcW w:w="796" w:type="dxa"/>
            <w:noWrap w:val="0"/>
            <w:vAlign w:val="top"/>
          </w:tcPr>
          <w:p>
            <w:pPr>
              <w:spacing w:line="400" w:lineRule="exact"/>
              <w:rPr>
                <w:rFonts w:ascii="新宋体" w:hAnsi="新宋体" w:eastAsia="新宋体" w:cs="新宋体"/>
                <w:color w:val="auto"/>
                <w:sz w:val="22"/>
                <w:szCs w:val="22"/>
              </w:rPr>
            </w:pPr>
          </w:p>
        </w:tc>
        <w:tc>
          <w:tcPr>
            <w:tcW w:w="3704" w:type="dxa"/>
            <w:noWrap w:val="0"/>
            <w:vAlign w:val="top"/>
          </w:tcPr>
          <w:p>
            <w:pPr>
              <w:spacing w:line="400" w:lineRule="exact"/>
              <w:rPr>
                <w:rFonts w:ascii="新宋体" w:hAnsi="新宋体" w:eastAsia="新宋体" w:cs="新宋体"/>
                <w:color w:val="auto"/>
                <w:sz w:val="22"/>
                <w:szCs w:val="22"/>
              </w:rPr>
            </w:pPr>
          </w:p>
        </w:tc>
        <w:tc>
          <w:tcPr>
            <w:tcW w:w="1568" w:type="dxa"/>
            <w:noWrap w:val="0"/>
            <w:vAlign w:val="top"/>
          </w:tcPr>
          <w:p>
            <w:pPr>
              <w:spacing w:line="400" w:lineRule="exact"/>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s="新宋体"/>
                <w:color w:val="auto"/>
                <w:sz w:val="22"/>
                <w:szCs w:val="22"/>
              </w:rPr>
            </w:pPr>
          </w:p>
        </w:tc>
        <w:tc>
          <w:tcPr>
            <w:tcW w:w="1240" w:type="dxa"/>
            <w:noWrap w:val="0"/>
            <w:vAlign w:val="top"/>
          </w:tcPr>
          <w:p>
            <w:pPr>
              <w:spacing w:line="400" w:lineRule="exact"/>
              <w:rPr>
                <w:rFonts w:ascii="新宋体" w:hAnsi="新宋体" w:eastAsia="新宋体" w:cs="新宋体"/>
                <w:color w:val="auto"/>
                <w:sz w:val="22"/>
                <w:szCs w:val="22"/>
              </w:rPr>
            </w:pPr>
          </w:p>
        </w:tc>
        <w:tc>
          <w:tcPr>
            <w:tcW w:w="1404" w:type="dxa"/>
            <w:noWrap w:val="0"/>
            <w:vAlign w:val="top"/>
          </w:tcPr>
          <w:p>
            <w:pPr>
              <w:spacing w:line="400" w:lineRule="exact"/>
              <w:rPr>
                <w:rFonts w:ascii="新宋体" w:hAnsi="新宋体" w:eastAsia="新宋体" w:cs="新宋体"/>
                <w:color w:val="auto"/>
                <w:sz w:val="22"/>
                <w:szCs w:val="22"/>
              </w:rPr>
            </w:pPr>
          </w:p>
        </w:tc>
        <w:tc>
          <w:tcPr>
            <w:tcW w:w="796" w:type="dxa"/>
            <w:noWrap w:val="0"/>
            <w:vAlign w:val="top"/>
          </w:tcPr>
          <w:p>
            <w:pPr>
              <w:spacing w:line="400" w:lineRule="exact"/>
              <w:rPr>
                <w:rFonts w:ascii="新宋体" w:hAnsi="新宋体" w:eastAsia="新宋体" w:cs="新宋体"/>
                <w:color w:val="auto"/>
                <w:sz w:val="22"/>
                <w:szCs w:val="22"/>
              </w:rPr>
            </w:pPr>
          </w:p>
        </w:tc>
        <w:tc>
          <w:tcPr>
            <w:tcW w:w="3704" w:type="dxa"/>
            <w:noWrap w:val="0"/>
            <w:vAlign w:val="top"/>
          </w:tcPr>
          <w:p>
            <w:pPr>
              <w:spacing w:line="400" w:lineRule="exact"/>
              <w:rPr>
                <w:rFonts w:ascii="新宋体" w:hAnsi="新宋体" w:eastAsia="新宋体" w:cs="新宋体"/>
                <w:color w:val="auto"/>
                <w:sz w:val="22"/>
                <w:szCs w:val="22"/>
              </w:rPr>
            </w:pPr>
          </w:p>
        </w:tc>
        <w:tc>
          <w:tcPr>
            <w:tcW w:w="1568" w:type="dxa"/>
            <w:noWrap w:val="0"/>
            <w:vAlign w:val="top"/>
          </w:tcPr>
          <w:p>
            <w:pPr>
              <w:spacing w:line="400" w:lineRule="exact"/>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s="新宋体"/>
                <w:color w:val="auto"/>
                <w:sz w:val="22"/>
                <w:szCs w:val="22"/>
              </w:rPr>
            </w:pPr>
          </w:p>
        </w:tc>
        <w:tc>
          <w:tcPr>
            <w:tcW w:w="1240" w:type="dxa"/>
            <w:noWrap w:val="0"/>
            <w:vAlign w:val="top"/>
          </w:tcPr>
          <w:p>
            <w:pPr>
              <w:spacing w:line="400" w:lineRule="exact"/>
              <w:rPr>
                <w:rFonts w:ascii="新宋体" w:hAnsi="新宋体" w:eastAsia="新宋体" w:cs="新宋体"/>
                <w:color w:val="auto"/>
                <w:sz w:val="22"/>
                <w:szCs w:val="22"/>
              </w:rPr>
            </w:pPr>
          </w:p>
        </w:tc>
        <w:tc>
          <w:tcPr>
            <w:tcW w:w="1404" w:type="dxa"/>
            <w:noWrap w:val="0"/>
            <w:vAlign w:val="top"/>
          </w:tcPr>
          <w:p>
            <w:pPr>
              <w:spacing w:line="400" w:lineRule="exact"/>
              <w:rPr>
                <w:rFonts w:ascii="新宋体" w:hAnsi="新宋体" w:eastAsia="新宋体" w:cs="新宋体"/>
                <w:color w:val="auto"/>
                <w:sz w:val="22"/>
                <w:szCs w:val="22"/>
              </w:rPr>
            </w:pPr>
          </w:p>
        </w:tc>
        <w:tc>
          <w:tcPr>
            <w:tcW w:w="796" w:type="dxa"/>
            <w:noWrap w:val="0"/>
            <w:vAlign w:val="top"/>
          </w:tcPr>
          <w:p>
            <w:pPr>
              <w:spacing w:line="400" w:lineRule="exact"/>
              <w:rPr>
                <w:rFonts w:ascii="新宋体" w:hAnsi="新宋体" w:eastAsia="新宋体" w:cs="新宋体"/>
                <w:color w:val="auto"/>
                <w:sz w:val="22"/>
                <w:szCs w:val="22"/>
              </w:rPr>
            </w:pPr>
          </w:p>
        </w:tc>
        <w:tc>
          <w:tcPr>
            <w:tcW w:w="3704" w:type="dxa"/>
            <w:noWrap w:val="0"/>
            <w:vAlign w:val="top"/>
          </w:tcPr>
          <w:p>
            <w:pPr>
              <w:spacing w:line="400" w:lineRule="exact"/>
              <w:rPr>
                <w:rFonts w:ascii="新宋体" w:hAnsi="新宋体" w:eastAsia="新宋体" w:cs="新宋体"/>
                <w:color w:val="auto"/>
                <w:sz w:val="22"/>
                <w:szCs w:val="22"/>
              </w:rPr>
            </w:pPr>
          </w:p>
        </w:tc>
        <w:tc>
          <w:tcPr>
            <w:tcW w:w="1568" w:type="dxa"/>
            <w:noWrap w:val="0"/>
            <w:vAlign w:val="top"/>
          </w:tcPr>
          <w:p>
            <w:pPr>
              <w:spacing w:line="400" w:lineRule="exact"/>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s="新宋体"/>
                <w:color w:val="auto"/>
                <w:sz w:val="22"/>
                <w:szCs w:val="22"/>
              </w:rPr>
            </w:pPr>
          </w:p>
        </w:tc>
        <w:tc>
          <w:tcPr>
            <w:tcW w:w="1240" w:type="dxa"/>
            <w:noWrap w:val="0"/>
            <w:vAlign w:val="top"/>
          </w:tcPr>
          <w:p>
            <w:pPr>
              <w:spacing w:line="400" w:lineRule="exact"/>
              <w:rPr>
                <w:rFonts w:ascii="新宋体" w:hAnsi="新宋体" w:eastAsia="新宋体" w:cs="新宋体"/>
                <w:color w:val="auto"/>
                <w:sz w:val="22"/>
                <w:szCs w:val="22"/>
              </w:rPr>
            </w:pPr>
          </w:p>
        </w:tc>
        <w:tc>
          <w:tcPr>
            <w:tcW w:w="1404" w:type="dxa"/>
            <w:noWrap w:val="0"/>
            <w:vAlign w:val="top"/>
          </w:tcPr>
          <w:p>
            <w:pPr>
              <w:spacing w:line="400" w:lineRule="exact"/>
              <w:rPr>
                <w:rFonts w:ascii="新宋体" w:hAnsi="新宋体" w:eastAsia="新宋体" w:cs="新宋体"/>
                <w:color w:val="auto"/>
                <w:sz w:val="22"/>
                <w:szCs w:val="22"/>
              </w:rPr>
            </w:pPr>
          </w:p>
        </w:tc>
        <w:tc>
          <w:tcPr>
            <w:tcW w:w="796" w:type="dxa"/>
            <w:noWrap w:val="0"/>
            <w:vAlign w:val="top"/>
          </w:tcPr>
          <w:p>
            <w:pPr>
              <w:spacing w:line="400" w:lineRule="exact"/>
              <w:rPr>
                <w:rFonts w:ascii="新宋体" w:hAnsi="新宋体" w:eastAsia="新宋体" w:cs="新宋体"/>
                <w:color w:val="auto"/>
                <w:sz w:val="22"/>
                <w:szCs w:val="22"/>
              </w:rPr>
            </w:pPr>
          </w:p>
        </w:tc>
        <w:tc>
          <w:tcPr>
            <w:tcW w:w="3704" w:type="dxa"/>
            <w:noWrap w:val="0"/>
            <w:vAlign w:val="top"/>
          </w:tcPr>
          <w:p>
            <w:pPr>
              <w:spacing w:line="400" w:lineRule="exact"/>
              <w:rPr>
                <w:rFonts w:ascii="新宋体" w:hAnsi="新宋体" w:eastAsia="新宋体" w:cs="新宋体"/>
                <w:color w:val="auto"/>
                <w:sz w:val="22"/>
                <w:szCs w:val="22"/>
              </w:rPr>
            </w:pPr>
          </w:p>
        </w:tc>
        <w:tc>
          <w:tcPr>
            <w:tcW w:w="1568" w:type="dxa"/>
            <w:noWrap w:val="0"/>
            <w:vAlign w:val="top"/>
          </w:tcPr>
          <w:p>
            <w:pPr>
              <w:spacing w:line="400" w:lineRule="exact"/>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s="新宋体"/>
                <w:color w:val="auto"/>
                <w:sz w:val="22"/>
                <w:szCs w:val="22"/>
              </w:rPr>
            </w:pPr>
          </w:p>
        </w:tc>
        <w:tc>
          <w:tcPr>
            <w:tcW w:w="1240" w:type="dxa"/>
            <w:noWrap w:val="0"/>
            <w:vAlign w:val="top"/>
          </w:tcPr>
          <w:p>
            <w:pPr>
              <w:spacing w:line="400" w:lineRule="exact"/>
              <w:rPr>
                <w:rFonts w:ascii="新宋体" w:hAnsi="新宋体" w:eastAsia="新宋体" w:cs="新宋体"/>
                <w:color w:val="auto"/>
                <w:sz w:val="22"/>
                <w:szCs w:val="22"/>
              </w:rPr>
            </w:pPr>
          </w:p>
        </w:tc>
        <w:tc>
          <w:tcPr>
            <w:tcW w:w="1404" w:type="dxa"/>
            <w:noWrap w:val="0"/>
            <w:vAlign w:val="top"/>
          </w:tcPr>
          <w:p>
            <w:pPr>
              <w:spacing w:line="400" w:lineRule="exact"/>
              <w:rPr>
                <w:rFonts w:ascii="新宋体" w:hAnsi="新宋体" w:eastAsia="新宋体" w:cs="新宋体"/>
                <w:color w:val="auto"/>
                <w:sz w:val="22"/>
                <w:szCs w:val="22"/>
              </w:rPr>
            </w:pPr>
          </w:p>
        </w:tc>
        <w:tc>
          <w:tcPr>
            <w:tcW w:w="796" w:type="dxa"/>
            <w:noWrap w:val="0"/>
            <w:vAlign w:val="top"/>
          </w:tcPr>
          <w:p>
            <w:pPr>
              <w:spacing w:line="400" w:lineRule="exact"/>
              <w:rPr>
                <w:rFonts w:ascii="新宋体" w:hAnsi="新宋体" w:eastAsia="新宋体" w:cs="新宋体"/>
                <w:color w:val="auto"/>
                <w:sz w:val="22"/>
                <w:szCs w:val="22"/>
              </w:rPr>
            </w:pPr>
          </w:p>
        </w:tc>
        <w:tc>
          <w:tcPr>
            <w:tcW w:w="3704" w:type="dxa"/>
            <w:noWrap w:val="0"/>
            <w:vAlign w:val="top"/>
          </w:tcPr>
          <w:p>
            <w:pPr>
              <w:spacing w:line="400" w:lineRule="exact"/>
              <w:rPr>
                <w:rFonts w:ascii="新宋体" w:hAnsi="新宋体" w:eastAsia="新宋体" w:cs="新宋体"/>
                <w:color w:val="auto"/>
                <w:sz w:val="22"/>
                <w:szCs w:val="22"/>
              </w:rPr>
            </w:pPr>
          </w:p>
        </w:tc>
        <w:tc>
          <w:tcPr>
            <w:tcW w:w="1568" w:type="dxa"/>
            <w:noWrap w:val="0"/>
            <w:vAlign w:val="top"/>
          </w:tcPr>
          <w:p>
            <w:pPr>
              <w:spacing w:line="400" w:lineRule="exact"/>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s="新宋体"/>
                <w:color w:val="auto"/>
                <w:sz w:val="22"/>
                <w:szCs w:val="22"/>
              </w:rPr>
            </w:pPr>
          </w:p>
        </w:tc>
        <w:tc>
          <w:tcPr>
            <w:tcW w:w="1240" w:type="dxa"/>
            <w:noWrap w:val="0"/>
            <w:vAlign w:val="top"/>
          </w:tcPr>
          <w:p>
            <w:pPr>
              <w:spacing w:line="400" w:lineRule="exact"/>
              <w:rPr>
                <w:rFonts w:ascii="新宋体" w:hAnsi="新宋体" w:eastAsia="新宋体" w:cs="新宋体"/>
                <w:color w:val="auto"/>
                <w:sz w:val="22"/>
                <w:szCs w:val="22"/>
              </w:rPr>
            </w:pPr>
          </w:p>
        </w:tc>
        <w:tc>
          <w:tcPr>
            <w:tcW w:w="1404" w:type="dxa"/>
            <w:noWrap w:val="0"/>
            <w:vAlign w:val="top"/>
          </w:tcPr>
          <w:p>
            <w:pPr>
              <w:spacing w:line="400" w:lineRule="exact"/>
              <w:rPr>
                <w:rFonts w:ascii="新宋体" w:hAnsi="新宋体" w:eastAsia="新宋体" w:cs="新宋体"/>
                <w:color w:val="auto"/>
                <w:sz w:val="22"/>
                <w:szCs w:val="22"/>
              </w:rPr>
            </w:pPr>
          </w:p>
        </w:tc>
        <w:tc>
          <w:tcPr>
            <w:tcW w:w="796" w:type="dxa"/>
            <w:noWrap w:val="0"/>
            <w:vAlign w:val="top"/>
          </w:tcPr>
          <w:p>
            <w:pPr>
              <w:spacing w:line="400" w:lineRule="exact"/>
              <w:rPr>
                <w:rFonts w:ascii="新宋体" w:hAnsi="新宋体" w:eastAsia="新宋体" w:cs="新宋体"/>
                <w:color w:val="auto"/>
                <w:sz w:val="22"/>
                <w:szCs w:val="22"/>
              </w:rPr>
            </w:pPr>
          </w:p>
        </w:tc>
        <w:tc>
          <w:tcPr>
            <w:tcW w:w="3704" w:type="dxa"/>
            <w:noWrap w:val="0"/>
            <w:vAlign w:val="top"/>
          </w:tcPr>
          <w:p>
            <w:pPr>
              <w:spacing w:line="400" w:lineRule="exact"/>
              <w:rPr>
                <w:rFonts w:ascii="新宋体" w:hAnsi="新宋体" w:eastAsia="新宋体" w:cs="新宋体"/>
                <w:color w:val="auto"/>
                <w:sz w:val="22"/>
                <w:szCs w:val="22"/>
              </w:rPr>
            </w:pPr>
          </w:p>
        </w:tc>
        <w:tc>
          <w:tcPr>
            <w:tcW w:w="1568" w:type="dxa"/>
            <w:noWrap w:val="0"/>
            <w:vAlign w:val="top"/>
          </w:tcPr>
          <w:p>
            <w:pPr>
              <w:spacing w:line="400" w:lineRule="exact"/>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s="新宋体"/>
                <w:color w:val="auto"/>
                <w:sz w:val="22"/>
                <w:szCs w:val="22"/>
              </w:rPr>
            </w:pPr>
          </w:p>
        </w:tc>
        <w:tc>
          <w:tcPr>
            <w:tcW w:w="1240" w:type="dxa"/>
            <w:noWrap w:val="0"/>
            <w:vAlign w:val="top"/>
          </w:tcPr>
          <w:p>
            <w:pPr>
              <w:spacing w:line="400" w:lineRule="exact"/>
              <w:rPr>
                <w:rFonts w:ascii="新宋体" w:hAnsi="新宋体" w:eastAsia="新宋体" w:cs="新宋体"/>
                <w:color w:val="auto"/>
                <w:sz w:val="22"/>
                <w:szCs w:val="22"/>
              </w:rPr>
            </w:pPr>
          </w:p>
        </w:tc>
        <w:tc>
          <w:tcPr>
            <w:tcW w:w="1404" w:type="dxa"/>
            <w:noWrap w:val="0"/>
            <w:vAlign w:val="top"/>
          </w:tcPr>
          <w:p>
            <w:pPr>
              <w:spacing w:line="400" w:lineRule="exact"/>
              <w:rPr>
                <w:rFonts w:ascii="新宋体" w:hAnsi="新宋体" w:eastAsia="新宋体" w:cs="新宋体"/>
                <w:color w:val="auto"/>
                <w:sz w:val="22"/>
                <w:szCs w:val="22"/>
              </w:rPr>
            </w:pPr>
          </w:p>
        </w:tc>
        <w:tc>
          <w:tcPr>
            <w:tcW w:w="796" w:type="dxa"/>
            <w:noWrap w:val="0"/>
            <w:vAlign w:val="top"/>
          </w:tcPr>
          <w:p>
            <w:pPr>
              <w:spacing w:line="400" w:lineRule="exact"/>
              <w:rPr>
                <w:rFonts w:ascii="新宋体" w:hAnsi="新宋体" w:eastAsia="新宋体" w:cs="新宋体"/>
                <w:color w:val="auto"/>
                <w:sz w:val="22"/>
                <w:szCs w:val="22"/>
              </w:rPr>
            </w:pPr>
          </w:p>
        </w:tc>
        <w:tc>
          <w:tcPr>
            <w:tcW w:w="3704" w:type="dxa"/>
            <w:noWrap w:val="0"/>
            <w:vAlign w:val="top"/>
          </w:tcPr>
          <w:p>
            <w:pPr>
              <w:spacing w:line="400" w:lineRule="exact"/>
              <w:rPr>
                <w:rFonts w:ascii="新宋体" w:hAnsi="新宋体" w:eastAsia="新宋体" w:cs="新宋体"/>
                <w:color w:val="auto"/>
                <w:sz w:val="22"/>
                <w:szCs w:val="22"/>
              </w:rPr>
            </w:pPr>
          </w:p>
        </w:tc>
        <w:tc>
          <w:tcPr>
            <w:tcW w:w="1568" w:type="dxa"/>
            <w:noWrap w:val="0"/>
            <w:vAlign w:val="top"/>
          </w:tcPr>
          <w:p>
            <w:pPr>
              <w:spacing w:line="400" w:lineRule="exact"/>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s="新宋体"/>
                <w:color w:val="auto"/>
                <w:sz w:val="22"/>
                <w:szCs w:val="22"/>
              </w:rPr>
            </w:pPr>
          </w:p>
        </w:tc>
        <w:tc>
          <w:tcPr>
            <w:tcW w:w="1240" w:type="dxa"/>
            <w:noWrap w:val="0"/>
            <w:vAlign w:val="top"/>
          </w:tcPr>
          <w:p>
            <w:pPr>
              <w:spacing w:line="400" w:lineRule="exact"/>
              <w:rPr>
                <w:rFonts w:ascii="新宋体" w:hAnsi="新宋体" w:eastAsia="新宋体" w:cs="新宋体"/>
                <w:color w:val="auto"/>
                <w:sz w:val="22"/>
                <w:szCs w:val="22"/>
              </w:rPr>
            </w:pPr>
          </w:p>
        </w:tc>
        <w:tc>
          <w:tcPr>
            <w:tcW w:w="1404" w:type="dxa"/>
            <w:noWrap w:val="0"/>
            <w:vAlign w:val="top"/>
          </w:tcPr>
          <w:p>
            <w:pPr>
              <w:spacing w:line="400" w:lineRule="exact"/>
              <w:rPr>
                <w:rFonts w:ascii="新宋体" w:hAnsi="新宋体" w:eastAsia="新宋体" w:cs="新宋体"/>
                <w:color w:val="auto"/>
                <w:sz w:val="22"/>
                <w:szCs w:val="22"/>
              </w:rPr>
            </w:pPr>
          </w:p>
        </w:tc>
        <w:tc>
          <w:tcPr>
            <w:tcW w:w="796" w:type="dxa"/>
            <w:noWrap w:val="0"/>
            <w:vAlign w:val="top"/>
          </w:tcPr>
          <w:p>
            <w:pPr>
              <w:spacing w:line="400" w:lineRule="exact"/>
              <w:rPr>
                <w:rFonts w:ascii="新宋体" w:hAnsi="新宋体" w:eastAsia="新宋体" w:cs="新宋体"/>
                <w:color w:val="auto"/>
                <w:sz w:val="22"/>
                <w:szCs w:val="22"/>
              </w:rPr>
            </w:pPr>
          </w:p>
        </w:tc>
        <w:tc>
          <w:tcPr>
            <w:tcW w:w="3704" w:type="dxa"/>
            <w:noWrap w:val="0"/>
            <w:vAlign w:val="top"/>
          </w:tcPr>
          <w:p>
            <w:pPr>
              <w:spacing w:line="400" w:lineRule="exact"/>
              <w:rPr>
                <w:rFonts w:ascii="新宋体" w:hAnsi="新宋体" w:eastAsia="新宋体" w:cs="新宋体"/>
                <w:color w:val="auto"/>
                <w:sz w:val="22"/>
                <w:szCs w:val="22"/>
              </w:rPr>
            </w:pPr>
          </w:p>
        </w:tc>
        <w:tc>
          <w:tcPr>
            <w:tcW w:w="1568" w:type="dxa"/>
            <w:noWrap w:val="0"/>
            <w:vAlign w:val="top"/>
          </w:tcPr>
          <w:p>
            <w:pPr>
              <w:spacing w:line="400" w:lineRule="exact"/>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s="新宋体"/>
                <w:color w:val="auto"/>
                <w:sz w:val="22"/>
                <w:szCs w:val="22"/>
              </w:rPr>
            </w:pPr>
          </w:p>
        </w:tc>
        <w:tc>
          <w:tcPr>
            <w:tcW w:w="1240" w:type="dxa"/>
            <w:noWrap w:val="0"/>
            <w:vAlign w:val="top"/>
          </w:tcPr>
          <w:p>
            <w:pPr>
              <w:spacing w:line="400" w:lineRule="exact"/>
              <w:rPr>
                <w:rFonts w:ascii="新宋体" w:hAnsi="新宋体" w:eastAsia="新宋体" w:cs="新宋体"/>
                <w:color w:val="auto"/>
                <w:sz w:val="22"/>
                <w:szCs w:val="22"/>
              </w:rPr>
            </w:pPr>
          </w:p>
        </w:tc>
        <w:tc>
          <w:tcPr>
            <w:tcW w:w="1404" w:type="dxa"/>
            <w:noWrap w:val="0"/>
            <w:vAlign w:val="top"/>
          </w:tcPr>
          <w:p>
            <w:pPr>
              <w:spacing w:line="400" w:lineRule="exact"/>
              <w:rPr>
                <w:rFonts w:ascii="新宋体" w:hAnsi="新宋体" w:eastAsia="新宋体" w:cs="新宋体"/>
                <w:color w:val="auto"/>
                <w:sz w:val="22"/>
                <w:szCs w:val="22"/>
              </w:rPr>
            </w:pPr>
          </w:p>
        </w:tc>
        <w:tc>
          <w:tcPr>
            <w:tcW w:w="796" w:type="dxa"/>
            <w:noWrap w:val="0"/>
            <w:vAlign w:val="top"/>
          </w:tcPr>
          <w:p>
            <w:pPr>
              <w:spacing w:line="400" w:lineRule="exact"/>
              <w:rPr>
                <w:rFonts w:ascii="新宋体" w:hAnsi="新宋体" w:eastAsia="新宋体" w:cs="新宋体"/>
                <w:color w:val="auto"/>
                <w:sz w:val="22"/>
                <w:szCs w:val="22"/>
              </w:rPr>
            </w:pPr>
          </w:p>
        </w:tc>
        <w:tc>
          <w:tcPr>
            <w:tcW w:w="3704" w:type="dxa"/>
            <w:noWrap w:val="0"/>
            <w:vAlign w:val="top"/>
          </w:tcPr>
          <w:p>
            <w:pPr>
              <w:spacing w:line="400" w:lineRule="exact"/>
              <w:rPr>
                <w:rFonts w:ascii="新宋体" w:hAnsi="新宋体" w:eastAsia="新宋体" w:cs="新宋体"/>
                <w:color w:val="auto"/>
                <w:sz w:val="22"/>
                <w:szCs w:val="22"/>
              </w:rPr>
            </w:pPr>
          </w:p>
        </w:tc>
        <w:tc>
          <w:tcPr>
            <w:tcW w:w="1568" w:type="dxa"/>
            <w:noWrap w:val="0"/>
            <w:vAlign w:val="top"/>
          </w:tcPr>
          <w:p>
            <w:pPr>
              <w:spacing w:line="400" w:lineRule="exact"/>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s="新宋体"/>
                <w:color w:val="auto"/>
                <w:sz w:val="22"/>
                <w:szCs w:val="22"/>
              </w:rPr>
            </w:pPr>
          </w:p>
        </w:tc>
        <w:tc>
          <w:tcPr>
            <w:tcW w:w="1240" w:type="dxa"/>
            <w:noWrap w:val="0"/>
            <w:vAlign w:val="top"/>
          </w:tcPr>
          <w:p>
            <w:pPr>
              <w:spacing w:line="400" w:lineRule="exact"/>
              <w:rPr>
                <w:rFonts w:ascii="新宋体" w:hAnsi="新宋体" w:eastAsia="新宋体" w:cs="新宋体"/>
                <w:color w:val="auto"/>
                <w:sz w:val="22"/>
                <w:szCs w:val="22"/>
              </w:rPr>
            </w:pPr>
          </w:p>
        </w:tc>
        <w:tc>
          <w:tcPr>
            <w:tcW w:w="1404" w:type="dxa"/>
            <w:noWrap w:val="0"/>
            <w:vAlign w:val="top"/>
          </w:tcPr>
          <w:p>
            <w:pPr>
              <w:spacing w:line="400" w:lineRule="exact"/>
              <w:rPr>
                <w:rFonts w:ascii="新宋体" w:hAnsi="新宋体" w:eastAsia="新宋体" w:cs="新宋体"/>
                <w:color w:val="auto"/>
                <w:sz w:val="22"/>
                <w:szCs w:val="22"/>
              </w:rPr>
            </w:pPr>
          </w:p>
        </w:tc>
        <w:tc>
          <w:tcPr>
            <w:tcW w:w="796" w:type="dxa"/>
            <w:noWrap w:val="0"/>
            <w:vAlign w:val="top"/>
          </w:tcPr>
          <w:p>
            <w:pPr>
              <w:spacing w:line="400" w:lineRule="exact"/>
              <w:rPr>
                <w:rFonts w:ascii="新宋体" w:hAnsi="新宋体" w:eastAsia="新宋体" w:cs="新宋体"/>
                <w:color w:val="auto"/>
                <w:sz w:val="22"/>
                <w:szCs w:val="22"/>
              </w:rPr>
            </w:pPr>
          </w:p>
        </w:tc>
        <w:tc>
          <w:tcPr>
            <w:tcW w:w="3704" w:type="dxa"/>
            <w:noWrap w:val="0"/>
            <w:vAlign w:val="top"/>
          </w:tcPr>
          <w:p>
            <w:pPr>
              <w:spacing w:line="400" w:lineRule="exact"/>
              <w:rPr>
                <w:rFonts w:ascii="新宋体" w:hAnsi="新宋体" w:eastAsia="新宋体" w:cs="新宋体"/>
                <w:color w:val="auto"/>
                <w:sz w:val="22"/>
                <w:szCs w:val="22"/>
              </w:rPr>
            </w:pPr>
          </w:p>
        </w:tc>
        <w:tc>
          <w:tcPr>
            <w:tcW w:w="1568" w:type="dxa"/>
            <w:noWrap w:val="0"/>
            <w:vAlign w:val="top"/>
          </w:tcPr>
          <w:p>
            <w:pPr>
              <w:spacing w:line="400" w:lineRule="exact"/>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s="新宋体"/>
                <w:color w:val="auto"/>
                <w:sz w:val="22"/>
                <w:szCs w:val="22"/>
              </w:rPr>
            </w:pPr>
          </w:p>
        </w:tc>
        <w:tc>
          <w:tcPr>
            <w:tcW w:w="1240" w:type="dxa"/>
            <w:noWrap w:val="0"/>
            <w:vAlign w:val="top"/>
          </w:tcPr>
          <w:p>
            <w:pPr>
              <w:spacing w:line="400" w:lineRule="exact"/>
              <w:rPr>
                <w:rFonts w:ascii="新宋体" w:hAnsi="新宋体" w:eastAsia="新宋体" w:cs="新宋体"/>
                <w:color w:val="auto"/>
                <w:sz w:val="22"/>
                <w:szCs w:val="22"/>
              </w:rPr>
            </w:pPr>
          </w:p>
        </w:tc>
        <w:tc>
          <w:tcPr>
            <w:tcW w:w="1404" w:type="dxa"/>
            <w:noWrap w:val="0"/>
            <w:vAlign w:val="top"/>
          </w:tcPr>
          <w:p>
            <w:pPr>
              <w:spacing w:line="400" w:lineRule="exact"/>
              <w:rPr>
                <w:rFonts w:ascii="新宋体" w:hAnsi="新宋体" w:eastAsia="新宋体" w:cs="新宋体"/>
                <w:color w:val="auto"/>
                <w:sz w:val="22"/>
                <w:szCs w:val="22"/>
              </w:rPr>
            </w:pPr>
          </w:p>
        </w:tc>
        <w:tc>
          <w:tcPr>
            <w:tcW w:w="796" w:type="dxa"/>
            <w:noWrap w:val="0"/>
            <w:vAlign w:val="top"/>
          </w:tcPr>
          <w:p>
            <w:pPr>
              <w:spacing w:line="400" w:lineRule="exact"/>
              <w:rPr>
                <w:rFonts w:ascii="新宋体" w:hAnsi="新宋体" w:eastAsia="新宋体" w:cs="新宋体"/>
                <w:color w:val="auto"/>
                <w:sz w:val="22"/>
                <w:szCs w:val="22"/>
              </w:rPr>
            </w:pPr>
          </w:p>
        </w:tc>
        <w:tc>
          <w:tcPr>
            <w:tcW w:w="3704" w:type="dxa"/>
            <w:noWrap w:val="0"/>
            <w:vAlign w:val="top"/>
          </w:tcPr>
          <w:p>
            <w:pPr>
              <w:spacing w:line="400" w:lineRule="exact"/>
              <w:rPr>
                <w:rFonts w:ascii="新宋体" w:hAnsi="新宋体" w:eastAsia="新宋体" w:cs="新宋体"/>
                <w:color w:val="auto"/>
                <w:sz w:val="22"/>
                <w:szCs w:val="22"/>
              </w:rPr>
            </w:pPr>
          </w:p>
        </w:tc>
        <w:tc>
          <w:tcPr>
            <w:tcW w:w="1568" w:type="dxa"/>
            <w:noWrap w:val="0"/>
            <w:vAlign w:val="top"/>
          </w:tcPr>
          <w:p>
            <w:pPr>
              <w:spacing w:line="400" w:lineRule="exact"/>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s="新宋体"/>
                <w:color w:val="auto"/>
                <w:sz w:val="22"/>
                <w:szCs w:val="22"/>
              </w:rPr>
            </w:pPr>
          </w:p>
        </w:tc>
        <w:tc>
          <w:tcPr>
            <w:tcW w:w="1240" w:type="dxa"/>
            <w:noWrap w:val="0"/>
            <w:vAlign w:val="top"/>
          </w:tcPr>
          <w:p>
            <w:pPr>
              <w:spacing w:line="400" w:lineRule="exact"/>
              <w:rPr>
                <w:rFonts w:ascii="新宋体" w:hAnsi="新宋体" w:eastAsia="新宋体" w:cs="新宋体"/>
                <w:color w:val="auto"/>
                <w:sz w:val="22"/>
                <w:szCs w:val="22"/>
              </w:rPr>
            </w:pPr>
          </w:p>
        </w:tc>
        <w:tc>
          <w:tcPr>
            <w:tcW w:w="1404" w:type="dxa"/>
            <w:noWrap w:val="0"/>
            <w:vAlign w:val="top"/>
          </w:tcPr>
          <w:p>
            <w:pPr>
              <w:spacing w:line="400" w:lineRule="exact"/>
              <w:rPr>
                <w:rFonts w:ascii="新宋体" w:hAnsi="新宋体" w:eastAsia="新宋体" w:cs="新宋体"/>
                <w:color w:val="auto"/>
                <w:sz w:val="22"/>
                <w:szCs w:val="22"/>
              </w:rPr>
            </w:pPr>
          </w:p>
        </w:tc>
        <w:tc>
          <w:tcPr>
            <w:tcW w:w="796" w:type="dxa"/>
            <w:noWrap w:val="0"/>
            <w:vAlign w:val="top"/>
          </w:tcPr>
          <w:p>
            <w:pPr>
              <w:spacing w:line="400" w:lineRule="exact"/>
              <w:rPr>
                <w:rFonts w:ascii="新宋体" w:hAnsi="新宋体" w:eastAsia="新宋体" w:cs="新宋体"/>
                <w:color w:val="auto"/>
                <w:sz w:val="22"/>
                <w:szCs w:val="22"/>
              </w:rPr>
            </w:pPr>
          </w:p>
        </w:tc>
        <w:tc>
          <w:tcPr>
            <w:tcW w:w="3704" w:type="dxa"/>
            <w:noWrap w:val="0"/>
            <w:vAlign w:val="top"/>
          </w:tcPr>
          <w:p>
            <w:pPr>
              <w:spacing w:line="400" w:lineRule="exact"/>
              <w:rPr>
                <w:rFonts w:ascii="新宋体" w:hAnsi="新宋体" w:eastAsia="新宋体" w:cs="新宋体"/>
                <w:color w:val="auto"/>
                <w:sz w:val="22"/>
                <w:szCs w:val="22"/>
              </w:rPr>
            </w:pPr>
          </w:p>
        </w:tc>
        <w:tc>
          <w:tcPr>
            <w:tcW w:w="1568" w:type="dxa"/>
            <w:noWrap w:val="0"/>
            <w:vAlign w:val="top"/>
          </w:tcPr>
          <w:p>
            <w:pPr>
              <w:spacing w:line="400" w:lineRule="exact"/>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s="新宋体"/>
                <w:color w:val="auto"/>
                <w:sz w:val="22"/>
                <w:szCs w:val="22"/>
              </w:rPr>
            </w:pPr>
          </w:p>
        </w:tc>
        <w:tc>
          <w:tcPr>
            <w:tcW w:w="1240" w:type="dxa"/>
            <w:noWrap w:val="0"/>
            <w:vAlign w:val="top"/>
          </w:tcPr>
          <w:p>
            <w:pPr>
              <w:spacing w:line="400" w:lineRule="exact"/>
              <w:rPr>
                <w:rFonts w:ascii="新宋体" w:hAnsi="新宋体" w:eastAsia="新宋体" w:cs="新宋体"/>
                <w:color w:val="auto"/>
                <w:sz w:val="22"/>
                <w:szCs w:val="22"/>
              </w:rPr>
            </w:pPr>
          </w:p>
        </w:tc>
        <w:tc>
          <w:tcPr>
            <w:tcW w:w="1404" w:type="dxa"/>
            <w:noWrap w:val="0"/>
            <w:vAlign w:val="top"/>
          </w:tcPr>
          <w:p>
            <w:pPr>
              <w:spacing w:line="400" w:lineRule="exact"/>
              <w:rPr>
                <w:rFonts w:ascii="新宋体" w:hAnsi="新宋体" w:eastAsia="新宋体" w:cs="新宋体"/>
                <w:color w:val="auto"/>
                <w:sz w:val="22"/>
                <w:szCs w:val="22"/>
              </w:rPr>
            </w:pPr>
          </w:p>
        </w:tc>
        <w:tc>
          <w:tcPr>
            <w:tcW w:w="796" w:type="dxa"/>
            <w:noWrap w:val="0"/>
            <w:vAlign w:val="top"/>
          </w:tcPr>
          <w:p>
            <w:pPr>
              <w:spacing w:line="400" w:lineRule="exact"/>
              <w:rPr>
                <w:rFonts w:ascii="新宋体" w:hAnsi="新宋体" w:eastAsia="新宋体" w:cs="新宋体"/>
                <w:color w:val="auto"/>
                <w:sz w:val="22"/>
                <w:szCs w:val="22"/>
              </w:rPr>
            </w:pPr>
          </w:p>
        </w:tc>
        <w:tc>
          <w:tcPr>
            <w:tcW w:w="3704" w:type="dxa"/>
            <w:noWrap w:val="0"/>
            <w:vAlign w:val="top"/>
          </w:tcPr>
          <w:p>
            <w:pPr>
              <w:spacing w:line="400" w:lineRule="exact"/>
              <w:rPr>
                <w:rFonts w:ascii="新宋体" w:hAnsi="新宋体" w:eastAsia="新宋体" w:cs="新宋体"/>
                <w:color w:val="auto"/>
                <w:sz w:val="22"/>
                <w:szCs w:val="22"/>
              </w:rPr>
            </w:pPr>
          </w:p>
        </w:tc>
        <w:tc>
          <w:tcPr>
            <w:tcW w:w="1568" w:type="dxa"/>
            <w:noWrap w:val="0"/>
            <w:vAlign w:val="top"/>
          </w:tcPr>
          <w:p>
            <w:pPr>
              <w:spacing w:line="400" w:lineRule="exact"/>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s="新宋体"/>
                <w:color w:val="auto"/>
                <w:sz w:val="22"/>
                <w:szCs w:val="22"/>
              </w:rPr>
            </w:pPr>
          </w:p>
        </w:tc>
        <w:tc>
          <w:tcPr>
            <w:tcW w:w="1240" w:type="dxa"/>
            <w:noWrap w:val="0"/>
            <w:vAlign w:val="top"/>
          </w:tcPr>
          <w:p>
            <w:pPr>
              <w:spacing w:line="400" w:lineRule="exact"/>
              <w:rPr>
                <w:rFonts w:ascii="新宋体" w:hAnsi="新宋体" w:eastAsia="新宋体" w:cs="新宋体"/>
                <w:color w:val="auto"/>
                <w:sz w:val="22"/>
                <w:szCs w:val="22"/>
              </w:rPr>
            </w:pPr>
          </w:p>
        </w:tc>
        <w:tc>
          <w:tcPr>
            <w:tcW w:w="1404" w:type="dxa"/>
            <w:noWrap w:val="0"/>
            <w:vAlign w:val="top"/>
          </w:tcPr>
          <w:p>
            <w:pPr>
              <w:spacing w:line="400" w:lineRule="exact"/>
              <w:rPr>
                <w:rFonts w:ascii="新宋体" w:hAnsi="新宋体" w:eastAsia="新宋体" w:cs="新宋体"/>
                <w:color w:val="auto"/>
                <w:sz w:val="22"/>
                <w:szCs w:val="22"/>
              </w:rPr>
            </w:pPr>
          </w:p>
        </w:tc>
        <w:tc>
          <w:tcPr>
            <w:tcW w:w="796" w:type="dxa"/>
            <w:noWrap w:val="0"/>
            <w:vAlign w:val="top"/>
          </w:tcPr>
          <w:p>
            <w:pPr>
              <w:spacing w:line="400" w:lineRule="exact"/>
              <w:rPr>
                <w:rFonts w:ascii="新宋体" w:hAnsi="新宋体" w:eastAsia="新宋体" w:cs="新宋体"/>
                <w:color w:val="auto"/>
                <w:sz w:val="22"/>
                <w:szCs w:val="22"/>
              </w:rPr>
            </w:pPr>
          </w:p>
        </w:tc>
        <w:tc>
          <w:tcPr>
            <w:tcW w:w="3704" w:type="dxa"/>
            <w:noWrap w:val="0"/>
            <w:vAlign w:val="top"/>
          </w:tcPr>
          <w:p>
            <w:pPr>
              <w:spacing w:line="400" w:lineRule="exact"/>
              <w:rPr>
                <w:rFonts w:ascii="新宋体" w:hAnsi="新宋体" w:eastAsia="新宋体" w:cs="新宋体"/>
                <w:color w:val="auto"/>
                <w:sz w:val="22"/>
                <w:szCs w:val="22"/>
              </w:rPr>
            </w:pPr>
          </w:p>
        </w:tc>
        <w:tc>
          <w:tcPr>
            <w:tcW w:w="1568" w:type="dxa"/>
            <w:noWrap w:val="0"/>
            <w:vAlign w:val="top"/>
          </w:tcPr>
          <w:p>
            <w:pPr>
              <w:spacing w:line="400" w:lineRule="exact"/>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s="新宋体"/>
                <w:color w:val="auto"/>
                <w:sz w:val="22"/>
                <w:szCs w:val="22"/>
              </w:rPr>
            </w:pPr>
          </w:p>
        </w:tc>
        <w:tc>
          <w:tcPr>
            <w:tcW w:w="1240" w:type="dxa"/>
            <w:noWrap w:val="0"/>
            <w:vAlign w:val="top"/>
          </w:tcPr>
          <w:p>
            <w:pPr>
              <w:spacing w:line="400" w:lineRule="exact"/>
              <w:rPr>
                <w:rFonts w:ascii="新宋体" w:hAnsi="新宋体" w:eastAsia="新宋体" w:cs="新宋体"/>
                <w:color w:val="auto"/>
                <w:sz w:val="22"/>
                <w:szCs w:val="22"/>
              </w:rPr>
            </w:pPr>
          </w:p>
        </w:tc>
        <w:tc>
          <w:tcPr>
            <w:tcW w:w="1404" w:type="dxa"/>
            <w:noWrap w:val="0"/>
            <w:vAlign w:val="top"/>
          </w:tcPr>
          <w:p>
            <w:pPr>
              <w:spacing w:line="400" w:lineRule="exact"/>
              <w:rPr>
                <w:rFonts w:ascii="新宋体" w:hAnsi="新宋体" w:eastAsia="新宋体" w:cs="新宋体"/>
                <w:color w:val="auto"/>
                <w:sz w:val="22"/>
                <w:szCs w:val="22"/>
              </w:rPr>
            </w:pPr>
          </w:p>
        </w:tc>
        <w:tc>
          <w:tcPr>
            <w:tcW w:w="796" w:type="dxa"/>
            <w:noWrap w:val="0"/>
            <w:vAlign w:val="top"/>
          </w:tcPr>
          <w:p>
            <w:pPr>
              <w:spacing w:line="400" w:lineRule="exact"/>
              <w:rPr>
                <w:rFonts w:ascii="新宋体" w:hAnsi="新宋体" w:eastAsia="新宋体" w:cs="新宋体"/>
                <w:color w:val="auto"/>
                <w:sz w:val="22"/>
                <w:szCs w:val="22"/>
              </w:rPr>
            </w:pPr>
          </w:p>
        </w:tc>
        <w:tc>
          <w:tcPr>
            <w:tcW w:w="3704" w:type="dxa"/>
            <w:noWrap w:val="0"/>
            <w:vAlign w:val="top"/>
          </w:tcPr>
          <w:p>
            <w:pPr>
              <w:spacing w:line="400" w:lineRule="exact"/>
              <w:rPr>
                <w:rFonts w:ascii="新宋体" w:hAnsi="新宋体" w:eastAsia="新宋体" w:cs="新宋体"/>
                <w:color w:val="auto"/>
                <w:sz w:val="22"/>
                <w:szCs w:val="22"/>
              </w:rPr>
            </w:pPr>
          </w:p>
        </w:tc>
        <w:tc>
          <w:tcPr>
            <w:tcW w:w="1568" w:type="dxa"/>
            <w:noWrap w:val="0"/>
            <w:vAlign w:val="top"/>
          </w:tcPr>
          <w:p>
            <w:pPr>
              <w:spacing w:line="400" w:lineRule="exact"/>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s="新宋体"/>
                <w:color w:val="auto"/>
                <w:sz w:val="22"/>
                <w:szCs w:val="22"/>
              </w:rPr>
            </w:pPr>
          </w:p>
        </w:tc>
        <w:tc>
          <w:tcPr>
            <w:tcW w:w="1240" w:type="dxa"/>
            <w:noWrap w:val="0"/>
            <w:vAlign w:val="top"/>
          </w:tcPr>
          <w:p>
            <w:pPr>
              <w:spacing w:line="400" w:lineRule="exact"/>
              <w:rPr>
                <w:rFonts w:ascii="新宋体" w:hAnsi="新宋体" w:eastAsia="新宋体" w:cs="新宋体"/>
                <w:color w:val="auto"/>
                <w:sz w:val="22"/>
                <w:szCs w:val="22"/>
              </w:rPr>
            </w:pPr>
          </w:p>
        </w:tc>
        <w:tc>
          <w:tcPr>
            <w:tcW w:w="1404" w:type="dxa"/>
            <w:noWrap w:val="0"/>
            <w:vAlign w:val="top"/>
          </w:tcPr>
          <w:p>
            <w:pPr>
              <w:spacing w:line="400" w:lineRule="exact"/>
              <w:rPr>
                <w:rFonts w:ascii="新宋体" w:hAnsi="新宋体" w:eastAsia="新宋体" w:cs="新宋体"/>
                <w:color w:val="auto"/>
                <w:sz w:val="22"/>
                <w:szCs w:val="22"/>
              </w:rPr>
            </w:pPr>
          </w:p>
        </w:tc>
        <w:tc>
          <w:tcPr>
            <w:tcW w:w="796" w:type="dxa"/>
            <w:noWrap w:val="0"/>
            <w:vAlign w:val="top"/>
          </w:tcPr>
          <w:p>
            <w:pPr>
              <w:spacing w:line="400" w:lineRule="exact"/>
              <w:rPr>
                <w:rFonts w:ascii="新宋体" w:hAnsi="新宋体" w:eastAsia="新宋体" w:cs="新宋体"/>
                <w:color w:val="auto"/>
                <w:sz w:val="22"/>
                <w:szCs w:val="22"/>
              </w:rPr>
            </w:pPr>
          </w:p>
        </w:tc>
        <w:tc>
          <w:tcPr>
            <w:tcW w:w="3704" w:type="dxa"/>
            <w:noWrap w:val="0"/>
            <w:vAlign w:val="top"/>
          </w:tcPr>
          <w:p>
            <w:pPr>
              <w:spacing w:line="400" w:lineRule="exact"/>
              <w:rPr>
                <w:rFonts w:ascii="新宋体" w:hAnsi="新宋体" w:eastAsia="新宋体" w:cs="新宋体"/>
                <w:color w:val="auto"/>
                <w:sz w:val="22"/>
                <w:szCs w:val="22"/>
              </w:rPr>
            </w:pPr>
          </w:p>
        </w:tc>
        <w:tc>
          <w:tcPr>
            <w:tcW w:w="1568" w:type="dxa"/>
            <w:noWrap w:val="0"/>
            <w:vAlign w:val="top"/>
          </w:tcPr>
          <w:p>
            <w:pPr>
              <w:spacing w:line="400" w:lineRule="exact"/>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s="新宋体"/>
                <w:color w:val="auto"/>
                <w:sz w:val="22"/>
                <w:szCs w:val="22"/>
              </w:rPr>
            </w:pPr>
          </w:p>
        </w:tc>
        <w:tc>
          <w:tcPr>
            <w:tcW w:w="1240" w:type="dxa"/>
            <w:noWrap w:val="0"/>
            <w:vAlign w:val="top"/>
          </w:tcPr>
          <w:p>
            <w:pPr>
              <w:spacing w:line="400" w:lineRule="exact"/>
              <w:rPr>
                <w:rFonts w:ascii="新宋体" w:hAnsi="新宋体" w:eastAsia="新宋体" w:cs="新宋体"/>
                <w:color w:val="auto"/>
                <w:sz w:val="22"/>
                <w:szCs w:val="22"/>
              </w:rPr>
            </w:pPr>
          </w:p>
        </w:tc>
        <w:tc>
          <w:tcPr>
            <w:tcW w:w="1404" w:type="dxa"/>
            <w:noWrap w:val="0"/>
            <w:vAlign w:val="top"/>
          </w:tcPr>
          <w:p>
            <w:pPr>
              <w:spacing w:line="400" w:lineRule="exact"/>
              <w:rPr>
                <w:rFonts w:ascii="新宋体" w:hAnsi="新宋体" w:eastAsia="新宋体" w:cs="新宋体"/>
                <w:color w:val="auto"/>
                <w:sz w:val="22"/>
                <w:szCs w:val="22"/>
              </w:rPr>
            </w:pPr>
          </w:p>
        </w:tc>
        <w:tc>
          <w:tcPr>
            <w:tcW w:w="796" w:type="dxa"/>
            <w:noWrap w:val="0"/>
            <w:vAlign w:val="top"/>
          </w:tcPr>
          <w:p>
            <w:pPr>
              <w:spacing w:line="400" w:lineRule="exact"/>
              <w:rPr>
                <w:rFonts w:ascii="新宋体" w:hAnsi="新宋体" w:eastAsia="新宋体" w:cs="新宋体"/>
                <w:color w:val="auto"/>
                <w:sz w:val="22"/>
                <w:szCs w:val="22"/>
              </w:rPr>
            </w:pPr>
          </w:p>
        </w:tc>
        <w:tc>
          <w:tcPr>
            <w:tcW w:w="3704" w:type="dxa"/>
            <w:noWrap w:val="0"/>
            <w:vAlign w:val="top"/>
          </w:tcPr>
          <w:p>
            <w:pPr>
              <w:spacing w:line="400" w:lineRule="exact"/>
              <w:rPr>
                <w:rFonts w:ascii="新宋体" w:hAnsi="新宋体" w:eastAsia="新宋体" w:cs="新宋体"/>
                <w:color w:val="auto"/>
                <w:sz w:val="22"/>
                <w:szCs w:val="22"/>
              </w:rPr>
            </w:pPr>
          </w:p>
        </w:tc>
        <w:tc>
          <w:tcPr>
            <w:tcW w:w="1568" w:type="dxa"/>
            <w:noWrap w:val="0"/>
            <w:vAlign w:val="top"/>
          </w:tcPr>
          <w:p>
            <w:pPr>
              <w:spacing w:line="400" w:lineRule="exact"/>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s="新宋体"/>
                <w:color w:val="auto"/>
                <w:sz w:val="22"/>
                <w:szCs w:val="22"/>
              </w:rPr>
            </w:pPr>
          </w:p>
        </w:tc>
        <w:tc>
          <w:tcPr>
            <w:tcW w:w="1240" w:type="dxa"/>
            <w:noWrap w:val="0"/>
            <w:vAlign w:val="top"/>
          </w:tcPr>
          <w:p>
            <w:pPr>
              <w:spacing w:line="400" w:lineRule="exact"/>
              <w:rPr>
                <w:rFonts w:ascii="新宋体" w:hAnsi="新宋体" w:eastAsia="新宋体" w:cs="新宋体"/>
                <w:color w:val="auto"/>
                <w:sz w:val="22"/>
                <w:szCs w:val="22"/>
              </w:rPr>
            </w:pPr>
          </w:p>
        </w:tc>
        <w:tc>
          <w:tcPr>
            <w:tcW w:w="1404" w:type="dxa"/>
            <w:noWrap w:val="0"/>
            <w:vAlign w:val="top"/>
          </w:tcPr>
          <w:p>
            <w:pPr>
              <w:spacing w:line="400" w:lineRule="exact"/>
              <w:rPr>
                <w:rFonts w:ascii="新宋体" w:hAnsi="新宋体" w:eastAsia="新宋体" w:cs="新宋体"/>
                <w:color w:val="auto"/>
                <w:sz w:val="22"/>
                <w:szCs w:val="22"/>
              </w:rPr>
            </w:pPr>
          </w:p>
        </w:tc>
        <w:tc>
          <w:tcPr>
            <w:tcW w:w="796" w:type="dxa"/>
            <w:noWrap w:val="0"/>
            <w:vAlign w:val="top"/>
          </w:tcPr>
          <w:p>
            <w:pPr>
              <w:spacing w:line="400" w:lineRule="exact"/>
              <w:rPr>
                <w:rFonts w:ascii="新宋体" w:hAnsi="新宋体" w:eastAsia="新宋体" w:cs="新宋体"/>
                <w:color w:val="auto"/>
                <w:sz w:val="22"/>
                <w:szCs w:val="22"/>
              </w:rPr>
            </w:pPr>
          </w:p>
        </w:tc>
        <w:tc>
          <w:tcPr>
            <w:tcW w:w="3704" w:type="dxa"/>
            <w:noWrap w:val="0"/>
            <w:vAlign w:val="top"/>
          </w:tcPr>
          <w:p>
            <w:pPr>
              <w:spacing w:line="400" w:lineRule="exact"/>
              <w:rPr>
                <w:rFonts w:ascii="新宋体" w:hAnsi="新宋体" w:eastAsia="新宋体" w:cs="新宋体"/>
                <w:color w:val="auto"/>
                <w:sz w:val="22"/>
                <w:szCs w:val="22"/>
              </w:rPr>
            </w:pPr>
          </w:p>
        </w:tc>
        <w:tc>
          <w:tcPr>
            <w:tcW w:w="1568" w:type="dxa"/>
            <w:noWrap w:val="0"/>
            <w:vAlign w:val="top"/>
          </w:tcPr>
          <w:p>
            <w:pPr>
              <w:spacing w:line="400" w:lineRule="exact"/>
              <w:rPr>
                <w:rFonts w:ascii="新宋体" w:hAnsi="新宋体" w:eastAsia="新宋体" w:cs="新宋体"/>
                <w:color w:val="auto"/>
                <w:sz w:val="22"/>
                <w:szCs w:val="22"/>
              </w:rPr>
            </w:pPr>
          </w:p>
        </w:tc>
      </w:tr>
    </w:tbl>
    <w:p>
      <w:pPr>
        <w:spacing w:line="400" w:lineRule="exact"/>
        <w:rPr>
          <w:rFonts w:hint="eastAsia" w:ascii="宋体" w:hAnsi="宋体" w:eastAsia="宋体" w:cs="宋体"/>
          <w:color w:val="auto"/>
          <w:sz w:val="22"/>
          <w:szCs w:val="22"/>
          <w:highlight w:val="none"/>
        </w:rPr>
      </w:pPr>
    </w:p>
    <w:p>
      <w:pPr>
        <w:spacing w:line="400" w:lineRule="exact"/>
        <w:ind w:firstLine="5280" w:firstLineChars="24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投标人代表（签字）：</w:t>
      </w: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日    期：</w:t>
      </w:r>
    </w:p>
    <w:p>
      <w:pPr>
        <w:rPr>
          <w:rFonts w:hint="eastAsia" w:ascii="宋体" w:hAnsi="宋体" w:eastAsia="宋体" w:cs="宋体"/>
          <w:b/>
          <w:color w:val="auto"/>
          <w:sz w:val="24"/>
          <w:highlight w:val="none"/>
          <w:lang w:val="zh-CN"/>
        </w:rPr>
      </w:pPr>
    </w:p>
    <w:p>
      <w:pPr>
        <w:spacing w:line="400" w:lineRule="exact"/>
        <w:jc w:val="center"/>
        <w:outlineLvl w:val="3"/>
        <w:rPr>
          <w:rFonts w:hint="eastAsia" w:ascii="宋体" w:hAnsi="宋体" w:eastAsia="宋体" w:cs="宋体"/>
          <w:b/>
          <w:color w:val="auto"/>
          <w:sz w:val="24"/>
          <w:highlight w:val="none"/>
          <w:lang w:val="zh-CN"/>
        </w:rPr>
      </w:pPr>
      <w:r>
        <w:rPr>
          <w:rFonts w:hint="eastAsia" w:ascii="宋体" w:hAnsi="宋体" w:cs="宋体"/>
          <w:b/>
          <w:color w:val="auto"/>
          <w:sz w:val="24"/>
          <w:highlight w:val="none"/>
          <w:lang w:val="en-US" w:eastAsia="zh-CN"/>
        </w:rPr>
        <w:t>6</w:t>
      </w:r>
      <w:r>
        <w:rPr>
          <w:rFonts w:hint="eastAsia" w:ascii="宋体" w:hAnsi="宋体" w:eastAsia="宋体" w:cs="宋体"/>
          <w:b/>
          <w:color w:val="auto"/>
          <w:sz w:val="24"/>
          <w:highlight w:val="none"/>
          <w:lang w:val="zh-CN"/>
        </w:rPr>
        <w:t>、投标产品知名度、美誉度</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WZLCZB（W）-2023-01002</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sz w:val="22"/>
          <w:szCs w:val="22"/>
          <w:highlight w:val="none"/>
        </w:rPr>
      </w:pPr>
      <w:r>
        <w:rPr>
          <w:rFonts w:hint="eastAsia" w:ascii="宋体" w:hAnsi="宋体" w:eastAsia="宋体" w:cs="宋体"/>
          <w:b w:val="0"/>
          <w:bCs w:val="0"/>
          <w:color w:val="auto"/>
          <w:sz w:val="22"/>
          <w:szCs w:val="22"/>
          <w:highlight w:val="none"/>
        </w:rPr>
        <w:t>项目名称：</w:t>
      </w:r>
      <w:r>
        <w:rPr>
          <w:rFonts w:hint="eastAsia"/>
          <w:color w:val="auto"/>
          <w:sz w:val="22"/>
          <w:szCs w:val="22"/>
          <w:highlight w:val="none"/>
          <w:u w:val="none"/>
          <w:lang w:eastAsia="zh-CN"/>
        </w:rPr>
        <w:t>污水处理消毒粉采购</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8" w:hRule="atLeast"/>
        </w:trPr>
        <w:tc>
          <w:tcPr>
            <w:tcW w:w="10196" w:type="dxa"/>
            <w:vAlign w:val="center"/>
          </w:tcPr>
          <w:p>
            <w:pPr>
              <w:jc w:val="center"/>
              <w:rPr>
                <w:rFonts w:hint="eastAsia" w:ascii="宋体" w:hAnsi="宋体" w:eastAsia="宋体" w:cs="宋体"/>
                <w:b/>
                <w:color w:val="auto"/>
                <w:sz w:val="22"/>
                <w:szCs w:val="22"/>
                <w:highlight w:val="none"/>
              </w:rPr>
            </w:pPr>
          </w:p>
          <w:p>
            <w:pPr>
              <w:jc w:val="center"/>
              <w:rPr>
                <w:rFonts w:hint="eastAsia" w:ascii="宋体" w:hAnsi="宋体" w:eastAsia="宋体" w:cs="宋体"/>
                <w:b/>
                <w:color w:val="auto"/>
                <w:sz w:val="22"/>
                <w:szCs w:val="22"/>
                <w:highlight w:val="none"/>
              </w:rPr>
            </w:pPr>
          </w:p>
        </w:tc>
      </w:tr>
    </w:tbl>
    <w:p>
      <w:pPr>
        <w:pStyle w:val="30"/>
        <w:spacing w:line="400" w:lineRule="atLeast"/>
        <w:rPr>
          <w:rFonts w:hint="eastAsia" w:ascii="宋体" w:hAnsi="宋体" w:eastAsia="宋体" w:cs="宋体"/>
          <w:color w:val="auto"/>
          <w:sz w:val="22"/>
          <w:szCs w:val="22"/>
          <w:highlight w:val="none"/>
        </w:rPr>
      </w:pP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w:t>
      </w:r>
    </w:p>
    <w:p>
      <w:pPr>
        <w:spacing w:line="400" w:lineRule="exact"/>
        <w:jc w:val="center"/>
        <w:outlineLvl w:val="3"/>
        <w:rPr>
          <w:rFonts w:hint="eastAsia" w:ascii="宋体" w:hAnsi="宋体" w:eastAsia="宋体" w:cs="宋体"/>
          <w:b/>
          <w:color w:val="auto"/>
          <w:sz w:val="24"/>
          <w:highlight w:val="none"/>
          <w:lang w:val="zh-CN"/>
        </w:rPr>
      </w:pPr>
      <w:r>
        <w:rPr>
          <w:rFonts w:hint="eastAsia" w:ascii="宋体" w:hAnsi="宋体" w:cs="宋体"/>
          <w:b/>
          <w:color w:val="auto"/>
          <w:sz w:val="24"/>
          <w:highlight w:val="none"/>
          <w:lang w:val="en-US" w:eastAsia="zh-CN"/>
        </w:rPr>
        <w:t>7</w:t>
      </w:r>
      <w:r>
        <w:rPr>
          <w:rFonts w:hint="eastAsia" w:ascii="宋体" w:hAnsi="宋体" w:eastAsia="宋体" w:cs="宋体"/>
          <w:b/>
          <w:color w:val="auto"/>
          <w:sz w:val="24"/>
          <w:highlight w:val="none"/>
          <w:lang w:val="zh-CN"/>
        </w:rPr>
        <w:t>、投标人情况</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WZLCZB（W）-2023-01002</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8"/>
          <w:szCs w:val="28"/>
          <w:highlight w:val="none"/>
          <w:lang w:val="zh-CN"/>
        </w:rPr>
      </w:pPr>
      <w:r>
        <w:rPr>
          <w:rFonts w:hint="eastAsia" w:ascii="宋体" w:hAnsi="宋体" w:eastAsia="宋体" w:cs="宋体"/>
          <w:b w:val="0"/>
          <w:bCs w:val="0"/>
          <w:color w:val="auto"/>
          <w:sz w:val="22"/>
          <w:szCs w:val="22"/>
          <w:highlight w:val="none"/>
        </w:rPr>
        <w:t>项目名称：</w:t>
      </w:r>
      <w:r>
        <w:rPr>
          <w:rFonts w:hint="eastAsia"/>
          <w:color w:val="auto"/>
          <w:sz w:val="22"/>
          <w:szCs w:val="22"/>
          <w:highlight w:val="none"/>
          <w:u w:val="none"/>
          <w:lang w:eastAsia="zh-CN"/>
        </w:rPr>
        <w:t>污水处理消毒粉采购</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8" w:hRule="atLeast"/>
        </w:trPr>
        <w:tc>
          <w:tcPr>
            <w:tcW w:w="10196" w:type="dxa"/>
            <w:vAlign w:val="center"/>
          </w:tcPr>
          <w:p>
            <w:pPr>
              <w:jc w:val="center"/>
              <w:rPr>
                <w:rFonts w:hint="eastAsia" w:ascii="宋体" w:hAnsi="宋体" w:eastAsia="宋体" w:cs="宋体"/>
                <w:b/>
                <w:color w:val="auto"/>
                <w:sz w:val="22"/>
                <w:szCs w:val="22"/>
                <w:highlight w:val="none"/>
              </w:rPr>
            </w:pPr>
          </w:p>
          <w:p>
            <w:pPr>
              <w:jc w:val="center"/>
              <w:rPr>
                <w:rFonts w:hint="eastAsia" w:ascii="宋体" w:hAnsi="宋体" w:eastAsia="宋体" w:cs="宋体"/>
                <w:b/>
                <w:color w:val="auto"/>
                <w:sz w:val="22"/>
                <w:szCs w:val="22"/>
                <w:highlight w:val="none"/>
              </w:rPr>
            </w:pPr>
          </w:p>
        </w:tc>
      </w:tr>
    </w:tbl>
    <w:p>
      <w:pPr>
        <w:spacing w:line="380" w:lineRule="exact"/>
        <w:rPr>
          <w:rFonts w:hint="eastAsia" w:ascii="宋体" w:hAnsi="宋体" w:eastAsia="宋体" w:cs="宋体"/>
          <w:color w:val="auto"/>
          <w:sz w:val="36"/>
          <w:szCs w:val="36"/>
          <w:highlight w:val="none"/>
        </w:rPr>
      </w:pP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60" w:lineRule="exact"/>
        <w:ind w:firstLine="4400" w:firstLineChars="2000"/>
        <w:rPr>
          <w:rFonts w:hint="eastAsia" w:ascii="宋体" w:hAnsi="宋体" w:eastAsia="宋体" w:cs="宋体"/>
          <w:b/>
          <w:color w:val="auto"/>
          <w:sz w:val="36"/>
          <w:szCs w:val="36"/>
          <w:highlight w:val="none"/>
        </w:rPr>
      </w:pPr>
      <w:r>
        <w:rPr>
          <w:rFonts w:hint="eastAsia" w:ascii="宋体" w:hAnsi="宋体" w:eastAsia="宋体" w:cs="宋体"/>
          <w:color w:val="auto"/>
          <w:sz w:val="22"/>
          <w:szCs w:val="22"/>
          <w:highlight w:val="none"/>
        </w:rPr>
        <w:t xml:space="preserve">日  期：   </w:t>
      </w:r>
    </w:p>
    <w:p>
      <w:pPr>
        <w:spacing w:line="380" w:lineRule="exact"/>
        <w:rPr>
          <w:rFonts w:hint="eastAsia" w:ascii="宋体" w:hAnsi="宋体" w:eastAsia="宋体" w:cs="宋体"/>
          <w:b/>
          <w:color w:val="auto"/>
          <w:sz w:val="36"/>
          <w:szCs w:val="36"/>
          <w:highlight w:val="none"/>
        </w:rPr>
      </w:pPr>
    </w:p>
    <w:p>
      <w:pPr>
        <w:spacing w:line="400" w:lineRule="exact"/>
        <w:jc w:val="center"/>
        <w:outlineLvl w:val="3"/>
        <w:rPr>
          <w:rFonts w:hint="eastAsia"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8</w:t>
      </w:r>
      <w:r>
        <w:rPr>
          <w:rFonts w:hint="eastAsia" w:ascii="宋体" w:hAnsi="宋体" w:eastAsia="宋体" w:cs="宋体"/>
          <w:b/>
          <w:color w:val="auto"/>
          <w:sz w:val="24"/>
          <w:highlight w:val="none"/>
          <w:lang w:val="en-US" w:eastAsia="zh-CN"/>
        </w:rPr>
        <w:t>、同类项目业绩</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WZLCZB（W）-2023-01002</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8"/>
          <w:szCs w:val="28"/>
          <w:highlight w:val="none"/>
          <w:lang w:val="zh-CN"/>
        </w:rPr>
      </w:pPr>
      <w:r>
        <w:rPr>
          <w:rFonts w:hint="eastAsia" w:ascii="宋体" w:hAnsi="宋体" w:eastAsia="宋体" w:cs="宋体"/>
          <w:b w:val="0"/>
          <w:bCs w:val="0"/>
          <w:color w:val="auto"/>
          <w:sz w:val="22"/>
          <w:szCs w:val="22"/>
          <w:highlight w:val="none"/>
        </w:rPr>
        <w:t>项目名称：</w:t>
      </w:r>
      <w:r>
        <w:rPr>
          <w:rFonts w:hint="eastAsia"/>
          <w:color w:val="auto"/>
          <w:sz w:val="22"/>
          <w:szCs w:val="22"/>
          <w:highlight w:val="none"/>
          <w:u w:val="none"/>
          <w:lang w:eastAsia="zh-CN"/>
        </w:rPr>
        <w:t>污水处理消毒粉采购</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069"/>
        <w:gridCol w:w="2437"/>
        <w:gridCol w:w="1737"/>
        <w:gridCol w:w="173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序号</w:t>
            </w: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用户名称</w:t>
            </w: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项目名称</w:t>
            </w: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合同金额</w:t>
            </w: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联系方式</w:t>
            </w: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bl>
    <w:p>
      <w:pPr>
        <w:spacing w:line="380" w:lineRule="exact"/>
        <w:rPr>
          <w:rFonts w:hint="eastAsia" w:ascii="宋体" w:hAnsi="宋体" w:eastAsia="宋体" w:cs="宋体"/>
          <w:color w:val="auto"/>
          <w:sz w:val="36"/>
          <w:szCs w:val="36"/>
          <w:highlight w:val="none"/>
        </w:rPr>
      </w:pP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60" w:lineRule="exact"/>
        <w:ind w:firstLine="4400" w:firstLineChars="2000"/>
        <w:rPr>
          <w:rFonts w:hint="eastAsia" w:ascii="宋体" w:hAnsi="宋体" w:eastAsia="宋体" w:cs="宋体"/>
          <w:color w:val="auto"/>
          <w:highlight w:val="none"/>
        </w:rPr>
      </w:pPr>
      <w:r>
        <w:rPr>
          <w:rFonts w:hint="eastAsia" w:ascii="宋体" w:hAnsi="宋体" w:eastAsia="宋体" w:cs="宋体"/>
          <w:color w:val="auto"/>
          <w:sz w:val="22"/>
          <w:szCs w:val="22"/>
          <w:highlight w:val="none"/>
        </w:rPr>
        <w:t>日  期：</w:t>
      </w: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spacing w:line="400" w:lineRule="exact"/>
        <w:jc w:val="center"/>
        <w:outlineLvl w:val="3"/>
        <w:rPr>
          <w:rFonts w:hint="eastAsia"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9</w:t>
      </w:r>
      <w:r>
        <w:rPr>
          <w:rFonts w:hint="eastAsia" w:ascii="宋体" w:hAnsi="宋体" w:eastAsia="宋体" w:cs="宋体"/>
          <w:b/>
          <w:color w:val="auto"/>
          <w:sz w:val="24"/>
          <w:highlight w:val="none"/>
          <w:lang w:val="en-US" w:eastAsia="zh-CN"/>
        </w:rPr>
        <w:t>、质量保证方案</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WZLCZB（W）-2023-01002</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2"/>
          <w:szCs w:val="22"/>
          <w:highlight w:val="none"/>
        </w:rPr>
      </w:pPr>
      <w:r>
        <w:rPr>
          <w:rFonts w:hint="eastAsia" w:ascii="宋体" w:hAnsi="宋体" w:eastAsia="宋体" w:cs="宋体"/>
          <w:b w:val="0"/>
          <w:bCs w:val="0"/>
          <w:color w:val="auto"/>
          <w:sz w:val="22"/>
          <w:szCs w:val="22"/>
          <w:highlight w:val="none"/>
        </w:rPr>
        <w:t>项目名称：</w:t>
      </w:r>
      <w:r>
        <w:rPr>
          <w:rFonts w:hint="eastAsia"/>
          <w:color w:val="auto"/>
          <w:sz w:val="22"/>
          <w:szCs w:val="22"/>
          <w:highlight w:val="none"/>
          <w:u w:val="none"/>
          <w:lang w:eastAsia="zh-CN"/>
        </w:rPr>
        <w:t>污水处理消毒粉采购</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1" w:hRule="atLeast"/>
          <w:jc w:val="center"/>
        </w:trPr>
        <w:tc>
          <w:tcPr>
            <w:tcW w:w="10157" w:type="dxa"/>
            <w:vAlign w:val="center"/>
          </w:tcPr>
          <w:p>
            <w:pPr>
              <w:spacing w:line="360" w:lineRule="auto"/>
              <w:rPr>
                <w:rFonts w:hint="eastAsia" w:ascii="宋体" w:hAnsi="宋体" w:eastAsia="宋体" w:cs="宋体"/>
                <w:color w:val="auto"/>
                <w:sz w:val="22"/>
                <w:szCs w:val="22"/>
                <w:highlight w:val="none"/>
              </w:rPr>
            </w:pPr>
          </w:p>
        </w:tc>
      </w:tr>
    </w:tbl>
    <w:p>
      <w:pPr>
        <w:pStyle w:val="30"/>
        <w:spacing w:line="400" w:lineRule="atLeast"/>
        <w:rPr>
          <w:rFonts w:hint="eastAsia" w:ascii="宋体" w:hAnsi="宋体" w:eastAsia="宋体" w:cs="宋体"/>
          <w:color w:val="auto"/>
          <w:sz w:val="22"/>
          <w:highlight w:val="none"/>
        </w:rPr>
      </w:pPr>
    </w:p>
    <w:p>
      <w:pPr>
        <w:pStyle w:val="30"/>
        <w:spacing w:line="460" w:lineRule="atLeast"/>
        <w:ind w:left="657" w:leftChars="313" w:firstLine="3960" w:firstLineChars="18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投标人名称（盖章）：</w:t>
      </w:r>
    </w:p>
    <w:p>
      <w:pPr>
        <w:pStyle w:val="30"/>
        <w:spacing w:line="460" w:lineRule="atLeast"/>
        <w:ind w:left="660" w:hanging="660" w:hangingChars="3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 xml:space="preserve">                                          投标人代表（签字）：   </w:t>
      </w:r>
    </w:p>
    <w:p>
      <w:pPr>
        <w:pStyle w:val="30"/>
        <w:spacing w:line="460" w:lineRule="atLeast"/>
        <w:ind w:left="660" w:hanging="660" w:hangingChars="3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 xml:space="preserve">                                          日   期： </w:t>
      </w:r>
    </w:p>
    <w:p>
      <w:pPr>
        <w:pStyle w:val="30"/>
        <w:spacing w:line="460" w:lineRule="atLeast"/>
        <w:ind w:left="660" w:hanging="660" w:hangingChars="300"/>
        <w:rPr>
          <w:rFonts w:hint="eastAsia" w:ascii="宋体" w:hAnsi="宋体" w:eastAsia="宋体" w:cs="宋体"/>
          <w:b w:val="0"/>
          <w:bCs/>
          <w:color w:val="auto"/>
          <w:sz w:val="22"/>
          <w:highlight w:val="none"/>
        </w:rPr>
      </w:pPr>
    </w:p>
    <w:p>
      <w:pPr>
        <w:rPr>
          <w:rFonts w:hint="eastAsia" w:ascii="宋体" w:hAnsi="宋体" w:eastAsia="宋体" w:cs="宋体"/>
          <w:b/>
          <w:color w:val="auto"/>
          <w:sz w:val="24"/>
          <w:highlight w:val="none"/>
          <w:lang w:val="en-US" w:eastAsia="zh-CN"/>
        </w:rPr>
      </w:pPr>
    </w:p>
    <w:p>
      <w:pPr>
        <w:pStyle w:val="2"/>
        <w:rPr>
          <w:rFonts w:hint="eastAsia"/>
          <w:color w:val="auto"/>
          <w:highlight w:val="none"/>
          <w:lang w:val="en-US" w:eastAsia="zh-CN"/>
        </w:rPr>
      </w:pPr>
    </w:p>
    <w:p>
      <w:pPr>
        <w:spacing w:line="400" w:lineRule="exact"/>
        <w:jc w:val="center"/>
        <w:outlineLvl w:val="3"/>
        <w:rPr>
          <w:rFonts w:hint="eastAsia"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10</w:t>
      </w:r>
      <w:r>
        <w:rPr>
          <w:rFonts w:hint="eastAsia" w:ascii="宋体" w:hAnsi="宋体" w:eastAsia="宋体" w:cs="宋体"/>
          <w:b/>
          <w:color w:val="auto"/>
          <w:sz w:val="24"/>
          <w:highlight w:val="none"/>
          <w:lang w:val="en-US" w:eastAsia="zh-CN"/>
        </w:rPr>
        <w:t>、售后服务能力</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WZLCZB（W）-2023-01002</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2"/>
          <w:szCs w:val="22"/>
          <w:highlight w:val="none"/>
        </w:rPr>
      </w:pPr>
      <w:r>
        <w:rPr>
          <w:rFonts w:hint="eastAsia" w:ascii="宋体" w:hAnsi="宋体" w:eastAsia="宋体" w:cs="宋体"/>
          <w:b w:val="0"/>
          <w:bCs w:val="0"/>
          <w:color w:val="auto"/>
          <w:sz w:val="22"/>
          <w:szCs w:val="22"/>
          <w:highlight w:val="none"/>
        </w:rPr>
        <w:t>项目名称：</w:t>
      </w:r>
      <w:r>
        <w:rPr>
          <w:rFonts w:hint="eastAsia"/>
          <w:color w:val="auto"/>
          <w:sz w:val="22"/>
          <w:szCs w:val="22"/>
          <w:highlight w:val="none"/>
          <w:u w:val="none"/>
          <w:lang w:eastAsia="zh-CN"/>
        </w:rPr>
        <w:t>污水处理消毒粉采购</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hint="eastAsia" w:ascii="宋体" w:hAnsi="宋体" w:eastAsia="宋体" w:cs="宋体"/>
                <w:color w:val="auto"/>
                <w:sz w:val="22"/>
                <w:szCs w:val="22"/>
                <w:highlight w:val="none"/>
              </w:rPr>
            </w:pPr>
          </w:p>
        </w:tc>
      </w:tr>
    </w:tbl>
    <w:p>
      <w:pPr>
        <w:spacing w:line="460" w:lineRule="exact"/>
        <w:rPr>
          <w:rFonts w:hint="eastAsia" w:ascii="宋体" w:hAnsi="宋体" w:eastAsia="宋体" w:cs="宋体"/>
          <w:color w:val="auto"/>
          <w:sz w:val="22"/>
          <w:szCs w:val="22"/>
          <w:highlight w:val="none"/>
        </w:rPr>
      </w:pPr>
    </w:p>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 xml:space="preserve">                                        </w:t>
      </w:r>
      <w:r>
        <w:rPr>
          <w:rFonts w:hint="eastAsia" w:ascii="宋体" w:hAnsi="宋体" w:eastAsia="宋体" w:cs="宋体"/>
          <w:color w:val="auto"/>
          <w:sz w:val="22"/>
          <w:szCs w:val="22"/>
          <w:highlight w:val="none"/>
        </w:rPr>
        <w:t>投标人全称（盖章）：</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pStyle w:val="30"/>
        <w:spacing w:line="460" w:lineRule="atLeast"/>
        <w:ind w:left="659" w:leftChars="314" w:firstLine="3740" w:firstLineChars="1700"/>
        <w:rPr>
          <w:rFonts w:hint="eastAsia" w:ascii="宋体" w:hAnsi="宋体" w:eastAsia="宋体" w:cs="宋体"/>
          <w:b w:val="0"/>
          <w:bCs/>
          <w:color w:val="auto"/>
          <w:sz w:val="22"/>
          <w:highlight w:val="none"/>
        </w:rPr>
      </w:pPr>
      <w:r>
        <w:rPr>
          <w:rFonts w:hint="eastAsia" w:ascii="宋体" w:hAnsi="宋体" w:eastAsia="宋体" w:cs="宋体"/>
          <w:b w:val="0"/>
          <w:color w:val="auto"/>
          <w:kern w:val="2"/>
          <w:sz w:val="22"/>
          <w:szCs w:val="22"/>
          <w:highlight w:val="none"/>
        </w:rPr>
        <w:t>日  期：</w:t>
      </w:r>
      <w:r>
        <w:rPr>
          <w:rFonts w:hint="eastAsia" w:ascii="宋体" w:hAnsi="宋体" w:eastAsia="宋体" w:cs="宋体"/>
          <w:b w:val="0"/>
          <w:bCs/>
          <w:color w:val="auto"/>
          <w:sz w:val="22"/>
          <w:highlight w:val="none"/>
        </w:rPr>
        <w:t xml:space="preserve"> </w:t>
      </w:r>
    </w:p>
    <w:p>
      <w:pPr>
        <w:pStyle w:val="30"/>
        <w:spacing w:line="400" w:lineRule="atLeast"/>
        <w:rPr>
          <w:rFonts w:hint="eastAsia" w:ascii="宋体" w:hAnsi="宋体" w:eastAsia="宋体" w:cs="宋体"/>
          <w:color w:val="auto"/>
          <w:sz w:val="22"/>
          <w:highlight w:val="none"/>
        </w:rPr>
      </w:pPr>
    </w:p>
    <w:p>
      <w:pPr>
        <w:rPr>
          <w:rFonts w:hint="eastAsia" w:ascii="宋体" w:hAnsi="宋体" w:cs="宋体"/>
          <w:b/>
          <w:color w:val="auto"/>
          <w:sz w:val="24"/>
          <w:highlight w:val="none"/>
          <w:lang w:val="en-US" w:eastAsia="zh-CN"/>
        </w:rPr>
      </w:pPr>
      <w:r>
        <w:rPr>
          <w:rFonts w:hint="eastAsia" w:ascii="宋体" w:hAnsi="宋体" w:cs="宋体"/>
          <w:b/>
          <w:color w:val="auto"/>
          <w:sz w:val="24"/>
          <w:highlight w:val="none"/>
          <w:lang w:val="en-US" w:eastAsia="zh-CN"/>
        </w:rPr>
        <w:br w:type="page"/>
      </w:r>
    </w:p>
    <w:p>
      <w:pPr>
        <w:spacing w:line="400" w:lineRule="exact"/>
        <w:jc w:val="center"/>
        <w:outlineLvl w:val="3"/>
        <w:rPr>
          <w:rFonts w:hint="eastAsia"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11</w:t>
      </w:r>
      <w:r>
        <w:rPr>
          <w:rFonts w:hint="eastAsia" w:ascii="宋体" w:hAnsi="宋体" w:eastAsia="宋体" w:cs="宋体"/>
          <w:b/>
          <w:color w:val="auto"/>
          <w:sz w:val="24"/>
          <w:highlight w:val="none"/>
          <w:lang w:val="en-US" w:eastAsia="zh-CN"/>
        </w:rPr>
        <w:t>、优惠条件</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WZLCZB（W）-2023-01002</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2"/>
          <w:szCs w:val="22"/>
          <w:highlight w:val="none"/>
        </w:rPr>
      </w:pPr>
      <w:r>
        <w:rPr>
          <w:rFonts w:hint="eastAsia" w:ascii="宋体" w:hAnsi="宋体" w:eastAsia="宋体" w:cs="宋体"/>
          <w:b w:val="0"/>
          <w:bCs w:val="0"/>
          <w:color w:val="auto"/>
          <w:sz w:val="22"/>
          <w:szCs w:val="22"/>
          <w:highlight w:val="none"/>
        </w:rPr>
        <w:t>项目名称：</w:t>
      </w:r>
      <w:r>
        <w:rPr>
          <w:rFonts w:hint="eastAsia"/>
          <w:color w:val="auto"/>
          <w:sz w:val="22"/>
          <w:szCs w:val="22"/>
          <w:highlight w:val="none"/>
          <w:u w:val="none"/>
          <w:lang w:eastAsia="zh-CN"/>
        </w:rPr>
        <w:t>污水处理消毒粉采购</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hint="eastAsia" w:ascii="宋体" w:hAnsi="宋体" w:eastAsia="宋体" w:cs="宋体"/>
                <w:color w:val="auto"/>
                <w:sz w:val="22"/>
                <w:szCs w:val="22"/>
                <w:highlight w:val="none"/>
              </w:rPr>
            </w:pPr>
          </w:p>
        </w:tc>
      </w:tr>
    </w:tbl>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 xml:space="preserve">                                        </w:t>
      </w:r>
      <w:r>
        <w:rPr>
          <w:rFonts w:hint="eastAsia" w:ascii="宋体" w:hAnsi="宋体" w:eastAsia="宋体" w:cs="宋体"/>
          <w:color w:val="auto"/>
          <w:sz w:val="22"/>
          <w:szCs w:val="22"/>
          <w:highlight w:val="none"/>
        </w:rPr>
        <w:t>投标人全称（盖章）：</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pStyle w:val="30"/>
        <w:spacing w:line="460" w:lineRule="atLeast"/>
        <w:ind w:left="659" w:leftChars="314" w:firstLine="3740" w:firstLineChars="1700"/>
        <w:rPr>
          <w:rFonts w:hint="eastAsia" w:ascii="宋体" w:hAnsi="宋体" w:eastAsia="宋体" w:cs="宋体"/>
          <w:b w:val="0"/>
          <w:bCs/>
          <w:color w:val="auto"/>
          <w:sz w:val="22"/>
          <w:highlight w:val="none"/>
        </w:rPr>
      </w:pPr>
      <w:r>
        <w:rPr>
          <w:rFonts w:hint="eastAsia" w:ascii="宋体" w:hAnsi="宋体" w:eastAsia="宋体" w:cs="宋体"/>
          <w:b w:val="0"/>
          <w:color w:val="auto"/>
          <w:kern w:val="2"/>
          <w:sz w:val="22"/>
          <w:szCs w:val="22"/>
          <w:highlight w:val="none"/>
        </w:rPr>
        <w:t>日  期：</w:t>
      </w:r>
      <w:r>
        <w:rPr>
          <w:rFonts w:hint="eastAsia" w:ascii="宋体" w:hAnsi="宋体" w:eastAsia="宋体" w:cs="宋体"/>
          <w:b w:val="0"/>
          <w:bCs/>
          <w:color w:val="auto"/>
          <w:sz w:val="22"/>
          <w:highlight w:val="none"/>
        </w:rPr>
        <w:t xml:space="preserve"> </w:t>
      </w:r>
    </w:p>
    <w:p>
      <w:pPr>
        <w:spacing w:line="460" w:lineRule="exact"/>
        <w:ind w:firstLine="4400" w:firstLineChars="2000"/>
        <w:rPr>
          <w:rFonts w:hint="eastAsia" w:ascii="宋体" w:hAnsi="宋体" w:eastAsia="宋体" w:cs="宋体"/>
          <w:color w:val="auto"/>
          <w:sz w:val="22"/>
          <w:szCs w:val="22"/>
          <w:highlight w:val="none"/>
        </w:rPr>
      </w:pPr>
    </w:p>
    <w:p>
      <w:pPr>
        <w:spacing w:line="460" w:lineRule="exact"/>
        <w:ind w:firstLine="4400" w:firstLineChars="2000"/>
        <w:rPr>
          <w:rFonts w:hint="eastAsia" w:ascii="宋体" w:hAnsi="宋体" w:eastAsia="宋体" w:cs="宋体"/>
          <w:color w:val="auto"/>
          <w:sz w:val="22"/>
          <w:szCs w:val="22"/>
          <w:highlight w:val="none"/>
        </w:rPr>
      </w:pP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pStyle w:val="4"/>
        <w:numPr>
          <w:ilvl w:val="0"/>
          <w:numId w:val="9"/>
        </w:numPr>
        <w:bidi w:val="0"/>
        <w:rPr>
          <w:rFonts w:hint="eastAsia" w:ascii="宋体" w:hAnsi="宋体" w:eastAsia="宋体" w:cs="宋体"/>
          <w:b/>
          <w:color w:val="auto"/>
          <w:highlight w:val="none"/>
        </w:rPr>
      </w:pPr>
      <w:bookmarkStart w:id="41" w:name="_Toc10142"/>
      <w:bookmarkStart w:id="42" w:name="_Toc3381"/>
      <w:bookmarkStart w:id="43" w:name="_Toc221356895"/>
      <w:bookmarkStart w:id="44" w:name="_Toc221356958"/>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项目技术规范和服务要求</w:t>
      </w:r>
      <w:bookmarkEnd w:id="41"/>
      <w:bookmarkEnd w:id="42"/>
    </w:p>
    <w:bookmarkEnd w:id="43"/>
    <w:bookmarkEnd w:id="44"/>
    <w:p>
      <w:pPr>
        <w:keepNext w:val="0"/>
        <w:keepLines w:val="0"/>
        <w:pageBreakBefore w:val="0"/>
        <w:widowControl w:val="0"/>
        <w:kinsoku/>
        <w:wordWrap/>
        <w:overflowPunct/>
        <w:topLinePunct w:val="0"/>
        <w:autoSpaceDE/>
        <w:autoSpaceDN/>
        <w:bidi w:val="0"/>
        <w:adjustRightInd/>
        <w:snapToGrid w:val="0"/>
        <w:spacing w:line="460" w:lineRule="exact"/>
        <w:textAlignment w:val="auto"/>
        <w:outlineLvl w:val="1"/>
        <w:rPr>
          <w:rFonts w:hint="eastAsia" w:ascii="宋体" w:hAnsi="宋体" w:cs="宋体"/>
          <w:b/>
          <w:color w:val="auto"/>
          <w:sz w:val="22"/>
          <w:highlight w:val="none"/>
        </w:rPr>
      </w:pPr>
      <w:bookmarkStart w:id="45" w:name="_Toc422946256"/>
      <w:bookmarkStart w:id="46" w:name="_Toc18194"/>
      <w:bookmarkStart w:id="47" w:name="_Toc30323"/>
      <w:r>
        <w:rPr>
          <w:rFonts w:hint="eastAsia" w:ascii="宋体" w:hAnsi="宋体" w:cs="宋体"/>
          <w:b/>
          <w:color w:val="auto"/>
          <w:sz w:val="22"/>
          <w:highlight w:val="none"/>
        </w:rPr>
        <w:t>一、概述</w:t>
      </w:r>
    </w:p>
    <w:p>
      <w:pPr>
        <w:pageBreakBefore w:val="0"/>
        <w:kinsoku/>
        <w:wordWrap/>
        <w:overflowPunct/>
        <w:topLinePunct w:val="0"/>
        <w:autoSpaceDE/>
        <w:autoSpaceDN/>
        <w:bidi w:val="0"/>
        <w:adjustRightInd/>
        <w:snapToGrid w:val="0"/>
        <w:spacing w:line="460" w:lineRule="exact"/>
        <w:ind w:firstLine="440" w:firstLineChars="200"/>
        <w:textAlignment w:val="auto"/>
        <w:rPr>
          <w:rFonts w:hint="eastAsia"/>
          <w:color w:val="auto"/>
          <w:sz w:val="22"/>
          <w:szCs w:val="22"/>
          <w:highlight w:val="none"/>
        </w:rPr>
      </w:pPr>
      <w:r>
        <w:rPr>
          <w:rFonts w:hint="eastAsia"/>
          <w:color w:val="auto"/>
          <w:sz w:val="22"/>
          <w:szCs w:val="22"/>
          <w:highlight w:val="none"/>
        </w:rPr>
        <w:t>采购的产品所涉及的产品标准、规范，验收标准、规范，应符合国家有关条例及规范，如有新的标准应采纳新标准，如是国外相应标准应征得采购人认可。</w:t>
      </w:r>
    </w:p>
    <w:p>
      <w:pPr>
        <w:pageBreakBefore w:val="0"/>
        <w:kinsoku/>
        <w:wordWrap/>
        <w:overflowPunct/>
        <w:topLinePunct w:val="0"/>
        <w:autoSpaceDE/>
        <w:autoSpaceDN/>
        <w:bidi w:val="0"/>
        <w:adjustRightInd/>
        <w:snapToGrid w:val="0"/>
        <w:spacing w:line="460" w:lineRule="exact"/>
        <w:ind w:firstLine="440" w:firstLineChars="200"/>
        <w:textAlignment w:val="auto"/>
        <w:rPr>
          <w:rFonts w:hint="eastAsia"/>
          <w:color w:val="auto"/>
          <w:sz w:val="22"/>
          <w:szCs w:val="22"/>
          <w:highlight w:val="none"/>
        </w:rPr>
      </w:pPr>
      <w:r>
        <w:rPr>
          <w:rFonts w:hint="eastAsia"/>
          <w:color w:val="auto"/>
          <w:sz w:val="22"/>
          <w:szCs w:val="22"/>
          <w:highlight w:val="none"/>
        </w:rPr>
        <w:t>投标供应商应根据采购文件所提出的技术规格、参数、数量和服务要求，综合考虑货物的适应性，选择具有最佳性能价格比的货物前来投标。希望投标方以精良的货物、优良的服务和优惠的价格，充分显示自身的竞争实力。</w:t>
      </w:r>
    </w:p>
    <w:p>
      <w:pPr>
        <w:pageBreakBefore w:val="0"/>
        <w:kinsoku/>
        <w:wordWrap/>
        <w:overflowPunct/>
        <w:topLinePunct w:val="0"/>
        <w:autoSpaceDE/>
        <w:autoSpaceDN/>
        <w:bidi w:val="0"/>
        <w:adjustRightInd/>
        <w:snapToGrid w:val="0"/>
        <w:spacing w:line="460" w:lineRule="exact"/>
        <w:ind w:firstLine="440" w:firstLineChars="200"/>
        <w:textAlignment w:val="auto"/>
        <w:rPr>
          <w:rFonts w:hint="eastAsia"/>
          <w:color w:val="auto"/>
          <w:sz w:val="22"/>
          <w:szCs w:val="22"/>
          <w:highlight w:val="none"/>
        </w:rPr>
      </w:pPr>
      <w:r>
        <w:rPr>
          <w:rFonts w:hint="eastAsia"/>
          <w:color w:val="auto"/>
          <w:sz w:val="22"/>
          <w:szCs w:val="22"/>
          <w:highlight w:val="none"/>
        </w:rPr>
        <w:t>报价供应商须对招报价文件中涉及的专利负责，并保证不伤害</w:t>
      </w:r>
      <w:r>
        <w:rPr>
          <w:rFonts w:hint="eastAsia"/>
          <w:color w:val="auto"/>
          <w:sz w:val="22"/>
          <w:szCs w:val="22"/>
          <w:highlight w:val="none"/>
          <w:lang w:eastAsia="zh-CN"/>
        </w:rPr>
        <w:t>招标人</w:t>
      </w:r>
      <w:r>
        <w:rPr>
          <w:rFonts w:hint="eastAsia"/>
          <w:color w:val="auto"/>
          <w:sz w:val="22"/>
          <w:szCs w:val="22"/>
          <w:highlight w:val="none"/>
        </w:rPr>
        <w:t>的利益。在法律范围内，所有文字、商标和技术侵权造成的相关费用，</w:t>
      </w:r>
      <w:r>
        <w:rPr>
          <w:rFonts w:hint="eastAsia"/>
          <w:color w:val="auto"/>
          <w:sz w:val="22"/>
          <w:szCs w:val="22"/>
          <w:highlight w:val="none"/>
          <w:lang w:eastAsia="zh-CN"/>
        </w:rPr>
        <w:t>招标人</w:t>
      </w:r>
      <w:r>
        <w:rPr>
          <w:rFonts w:hint="eastAsia"/>
          <w:color w:val="auto"/>
          <w:sz w:val="22"/>
          <w:szCs w:val="22"/>
          <w:highlight w:val="none"/>
        </w:rPr>
        <w:t>概不负责。</w:t>
      </w:r>
    </w:p>
    <w:p>
      <w:pPr>
        <w:keepNext w:val="0"/>
        <w:keepLines w:val="0"/>
        <w:pageBreakBefore w:val="0"/>
        <w:widowControl w:val="0"/>
        <w:kinsoku/>
        <w:wordWrap/>
        <w:overflowPunct/>
        <w:topLinePunct w:val="0"/>
        <w:autoSpaceDE/>
        <w:autoSpaceDN/>
        <w:bidi w:val="0"/>
        <w:adjustRightInd/>
        <w:snapToGrid w:val="0"/>
        <w:spacing w:line="460" w:lineRule="exact"/>
        <w:textAlignment w:val="auto"/>
        <w:outlineLvl w:val="1"/>
        <w:rPr>
          <w:rFonts w:hint="eastAsia" w:ascii="宋体" w:hAnsi="宋体" w:cs="宋体"/>
          <w:b/>
          <w:color w:val="auto"/>
          <w:sz w:val="22"/>
          <w:highlight w:val="none"/>
        </w:rPr>
      </w:pPr>
      <w:r>
        <w:rPr>
          <w:rFonts w:hint="eastAsia" w:ascii="宋体" w:hAnsi="宋体" w:cs="宋体"/>
          <w:b/>
          <w:color w:val="auto"/>
          <w:sz w:val="22"/>
          <w:highlight w:val="none"/>
        </w:rPr>
        <w:t>二、招标清单及技术要求</w:t>
      </w:r>
    </w:p>
    <w:tbl>
      <w:tblPr>
        <w:tblStyle w:val="53"/>
        <w:tblW w:w="9734" w:type="dxa"/>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8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p>
        </w:tc>
        <w:tc>
          <w:tcPr>
            <w:tcW w:w="875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消毒技术要求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1.1</w:t>
            </w:r>
          </w:p>
        </w:tc>
        <w:tc>
          <w:tcPr>
            <w:tcW w:w="8752" w:type="dxa"/>
            <w:noWrap w:val="0"/>
            <w:vAlign w:val="center"/>
          </w:tcPr>
          <w:p>
            <w:pPr>
              <w:pageBreakBefore w:val="0"/>
              <w:widowControl/>
              <w:kinsoku/>
              <w:wordWrap/>
              <w:overflowPunct/>
              <w:topLinePunct w:val="0"/>
              <w:autoSpaceDE/>
              <w:autoSpaceDN/>
              <w:bidi w:val="0"/>
              <w:adjustRightInd/>
              <w:spacing w:line="460" w:lineRule="exact"/>
              <w:jc w:val="both"/>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w:t>
            </w:r>
            <w:r>
              <w:rPr>
                <w:rFonts w:hint="eastAsia" w:ascii="宋体" w:hAnsi="宋体" w:cs="宋体"/>
                <w:color w:val="auto"/>
                <w:kern w:val="0"/>
                <w:sz w:val="22"/>
                <w:szCs w:val="22"/>
                <w:highlight w:val="none"/>
                <w:lang w:eastAsia="zh-CN"/>
              </w:rPr>
              <w:t>成分及含量</w:t>
            </w:r>
            <w:r>
              <w:rPr>
                <w:rFonts w:hint="eastAsia" w:ascii="宋体" w:hAnsi="宋体" w:eastAsia="宋体" w:cs="宋体"/>
                <w:color w:val="auto"/>
                <w:kern w:val="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1.1.1</w:t>
            </w:r>
          </w:p>
        </w:tc>
        <w:tc>
          <w:tcPr>
            <w:tcW w:w="8752" w:type="dxa"/>
            <w:noWrap w:val="0"/>
            <w:vAlign w:val="center"/>
          </w:tcPr>
          <w:p>
            <w:pPr>
              <w:pStyle w:val="49"/>
              <w:widowControl/>
              <w:spacing w:line="336" w:lineRule="auto"/>
              <w:textAlignment w:val="baseline"/>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rPr>
              <w:t>主要成分：</w:t>
            </w:r>
            <w:r>
              <w:rPr>
                <w:rFonts w:hint="eastAsia" w:cs="宋体"/>
                <w:color w:val="auto"/>
                <w:kern w:val="0"/>
                <w:sz w:val="22"/>
                <w:szCs w:val="22"/>
                <w:highlight w:val="none"/>
                <w:lang w:eastAsia="zh-CN"/>
              </w:rPr>
              <w:t>过硫酸氢钾（</w:t>
            </w:r>
            <w:r>
              <w:rPr>
                <w:rFonts w:hint="eastAsia" w:ascii="宋体" w:hAnsi="宋体" w:eastAsia="宋体" w:cs="宋体"/>
                <w:color w:val="auto"/>
                <w:kern w:val="0"/>
                <w:sz w:val="22"/>
                <w:szCs w:val="22"/>
                <w:highlight w:val="none"/>
              </w:rPr>
              <w:t>单过硫酸氢钾</w:t>
            </w:r>
            <w:r>
              <w:rPr>
                <w:rFonts w:hint="eastAsia" w:cs="宋体"/>
                <w:color w:val="auto"/>
                <w:kern w:val="0"/>
                <w:sz w:val="22"/>
                <w:szCs w:val="22"/>
                <w:highlight w:val="none"/>
                <w:lang w:eastAsia="zh-CN"/>
              </w:rPr>
              <w:t>、单一硫酸氢钾）</w:t>
            </w:r>
            <w:r>
              <w:rPr>
                <w:rFonts w:hint="eastAsia" w:ascii="宋体" w:hAnsi="宋体" w:eastAsia="宋体" w:cs="宋体"/>
                <w:color w:val="auto"/>
                <w:kern w:val="0"/>
                <w:sz w:val="22"/>
                <w:szCs w:val="22"/>
                <w:highlight w:val="none"/>
              </w:rPr>
              <w:t>复合盐，含量</w:t>
            </w:r>
            <w:r>
              <w:rPr>
                <w:rFonts w:hint="eastAsia" w:cs="宋体"/>
                <w:color w:val="auto"/>
                <w:kern w:val="0"/>
                <w:sz w:val="22"/>
                <w:szCs w:val="22"/>
                <w:highlight w:val="none"/>
                <w:lang w:val="en-US" w:eastAsia="zh-CN"/>
              </w:rPr>
              <w:t>24-29</w:t>
            </w:r>
            <w:r>
              <w:rPr>
                <w:rFonts w:hint="eastAsia" w:ascii="宋体" w:hAnsi="宋体" w:eastAsia="宋体" w:cs="宋体"/>
                <w:color w:val="auto"/>
                <w:kern w:val="0"/>
                <w:sz w:val="22"/>
                <w:szCs w:val="22"/>
                <w:highlight w:val="none"/>
              </w:rPr>
              <w:t>%</w:t>
            </w:r>
            <w:r>
              <w:rPr>
                <w:rFonts w:hint="eastAsia" w:cs="宋体"/>
                <w:color w:val="auto"/>
                <w:kern w:val="0"/>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1.1.2</w:t>
            </w:r>
          </w:p>
        </w:tc>
        <w:tc>
          <w:tcPr>
            <w:tcW w:w="8752" w:type="dxa"/>
            <w:noWrap w:val="0"/>
            <w:vAlign w:val="center"/>
          </w:tcPr>
          <w:p>
            <w:pPr>
              <w:pageBreakBefore w:val="0"/>
              <w:widowControl/>
              <w:kinsoku/>
              <w:wordWrap/>
              <w:overflowPunct/>
              <w:topLinePunct w:val="0"/>
              <w:autoSpaceDE/>
              <w:autoSpaceDN/>
              <w:bidi w:val="0"/>
              <w:adjustRightInd/>
              <w:spacing w:line="460" w:lineRule="exact"/>
              <w:jc w:val="both"/>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SA"/>
              </w:rPr>
              <w:t>PH 值（25℃) 1%水溶液：5.0-5.5%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1.1.3</w:t>
            </w:r>
          </w:p>
        </w:tc>
        <w:tc>
          <w:tcPr>
            <w:tcW w:w="8752" w:type="dxa"/>
            <w:noWrap w:val="0"/>
            <w:vAlign w:val="center"/>
          </w:tcPr>
          <w:p>
            <w:pPr>
              <w:pageBreakBefore w:val="0"/>
              <w:widowControl/>
              <w:kinsoku/>
              <w:wordWrap/>
              <w:overflowPunct/>
              <w:topLinePunct w:val="0"/>
              <w:autoSpaceDE/>
              <w:autoSpaceDN/>
              <w:bidi w:val="0"/>
              <w:adjustRightInd/>
              <w:spacing w:line="460" w:lineRule="exact"/>
              <w:jc w:val="both"/>
              <w:textAlignment w:val="auto"/>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bidi="ar-SA"/>
              </w:rPr>
              <w:t>有效氯含量:45-55%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1.1.4</w:t>
            </w:r>
          </w:p>
        </w:tc>
        <w:tc>
          <w:tcPr>
            <w:tcW w:w="8752" w:type="dxa"/>
            <w:noWrap w:val="0"/>
            <w:vAlign w:val="center"/>
          </w:tcPr>
          <w:p>
            <w:pPr>
              <w:pageBreakBefore w:val="0"/>
              <w:widowControl/>
              <w:kinsoku/>
              <w:wordWrap/>
              <w:overflowPunct/>
              <w:topLinePunct w:val="0"/>
              <w:autoSpaceDE/>
              <w:autoSpaceDN/>
              <w:bidi w:val="0"/>
              <w:adjustRightInd/>
              <w:spacing w:line="460" w:lineRule="exact"/>
              <w:jc w:val="both"/>
              <w:textAlignment w:val="auto"/>
              <w:rPr>
                <w:rFonts w:hint="default" w:ascii="宋体" w:hAnsi="宋体" w:eastAsia="宋体" w:cs="宋体"/>
                <w:color w:val="auto"/>
                <w:kern w:val="0"/>
                <w:sz w:val="22"/>
                <w:szCs w:val="22"/>
                <w:highlight w:val="none"/>
                <w:lang w:val="en-US"/>
              </w:rPr>
            </w:pPr>
            <w:r>
              <w:rPr>
                <w:rFonts w:hint="eastAsia" w:ascii="宋体" w:hAnsi="宋体" w:eastAsia="宋体" w:cs="宋体"/>
                <w:color w:val="auto"/>
                <w:kern w:val="0"/>
                <w:sz w:val="22"/>
                <w:szCs w:val="22"/>
                <w:highlight w:val="none"/>
                <w:lang w:val="en-US" w:eastAsia="zh-CN" w:bidi="ar-SA"/>
              </w:rPr>
              <w:t>活性氧</w:t>
            </w:r>
            <w:r>
              <w:rPr>
                <w:rFonts w:hint="eastAsia" w:ascii="宋体" w:hAnsi="宋体" w:cs="宋体"/>
                <w:color w:val="auto"/>
                <w:kern w:val="0"/>
                <w:sz w:val="22"/>
                <w:szCs w:val="22"/>
                <w:highlight w:val="none"/>
                <w:lang w:val="en-US" w:eastAsia="zh-CN" w:bidi="ar-SA"/>
              </w:rPr>
              <w:t>含量：9-14%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1.1.5</w:t>
            </w:r>
          </w:p>
        </w:tc>
        <w:tc>
          <w:tcPr>
            <w:tcW w:w="8752" w:type="dxa"/>
            <w:noWrap w:val="0"/>
            <w:vAlign w:val="center"/>
          </w:tcPr>
          <w:p>
            <w:pPr>
              <w:pageBreakBefore w:val="0"/>
              <w:widowControl/>
              <w:kinsoku/>
              <w:wordWrap/>
              <w:overflowPunct/>
              <w:topLinePunct w:val="0"/>
              <w:autoSpaceDE/>
              <w:autoSpaceDN/>
              <w:bidi w:val="0"/>
              <w:adjustRightInd/>
              <w:spacing w:line="460" w:lineRule="exact"/>
              <w:jc w:val="both"/>
              <w:textAlignment w:val="auto"/>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性状：白色粉末状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1.1.6</w:t>
            </w:r>
          </w:p>
        </w:tc>
        <w:tc>
          <w:tcPr>
            <w:tcW w:w="8752" w:type="dxa"/>
            <w:noWrap w:val="0"/>
            <w:vAlign w:val="center"/>
          </w:tcPr>
          <w:p>
            <w:pPr>
              <w:pageBreakBefore w:val="0"/>
              <w:widowControl/>
              <w:kinsoku/>
              <w:wordWrap/>
              <w:overflowPunct/>
              <w:topLinePunct w:val="0"/>
              <w:autoSpaceDE/>
              <w:autoSpaceDN/>
              <w:bidi w:val="0"/>
              <w:adjustRightInd/>
              <w:spacing w:line="460" w:lineRule="exact"/>
              <w:jc w:val="both"/>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气味：无刺激性气味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1.1.7</w:t>
            </w:r>
          </w:p>
        </w:tc>
        <w:tc>
          <w:tcPr>
            <w:tcW w:w="8752" w:type="dxa"/>
            <w:noWrap w:val="0"/>
            <w:vAlign w:val="center"/>
          </w:tcPr>
          <w:p>
            <w:pPr>
              <w:pageBreakBefore w:val="0"/>
              <w:widowControl/>
              <w:kinsoku/>
              <w:wordWrap/>
              <w:overflowPunct/>
              <w:topLinePunct w:val="0"/>
              <w:autoSpaceDE/>
              <w:autoSpaceDN/>
              <w:bidi w:val="0"/>
              <w:adjustRightInd/>
              <w:spacing w:line="460" w:lineRule="exact"/>
              <w:jc w:val="both"/>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稳定性：常温储存24个月</w:t>
            </w:r>
            <w:r>
              <w:rPr>
                <w:rFonts w:hint="eastAsia" w:ascii="宋体" w:hAnsi="宋体" w:cs="宋体"/>
                <w:color w:val="auto"/>
                <w:kern w:val="0"/>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1.1.8</w:t>
            </w:r>
          </w:p>
        </w:tc>
        <w:tc>
          <w:tcPr>
            <w:tcW w:w="8752" w:type="dxa"/>
            <w:noWrap w:val="0"/>
            <w:vAlign w:val="center"/>
          </w:tcPr>
          <w:p>
            <w:pPr>
              <w:pageBreakBefore w:val="0"/>
              <w:widowControl/>
              <w:kinsoku/>
              <w:wordWrap/>
              <w:overflowPunct/>
              <w:topLinePunct w:val="0"/>
              <w:autoSpaceDE/>
              <w:autoSpaceDN/>
              <w:bidi w:val="0"/>
              <w:adjustRightInd/>
              <w:spacing w:line="460" w:lineRule="exact"/>
              <w:jc w:val="both"/>
              <w:textAlignment w:val="auto"/>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rPr>
              <w:t>溶解性：易溶于水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1.2</w:t>
            </w:r>
          </w:p>
        </w:tc>
        <w:tc>
          <w:tcPr>
            <w:tcW w:w="8752" w:type="dxa"/>
            <w:noWrap w:val="0"/>
            <w:vAlign w:val="center"/>
          </w:tcPr>
          <w:p>
            <w:pPr>
              <w:pageBreakBefore w:val="0"/>
              <w:widowControl/>
              <w:kinsoku/>
              <w:wordWrap/>
              <w:overflowPunct/>
              <w:topLinePunct w:val="0"/>
              <w:autoSpaceDE/>
              <w:autoSpaceDN/>
              <w:bidi w:val="0"/>
              <w:adjustRightInd/>
              <w:spacing w:line="460" w:lineRule="exact"/>
              <w:jc w:val="both"/>
              <w:textAlignment w:val="auto"/>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val="en-US" w:eastAsia="zh-CN" w:bidi="ar-SA"/>
              </w:rPr>
              <w:t>▲</w:t>
            </w:r>
            <w:r>
              <w:rPr>
                <w:rFonts w:hint="eastAsia" w:ascii="宋体" w:hAnsi="宋体" w:cs="宋体"/>
                <w:color w:val="auto"/>
                <w:kern w:val="0"/>
                <w:sz w:val="22"/>
                <w:szCs w:val="22"/>
                <w:highlight w:val="none"/>
                <w:lang w:eastAsia="zh-CN"/>
              </w:rPr>
              <w:t>灭菌能力：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1.2.1</w:t>
            </w:r>
          </w:p>
        </w:tc>
        <w:tc>
          <w:tcPr>
            <w:tcW w:w="8752" w:type="dxa"/>
            <w:noWrap w:val="0"/>
            <w:vAlign w:val="center"/>
          </w:tcPr>
          <w:p>
            <w:pPr>
              <w:pageBreakBefore w:val="0"/>
              <w:widowControl/>
              <w:kinsoku/>
              <w:wordWrap/>
              <w:overflowPunct/>
              <w:topLinePunct w:val="0"/>
              <w:autoSpaceDE/>
              <w:autoSpaceDN/>
              <w:bidi w:val="0"/>
              <w:adjustRightInd/>
              <w:spacing w:line="460" w:lineRule="exact"/>
              <w:jc w:val="both"/>
              <w:textAlignment w:val="auto"/>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rPr>
              <w:t>常温温度下（</w:t>
            </w:r>
            <w:r>
              <w:rPr>
                <w:rFonts w:hint="eastAsia" w:ascii="宋体" w:hAnsi="宋体" w:cs="宋体"/>
                <w:color w:val="auto"/>
                <w:kern w:val="0"/>
                <w:sz w:val="22"/>
                <w:szCs w:val="22"/>
                <w:highlight w:val="none"/>
                <w:lang w:eastAsia="zh-CN"/>
              </w:rPr>
              <w:t>实验条件下</w:t>
            </w:r>
            <w:r>
              <w:rPr>
                <w:rFonts w:hint="eastAsia" w:ascii="宋体" w:hAnsi="宋体" w:eastAsia="宋体" w:cs="宋体"/>
                <w:color w:val="auto"/>
                <w:kern w:val="0"/>
                <w:sz w:val="22"/>
                <w:szCs w:val="22"/>
                <w:highlight w:val="none"/>
              </w:rPr>
              <w:t>），投加含</w:t>
            </w:r>
            <w:r>
              <w:rPr>
                <w:rFonts w:hint="eastAsia" w:cs="宋体"/>
                <w:color w:val="auto"/>
                <w:kern w:val="0"/>
                <w:sz w:val="22"/>
                <w:szCs w:val="22"/>
                <w:highlight w:val="none"/>
                <w:lang w:eastAsia="zh-CN"/>
              </w:rPr>
              <w:t>过硫酸氢钾（</w:t>
            </w:r>
            <w:r>
              <w:rPr>
                <w:rFonts w:hint="eastAsia" w:ascii="宋体" w:hAnsi="宋体" w:eastAsia="宋体" w:cs="宋体"/>
                <w:color w:val="auto"/>
                <w:kern w:val="0"/>
                <w:sz w:val="22"/>
                <w:szCs w:val="22"/>
                <w:highlight w:val="none"/>
              </w:rPr>
              <w:t>单过硫酸氢钾</w:t>
            </w:r>
            <w:r>
              <w:rPr>
                <w:rFonts w:hint="eastAsia" w:cs="宋体"/>
                <w:color w:val="auto"/>
                <w:kern w:val="0"/>
                <w:sz w:val="22"/>
                <w:szCs w:val="22"/>
                <w:highlight w:val="none"/>
                <w:lang w:eastAsia="zh-CN"/>
              </w:rPr>
              <w:t>、单一硫酸氢钾）</w:t>
            </w:r>
            <w:r>
              <w:rPr>
                <w:rFonts w:hint="eastAsia" w:ascii="宋体" w:hAnsi="宋体" w:eastAsia="宋体" w:cs="宋体"/>
                <w:color w:val="auto"/>
                <w:kern w:val="0"/>
                <w:sz w:val="22"/>
                <w:szCs w:val="22"/>
                <w:highlight w:val="none"/>
              </w:rPr>
              <w:t>复合盐产品1000mg/L消毒液作用90min对枯草杆菌黑色变种芽孢的杀灭对数值＞5.00</w:t>
            </w:r>
            <w:r>
              <w:rPr>
                <w:rFonts w:hint="eastAsia" w:ascii="宋体" w:hAnsi="宋体" w:cs="宋体"/>
                <w:color w:val="auto"/>
                <w:kern w:val="0"/>
                <w:sz w:val="22"/>
                <w:szCs w:val="22"/>
                <w:highlight w:val="none"/>
                <w:lang w:eastAsia="zh-CN"/>
              </w:rPr>
              <w:t>或</w:t>
            </w:r>
            <w:r>
              <w:rPr>
                <w:rFonts w:hint="eastAsia" w:ascii="宋体" w:hAnsi="宋体" w:eastAsia="宋体" w:cs="宋体"/>
                <w:color w:val="auto"/>
                <w:kern w:val="0"/>
                <w:sz w:val="22"/>
                <w:szCs w:val="22"/>
                <w:highlight w:val="none"/>
              </w:rPr>
              <w:t>常温温度下（</w:t>
            </w:r>
            <w:r>
              <w:rPr>
                <w:rFonts w:hint="eastAsia" w:ascii="宋体" w:hAnsi="宋体" w:cs="宋体"/>
                <w:color w:val="auto"/>
                <w:kern w:val="0"/>
                <w:sz w:val="22"/>
                <w:szCs w:val="22"/>
                <w:highlight w:val="none"/>
                <w:lang w:eastAsia="zh-CN"/>
              </w:rPr>
              <w:t>实验条件下</w:t>
            </w:r>
            <w:r>
              <w:rPr>
                <w:rFonts w:hint="eastAsia" w:ascii="宋体" w:hAnsi="宋体" w:eastAsia="宋体" w:cs="宋体"/>
                <w:color w:val="auto"/>
                <w:kern w:val="0"/>
                <w:sz w:val="22"/>
                <w:szCs w:val="22"/>
                <w:highlight w:val="none"/>
              </w:rPr>
              <w:t>），投加含</w:t>
            </w:r>
            <w:r>
              <w:rPr>
                <w:rFonts w:hint="eastAsia" w:cs="宋体"/>
                <w:color w:val="auto"/>
                <w:kern w:val="0"/>
                <w:sz w:val="22"/>
                <w:szCs w:val="22"/>
                <w:highlight w:val="none"/>
                <w:lang w:eastAsia="zh-CN"/>
              </w:rPr>
              <w:t>过硫酸氢钾（</w:t>
            </w:r>
            <w:r>
              <w:rPr>
                <w:rFonts w:hint="eastAsia" w:ascii="宋体" w:hAnsi="宋体" w:eastAsia="宋体" w:cs="宋体"/>
                <w:color w:val="auto"/>
                <w:kern w:val="0"/>
                <w:sz w:val="22"/>
                <w:szCs w:val="22"/>
                <w:highlight w:val="none"/>
              </w:rPr>
              <w:t>单过硫酸氢钾</w:t>
            </w:r>
            <w:r>
              <w:rPr>
                <w:rFonts w:hint="eastAsia" w:cs="宋体"/>
                <w:color w:val="auto"/>
                <w:kern w:val="0"/>
                <w:sz w:val="22"/>
                <w:szCs w:val="22"/>
                <w:highlight w:val="none"/>
                <w:lang w:eastAsia="zh-CN"/>
              </w:rPr>
              <w:t>、单一硫酸氢钾）</w:t>
            </w:r>
            <w:r>
              <w:rPr>
                <w:rFonts w:hint="eastAsia" w:ascii="宋体" w:hAnsi="宋体" w:eastAsia="宋体" w:cs="宋体"/>
                <w:color w:val="auto"/>
                <w:kern w:val="0"/>
                <w:sz w:val="22"/>
                <w:szCs w:val="22"/>
                <w:highlight w:val="none"/>
              </w:rPr>
              <w:t>复合盐产品</w:t>
            </w:r>
            <w:r>
              <w:rPr>
                <w:rFonts w:hint="eastAsia" w:ascii="宋体" w:hAnsi="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rPr>
              <w:t>000mg/L消毒液作用</w:t>
            </w:r>
            <w:r>
              <w:rPr>
                <w:rFonts w:hint="eastAsia" w:ascii="宋体" w:hAnsi="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rPr>
              <w:t>0min对枯草杆菌黑色变种芽孢的杀灭对数值＞</w:t>
            </w:r>
            <w:r>
              <w:rPr>
                <w:rFonts w:hint="eastAsia" w:ascii="宋体" w:hAnsi="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default" w:ascii="宋体" w:hAnsi="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1.2.2</w:t>
            </w:r>
          </w:p>
        </w:tc>
        <w:tc>
          <w:tcPr>
            <w:tcW w:w="8752" w:type="dxa"/>
            <w:noWrap w:val="0"/>
            <w:vAlign w:val="center"/>
          </w:tcPr>
          <w:p>
            <w:pPr>
              <w:pageBreakBefore w:val="0"/>
              <w:widowControl/>
              <w:kinsoku/>
              <w:wordWrap/>
              <w:overflowPunct/>
              <w:topLinePunct w:val="0"/>
              <w:autoSpaceDE/>
              <w:autoSpaceDN/>
              <w:bidi w:val="0"/>
              <w:adjustRightInd/>
              <w:spacing w:line="460" w:lineRule="exact"/>
              <w:jc w:val="both"/>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常温温度下（</w:t>
            </w:r>
            <w:r>
              <w:rPr>
                <w:rFonts w:hint="eastAsia" w:ascii="宋体" w:hAnsi="宋体" w:cs="宋体"/>
                <w:color w:val="auto"/>
                <w:kern w:val="0"/>
                <w:sz w:val="22"/>
                <w:szCs w:val="22"/>
                <w:highlight w:val="none"/>
                <w:lang w:eastAsia="zh-CN"/>
              </w:rPr>
              <w:t>实验条件下</w:t>
            </w:r>
            <w:r>
              <w:rPr>
                <w:rFonts w:hint="eastAsia" w:ascii="宋体" w:hAnsi="宋体" w:eastAsia="宋体" w:cs="宋体"/>
                <w:color w:val="auto"/>
                <w:kern w:val="0"/>
                <w:sz w:val="22"/>
                <w:szCs w:val="22"/>
                <w:highlight w:val="none"/>
              </w:rPr>
              <w:t>），投加含</w:t>
            </w:r>
            <w:r>
              <w:rPr>
                <w:rFonts w:hint="eastAsia" w:cs="宋体"/>
                <w:color w:val="auto"/>
                <w:kern w:val="0"/>
                <w:sz w:val="22"/>
                <w:szCs w:val="22"/>
                <w:highlight w:val="none"/>
                <w:lang w:eastAsia="zh-CN"/>
              </w:rPr>
              <w:t>过硫酸氢钾（</w:t>
            </w:r>
            <w:r>
              <w:rPr>
                <w:rFonts w:hint="eastAsia" w:ascii="宋体" w:hAnsi="宋体" w:eastAsia="宋体" w:cs="宋体"/>
                <w:color w:val="auto"/>
                <w:kern w:val="0"/>
                <w:sz w:val="22"/>
                <w:szCs w:val="22"/>
                <w:highlight w:val="none"/>
              </w:rPr>
              <w:t>单过硫酸氢钾</w:t>
            </w:r>
            <w:r>
              <w:rPr>
                <w:rFonts w:hint="eastAsia" w:cs="宋体"/>
                <w:color w:val="auto"/>
                <w:kern w:val="0"/>
                <w:sz w:val="22"/>
                <w:szCs w:val="22"/>
                <w:highlight w:val="none"/>
                <w:lang w:eastAsia="zh-CN"/>
              </w:rPr>
              <w:t>、单一硫酸氢钾）</w:t>
            </w:r>
            <w:r>
              <w:rPr>
                <w:rFonts w:hint="eastAsia" w:ascii="宋体" w:hAnsi="宋体" w:eastAsia="宋体" w:cs="宋体"/>
                <w:color w:val="auto"/>
                <w:kern w:val="0"/>
                <w:sz w:val="22"/>
                <w:szCs w:val="22"/>
                <w:highlight w:val="none"/>
              </w:rPr>
              <w:t>复合盐产品200mg/L</w:t>
            </w:r>
            <w:r>
              <w:rPr>
                <w:rFonts w:hint="eastAsia" w:ascii="宋体" w:hAnsi="宋体" w:cs="宋体"/>
                <w:color w:val="auto"/>
                <w:kern w:val="0"/>
                <w:sz w:val="22"/>
                <w:szCs w:val="22"/>
                <w:highlight w:val="none"/>
                <w:lang w:val="en-US" w:eastAsia="zh-CN"/>
              </w:rPr>
              <w:t>-250</w:t>
            </w:r>
            <w:r>
              <w:rPr>
                <w:rFonts w:hint="eastAsia" w:ascii="宋体" w:hAnsi="宋体" w:eastAsia="宋体" w:cs="宋体"/>
                <w:color w:val="auto"/>
                <w:kern w:val="0"/>
                <w:sz w:val="22"/>
                <w:szCs w:val="22"/>
                <w:highlight w:val="none"/>
              </w:rPr>
              <w:t>mg/L消毒液作用20min对金黄色葡萄球菌、大肠杆菌杀灭对数值＞5.00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1.2.3</w:t>
            </w:r>
          </w:p>
        </w:tc>
        <w:tc>
          <w:tcPr>
            <w:tcW w:w="8752" w:type="dxa"/>
            <w:noWrap w:val="0"/>
            <w:vAlign w:val="center"/>
          </w:tcPr>
          <w:p>
            <w:pPr>
              <w:pageBreakBefore w:val="0"/>
              <w:widowControl/>
              <w:kinsoku/>
              <w:wordWrap/>
              <w:overflowPunct/>
              <w:topLinePunct w:val="0"/>
              <w:autoSpaceDE/>
              <w:autoSpaceDN/>
              <w:bidi w:val="0"/>
              <w:adjustRightInd/>
              <w:spacing w:line="460" w:lineRule="exact"/>
              <w:jc w:val="both"/>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常温温度下（</w:t>
            </w:r>
            <w:r>
              <w:rPr>
                <w:rFonts w:hint="eastAsia" w:ascii="宋体" w:hAnsi="宋体" w:cs="宋体"/>
                <w:color w:val="auto"/>
                <w:kern w:val="0"/>
                <w:sz w:val="22"/>
                <w:szCs w:val="22"/>
                <w:highlight w:val="none"/>
                <w:lang w:eastAsia="zh-CN"/>
              </w:rPr>
              <w:t>实验条件下</w:t>
            </w:r>
            <w:r>
              <w:rPr>
                <w:rFonts w:hint="eastAsia" w:ascii="宋体" w:hAnsi="宋体" w:eastAsia="宋体" w:cs="宋体"/>
                <w:color w:val="auto"/>
                <w:kern w:val="0"/>
                <w:sz w:val="22"/>
                <w:szCs w:val="22"/>
                <w:highlight w:val="none"/>
              </w:rPr>
              <w:t>），按5g/吨医疗废水投加产品消毒液作用120分钟后医院污水中粪大肠杆菌群数为0MPN/L，志贺氏菌和沙门氏菌不得检出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eastAsia" w:ascii="宋体" w:hAnsi="宋体" w:eastAsia="宋体" w:cs="宋体"/>
                <w:b/>
                <w:bCs/>
                <w:color w:val="auto"/>
                <w:kern w:val="0"/>
                <w:sz w:val="22"/>
                <w:szCs w:val="22"/>
                <w:highlight w:val="none"/>
                <w:u w:val="none"/>
              </w:rPr>
            </w:pPr>
            <w:r>
              <w:rPr>
                <w:rFonts w:hint="eastAsia" w:ascii="宋体" w:hAnsi="宋体" w:eastAsia="宋体" w:cs="宋体"/>
                <w:b/>
                <w:bCs/>
                <w:color w:val="auto"/>
                <w:kern w:val="0"/>
                <w:sz w:val="22"/>
                <w:szCs w:val="22"/>
                <w:highlight w:val="none"/>
                <w:u w:val="none"/>
              </w:rPr>
              <w:t>2</w:t>
            </w:r>
          </w:p>
        </w:tc>
        <w:tc>
          <w:tcPr>
            <w:tcW w:w="8752" w:type="dxa"/>
            <w:noWrap w:val="0"/>
            <w:vAlign w:val="center"/>
          </w:tcPr>
          <w:p>
            <w:pPr>
              <w:pageBreakBefore w:val="0"/>
              <w:widowControl/>
              <w:kinsoku/>
              <w:wordWrap/>
              <w:overflowPunct/>
              <w:topLinePunct w:val="0"/>
              <w:autoSpaceDE/>
              <w:autoSpaceDN/>
              <w:bidi w:val="0"/>
              <w:adjustRightInd/>
              <w:spacing w:line="460" w:lineRule="exact"/>
              <w:jc w:val="both"/>
              <w:textAlignment w:val="auto"/>
              <w:rPr>
                <w:rFonts w:hint="eastAsia" w:ascii="宋体" w:hAnsi="宋体" w:eastAsia="宋体" w:cs="宋体"/>
                <w:b/>
                <w:bCs/>
                <w:color w:val="auto"/>
                <w:kern w:val="0"/>
                <w:sz w:val="22"/>
                <w:szCs w:val="22"/>
                <w:highlight w:val="none"/>
                <w:u w:val="none"/>
              </w:rPr>
            </w:pPr>
            <w:r>
              <w:rPr>
                <w:rFonts w:hint="eastAsia" w:ascii="宋体" w:hAnsi="宋体" w:eastAsia="宋体" w:cs="宋体"/>
                <w:color w:val="auto"/>
                <w:kern w:val="0"/>
                <w:sz w:val="22"/>
                <w:szCs w:val="22"/>
                <w:highlight w:val="none"/>
              </w:rPr>
              <w:t>▲</w:t>
            </w:r>
            <w:r>
              <w:rPr>
                <w:rFonts w:hint="eastAsia" w:ascii="宋体" w:hAnsi="宋体" w:eastAsia="宋体" w:cs="宋体"/>
                <w:b/>
                <w:bCs/>
                <w:color w:val="auto"/>
                <w:kern w:val="0"/>
                <w:sz w:val="22"/>
                <w:szCs w:val="22"/>
                <w:highlight w:val="none"/>
                <w:u w:val="none"/>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eastAsia" w:ascii="宋体" w:hAnsi="宋体" w:eastAsia="宋体" w:cs="宋体"/>
                <w:color w:val="auto"/>
                <w:kern w:val="0"/>
                <w:sz w:val="22"/>
                <w:szCs w:val="22"/>
                <w:highlight w:val="none"/>
                <w:u w:val="single"/>
              </w:rPr>
            </w:pPr>
            <w:r>
              <w:rPr>
                <w:rFonts w:hint="eastAsia" w:ascii="宋体" w:hAnsi="宋体" w:eastAsia="宋体" w:cs="宋体"/>
                <w:color w:val="auto"/>
                <w:kern w:val="0"/>
                <w:sz w:val="22"/>
                <w:szCs w:val="22"/>
                <w:highlight w:val="none"/>
                <w:u w:val="none"/>
              </w:rPr>
              <w:t>2.1</w:t>
            </w:r>
          </w:p>
        </w:tc>
        <w:tc>
          <w:tcPr>
            <w:tcW w:w="8752" w:type="dxa"/>
            <w:noWrap w:val="0"/>
            <w:vAlign w:val="center"/>
          </w:tcPr>
          <w:p>
            <w:pPr>
              <w:pageBreakBefore w:val="0"/>
              <w:widowControl/>
              <w:kinsoku/>
              <w:wordWrap/>
              <w:overflowPunct/>
              <w:topLinePunct w:val="0"/>
              <w:autoSpaceDE/>
              <w:autoSpaceDN/>
              <w:bidi w:val="0"/>
              <w:adjustRightInd/>
              <w:spacing w:line="460" w:lineRule="exact"/>
              <w:jc w:val="both"/>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消毒粉产品及生产厂家必须在“全国消毒产品网上备案服务平台”网站上有备案，并可查询到（提供网上查询截图）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eastAsia" w:ascii="宋体" w:hAnsi="宋体" w:eastAsia="宋体" w:cs="宋体"/>
                <w:color w:val="auto"/>
                <w:kern w:val="0"/>
                <w:sz w:val="22"/>
                <w:szCs w:val="22"/>
                <w:highlight w:val="none"/>
                <w:u w:val="single"/>
              </w:rPr>
            </w:pPr>
            <w:r>
              <w:rPr>
                <w:rFonts w:hint="eastAsia" w:ascii="宋体" w:hAnsi="宋体" w:eastAsia="宋体" w:cs="宋体"/>
                <w:color w:val="auto"/>
                <w:kern w:val="0"/>
                <w:sz w:val="22"/>
                <w:szCs w:val="22"/>
                <w:highlight w:val="none"/>
                <w:u w:val="none"/>
              </w:rPr>
              <w:t>2.2</w:t>
            </w:r>
          </w:p>
        </w:tc>
        <w:tc>
          <w:tcPr>
            <w:tcW w:w="8752" w:type="dxa"/>
            <w:noWrap w:val="0"/>
            <w:vAlign w:val="center"/>
          </w:tcPr>
          <w:p>
            <w:pPr>
              <w:pageBreakBefore w:val="0"/>
              <w:kinsoku/>
              <w:wordWrap/>
              <w:overflowPunct/>
              <w:topLinePunct w:val="0"/>
              <w:autoSpaceDE/>
              <w:autoSpaceDN/>
              <w:bidi w:val="0"/>
              <w:adjustRightInd/>
              <w:spacing w:line="460" w:lineRule="exact"/>
              <w:textAlignment w:val="auto"/>
              <w:rPr>
                <w:rFonts w:hint="eastAsia" w:ascii="宋体" w:hAnsi="宋体" w:eastAsia="宋体" w:cs="宋体"/>
                <w:snapToGrid w:val="0"/>
                <w:color w:val="auto"/>
                <w:kern w:val="0"/>
                <w:sz w:val="22"/>
                <w:szCs w:val="22"/>
                <w:highlight w:val="none"/>
                <w:lang w:eastAsia="zh-CN"/>
              </w:rPr>
            </w:pPr>
            <w:r>
              <w:rPr>
                <w:rFonts w:hint="eastAsia" w:ascii="宋体" w:hAnsi="宋体" w:eastAsia="宋体" w:cs="宋体"/>
                <w:snapToGrid w:val="0"/>
                <w:color w:val="auto"/>
                <w:kern w:val="0"/>
                <w:sz w:val="22"/>
                <w:szCs w:val="22"/>
                <w:highlight w:val="none"/>
              </w:rPr>
              <w:t>需提供消毒产品卫生许可证，安全评价备案表，</w:t>
            </w:r>
            <w:r>
              <w:rPr>
                <w:rFonts w:hint="eastAsia" w:ascii="宋体" w:hAnsi="宋体" w:cs="宋体"/>
                <w:snapToGrid w:val="0"/>
                <w:color w:val="auto"/>
                <w:kern w:val="0"/>
                <w:sz w:val="22"/>
                <w:szCs w:val="22"/>
                <w:highlight w:val="none"/>
                <w:lang w:val="en-US" w:eastAsia="zh-CN"/>
              </w:rPr>
              <w:t>CMA认证的</w:t>
            </w:r>
            <w:r>
              <w:rPr>
                <w:rFonts w:hint="eastAsia" w:ascii="宋体" w:hAnsi="宋体" w:eastAsia="宋体" w:cs="宋体"/>
                <w:snapToGrid w:val="0"/>
                <w:color w:val="auto"/>
                <w:kern w:val="0"/>
                <w:sz w:val="22"/>
                <w:szCs w:val="22"/>
                <w:highlight w:val="none"/>
              </w:rPr>
              <w:t>产品检测报告</w:t>
            </w:r>
            <w:r>
              <w:rPr>
                <w:rFonts w:hint="eastAsia" w:ascii="宋体" w:hAnsi="宋体" w:cs="宋体"/>
                <w:snapToGrid w:val="0"/>
                <w:color w:val="auto"/>
                <w:kern w:val="0"/>
                <w:sz w:val="22"/>
                <w:szCs w:val="22"/>
                <w:highlight w:val="none"/>
                <w:lang w:eastAsia="zh-CN"/>
              </w:rPr>
              <w:t>，</w:t>
            </w:r>
            <w:r>
              <w:rPr>
                <w:rFonts w:hint="eastAsia" w:ascii="宋体" w:hAnsi="宋体" w:eastAsia="宋体" w:cs="宋体"/>
                <w:snapToGrid w:val="0"/>
                <w:color w:val="auto"/>
                <w:kern w:val="0"/>
                <w:sz w:val="22"/>
                <w:szCs w:val="22"/>
                <w:highlight w:val="none"/>
                <w:lang w:eastAsia="zh-CN"/>
              </w:rPr>
              <w:t>需</w:t>
            </w:r>
            <w:r>
              <w:rPr>
                <w:rFonts w:hint="eastAsia" w:ascii="宋体" w:hAnsi="宋体" w:eastAsia="宋体" w:cs="宋体"/>
                <w:snapToGrid w:val="0"/>
                <w:color w:val="auto"/>
                <w:kern w:val="0"/>
                <w:sz w:val="22"/>
                <w:szCs w:val="22"/>
                <w:highlight w:val="none"/>
              </w:rPr>
              <w:t>含</w:t>
            </w:r>
            <w:r>
              <w:rPr>
                <w:rFonts w:hint="eastAsia" w:ascii="宋体" w:hAnsi="宋体" w:eastAsia="宋体" w:cs="宋体"/>
                <w:color w:val="auto"/>
                <w:kern w:val="0"/>
                <w:sz w:val="22"/>
                <w:szCs w:val="22"/>
                <w:highlight w:val="none"/>
              </w:rPr>
              <w:t>消毒技术要求</w:t>
            </w:r>
            <w:r>
              <w:rPr>
                <w:rFonts w:hint="eastAsia" w:ascii="宋体" w:hAnsi="宋体" w:cs="宋体"/>
                <w:color w:val="auto"/>
                <w:kern w:val="0"/>
                <w:sz w:val="22"/>
                <w:szCs w:val="22"/>
                <w:highlight w:val="none"/>
                <w:lang w:eastAsia="zh-CN"/>
              </w:rPr>
              <w:t>技术指标。</w:t>
            </w:r>
          </w:p>
          <w:p>
            <w:pPr>
              <w:pageBreakBefore w:val="0"/>
              <w:kinsoku/>
              <w:wordWrap/>
              <w:overflowPunct/>
              <w:topLinePunct w:val="0"/>
              <w:autoSpaceDE/>
              <w:autoSpaceDN/>
              <w:bidi w:val="0"/>
              <w:adjustRightInd/>
              <w:spacing w:line="460" w:lineRule="exac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b/>
                <w:bCs/>
                <w:snapToGrid w:val="0"/>
                <w:color w:val="auto"/>
                <w:kern w:val="0"/>
                <w:sz w:val="22"/>
                <w:szCs w:val="22"/>
                <w:highlight w:val="none"/>
              </w:rPr>
              <w:t>所有成分检测项目必须为同一批次的消毒粉。以上检测报告缺一不可，根据</w:t>
            </w:r>
            <w:r>
              <w:rPr>
                <w:rFonts w:hint="eastAsia" w:ascii="宋体" w:hAnsi="宋体" w:eastAsia="宋体" w:cs="宋体"/>
                <w:b/>
                <w:bCs/>
                <w:color w:val="auto"/>
                <w:kern w:val="0"/>
                <w:sz w:val="22"/>
                <w:szCs w:val="22"/>
                <w:highlight w:val="none"/>
              </w:rPr>
              <w:t>WS628-2018消毒产品卫生安全评价技术</w:t>
            </w:r>
            <w:r>
              <w:rPr>
                <w:rFonts w:hint="eastAsia" w:ascii="宋体" w:hAnsi="宋体" w:eastAsia="宋体" w:cs="宋体"/>
                <w:b/>
                <w:bCs/>
                <w:snapToGrid w:val="0"/>
                <w:color w:val="auto"/>
                <w:kern w:val="0"/>
                <w:sz w:val="22"/>
                <w:szCs w:val="22"/>
                <w:highlight w:val="none"/>
              </w:rPr>
              <w:t>规范要求：缺少一项视为不合格产品</w:t>
            </w:r>
            <w:r>
              <w:rPr>
                <w:rFonts w:hint="eastAsia" w:ascii="宋体" w:hAnsi="宋体" w:eastAsia="宋体" w:cs="宋体"/>
                <w:b/>
                <w:bCs/>
                <w:snapToGrid w:val="0"/>
                <w:color w:val="auto"/>
                <w:kern w:val="0"/>
                <w:sz w:val="22"/>
                <w:szCs w:val="22"/>
                <w:highlight w:val="none"/>
                <w:lang w:eastAsia="zh-CN"/>
              </w:rPr>
              <w:t>，禁止参与本次采购活动，</w:t>
            </w:r>
            <w:r>
              <w:rPr>
                <w:rFonts w:hint="eastAsia" w:ascii="宋体" w:hAnsi="宋体" w:eastAsia="宋体" w:cs="宋体"/>
                <w:b/>
                <w:snapToGrid w:val="0"/>
                <w:color w:val="auto"/>
                <w:kern w:val="0"/>
                <w:sz w:val="22"/>
                <w:szCs w:val="22"/>
                <w:highlight w:val="none"/>
              </w:rPr>
              <w:t>须提供检测报告原件</w:t>
            </w:r>
            <w:r>
              <w:rPr>
                <w:rFonts w:hint="eastAsia" w:ascii="宋体" w:hAnsi="宋体" w:eastAsia="宋体" w:cs="宋体"/>
                <w:b/>
                <w:snapToGrid w:val="0"/>
                <w:color w:val="auto"/>
                <w:kern w:val="0"/>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2.3</w:t>
            </w:r>
          </w:p>
        </w:tc>
        <w:tc>
          <w:tcPr>
            <w:tcW w:w="8752" w:type="dxa"/>
            <w:noWrap w:val="0"/>
            <w:vAlign w:val="center"/>
          </w:tcPr>
          <w:p>
            <w:pPr>
              <w:pageBreakBefore w:val="0"/>
              <w:widowControl/>
              <w:kinsoku/>
              <w:wordWrap/>
              <w:overflowPunct/>
              <w:topLinePunct w:val="0"/>
              <w:autoSpaceDE/>
              <w:autoSpaceDN/>
              <w:bidi w:val="0"/>
              <w:adjustRightInd/>
              <w:spacing w:line="460" w:lineRule="exact"/>
              <w:jc w:val="both"/>
              <w:textAlignment w:val="auto"/>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产品说明书标签的内容需和招标技术要求相符（网上备案内容一致）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szCs w:val="22"/>
                <w:highlight w:val="none"/>
              </w:rPr>
              <w:t>2.4</w:t>
            </w:r>
          </w:p>
        </w:tc>
        <w:tc>
          <w:tcPr>
            <w:tcW w:w="8752" w:type="dxa"/>
            <w:noWrap w:val="0"/>
            <w:vAlign w:val="center"/>
          </w:tcPr>
          <w:p>
            <w:pPr>
              <w:pageBreakBefore w:val="0"/>
              <w:widowControl/>
              <w:kinsoku/>
              <w:wordWrap/>
              <w:overflowPunct/>
              <w:topLinePunct w:val="0"/>
              <w:autoSpaceDE/>
              <w:autoSpaceDN/>
              <w:bidi w:val="0"/>
              <w:adjustRightInd/>
              <w:spacing w:line="460" w:lineRule="exact"/>
              <w:jc w:val="both"/>
              <w:textAlignment w:val="auto"/>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szCs w:val="22"/>
                <w:highlight w:val="none"/>
              </w:rPr>
              <w:t>消毒粉需符合目前我单位在用的投药设备或在投标文件中明确兼容方案</w:t>
            </w:r>
            <w:r>
              <w:rPr>
                <w:rFonts w:hint="eastAsia" w:ascii="宋体" w:hAnsi="宋体" w:eastAsia="宋体" w:cs="宋体"/>
                <w:b/>
                <w:color w:val="auto"/>
                <w:sz w:val="22"/>
                <w:szCs w:val="22"/>
                <w:highlight w:val="none"/>
                <w:u w:val="single"/>
              </w:rPr>
              <w:t>（</w:t>
            </w:r>
            <w:r>
              <w:rPr>
                <w:rFonts w:hint="eastAsia" w:ascii="宋体" w:hAnsi="宋体" w:eastAsia="宋体" w:cs="宋体"/>
                <w:b/>
                <w:color w:val="auto"/>
                <w:sz w:val="22"/>
                <w:szCs w:val="22"/>
                <w:highlight w:val="none"/>
                <w:u w:val="single"/>
                <w:lang w:eastAsia="zh-CN"/>
              </w:rPr>
              <w:t>招标人在用投药设备为</w:t>
            </w:r>
            <w:r>
              <w:rPr>
                <w:rFonts w:hint="eastAsia" w:ascii="宋体" w:hAnsi="宋体" w:eastAsia="宋体" w:cs="宋体"/>
                <w:b/>
                <w:color w:val="auto"/>
                <w:sz w:val="22"/>
                <w:szCs w:val="22"/>
                <w:highlight w:val="none"/>
                <w:u w:val="single"/>
              </w:rPr>
              <w:t>温州护龙环保科技有限公司生产的污水处理自动投药设备）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szCs w:val="22"/>
                <w:highlight w:val="none"/>
                <w:lang w:val="en-US" w:eastAsia="zh-CN"/>
              </w:rPr>
              <w:t>2.5</w:t>
            </w:r>
          </w:p>
        </w:tc>
        <w:tc>
          <w:tcPr>
            <w:tcW w:w="8752" w:type="dxa"/>
            <w:noWrap w:val="0"/>
            <w:vAlign w:val="center"/>
          </w:tcPr>
          <w:p>
            <w:pPr>
              <w:pageBreakBefore w:val="0"/>
              <w:widowControl/>
              <w:kinsoku/>
              <w:wordWrap/>
              <w:overflowPunct/>
              <w:topLinePunct w:val="0"/>
              <w:autoSpaceDE/>
              <w:autoSpaceDN/>
              <w:bidi w:val="0"/>
              <w:adjustRightInd/>
              <w:spacing w:line="460" w:lineRule="exact"/>
              <w:jc w:val="both"/>
              <w:textAlignment w:val="auto"/>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szCs w:val="22"/>
                <w:highlight w:val="none"/>
              </w:rPr>
              <w:t>▲</w:t>
            </w:r>
            <w:r>
              <w:rPr>
                <w:rFonts w:hint="eastAsia" w:ascii="宋体" w:hAnsi="宋体" w:cs="宋体"/>
                <w:color w:val="auto"/>
                <w:kern w:val="0"/>
                <w:sz w:val="22"/>
                <w:szCs w:val="22"/>
                <w:highlight w:val="none"/>
                <w:lang w:val="en-US" w:eastAsia="zh-CN"/>
              </w:rPr>
              <w:t>预算金额300000元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szCs w:val="22"/>
                <w:highlight w:val="none"/>
                <w:lang w:val="en-US" w:eastAsia="zh-CN"/>
              </w:rPr>
              <w:t>2.6</w:t>
            </w:r>
          </w:p>
        </w:tc>
        <w:tc>
          <w:tcPr>
            <w:tcW w:w="8752" w:type="dxa"/>
            <w:noWrap w:val="0"/>
            <w:vAlign w:val="center"/>
          </w:tcPr>
          <w:p>
            <w:pPr>
              <w:pageBreakBefore w:val="0"/>
              <w:widowControl/>
              <w:kinsoku/>
              <w:wordWrap/>
              <w:overflowPunct/>
              <w:topLinePunct w:val="0"/>
              <w:autoSpaceDE/>
              <w:autoSpaceDN/>
              <w:bidi w:val="0"/>
              <w:adjustRightInd/>
              <w:spacing w:line="460" w:lineRule="exact"/>
              <w:jc w:val="both"/>
              <w:textAlignment w:val="auto"/>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sz w:val="22"/>
                <w:szCs w:val="22"/>
                <w:highlight w:val="none"/>
                <w:lang w:eastAsia="zh-CN"/>
              </w:rPr>
              <w:t>数量</w:t>
            </w:r>
            <w:r>
              <w:rPr>
                <w:rFonts w:hint="eastAsia" w:ascii="宋体" w:hAnsi="宋体" w:cs="宋体"/>
                <w:color w:val="auto"/>
                <w:sz w:val="22"/>
                <w:szCs w:val="22"/>
                <w:highlight w:val="none"/>
                <w:lang w:val="en-US" w:eastAsia="zh-CN"/>
              </w:rPr>
              <w:t>2080</w:t>
            </w:r>
            <w:r>
              <w:rPr>
                <w:rFonts w:hint="eastAsia" w:ascii="宋体" w:hAnsi="宋体" w:eastAsia="宋体" w:cs="宋体"/>
                <w:color w:val="auto"/>
                <w:sz w:val="22"/>
                <w:szCs w:val="22"/>
                <w:highlight w:val="none"/>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default" w:ascii="宋体" w:hAnsi="宋体" w:eastAsia="宋体" w:cs="宋体"/>
                <w:color w:val="FF0000"/>
                <w:kern w:val="0"/>
                <w:sz w:val="22"/>
                <w:szCs w:val="22"/>
                <w:highlight w:val="none"/>
                <w:lang w:val="en-US" w:eastAsia="zh-CN"/>
              </w:rPr>
            </w:pPr>
            <w:r>
              <w:rPr>
                <w:rFonts w:hint="eastAsia" w:ascii="宋体" w:hAnsi="宋体" w:cs="宋体"/>
                <w:color w:val="FF0000"/>
                <w:kern w:val="0"/>
                <w:sz w:val="22"/>
                <w:szCs w:val="22"/>
                <w:highlight w:val="none"/>
                <w:lang w:val="en-US" w:eastAsia="zh-CN"/>
              </w:rPr>
              <w:t>2.7</w:t>
            </w:r>
          </w:p>
        </w:tc>
        <w:tc>
          <w:tcPr>
            <w:tcW w:w="8752" w:type="dxa"/>
            <w:noWrap w:val="0"/>
            <w:vAlign w:val="center"/>
          </w:tcPr>
          <w:p>
            <w:pPr>
              <w:pageBreakBefore w:val="0"/>
              <w:widowControl/>
              <w:kinsoku/>
              <w:wordWrap/>
              <w:overflowPunct/>
              <w:topLinePunct w:val="0"/>
              <w:autoSpaceDE/>
              <w:autoSpaceDN/>
              <w:bidi w:val="0"/>
              <w:adjustRightInd/>
              <w:spacing w:line="460" w:lineRule="exact"/>
              <w:jc w:val="both"/>
              <w:textAlignment w:val="auto"/>
              <w:rPr>
                <w:rFonts w:hint="default" w:ascii="宋体" w:hAnsi="宋体" w:eastAsia="宋体" w:cs="宋体"/>
                <w:color w:val="FF0000"/>
                <w:sz w:val="22"/>
                <w:szCs w:val="22"/>
                <w:highlight w:val="none"/>
                <w:lang w:val="en-US" w:eastAsia="zh-CN"/>
              </w:rPr>
            </w:pPr>
            <w:r>
              <w:rPr>
                <w:rFonts w:hint="eastAsia" w:ascii="宋体" w:hAnsi="宋体" w:cs="宋体"/>
                <w:color w:val="FF0000"/>
                <w:sz w:val="22"/>
                <w:szCs w:val="22"/>
                <w:highlight w:val="none"/>
                <w:lang w:val="en-US" w:eastAsia="zh-CN"/>
              </w:rPr>
              <w:t>包装要求：为塑料瓶包装，每瓶净含量为1kg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szCs w:val="22"/>
                <w:highlight w:val="none"/>
                <w:lang w:val="en-US" w:eastAsia="zh-CN"/>
              </w:rPr>
              <w:t>2.</w:t>
            </w:r>
            <w:r>
              <w:rPr>
                <w:rFonts w:hint="eastAsia" w:ascii="宋体" w:hAnsi="宋体" w:cs="宋体"/>
                <w:color w:val="auto"/>
                <w:kern w:val="0"/>
                <w:sz w:val="22"/>
                <w:szCs w:val="22"/>
                <w:highlight w:val="none"/>
                <w:lang w:val="en-US" w:eastAsia="zh-CN"/>
              </w:rPr>
              <w:t>8</w:t>
            </w:r>
          </w:p>
        </w:tc>
        <w:tc>
          <w:tcPr>
            <w:tcW w:w="8752" w:type="dxa"/>
            <w:noWrap w:val="0"/>
            <w:vAlign w:val="center"/>
          </w:tcPr>
          <w:p>
            <w:pPr>
              <w:pageBreakBefore w:val="0"/>
              <w:widowControl/>
              <w:kinsoku/>
              <w:wordWrap/>
              <w:overflowPunct/>
              <w:topLinePunct w:val="0"/>
              <w:autoSpaceDE/>
              <w:autoSpaceDN/>
              <w:bidi w:val="0"/>
              <w:adjustRightInd/>
              <w:spacing w:line="460" w:lineRule="exact"/>
              <w:jc w:val="both"/>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lang w:eastAsia="zh-CN"/>
              </w:rPr>
              <w:t>交货期：</w:t>
            </w:r>
            <w:r>
              <w:rPr>
                <w:rFonts w:hint="eastAsia" w:ascii="宋体" w:hAnsi="宋体" w:eastAsia="宋体" w:cs="宋体"/>
                <w:color w:val="auto"/>
                <w:sz w:val="22"/>
                <w:szCs w:val="22"/>
                <w:highlight w:val="none"/>
              </w:rPr>
              <w:t>接到供货通知后24小时内保质保量完成产品的供货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2" w:type="dxa"/>
            <w:noWrap w:val="0"/>
            <w:vAlign w:val="center"/>
          </w:tcPr>
          <w:p>
            <w:pPr>
              <w:pageBreakBefore w:val="0"/>
              <w:widowControl/>
              <w:kinsoku/>
              <w:wordWrap/>
              <w:overflowPunct/>
              <w:topLinePunct w:val="0"/>
              <w:autoSpaceDE/>
              <w:autoSpaceDN/>
              <w:bidi w:val="0"/>
              <w:adjustRightInd/>
              <w:spacing w:line="460" w:lineRule="exact"/>
              <w:jc w:val="center"/>
              <w:textAlignment w:val="auto"/>
              <w:rPr>
                <w:rFonts w:hint="eastAsia" w:ascii="宋体" w:hAnsi="宋体" w:eastAsia="宋体" w:cs="宋体"/>
                <w:color w:val="auto"/>
                <w:kern w:val="0"/>
                <w:sz w:val="22"/>
                <w:szCs w:val="22"/>
                <w:highlight w:val="none"/>
                <w:lang w:val="en-US" w:eastAsia="zh-CN" w:bidi="ar-SA"/>
              </w:rPr>
            </w:pPr>
            <w:r>
              <w:rPr>
                <w:rFonts w:hint="eastAsia" w:ascii="宋体" w:hAnsi="宋体" w:cs="宋体"/>
                <w:color w:val="auto"/>
                <w:kern w:val="0"/>
                <w:sz w:val="22"/>
                <w:szCs w:val="22"/>
                <w:highlight w:val="none"/>
                <w:lang w:val="en-US" w:eastAsia="zh-CN"/>
              </w:rPr>
              <w:t>2.9</w:t>
            </w:r>
          </w:p>
        </w:tc>
        <w:tc>
          <w:tcPr>
            <w:tcW w:w="8752" w:type="dxa"/>
            <w:noWrap w:val="0"/>
            <w:vAlign w:val="center"/>
          </w:tcPr>
          <w:p>
            <w:pPr>
              <w:pageBreakBefore w:val="0"/>
              <w:widowControl/>
              <w:kinsoku/>
              <w:wordWrap/>
              <w:overflowPunct/>
              <w:topLinePunct w:val="0"/>
              <w:autoSpaceDE/>
              <w:autoSpaceDN/>
              <w:bidi w:val="0"/>
              <w:adjustRightInd/>
              <w:spacing w:line="460" w:lineRule="exact"/>
              <w:jc w:val="both"/>
              <w:textAlignment w:val="auto"/>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szCs w:val="22"/>
                <w:highlight w:val="none"/>
                <w:lang w:eastAsia="zh-CN"/>
              </w:rPr>
              <w:t>交货地点：</w:t>
            </w:r>
            <w:r>
              <w:rPr>
                <w:rFonts w:hint="eastAsia" w:ascii="宋体" w:hAnsi="宋体" w:eastAsia="宋体" w:cs="宋体"/>
                <w:color w:val="auto"/>
                <w:sz w:val="22"/>
                <w:szCs w:val="22"/>
                <w:highlight w:val="none"/>
              </w:rPr>
              <w:t>温州市中医院总务仓库或其他指定地点</w:t>
            </w:r>
          </w:p>
        </w:tc>
      </w:tr>
    </w:tbl>
    <w:p>
      <w:pPr>
        <w:pageBreakBefore w:val="0"/>
        <w:kinsoku/>
        <w:wordWrap/>
        <w:overflowPunct/>
        <w:topLinePunct w:val="0"/>
        <w:autoSpaceDE/>
        <w:autoSpaceDN/>
        <w:bidi w:val="0"/>
        <w:adjustRightInd/>
        <w:spacing w:line="460" w:lineRule="exact"/>
        <w:textAlignment w:val="auto"/>
        <w:rPr>
          <w:rFonts w:hint="eastAsia" w:ascii="宋体" w:hAnsi="宋体" w:cs="宋体"/>
          <w:b/>
          <w:color w:val="auto"/>
          <w:szCs w:val="21"/>
          <w:highlight w:val="none"/>
          <w:u w:val="single"/>
        </w:rPr>
      </w:pPr>
      <w:r>
        <w:rPr>
          <w:rFonts w:hint="eastAsia"/>
          <w:b/>
          <w:bCs/>
          <w:color w:val="auto"/>
          <w:sz w:val="22"/>
          <w:szCs w:val="28"/>
          <w:highlight w:val="none"/>
          <w:u w:val="single"/>
          <w:lang w:val="en-US" w:eastAsia="zh-CN"/>
        </w:rPr>
        <w:t>注：打</w:t>
      </w:r>
      <w:r>
        <w:rPr>
          <w:b/>
          <w:bCs/>
          <w:color w:val="auto"/>
          <w:kern w:val="0"/>
          <w:sz w:val="22"/>
          <w:szCs w:val="28"/>
          <w:highlight w:val="none"/>
          <w:u w:val="single"/>
        </w:rPr>
        <w:t>▲</w:t>
      </w:r>
      <w:r>
        <w:rPr>
          <w:rFonts w:hint="eastAsia"/>
          <w:b/>
          <w:bCs/>
          <w:color w:val="auto"/>
          <w:kern w:val="0"/>
          <w:sz w:val="22"/>
          <w:szCs w:val="28"/>
          <w:highlight w:val="none"/>
          <w:u w:val="single"/>
          <w:lang w:val="en-US" w:eastAsia="zh-CN"/>
        </w:rPr>
        <w:t>为不可偏离的要求。</w:t>
      </w:r>
    </w:p>
    <w:bookmarkEnd w:id="45"/>
    <w:p>
      <w:pPr>
        <w:keepNext w:val="0"/>
        <w:keepLines w:val="0"/>
        <w:pageBreakBefore w:val="0"/>
        <w:widowControl w:val="0"/>
        <w:kinsoku/>
        <w:wordWrap/>
        <w:overflowPunct/>
        <w:topLinePunct w:val="0"/>
        <w:autoSpaceDE/>
        <w:autoSpaceDN/>
        <w:bidi w:val="0"/>
        <w:adjustRightInd/>
        <w:snapToGrid w:val="0"/>
        <w:spacing w:line="460" w:lineRule="exact"/>
        <w:textAlignment w:val="auto"/>
        <w:outlineLvl w:val="1"/>
        <w:rPr>
          <w:rFonts w:hint="eastAsia" w:ascii="宋体" w:hAnsi="宋体" w:cs="宋体"/>
          <w:b/>
          <w:color w:val="auto"/>
          <w:sz w:val="22"/>
          <w:highlight w:val="none"/>
        </w:rPr>
      </w:pPr>
      <w:r>
        <w:rPr>
          <w:rFonts w:hint="eastAsia" w:ascii="宋体" w:hAnsi="宋体" w:cs="宋体"/>
          <w:b/>
          <w:color w:val="auto"/>
          <w:sz w:val="22"/>
          <w:highlight w:val="none"/>
        </w:rPr>
        <w:t>三、商务要求</w:t>
      </w:r>
    </w:p>
    <w:p>
      <w:pPr>
        <w:pageBreakBefore w:val="0"/>
        <w:kinsoku/>
        <w:wordWrap/>
        <w:overflowPunct/>
        <w:topLinePunct w:val="0"/>
        <w:autoSpaceDE/>
        <w:autoSpaceDN/>
        <w:bidi w:val="0"/>
        <w:adjustRightInd/>
        <w:snapToGrid w:val="0"/>
        <w:spacing w:line="4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中标人在合同签订后三天内向采购人支付合同金额的2%作为履约保证金，履约保证金在合同履行结束后无息退还。</w:t>
      </w:r>
    </w:p>
    <w:p>
      <w:pPr>
        <w:pageBreakBefore w:val="0"/>
        <w:kinsoku/>
        <w:wordWrap/>
        <w:overflowPunct/>
        <w:topLinePunct w:val="0"/>
        <w:autoSpaceDE/>
        <w:autoSpaceDN/>
        <w:bidi w:val="0"/>
        <w:adjustRightInd/>
        <w:snapToGrid w:val="0"/>
        <w:spacing w:line="460" w:lineRule="exact"/>
        <w:ind w:firstLine="442" w:firstLineChars="200"/>
        <w:textAlignment w:val="auto"/>
        <w:rPr>
          <w:rFonts w:hint="eastAsia" w:ascii="宋体" w:hAnsi="宋体" w:eastAsia="宋体" w:cs="宋体"/>
          <w:b/>
          <w:color w:val="auto"/>
          <w:sz w:val="22"/>
          <w:szCs w:val="22"/>
          <w:highlight w:val="none"/>
          <w:u w:val="none"/>
        </w:rPr>
      </w:pPr>
      <w:r>
        <w:rPr>
          <w:rFonts w:hint="eastAsia" w:ascii="宋体" w:hAnsi="宋体" w:eastAsia="宋体" w:cs="宋体"/>
          <w:b/>
          <w:color w:val="auto"/>
          <w:sz w:val="22"/>
          <w:szCs w:val="22"/>
          <w:highlight w:val="none"/>
          <w:u w:val="none"/>
        </w:rPr>
        <w:t>2</w:t>
      </w:r>
      <w:r>
        <w:rPr>
          <w:rFonts w:hint="eastAsia" w:ascii="宋体" w:hAnsi="宋体" w:eastAsia="宋体" w:cs="宋体"/>
          <w:b/>
          <w:color w:val="auto"/>
          <w:sz w:val="22"/>
          <w:szCs w:val="22"/>
          <w:highlight w:val="none"/>
          <w:u w:val="none"/>
          <w:lang w:eastAsia="zh-CN"/>
        </w:rPr>
        <w:t>、</w:t>
      </w:r>
      <w:r>
        <w:rPr>
          <w:rFonts w:hint="eastAsia" w:ascii="宋体" w:hAnsi="宋体" w:eastAsia="宋体" w:cs="宋体"/>
          <w:b/>
          <w:color w:val="auto"/>
          <w:sz w:val="22"/>
          <w:szCs w:val="22"/>
          <w:highlight w:val="none"/>
          <w:u w:val="none"/>
        </w:rPr>
        <w:t>▲中标人在履行服务合同后，招标人将以实际供货量进行合同结算，投标人在投标文件分项报价表中所报综合单价作为本次招标最终结算依据，按照实际完成工作量乘以综合单价算出项目结算。</w:t>
      </w:r>
    </w:p>
    <w:p>
      <w:pPr>
        <w:pageBreakBefore w:val="0"/>
        <w:kinsoku/>
        <w:wordWrap/>
        <w:overflowPunct/>
        <w:topLinePunct w:val="0"/>
        <w:autoSpaceDE/>
        <w:autoSpaceDN/>
        <w:bidi w:val="0"/>
        <w:adjustRightInd/>
        <w:snapToGrid w:val="0"/>
        <w:spacing w:line="460" w:lineRule="exact"/>
        <w:ind w:firstLine="442" w:firstLineChars="200"/>
        <w:textAlignment w:val="auto"/>
        <w:rPr>
          <w:rFonts w:hint="eastAsia" w:ascii="宋体" w:hAnsi="宋体" w:eastAsia="宋体" w:cs="宋体"/>
          <w:b/>
          <w:color w:val="auto"/>
          <w:sz w:val="22"/>
          <w:szCs w:val="22"/>
          <w:highlight w:val="none"/>
          <w:u w:val="none"/>
        </w:rPr>
      </w:pPr>
      <w:r>
        <w:rPr>
          <w:rFonts w:hint="eastAsia" w:ascii="宋体" w:hAnsi="宋体" w:eastAsia="宋体" w:cs="宋体"/>
          <w:b/>
          <w:color w:val="auto"/>
          <w:sz w:val="22"/>
          <w:szCs w:val="22"/>
          <w:highlight w:val="none"/>
          <w:u w:val="none"/>
        </w:rPr>
        <w:t>3</w:t>
      </w:r>
      <w:r>
        <w:rPr>
          <w:rFonts w:hint="eastAsia" w:ascii="宋体" w:hAnsi="宋体" w:eastAsia="宋体" w:cs="宋体"/>
          <w:b/>
          <w:color w:val="auto"/>
          <w:sz w:val="22"/>
          <w:szCs w:val="22"/>
          <w:highlight w:val="none"/>
          <w:u w:val="none"/>
          <w:lang w:eastAsia="zh-CN"/>
        </w:rPr>
        <w:t>、</w:t>
      </w:r>
      <w:r>
        <w:rPr>
          <w:rFonts w:hint="eastAsia" w:ascii="宋体" w:hAnsi="宋体" w:eastAsia="宋体" w:cs="宋体"/>
          <w:b/>
          <w:color w:val="auto"/>
          <w:sz w:val="22"/>
          <w:szCs w:val="22"/>
          <w:highlight w:val="none"/>
          <w:u w:val="none"/>
        </w:rPr>
        <w:t>▲本项目为每月分批次供货招标人向中标人下达供货通知后（接到招标人供货通知后24小时内保质保量完成产品的供货)，中标人按要求将货物运送至招标人指定地点，并与招标人完成交接。运输由中标人负责，并承担相应的成本及风险。</w:t>
      </w:r>
    </w:p>
    <w:p>
      <w:pPr>
        <w:pageBreakBefore w:val="0"/>
        <w:kinsoku/>
        <w:wordWrap/>
        <w:overflowPunct/>
        <w:topLinePunct w:val="0"/>
        <w:autoSpaceDE/>
        <w:autoSpaceDN/>
        <w:bidi w:val="0"/>
        <w:adjustRightInd/>
        <w:snapToGrid w:val="0"/>
        <w:spacing w:line="4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期限：自合同生效之日起一年（12个月）</w:t>
      </w:r>
    </w:p>
    <w:p>
      <w:pPr>
        <w:pageBreakBefore w:val="0"/>
        <w:kinsoku/>
        <w:wordWrap/>
        <w:overflowPunct/>
        <w:topLinePunct w:val="0"/>
        <w:autoSpaceDE/>
        <w:autoSpaceDN/>
        <w:bidi w:val="0"/>
        <w:adjustRightInd/>
        <w:snapToGrid w:val="0"/>
        <w:spacing w:line="4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报价要求：</w:t>
      </w:r>
    </w:p>
    <w:p>
      <w:pPr>
        <w:pageBreakBefore w:val="0"/>
        <w:kinsoku/>
        <w:wordWrap/>
        <w:overflowPunct/>
        <w:topLinePunct w:val="0"/>
        <w:autoSpaceDE/>
        <w:autoSpaceDN/>
        <w:bidi w:val="0"/>
        <w:adjustRightInd/>
        <w:snapToGrid w:val="0"/>
        <w:spacing w:line="4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本次报价方式报总价，提供分项价格。单价中应包含材料费、辅助材料费、制造、购置费、运输费、售后服务、质检费、验收费、税金和其它费用等。总价=货物综合单价*货物数量。</w:t>
      </w:r>
    </w:p>
    <w:p>
      <w:pPr>
        <w:pageBreakBefore w:val="0"/>
        <w:kinsoku/>
        <w:wordWrap/>
        <w:overflowPunct/>
        <w:topLinePunct w:val="0"/>
        <w:autoSpaceDE/>
        <w:autoSpaceDN/>
        <w:bidi w:val="0"/>
        <w:adjustRightInd/>
        <w:snapToGrid w:val="0"/>
        <w:spacing w:line="460" w:lineRule="exact"/>
        <w:ind w:firstLine="442" w:firstLineChars="200"/>
        <w:textAlignment w:val="auto"/>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u w:val="single"/>
        </w:rPr>
        <w:t>▲如合同期内采购金额达到预算金额时，即视为合同完全履行完毕。双方的合同将自动终止。</w:t>
      </w:r>
    </w:p>
    <w:p>
      <w:pPr>
        <w:pageBreakBefore w:val="0"/>
        <w:kinsoku/>
        <w:wordWrap/>
        <w:overflowPunct/>
        <w:topLinePunct w:val="0"/>
        <w:autoSpaceDE/>
        <w:autoSpaceDN/>
        <w:bidi w:val="0"/>
        <w:adjustRightInd/>
        <w:snapToGrid w:val="0"/>
        <w:spacing w:line="460" w:lineRule="exact"/>
        <w:ind w:firstLine="440" w:firstLineChars="200"/>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6</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若投标人提供的货物与招标文件规定的不符，并存在以次充好的情况，其情节严重的招标人有权直接终止合同并追究投标人造成的损失及乙方责任。</w:t>
      </w:r>
    </w:p>
    <w:p>
      <w:pPr>
        <w:pageBreakBefore w:val="0"/>
        <w:kinsoku/>
        <w:wordWrap/>
        <w:overflowPunct/>
        <w:topLinePunct w:val="0"/>
        <w:autoSpaceDE/>
        <w:autoSpaceDN/>
        <w:bidi w:val="0"/>
        <w:adjustRightInd/>
        <w:snapToGrid w:val="0"/>
        <w:spacing w:line="460" w:lineRule="exact"/>
        <w:ind w:firstLine="440" w:firstLineChars="200"/>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7</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每批次供货均须提供出厂检验报告或其他质量证明文件。产品的各项要求必须符合国家现行最新的且已实施的相关标准和规范。</w:t>
      </w:r>
    </w:p>
    <w:p>
      <w:pPr>
        <w:pageBreakBefore w:val="0"/>
        <w:kinsoku/>
        <w:wordWrap/>
        <w:overflowPunct/>
        <w:topLinePunct w:val="0"/>
        <w:autoSpaceDE/>
        <w:autoSpaceDN/>
        <w:bidi w:val="0"/>
        <w:adjustRightInd/>
        <w:snapToGrid w:val="0"/>
        <w:spacing w:line="460" w:lineRule="exact"/>
        <w:ind w:firstLine="440" w:firstLineChars="200"/>
        <w:textAlignment w:val="auto"/>
        <w:rPr>
          <w:rFonts w:hint="eastAsia" w:ascii="宋体" w:hAnsi="宋体" w:eastAsia="宋体" w:cs="宋体"/>
          <w:bCs/>
          <w:color w:val="auto"/>
          <w:kern w:val="0"/>
          <w:sz w:val="22"/>
          <w:szCs w:val="22"/>
          <w:highlight w:val="none"/>
        </w:rPr>
      </w:pPr>
      <w:r>
        <w:rPr>
          <w:rFonts w:hint="eastAsia" w:ascii="宋体" w:hAnsi="宋体" w:eastAsia="宋体" w:cs="宋体"/>
          <w:color w:val="auto"/>
          <w:kern w:val="0"/>
          <w:sz w:val="22"/>
          <w:szCs w:val="22"/>
          <w:highlight w:val="none"/>
        </w:rPr>
        <w:t>8</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中标人必须按有关规定和要求组织本次响应产品的生产、供货、运输、仓储、保管、配合验收、技术服务及售后服务，合同实施过程中的各种意外，其责任由中标供应商承担，招标人不承担任何责任。</w:t>
      </w:r>
    </w:p>
    <w:p>
      <w:pPr>
        <w:pageBreakBefore w:val="0"/>
        <w:kinsoku/>
        <w:wordWrap/>
        <w:overflowPunct/>
        <w:topLinePunct w:val="0"/>
        <w:autoSpaceDE/>
        <w:autoSpaceDN/>
        <w:bidi w:val="0"/>
        <w:adjustRightInd/>
        <w:snapToGrid w:val="0"/>
        <w:spacing w:line="460" w:lineRule="exact"/>
        <w:ind w:firstLine="440" w:firstLineChars="200"/>
        <w:textAlignment w:val="auto"/>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9</w:t>
      </w:r>
      <w:r>
        <w:rPr>
          <w:rFonts w:hint="eastAsia" w:ascii="宋体" w:hAnsi="宋体" w:eastAsia="宋体" w:cs="宋体"/>
          <w:b w:val="0"/>
          <w:bCs/>
          <w:color w:val="auto"/>
          <w:kern w:val="0"/>
          <w:sz w:val="22"/>
          <w:szCs w:val="22"/>
          <w:highlight w:val="none"/>
          <w:lang w:eastAsia="zh-CN"/>
        </w:rPr>
        <w:t>、</w:t>
      </w:r>
      <w:r>
        <w:rPr>
          <w:rFonts w:hint="eastAsia" w:ascii="宋体" w:hAnsi="宋体" w:eastAsia="宋体" w:cs="宋体"/>
          <w:b w:val="0"/>
          <w:bCs/>
          <w:color w:val="auto"/>
          <w:kern w:val="0"/>
          <w:sz w:val="22"/>
          <w:szCs w:val="22"/>
          <w:highlight w:val="none"/>
        </w:rPr>
        <w:t>售后服务：</w:t>
      </w:r>
    </w:p>
    <w:p>
      <w:pPr>
        <w:pageBreakBefore w:val="0"/>
        <w:kinsoku/>
        <w:wordWrap/>
        <w:overflowPunct/>
        <w:topLinePunct w:val="0"/>
        <w:autoSpaceDE/>
        <w:autoSpaceDN/>
        <w:bidi w:val="0"/>
        <w:adjustRightInd/>
        <w:snapToGrid w:val="0"/>
        <w:spacing w:line="460" w:lineRule="exact"/>
        <w:ind w:firstLine="440" w:firstLineChars="200"/>
        <w:textAlignment w:val="auto"/>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需请有检测资质的第三方机构，为我院六虹桥、景山、水心三院区污水处理各做2次污水处理检测，每次检测提供检测报告，检测报告结论应符合综合医院污水排放标准，据此作为消毒粉的验收依据之一，费用由投标人承担。</w:t>
      </w:r>
    </w:p>
    <w:p>
      <w:pPr>
        <w:pageBreakBefore w:val="0"/>
        <w:kinsoku/>
        <w:wordWrap/>
        <w:overflowPunct/>
        <w:topLinePunct w:val="0"/>
        <w:autoSpaceDE/>
        <w:autoSpaceDN/>
        <w:bidi w:val="0"/>
        <w:adjustRightInd/>
        <w:snapToGrid w:val="0"/>
        <w:spacing w:line="460" w:lineRule="exact"/>
        <w:ind w:firstLine="440" w:firstLineChars="200"/>
        <w:textAlignment w:val="auto"/>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10</w:t>
      </w:r>
      <w:r>
        <w:rPr>
          <w:rFonts w:hint="eastAsia" w:ascii="宋体" w:hAnsi="宋体" w:eastAsia="宋体" w:cs="宋体"/>
          <w:b w:val="0"/>
          <w:bCs/>
          <w:color w:val="auto"/>
          <w:kern w:val="0"/>
          <w:sz w:val="22"/>
          <w:szCs w:val="22"/>
          <w:highlight w:val="none"/>
          <w:lang w:eastAsia="zh-CN"/>
        </w:rPr>
        <w:t>、</w:t>
      </w:r>
      <w:r>
        <w:rPr>
          <w:rFonts w:hint="eastAsia" w:ascii="宋体" w:hAnsi="宋体" w:eastAsia="宋体" w:cs="宋体"/>
          <w:b w:val="0"/>
          <w:bCs/>
          <w:color w:val="auto"/>
          <w:kern w:val="0"/>
          <w:sz w:val="22"/>
          <w:szCs w:val="22"/>
          <w:highlight w:val="none"/>
        </w:rPr>
        <w:t>验收</w:t>
      </w:r>
    </w:p>
    <w:p>
      <w:pPr>
        <w:pageBreakBefore w:val="0"/>
        <w:kinsoku/>
        <w:wordWrap/>
        <w:overflowPunct/>
        <w:topLinePunct w:val="0"/>
        <w:autoSpaceDE/>
        <w:autoSpaceDN/>
        <w:bidi w:val="0"/>
        <w:adjustRightInd/>
        <w:snapToGrid w:val="0"/>
        <w:spacing w:line="460" w:lineRule="exact"/>
        <w:ind w:firstLine="440" w:firstLineChars="200"/>
        <w:textAlignment w:val="auto"/>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10.1招标人如有必要可以随机对提供的货物进行实样抽检，指定第三方检测机构进行检测，并提供检测报告，检测费用由中标人承担，检测不合格视为验收不合格。验收中发现货物达不到验收标准或合同规定的性能指标，中标人必须无条件的重新生产满足本次采购需求的货物，并且承担由此给</w:t>
      </w:r>
      <w:r>
        <w:rPr>
          <w:rFonts w:hint="eastAsia" w:ascii="宋体" w:hAnsi="宋体" w:eastAsia="宋体" w:cs="宋体"/>
          <w:b w:val="0"/>
          <w:bCs/>
          <w:color w:val="auto"/>
          <w:kern w:val="0"/>
          <w:sz w:val="22"/>
          <w:szCs w:val="22"/>
          <w:highlight w:val="none"/>
          <w:lang w:eastAsia="zh-CN"/>
        </w:rPr>
        <w:t>采购人</w:t>
      </w:r>
      <w:r>
        <w:rPr>
          <w:rFonts w:hint="eastAsia" w:ascii="宋体" w:hAnsi="宋体" w:eastAsia="宋体" w:cs="宋体"/>
          <w:b w:val="0"/>
          <w:bCs/>
          <w:color w:val="auto"/>
          <w:kern w:val="0"/>
          <w:sz w:val="22"/>
          <w:szCs w:val="22"/>
          <w:highlight w:val="none"/>
        </w:rPr>
        <w:t>造成的损失。</w:t>
      </w:r>
    </w:p>
    <w:p>
      <w:pPr>
        <w:pageBreakBefore w:val="0"/>
        <w:kinsoku/>
        <w:wordWrap/>
        <w:overflowPunct/>
        <w:topLinePunct w:val="0"/>
        <w:autoSpaceDE/>
        <w:autoSpaceDN/>
        <w:bidi w:val="0"/>
        <w:adjustRightInd/>
        <w:snapToGrid w:val="0"/>
        <w:spacing w:line="460" w:lineRule="exact"/>
        <w:ind w:firstLine="440" w:firstLineChars="200"/>
        <w:textAlignment w:val="auto"/>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10.2验收费用由产品中标人负担。</w:t>
      </w:r>
    </w:p>
    <w:p>
      <w:pPr>
        <w:keepNext/>
        <w:keepLines/>
        <w:pageBreakBefore w:val="0"/>
        <w:kinsoku/>
        <w:wordWrap/>
        <w:overflowPunct/>
        <w:topLinePunct w:val="0"/>
        <w:autoSpaceDE/>
        <w:autoSpaceDN/>
        <w:bidi w:val="0"/>
        <w:adjustRightInd/>
        <w:spacing w:line="460" w:lineRule="exact"/>
        <w:ind w:firstLine="440" w:firstLineChars="200"/>
        <w:textAlignment w:val="auto"/>
        <w:rPr>
          <w:rFonts w:ascii="宋体" w:hAnsi="宋体" w:cs="宋体"/>
          <w:b w:val="0"/>
          <w:bCs/>
          <w:color w:val="auto"/>
          <w:highlight w:val="none"/>
        </w:rPr>
      </w:pPr>
      <w:r>
        <w:rPr>
          <w:rFonts w:hint="eastAsia" w:ascii="宋体" w:hAnsi="宋体" w:eastAsia="宋体" w:cs="宋体"/>
          <w:b w:val="0"/>
          <w:bCs/>
          <w:color w:val="auto"/>
          <w:kern w:val="0"/>
          <w:sz w:val="22"/>
          <w:szCs w:val="22"/>
          <w:highlight w:val="none"/>
        </w:rPr>
        <w:t>11</w:t>
      </w:r>
      <w:r>
        <w:rPr>
          <w:rFonts w:hint="eastAsia" w:ascii="宋体" w:hAnsi="宋体" w:eastAsia="宋体" w:cs="宋体"/>
          <w:b w:val="0"/>
          <w:bCs/>
          <w:color w:val="auto"/>
          <w:kern w:val="0"/>
          <w:sz w:val="22"/>
          <w:szCs w:val="22"/>
          <w:highlight w:val="none"/>
          <w:lang w:eastAsia="zh-CN"/>
        </w:rPr>
        <w:t>、</w:t>
      </w:r>
      <w:r>
        <w:rPr>
          <w:rFonts w:hint="eastAsia" w:ascii="宋体" w:hAnsi="宋体" w:eastAsia="宋体" w:cs="宋体"/>
          <w:b w:val="0"/>
          <w:bCs/>
          <w:color w:val="auto"/>
          <w:kern w:val="0"/>
          <w:sz w:val="22"/>
          <w:szCs w:val="22"/>
          <w:highlight w:val="none"/>
        </w:rPr>
        <w:t>中标供应商须提供加盖供应商公章的消毒剂成分中不含温州市公安局规定的易制毒成分承诺函原件。</w:t>
      </w:r>
    </w:p>
    <w:p>
      <w:pPr>
        <w:pStyle w:val="64"/>
        <w:numPr>
          <w:ilvl w:val="0"/>
          <w:numId w:val="0"/>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bidi w:val="0"/>
        <w:rPr>
          <w:rFonts w:hint="eastAsia" w:ascii="宋体" w:hAnsi="宋体" w:eastAsia="宋体" w:cs="宋体"/>
          <w:color w:val="auto"/>
          <w:highlight w:val="none"/>
        </w:rPr>
      </w:pPr>
      <w:r>
        <w:rPr>
          <w:rFonts w:hint="eastAsia" w:ascii="宋体" w:hAnsi="宋体" w:eastAsia="宋体" w:cs="宋体"/>
          <w:color w:val="auto"/>
          <w:highlight w:val="none"/>
        </w:rPr>
        <w:t>第五部分   评标原则及方法</w:t>
      </w:r>
      <w:bookmarkEnd w:id="46"/>
      <w:bookmarkEnd w:id="47"/>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根据《中华人民共和国政府采购法》、《政府采购货物和服务招标投标管理办法》、《中华人民共和国政府采购法实施条例》和《关于进一步规范政府采购活动的若干意见》等相关法规特制定以下评标办法。</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48" w:name="_Toc15713"/>
      <w:bookmarkStart w:id="49" w:name="_Toc4407"/>
      <w:r>
        <w:rPr>
          <w:rFonts w:hint="eastAsia" w:ascii="宋体" w:hAnsi="宋体" w:eastAsia="宋体" w:cs="宋体"/>
          <w:b/>
          <w:color w:val="auto"/>
          <w:sz w:val="22"/>
          <w:szCs w:val="22"/>
          <w:highlight w:val="none"/>
        </w:rPr>
        <w:t>一、总 则</w:t>
      </w:r>
      <w:bookmarkEnd w:id="48"/>
      <w:bookmarkEnd w:id="49"/>
    </w:p>
    <w:p>
      <w:pPr>
        <w:spacing w:line="460" w:lineRule="exact"/>
        <w:ind w:firstLine="539" w:firstLineChars="245"/>
        <w:rPr>
          <w:rFonts w:hint="eastAsia" w:ascii="宋体" w:hAnsi="宋体" w:eastAsia="宋体" w:cs="宋体"/>
          <w:b/>
          <w:color w:val="auto"/>
          <w:sz w:val="22"/>
          <w:highlight w:val="none"/>
        </w:rPr>
      </w:pPr>
      <w:r>
        <w:rPr>
          <w:rFonts w:hint="eastAsia" w:ascii="宋体" w:hAnsi="宋体" w:eastAsia="宋体" w:cs="宋体"/>
          <w:color w:val="auto"/>
          <w:sz w:val="22"/>
          <w:szCs w:val="22"/>
          <w:highlight w:val="none"/>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50" w:name="_Toc24468"/>
      <w:bookmarkStart w:id="51" w:name="_Toc23152"/>
      <w:r>
        <w:rPr>
          <w:rFonts w:hint="eastAsia" w:ascii="宋体" w:hAnsi="宋体" w:eastAsia="宋体" w:cs="宋体"/>
          <w:b/>
          <w:color w:val="auto"/>
          <w:sz w:val="22"/>
          <w:szCs w:val="22"/>
          <w:highlight w:val="none"/>
        </w:rPr>
        <w:t>二、评标组织</w:t>
      </w:r>
      <w:bookmarkEnd w:id="50"/>
      <w:bookmarkEnd w:id="51"/>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评标工作由招标人组建的评标委员会负责，评标全过程由有关部门指导监督。</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52" w:name="_Toc67"/>
      <w:bookmarkStart w:id="53" w:name="_Toc15153"/>
      <w:r>
        <w:rPr>
          <w:rFonts w:hint="eastAsia" w:ascii="宋体" w:hAnsi="宋体" w:eastAsia="宋体" w:cs="宋体"/>
          <w:b/>
          <w:color w:val="auto"/>
          <w:sz w:val="22"/>
          <w:szCs w:val="22"/>
          <w:highlight w:val="none"/>
        </w:rPr>
        <w:t>三、评标程序</w:t>
      </w:r>
      <w:bookmarkEnd w:id="52"/>
      <w:bookmarkEnd w:id="53"/>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1、评标委员按照招标文件中规定的评标方法和标准，对投标文件进行商务和技术评估，综合比较与评价</w:t>
      </w:r>
      <w:r>
        <w:rPr>
          <w:rFonts w:hint="eastAsia" w:ascii="宋体" w:hAnsi="宋体" w:eastAsia="宋体" w:cs="宋体"/>
          <w:color w:val="auto"/>
          <w:sz w:val="22"/>
          <w:szCs w:val="22"/>
          <w:highlight w:val="none"/>
        </w:rPr>
        <w:t>，根据综合评审结果，提交评审报告。</w:t>
      </w:r>
    </w:p>
    <w:p>
      <w:pPr>
        <w:spacing w:line="460" w:lineRule="exact"/>
        <w:ind w:firstLine="539" w:firstLineChars="245"/>
        <w:rPr>
          <w:rFonts w:hint="eastAsia" w:ascii="宋体" w:hAnsi="宋体" w:eastAsia="宋体" w:cs="宋体"/>
          <w:b w:val="0"/>
          <w:bCs w:val="0"/>
          <w:color w:val="auto"/>
          <w:sz w:val="22"/>
          <w:szCs w:val="22"/>
          <w:highlight w:val="none"/>
          <w:u w:val="none"/>
        </w:rPr>
      </w:pPr>
      <w:r>
        <w:rPr>
          <w:rFonts w:hint="eastAsia" w:ascii="宋体" w:hAnsi="宋体" w:eastAsia="宋体" w:cs="宋体"/>
          <w:b w:val="0"/>
          <w:bCs w:val="0"/>
          <w:color w:val="auto"/>
          <w:sz w:val="22"/>
          <w:szCs w:val="22"/>
          <w:highlight w:val="none"/>
          <w:u w:val="none"/>
        </w:rPr>
        <w:t>2、提供相同品牌产品且通过资格审查、符合性审查的不同投标人参加同一合同项下投标的,按一家投标人计算,评审后综合得分最高的同品牌投标人获得中标人推荐资格；综合得分相同的,报价最低一家供应商获得中标人推荐资格；均相同时采取随机抽取方式确认一个投标人获得中标人推荐资格,其他同品牌投标人不作为中标候选人。</w:t>
      </w:r>
    </w:p>
    <w:p>
      <w:pPr>
        <w:spacing w:line="460" w:lineRule="exact"/>
        <w:ind w:firstLine="539" w:firstLineChars="245"/>
        <w:rPr>
          <w:rFonts w:hint="eastAsia" w:ascii="宋体" w:hAnsi="宋体" w:eastAsia="宋体" w:cs="宋体"/>
          <w:b w:val="0"/>
          <w:bCs w:val="0"/>
          <w:color w:val="auto"/>
          <w:sz w:val="22"/>
          <w:szCs w:val="22"/>
          <w:highlight w:val="none"/>
          <w:u w:val="none"/>
        </w:rPr>
      </w:pPr>
      <w:r>
        <w:rPr>
          <w:rFonts w:hint="eastAsia" w:ascii="宋体" w:hAnsi="宋体" w:eastAsia="宋体" w:cs="宋体"/>
          <w:b w:val="0"/>
          <w:bCs w:val="0"/>
          <w:color w:val="auto"/>
          <w:sz w:val="22"/>
          <w:szCs w:val="22"/>
          <w:highlight w:val="none"/>
          <w:u w:val="none"/>
        </w:rPr>
        <w:t>非单一产品采购项目，应当根据采购项目技术构成、产品价格比重等合理确定核心产品。多家投标人提供的核心产品品牌相同的，按前款规定处理。</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54" w:name="_Toc11306"/>
      <w:bookmarkStart w:id="55" w:name="_Toc24825"/>
      <w:r>
        <w:rPr>
          <w:rFonts w:hint="eastAsia" w:ascii="宋体" w:hAnsi="宋体" w:eastAsia="宋体" w:cs="宋体"/>
          <w:b/>
          <w:color w:val="auto"/>
          <w:sz w:val="22"/>
          <w:szCs w:val="22"/>
          <w:highlight w:val="none"/>
        </w:rPr>
        <w:t>四、评标办法</w:t>
      </w:r>
      <w:bookmarkEnd w:id="54"/>
      <w:bookmarkEnd w:id="55"/>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ascii="宋体" w:hAnsi="宋体" w:eastAsia="宋体" w:cs="宋体"/>
          <w:b/>
          <w:color w:val="auto"/>
          <w:sz w:val="22"/>
          <w:szCs w:val="22"/>
          <w:highlight w:val="none"/>
        </w:rPr>
        <w:t>总分设定为100分：技术标</w:t>
      </w:r>
      <w:r>
        <w:rPr>
          <w:rFonts w:hint="eastAsia" w:ascii="宋体" w:hAnsi="宋体" w:cs="宋体"/>
          <w:b/>
          <w:color w:val="auto"/>
          <w:sz w:val="22"/>
          <w:szCs w:val="22"/>
          <w:highlight w:val="none"/>
          <w:lang w:val="en-US" w:eastAsia="zh-CN"/>
        </w:rPr>
        <w:t>6</w:t>
      </w:r>
      <w:r>
        <w:rPr>
          <w:rFonts w:hint="eastAsia" w:ascii="宋体" w:hAnsi="宋体" w:eastAsia="宋体" w:cs="宋体"/>
          <w:b/>
          <w:color w:val="auto"/>
          <w:sz w:val="22"/>
          <w:szCs w:val="22"/>
          <w:highlight w:val="none"/>
        </w:rPr>
        <w:t>0分（权值</w:t>
      </w:r>
      <w:r>
        <w:rPr>
          <w:rFonts w:hint="eastAsia" w:ascii="宋体" w:hAnsi="宋体" w:cs="宋体"/>
          <w:b/>
          <w:color w:val="auto"/>
          <w:sz w:val="22"/>
          <w:szCs w:val="22"/>
          <w:highlight w:val="none"/>
          <w:lang w:val="en-US" w:eastAsia="zh-CN"/>
        </w:rPr>
        <w:t>6</w:t>
      </w:r>
      <w:r>
        <w:rPr>
          <w:rFonts w:hint="eastAsia" w:ascii="宋体" w:hAnsi="宋体" w:eastAsia="宋体" w:cs="宋体"/>
          <w:b/>
          <w:color w:val="auto"/>
          <w:sz w:val="22"/>
          <w:szCs w:val="22"/>
          <w:highlight w:val="none"/>
        </w:rPr>
        <w:t>0%），商务标（报价）</w:t>
      </w:r>
      <w:r>
        <w:rPr>
          <w:rFonts w:hint="eastAsia" w:ascii="宋体" w:hAnsi="宋体" w:cs="宋体"/>
          <w:b/>
          <w:color w:val="auto"/>
          <w:sz w:val="22"/>
          <w:szCs w:val="22"/>
          <w:highlight w:val="none"/>
          <w:lang w:val="en-US" w:eastAsia="zh-CN"/>
        </w:rPr>
        <w:t>4</w:t>
      </w:r>
      <w:r>
        <w:rPr>
          <w:rFonts w:hint="eastAsia" w:ascii="宋体" w:hAnsi="宋体" w:eastAsia="宋体" w:cs="宋体"/>
          <w:b/>
          <w:color w:val="auto"/>
          <w:sz w:val="22"/>
          <w:szCs w:val="22"/>
          <w:highlight w:val="none"/>
        </w:rPr>
        <w:t>0分（权值</w:t>
      </w:r>
      <w:r>
        <w:rPr>
          <w:rFonts w:hint="eastAsia" w:ascii="宋体" w:hAnsi="宋体" w:cs="宋体"/>
          <w:b/>
          <w:color w:val="auto"/>
          <w:sz w:val="22"/>
          <w:szCs w:val="22"/>
          <w:highlight w:val="none"/>
          <w:lang w:val="en-US" w:eastAsia="zh-CN"/>
        </w:rPr>
        <w:t>4</w:t>
      </w:r>
      <w:r>
        <w:rPr>
          <w:rFonts w:hint="eastAsia" w:ascii="宋体" w:hAnsi="宋体" w:eastAsia="宋体" w:cs="宋体"/>
          <w:b/>
          <w:color w:val="auto"/>
          <w:sz w:val="22"/>
          <w:szCs w:val="22"/>
          <w:highlight w:val="none"/>
        </w:rPr>
        <w:t>0%）。</w:t>
      </w:r>
    </w:p>
    <w:p>
      <w:pPr>
        <w:keepNext w:val="0"/>
        <w:keepLines w:val="0"/>
        <w:pageBreakBefore w:val="0"/>
        <w:widowControl w:val="0"/>
        <w:numPr>
          <w:ilvl w:val="0"/>
          <w:numId w:val="10"/>
        </w:numPr>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56" w:name="_Toc1535"/>
      <w:bookmarkStart w:id="57" w:name="_Toc11450"/>
      <w:r>
        <w:rPr>
          <w:rFonts w:hint="eastAsia" w:ascii="宋体" w:hAnsi="宋体" w:eastAsia="宋体" w:cs="宋体"/>
          <w:b/>
          <w:color w:val="auto"/>
          <w:sz w:val="22"/>
          <w:szCs w:val="22"/>
          <w:highlight w:val="none"/>
        </w:rPr>
        <w:t>评分细则</w:t>
      </w:r>
      <w:bookmarkEnd w:id="56"/>
      <w:bookmarkEnd w:id="57"/>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1、技术分的评定：技术标</w:t>
      </w:r>
      <w:r>
        <w:rPr>
          <w:rFonts w:hint="eastAsia" w:ascii="宋体" w:hAnsi="宋体" w:cs="宋体"/>
          <w:b/>
          <w:color w:val="auto"/>
          <w:sz w:val="22"/>
          <w:szCs w:val="22"/>
          <w:highlight w:val="none"/>
          <w:lang w:val="en-US" w:eastAsia="zh-CN"/>
        </w:rPr>
        <w:t>6</w:t>
      </w:r>
      <w:r>
        <w:rPr>
          <w:rFonts w:hint="eastAsia" w:ascii="宋体" w:hAnsi="宋体" w:eastAsia="宋体" w:cs="宋体"/>
          <w:b/>
          <w:color w:val="auto"/>
          <w:sz w:val="22"/>
          <w:szCs w:val="22"/>
          <w:highlight w:val="none"/>
        </w:rPr>
        <w:t>0分（权值</w:t>
      </w:r>
      <w:r>
        <w:rPr>
          <w:rFonts w:hint="eastAsia" w:ascii="宋体" w:hAnsi="宋体" w:cs="宋体"/>
          <w:b/>
          <w:color w:val="auto"/>
          <w:sz w:val="22"/>
          <w:szCs w:val="22"/>
          <w:highlight w:val="none"/>
          <w:lang w:val="en-US" w:eastAsia="zh-CN"/>
        </w:rPr>
        <w:t>6</w:t>
      </w:r>
      <w:r>
        <w:rPr>
          <w:rFonts w:hint="eastAsia" w:ascii="宋体" w:hAnsi="宋体" w:eastAsia="宋体" w:cs="宋体"/>
          <w:b/>
          <w:color w:val="auto"/>
          <w:sz w:val="22"/>
          <w:szCs w:val="22"/>
          <w:highlight w:val="none"/>
        </w:rPr>
        <w:t>0%）</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各评委成员按下列评分项目进行评判，每人一张评分计算票，并记名。投标文件各项评分内容由评标委员会成员各自评分，如某张票的一个因素项目超过规定的范围，则该张票无效。</w:t>
      </w:r>
      <w:r>
        <w:rPr>
          <w:rFonts w:hint="eastAsia" w:ascii="宋体" w:hAnsi="宋体" w:eastAsia="宋体" w:cs="宋体"/>
          <w:color w:val="auto"/>
          <w:sz w:val="22"/>
          <w:highlight w:val="none"/>
        </w:rPr>
        <w:t>各评标委员会成员对各投标人的各项评分内容评分的算术平均值为各投标人技术分得分</w:t>
      </w:r>
      <w:r>
        <w:rPr>
          <w:rFonts w:hint="eastAsia" w:ascii="宋体" w:hAnsi="宋体" w:eastAsia="宋体" w:cs="宋体"/>
          <w:color w:val="auto"/>
          <w:sz w:val="22"/>
          <w:szCs w:val="22"/>
          <w:highlight w:val="none"/>
        </w:rPr>
        <w:t>（小数点后按四舍五入保留2位）。</w:t>
      </w:r>
    </w:p>
    <w:tbl>
      <w:tblPr>
        <w:tblStyle w:val="54"/>
        <w:tblpPr w:leftFromText="180" w:rightFromText="180" w:vertAnchor="text" w:horzAnchor="page" w:tblpX="1077" w:tblpY="222"/>
        <w:tblOverlap w:val="never"/>
        <w:tblW w:w="10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614"/>
        <w:gridCol w:w="7207"/>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pStyle w:val="24"/>
              <w:keepNext w:val="0"/>
              <w:keepLines w:val="0"/>
              <w:pageBreakBefore w:val="0"/>
              <w:widowControl w:val="0"/>
              <w:kinsoku/>
              <w:wordWrap/>
              <w:overflowPunct/>
              <w:topLinePunct w:val="0"/>
              <w:autoSpaceDE/>
              <w:autoSpaceDN/>
              <w:bidi w:val="0"/>
              <w:adjustRightInd/>
              <w:snapToGrid/>
              <w:spacing w:line="460" w:lineRule="exact"/>
              <w:ind w:left="0" w:firstLine="0" w:firstLineChars="0"/>
              <w:jc w:val="center"/>
              <w:textAlignment w:val="auto"/>
              <w:rPr>
                <w:rFonts w:hint="eastAsia" w:ascii="宋体" w:hAnsi="宋体" w:eastAsia="宋体" w:cs="宋体"/>
                <w:b w:val="0"/>
                <w:bCs/>
                <w:color w:val="auto"/>
                <w:sz w:val="22"/>
                <w:szCs w:val="22"/>
                <w:highlight w:val="none"/>
                <w:vertAlign w:val="baseline"/>
                <w:lang w:val="en-US" w:eastAsia="zh-CN"/>
              </w:rPr>
            </w:pPr>
            <w:r>
              <w:rPr>
                <w:rFonts w:hint="eastAsia" w:ascii="宋体" w:hAnsi="宋体" w:cs="宋体"/>
                <w:b/>
                <w:bCs w:val="0"/>
                <w:color w:val="auto"/>
                <w:sz w:val="22"/>
                <w:szCs w:val="22"/>
                <w:highlight w:val="none"/>
                <w:vertAlign w:val="baseline"/>
                <w:lang w:val="en-US" w:eastAsia="zh-CN"/>
              </w:rPr>
              <w:t>序号</w:t>
            </w:r>
          </w:p>
        </w:tc>
        <w:tc>
          <w:tcPr>
            <w:tcW w:w="1614" w:type="dxa"/>
            <w:vAlign w:val="center"/>
          </w:tcPr>
          <w:p>
            <w:pPr>
              <w:pStyle w:val="24"/>
              <w:keepNext w:val="0"/>
              <w:keepLines w:val="0"/>
              <w:pageBreakBefore w:val="0"/>
              <w:widowControl w:val="0"/>
              <w:kinsoku/>
              <w:wordWrap/>
              <w:overflowPunct/>
              <w:topLinePunct w:val="0"/>
              <w:autoSpaceDE/>
              <w:autoSpaceDN/>
              <w:bidi w:val="0"/>
              <w:adjustRightInd/>
              <w:snapToGrid/>
              <w:spacing w:line="460" w:lineRule="exact"/>
              <w:ind w:left="0" w:firstLine="0" w:firstLineChars="0"/>
              <w:jc w:val="center"/>
              <w:textAlignment w:val="auto"/>
              <w:rPr>
                <w:rFonts w:hint="eastAsia" w:ascii="宋体" w:hAnsi="宋体" w:eastAsia="宋体" w:cs="宋体"/>
                <w:b/>
                <w:color w:val="auto"/>
                <w:sz w:val="22"/>
                <w:szCs w:val="22"/>
                <w:highlight w:val="none"/>
                <w:vertAlign w:val="baseline"/>
                <w:lang w:val="en-US" w:eastAsia="zh-CN"/>
              </w:rPr>
            </w:pPr>
            <w:r>
              <w:rPr>
                <w:rFonts w:hint="eastAsia" w:ascii="宋体" w:hAnsi="宋体" w:cs="宋体"/>
                <w:b/>
                <w:color w:val="auto"/>
                <w:sz w:val="22"/>
                <w:szCs w:val="22"/>
                <w:highlight w:val="none"/>
                <w:vertAlign w:val="baseline"/>
                <w:lang w:val="en-US" w:eastAsia="zh-CN"/>
              </w:rPr>
              <w:t>评分内容</w:t>
            </w:r>
          </w:p>
        </w:tc>
        <w:tc>
          <w:tcPr>
            <w:tcW w:w="7207" w:type="dxa"/>
            <w:vAlign w:val="center"/>
          </w:tcPr>
          <w:p>
            <w:pPr>
              <w:pStyle w:val="24"/>
              <w:keepNext w:val="0"/>
              <w:keepLines w:val="0"/>
              <w:pageBreakBefore w:val="0"/>
              <w:widowControl w:val="0"/>
              <w:kinsoku/>
              <w:wordWrap/>
              <w:overflowPunct/>
              <w:topLinePunct w:val="0"/>
              <w:autoSpaceDE/>
              <w:autoSpaceDN/>
              <w:bidi w:val="0"/>
              <w:adjustRightInd/>
              <w:snapToGrid/>
              <w:spacing w:line="460" w:lineRule="exact"/>
              <w:ind w:left="0" w:firstLine="0" w:firstLineChars="0"/>
              <w:jc w:val="center"/>
              <w:textAlignment w:val="auto"/>
              <w:rPr>
                <w:rFonts w:hint="eastAsia" w:ascii="宋体" w:hAnsi="宋体" w:eastAsia="宋体" w:cs="宋体"/>
                <w:b/>
                <w:color w:val="auto"/>
                <w:sz w:val="22"/>
                <w:szCs w:val="22"/>
                <w:highlight w:val="none"/>
                <w:vertAlign w:val="baseline"/>
                <w:lang w:val="en-US" w:eastAsia="zh-CN"/>
              </w:rPr>
            </w:pPr>
            <w:r>
              <w:rPr>
                <w:rFonts w:hint="eastAsia" w:ascii="宋体" w:hAnsi="宋体" w:cs="宋体"/>
                <w:b/>
                <w:color w:val="auto"/>
                <w:sz w:val="22"/>
                <w:szCs w:val="22"/>
                <w:highlight w:val="none"/>
                <w:vertAlign w:val="baseline"/>
                <w:lang w:val="en-US" w:eastAsia="zh-CN"/>
              </w:rPr>
              <w:t>评分细则</w:t>
            </w:r>
          </w:p>
        </w:tc>
        <w:tc>
          <w:tcPr>
            <w:tcW w:w="751" w:type="dxa"/>
            <w:vAlign w:val="center"/>
          </w:tcPr>
          <w:p>
            <w:pPr>
              <w:pStyle w:val="24"/>
              <w:keepNext w:val="0"/>
              <w:keepLines w:val="0"/>
              <w:pageBreakBefore w:val="0"/>
              <w:widowControl w:val="0"/>
              <w:kinsoku/>
              <w:wordWrap/>
              <w:overflowPunct/>
              <w:topLinePunct w:val="0"/>
              <w:autoSpaceDE/>
              <w:autoSpaceDN/>
              <w:bidi w:val="0"/>
              <w:adjustRightInd/>
              <w:snapToGrid/>
              <w:spacing w:line="460" w:lineRule="exact"/>
              <w:ind w:left="0" w:firstLine="0" w:firstLineChars="0"/>
              <w:jc w:val="center"/>
              <w:textAlignment w:val="auto"/>
              <w:rPr>
                <w:rFonts w:hint="eastAsia" w:ascii="宋体" w:hAnsi="宋体" w:eastAsia="宋体" w:cs="宋体"/>
                <w:b/>
                <w:color w:val="auto"/>
                <w:sz w:val="22"/>
                <w:szCs w:val="22"/>
                <w:highlight w:val="none"/>
                <w:vertAlign w:val="baseline"/>
                <w:lang w:val="en-US" w:eastAsia="zh-CN"/>
              </w:rPr>
            </w:pPr>
            <w:r>
              <w:rPr>
                <w:rFonts w:hint="eastAsia" w:ascii="宋体" w:hAnsi="宋体" w:cs="宋体"/>
                <w:b/>
                <w:color w:val="auto"/>
                <w:sz w:val="22"/>
                <w:szCs w:val="22"/>
                <w:highlight w:val="none"/>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56" w:type="dxa"/>
            <w:vAlign w:val="center"/>
          </w:tcPr>
          <w:p>
            <w:pPr>
              <w:pStyle w:val="24"/>
              <w:keepNext w:val="0"/>
              <w:keepLines w:val="0"/>
              <w:pageBreakBefore w:val="0"/>
              <w:widowControl w:val="0"/>
              <w:kinsoku/>
              <w:wordWrap/>
              <w:overflowPunct/>
              <w:topLinePunct w:val="0"/>
              <w:autoSpaceDE/>
              <w:autoSpaceDN/>
              <w:bidi w:val="0"/>
              <w:adjustRightInd/>
              <w:snapToGrid/>
              <w:spacing w:line="460" w:lineRule="exact"/>
              <w:ind w:left="0" w:firstLine="0" w:firstLineChars="0"/>
              <w:jc w:val="center"/>
              <w:textAlignment w:val="auto"/>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kern w:val="2"/>
                <w:sz w:val="22"/>
                <w:szCs w:val="22"/>
                <w:highlight w:val="none"/>
                <w:lang w:val="en-US" w:eastAsia="zh-CN" w:bidi="ar-SA"/>
              </w:rPr>
              <w:t>1</w:t>
            </w:r>
          </w:p>
        </w:tc>
        <w:tc>
          <w:tcPr>
            <w:tcW w:w="16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bCs/>
                <w:color w:val="auto"/>
                <w:kern w:val="2"/>
                <w:sz w:val="22"/>
                <w:szCs w:val="22"/>
                <w:highlight w:val="none"/>
                <w:lang w:val="en-US" w:eastAsia="zh-CN" w:bidi="ar-SA"/>
              </w:rPr>
              <w:t>投标产品知名度、美誉度</w:t>
            </w:r>
          </w:p>
        </w:tc>
        <w:tc>
          <w:tcPr>
            <w:tcW w:w="7207"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kern w:val="2"/>
                <w:sz w:val="22"/>
                <w:szCs w:val="22"/>
                <w:highlight w:val="none"/>
                <w:lang w:val="en-US" w:eastAsia="zh-CN" w:bidi="ar-SA"/>
              </w:rPr>
            </w:pPr>
            <w:r>
              <w:rPr>
                <w:rFonts w:hint="eastAsia" w:ascii="新宋体" w:hAnsi="新宋体" w:eastAsia="新宋体" w:cs="新宋体"/>
                <w:color w:val="auto"/>
                <w:sz w:val="22"/>
                <w:szCs w:val="22"/>
                <w:highlight w:val="none"/>
              </w:rPr>
              <w:t>根据投标</w:t>
            </w:r>
            <w:r>
              <w:rPr>
                <w:rFonts w:hint="eastAsia" w:ascii="新宋体" w:hAnsi="新宋体" w:eastAsia="新宋体" w:cs="新宋体"/>
                <w:color w:val="auto"/>
                <w:sz w:val="22"/>
                <w:szCs w:val="22"/>
                <w:highlight w:val="none"/>
                <w:lang w:val="en-US" w:eastAsia="zh-CN"/>
              </w:rPr>
              <w:t>产品在市场上</w:t>
            </w:r>
            <w:r>
              <w:rPr>
                <w:rFonts w:hint="eastAsia" w:ascii="宋体" w:hAnsi="宋体" w:eastAsia="宋体" w:cs="宋体"/>
                <w:bCs/>
                <w:color w:val="auto"/>
                <w:kern w:val="2"/>
                <w:sz w:val="22"/>
                <w:szCs w:val="22"/>
                <w:highlight w:val="none"/>
                <w:lang w:val="en-US" w:eastAsia="zh-CN" w:bidi="ar-SA"/>
              </w:rPr>
              <w:t>的使用情况</w:t>
            </w:r>
            <w:r>
              <w:rPr>
                <w:rFonts w:hint="eastAsia" w:ascii="新宋体" w:hAnsi="新宋体" w:eastAsia="新宋体" w:cs="新宋体"/>
                <w:color w:val="auto"/>
                <w:sz w:val="22"/>
                <w:szCs w:val="22"/>
                <w:highlight w:val="none"/>
                <w:lang w:val="en-US" w:eastAsia="zh-CN"/>
              </w:rPr>
              <w:t>、行业内的知名度（驰名商标或央视展播品牌等）、美誉度、技术水平领先性等进行综合比较打分（0-16分）。</w:t>
            </w:r>
          </w:p>
        </w:tc>
        <w:tc>
          <w:tcPr>
            <w:tcW w:w="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kern w:val="2"/>
                <w:sz w:val="22"/>
                <w:szCs w:val="22"/>
                <w:highlight w:val="none"/>
                <w:lang w:val="en-US" w:eastAsia="zh-CN" w:bidi="ar-SA"/>
              </w:rPr>
              <w:t>16</w:t>
            </w:r>
            <w:r>
              <w:rPr>
                <w:rFonts w:hint="eastAsia" w:ascii="宋体" w:hAnsi="宋体" w:eastAsia="宋体" w:cs="宋体"/>
                <w:color w:val="auto"/>
                <w:kern w:val="2"/>
                <w:sz w:val="22"/>
                <w:szCs w:val="22"/>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56" w:type="dxa"/>
            <w:vAlign w:val="center"/>
          </w:tcPr>
          <w:p>
            <w:pPr>
              <w:pStyle w:val="24"/>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2</w:t>
            </w:r>
          </w:p>
        </w:tc>
        <w:tc>
          <w:tcPr>
            <w:tcW w:w="16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Cs/>
                <w:color w:val="auto"/>
                <w:kern w:val="2"/>
                <w:sz w:val="22"/>
                <w:szCs w:val="22"/>
                <w:highlight w:val="none"/>
                <w:lang w:val="en-US" w:eastAsia="zh-CN" w:bidi="ar-SA"/>
              </w:rPr>
            </w:pPr>
            <w:r>
              <w:rPr>
                <w:rFonts w:hint="eastAsia" w:ascii="宋体" w:hAnsi="宋体" w:cs="宋体"/>
                <w:bCs/>
                <w:color w:val="auto"/>
                <w:kern w:val="2"/>
                <w:sz w:val="22"/>
                <w:szCs w:val="22"/>
                <w:highlight w:val="none"/>
                <w:lang w:val="en-US" w:eastAsia="zh-CN" w:bidi="ar-SA"/>
              </w:rPr>
              <w:t>投标人情况</w:t>
            </w:r>
          </w:p>
        </w:tc>
        <w:tc>
          <w:tcPr>
            <w:tcW w:w="7207"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cs="新宋体" w:eastAsiaTheme="minorEastAsia"/>
                <w:color w:val="auto"/>
                <w:sz w:val="22"/>
                <w:szCs w:val="22"/>
                <w:highlight w:val="none"/>
                <w:lang w:eastAsia="zh-CN"/>
              </w:rPr>
            </w:pPr>
            <w:r>
              <w:rPr>
                <w:rFonts w:hint="eastAsia" w:ascii="新宋体" w:hAnsi="新宋体" w:eastAsia="新宋体" w:cs="新宋体"/>
                <w:color w:val="auto"/>
                <w:sz w:val="22"/>
                <w:szCs w:val="22"/>
                <w:highlight w:val="none"/>
                <w:lang w:eastAsia="zh-CN"/>
              </w:rPr>
              <w:t>根据投标</w:t>
            </w:r>
            <w:r>
              <w:rPr>
                <w:rFonts w:hint="eastAsia" w:ascii="宋体" w:hAnsi="宋体" w:eastAsia="宋体" w:cs="宋体"/>
                <w:bCs/>
                <w:color w:val="auto"/>
                <w:kern w:val="2"/>
                <w:sz w:val="22"/>
                <w:szCs w:val="22"/>
                <w:highlight w:val="none"/>
                <w:lang w:val="en-US" w:eastAsia="zh-CN" w:bidi="ar-SA"/>
              </w:rPr>
              <w:t>人的环保工程专业承包资质、污水处理服务能力及荣誉、证书获得情况</w:t>
            </w:r>
            <w:r>
              <w:rPr>
                <w:rFonts w:hint="eastAsia" w:ascii="宋体" w:hAnsi="宋体" w:cs="宋体"/>
                <w:bCs/>
                <w:color w:val="auto"/>
                <w:kern w:val="2"/>
                <w:sz w:val="22"/>
                <w:szCs w:val="22"/>
                <w:highlight w:val="none"/>
                <w:lang w:val="en-US" w:eastAsia="zh-CN" w:bidi="ar-SA"/>
              </w:rPr>
              <w:t>等</w:t>
            </w:r>
            <w:r>
              <w:rPr>
                <w:rFonts w:hint="eastAsia" w:ascii="宋体" w:hAnsi="宋体" w:eastAsia="宋体" w:cs="宋体"/>
                <w:bCs/>
                <w:color w:val="auto"/>
                <w:kern w:val="2"/>
                <w:sz w:val="22"/>
                <w:szCs w:val="22"/>
                <w:highlight w:val="none"/>
                <w:lang w:val="en-US" w:eastAsia="zh-CN" w:bidi="ar-SA"/>
              </w:rPr>
              <w:t>进行综合比较打分</w:t>
            </w:r>
            <w:r>
              <w:rPr>
                <w:rFonts w:hint="eastAsia" w:ascii="宋体" w:hAnsi="宋体" w:cs="宋体"/>
                <w:bCs/>
                <w:color w:val="auto"/>
                <w:kern w:val="2"/>
                <w:sz w:val="22"/>
                <w:szCs w:val="22"/>
                <w:highlight w:val="none"/>
                <w:lang w:val="en-US" w:eastAsia="zh-CN" w:bidi="ar-SA"/>
              </w:rPr>
              <w:t>（0-12分）</w:t>
            </w:r>
            <w:r>
              <w:rPr>
                <w:rFonts w:hint="eastAsia" w:ascii="宋体" w:hAnsi="宋体" w:eastAsia="宋体" w:cs="宋体"/>
                <w:bCs/>
                <w:color w:val="auto"/>
                <w:kern w:val="2"/>
                <w:sz w:val="22"/>
                <w:szCs w:val="22"/>
                <w:highlight w:val="none"/>
                <w:lang w:val="en-US" w:eastAsia="zh-CN" w:bidi="ar-SA"/>
              </w:rPr>
              <w:t>。</w:t>
            </w:r>
          </w:p>
        </w:tc>
        <w:tc>
          <w:tcPr>
            <w:tcW w:w="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cs="宋体"/>
                <w:color w:val="auto"/>
                <w:kern w:val="2"/>
                <w:sz w:val="22"/>
                <w:szCs w:val="22"/>
                <w:highlight w:val="none"/>
                <w:lang w:val="en-US" w:eastAsia="zh-CN" w:bidi="ar-SA"/>
              </w:rPr>
            </w:pPr>
            <w:r>
              <w:rPr>
                <w:rFonts w:hint="eastAsia" w:ascii="宋体" w:hAnsi="宋体" w:cs="宋体"/>
                <w:color w:val="auto"/>
                <w:kern w:val="2"/>
                <w:sz w:val="22"/>
                <w:szCs w:val="22"/>
                <w:highlight w:val="none"/>
                <w:lang w:val="en-US" w:eastAsia="zh-CN" w:bidi="ar-SA"/>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756" w:type="dxa"/>
            <w:vAlign w:val="center"/>
          </w:tcPr>
          <w:p>
            <w:pPr>
              <w:pStyle w:val="24"/>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center"/>
              <w:textAlignment w:val="auto"/>
              <w:rPr>
                <w:rFonts w:hint="default"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3</w:t>
            </w:r>
          </w:p>
        </w:tc>
        <w:tc>
          <w:tcPr>
            <w:tcW w:w="16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同类项目业绩</w:t>
            </w:r>
          </w:p>
        </w:tc>
        <w:tc>
          <w:tcPr>
            <w:tcW w:w="720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20</w:t>
            </w:r>
            <w:r>
              <w:rPr>
                <w:rFonts w:hint="eastAsia" w:ascii="宋体" w:hAnsi="宋体" w:cs="宋体"/>
                <w:color w:val="auto"/>
                <w:kern w:val="2"/>
                <w:sz w:val="22"/>
                <w:szCs w:val="22"/>
                <w:highlight w:val="none"/>
                <w:lang w:val="en-US" w:eastAsia="zh-CN" w:bidi="ar-SA"/>
              </w:rPr>
              <w:t>20</w:t>
            </w:r>
            <w:r>
              <w:rPr>
                <w:rFonts w:hint="eastAsia" w:ascii="宋体" w:hAnsi="宋体" w:eastAsia="宋体" w:cs="宋体"/>
                <w:color w:val="auto"/>
                <w:kern w:val="2"/>
                <w:sz w:val="22"/>
                <w:szCs w:val="22"/>
                <w:highlight w:val="none"/>
                <w:lang w:val="en-US" w:eastAsia="zh-CN" w:bidi="ar-SA"/>
              </w:rPr>
              <w:t>年1月1日至今（以合同签订日期为准）与医院签订过的单过硫酸氢钾消毒粉采购项目合同，每提供1个不同的用户合同得</w:t>
            </w:r>
            <w:r>
              <w:rPr>
                <w:rFonts w:hint="eastAsia" w:ascii="宋体" w:hAnsi="宋体" w:cs="宋体"/>
                <w:color w:val="auto"/>
                <w:kern w:val="2"/>
                <w:sz w:val="22"/>
                <w:szCs w:val="22"/>
                <w:highlight w:val="none"/>
                <w:lang w:val="en-US" w:eastAsia="zh-CN" w:bidi="ar-SA"/>
              </w:rPr>
              <w:t>1</w:t>
            </w:r>
            <w:r>
              <w:rPr>
                <w:rFonts w:hint="eastAsia" w:ascii="宋体" w:hAnsi="宋体" w:eastAsia="宋体" w:cs="宋体"/>
                <w:color w:val="auto"/>
                <w:kern w:val="2"/>
                <w:sz w:val="22"/>
                <w:szCs w:val="22"/>
                <w:highlight w:val="none"/>
                <w:lang w:val="en-US" w:eastAsia="zh-CN" w:bidi="ar-SA"/>
              </w:rPr>
              <w:t>分，最高得</w:t>
            </w:r>
            <w:r>
              <w:rPr>
                <w:rFonts w:hint="eastAsia" w:ascii="宋体" w:hAnsi="宋体" w:cs="宋体"/>
                <w:color w:val="auto"/>
                <w:kern w:val="2"/>
                <w:sz w:val="22"/>
                <w:szCs w:val="22"/>
                <w:highlight w:val="none"/>
                <w:lang w:val="en-US" w:eastAsia="zh-CN" w:bidi="ar-SA"/>
              </w:rPr>
              <w:t>4</w:t>
            </w:r>
            <w:r>
              <w:rPr>
                <w:rFonts w:hint="eastAsia" w:ascii="宋体" w:hAnsi="宋体" w:eastAsia="宋体" w:cs="宋体"/>
                <w:color w:val="auto"/>
                <w:kern w:val="2"/>
                <w:sz w:val="22"/>
                <w:szCs w:val="22"/>
                <w:highlight w:val="none"/>
                <w:lang w:val="en-US" w:eastAsia="zh-CN" w:bidi="ar-SA"/>
              </w:rPr>
              <w:t>分（提供合同复印件</w:t>
            </w:r>
            <w:r>
              <w:rPr>
                <w:rFonts w:hint="eastAsia" w:ascii="宋体" w:hAnsi="宋体" w:cs="宋体"/>
                <w:color w:val="auto"/>
                <w:kern w:val="2"/>
                <w:sz w:val="22"/>
                <w:szCs w:val="22"/>
                <w:highlight w:val="none"/>
                <w:lang w:val="en-US" w:eastAsia="zh-CN" w:bidi="ar-SA"/>
              </w:rPr>
              <w:t>和中标通知书复印件</w:t>
            </w:r>
            <w:r>
              <w:rPr>
                <w:rFonts w:hint="eastAsia" w:ascii="宋体" w:hAnsi="宋体" w:eastAsia="宋体" w:cs="宋体"/>
                <w:color w:val="auto"/>
                <w:kern w:val="2"/>
                <w:sz w:val="22"/>
                <w:szCs w:val="22"/>
                <w:highlight w:val="none"/>
                <w:lang w:val="en-US" w:eastAsia="zh-CN" w:bidi="ar-SA"/>
              </w:rPr>
              <w:t>）。</w:t>
            </w:r>
          </w:p>
        </w:tc>
        <w:tc>
          <w:tcPr>
            <w:tcW w:w="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0" w:firstLineChars="0"/>
              <w:jc w:val="center"/>
              <w:textAlignment w:val="auto"/>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kern w:val="2"/>
                <w:sz w:val="22"/>
                <w:szCs w:val="22"/>
                <w:highlight w:val="none"/>
                <w:lang w:val="en-US" w:eastAsia="zh-CN" w:bidi="ar-SA"/>
              </w:rPr>
              <w:t>4</w:t>
            </w:r>
            <w:r>
              <w:rPr>
                <w:rFonts w:hint="eastAsia" w:ascii="宋体" w:hAnsi="宋体" w:eastAsia="宋体" w:cs="宋体"/>
                <w:color w:val="auto"/>
                <w:kern w:val="2"/>
                <w:sz w:val="22"/>
                <w:szCs w:val="22"/>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756" w:type="dxa"/>
            <w:vAlign w:val="center"/>
          </w:tcPr>
          <w:p>
            <w:pPr>
              <w:pStyle w:val="24"/>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center"/>
              <w:textAlignment w:val="auto"/>
              <w:rPr>
                <w:rFonts w:hint="default"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4</w:t>
            </w:r>
          </w:p>
        </w:tc>
        <w:tc>
          <w:tcPr>
            <w:tcW w:w="16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质量保证方案</w:t>
            </w:r>
          </w:p>
        </w:tc>
        <w:tc>
          <w:tcPr>
            <w:tcW w:w="7207"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根据投标人提供的质量保证方案措施(如药粉投加量、出水检测)</w:t>
            </w:r>
            <w:r>
              <w:rPr>
                <w:rFonts w:hint="eastAsia" w:ascii="宋体" w:hAnsi="宋体" w:cs="宋体"/>
                <w:color w:val="auto"/>
                <w:kern w:val="2"/>
                <w:sz w:val="22"/>
                <w:szCs w:val="22"/>
                <w:highlight w:val="none"/>
                <w:lang w:val="en-US" w:eastAsia="zh-CN" w:bidi="ar-SA"/>
              </w:rPr>
              <w:t>的完善性及可行性</w:t>
            </w:r>
            <w:r>
              <w:rPr>
                <w:rFonts w:hint="eastAsia" w:ascii="宋体" w:hAnsi="宋体" w:eastAsia="宋体" w:cs="宋体"/>
                <w:color w:val="auto"/>
                <w:kern w:val="2"/>
                <w:sz w:val="22"/>
                <w:szCs w:val="22"/>
                <w:highlight w:val="none"/>
                <w:lang w:val="en-US" w:eastAsia="zh-CN" w:bidi="ar-SA"/>
              </w:rPr>
              <w:t>，进行综合比较打分</w:t>
            </w:r>
            <w:r>
              <w:rPr>
                <w:rFonts w:hint="eastAsia" w:ascii="宋体" w:hAnsi="宋体" w:cs="宋体"/>
                <w:color w:val="auto"/>
                <w:kern w:val="2"/>
                <w:sz w:val="22"/>
                <w:szCs w:val="22"/>
                <w:highlight w:val="none"/>
                <w:lang w:val="en-US" w:eastAsia="zh-CN" w:bidi="ar-SA"/>
              </w:rPr>
              <w:t>（0-12分）</w:t>
            </w:r>
            <w:r>
              <w:rPr>
                <w:rFonts w:hint="eastAsia" w:ascii="宋体" w:hAnsi="宋体" w:eastAsia="宋体" w:cs="宋体"/>
                <w:color w:val="auto"/>
                <w:kern w:val="2"/>
                <w:sz w:val="22"/>
                <w:szCs w:val="22"/>
                <w:highlight w:val="none"/>
                <w:lang w:val="en-US" w:eastAsia="zh-CN" w:bidi="ar-SA"/>
              </w:rPr>
              <w:t>。</w:t>
            </w:r>
          </w:p>
        </w:tc>
        <w:tc>
          <w:tcPr>
            <w:tcW w:w="751" w:type="dxa"/>
            <w:vAlign w:val="center"/>
          </w:tcPr>
          <w:p>
            <w:pPr>
              <w:pStyle w:val="24"/>
              <w:keepNext w:val="0"/>
              <w:keepLines w:val="0"/>
              <w:pageBreakBefore w:val="0"/>
              <w:widowControl w:val="0"/>
              <w:kinsoku/>
              <w:wordWrap/>
              <w:overflowPunct/>
              <w:topLinePunct w:val="0"/>
              <w:autoSpaceDE/>
              <w:autoSpaceDN/>
              <w:bidi w:val="0"/>
              <w:adjustRightInd/>
              <w:snapToGrid/>
              <w:spacing w:line="460" w:lineRule="exact"/>
              <w:ind w:left="440" w:leftChars="0" w:hanging="440" w:hangingChars="200"/>
              <w:jc w:val="center"/>
              <w:textAlignment w:val="auto"/>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kern w:val="2"/>
                <w:sz w:val="22"/>
                <w:szCs w:val="22"/>
                <w:highlight w:val="none"/>
                <w:lang w:val="en-US" w:eastAsia="zh-CN" w:bidi="ar-SA"/>
              </w:rPr>
              <w:t>12</w:t>
            </w:r>
            <w:r>
              <w:rPr>
                <w:rFonts w:hint="eastAsia" w:ascii="宋体" w:hAnsi="宋体" w:eastAsia="宋体" w:cs="宋体"/>
                <w:color w:val="auto"/>
                <w:kern w:val="2"/>
                <w:sz w:val="22"/>
                <w:szCs w:val="22"/>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56" w:type="dxa"/>
            <w:vAlign w:val="center"/>
          </w:tcPr>
          <w:p>
            <w:pPr>
              <w:pStyle w:val="24"/>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center"/>
              <w:textAlignment w:val="auto"/>
              <w:rPr>
                <w:rFonts w:hint="default"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5</w:t>
            </w:r>
          </w:p>
        </w:tc>
        <w:tc>
          <w:tcPr>
            <w:tcW w:w="16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售后服务能力</w:t>
            </w:r>
          </w:p>
        </w:tc>
        <w:tc>
          <w:tcPr>
            <w:tcW w:w="7207" w:type="dxa"/>
            <w:vAlign w:val="center"/>
          </w:tcPr>
          <w:p>
            <w:pPr>
              <w:pStyle w:val="6"/>
              <w:rPr>
                <w:rFonts w:hint="default" w:ascii="宋体" w:hAnsi="宋体" w:eastAsia="宋体" w:cs="宋体"/>
                <w:color w:val="auto"/>
                <w:kern w:val="2"/>
                <w:sz w:val="22"/>
                <w:szCs w:val="22"/>
                <w:highlight w:val="none"/>
                <w:lang w:val="en-US" w:eastAsia="zh-CN" w:bidi="ar-SA"/>
              </w:rPr>
            </w:pPr>
            <w:r>
              <w:rPr>
                <w:rFonts w:hint="eastAsia" w:ascii="宋体" w:hAnsi="宋体" w:eastAsia="宋体" w:cs="宋体"/>
                <w:b w:val="0"/>
                <w:color w:val="auto"/>
                <w:kern w:val="2"/>
                <w:sz w:val="22"/>
                <w:szCs w:val="22"/>
                <w:highlight w:val="none"/>
                <w:lang w:val="en-US" w:eastAsia="zh-CN" w:bidi="ar-SA"/>
              </w:rPr>
              <w:t>根据投标人提供的售后服务方案，包括售后服务技术保障及措施、服务响应时间、培训计划、售后机构设置、对交货后出现不合格等问题所采取的措施，以及以往医院售后服务情况进行综合比较打分（0-10分）。</w:t>
            </w:r>
          </w:p>
        </w:tc>
        <w:tc>
          <w:tcPr>
            <w:tcW w:w="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0" w:firstLineChars="0"/>
              <w:jc w:val="center"/>
              <w:textAlignment w:val="auto"/>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kern w:val="2"/>
                <w:sz w:val="22"/>
                <w:szCs w:val="22"/>
                <w:highlight w:val="none"/>
                <w:lang w:val="en-US" w:eastAsia="zh-CN" w:bidi="ar-SA"/>
              </w:rPr>
              <w:t>10</w:t>
            </w:r>
            <w:r>
              <w:rPr>
                <w:rFonts w:hint="eastAsia" w:ascii="宋体" w:hAnsi="宋体" w:eastAsia="宋体" w:cs="宋体"/>
                <w:color w:val="auto"/>
                <w:kern w:val="2"/>
                <w:sz w:val="22"/>
                <w:szCs w:val="22"/>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756" w:type="dxa"/>
            <w:vAlign w:val="center"/>
          </w:tcPr>
          <w:p>
            <w:pPr>
              <w:pStyle w:val="24"/>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center"/>
              <w:textAlignment w:val="auto"/>
              <w:rPr>
                <w:rFonts w:hint="default"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6</w:t>
            </w:r>
          </w:p>
        </w:tc>
        <w:tc>
          <w:tcPr>
            <w:tcW w:w="16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优惠条件</w:t>
            </w:r>
          </w:p>
        </w:tc>
        <w:tc>
          <w:tcPr>
            <w:tcW w:w="7207"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color w:val="auto"/>
                <w:sz w:val="22"/>
                <w:szCs w:val="22"/>
                <w:highlight w:val="none"/>
                <w:lang w:val="en-US" w:eastAsia="zh-CN"/>
              </w:rPr>
            </w:pPr>
            <w:r>
              <w:rPr>
                <w:rFonts w:hint="eastAsia" w:ascii="宋体" w:hAnsi="宋体" w:cs="宋体"/>
                <w:color w:val="auto"/>
                <w:sz w:val="22"/>
                <w:szCs w:val="22"/>
                <w:highlight w:val="none"/>
              </w:rPr>
              <w:t>根据投标人</w:t>
            </w:r>
            <w:r>
              <w:rPr>
                <w:rFonts w:hint="eastAsia" w:ascii="宋体" w:hAnsi="宋体" w:cs="宋体"/>
                <w:color w:val="auto"/>
                <w:sz w:val="22"/>
                <w:szCs w:val="22"/>
                <w:highlight w:val="none"/>
                <w:lang w:val="en-US" w:eastAsia="zh-CN"/>
              </w:rPr>
              <w:t>是否</w:t>
            </w:r>
            <w:r>
              <w:rPr>
                <w:rFonts w:ascii="宋体" w:hAnsi="宋体" w:cs="宋体"/>
                <w:color w:val="auto"/>
                <w:sz w:val="22"/>
                <w:szCs w:val="22"/>
                <w:highlight w:val="none"/>
              </w:rPr>
              <w:t>提供</w:t>
            </w:r>
            <w:r>
              <w:rPr>
                <w:rFonts w:hint="eastAsia" w:ascii="宋体" w:hAnsi="宋体" w:eastAsia="宋体" w:cs="宋体"/>
                <w:color w:val="auto"/>
                <w:kern w:val="2"/>
                <w:sz w:val="22"/>
                <w:szCs w:val="22"/>
                <w:highlight w:val="none"/>
                <w:lang w:val="en-US" w:eastAsia="zh-CN" w:bidi="ar-SA"/>
              </w:rPr>
              <w:t>超出招标文件的</w:t>
            </w:r>
            <w:r>
              <w:rPr>
                <w:rFonts w:ascii="宋体" w:hAnsi="宋体" w:cs="宋体"/>
                <w:color w:val="auto"/>
                <w:sz w:val="22"/>
                <w:szCs w:val="22"/>
                <w:highlight w:val="none"/>
              </w:rPr>
              <w:t>实质性优惠</w:t>
            </w:r>
            <w:r>
              <w:rPr>
                <w:rFonts w:hint="eastAsia" w:ascii="宋体" w:hAnsi="宋体" w:cs="宋体"/>
                <w:color w:val="auto"/>
                <w:sz w:val="22"/>
                <w:szCs w:val="22"/>
                <w:highlight w:val="none"/>
                <w:lang w:val="en-US" w:eastAsia="zh-CN"/>
              </w:rPr>
              <w:t>承诺</w:t>
            </w:r>
            <w:r>
              <w:rPr>
                <w:rFonts w:ascii="新宋体" w:hAnsi="新宋体" w:eastAsia="新宋体" w:cs="新宋体"/>
                <w:color w:val="auto"/>
                <w:sz w:val="22"/>
                <w:szCs w:val="22"/>
                <w:highlight w:val="none"/>
              </w:rPr>
              <w:t>进行综合比较打分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0-6分</w:t>
            </w:r>
            <w:r>
              <w:rPr>
                <w:rFonts w:hint="eastAsia" w:ascii="新宋体" w:hAnsi="新宋体" w:eastAsia="新宋体" w:cs="新宋体"/>
                <w:color w:val="auto"/>
                <w:sz w:val="22"/>
                <w:szCs w:val="22"/>
                <w:highlight w:val="none"/>
                <w:lang w:eastAsia="zh-CN"/>
              </w:rPr>
              <w:t>）</w:t>
            </w:r>
            <w:r>
              <w:rPr>
                <w:rFonts w:ascii="新宋体" w:hAnsi="新宋体" w:eastAsia="新宋体" w:cs="新宋体"/>
                <w:color w:val="auto"/>
                <w:sz w:val="22"/>
                <w:szCs w:val="22"/>
                <w:highlight w:val="none"/>
              </w:rPr>
              <w:t>。</w:t>
            </w:r>
          </w:p>
        </w:tc>
        <w:tc>
          <w:tcPr>
            <w:tcW w:w="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0" w:firstLineChars="0"/>
              <w:jc w:val="center"/>
              <w:textAlignment w:val="auto"/>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kern w:val="2"/>
                <w:sz w:val="22"/>
                <w:szCs w:val="22"/>
                <w:highlight w:val="none"/>
                <w:lang w:val="en-US" w:eastAsia="zh-CN" w:bidi="ar-SA"/>
              </w:rPr>
              <w:t>6</w:t>
            </w:r>
            <w:r>
              <w:rPr>
                <w:rFonts w:hint="eastAsia" w:ascii="宋体" w:hAnsi="宋体" w:eastAsia="宋体" w:cs="宋体"/>
                <w:color w:val="auto"/>
                <w:kern w:val="2"/>
                <w:sz w:val="22"/>
                <w:szCs w:val="22"/>
                <w:highlight w:val="none"/>
                <w:lang w:val="en-US" w:eastAsia="zh-CN" w:bidi="ar-SA"/>
              </w:rPr>
              <w:t>分</w:t>
            </w:r>
          </w:p>
        </w:tc>
      </w:tr>
    </w:tbl>
    <w:p>
      <w:pPr>
        <w:pStyle w:val="24"/>
        <w:spacing w:line="460" w:lineRule="exact"/>
        <w:ind w:left="0" w:leftChars="0" w:firstLine="442" w:firstLineChars="20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2、报价评分（</w:t>
      </w:r>
      <w:r>
        <w:rPr>
          <w:rFonts w:hint="eastAsia" w:ascii="宋体" w:hAnsi="宋体" w:cs="宋体"/>
          <w:b/>
          <w:color w:val="auto"/>
          <w:sz w:val="22"/>
          <w:szCs w:val="22"/>
          <w:highlight w:val="none"/>
          <w:lang w:val="en-US" w:eastAsia="zh-CN"/>
        </w:rPr>
        <w:t>4</w:t>
      </w:r>
      <w:r>
        <w:rPr>
          <w:rFonts w:hint="eastAsia" w:ascii="宋体" w:hAnsi="宋体" w:eastAsia="宋体" w:cs="宋体"/>
          <w:b/>
          <w:color w:val="auto"/>
          <w:sz w:val="22"/>
          <w:szCs w:val="22"/>
          <w:highlight w:val="none"/>
        </w:rPr>
        <w:t>0分）（权值</w:t>
      </w:r>
      <w:r>
        <w:rPr>
          <w:rFonts w:hint="eastAsia" w:ascii="宋体" w:hAnsi="宋体" w:cs="宋体"/>
          <w:b/>
          <w:color w:val="auto"/>
          <w:sz w:val="22"/>
          <w:szCs w:val="22"/>
          <w:highlight w:val="none"/>
          <w:lang w:val="en-US" w:eastAsia="zh-CN"/>
        </w:rPr>
        <w:t>4</w:t>
      </w:r>
      <w:r>
        <w:rPr>
          <w:rFonts w:hint="eastAsia" w:ascii="宋体" w:hAnsi="宋体" w:eastAsia="宋体" w:cs="宋体"/>
          <w:b/>
          <w:color w:val="auto"/>
          <w:sz w:val="22"/>
          <w:szCs w:val="22"/>
          <w:highlight w:val="none"/>
        </w:rPr>
        <w:t>0%）：</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满足招标文件要求且投标报价最低的投标报价为评标基准价，其余投标人投标报价与该基准价对比，计算出商务报价评分值（保留小数2位）：</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1）有效投标人的投标报价等于评标基准价时其报价分为满分；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2）其他投标人的价格分按以下公式计算：</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投标报价得分=（评分基准价/投标人投标报价）× 价格权值 ×100（保留小数2位）</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3、有效投标人的综合得分为技术分和商务（报价）分的总和。</w:t>
      </w:r>
    </w:p>
    <w:p>
      <w:pPr>
        <w:spacing w:line="460" w:lineRule="exact"/>
        <w:ind w:firstLine="539" w:firstLineChars="245"/>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根据《政府采购促进中小企业发展管理办法》（财库﹝2020﹞46号），</w:t>
      </w:r>
      <w:r>
        <w:rPr>
          <w:rFonts w:hint="eastAsia" w:ascii="宋体" w:hAnsi="宋体" w:cs="宋体"/>
          <w:color w:val="auto"/>
          <w:sz w:val="22"/>
          <w:szCs w:val="22"/>
          <w:highlight w:val="none"/>
          <w:lang w:val="zh-CN"/>
        </w:rPr>
        <w:t>对货物类项目投标产品为小型或微型企业生产的，工程、服务类项目由小型或微型企业承建、承接的</w:t>
      </w:r>
      <w:r>
        <w:rPr>
          <w:rFonts w:hint="eastAsia" w:ascii="宋体" w:hAnsi="宋体" w:eastAsia="宋体" w:cs="宋体"/>
          <w:color w:val="auto"/>
          <w:sz w:val="22"/>
          <w:szCs w:val="22"/>
          <w:highlight w:val="none"/>
          <w:lang w:val="zh-CN"/>
        </w:rPr>
        <w:t>，</w:t>
      </w:r>
      <w:r>
        <w:rPr>
          <w:rFonts w:hint="eastAsia" w:ascii="宋体" w:hAnsi="宋体" w:eastAsia="宋体" w:cs="宋体"/>
          <w:b/>
          <w:bCs/>
          <w:color w:val="auto"/>
          <w:sz w:val="22"/>
          <w:szCs w:val="22"/>
          <w:highlight w:val="none"/>
          <w:u w:val="single"/>
          <w:lang w:val="zh-CN"/>
        </w:rPr>
        <w:t>价格给予</w:t>
      </w:r>
      <w:r>
        <w:rPr>
          <w:rFonts w:hint="eastAsia" w:ascii="宋体" w:hAnsi="宋体" w:cs="宋体"/>
          <w:b/>
          <w:bCs/>
          <w:color w:val="auto"/>
          <w:sz w:val="22"/>
          <w:szCs w:val="22"/>
          <w:highlight w:val="none"/>
          <w:u w:val="single"/>
          <w:lang w:val="en-US" w:eastAsia="zh-CN"/>
        </w:rPr>
        <w:t>10</w:t>
      </w:r>
      <w:r>
        <w:rPr>
          <w:rFonts w:hint="eastAsia" w:ascii="宋体" w:hAnsi="宋体" w:eastAsia="宋体" w:cs="宋体"/>
          <w:b/>
          <w:bCs/>
          <w:color w:val="auto"/>
          <w:sz w:val="22"/>
          <w:szCs w:val="22"/>
          <w:highlight w:val="none"/>
          <w:u w:val="single"/>
          <w:lang w:val="zh-CN"/>
        </w:rPr>
        <w:t>%的扣除</w:t>
      </w:r>
      <w:r>
        <w:rPr>
          <w:rFonts w:hint="eastAsia" w:ascii="宋体" w:hAnsi="宋体" w:eastAsia="宋体" w:cs="宋体"/>
          <w:color w:val="auto"/>
          <w:sz w:val="22"/>
          <w:szCs w:val="22"/>
          <w:highlight w:val="none"/>
          <w:lang w:val="zh-CN"/>
        </w:rPr>
        <w:t>，用扣除后的价格参与价格评分。</w:t>
      </w:r>
    </w:p>
    <w:p>
      <w:pPr>
        <w:spacing w:line="460" w:lineRule="exact"/>
        <w:ind w:firstLine="541" w:firstLineChars="245"/>
        <w:rPr>
          <w:rFonts w:hint="eastAsia" w:ascii="宋体" w:hAnsi="宋体" w:eastAsia="宋体" w:cs="宋体"/>
          <w:color w:val="auto"/>
          <w:sz w:val="22"/>
          <w:szCs w:val="22"/>
          <w:highlight w:val="none"/>
          <w:lang w:val="zh-CN"/>
        </w:rPr>
      </w:pPr>
      <w:r>
        <w:rPr>
          <w:rFonts w:hint="eastAsia" w:ascii="宋体" w:hAnsi="宋体" w:eastAsia="宋体" w:cs="宋体"/>
          <w:b/>
          <w:bCs/>
          <w:color w:val="auto"/>
          <w:sz w:val="22"/>
          <w:szCs w:val="22"/>
          <w:highlight w:val="none"/>
          <w:u w:val="single"/>
          <w:lang w:val="en-US" w:eastAsia="zh-CN"/>
        </w:rPr>
        <w:t>同时</w:t>
      </w:r>
      <w:r>
        <w:rPr>
          <w:rFonts w:hint="eastAsia" w:ascii="宋体" w:hAnsi="宋体" w:eastAsia="宋体" w:cs="宋体"/>
          <w:b/>
          <w:bCs/>
          <w:color w:val="auto"/>
          <w:sz w:val="22"/>
          <w:szCs w:val="22"/>
          <w:highlight w:val="none"/>
          <w:u w:val="single"/>
          <w:lang w:val="zh-CN"/>
        </w:rPr>
        <w:t>符合以下所有要求的投标人被认定为小型、微型企业：</w:t>
      </w:r>
    </w:p>
    <w:p>
      <w:pPr>
        <w:spacing w:line="460" w:lineRule="exact"/>
        <w:ind w:firstLine="541" w:firstLineChars="245"/>
        <w:rPr>
          <w:rFonts w:hint="eastAsia" w:ascii="宋体" w:hAnsi="宋体" w:eastAsia="宋体" w:cs="宋体"/>
          <w:b/>
          <w:bCs/>
          <w:color w:val="auto"/>
          <w:sz w:val="22"/>
          <w:szCs w:val="22"/>
          <w:highlight w:val="none"/>
          <w:lang w:val="zh-CN"/>
        </w:rPr>
      </w:pPr>
      <w:r>
        <w:rPr>
          <w:rFonts w:hint="eastAsia" w:ascii="宋体" w:hAnsi="宋体" w:eastAsia="宋体" w:cs="宋体"/>
          <w:b/>
          <w:bCs/>
          <w:color w:val="auto"/>
          <w:sz w:val="22"/>
          <w:szCs w:val="22"/>
          <w:highlight w:val="none"/>
          <w:lang w:val="zh-CN"/>
        </w:rPr>
        <w:t>①投标产品生产企业按照《关于印发中小企业划型标准规定的通知》（工信部联企业〔2011〕300号）的所属行业规定为小型、微型企业。</w:t>
      </w:r>
    </w:p>
    <w:p>
      <w:pPr>
        <w:spacing w:line="460" w:lineRule="exact"/>
        <w:ind w:firstLine="541" w:firstLineChars="245"/>
        <w:rPr>
          <w:rFonts w:hint="eastAsia" w:ascii="宋体" w:hAnsi="宋体" w:eastAsia="宋体" w:cs="宋体"/>
          <w:b/>
          <w:bCs/>
          <w:color w:val="auto"/>
          <w:sz w:val="22"/>
          <w:szCs w:val="22"/>
          <w:highlight w:val="none"/>
          <w:u w:val="single"/>
          <w:lang w:val="zh-CN"/>
        </w:rPr>
      </w:pPr>
      <w:r>
        <w:rPr>
          <w:rFonts w:hint="eastAsia" w:ascii="宋体" w:hAnsi="宋体" w:eastAsia="宋体" w:cs="宋体"/>
          <w:b/>
          <w:bCs/>
          <w:color w:val="auto"/>
          <w:sz w:val="22"/>
          <w:szCs w:val="22"/>
          <w:highlight w:val="none"/>
          <w:u w:val="single"/>
          <w:lang w:val="en-US" w:eastAsia="zh-CN"/>
        </w:rPr>
        <w:t>②</w:t>
      </w:r>
      <w:r>
        <w:rPr>
          <w:rFonts w:hint="eastAsia" w:ascii="宋体" w:hAnsi="宋体" w:eastAsia="宋体" w:cs="宋体"/>
          <w:b/>
          <w:bCs/>
          <w:color w:val="auto"/>
          <w:sz w:val="22"/>
          <w:szCs w:val="22"/>
          <w:highlight w:val="none"/>
          <w:u w:val="single"/>
          <w:lang w:val="zh-CN"/>
        </w:rPr>
        <w:t>投标文件中必须提供《中小企业声明函》。</w:t>
      </w:r>
    </w:p>
    <w:p>
      <w:pPr>
        <w:spacing w:line="460" w:lineRule="exact"/>
        <w:ind w:firstLine="541" w:firstLineChars="245"/>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lang w:val="zh-CN"/>
        </w:rPr>
        <w:t>监狱企业视同小微企业，其产品参加本项目投标的，享受小微企业同等的价格扣除。</w:t>
      </w:r>
    </w:p>
    <w:p>
      <w:pPr>
        <w:spacing w:line="460" w:lineRule="exact"/>
        <w:rPr>
          <w:rFonts w:hint="eastAsia" w:ascii="宋体" w:hAnsi="宋体" w:eastAsia="宋体" w:cs="宋体"/>
          <w:b/>
          <w:bCs/>
          <w:color w:val="auto"/>
          <w:sz w:val="22"/>
          <w:szCs w:val="22"/>
          <w:highlight w:val="none"/>
          <w:u w:val="single"/>
        </w:rPr>
      </w:pPr>
      <w:r>
        <w:rPr>
          <w:rFonts w:hint="eastAsia" w:ascii="宋体" w:hAnsi="宋体" w:eastAsia="宋体" w:cs="宋体"/>
          <w:b/>
          <w:color w:val="auto"/>
          <w:sz w:val="22"/>
          <w:szCs w:val="22"/>
          <w:highlight w:val="none"/>
        </w:rPr>
        <w:t xml:space="preserve">   </w:t>
      </w:r>
      <w:r>
        <w:rPr>
          <w:rFonts w:hint="eastAsia" w:ascii="宋体" w:hAnsi="宋体" w:eastAsia="宋体" w:cs="宋体"/>
          <w:b/>
          <w:bCs/>
          <w:color w:val="auto"/>
          <w:sz w:val="22"/>
          <w:szCs w:val="22"/>
          <w:highlight w:val="none"/>
          <w:u w:val="singl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41" w:firstLineChars="245"/>
        <w:outlineLvl w:val="1"/>
        <w:rPr>
          <w:rFonts w:hint="eastAsia" w:ascii="宋体" w:hAnsi="宋体" w:eastAsia="宋体" w:cs="宋体"/>
          <w:b/>
          <w:bCs/>
          <w:color w:val="auto"/>
          <w:sz w:val="22"/>
          <w:szCs w:val="22"/>
          <w:highlight w:val="none"/>
        </w:rPr>
      </w:pPr>
      <w:bookmarkStart w:id="58" w:name="_Toc4727"/>
      <w:bookmarkStart w:id="59" w:name="_Toc2482"/>
      <w:r>
        <w:rPr>
          <w:rFonts w:hint="eastAsia" w:ascii="宋体" w:hAnsi="宋体" w:eastAsia="宋体" w:cs="宋体"/>
          <w:b/>
          <w:bCs/>
          <w:color w:val="auto"/>
          <w:sz w:val="22"/>
          <w:szCs w:val="22"/>
          <w:highlight w:val="none"/>
        </w:rPr>
        <w:t>六、定标办法</w:t>
      </w:r>
      <w:bookmarkEnd w:id="58"/>
      <w:bookmarkEnd w:id="59"/>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确定中标候选人</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1.1由评标委员会确定中标候选人。</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2、确定中标人</w:t>
      </w:r>
    </w:p>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     2.1招标人按照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中标人确定后，招标人将在指定媒体公告中标结果，招标人向中标人发出中标通知书。</w:t>
      </w:r>
    </w:p>
    <w:p>
      <w:pPr>
        <w:spacing w:line="460" w:lineRule="exact"/>
        <w:ind w:firstLine="541" w:firstLineChars="245"/>
        <w:outlineLvl w:val="1"/>
        <w:rPr>
          <w:rFonts w:hint="eastAsia" w:ascii="宋体" w:hAnsi="宋体" w:eastAsia="宋体" w:cs="宋体"/>
          <w:b/>
          <w:color w:val="auto"/>
          <w:sz w:val="22"/>
          <w:szCs w:val="22"/>
          <w:highlight w:val="none"/>
        </w:rPr>
      </w:pPr>
      <w:bookmarkStart w:id="60" w:name="_Toc17587"/>
      <w:bookmarkStart w:id="61" w:name="_Toc3629"/>
      <w:r>
        <w:rPr>
          <w:rFonts w:hint="eastAsia" w:ascii="宋体" w:hAnsi="宋体" w:eastAsia="宋体" w:cs="宋体"/>
          <w:b/>
          <w:color w:val="auto"/>
          <w:sz w:val="22"/>
          <w:szCs w:val="22"/>
          <w:highlight w:val="none"/>
        </w:rPr>
        <w:t>七、投标人义务</w:t>
      </w:r>
      <w:bookmarkEnd w:id="60"/>
      <w:bookmarkEnd w:id="61"/>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投标人应随时接受评标委员会的询标，解答包括有关的商务、技术问题等。评标结束，所有评标资料存招标机构备查。</w:t>
      </w:r>
    </w:p>
    <w:sectPr>
      <w:headerReference r:id="rId5" w:type="default"/>
      <w:footerReference r:id="rId6" w:type="default"/>
      <w:pgSz w:w="11906" w:h="16838"/>
      <w:pgMar w:top="1134" w:right="1134" w:bottom="1134" w:left="1134" w:header="850"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Century Gothic">
    <w:altName w:val="Yu Gothic UI"/>
    <w:panose1 w:val="020B0502020202020204"/>
    <w:charset w:val="00"/>
    <w:family w:val="swiss"/>
    <w:pitch w:val="default"/>
    <w:sig w:usb0="00000000"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7"/>
      </w:rPr>
    </w:pPr>
    <w:r>
      <w:fldChar w:fldCharType="begin"/>
    </w:r>
    <w:r>
      <w:rPr>
        <w:rStyle w:val="57"/>
      </w:rPr>
      <w:instrText xml:space="preserve">PAGE  </w:instrText>
    </w:r>
    <w:r>
      <w:fldChar w:fldCharType="separate"/>
    </w:r>
    <w:r>
      <w:rPr>
        <w:rStyle w:val="57"/>
      </w:rPr>
      <w:t>28</w:t>
    </w:r>
    <w:r>
      <w:fldChar w:fldCharType="end"/>
    </w:r>
  </w:p>
  <w:p>
    <w:pPr>
      <w:pStyle w:val="36"/>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7"/>
      </w:rPr>
    </w:pPr>
    <w:r>
      <w:fldChar w:fldCharType="begin"/>
    </w:r>
    <w:r>
      <w:rPr>
        <w:rStyle w:val="57"/>
      </w:rPr>
      <w:instrText xml:space="preserve">PAGE  </w:instrText>
    </w:r>
    <w:r>
      <w:fldChar w:fldCharType="separate"/>
    </w:r>
    <w:r>
      <w:rPr>
        <w:rStyle w:val="57"/>
      </w:rPr>
      <w:t>72</w:t>
    </w:r>
    <w:r>
      <w:fldChar w:fldCharType="end"/>
    </w:r>
  </w:p>
  <w:p>
    <w:pPr>
      <w:pStyle w:val="36"/>
      <w:ind w:right="360"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single" w:color="auto" w:sz="6" w:space="0"/>
      </w:pBdr>
      <w:jc w:val="both"/>
    </w:pPr>
    <w:r>
      <w:rPr>
        <w:rFonts w:hint="eastAsia"/>
        <w:lang w:eastAsia="zh-CN"/>
      </w:rPr>
      <w:t>温州市中医院</w:t>
    </w:r>
    <w:r>
      <w:rPr>
        <w:rFonts w:hint="eastAsia"/>
      </w:rPr>
      <w:t>招标文件                                             项目编号：</w:t>
    </w:r>
    <w:r>
      <w:rPr>
        <w:rFonts w:hint="eastAsia"/>
        <w:lang w:eastAsia="zh-CN"/>
      </w:rPr>
      <w:t xml:space="preserve">WZLCZB（W）-2023-01002 </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single" w:color="auto" w:sz="6" w:space="0"/>
      </w:pBdr>
      <w:jc w:val="both"/>
    </w:pPr>
    <w:r>
      <w:rPr>
        <w:rFonts w:hint="eastAsia"/>
        <w:lang w:eastAsia="zh-CN"/>
      </w:rPr>
      <w:t>温州市中医院</w:t>
    </w:r>
    <w:r>
      <w:rPr>
        <w:rFonts w:hint="eastAsia"/>
      </w:rPr>
      <w:t>招标文件                                             项目编号：</w:t>
    </w:r>
    <w:r>
      <w:rPr>
        <w:rFonts w:hint="eastAsia"/>
        <w:lang w:eastAsia="zh-CN"/>
      </w:rPr>
      <w:t xml:space="preserve">WZLCZB（W）-2023-01002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66A58"/>
    <w:multiLevelType w:val="singleLevel"/>
    <w:tmpl w:val="86B66A58"/>
    <w:lvl w:ilvl="0" w:tentative="0">
      <w:start w:val="3"/>
      <w:numFmt w:val="decimal"/>
      <w:lvlText w:val="%1."/>
      <w:lvlJc w:val="left"/>
      <w:pPr>
        <w:tabs>
          <w:tab w:val="left" w:pos="312"/>
        </w:tabs>
      </w:pPr>
    </w:lvl>
  </w:abstractNum>
  <w:abstractNum w:abstractNumId="1">
    <w:nsid w:val="9DED2AFC"/>
    <w:multiLevelType w:val="singleLevel"/>
    <w:tmpl w:val="9DED2AFC"/>
    <w:lvl w:ilvl="0" w:tentative="0">
      <w:start w:val="4"/>
      <w:numFmt w:val="chineseCounting"/>
      <w:suff w:val="space"/>
      <w:lvlText w:val="第%1部分"/>
      <w:lvlJc w:val="left"/>
      <w:rPr>
        <w:rFonts w:hint="eastAsia"/>
      </w:rPr>
    </w:lvl>
  </w:abstractNum>
  <w:abstractNum w:abstractNumId="2">
    <w:nsid w:val="B1C0EE6B"/>
    <w:multiLevelType w:val="singleLevel"/>
    <w:tmpl w:val="B1C0EE6B"/>
    <w:lvl w:ilvl="0" w:tentative="0">
      <w:start w:val="5"/>
      <w:numFmt w:val="chineseCounting"/>
      <w:suff w:val="nothing"/>
      <w:lvlText w:val="%1、"/>
      <w:lvlJc w:val="left"/>
      <w:rPr>
        <w:rFonts w:hint="eastAsia"/>
      </w:rPr>
    </w:lvl>
  </w:abstractNum>
  <w:abstractNum w:abstractNumId="3">
    <w:nsid w:val="BAF9EC89"/>
    <w:multiLevelType w:val="singleLevel"/>
    <w:tmpl w:val="BAF9EC89"/>
    <w:lvl w:ilvl="0" w:tentative="0">
      <w:start w:val="1"/>
      <w:numFmt w:val="chineseCounting"/>
      <w:suff w:val="nothing"/>
      <w:lvlText w:val="（%1）"/>
      <w:lvlJc w:val="left"/>
      <w:rPr>
        <w:rFonts w:hint="eastAsia"/>
      </w:rPr>
    </w:lvl>
  </w:abstractNum>
  <w:abstractNum w:abstractNumId="4">
    <w:nsid w:val="CD31F181"/>
    <w:multiLevelType w:val="singleLevel"/>
    <w:tmpl w:val="CD31F181"/>
    <w:lvl w:ilvl="0" w:tentative="0">
      <w:start w:val="1"/>
      <w:numFmt w:val="decimal"/>
      <w:suff w:val="nothing"/>
      <w:lvlText w:val="%1、"/>
      <w:lvlJc w:val="left"/>
    </w:lvl>
  </w:abstractNum>
  <w:abstractNum w:abstractNumId="5">
    <w:nsid w:val="00000012"/>
    <w:multiLevelType w:val="multilevel"/>
    <w:tmpl w:val="00000012"/>
    <w:lvl w:ilvl="0" w:tentative="0">
      <w:start w:val="1"/>
      <w:numFmt w:val="decimal"/>
      <w:lvlText w:val="%1"/>
      <w:lvlJc w:val="left"/>
      <w:pPr>
        <w:tabs>
          <w:tab w:val="left" w:pos="425"/>
        </w:tabs>
        <w:ind w:left="425" w:hanging="425"/>
      </w:pPr>
      <w:rPr>
        <w:rFonts w:hint="default" w:ascii="Times New Roman" w:hAnsi="Times New Roman" w:eastAsia="楷体_GB2312"/>
      </w:rPr>
    </w:lvl>
    <w:lvl w:ilvl="1" w:tentative="0">
      <w:start w:val="1"/>
      <w:numFmt w:val="decimal"/>
      <w:lvlText w:val="%1.%2"/>
      <w:lvlJc w:val="left"/>
      <w:pPr>
        <w:tabs>
          <w:tab w:val="left" w:pos="567"/>
        </w:tabs>
        <w:ind w:left="567" w:hanging="567"/>
      </w:pPr>
      <w:rPr>
        <w:rFonts w:hint="default" w:ascii="Times New Roman" w:hAnsi="Times New Roman" w:eastAsia="楷体_GB2312"/>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
    <w:nsid w:val="2D177BD0"/>
    <w:multiLevelType w:val="multilevel"/>
    <w:tmpl w:val="2D177BD0"/>
    <w:lvl w:ilvl="0" w:tentative="0">
      <w:start w:val="1"/>
      <w:numFmt w:val="decimal"/>
      <w:pStyle w:val="342"/>
      <w:suff w:val="nothing"/>
      <w:lvlText w:val="%1"/>
      <w:lvlJc w:val="left"/>
      <w:pPr>
        <w:ind w:left="0" w:firstLine="0"/>
      </w:pPr>
      <w:rPr>
        <w:rFonts w:hint="eastAsia" w:ascii="微软雅黑" w:hAnsi="微软雅黑" w:eastAsia="微软雅黑"/>
        <w:b w:val="0"/>
        <w:sz w:val="24"/>
      </w:rPr>
    </w:lvl>
    <w:lvl w:ilvl="1" w:tentative="0">
      <w:start w:val="1"/>
      <w:numFmt w:val="decimal"/>
      <w:pStyle w:val="343"/>
      <w:suff w:val="nothing"/>
      <w:lvlText w:val="%1.%2"/>
      <w:lvlJc w:val="left"/>
      <w:pPr>
        <w:ind w:left="0" w:firstLine="0"/>
      </w:pPr>
      <w:rPr>
        <w:rFonts w:hint="eastAsia" w:ascii="微软雅黑" w:hAnsi="微软雅黑" w:eastAsia="微软雅黑"/>
        <w:sz w:val="24"/>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40515ABD"/>
    <w:multiLevelType w:val="singleLevel"/>
    <w:tmpl w:val="40515ABD"/>
    <w:lvl w:ilvl="0" w:tentative="0">
      <w:start w:val="1"/>
      <w:numFmt w:val="decimal"/>
      <w:pStyle w:val="14"/>
      <w:lvlText w:val="%1."/>
      <w:lvlJc w:val="left"/>
      <w:pPr>
        <w:tabs>
          <w:tab w:val="left" w:pos="780"/>
        </w:tabs>
        <w:ind w:left="780" w:hanging="360"/>
      </w:pPr>
    </w:lvl>
  </w:abstractNum>
  <w:abstractNum w:abstractNumId="8">
    <w:nsid w:val="4DF73F39"/>
    <w:multiLevelType w:val="multilevel"/>
    <w:tmpl w:val="4DF73F39"/>
    <w:lvl w:ilvl="0" w:tentative="0">
      <w:start w:val="1"/>
      <w:numFmt w:val="decimal"/>
      <w:suff w:val="nothing"/>
      <w:lvlText w:val="%1"/>
      <w:lvlJc w:val="left"/>
      <w:pPr>
        <w:ind w:left="0" w:firstLine="0"/>
      </w:pPr>
      <w:rPr>
        <w:rFonts w:hint="default"/>
        <w:b w:val="0"/>
      </w:rPr>
    </w:lvl>
    <w:lvl w:ilvl="1" w:tentative="0">
      <w:start w:val="1"/>
      <w:numFmt w:val="decimal"/>
      <w:pStyle w:val="344"/>
      <w:suff w:val="nothing"/>
      <w:lvlText w:val="%1.%2"/>
      <w:lvlJc w:val="left"/>
      <w:pPr>
        <w:ind w:left="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52D7A3B6"/>
    <w:multiLevelType w:val="singleLevel"/>
    <w:tmpl w:val="52D7A3B6"/>
    <w:lvl w:ilvl="0" w:tentative="0">
      <w:start w:val="1"/>
      <w:numFmt w:val="decimal"/>
      <w:suff w:val="nothing"/>
      <w:lvlText w:val="（%1）"/>
      <w:lvlJc w:val="left"/>
    </w:lvl>
  </w:abstractNum>
  <w:num w:numId="1">
    <w:abstractNumId w:val="7"/>
  </w:num>
  <w:num w:numId="2">
    <w:abstractNumId w:val="6"/>
  </w:num>
  <w:num w:numId="3">
    <w:abstractNumId w:val="8"/>
  </w:num>
  <w:num w:numId="4">
    <w:abstractNumId w:val="0"/>
  </w:num>
  <w:num w:numId="5">
    <w:abstractNumId w:val="9"/>
  </w:num>
  <w:num w:numId="6">
    <w:abstractNumId w:val="5"/>
  </w:num>
  <w:num w:numId="7">
    <w:abstractNumId w:val="4"/>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0"/>
  <w:defaultTabStop w:val="420"/>
  <w:drawingGridHorizontalSpacing w:val="210"/>
  <w:drawingGridVerticalSpacing w:val="1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MWM5NGU2MDc5OTRkNGVlMjY0YzBlOGEyZjc4ODEifQ=="/>
  </w:docVars>
  <w:rsids>
    <w:rsidRoot w:val="00172A27"/>
    <w:rsid w:val="000149E3"/>
    <w:rsid w:val="00020693"/>
    <w:rsid w:val="000217C7"/>
    <w:rsid w:val="00026A46"/>
    <w:rsid w:val="00027D0D"/>
    <w:rsid w:val="00031F49"/>
    <w:rsid w:val="00037B6F"/>
    <w:rsid w:val="000474B4"/>
    <w:rsid w:val="00063600"/>
    <w:rsid w:val="00090AE6"/>
    <w:rsid w:val="000A6326"/>
    <w:rsid w:val="000B2878"/>
    <w:rsid w:val="0010260A"/>
    <w:rsid w:val="0013451B"/>
    <w:rsid w:val="00146E35"/>
    <w:rsid w:val="00172A27"/>
    <w:rsid w:val="00176791"/>
    <w:rsid w:val="0019644F"/>
    <w:rsid w:val="001B0F17"/>
    <w:rsid w:val="001B2275"/>
    <w:rsid w:val="001D4048"/>
    <w:rsid w:val="001D49A1"/>
    <w:rsid w:val="001E7897"/>
    <w:rsid w:val="001F5D2B"/>
    <w:rsid w:val="002018F6"/>
    <w:rsid w:val="002044B9"/>
    <w:rsid w:val="00212172"/>
    <w:rsid w:val="00223CC1"/>
    <w:rsid w:val="00227214"/>
    <w:rsid w:val="00230913"/>
    <w:rsid w:val="00243D5B"/>
    <w:rsid w:val="002447E7"/>
    <w:rsid w:val="00261F3C"/>
    <w:rsid w:val="00270294"/>
    <w:rsid w:val="00271C2D"/>
    <w:rsid w:val="002843F3"/>
    <w:rsid w:val="00296547"/>
    <w:rsid w:val="002A31D6"/>
    <w:rsid w:val="002B5782"/>
    <w:rsid w:val="002C08AE"/>
    <w:rsid w:val="002C09AD"/>
    <w:rsid w:val="002D20EE"/>
    <w:rsid w:val="002D2D3D"/>
    <w:rsid w:val="002E7DAB"/>
    <w:rsid w:val="003058EA"/>
    <w:rsid w:val="00327AB8"/>
    <w:rsid w:val="00350DF6"/>
    <w:rsid w:val="00351F86"/>
    <w:rsid w:val="00352124"/>
    <w:rsid w:val="0035435E"/>
    <w:rsid w:val="00357388"/>
    <w:rsid w:val="00357A7B"/>
    <w:rsid w:val="003654EF"/>
    <w:rsid w:val="00372FCF"/>
    <w:rsid w:val="00373BB2"/>
    <w:rsid w:val="00380B23"/>
    <w:rsid w:val="00383F1F"/>
    <w:rsid w:val="003B0A15"/>
    <w:rsid w:val="003B1471"/>
    <w:rsid w:val="003B5050"/>
    <w:rsid w:val="003C713C"/>
    <w:rsid w:val="00405F28"/>
    <w:rsid w:val="0041137E"/>
    <w:rsid w:val="00430AB9"/>
    <w:rsid w:val="00441256"/>
    <w:rsid w:val="0045663E"/>
    <w:rsid w:val="00461389"/>
    <w:rsid w:val="0046542D"/>
    <w:rsid w:val="00481BD3"/>
    <w:rsid w:val="004B66F1"/>
    <w:rsid w:val="004C013A"/>
    <w:rsid w:val="004C7034"/>
    <w:rsid w:val="005001D6"/>
    <w:rsid w:val="00522EF2"/>
    <w:rsid w:val="005238A3"/>
    <w:rsid w:val="00526065"/>
    <w:rsid w:val="00532669"/>
    <w:rsid w:val="00533C40"/>
    <w:rsid w:val="00555FA3"/>
    <w:rsid w:val="00561E5D"/>
    <w:rsid w:val="0056534C"/>
    <w:rsid w:val="00565E01"/>
    <w:rsid w:val="005674BB"/>
    <w:rsid w:val="00572B8A"/>
    <w:rsid w:val="00582AEF"/>
    <w:rsid w:val="00586839"/>
    <w:rsid w:val="00587A14"/>
    <w:rsid w:val="005A1DD3"/>
    <w:rsid w:val="005A3AA2"/>
    <w:rsid w:val="005A65DF"/>
    <w:rsid w:val="005B3595"/>
    <w:rsid w:val="005C388F"/>
    <w:rsid w:val="00607A59"/>
    <w:rsid w:val="00631E7A"/>
    <w:rsid w:val="0064398C"/>
    <w:rsid w:val="00644CD7"/>
    <w:rsid w:val="00647AB1"/>
    <w:rsid w:val="00654A9F"/>
    <w:rsid w:val="00692D32"/>
    <w:rsid w:val="00696C82"/>
    <w:rsid w:val="006A1CF7"/>
    <w:rsid w:val="006B3E1C"/>
    <w:rsid w:val="006D6C7C"/>
    <w:rsid w:val="006E2672"/>
    <w:rsid w:val="007068AC"/>
    <w:rsid w:val="00722BB3"/>
    <w:rsid w:val="00740E65"/>
    <w:rsid w:val="00753072"/>
    <w:rsid w:val="007546B0"/>
    <w:rsid w:val="007671B7"/>
    <w:rsid w:val="00774E3F"/>
    <w:rsid w:val="00776F48"/>
    <w:rsid w:val="00780CBF"/>
    <w:rsid w:val="00781B95"/>
    <w:rsid w:val="007A21E8"/>
    <w:rsid w:val="007A62BD"/>
    <w:rsid w:val="007B564B"/>
    <w:rsid w:val="007B769B"/>
    <w:rsid w:val="007E29D6"/>
    <w:rsid w:val="007F2164"/>
    <w:rsid w:val="00800A72"/>
    <w:rsid w:val="00804ACD"/>
    <w:rsid w:val="0080543D"/>
    <w:rsid w:val="00817CE2"/>
    <w:rsid w:val="00831C7B"/>
    <w:rsid w:val="00832D9C"/>
    <w:rsid w:val="00836E00"/>
    <w:rsid w:val="00846CC5"/>
    <w:rsid w:val="00850622"/>
    <w:rsid w:val="00870DFA"/>
    <w:rsid w:val="00871EBE"/>
    <w:rsid w:val="00873949"/>
    <w:rsid w:val="00875629"/>
    <w:rsid w:val="00877499"/>
    <w:rsid w:val="00892732"/>
    <w:rsid w:val="00893202"/>
    <w:rsid w:val="0089599B"/>
    <w:rsid w:val="008A127E"/>
    <w:rsid w:val="008B2FA9"/>
    <w:rsid w:val="008C2D7B"/>
    <w:rsid w:val="008C31BC"/>
    <w:rsid w:val="008D62C9"/>
    <w:rsid w:val="008D75C3"/>
    <w:rsid w:val="008E0B76"/>
    <w:rsid w:val="008E26D5"/>
    <w:rsid w:val="008F4E37"/>
    <w:rsid w:val="008F7BE3"/>
    <w:rsid w:val="008F7D27"/>
    <w:rsid w:val="00902AA2"/>
    <w:rsid w:val="009254A6"/>
    <w:rsid w:val="0093089E"/>
    <w:rsid w:val="00933974"/>
    <w:rsid w:val="00936127"/>
    <w:rsid w:val="00945DCB"/>
    <w:rsid w:val="009652E5"/>
    <w:rsid w:val="00973F7A"/>
    <w:rsid w:val="0097671D"/>
    <w:rsid w:val="00977673"/>
    <w:rsid w:val="00987F54"/>
    <w:rsid w:val="00991B38"/>
    <w:rsid w:val="00996305"/>
    <w:rsid w:val="009C748F"/>
    <w:rsid w:val="009E4D45"/>
    <w:rsid w:val="00A24A5C"/>
    <w:rsid w:val="00A42424"/>
    <w:rsid w:val="00A45873"/>
    <w:rsid w:val="00A56219"/>
    <w:rsid w:val="00A61866"/>
    <w:rsid w:val="00A77176"/>
    <w:rsid w:val="00A92B83"/>
    <w:rsid w:val="00A957CF"/>
    <w:rsid w:val="00AA3DA6"/>
    <w:rsid w:val="00AA7C87"/>
    <w:rsid w:val="00AD66E6"/>
    <w:rsid w:val="00AE4B39"/>
    <w:rsid w:val="00AF7BEB"/>
    <w:rsid w:val="00B06E43"/>
    <w:rsid w:val="00B2584A"/>
    <w:rsid w:val="00B41362"/>
    <w:rsid w:val="00B43A9E"/>
    <w:rsid w:val="00B44537"/>
    <w:rsid w:val="00B5466C"/>
    <w:rsid w:val="00B74039"/>
    <w:rsid w:val="00B87E26"/>
    <w:rsid w:val="00B9767A"/>
    <w:rsid w:val="00BA78D1"/>
    <w:rsid w:val="00BC0A13"/>
    <w:rsid w:val="00BC2B54"/>
    <w:rsid w:val="00BC4AC5"/>
    <w:rsid w:val="00BC66D1"/>
    <w:rsid w:val="00BF1399"/>
    <w:rsid w:val="00BF32BD"/>
    <w:rsid w:val="00C12358"/>
    <w:rsid w:val="00C232C8"/>
    <w:rsid w:val="00C468B7"/>
    <w:rsid w:val="00C67C97"/>
    <w:rsid w:val="00C70CE6"/>
    <w:rsid w:val="00C758F7"/>
    <w:rsid w:val="00C816DD"/>
    <w:rsid w:val="00C95163"/>
    <w:rsid w:val="00CB584C"/>
    <w:rsid w:val="00CC06DE"/>
    <w:rsid w:val="00CC3B91"/>
    <w:rsid w:val="00CE590D"/>
    <w:rsid w:val="00CF5C76"/>
    <w:rsid w:val="00D00FFE"/>
    <w:rsid w:val="00D13A1C"/>
    <w:rsid w:val="00D224FF"/>
    <w:rsid w:val="00D27DB2"/>
    <w:rsid w:val="00D3078D"/>
    <w:rsid w:val="00D30E82"/>
    <w:rsid w:val="00D47AC2"/>
    <w:rsid w:val="00D56369"/>
    <w:rsid w:val="00D70EBE"/>
    <w:rsid w:val="00D73718"/>
    <w:rsid w:val="00D7763D"/>
    <w:rsid w:val="00D844F8"/>
    <w:rsid w:val="00DB09B7"/>
    <w:rsid w:val="00DB2DE0"/>
    <w:rsid w:val="00DB41D0"/>
    <w:rsid w:val="00DF073C"/>
    <w:rsid w:val="00DF0B3F"/>
    <w:rsid w:val="00E02244"/>
    <w:rsid w:val="00E05AD1"/>
    <w:rsid w:val="00E11D98"/>
    <w:rsid w:val="00E15CD1"/>
    <w:rsid w:val="00E22045"/>
    <w:rsid w:val="00E248CD"/>
    <w:rsid w:val="00E36483"/>
    <w:rsid w:val="00E53874"/>
    <w:rsid w:val="00E56BD4"/>
    <w:rsid w:val="00E57D1E"/>
    <w:rsid w:val="00E72ABC"/>
    <w:rsid w:val="00E74DBC"/>
    <w:rsid w:val="00E76E5A"/>
    <w:rsid w:val="00EC182D"/>
    <w:rsid w:val="00EC6C26"/>
    <w:rsid w:val="00EC7DF8"/>
    <w:rsid w:val="00ED2873"/>
    <w:rsid w:val="00ED3B24"/>
    <w:rsid w:val="00ED7497"/>
    <w:rsid w:val="00EE45C7"/>
    <w:rsid w:val="00EF4A4C"/>
    <w:rsid w:val="00F03D32"/>
    <w:rsid w:val="00F06ABE"/>
    <w:rsid w:val="00F270F8"/>
    <w:rsid w:val="00F27576"/>
    <w:rsid w:val="00F36312"/>
    <w:rsid w:val="00F5082C"/>
    <w:rsid w:val="00F52CCB"/>
    <w:rsid w:val="00F52CD3"/>
    <w:rsid w:val="00F52E99"/>
    <w:rsid w:val="00F60DCB"/>
    <w:rsid w:val="00F80AAA"/>
    <w:rsid w:val="00F93BBA"/>
    <w:rsid w:val="00F95280"/>
    <w:rsid w:val="00FA662A"/>
    <w:rsid w:val="00FB0E0C"/>
    <w:rsid w:val="00FB1229"/>
    <w:rsid w:val="00FC44CE"/>
    <w:rsid w:val="00FD52B1"/>
    <w:rsid w:val="00FF3A66"/>
    <w:rsid w:val="00FF6977"/>
    <w:rsid w:val="0116709E"/>
    <w:rsid w:val="01606883"/>
    <w:rsid w:val="020D29B1"/>
    <w:rsid w:val="021F7DAD"/>
    <w:rsid w:val="0224444B"/>
    <w:rsid w:val="022D7429"/>
    <w:rsid w:val="02451328"/>
    <w:rsid w:val="027D25C0"/>
    <w:rsid w:val="02841565"/>
    <w:rsid w:val="029411C5"/>
    <w:rsid w:val="02B3222E"/>
    <w:rsid w:val="02F63BA4"/>
    <w:rsid w:val="031D0871"/>
    <w:rsid w:val="03283281"/>
    <w:rsid w:val="03331487"/>
    <w:rsid w:val="034A64CB"/>
    <w:rsid w:val="039714E5"/>
    <w:rsid w:val="03BE392F"/>
    <w:rsid w:val="03E13A1E"/>
    <w:rsid w:val="04156ACE"/>
    <w:rsid w:val="042A5AFC"/>
    <w:rsid w:val="043D6DF1"/>
    <w:rsid w:val="043F2279"/>
    <w:rsid w:val="044865A2"/>
    <w:rsid w:val="048D46D7"/>
    <w:rsid w:val="04A01243"/>
    <w:rsid w:val="04C27070"/>
    <w:rsid w:val="04E23C80"/>
    <w:rsid w:val="04FD6D0A"/>
    <w:rsid w:val="050751FC"/>
    <w:rsid w:val="05166806"/>
    <w:rsid w:val="0529508C"/>
    <w:rsid w:val="053A30CA"/>
    <w:rsid w:val="057D25F0"/>
    <w:rsid w:val="05936339"/>
    <w:rsid w:val="05992721"/>
    <w:rsid w:val="05D2623C"/>
    <w:rsid w:val="05D76F02"/>
    <w:rsid w:val="062F7E7F"/>
    <w:rsid w:val="0650016B"/>
    <w:rsid w:val="06695ADA"/>
    <w:rsid w:val="067F52AB"/>
    <w:rsid w:val="06E17425"/>
    <w:rsid w:val="06E81491"/>
    <w:rsid w:val="07081502"/>
    <w:rsid w:val="072046E3"/>
    <w:rsid w:val="07373C8C"/>
    <w:rsid w:val="074234A9"/>
    <w:rsid w:val="0747552D"/>
    <w:rsid w:val="07592C30"/>
    <w:rsid w:val="07791E20"/>
    <w:rsid w:val="078177D5"/>
    <w:rsid w:val="07924879"/>
    <w:rsid w:val="079C0E64"/>
    <w:rsid w:val="07D60F62"/>
    <w:rsid w:val="08621901"/>
    <w:rsid w:val="08911C02"/>
    <w:rsid w:val="08913549"/>
    <w:rsid w:val="08B53A61"/>
    <w:rsid w:val="08E76FD5"/>
    <w:rsid w:val="08FD20E7"/>
    <w:rsid w:val="09101BCD"/>
    <w:rsid w:val="09315C91"/>
    <w:rsid w:val="09510BFE"/>
    <w:rsid w:val="097E368B"/>
    <w:rsid w:val="09816EE6"/>
    <w:rsid w:val="09A34824"/>
    <w:rsid w:val="09B85302"/>
    <w:rsid w:val="09B94936"/>
    <w:rsid w:val="09D26DBF"/>
    <w:rsid w:val="09F65854"/>
    <w:rsid w:val="0A07422F"/>
    <w:rsid w:val="0A1B49C1"/>
    <w:rsid w:val="0A3D0590"/>
    <w:rsid w:val="0A7416D8"/>
    <w:rsid w:val="0A8945EB"/>
    <w:rsid w:val="0AD95380"/>
    <w:rsid w:val="0BA6654D"/>
    <w:rsid w:val="0BAC1F4C"/>
    <w:rsid w:val="0BBE4F63"/>
    <w:rsid w:val="0BDA530A"/>
    <w:rsid w:val="0C0247C0"/>
    <w:rsid w:val="0C353302"/>
    <w:rsid w:val="0C496297"/>
    <w:rsid w:val="0C525237"/>
    <w:rsid w:val="0C660E5E"/>
    <w:rsid w:val="0C7C51F9"/>
    <w:rsid w:val="0C9A109E"/>
    <w:rsid w:val="0CA74D09"/>
    <w:rsid w:val="0CA9483B"/>
    <w:rsid w:val="0CC51217"/>
    <w:rsid w:val="0CEB3B93"/>
    <w:rsid w:val="0D0A01F7"/>
    <w:rsid w:val="0D1F1C9D"/>
    <w:rsid w:val="0D3F6C37"/>
    <w:rsid w:val="0D455E47"/>
    <w:rsid w:val="0D735BCC"/>
    <w:rsid w:val="0D7C2119"/>
    <w:rsid w:val="0D920730"/>
    <w:rsid w:val="0DE33D9A"/>
    <w:rsid w:val="0E022677"/>
    <w:rsid w:val="0E064CB1"/>
    <w:rsid w:val="0E174C2F"/>
    <w:rsid w:val="0E4706D1"/>
    <w:rsid w:val="0E4B6575"/>
    <w:rsid w:val="0E5C2643"/>
    <w:rsid w:val="0E6537C4"/>
    <w:rsid w:val="0E701E1B"/>
    <w:rsid w:val="0E750CB0"/>
    <w:rsid w:val="0E8E6882"/>
    <w:rsid w:val="0EE50D43"/>
    <w:rsid w:val="0F0377AE"/>
    <w:rsid w:val="0F0E6EE3"/>
    <w:rsid w:val="0F706416"/>
    <w:rsid w:val="0FCD5779"/>
    <w:rsid w:val="0FD03A0D"/>
    <w:rsid w:val="10381F40"/>
    <w:rsid w:val="104869BA"/>
    <w:rsid w:val="109A2257"/>
    <w:rsid w:val="10E86A6D"/>
    <w:rsid w:val="10F47168"/>
    <w:rsid w:val="110264F1"/>
    <w:rsid w:val="1104198D"/>
    <w:rsid w:val="115434FF"/>
    <w:rsid w:val="115D3896"/>
    <w:rsid w:val="11B62E53"/>
    <w:rsid w:val="12103D4D"/>
    <w:rsid w:val="12345EA5"/>
    <w:rsid w:val="124027F2"/>
    <w:rsid w:val="125A673E"/>
    <w:rsid w:val="12775E6D"/>
    <w:rsid w:val="12A01322"/>
    <w:rsid w:val="12AB0828"/>
    <w:rsid w:val="12E05DF5"/>
    <w:rsid w:val="133616DD"/>
    <w:rsid w:val="13582BF6"/>
    <w:rsid w:val="13583E3E"/>
    <w:rsid w:val="136156A3"/>
    <w:rsid w:val="138356B4"/>
    <w:rsid w:val="13884680"/>
    <w:rsid w:val="13996DA4"/>
    <w:rsid w:val="139A2D7A"/>
    <w:rsid w:val="13A56966"/>
    <w:rsid w:val="13B56A40"/>
    <w:rsid w:val="13D309B3"/>
    <w:rsid w:val="13EC3F05"/>
    <w:rsid w:val="14077D57"/>
    <w:rsid w:val="143079B7"/>
    <w:rsid w:val="14342819"/>
    <w:rsid w:val="14965811"/>
    <w:rsid w:val="14CE5CB2"/>
    <w:rsid w:val="14D92610"/>
    <w:rsid w:val="15001500"/>
    <w:rsid w:val="154A25D7"/>
    <w:rsid w:val="15525604"/>
    <w:rsid w:val="155E753C"/>
    <w:rsid w:val="156E5828"/>
    <w:rsid w:val="15B36E57"/>
    <w:rsid w:val="15B43A33"/>
    <w:rsid w:val="15C02CFA"/>
    <w:rsid w:val="15D02588"/>
    <w:rsid w:val="16051799"/>
    <w:rsid w:val="163004AD"/>
    <w:rsid w:val="163F31A0"/>
    <w:rsid w:val="164356BB"/>
    <w:rsid w:val="166F777C"/>
    <w:rsid w:val="169C21B8"/>
    <w:rsid w:val="169C6B59"/>
    <w:rsid w:val="16BB60A4"/>
    <w:rsid w:val="16D604C4"/>
    <w:rsid w:val="173A5387"/>
    <w:rsid w:val="17725C57"/>
    <w:rsid w:val="17755246"/>
    <w:rsid w:val="17800AEC"/>
    <w:rsid w:val="18245E40"/>
    <w:rsid w:val="184F1816"/>
    <w:rsid w:val="186B461D"/>
    <w:rsid w:val="188B4950"/>
    <w:rsid w:val="18C7387D"/>
    <w:rsid w:val="18C76564"/>
    <w:rsid w:val="19087A11"/>
    <w:rsid w:val="191B7534"/>
    <w:rsid w:val="196E2C37"/>
    <w:rsid w:val="1974690A"/>
    <w:rsid w:val="1A510684"/>
    <w:rsid w:val="1A6171B2"/>
    <w:rsid w:val="1AA65F2A"/>
    <w:rsid w:val="1AA666F2"/>
    <w:rsid w:val="1ADC340E"/>
    <w:rsid w:val="1AED2C78"/>
    <w:rsid w:val="1AEF15D5"/>
    <w:rsid w:val="1B1F6B22"/>
    <w:rsid w:val="1B343FD0"/>
    <w:rsid w:val="1B356551"/>
    <w:rsid w:val="1B377F92"/>
    <w:rsid w:val="1B3E4ABA"/>
    <w:rsid w:val="1B4B01D4"/>
    <w:rsid w:val="1B9D2D2C"/>
    <w:rsid w:val="1BA800ED"/>
    <w:rsid w:val="1BAB13EA"/>
    <w:rsid w:val="1BBF1820"/>
    <w:rsid w:val="1BE02644"/>
    <w:rsid w:val="1BF27CE6"/>
    <w:rsid w:val="1BF57F17"/>
    <w:rsid w:val="1C13053F"/>
    <w:rsid w:val="1C162BF5"/>
    <w:rsid w:val="1C212DFA"/>
    <w:rsid w:val="1C3065A1"/>
    <w:rsid w:val="1C32514E"/>
    <w:rsid w:val="1C6074FD"/>
    <w:rsid w:val="1C8449C2"/>
    <w:rsid w:val="1C8676F7"/>
    <w:rsid w:val="1C8B5EF5"/>
    <w:rsid w:val="1C9B7764"/>
    <w:rsid w:val="1C9C37E6"/>
    <w:rsid w:val="1CA3081A"/>
    <w:rsid w:val="1CB81673"/>
    <w:rsid w:val="1CEB7EC5"/>
    <w:rsid w:val="1D0A50BD"/>
    <w:rsid w:val="1D2A3DAB"/>
    <w:rsid w:val="1D46542E"/>
    <w:rsid w:val="1D6359BB"/>
    <w:rsid w:val="1D664936"/>
    <w:rsid w:val="1D71729C"/>
    <w:rsid w:val="1D981331"/>
    <w:rsid w:val="1DAB3C89"/>
    <w:rsid w:val="1DC06E93"/>
    <w:rsid w:val="1DCC77C2"/>
    <w:rsid w:val="1DCF4890"/>
    <w:rsid w:val="1DFB57EB"/>
    <w:rsid w:val="1E0062C5"/>
    <w:rsid w:val="1E4F15C4"/>
    <w:rsid w:val="1E665E93"/>
    <w:rsid w:val="1E6D0B8E"/>
    <w:rsid w:val="1E8A1B7B"/>
    <w:rsid w:val="1ED05FDD"/>
    <w:rsid w:val="1EDA4565"/>
    <w:rsid w:val="1F0115E6"/>
    <w:rsid w:val="1F574D7C"/>
    <w:rsid w:val="1F8B73B9"/>
    <w:rsid w:val="1FC0508F"/>
    <w:rsid w:val="1FD17519"/>
    <w:rsid w:val="1FDE37FF"/>
    <w:rsid w:val="1FE87CF6"/>
    <w:rsid w:val="1FFE3B10"/>
    <w:rsid w:val="20142293"/>
    <w:rsid w:val="202875D1"/>
    <w:rsid w:val="203B6405"/>
    <w:rsid w:val="204042C4"/>
    <w:rsid w:val="204434A6"/>
    <w:rsid w:val="205143DE"/>
    <w:rsid w:val="208E2CB0"/>
    <w:rsid w:val="20C7192F"/>
    <w:rsid w:val="20F3606E"/>
    <w:rsid w:val="213009EF"/>
    <w:rsid w:val="213D75BE"/>
    <w:rsid w:val="217A33A1"/>
    <w:rsid w:val="21872636"/>
    <w:rsid w:val="218F2648"/>
    <w:rsid w:val="21AB5C9B"/>
    <w:rsid w:val="21B427AB"/>
    <w:rsid w:val="21BD46E0"/>
    <w:rsid w:val="227C0C68"/>
    <w:rsid w:val="227D1F07"/>
    <w:rsid w:val="22AE5DFE"/>
    <w:rsid w:val="23025E80"/>
    <w:rsid w:val="235C31B0"/>
    <w:rsid w:val="23C16FD2"/>
    <w:rsid w:val="242C445B"/>
    <w:rsid w:val="248B6BF0"/>
    <w:rsid w:val="24975A35"/>
    <w:rsid w:val="24A451C8"/>
    <w:rsid w:val="24B0777F"/>
    <w:rsid w:val="24B7198B"/>
    <w:rsid w:val="24B80E3D"/>
    <w:rsid w:val="24BA3A6C"/>
    <w:rsid w:val="24C14262"/>
    <w:rsid w:val="24DB11B1"/>
    <w:rsid w:val="24DB1DC1"/>
    <w:rsid w:val="254579AD"/>
    <w:rsid w:val="25550995"/>
    <w:rsid w:val="25916749"/>
    <w:rsid w:val="25E5097B"/>
    <w:rsid w:val="25ED1CE2"/>
    <w:rsid w:val="25F220DD"/>
    <w:rsid w:val="260366CA"/>
    <w:rsid w:val="26190B1E"/>
    <w:rsid w:val="261954E5"/>
    <w:rsid w:val="26B25A04"/>
    <w:rsid w:val="26E86A48"/>
    <w:rsid w:val="2707113A"/>
    <w:rsid w:val="27101EDB"/>
    <w:rsid w:val="27450F96"/>
    <w:rsid w:val="27853F81"/>
    <w:rsid w:val="27A03254"/>
    <w:rsid w:val="27A230C5"/>
    <w:rsid w:val="27A851CF"/>
    <w:rsid w:val="27F6755B"/>
    <w:rsid w:val="2835156C"/>
    <w:rsid w:val="285E7742"/>
    <w:rsid w:val="285F589C"/>
    <w:rsid w:val="2860075F"/>
    <w:rsid w:val="288E7537"/>
    <w:rsid w:val="28D51CE9"/>
    <w:rsid w:val="28E0382C"/>
    <w:rsid w:val="28FB2940"/>
    <w:rsid w:val="29231FDE"/>
    <w:rsid w:val="2935387C"/>
    <w:rsid w:val="29923BE6"/>
    <w:rsid w:val="29D70027"/>
    <w:rsid w:val="29E4565C"/>
    <w:rsid w:val="2A217644"/>
    <w:rsid w:val="2A5522DC"/>
    <w:rsid w:val="2A6D7AE4"/>
    <w:rsid w:val="2A81126C"/>
    <w:rsid w:val="2A9A509F"/>
    <w:rsid w:val="2ABE75C5"/>
    <w:rsid w:val="2AC54EDF"/>
    <w:rsid w:val="2ADE1592"/>
    <w:rsid w:val="2AE72478"/>
    <w:rsid w:val="2AFE6BB2"/>
    <w:rsid w:val="2AFF547A"/>
    <w:rsid w:val="2B0F5BE3"/>
    <w:rsid w:val="2B194010"/>
    <w:rsid w:val="2B1A0A86"/>
    <w:rsid w:val="2B766889"/>
    <w:rsid w:val="2BB62C14"/>
    <w:rsid w:val="2BB82208"/>
    <w:rsid w:val="2BC1544C"/>
    <w:rsid w:val="2BD659F3"/>
    <w:rsid w:val="2BF83122"/>
    <w:rsid w:val="2C4D4422"/>
    <w:rsid w:val="2C61592A"/>
    <w:rsid w:val="2CF23348"/>
    <w:rsid w:val="2D0212AF"/>
    <w:rsid w:val="2D0721CE"/>
    <w:rsid w:val="2D2D0FB8"/>
    <w:rsid w:val="2D5369A4"/>
    <w:rsid w:val="2D553E12"/>
    <w:rsid w:val="2D563294"/>
    <w:rsid w:val="2D572DE8"/>
    <w:rsid w:val="2D7657B0"/>
    <w:rsid w:val="2DA92533"/>
    <w:rsid w:val="2DC542FD"/>
    <w:rsid w:val="2E027319"/>
    <w:rsid w:val="2E740C9C"/>
    <w:rsid w:val="2E912614"/>
    <w:rsid w:val="2EB82B9B"/>
    <w:rsid w:val="2EDB211E"/>
    <w:rsid w:val="2F92082D"/>
    <w:rsid w:val="2FAF734F"/>
    <w:rsid w:val="2FB74538"/>
    <w:rsid w:val="2FF16930"/>
    <w:rsid w:val="30255652"/>
    <w:rsid w:val="302A5959"/>
    <w:rsid w:val="305B0C4B"/>
    <w:rsid w:val="306F34C7"/>
    <w:rsid w:val="31024AE6"/>
    <w:rsid w:val="313F60CD"/>
    <w:rsid w:val="316C164E"/>
    <w:rsid w:val="31AC33EA"/>
    <w:rsid w:val="31B469D0"/>
    <w:rsid w:val="31D64F96"/>
    <w:rsid w:val="32017181"/>
    <w:rsid w:val="3202578C"/>
    <w:rsid w:val="326D3B31"/>
    <w:rsid w:val="327021FA"/>
    <w:rsid w:val="329C1DF0"/>
    <w:rsid w:val="329E2BA3"/>
    <w:rsid w:val="32AE7A75"/>
    <w:rsid w:val="32E032B1"/>
    <w:rsid w:val="32EF11A3"/>
    <w:rsid w:val="32EF2028"/>
    <w:rsid w:val="33011C41"/>
    <w:rsid w:val="333C6A3D"/>
    <w:rsid w:val="33420402"/>
    <w:rsid w:val="33644CFD"/>
    <w:rsid w:val="336F7FD4"/>
    <w:rsid w:val="33774568"/>
    <w:rsid w:val="339664B5"/>
    <w:rsid w:val="33A0028D"/>
    <w:rsid w:val="33A570FA"/>
    <w:rsid w:val="33D32C1C"/>
    <w:rsid w:val="33D92429"/>
    <w:rsid w:val="343B3818"/>
    <w:rsid w:val="343C1893"/>
    <w:rsid w:val="3449265D"/>
    <w:rsid w:val="358526AE"/>
    <w:rsid w:val="35B54B22"/>
    <w:rsid w:val="35DF0F8E"/>
    <w:rsid w:val="35E83CBD"/>
    <w:rsid w:val="35EF293B"/>
    <w:rsid w:val="35F13A2A"/>
    <w:rsid w:val="35FB5373"/>
    <w:rsid w:val="35FD564E"/>
    <w:rsid w:val="360453EB"/>
    <w:rsid w:val="362C0965"/>
    <w:rsid w:val="36495F37"/>
    <w:rsid w:val="36523501"/>
    <w:rsid w:val="366A6E58"/>
    <w:rsid w:val="37366041"/>
    <w:rsid w:val="373D0F4E"/>
    <w:rsid w:val="37625DAE"/>
    <w:rsid w:val="377717B0"/>
    <w:rsid w:val="379D7A74"/>
    <w:rsid w:val="37A03DDA"/>
    <w:rsid w:val="37DC389E"/>
    <w:rsid w:val="37E41DF1"/>
    <w:rsid w:val="37FC364E"/>
    <w:rsid w:val="38463090"/>
    <w:rsid w:val="3882116E"/>
    <w:rsid w:val="388234B9"/>
    <w:rsid w:val="38973473"/>
    <w:rsid w:val="38A56CC9"/>
    <w:rsid w:val="38C05F24"/>
    <w:rsid w:val="38D40FAE"/>
    <w:rsid w:val="38D750B8"/>
    <w:rsid w:val="38F2240C"/>
    <w:rsid w:val="38FC5798"/>
    <w:rsid w:val="39171CC0"/>
    <w:rsid w:val="393F39C1"/>
    <w:rsid w:val="3941283A"/>
    <w:rsid w:val="395212E1"/>
    <w:rsid w:val="39976574"/>
    <w:rsid w:val="39A165F9"/>
    <w:rsid w:val="39B72706"/>
    <w:rsid w:val="39C84E5A"/>
    <w:rsid w:val="39FA0921"/>
    <w:rsid w:val="3A3457E8"/>
    <w:rsid w:val="3A3F0320"/>
    <w:rsid w:val="3A536E24"/>
    <w:rsid w:val="3A565A98"/>
    <w:rsid w:val="3A810ECA"/>
    <w:rsid w:val="3A871F8A"/>
    <w:rsid w:val="3AA31206"/>
    <w:rsid w:val="3AB57780"/>
    <w:rsid w:val="3AC65AD2"/>
    <w:rsid w:val="3ACF5A26"/>
    <w:rsid w:val="3B3575B2"/>
    <w:rsid w:val="3B4764C1"/>
    <w:rsid w:val="3B54731C"/>
    <w:rsid w:val="3B67428D"/>
    <w:rsid w:val="3B713350"/>
    <w:rsid w:val="3B7A26BE"/>
    <w:rsid w:val="3BBD2198"/>
    <w:rsid w:val="3BE767A5"/>
    <w:rsid w:val="3C1701DB"/>
    <w:rsid w:val="3C2E25AC"/>
    <w:rsid w:val="3C33699A"/>
    <w:rsid w:val="3C41291B"/>
    <w:rsid w:val="3C447C27"/>
    <w:rsid w:val="3C4E3440"/>
    <w:rsid w:val="3E225ED0"/>
    <w:rsid w:val="3E29108F"/>
    <w:rsid w:val="3E763568"/>
    <w:rsid w:val="3EB341AB"/>
    <w:rsid w:val="3EC20226"/>
    <w:rsid w:val="3EC451E1"/>
    <w:rsid w:val="3EC47F80"/>
    <w:rsid w:val="3F1E63B0"/>
    <w:rsid w:val="3F2226EC"/>
    <w:rsid w:val="3F601C75"/>
    <w:rsid w:val="3FAC6CE4"/>
    <w:rsid w:val="3FDA48AC"/>
    <w:rsid w:val="401B506B"/>
    <w:rsid w:val="402A3DD6"/>
    <w:rsid w:val="402E363B"/>
    <w:rsid w:val="403A7A13"/>
    <w:rsid w:val="40883F9A"/>
    <w:rsid w:val="40A6403B"/>
    <w:rsid w:val="40C31767"/>
    <w:rsid w:val="40D11C13"/>
    <w:rsid w:val="40D14228"/>
    <w:rsid w:val="40E32648"/>
    <w:rsid w:val="413F338F"/>
    <w:rsid w:val="415D3A83"/>
    <w:rsid w:val="41A50FA5"/>
    <w:rsid w:val="41B113E8"/>
    <w:rsid w:val="41CC07BC"/>
    <w:rsid w:val="41DD5AAF"/>
    <w:rsid w:val="420569A4"/>
    <w:rsid w:val="4246080B"/>
    <w:rsid w:val="42CE24FD"/>
    <w:rsid w:val="42F302DD"/>
    <w:rsid w:val="43260C43"/>
    <w:rsid w:val="4332702D"/>
    <w:rsid w:val="438034F8"/>
    <w:rsid w:val="4388321A"/>
    <w:rsid w:val="43FE52F2"/>
    <w:rsid w:val="441A31FF"/>
    <w:rsid w:val="446A3759"/>
    <w:rsid w:val="446B4961"/>
    <w:rsid w:val="449428DA"/>
    <w:rsid w:val="45132E7E"/>
    <w:rsid w:val="456F7A14"/>
    <w:rsid w:val="45B725A0"/>
    <w:rsid w:val="462E25CA"/>
    <w:rsid w:val="46303A17"/>
    <w:rsid w:val="465A58CC"/>
    <w:rsid w:val="46620428"/>
    <w:rsid w:val="46CA5C59"/>
    <w:rsid w:val="46D637ED"/>
    <w:rsid w:val="46DD3F38"/>
    <w:rsid w:val="46F16F1D"/>
    <w:rsid w:val="46FD2CBF"/>
    <w:rsid w:val="472910BD"/>
    <w:rsid w:val="47553E8E"/>
    <w:rsid w:val="477C293C"/>
    <w:rsid w:val="47CA2F97"/>
    <w:rsid w:val="47D84675"/>
    <w:rsid w:val="47E17B3A"/>
    <w:rsid w:val="47FF4104"/>
    <w:rsid w:val="481379C4"/>
    <w:rsid w:val="4816651B"/>
    <w:rsid w:val="481947FE"/>
    <w:rsid w:val="483B043E"/>
    <w:rsid w:val="486B0826"/>
    <w:rsid w:val="486B1D8E"/>
    <w:rsid w:val="48A93D74"/>
    <w:rsid w:val="48BE4F8B"/>
    <w:rsid w:val="48D139F6"/>
    <w:rsid w:val="48F56DD6"/>
    <w:rsid w:val="491916C6"/>
    <w:rsid w:val="49573AC8"/>
    <w:rsid w:val="49AA7971"/>
    <w:rsid w:val="49D62635"/>
    <w:rsid w:val="49FE240E"/>
    <w:rsid w:val="4A141151"/>
    <w:rsid w:val="4A316318"/>
    <w:rsid w:val="4A643B84"/>
    <w:rsid w:val="4A777A6A"/>
    <w:rsid w:val="4A791AFA"/>
    <w:rsid w:val="4AC9062D"/>
    <w:rsid w:val="4AE52C42"/>
    <w:rsid w:val="4AF2187D"/>
    <w:rsid w:val="4AFC3953"/>
    <w:rsid w:val="4B103205"/>
    <w:rsid w:val="4B1E385E"/>
    <w:rsid w:val="4B425A6C"/>
    <w:rsid w:val="4B6870F9"/>
    <w:rsid w:val="4B6C2969"/>
    <w:rsid w:val="4BCF6DCB"/>
    <w:rsid w:val="4BD06B38"/>
    <w:rsid w:val="4BDF321A"/>
    <w:rsid w:val="4BE96317"/>
    <w:rsid w:val="4C0065CE"/>
    <w:rsid w:val="4C18241E"/>
    <w:rsid w:val="4C227943"/>
    <w:rsid w:val="4C472142"/>
    <w:rsid w:val="4C5F22C4"/>
    <w:rsid w:val="4C9463A6"/>
    <w:rsid w:val="4CE1703F"/>
    <w:rsid w:val="4DC86CD0"/>
    <w:rsid w:val="4DD62C1F"/>
    <w:rsid w:val="4DF46D27"/>
    <w:rsid w:val="4E367509"/>
    <w:rsid w:val="4E5211BA"/>
    <w:rsid w:val="4E90713C"/>
    <w:rsid w:val="4E9D1D1E"/>
    <w:rsid w:val="4F0E0B1D"/>
    <w:rsid w:val="4FBD41CA"/>
    <w:rsid w:val="4FD246D2"/>
    <w:rsid w:val="50077D56"/>
    <w:rsid w:val="50131451"/>
    <w:rsid w:val="50831BFE"/>
    <w:rsid w:val="50B52FE4"/>
    <w:rsid w:val="50BF2E54"/>
    <w:rsid w:val="51390BE4"/>
    <w:rsid w:val="51C804DE"/>
    <w:rsid w:val="51CF0D4C"/>
    <w:rsid w:val="51E33826"/>
    <w:rsid w:val="51E71C22"/>
    <w:rsid w:val="520C6B50"/>
    <w:rsid w:val="522E62F3"/>
    <w:rsid w:val="52A33960"/>
    <w:rsid w:val="52B476CE"/>
    <w:rsid w:val="52F47A95"/>
    <w:rsid w:val="531645CA"/>
    <w:rsid w:val="531F2A96"/>
    <w:rsid w:val="53262EC9"/>
    <w:rsid w:val="53734149"/>
    <w:rsid w:val="53932760"/>
    <w:rsid w:val="539873E7"/>
    <w:rsid w:val="53B46D0C"/>
    <w:rsid w:val="53EE4E13"/>
    <w:rsid w:val="54087353"/>
    <w:rsid w:val="54375044"/>
    <w:rsid w:val="544232E7"/>
    <w:rsid w:val="54837B70"/>
    <w:rsid w:val="549661B6"/>
    <w:rsid w:val="54D24E79"/>
    <w:rsid w:val="5503429F"/>
    <w:rsid w:val="551027C6"/>
    <w:rsid w:val="552F7315"/>
    <w:rsid w:val="554B0FDD"/>
    <w:rsid w:val="55631D2D"/>
    <w:rsid w:val="55BB1E97"/>
    <w:rsid w:val="55BE587F"/>
    <w:rsid w:val="55C8709D"/>
    <w:rsid w:val="560509A3"/>
    <w:rsid w:val="56126C00"/>
    <w:rsid w:val="56250237"/>
    <w:rsid w:val="564569EB"/>
    <w:rsid w:val="56826DCD"/>
    <w:rsid w:val="56AB5944"/>
    <w:rsid w:val="56F645A2"/>
    <w:rsid w:val="57214861"/>
    <w:rsid w:val="572B4616"/>
    <w:rsid w:val="57541EAD"/>
    <w:rsid w:val="577465D8"/>
    <w:rsid w:val="57AE5029"/>
    <w:rsid w:val="57C23486"/>
    <w:rsid w:val="57D123D3"/>
    <w:rsid w:val="58117CC1"/>
    <w:rsid w:val="581B6D8F"/>
    <w:rsid w:val="582C3384"/>
    <w:rsid w:val="58624A55"/>
    <w:rsid w:val="5881143C"/>
    <w:rsid w:val="58A67D48"/>
    <w:rsid w:val="59216A89"/>
    <w:rsid w:val="59671A3A"/>
    <w:rsid w:val="599D6789"/>
    <w:rsid w:val="59A14E6F"/>
    <w:rsid w:val="59A175DF"/>
    <w:rsid w:val="59B819C2"/>
    <w:rsid w:val="59C7668D"/>
    <w:rsid w:val="59FC4729"/>
    <w:rsid w:val="5A0B75E4"/>
    <w:rsid w:val="5A575BFF"/>
    <w:rsid w:val="5A77586F"/>
    <w:rsid w:val="5AA12CBD"/>
    <w:rsid w:val="5ACA65CD"/>
    <w:rsid w:val="5ACC7A53"/>
    <w:rsid w:val="5AE51758"/>
    <w:rsid w:val="5B581F93"/>
    <w:rsid w:val="5B6B529B"/>
    <w:rsid w:val="5B763A4C"/>
    <w:rsid w:val="5BB250E2"/>
    <w:rsid w:val="5BB3320D"/>
    <w:rsid w:val="5BC31A45"/>
    <w:rsid w:val="5BC772C9"/>
    <w:rsid w:val="5BD57899"/>
    <w:rsid w:val="5BE078F0"/>
    <w:rsid w:val="5C465FA2"/>
    <w:rsid w:val="5C544090"/>
    <w:rsid w:val="5C726BB6"/>
    <w:rsid w:val="5C7322D1"/>
    <w:rsid w:val="5CEF4070"/>
    <w:rsid w:val="5CFC28A8"/>
    <w:rsid w:val="5D246FFC"/>
    <w:rsid w:val="5D36426B"/>
    <w:rsid w:val="5DDA696A"/>
    <w:rsid w:val="5E410FFD"/>
    <w:rsid w:val="5E544606"/>
    <w:rsid w:val="5E8E05EA"/>
    <w:rsid w:val="5EF86B45"/>
    <w:rsid w:val="5EFB61FA"/>
    <w:rsid w:val="5F2C7D02"/>
    <w:rsid w:val="5F7663E9"/>
    <w:rsid w:val="5FAE5563"/>
    <w:rsid w:val="5FB656F9"/>
    <w:rsid w:val="5FBC2CFA"/>
    <w:rsid w:val="5FC53466"/>
    <w:rsid w:val="5FD13015"/>
    <w:rsid w:val="60190EE3"/>
    <w:rsid w:val="601D48F2"/>
    <w:rsid w:val="601E31F8"/>
    <w:rsid w:val="602832C7"/>
    <w:rsid w:val="603D1F50"/>
    <w:rsid w:val="603F673E"/>
    <w:rsid w:val="605467C6"/>
    <w:rsid w:val="60D605A1"/>
    <w:rsid w:val="61464F6C"/>
    <w:rsid w:val="61515A7F"/>
    <w:rsid w:val="61633E93"/>
    <w:rsid w:val="61A4558D"/>
    <w:rsid w:val="61C32B70"/>
    <w:rsid w:val="61E045CD"/>
    <w:rsid w:val="62016875"/>
    <w:rsid w:val="628B7263"/>
    <w:rsid w:val="62902D58"/>
    <w:rsid w:val="62AE4BDA"/>
    <w:rsid w:val="62C97640"/>
    <w:rsid w:val="62D27C48"/>
    <w:rsid w:val="6307315E"/>
    <w:rsid w:val="63184211"/>
    <w:rsid w:val="631B5AD9"/>
    <w:rsid w:val="635C575B"/>
    <w:rsid w:val="636863CF"/>
    <w:rsid w:val="63752C12"/>
    <w:rsid w:val="638C1080"/>
    <w:rsid w:val="63B413CF"/>
    <w:rsid w:val="63CA0789"/>
    <w:rsid w:val="63FF6C27"/>
    <w:rsid w:val="6405263C"/>
    <w:rsid w:val="642454D9"/>
    <w:rsid w:val="644A58BB"/>
    <w:rsid w:val="64613942"/>
    <w:rsid w:val="6464336B"/>
    <w:rsid w:val="653C5193"/>
    <w:rsid w:val="655C7828"/>
    <w:rsid w:val="65652A5B"/>
    <w:rsid w:val="65CB1350"/>
    <w:rsid w:val="66330E7B"/>
    <w:rsid w:val="66351622"/>
    <w:rsid w:val="663E7042"/>
    <w:rsid w:val="665A2304"/>
    <w:rsid w:val="669C6349"/>
    <w:rsid w:val="66A80AC6"/>
    <w:rsid w:val="67144976"/>
    <w:rsid w:val="67202357"/>
    <w:rsid w:val="67603F26"/>
    <w:rsid w:val="67D3264E"/>
    <w:rsid w:val="68024DD3"/>
    <w:rsid w:val="680F332B"/>
    <w:rsid w:val="6832253F"/>
    <w:rsid w:val="68572B2F"/>
    <w:rsid w:val="685C3C4D"/>
    <w:rsid w:val="687102AD"/>
    <w:rsid w:val="68724B40"/>
    <w:rsid w:val="68902798"/>
    <w:rsid w:val="690C7142"/>
    <w:rsid w:val="69412846"/>
    <w:rsid w:val="695907E9"/>
    <w:rsid w:val="6964290E"/>
    <w:rsid w:val="698304CD"/>
    <w:rsid w:val="69932BAE"/>
    <w:rsid w:val="69A16FDB"/>
    <w:rsid w:val="69BA6060"/>
    <w:rsid w:val="69D62885"/>
    <w:rsid w:val="69ED079D"/>
    <w:rsid w:val="6A223F21"/>
    <w:rsid w:val="6A4771F0"/>
    <w:rsid w:val="6A641277"/>
    <w:rsid w:val="6A985E45"/>
    <w:rsid w:val="6AAD0001"/>
    <w:rsid w:val="6ACC3B62"/>
    <w:rsid w:val="6AE30427"/>
    <w:rsid w:val="6B1B05C6"/>
    <w:rsid w:val="6B35684E"/>
    <w:rsid w:val="6B6C1D6A"/>
    <w:rsid w:val="6B706DFD"/>
    <w:rsid w:val="6B735145"/>
    <w:rsid w:val="6B76701F"/>
    <w:rsid w:val="6BB64940"/>
    <w:rsid w:val="6BBA5ABD"/>
    <w:rsid w:val="6BC04151"/>
    <w:rsid w:val="6BFF6B53"/>
    <w:rsid w:val="6C161EDD"/>
    <w:rsid w:val="6C17534B"/>
    <w:rsid w:val="6C52384A"/>
    <w:rsid w:val="6C5F577B"/>
    <w:rsid w:val="6C5F6B13"/>
    <w:rsid w:val="6C831486"/>
    <w:rsid w:val="6C8C7141"/>
    <w:rsid w:val="6C903E5F"/>
    <w:rsid w:val="6C92595F"/>
    <w:rsid w:val="6CA31D11"/>
    <w:rsid w:val="6CA820A8"/>
    <w:rsid w:val="6CE513BE"/>
    <w:rsid w:val="6CEE595E"/>
    <w:rsid w:val="6CF82160"/>
    <w:rsid w:val="6D094BFA"/>
    <w:rsid w:val="6D1D7324"/>
    <w:rsid w:val="6D283EB3"/>
    <w:rsid w:val="6D454855"/>
    <w:rsid w:val="6D476F5C"/>
    <w:rsid w:val="6D524D35"/>
    <w:rsid w:val="6D631E8B"/>
    <w:rsid w:val="6DA45721"/>
    <w:rsid w:val="6DEF5724"/>
    <w:rsid w:val="6E2D7396"/>
    <w:rsid w:val="6E967068"/>
    <w:rsid w:val="6E977E1E"/>
    <w:rsid w:val="6E9A083E"/>
    <w:rsid w:val="6F1013D6"/>
    <w:rsid w:val="6F1830F3"/>
    <w:rsid w:val="6F2C4E6B"/>
    <w:rsid w:val="6F7502BE"/>
    <w:rsid w:val="6F8E346E"/>
    <w:rsid w:val="6F922D77"/>
    <w:rsid w:val="6FA85985"/>
    <w:rsid w:val="6FEA2DEF"/>
    <w:rsid w:val="70231C9D"/>
    <w:rsid w:val="70411BFE"/>
    <w:rsid w:val="708C386D"/>
    <w:rsid w:val="7093353E"/>
    <w:rsid w:val="70A25D2A"/>
    <w:rsid w:val="70EC15F1"/>
    <w:rsid w:val="70F606D1"/>
    <w:rsid w:val="710C3141"/>
    <w:rsid w:val="71104E62"/>
    <w:rsid w:val="71222C0A"/>
    <w:rsid w:val="713927A1"/>
    <w:rsid w:val="71426CAF"/>
    <w:rsid w:val="719525E5"/>
    <w:rsid w:val="71C43EDF"/>
    <w:rsid w:val="71D12B7B"/>
    <w:rsid w:val="72047D57"/>
    <w:rsid w:val="72563FB1"/>
    <w:rsid w:val="726E28BC"/>
    <w:rsid w:val="729701F7"/>
    <w:rsid w:val="72C13435"/>
    <w:rsid w:val="7332304C"/>
    <w:rsid w:val="73460DCF"/>
    <w:rsid w:val="736F51CC"/>
    <w:rsid w:val="73765DF7"/>
    <w:rsid w:val="739C093C"/>
    <w:rsid w:val="739D0315"/>
    <w:rsid w:val="73CE4F10"/>
    <w:rsid w:val="73DE0BF4"/>
    <w:rsid w:val="73EF72A5"/>
    <w:rsid w:val="740166CA"/>
    <w:rsid w:val="741606DE"/>
    <w:rsid w:val="74504BE3"/>
    <w:rsid w:val="746B4618"/>
    <w:rsid w:val="748E187D"/>
    <w:rsid w:val="74F727ED"/>
    <w:rsid w:val="75395A4F"/>
    <w:rsid w:val="75A62599"/>
    <w:rsid w:val="75C718AC"/>
    <w:rsid w:val="75E5168E"/>
    <w:rsid w:val="75E65018"/>
    <w:rsid w:val="75FD7923"/>
    <w:rsid w:val="760C615E"/>
    <w:rsid w:val="764536B8"/>
    <w:rsid w:val="764C1E95"/>
    <w:rsid w:val="765340BE"/>
    <w:rsid w:val="76600B0B"/>
    <w:rsid w:val="76A20A11"/>
    <w:rsid w:val="76EC025F"/>
    <w:rsid w:val="77104195"/>
    <w:rsid w:val="77532B5B"/>
    <w:rsid w:val="77A72B49"/>
    <w:rsid w:val="77BA48A1"/>
    <w:rsid w:val="77EA45C3"/>
    <w:rsid w:val="77F3515D"/>
    <w:rsid w:val="77F537AF"/>
    <w:rsid w:val="78427D95"/>
    <w:rsid w:val="78CE3373"/>
    <w:rsid w:val="78EA06B1"/>
    <w:rsid w:val="79303653"/>
    <w:rsid w:val="79332894"/>
    <w:rsid w:val="79432FDA"/>
    <w:rsid w:val="794E031B"/>
    <w:rsid w:val="796340FE"/>
    <w:rsid w:val="79AC6391"/>
    <w:rsid w:val="79F651E3"/>
    <w:rsid w:val="7A4A0DFD"/>
    <w:rsid w:val="7A552236"/>
    <w:rsid w:val="7A735659"/>
    <w:rsid w:val="7A7E0068"/>
    <w:rsid w:val="7AC17447"/>
    <w:rsid w:val="7AD70C9B"/>
    <w:rsid w:val="7ADA5B3C"/>
    <w:rsid w:val="7AEB5600"/>
    <w:rsid w:val="7B4531F1"/>
    <w:rsid w:val="7B4D07FD"/>
    <w:rsid w:val="7BAB3DF5"/>
    <w:rsid w:val="7BD26364"/>
    <w:rsid w:val="7BDB29F1"/>
    <w:rsid w:val="7C2F53CB"/>
    <w:rsid w:val="7C3A3603"/>
    <w:rsid w:val="7C461D0D"/>
    <w:rsid w:val="7C485C63"/>
    <w:rsid w:val="7CA834CE"/>
    <w:rsid w:val="7CB9036C"/>
    <w:rsid w:val="7CC63ECF"/>
    <w:rsid w:val="7D047631"/>
    <w:rsid w:val="7D3475DB"/>
    <w:rsid w:val="7D771F95"/>
    <w:rsid w:val="7D942460"/>
    <w:rsid w:val="7DDD5D1F"/>
    <w:rsid w:val="7E0B3754"/>
    <w:rsid w:val="7E3C4D54"/>
    <w:rsid w:val="7E563F68"/>
    <w:rsid w:val="7EC40A24"/>
    <w:rsid w:val="7EDF5F74"/>
    <w:rsid w:val="7F270DFD"/>
    <w:rsid w:val="7F5F072D"/>
    <w:rsid w:val="7F711C25"/>
    <w:rsid w:val="7FC50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31"/>
    <w:qFormat/>
    <w:uiPriority w:val="0"/>
    <w:pPr>
      <w:keepNext/>
      <w:jc w:val="center"/>
      <w:outlineLvl w:val="0"/>
    </w:pPr>
    <w:rPr>
      <w:rFonts w:eastAsia="黑体"/>
      <w:b/>
      <w:sz w:val="32"/>
      <w:szCs w:val="20"/>
    </w:rPr>
  </w:style>
  <w:style w:type="paragraph" w:styleId="5">
    <w:name w:val="heading 2"/>
    <w:basedOn w:val="1"/>
    <w:next w:val="1"/>
    <w:link w:val="69"/>
    <w:qFormat/>
    <w:uiPriority w:val="0"/>
    <w:pPr>
      <w:keepNext/>
      <w:outlineLvl w:val="1"/>
    </w:pPr>
    <w:rPr>
      <w:rFonts w:ascii="仿宋_GB2312"/>
      <w:b/>
      <w:sz w:val="28"/>
      <w:szCs w:val="32"/>
    </w:rPr>
  </w:style>
  <w:style w:type="paragraph" w:styleId="6">
    <w:name w:val="heading 3"/>
    <w:basedOn w:val="1"/>
    <w:next w:val="1"/>
    <w:link w:val="154"/>
    <w:qFormat/>
    <w:uiPriority w:val="0"/>
    <w:pPr>
      <w:keepNext/>
      <w:keepLines/>
      <w:spacing w:line="540" w:lineRule="atLeast"/>
      <w:outlineLvl w:val="2"/>
    </w:pPr>
    <w:rPr>
      <w:rFonts w:eastAsia="黑体"/>
      <w:b/>
      <w:sz w:val="28"/>
      <w:szCs w:val="20"/>
    </w:rPr>
  </w:style>
  <w:style w:type="paragraph" w:styleId="7">
    <w:name w:val="heading 4"/>
    <w:basedOn w:val="1"/>
    <w:next w:val="1"/>
    <w:link w:val="151"/>
    <w:qFormat/>
    <w:uiPriority w:val="0"/>
    <w:pPr>
      <w:keepNext/>
      <w:keepLines/>
      <w:spacing w:line="540" w:lineRule="atLeast"/>
      <w:outlineLvl w:val="3"/>
    </w:pPr>
    <w:rPr>
      <w:sz w:val="28"/>
      <w:szCs w:val="28"/>
    </w:rPr>
  </w:style>
  <w:style w:type="paragraph" w:styleId="8">
    <w:name w:val="heading 5"/>
    <w:basedOn w:val="1"/>
    <w:next w:val="1"/>
    <w:link w:val="134"/>
    <w:qFormat/>
    <w:uiPriority w:val="0"/>
    <w:pPr>
      <w:keepNext/>
      <w:keepLines/>
      <w:spacing w:before="280" w:after="290" w:line="372" w:lineRule="auto"/>
      <w:outlineLvl w:val="4"/>
    </w:pPr>
    <w:rPr>
      <w:b/>
      <w:bCs/>
      <w:kern w:val="0"/>
      <w:sz w:val="28"/>
      <w:szCs w:val="28"/>
    </w:rPr>
  </w:style>
  <w:style w:type="paragraph" w:styleId="9">
    <w:name w:val="heading 6"/>
    <w:basedOn w:val="1"/>
    <w:next w:val="2"/>
    <w:link w:val="175"/>
    <w:qFormat/>
    <w:uiPriority w:val="0"/>
    <w:pPr>
      <w:keepNext/>
      <w:keepLines/>
      <w:spacing w:before="240" w:after="64" w:line="317" w:lineRule="auto"/>
      <w:outlineLvl w:val="5"/>
    </w:pPr>
    <w:rPr>
      <w:rFonts w:ascii="Arial" w:hAnsi="Arial" w:eastAsia="黑体"/>
      <w:b/>
      <w:sz w:val="24"/>
      <w:szCs w:val="20"/>
    </w:rPr>
  </w:style>
  <w:style w:type="paragraph" w:styleId="10">
    <w:name w:val="heading 7"/>
    <w:basedOn w:val="1"/>
    <w:next w:val="2"/>
    <w:link w:val="72"/>
    <w:qFormat/>
    <w:uiPriority w:val="0"/>
    <w:pPr>
      <w:keepNext/>
      <w:keepLines/>
      <w:spacing w:before="240" w:after="64" w:line="317" w:lineRule="auto"/>
      <w:outlineLvl w:val="6"/>
    </w:pPr>
    <w:rPr>
      <w:b/>
      <w:sz w:val="24"/>
      <w:szCs w:val="20"/>
    </w:rPr>
  </w:style>
  <w:style w:type="paragraph" w:styleId="11">
    <w:name w:val="heading 8"/>
    <w:basedOn w:val="1"/>
    <w:next w:val="2"/>
    <w:link w:val="178"/>
    <w:qFormat/>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2"/>
    <w:link w:val="165"/>
    <w:qFormat/>
    <w:uiPriority w:val="0"/>
    <w:pPr>
      <w:keepNext/>
      <w:keepLines/>
      <w:spacing w:before="240" w:after="64" w:line="317" w:lineRule="auto"/>
      <w:outlineLvl w:val="8"/>
    </w:pPr>
    <w:rPr>
      <w:rFonts w:ascii="Arial" w:hAnsi="Arial" w:eastAsia="黑体"/>
      <w:szCs w:val="20"/>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107"/>
    <w:qFormat/>
    <w:uiPriority w:val="0"/>
    <w:pPr>
      <w:adjustRightInd w:val="0"/>
      <w:spacing w:line="312" w:lineRule="atLeast"/>
      <w:ind w:firstLine="420"/>
      <w:textAlignment w:val="baseline"/>
    </w:pPr>
    <w:rPr>
      <w:rFonts w:ascii="仿宋_GB2312"/>
      <w:b/>
      <w:kern w:val="0"/>
      <w:szCs w:val="32"/>
    </w:rPr>
  </w:style>
  <w:style w:type="paragraph" w:styleId="3">
    <w:name w:val="macro"/>
    <w:link w:val="12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kern w:val="2"/>
      <w:sz w:val="24"/>
      <w:szCs w:val="24"/>
      <w:lang w:val="en-US" w:eastAsia="zh-CN" w:bidi="ar-SA"/>
    </w:rPr>
  </w:style>
  <w:style w:type="paragraph" w:styleId="13">
    <w:name w:val="toc 7"/>
    <w:basedOn w:val="1"/>
    <w:next w:val="1"/>
    <w:qFormat/>
    <w:uiPriority w:val="0"/>
    <w:pPr>
      <w:autoSpaceDE w:val="0"/>
      <w:autoSpaceDN w:val="0"/>
      <w:adjustRightInd w:val="0"/>
      <w:ind w:left="2520" w:leftChars="1200"/>
      <w:jc w:val="left"/>
    </w:pPr>
    <w:rPr>
      <w:kern w:val="0"/>
      <w:sz w:val="20"/>
      <w:szCs w:val="20"/>
    </w:rPr>
  </w:style>
  <w:style w:type="paragraph" w:styleId="14">
    <w:name w:val="List Number 2"/>
    <w:basedOn w:val="1"/>
    <w:qFormat/>
    <w:uiPriority w:val="0"/>
    <w:pPr>
      <w:numPr>
        <w:ilvl w:val="0"/>
        <w:numId w:val="1"/>
      </w:numPr>
    </w:pPr>
  </w:style>
  <w:style w:type="paragraph" w:styleId="15">
    <w:name w:val="List Number"/>
    <w:basedOn w:val="1"/>
    <w:qFormat/>
    <w:uiPriority w:val="0"/>
    <w:pPr>
      <w:tabs>
        <w:tab w:val="left" w:pos="360"/>
      </w:tabs>
      <w:ind w:left="360" w:hanging="360" w:hangingChars="200"/>
    </w:pPr>
  </w:style>
  <w:style w:type="paragraph" w:styleId="16">
    <w:name w:val="caption"/>
    <w:basedOn w:val="1"/>
    <w:next w:val="1"/>
    <w:qFormat/>
    <w:uiPriority w:val="0"/>
    <w:pPr>
      <w:autoSpaceDE w:val="0"/>
      <w:autoSpaceDN w:val="0"/>
      <w:adjustRightInd w:val="0"/>
      <w:jc w:val="left"/>
    </w:pPr>
    <w:rPr>
      <w:rFonts w:ascii="Arial" w:hAnsi="Arial" w:eastAsia="黑体" w:cs="Arial"/>
      <w:kern w:val="0"/>
      <w:sz w:val="20"/>
      <w:szCs w:val="20"/>
    </w:rPr>
  </w:style>
  <w:style w:type="paragraph" w:styleId="17">
    <w:name w:val="List Bullet"/>
    <w:basedOn w:val="1"/>
    <w:qFormat/>
    <w:uiPriority w:val="0"/>
    <w:pPr>
      <w:tabs>
        <w:tab w:val="left" w:pos="360"/>
      </w:tabs>
    </w:pPr>
    <w:rPr>
      <w:rFonts w:ascii="Calibri" w:hAnsi="Calibri"/>
      <w:szCs w:val="22"/>
    </w:rPr>
  </w:style>
  <w:style w:type="paragraph" w:styleId="18">
    <w:name w:val="Document Map"/>
    <w:basedOn w:val="1"/>
    <w:link w:val="133"/>
    <w:qFormat/>
    <w:uiPriority w:val="0"/>
    <w:pPr>
      <w:shd w:val="clear" w:color="auto" w:fill="000080"/>
    </w:pPr>
  </w:style>
  <w:style w:type="paragraph" w:styleId="19">
    <w:name w:val="annotation text"/>
    <w:basedOn w:val="1"/>
    <w:link w:val="93"/>
    <w:qFormat/>
    <w:uiPriority w:val="0"/>
    <w:pPr>
      <w:jc w:val="left"/>
    </w:pPr>
  </w:style>
  <w:style w:type="paragraph" w:styleId="20">
    <w:name w:val="Salutation"/>
    <w:basedOn w:val="1"/>
    <w:next w:val="1"/>
    <w:link w:val="81"/>
    <w:qFormat/>
    <w:uiPriority w:val="0"/>
    <w:pPr>
      <w:tabs>
        <w:tab w:val="left" w:pos="840"/>
      </w:tabs>
      <w:autoSpaceDE w:val="0"/>
      <w:autoSpaceDN w:val="0"/>
      <w:adjustRightInd w:val="0"/>
      <w:jc w:val="left"/>
    </w:pPr>
    <w:rPr>
      <w:rFonts w:ascii="仿宋_GB2312" w:eastAsia="仿宋_GB2312"/>
      <w:b/>
      <w:kern w:val="0"/>
      <w:sz w:val="24"/>
      <w:szCs w:val="32"/>
    </w:rPr>
  </w:style>
  <w:style w:type="paragraph" w:styleId="21">
    <w:name w:val="Body Text 3"/>
    <w:basedOn w:val="1"/>
    <w:link w:val="97"/>
    <w:qFormat/>
    <w:uiPriority w:val="0"/>
    <w:pPr>
      <w:autoSpaceDE w:val="0"/>
      <w:autoSpaceDN w:val="0"/>
      <w:adjustRightInd w:val="0"/>
      <w:jc w:val="center"/>
    </w:pPr>
  </w:style>
  <w:style w:type="paragraph" w:styleId="22">
    <w:name w:val="Body Text"/>
    <w:basedOn w:val="1"/>
    <w:next w:val="23"/>
    <w:link w:val="166"/>
    <w:qFormat/>
    <w:uiPriority w:val="0"/>
    <w:pPr>
      <w:spacing w:after="120"/>
    </w:pPr>
    <w:rPr>
      <w:rFonts w:ascii="仿宋_GB2312"/>
      <w:b/>
    </w:rPr>
  </w:style>
  <w:style w:type="paragraph" w:styleId="23">
    <w:name w:val="Body Text First Indent"/>
    <w:basedOn w:val="1"/>
    <w:link w:val="198"/>
    <w:qFormat/>
    <w:uiPriority w:val="0"/>
    <w:pPr>
      <w:autoSpaceDE w:val="0"/>
      <w:autoSpaceDN w:val="0"/>
      <w:adjustRightInd w:val="0"/>
      <w:ind w:firstLine="420" w:firstLineChars="100"/>
      <w:jc w:val="left"/>
    </w:pPr>
    <w:rPr>
      <w:rFonts w:ascii="Times New Roman"/>
      <w:kern w:val="0"/>
      <w:sz w:val="20"/>
      <w:szCs w:val="20"/>
    </w:rPr>
  </w:style>
  <w:style w:type="paragraph" w:styleId="24">
    <w:name w:val="Body Text Indent"/>
    <w:basedOn w:val="1"/>
    <w:link w:val="146"/>
    <w:qFormat/>
    <w:uiPriority w:val="0"/>
    <w:pPr>
      <w:ind w:left="480" w:hanging="480" w:hangingChars="200"/>
    </w:pPr>
    <w:rPr>
      <w:sz w:val="24"/>
    </w:rPr>
  </w:style>
  <w:style w:type="paragraph" w:styleId="25">
    <w:name w:val="List Number 3"/>
    <w:basedOn w:val="1"/>
    <w:qFormat/>
    <w:uiPriority w:val="0"/>
    <w:pPr>
      <w:tabs>
        <w:tab w:val="left" w:pos="1200"/>
      </w:tabs>
      <w:ind w:left="1200" w:leftChars="400" w:hanging="360" w:hangingChars="200"/>
    </w:pPr>
  </w:style>
  <w:style w:type="paragraph" w:styleId="26">
    <w:name w:val="Block Text"/>
    <w:basedOn w:val="1"/>
    <w:qFormat/>
    <w:uiPriority w:val="0"/>
    <w:pPr>
      <w:spacing w:line="520" w:lineRule="exact"/>
      <w:ind w:left="540" w:leftChars="257" w:right="-514"/>
    </w:pPr>
    <w:rPr>
      <w:rFonts w:ascii="宋体" w:hAnsi="宋体"/>
      <w:sz w:val="24"/>
    </w:rPr>
  </w:style>
  <w:style w:type="paragraph" w:styleId="27">
    <w:name w:val="List Bullet 2"/>
    <w:basedOn w:val="1"/>
    <w:qFormat/>
    <w:uiPriority w:val="0"/>
    <w:pPr>
      <w:tabs>
        <w:tab w:val="left" w:pos="780"/>
      </w:tabs>
      <w:spacing w:line="360" w:lineRule="auto"/>
      <w:ind w:left="780" w:leftChars="200" w:hanging="360" w:hangingChars="200"/>
    </w:pPr>
  </w:style>
  <w:style w:type="paragraph" w:styleId="28">
    <w:name w:val="toc 5"/>
    <w:basedOn w:val="1"/>
    <w:next w:val="1"/>
    <w:qFormat/>
    <w:uiPriority w:val="0"/>
    <w:pPr>
      <w:autoSpaceDE w:val="0"/>
      <w:autoSpaceDN w:val="0"/>
      <w:adjustRightInd w:val="0"/>
      <w:ind w:left="1680" w:leftChars="800"/>
      <w:jc w:val="left"/>
    </w:pPr>
    <w:rPr>
      <w:kern w:val="0"/>
      <w:sz w:val="20"/>
      <w:szCs w:val="20"/>
    </w:rPr>
  </w:style>
  <w:style w:type="paragraph" w:styleId="29">
    <w:name w:val="toc 3"/>
    <w:basedOn w:val="1"/>
    <w:next w:val="1"/>
    <w:qFormat/>
    <w:uiPriority w:val="0"/>
    <w:pPr>
      <w:ind w:left="840" w:leftChars="400"/>
    </w:pPr>
  </w:style>
  <w:style w:type="paragraph" w:styleId="30">
    <w:name w:val="Plain Text"/>
    <w:basedOn w:val="1"/>
    <w:link w:val="194"/>
    <w:qFormat/>
    <w:uiPriority w:val="0"/>
    <w:pPr>
      <w:widowControl/>
      <w:overflowPunct w:val="0"/>
      <w:autoSpaceDE w:val="0"/>
      <w:autoSpaceDN w:val="0"/>
      <w:adjustRightInd w:val="0"/>
      <w:jc w:val="left"/>
      <w:textAlignment w:val="baseline"/>
    </w:pPr>
    <w:rPr>
      <w:rFonts w:ascii="宋体" w:hAnsi="Courier New"/>
      <w:b/>
      <w:kern w:val="0"/>
      <w:szCs w:val="21"/>
    </w:rPr>
  </w:style>
  <w:style w:type="paragraph" w:styleId="31">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2">
    <w:name w:val="toc 8"/>
    <w:basedOn w:val="1"/>
    <w:next w:val="1"/>
    <w:qFormat/>
    <w:uiPriority w:val="0"/>
    <w:pPr>
      <w:autoSpaceDE w:val="0"/>
      <w:autoSpaceDN w:val="0"/>
      <w:adjustRightInd w:val="0"/>
      <w:ind w:left="2940" w:leftChars="1400"/>
      <w:jc w:val="left"/>
    </w:pPr>
    <w:rPr>
      <w:kern w:val="0"/>
      <w:sz w:val="20"/>
      <w:szCs w:val="20"/>
    </w:rPr>
  </w:style>
  <w:style w:type="paragraph" w:styleId="33">
    <w:name w:val="Date"/>
    <w:basedOn w:val="1"/>
    <w:next w:val="1"/>
    <w:link w:val="135"/>
    <w:qFormat/>
    <w:uiPriority w:val="0"/>
    <w:pPr>
      <w:ind w:left="100" w:leftChars="2500"/>
    </w:pPr>
  </w:style>
  <w:style w:type="paragraph" w:styleId="34">
    <w:name w:val="Body Text Indent 2"/>
    <w:basedOn w:val="1"/>
    <w:link w:val="180"/>
    <w:qFormat/>
    <w:uiPriority w:val="0"/>
    <w:pPr>
      <w:spacing w:line="500" w:lineRule="exact"/>
      <w:ind w:firstLine="511" w:firstLineChars="213"/>
    </w:pPr>
    <w:rPr>
      <w:sz w:val="24"/>
    </w:rPr>
  </w:style>
  <w:style w:type="paragraph" w:styleId="35">
    <w:name w:val="Balloon Text"/>
    <w:basedOn w:val="1"/>
    <w:link w:val="153"/>
    <w:qFormat/>
    <w:uiPriority w:val="0"/>
    <w:rPr>
      <w:sz w:val="18"/>
      <w:szCs w:val="18"/>
    </w:rPr>
  </w:style>
  <w:style w:type="paragraph" w:styleId="36">
    <w:name w:val="footer"/>
    <w:basedOn w:val="1"/>
    <w:link w:val="122"/>
    <w:qFormat/>
    <w:uiPriority w:val="0"/>
    <w:pPr>
      <w:tabs>
        <w:tab w:val="center" w:pos="4153"/>
        <w:tab w:val="right" w:pos="8306"/>
      </w:tabs>
      <w:snapToGrid w:val="0"/>
      <w:jc w:val="left"/>
    </w:pPr>
    <w:rPr>
      <w:sz w:val="18"/>
      <w:szCs w:val="18"/>
    </w:rPr>
  </w:style>
  <w:style w:type="paragraph" w:styleId="37">
    <w:name w:val="header"/>
    <w:basedOn w:val="1"/>
    <w:link w:val="137"/>
    <w:qFormat/>
    <w:uiPriority w:val="0"/>
    <w:pPr>
      <w:pBdr>
        <w:bottom w:val="single" w:color="auto" w:sz="6" w:space="1"/>
      </w:pBdr>
      <w:tabs>
        <w:tab w:val="center" w:pos="4153"/>
        <w:tab w:val="right" w:pos="8306"/>
      </w:tabs>
      <w:snapToGrid w:val="0"/>
      <w:jc w:val="center"/>
    </w:pPr>
    <w:rPr>
      <w:sz w:val="18"/>
      <w:szCs w:val="18"/>
    </w:rPr>
  </w:style>
  <w:style w:type="paragraph" w:styleId="38">
    <w:name w:val="Signature"/>
    <w:basedOn w:val="1"/>
    <w:link w:val="156"/>
    <w:qFormat/>
    <w:uiPriority w:val="0"/>
    <w:pPr>
      <w:autoSpaceDE w:val="0"/>
      <w:autoSpaceDN w:val="0"/>
      <w:adjustRightInd w:val="0"/>
      <w:spacing w:after="600" w:line="312" w:lineRule="atLeast"/>
      <w:jc w:val="center"/>
      <w:textAlignment w:val="baseline"/>
    </w:pPr>
    <w:rPr>
      <w:rFonts w:ascii="仿宋_GB2312" w:eastAsia="仿宋_GB2312"/>
      <w:b/>
      <w:kern w:val="0"/>
      <w:sz w:val="24"/>
      <w:szCs w:val="32"/>
    </w:rPr>
  </w:style>
  <w:style w:type="paragraph" w:styleId="39">
    <w:name w:val="toc 1"/>
    <w:basedOn w:val="1"/>
    <w:next w:val="1"/>
    <w:qFormat/>
    <w:uiPriority w:val="0"/>
  </w:style>
  <w:style w:type="paragraph" w:styleId="40">
    <w:name w:val="toc 4"/>
    <w:basedOn w:val="1"/>
    <w:next w:val="1"/>
    <w:qFormat/>
    <w:uiPriority w:val="0"/>
    <w:pPr>
      <w:autoSpaceDE w:val="0"/>
      <w:autoSpaceDN w:val="0"/>
      <w:adjustRightInd w:val="0"/>
      <w:ind w:left="1260" w:leftChars="600"/>
      <w:jc w:val="left"/>
    </w:pPr>
    <w:rPr>
      <w:kern w:val="0"/>
      <w:sz w:val="20"/>
      <w:szCs w:val="20"/>
    </w:rPr>
  </w:style>
  <w:style w:type="paragraph" w:styleId="41">
    <w:name w:val="Subtitle"/>
    <w:basedOn w:val="1"/>
    <w:next w:val="1"/>
    <w:link w:val="136"/>
    <w:qFormat/>
    <w:uiPriority w:val="0"/>
    <w:pPr>
      <w:spacing w:before="240" w:after="60" w:line="312" w:lineRule="auto"/>
      <w:jc w:val="center"/>
      <w:outlineLvl w:val="1"/>
    </w:pPr>
    <w:rPr>
      <w:rFonts w:ascii="Cambria" w:hAnsi="Cambria"/>
      <w:b/>
      <w:bCs/>
      <w:kern w:val="28"/>
      <w:sz w:val="32"/>
      <w:szCs w:val="32"/>
    </w:rPr>
  </w:style>
  <w:style w:type="paragraph" w:styleId="42">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3">
    <w:name w:val="List"/>
    <w:basedOn w:val="1"/>
    <w:qFormat/>
    <w:uiPriority w:val="0"/>
    <w:pPr>
      <w:ind w:left="200" w:hanging="200" w:hangingChars="200"/>
    </w:pPr>
  </w:style>
  <w:style w:type="paragraph" w:styleId="44">
    <w:name w:val="toc 6"/>
    <w:basedOn w:val="1"/>
    <w:next w:val="1"/>
    <w:qFormat/>
    <w:uiPriority w:val="0"/>
    <w:pPr>
      <w:autoSpaceDE w:val="0"/>
      <w:autoSpaceDN w:val="0"/>
      <w:adjustRightInd w:val="0"/>
      <w:ind w:left="2100" w:leftChars="1000"/>
      <w:jc w:val="left"/>
    </w:pPr>
    <w:rPr>
      <w:kern w:val="0"/>
      <w:sz w:val="20"/>
      <w:szCs w:val="20"/>
    </w:rPr>
  </w:style>
  <w:style w:type="paragraph" w:styleId="45">
    <w:name w:val="Body Text Indent 3"/>
    <w:basedOn w:val="1"/>
    <w:link w:val="148"/>
    <w:qFormat/>
    <w:uiPriority w:val="0"/>
    <w:pPr>
      <w:spacing w:line="500" w:lineRule="exact"/>
      <w:ind w:left="511" w:hanging="511" w:hangingChars="213"/>
    </w:pPr>
    <w:rPr>
      <w:sz w:val="24"/>
    </w:rPr>
  </w:style>
  <w:style w:type="paragraph" w:styleId="46">
    <w:name w:val="toc 2"/>
    <w:basedOn w:val="1"/>
    <w:next w:val="1"/>
    <w:qFormat/>
    <w:uiPriority w:val="0"/>
    <w:pPr>
      <w:ind w:left="420" w:leftChars="200"/>
    </w:pPr>
  </w:style>
  <w:style w:type="paragraph" w:styleId="47">
    <w:name w:val="toc 9"/>
    <w:basedOn w:val="1"/>
    <w:next w:val="1"/>
    <w:qFormat/>
    <w:uiPriority w:val="0"/>
    <w:pPr>
      <w:autoSpaceDE w:val="0"/>
      <w:autoSpaceDN w:val="0"/>
      <w:adjustRightInd w:val="0"/>
      <w:ind w:left="3360" w:leftChars="1600"/>
      <w:jc w:val="left"/>
    </w:pPr>
    <w:rPr>
      <w:kern w:val="0"/>
      <w:sz w:val="20"/>
      <w:szCs w:val="20"/>
    </w:rPr>
  </w:style>
  <w:style w:type="paragraph" w:styleId="48">
    <w:name w:val="Body Text 2"/>
    <w:basedOn w:val="1"/>
    <w:link w:val="200"/>
    <w:qFormat/>
    <w:uiPriority w:val="0"/>
    <w:pPr>
      <w:autoSpaceDE w:val="0"/>
      <w:autoSpaceDN w:val="0"/>
      <w:adjustRightInd w:val="0"/>
      <w:spacing w:after="120" w:line="480" w:lineRule="auto"/>
      <w:jc w:val="left"/>
    </w:pPr>
  </w:style>
  <w:style w:type="paragraph" w:styleId="4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0">
    <w:name w:val="Title"/>
    <w:basedOn w:val="1"/>
    <w:next w:val="1"/>
    <w:link w:val="113"/>
    <w:qFormat/>
    <w:uiPriority w:val="0"/>
    <w:pPr>
      <w:spacing w:before="240" w:after="60"/>
      <w:jc w:val="center"/>
      <w:outlineLvl w:val="0"/>
    </w:pPr>
    <w:rPr>
      <w:rFonts w:ascii="Cambria" w:hAnsi="Cambria"/>
      <w:b/>
      <w:bCs/>
      <w:sz w:val="32"/>
      <w:szCs w:val="32"/>
    </w:rPr>
  </w:style>
  <w:style w:type="paragraph" w:styleId="51">
    <w:name w:val="annotation subject"/>
    <w:basedOn w:val="19"/>
    <w:next w:val="19"/>
    <w:link w:val="98"/>
    <w:qFormat/>
    <w:uiPriority w:val="0"/>
    <w:rPr>
      <w:b/>
      <w:bCs/>
    </w:rPr>
  </w:style>
  <w:style w:type="paragraph" w:styleId="52">
    <w:name w:val="Body Text First Indent 2"/>
    <w:basedOn w:val="24"/>
    <w:qFormat/>
    <w:uiPriority w:val="0"/>
    <w:pPr>
      <w:spacing w:after="120"/>
      <w:ind w:left="420" w:leftChars="200" w:firstLine="420"/>
    </w:pPr>
    <w:rPr>
      <w:rFonts w:cs="宋体"/>
      <w:sz w:val="21"/>
      <w:szCs w:val="21"/>
    </w:rPr>
  </w:style>
  <w:style w:type="table" w:styleId="54">
    <w:name w:val="Table Grid"/>
    <w:basedOn w:val="5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basedOn w:val="55"/>
    <w:qFormat/>
    <w:uiPriority w:val="0"/>
    <w:rPr>
      <w:rFonts w:ascii="仿宋_GB2312" w:eastAsia="仿宋_GB2312"/>
      <w:bCs/>
      <w:sz w:val="32"/>
      <w:szCs w:val="32"/>
    </w:rPr>
  </w:style>
  <w:style w:type="character" w:styleId="57">
    <w:name w:val="page number"/>
    <w:basedOn w:val="55"/>
    <w:qFormat/>
    <w:uiPriority w:val="0"/>
  </w:style>
  <w:style w:type="character" w:styleId="58">
    <w:name w:val="FollowedHyperlink"/>
    <w:qFormat/>
    <w:uiPriority w:val="0"/>
    <w:rPr>
      <w:rFonts w:ascii="仿宋_GB2312" w:eastAsia="仿宋_GB2312"/>
      <w:b/>
      <w:color w:val="800080"/>
      <w:sz w:val="32"/>
      <w:szCs w:val="32"/>
      <w:u w:val="none"/>
    </w:rPr>
  </w:style>
  <w:style w:type="character" w:styleId="59">
    <w:name w:val="Emphasis"/>
    <w:qFormat/>
    <w:uiPriority w:val="0"/>
    <w:rPr>
      <w:i/>
      <w:iCs/>
    </w:rPr>
  </w:style>
  <w:style w:type="character" w:styleId="60">
    <w:name w:val="line number"/>
    <w:basedOn w:val="55"/>
    <w:qFormat/>
    <w:uiPriority w:val="0"/>
  </w:style>
  <w:style w:type="character" w:styleId="61">
    <w:name w:val="Hyperlink"/>
    <w:qFormat/>
    <w:uiPriority w:val="0"/>
    <w:rPr>
      <w:rFonts w:ascii="仿宋_GB2312" w:eastAsia="仿宋_GB2312"/>
      <w:b/>
      <w:color w:val="0000FF"/>
      <w:sz w:val="32"/>
      <w:szCs w:val="32"/>
      <w:u w:val="none"/>
    </w:rPr>
  </w:style>
  <w:style w:type="character" w:styleId="62">
    <w:name w:val="annotation reference"/>
    <w:qFormat/>
    <w:uiPriority w:val="0"/>
    <w:rPr>
      <w:sz w:val="21"/>
      <w:szCs w:val="21"/>
    </w:rPr>
  </w:style>
  <w:style w:type="character" w:styleId="63">
    <w:name w:val="HTML Cite"/>
    <w:qFormat/>
    <w:uiPriority w:val="0"/>
    <w:rPr>
      <w:color w:val="008000"/>
    </w:rPr>
  </w:style>
  <w:style w:type="paragraph" w:customStyle="1" w:styleId="64">
    <w:name w:val="01 正文-首行缩进2字符"/>
    <w:basedOn w:val="1"/>
    <w:qFormat/>
    <w:uiPriority w:val="0"/>
    <w:pPr>
      <w:spacing w:before="50" w:beforeLines="50" w:after="50" w:afterLines="50"/>
      <w:ind w:firstLine="200" w:firstLineChars="200"/>
    </w:pPr>
    <w:rPr>
      <w:rFonts w:ascii="Arial" w:hAnsi="Arial"/>
      <w:color w:val="000000"/>
    </w:rPr>
  </w:style>
  <w:style w:type="paragraph" w:customStyle="1" w:styleId="6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6">
    <w:name w:val="Char3 Char Char Char"/>
    <w:basedOn w:val="1"/>
    <w:qFormat/>
    <w:uiPriority w:val="0"/>
  </w:style>
  <w:style w:type="character" w:customStyle="1" w:styleId="67">
    <w:name w:val="不明显参考1"/>
    <w:qFormat/>
    <w:uiPriority w:val="0"/>
    <w:rPr>
      <w:smallCaps/>
      <w:color w:val="C0504D"/>
      <w:u w:val="single"/>
    </w:rPr>
  </w:style>
  <w:style w:type="character" w:customStyle="1" w:styleId="68">
    <w:name w:val="PI Char1"/>
    <w:qFormat/>
    <w:uiPriority w:val="0"/>
    <w:rPr>
      <w:rFonts w:eastAsia="宋体"/>
      <w:kern w:val="2"/>
      <w:sz w:val="24"/>
      <w:szCs w:val="24"/>
      <w:lang w:val="en-US" w:eastAsia="zh-CN" w:bidi="ar-SA"/>
    </w:rPr>
  </w:style>
  <w:style w:type="character" w:customStyle="1" w:styleId="69">
    <w:name w:val="标题 2 Char"/>
    <w:link w:val="5"/>
    <w:qFormat/>
    <w:uiPriority w:val="0"/>
    <w:rPr>
      <w:rFonts w:ascii="仿宋_GB2312" w:eastAsia="宋体"/>
      <w:b/>
      <w:kern w:val="2"/>
      <w:sz w:val="28"/>
      <w:szCs w:val="32"/>
      <w:lang w:val="en-US" w:eastAsia="zh-CN" w:bidi="ar-SA"/>
    </w:rPr>
  </w:style>
  <w:style w:type="character" w:customStyle="1" w:styleId="70">
    <w:name w:val="pt141"/>
    <w:qFormat/>
    <w:uiPriority w:val="0"/>
    <w:rPr>
      <w:color w:val="330066"/>
      <w:spacing w:val="450"/>
      <w:sz w:val="22"/>
      <w:szCs w:val="22"/>
    </w:rPr>
  </w:style>
  <w:style w:type="character" w:customStyle="1" w:styleId="71">
    <w:name w:val="Char Char27"/>
    <w:qFormat/>
    <w:uiPriority w:val="0"/>
    <w:rPr>
      <w:rFonts w:eastAsia="宋体"/>
      <w:kern w:val="2"/>
      <w:sz w:val="28"/>
      <w:lang w:val="en-US" w:eastAsia="zh-CN" w:bidi="ar-SA"/>
    </w:rPr>
  </w:style>
  <w:style w:type="character" w:customStyle="1" w:styleId="72">
    <w:name w:val="标题 7 Char"/>
    <w:link w:val="10"/>
    <w:qFormat/>
    <w:uiPriority w:val="0"/>
    <w:rPr>
      <w:rFonts w:eastAsia="宋体"/>
      <w:b/>
      <w:kern w:val="2"/>
      <w:sz w:val="24"/>
      <w:lang w:val="en-US" w:eastAsia="zh-CN" w:bidi="ar-SA"/>
    </w:rPr>
  </w:style>
  <w:style w:type="character" w:customStyle="1" w:styleId="73">
    <w:name w:val="明显参考1"/>
    <w:qFormat/>
    <w:uiPriority w:val="0"/>
    <w:rPr>
      <w:b/>
      <w:bCs/>
      <w:smallCaps/>
      <w:color w:val="C0504D"/>
      <w:spacing w:val="5"/>
      <w:u w:val="single"/>
    </w:rPr>
  </w:style>
  <w:style w:type="character" w:customStyle="1" w:styleId="74">
    <w:name w:val="书籍标题1"/>
    <w:qFormat/>
    <w:uiPriority w:val="0"/>
    <w:rPr>
      <w:b/>
      <w:bCs/>
      <w:smallCaps/>
      <w:spacing w:val="5"/>
    </w:rPr>
  </w:style>
  <w:style w:type="character" w:customStyle="1" w:styleId="75">
    <w:name w:val="Char Char61"/>
    <w:qFormat/>
    <w:uiPriority w:val="0"/>
    <w:rPr>
      <w:rFonts w:ascii="Times New Roman" w:hAnsi="Times New Roman" w:eastAsia="宋体" w:cs="Times New Roman"/>
      <w:szCs w:val="24"/>
    </w:rPr>
  </w:style>
  <w:style w:type="character" w:customStyle="1" w:styleId="76">
    <w:name w:val="Char Char24"/>
    <w:qFormat/>
    <w:uiPriority w:val="0"/>
    <w:rPr>
      <w:rFonts w:eastAsia="宋体"/>
      <w:b/>
      <w:kern w:val="2"/>
      <w:sz w:val="28"/>
      <w:lang w:val="en-US" w:eastAsia="zh-CN" w:bidi="ar-SA"/>
    </w:rPr>
  </w:style>
  <w:style w:type="character" w:customStyle="1" w:styleId="77">
    <w:name w:val="Style4"/>
    <w:qFormat/>
    <w:uiPriority w:val="0"/>
    <w:rPr>
      <w:rFonts w:ascii="Calibri" w:hAnsi="宋体" w:eastAsia="宋体" w:cs="Times New Roman"/>
      <w:szCs w:val="22"/>
      <w:lang w:eastAsia="zh-CN"/>
    </w:rPr>
  </w:style>
  <w:style w:type="character" w:customStyle="1" w:styleId="78">
    <w:name w:val="Style1"/>
    <w:qFormat/>
    <w:uiPriority w:val="0"/>
    <w:rPr>
      <w:rFonts w:ascii="Calibri" w:hAnsi="宋体" w:eastAsia="宋体" w:cs="Times New Roman"/>
      <w:sz w:val="22"/>
      <w:szCs w:val="22"/>
      <w:lang w:eastAsia="zh-CN"/>
    </w:rPr>
  </w:style>
  <w:style w:type="character" w:customStyle="1" w:styleId="79">
    <w:name w:val="heading 1 Char1"/>
    <w:qFormat/>
    <w:uiPriority w:val="0"/>
    <w:rPr>
      <w:rFonts w:eastAsia="宋体"/>
      <w:b/>
      <w:bCs/>
      <w:kern w:val="44"/>
      <w:sz w:val="44"/>
      <w:szCs w:val="44"/>
      <w:lang w:val="en-US" w:eastAsia="zh-CN" w:bidi="ar-SA"/>
    </w:rPr>
  </w:style>
  <w:style w:type="character" w:customStyle="1" w:styleId="80">
    <w:name w:val="Style5"/>
    <w:qFormat/>
    <w:uiPriority w:val="0"/>
    <w:rPr>
      <w:rFonts w:ascii="Calibri" w:hAnsi="宋体" w:eastAsia="宋体" w:cs="Times New Roman"/>
      <w:sz w:val="22"/>
      <w:szCs w:val="22"/>
      <w:lang w:eastAsia="zh-CN"/>
    </w:rPr>
  </w:style>
  <w:style w:type="character" w:customStyle="1" w:styleId="81">
    <w:name w:val="称呼 Char"/>
    <w:link w:val="20"/>
    <w:qFormat/>
    <w:uiPriority w:val="0"/>
    <w:rPr>
      <w:rFonts w:ascii="仿宋_GB2312" w:eastAsia="仿宋_GB2312"/>
      <w:b/>
      <w:sz w:val="24"/>
      <w:szCs w:val="32"/>
    </w:rPr>
  </w:style>
  <w:style w:type="character" w:customStyle="1" w:styleId="82">
    <w:name w:val="Ò³Ã¼ Char Char2"/>
    <w:qFormat/>
    <w:uiPriority w:val="0"/>
    <w:rPr>
      <w:kern w:val="2"/>
      <w:sz w:val="18"/>
      <w:szCs w:val="18"/>
    </w:rPr>
  </w:style>
  <w:style w:type="character" w:customStyle="1" w:styleId="83">
    <w:name w:val="明显强调1"/>
    <w:qFormat/>
    <w:uiPriority w:val="0"/>
    <w:rPr>
      <w:b/>
      <w:bCs/>
      <w:i/>
      <w:iCs/>
      <w:color w:val="4F81BD"/>
    </w:rPr>
  </w:style>
  <w:style w:type="character" w:customStyle="1" w:styleId="84">
    <w:name w:val="样式 标题 3 + 黑体 小四 Char Char"/>
    <w:link w:val="85"/>
    <w:qFormat/>
    <w:uiPriority w:val="0"/>
    <w:rPr>
      <w:rFonts w:ascii="黑体" w:hAnsi="Arial" w:eastAsia="黑体"/>
      <w:bCs/>
      <w:sz w:val="24"/>
      <w:szCs w:val="24"/>
      <w:lang w:bidi="ar-SA"/>
    </w:rPr>
  </w:style>
  <w:style w:type="paragraph" w:customStyle="1" w:styleId="85">
    <w:name w:val="样式 标题 3 + 黑体 小四"/>
    <w:basedOn w:val="6"/>
    <w:link w:val="84"/>
    <w:qFormat/>
    <w:uiPriority w:val="0"/>
    <w:pPr>
      <w:spacing w:before="260" w:after="260" w:line="413" w:lineRule="auto"/>
    </w:pPr>
    <w:rPr>
      <w:rFonts w:ascii="黑体" w:hAnsi="Arial"/>
      <w:b w:val="0"/>
      <w:bCs/>
      <w:kern w:val="0"/>
      <w:sz w:val="24"/>
      <w:szCs w:val="24"/>
    </w:rPr>
  </w:style>
  <w:style w:type="character" w:customStyle="1" w:styleId="86">
    <w:name w:val="heading 7 Char1"/>
    <w:qFormat/>
    <w:uiPriority w:val="0"/>
    <w:rPr>
      <w:rFonts w:ascii="Arial" w:hAnsi="Arial" w:eastAsia="黑体"/>
      <w:sz w:val="21"/>
      <w:szCs w:val="21"/>
      <w:lang w:val="en-US" w:eastAsia="zh-CN" w:bidi="ar-SA"/>
    </w:rPr>
  </w:style>
  <w:style w:type="character" w:customStyle="1" w:styleId="87">
    <w:name w:val="Char Char1"/>
    <w:qFormat/>
    <w:uiPriority w:val="0"/>
    <w:rPr>
      <w:rFonts w:eastAsia="宋体"/>
      <w:sz w:val="21"/>
      <w:lang w:val="en-US" w:eastAsia="zh-CN" w:bidi="ar-SA"/>
    </w:rPr>
  </w:style>
  <w:style w:type="character" w:customStyle="1" w:styleId="88">
    <w:name w:val="Char Char12"/>
    <w:qFormat/>
    <w:uiPriority w:val="0"/>
    <w:rPr>
      <w:rFonts w:eastAsia="宋体"/>
      <w:kern w:val="2"/>
      <w:sz w:val="21"/>
      <w:szCs w:val="24"/>
      <w:lang w:val="en-US" w:eastAsia="zh-CN" w:bidi="ar-SA"/>
    </w:rPr>
  </w:style>
  <w:style w:type="character" w:customStyle="1" w:styleId="89">
    <w:name w:val="Char Char18"/>
    <w:qFormat/>
    <w:uiPriority w:val="0"/>
    <w:rPr>
      <w:b/>
      <w:bCs/>
      <w:kern w:val="2"/>
      <w:sz w:val="32"/>
      <w:szCs w:val="32"/>
    </w:rPr>
  </w:style>
  <w:style w:type="character" w:customStyle="1" w:styleId="90">
    <w:name w:val="Char Char4"/>
    <w:qFormat/>
    <w:uiPriority w:val="0"/>
    <w:rPr>
      <w:rFonts w:ascii="Cambria" w:hAnsi="Cambria" w:eastAsia="宋体"/>
      <w:b/>
      <w:bCs/>
      <w:sz w:val="32"/>
      <w:szCs w:val="32"/>
      <w:lang w:bidi="ar-SA"/>
    </w:rPr>
  </w:style>
  <w:style w:type="character" w:customStyle="1" w:styleId="91">
    <w:name w:val="PI Char"/>
    <w:qFormat/>
    <w:uiPriority w:val="0"/>
    <w:rPr>
      <w:rFonts w:ascii="宋体" w:hAnsi="宋体"/>
      <w:sz w:val="24"/>
    </w:rPr>
  </w:style>
  <w:style w:type="character" w:customStyle="1" w:styleId="92">
    <w:name w:val="明显参考2"/>
    <w:qFormat/>
    <w:uiPriority w:val="0"/>
    <w:rPr>
      <w:b/>
      <w:bCs/>
      <w:smallCaps/>
      <w:color w:val="C0504D"/>
      <w:spacing w:val="5"/>
      <w:u w:val="single"/>
    </w:rPr>
  </w:style>
  <w:style w:type="character" w:customStyle="1" w:styleId="93">
    <w:name w:val="批注文字 Char"/>
    <w:link w:val="19"/>
    <w:qFormat/>
    <w:uiPriority w:val="0"/>
    <w:rPr>
      <w:rFonts w:eastAsia="宋体"/>
      <w:kern w:val="2"/>
      <w:sz w:val="21"/>
      <w:szCs w:val="24"/>
      <w:lang w:val="en-US" w:eastAsia="zh-CN" w:bidi="ar-SA"/>
    </w:rPr>
  </w:style>
  <w:style w:type="character" w:customStyle="1" w:styleId="94">
    <w:name w:val="Style2"/>
    <w:qFormat/>
    <w:uiPriority w:val="0"/>
    <w:rPr>
      <w:rFonts w:ascii="Calibri" w:hAnsi="宋体" w:eastAsia="宋体" w:cs="Times New Roman"/>
      <w:sz w:val="22"/>
      <w:szCs w:val="22"/>
      <w:lang w:eastAsia="zh-CN"/>
    </w:rPr>
  </w:style>
  <w:style w:type="character" w:customStyle="1" w:styleId="95">
    <w:name w:val="Footer-Even Char1"/>
    <w:qFormat/>
    <w:uiPriority w:val="0"/>
    <w:rPr>
      <w:rFonts w:eastAsia="宋体"/>
      <w:kern w:val="2"/>
      <w:sz w:val="18"/>
      <w:szCs w:val="18"/>
      <w:lang w:val="en-US" w:eastAsia="zh-CN" w:bidi="ar-SA"/>
    </w:rPr>
  </w:style>
  <w:style w:type="character" w:customStyle="1" w:styleId="96">
    <w:name w:val="heading 4 Char1"/>
    <w:qFormat/>
    <w:uiPriority w:val="0"/>
    <w:rPr>
      <w:rFonts w:ascii="Cambria" w:hAnsi="Cambria" w:eastAsia="宋体"/>
      <w:b/>
      <w:bCs/>
      <w:kern w:val="2"/>
      <w:sz w:val="28"/>
      <w:szCs w:val="28"/>
      <w:lang w:val="en-US" w:eastAsia="zh-CN" w:bidi="ar-SA"/>
    </w:rPr>
  </w:style>
  <w:style w:type="character" w:customStyle="1" w:styleId="97">
    <w:name w:val="正文文本 3 Char"/>
    <w:basedOn w:val="55"/>
    <w:link w:val="21"/>
    <w:qFormat/>
    <w:uiPriority w:val="0"/>
  </w:style>
  <w:style w:type="character" w:customStyle="1" w:styleId="98">
    <w:name w:val="批注主题 Char"/>
    <w:link w:val="51"/>
    <w:qFormat/>
    <w:uiPriority w:val="0"/>
    <w:rPr>
      <w:rFonts w:eastAsia="宋体"/>
      <w:b/>
      <w:bCs/>
      <w:kern w:val="2"/>
      <w:sz w:val="21"/>
      <w:szCs w:val="24"/>
      <w:lang w:val="en-US" w:eastAsia="zh-CN" w:bidi="ar-SA"/>
    </w:rPr>
  </w:style>
  <w:style w:type="character" w:customStyle="1" w:styleId="99">
    <w:name w:val="不明显参考11"/>
    <w:qFormat/>
    <w:uiPriority w:val="0"/>
    <w:rPr>
      <w:smallCaps/>
      <w:color w:val="C0504D"/>
      <w:u w:val="single"/>
    </w:rPr>
  </w:style>
  <w:style w:type="character" w:customStyle="1" w:styleId="100">
    <w:name w:val="Plain Text Char"/>
    <w:qFormat/>
    <w:uiPriority w:val="0"/>
    <w:rPr>
      <w:rFonts w:ascii="宋体" w:hAnsi="Courier New" w:eastAsia="宋体" w:cs="Times New Roman"/>
      <w:sz w:val="21"/>
      <w:szCs w:val="21"/>
    </w:rPr>
  </w:style>
  <w:style w:type="character" w:customStyle="1" w:styleId="101">
    <w:name w:val="Char Char111"/>
    <w:qFormat/>
    <w:uiPriority w:val="0"/>
    <w:rPr>
      <w:rFonts w:ascii="Times New Roman" w:hAnsi="Times New Roman" w:eastAsia="宋体" w:cs="Times New Roman"/>
      <w:sz w:val="18"/>
      <w:szCs w:val="18"/>
    </w:rPr>
  </w:style>
  <w:style w:type="character" w:customStyle="1" w:styleId="102">
    <w:name w:val="无间距字符"/>
    <w:link w:val="103"/>
    <w:qFormat/>
    <w:uiPriority w:val="0"/>
    <w:rPr>
      <w:rFonts w:eastAsia="Times New Roman"/>
      <w:sz w:val="22"/>
      <w:szCs w:val="22"/>
      <w:lang w:val="en-US" w:eastAsia="zh-CN" w:bidi="ar-SA"/>
    </w:rPr>
  </w:style>
  <w:style w:type="paragraph" w:customStyle="1" w:styleId="103">
    <w:name w:val="无间距"/>
    <w:link w:val="102"/>
    <w:qFormat/>
    <w:uiPriority w:val="0"/>
    <w:rPr>
      <w:rFonts w:ascii="Times New Roman" w:hAnsi="Times New Roman" w:eastAsia="Times New Roman" w:cs="Times New Roman"/>
      <w:sz w:val="22"/>
      <w:szCs w:val="22"/>
      <w:lang w:val="en-US" w:eastAsia="zh-CN" w:bidi="ar-SA"/>
    </w:rPr>
  </w:style>
  <w:style w:type="character" w:customStyle="1" w:styleId="104">
    <w:name w:val="heading 5 Char2"/>
    <w:qFormat/>
    <w:uiPriority w:val="0"/>
    <w:rPr>
      <w:b/>
      <w:bCs/>
      <w:kern w:val="2"/>
      <w:sz w:val="28"/>
      <w:szCs w:val="28"/>
    </w:rPr>
  </w:style>
  <w:style w:type="character" w:customStyle="1" w:styleId="105">
    <w:name w:val="样式2 Char Char"/>
    <w:link w:val="106"/>
    <w:qFormat/>
    <w:uiPriority w:val="0"/>
    <w:rPr>
      <w:rFonts w:ascii="宋体" w:hAnsi="宋体" w:eastAsia="宋体"/>
      <w:bCs/>
      <w:kern w:val="2"/>
      <w:sz w:val="28"/>
      <w:szCs w:val="28"/>
      <w:lang w:val="en-US" w:eastAsia="zh-CN" w:bidi="ar-SA"/>
    </w:rPr>
  </w:style>
  <w:style w:type="paragraph" w:customStyle="1" w:styleId="106">
    <w:name w:val="样式2"/>
    <w:basedOn w:val="5"/>
    <w:link w:val="105"/>
    <w:qFormat/>
    <w:uiPriority w:val="0"/>
    <w:pPr>
      <w:keepLines/>
      <w:snapToGrid w:val="0"/>
      <w:spacing w:before="260" w:afterLines="50" w:line="480" w:lineRule="exact"/>
      <w:ind w:firstLine="556"/>
    </w:pPr>
    <w:rPr>
      <w:rFonts w:ascii="宋体" w:hAnsi="宋体"/>
      <w:b w:val="0"/>
      <w:bCs/>
      <w:szCs w:val="28"/>
    </w:rPr>
  </w:style>
  <w:style w:type="character" w:customStyle="1" w:styleId="107">
    <w:name w:val="正文缩进 Char"/>
    <w:link w:val="2"/>
    <w:qFormat/>
    <w:uiPriority w:val="0"/>
    <w:rPr>
      <w:rFonts w:ascii="仿宋_GB2312" w:eastAsia="宋体"/>
      <w:b/>
      <w:sz w:val="21"/>
      <w:szCs w:val="32"/>
      <w:lang w:val="en-US" w:eastAsia="zh-CN" w:bidi="ar-SA"/>
    </w:rPr>
  </w:style>
  <w:style w:type="character" w:customStyle="1" w:styleId="108">
    <w:name w:val="heading 2 Char1"/>
    <w:qFormat/>
    <w:uiPriority w:val="0"/>
    <w:rPr>
      <w:rFonts w:ascii="Cambria" w:hAnsi="Cambria" w:eastAsia="宋体"/>
      <w:b/>
      <w:bCs/>
      <w:kern w:val="2"/>
      <w:sz w:val="32"/>
      <w:szCs w:val="32"/>
      <w:lang w:val="en-US" w:eastAsia="zh-CN" w:bidi="ar-SA"/>
    </w:rPr>
  </w:style>
  <w:style w:type="character" w:customStyle="1" w:styleId="109">
    <w:name w:val="heading 3 Char1"/>
    <w:qFormat/>
    <w:uiPriority w:val="0"/>
    <w:rPr>
      <w:rFonts w:eastAsia="宋体"/>
      <w:b/>
      <w:bCs/>
      <w:kern w:val="2"/>
      <w:sz w:val="32"/>
      <w:szCs w:val="32"/>
      <w:lang w:val="en-US" w:eastAsia="zh-CN" w:bidi="ar-SA"/>
    </w:rPr>
  </w:style>
  <w:style w:type="character" w:customStyle="1" w:styleId="110">
    <w:name w:val="Char Char15"/>
    <w:qFormat/>
    <w:uiPriority w:val="0"/>
    <w:rPr>
      <w:rFonts w:ascii="Arial" w:hAnsi="Arial" w:eastAsia="黑体"/>
      <w:sz w:val="24"/>
      <w:szCs w:val="24"/>
    </w:rPr>
  </w:style>
  <w:style w:type="character" w:customStyle="1" w:styleId="111">
    <w:name w:val="heading 1 Char"/>
    <w:qFormat/>
    <w:uiPriority w:val="0"/>
    <w:rPr>
      <w:rFonts w:ascii="Arial" w:hAnsi="Arial" w:eastAsia="黑体"/>
      <w:b/>
      <w:sz w:val="36"/>
      <w:szCs w:val="36"/>
    </w:rPr>
  </w:style>
  <w:style w:type="character" w:customStyle="1" w:styleId="112">
    <w:name w:val="ändrad Char"/>
    <w:qFormat/>
    <w:uiPriority w:val="0"/>
    <w:rPr>
      <w:rFonts w:eastAsia="宋体"/>
      <w:kern w:val="2"/>
      <w:sz w:val="21"/>
      <w:szCs w:val="24"/>
      <w:lang w:val="en-US" w:eastAsia="zh-CN" w:bidi="ar-SA"/>
    </w:rPr>
  </w:style>
  <w:style w:type="character" w:customStyle="1" w:styleId="113">
    <w:name w:val="标题 Char"/>
    <w:link w:val="50"/>
    <w:qFormat/>
    <w:uiPriority w:val="0"/>
    <w:rPr>
      <w:rFonts w:ascii="Cambria" w:hAnsi="Cambria" w:eastAsia="宋体"/>
      <w:b/>
      <w:bCs/>
      <w:kern w:val="2"/>
      <w:sz w:val="32"/>
      <w:szCs w:val="32"/>
      <w:lang w:val="en-US" w:eastAsia="zh-CN" w:bidi="ar-SA"/>
    </w:rPr>
  </w:style>
  <w:style w:type="character" w:customStyle="1" w:styleId="114">
    <w:name w:val="Char Char22"/>
    <w:qFormat/>
    <w:uiPriority w:val="0"/>
    <w:rPr>
      <w:rFonts w:ascii="Arial" w:hAnsi="Arial" w:eastAsia="黑体"/>
      <w:b/>
      <w:bCs/>
      <w:kern w:val="44"/>
      <w:sz w:val="30"/>
      <w:szCs w:val="44"/>
      <w:lang w:val="en-US" w:eastAsia="zh-CN" w:bidi="ar-SA"/>
    </w:rPr>
  </w:style>
  <w:style w:type="character" w:customStyle="1" w:styleId="115">
    <w:name w:val="blue1"/>
    <w:basedOn w:val="55"/>
    <w:qFormat/>
    <w:uiPriority w:val="0"/>
  </w:style>
  <w:style w:type="character" w:customStyle="1" w:styleId="116">
    <w:name w:val="样式 宋体"/>
    <w:qFormat/>
    <w:uiPriority w:val="0"/>
    <w:rPr>
      <w:rFonts w:ascii="宋体" w:hAnsi="宋体" w:eastAsia="宋体"/>
      <w:sz w:val="24"/>
      <w:szCs w:val="24"/>
    </w:rPr>
  </w:style>
  <w:style w:type="character" w:customStyle="1" w:styleId="117">
    <w:name w:val="dandyren_title1"/>
    <w:qFormat/>
    <w:uiPriority w:val="0"/>
    <w:rPr>
      <w:b/>
      <w:bCs/>
      <w:color w:val="FF6633"/>
      <w:sz w:val="18"/>
      <w:szCs w:val="18"/>
    </w:rPr>
  </w:style>
  <w:style w:type="character" w:customStyle="1" w:styleId="118">
    <w:name w:val="font21"/>
    <w:basedOn w:val="55"/>
    <w:qFormat/>
    <w:uiPriority w:val="0"/>
    <w:rPr>
      <w:rFonts w:ascii="Wingdings 2" w:hAnsi="Wingdings 2" w:eastAsia="Wingdings 2" w:cs="Wingdings 2"/>
      <w:b/>
      <w:color w:val="000000"/>
      <w:sz w:val="20"/>
      <w:szCs w:val="20"/>
      <w:u w:val="none"/>
    </w:rPr>
  </w:style>
  <w:style w:type="character" w:customStyle="1" w:styleId="119">
    <w:name w:val="Ò³Ã¼ Char Char1"/>
    <w:qFormat/>
    <w:uiPriority w:val="0"/>
    <w:rPr>
      <w:rFonts w:eastAsia="宋体"/>
      <w:kern w:val="2"/>
      <w:sz w:val="18"/>
      <w:szCs w:val="18"/>
      <w:lang w:val="en-US" w:eastAsia="zh-CN" w:bidi="ar-SA"/>
    </w:rPr>
  </w:style>
  <w:style w:type="character" w:customStyle="1" w:styleId="120">
    <w:name w:val="宏文本 Char"/>
    <w:link w:val="3"/>
    <w:qFormat/>
    <w:uiPriority w:val="0"/>
    <w:rPr>
      <w:rFonts w:ascii="Courier New" w:hAnsi="Courier New" w:eastAsia="Times New Roman"/>
      <w:kern w:val="2"/>
      <w:sz w:val="24"/>
      <w:szCs w:val="24"/>
      <w:lang w:val="en-US" w:eastAsia="zh-CN" w:bidi="ar-SA"/>
    </w:rPr>
  </w:style>
  <w:style w:type="character" w:customStyle="1" w:styleId="121">
    <w:name w:val="Footer-Even Char"/>
    <w:qFormat/>
    <w:uiPriority w:val="0"/>
    <w:rPr>
      <w:sz w:val="18"/>
      <w:szCs w:val="18"/>
    </w:rPr>
  </w:style>
  <w:style w:type="character" w:customStyle="1" w:styleId="122">
    <w:name w:val="页脚 Char"/>
    <w:link w:val="36"/>
    <w:qFormat/>
    <w:uiPriority w:val="0"/>
    <w:rPr>
      <w:rFonts w:eastAsia="宋体"/>
      <w:kern w:val="2"/>
      <w:sz w:val="18"/>
      <w:szCs w:val="18"/>
      <w:lang w:val="en-US" w:eastAsia="zh-CN" w:bidi="ar-SA"/>
    </w:rPr>
  </w:style>
  <w:style w:type="character" w:customStyle="1" w:styleId="123">
    <w:name w:val="style111"/>
    <w:qFormat/>
    <w:uiPriority w:val="0"/>
    <w:rPr>
      <w:sz w:val="27"/>
      <w:szCs w:val="27"/>
    </w:rPr>
  </w:style>
  <w:style w:type="character" w:customStyle="1" w:styleId="124">
    <w:name w:val="PI Char2"/>
    <w:qFormat/>
    <w:uiPriority w:val="0"/>
    <w:rPr>
      <w:kern w:val="2"/>
      <w:sz w:val="24"/>
      <w:szCs w:val="24"/>
    </w:rPr>
  </w:style>
  <w:style w:type="character" w:customStyle="1" w:styleId="125">
    <w:name w:val="gray6"/>
    <w:basedOn w:val="55"/>
    <w:qFormat/>
    <w:uiPriority w:val="0"/>
  </w:style>
  <w:style w:type="character" w:customStyle="1" w:styleId="126">
    <w:name w:val="Char Char Char1"/>
    <w:qFormat/>
    <w:uiPriority w:val="0"/>
    <w:rPr>
      <w:rFonts w:ascii="宋体" w:hAnsi="Courier New"/>
      <w:sz w:val="21"/>
      <w:szCs w:val="21"/>
    </w:rPr>
  </w:style>
  <w:style w:type="character" w:customStyle="1" w:styleId="127">
    <w:name w:val="Char Char121"/>
    <w:qFormat/>
    <w:uiPriority w:val="0"/>
    <w:rPr>
      <w:rFonts w:eastAsia="宋体"/>
      <w:kern w:val="2"/>
      <w:sz w:val="21"/>
      <w:szCs w:val="24"/>
      <w:lang w:val="en-US" w:eastAsia="zh-CN" w:bidi="ar-SA"/>
    </w:rPr>
  </w:style>
  <w:style w:type="character" w:customStyle="1" w:styleId="128">
    <w:name w:val="Char Char Char Char Char Char Char Char Char"/>
    <w:qFormat/>
    <w:uiPriority w:val="0"/>
    <w:rPr>
      <w:rFonts w:ascii="宋体" w:hAnsi="Courier New" w:eastAsia="宋体"/>
      <w:sz w:val="21"/>
      <w:szCs w:val="21"/>
      <w:lang w:val="en-US" w:eastAsia="zh-CN" w:bidi="ar-SA"/>
    </w:rPr>
  </w:style>
  <w:style w:type="character" w:customStyle="1" w:styleId="129">
    <w:name w:val="heading 4 Char2"/>
    <w:qFormat/>
    <w:uiPriority w:val="0"/>
    <w:rPr>
      <w:rFonts w:ascii="Cambria" w:hAnsi="Cambria"/>
      <w:b/>
      <w:bCs/>
      <w:kern w:val="2"/>
      <w:sz w:val="28"/>
      <w:szCs w:val="28"/>
    </w:rPr>
  </w:style>
  <w:style w:type="character" w:customStyle="1" w:styleId="130">
    <w:name w:val="heading 3 Char"/>
    <w:qFormat/>
    <w:uiPriority w:val="0"/>
    <w:rPr>
      <w:rFonts w:ascii="Arial" w:hAnsi="Arial" w:eastAsia="黑体"/>
      <w:sz w:val="28"/>
      <w:szCs w:val="24"/>
    </w:rPr>
  </w:style>
  <w:style w:type="character" w:customStyle="1" w:styleId="131">
    <w:name w:val="标题 1 Char"/>
    <w:link w:val="4"/>
    <w:qFormat/>
    <w:uiPriority w:val="0"/>
    <w:rPr>
      <w:rFonts w:eastAsia="黑体"/>
      <w:b/>
      <w:kern w:val="2"/>
      <w:sz w:val="32"/>
      <w:lang w:val="en-US" w:eastAsia="zh-CN" w:bidi="ar-SA"/>
    </w:rPr>
  </w:style>
  <w:style w:type="character" w:customStyle="1" w:styleId="132">
    <w:name w:val="Char Char16"/>
    <w:qFormat/>
    <w:uiPriority w:val="0"/>
    <w:rPr>
      <w:b/>
      <w:bCs/>
      <w:kern w:val="2"/>
      <w:sz w:val="28"/>
      <w:szCs w:val="28"/>
    </w:rPr>
  </w:style>
  <w:style w:type="character" w:customStyle="1" w:styleId="133">
    <w:name w:val="文档结构图 Char"/>
    <w:link w:val="18"/>
    <w:qFormat/>
    <w:uiPriority w:val="0"/>
    <w:rPr>
      <w:rFonts w:eastAsia="宋体"/>
      <w:kern w:val="2"/>
      <w:sz w:val="21"/>
      <w:szCs w:val="24"/>
      <w:lang w:val="en-US" w:eastAsia="zh-CN" w:bidi="ar-SA"/>
    </w:rPr>
  </w:style>
  <w:style w:type="character" w:customStyle="1" w:styleId="134">
    <w:name w:val="标题 5 Char"/>
    <w:link w:val="8"/>
    <w:qFormat/>
    <w:uiPriority w:val="0"/>
    <w:rPr>
      <w:rFonts w:eastAsia="宋体"/>
      <w:b/>
      <w:bCs/>
      <w:sz w:val="28"/>
      <w:szCs w:val="28"/>
      <w:lang w:bidi="ar-SA"/>
    </w:rPr>
  </w:style>
  <w:style w:type="character" w:customStyle="1" w:styleId="135">
    <w:name w:val="日期 Char"/>
    <w:link w:val="33"/>
    <w:qFormat/>
    <w:uiPriority w:val="0"/>
    <w:rPr>
      <w:rFonts w:eastAsia="宋体"/>
      <w:kern w:val="2"/>
      <w:sz w:val="21"/>
      <w:szCs w:val="24"/>
      <w:lang w:val="en-US" w:eastAsia="zh-CN" w:bidi="ar-SA"/>
    </w:rPr>
  </w:style>
  <w:style w:type="character" w:customStyle="1" w:styleId="136">
    <w:name w:val="副标题 Char"/>
    <w:link w:val="41"/>
    <w:qFormat/>
    <w:uiPriority w:val="0"/>
    <w:rPr>
      <w:rFonts w:ascii="Cambria" w:hAnsi="Cambria" w:eastAsia="宋体"/>
      <w:b/>
      <w:bCs/>
      <w:kern w:val="28"/>
      <w:sz w:val="32"/>
      <w:szCs w:val="32"/>
      <w:lang w:val="en-US" w:eastAsia="zh-CN" w:bidi="ar-SA"/>
    </w:rPr>
  </w:style>
  <w:style w:type="character" w:customStyle="1" w:styleId="137">
    <w:name w:val="页眉 Char"/>
    <w:link w:val="37"/>
    <w:qFormat/>
    <w:uiPriority w:val="0"/>
    <w:rPr>
      <w:rFonts w:eastAsia="宋体"/>
      <w:kern w:val="2"/>
      <w:sz w:val="18"/>
      <w:szCs w:val="18"/>
      <w:lang w:val="en-US" w:eastAsia="zh-CN" w:bidi="ar-SA"/>
    </w:rPr>
  </w:style>
  <w:style w:type="character" w:customStyle="1" w:styleId="138">
    <w:name w:val="style13"/>
    <w:basedOn w:val="55"/>
    <w:qFormat/>
    <w:uiPriority w:val="0"/>
  </w:style>
  <w:style w:type="character" w:customStyle="1" w:styleId="139">
    <w:name w:val="textcolor1"/>
    <w:qFormat/>
    <w:uiPriority w:val="0"/>
    <w:rPr>
      <w:rFonts w:ascii="仿宋_GB2312" w:eastAsia="仿宋_GB2312"/>
      <w:b/>
      <w:color w:val="FF6600"/>
      <w:sz w:val="32"/>
      <w:szCs w:val="32"/>
    </w:rPr>
  </w:style>
  <w:style w:type="character" w:customStyle="1" w:styleId="140">
    <w:name w:val="Table Text Char Char"/>
    <w:link w:val="141"/>
    <w:qFormat/>
    <w:uiPriority w:val="0"/>
    <w:rPr>
      <w:sz w:val="21"/>
      <w:lang w:val="en-US" w:eastAsia="en-US" w:bidi="ar-SA"/>
    </w:rPr>
  </w:style>
  <w:style w:type="paragraph" w:customStyle="1" w:styleId="141">
    <w:name w:val="Table Text"/>
    <w:basedOn w:val="1"/>
    <w:link w:val="140"/>
    <w:qFormat/>
    <w:uiPriority w:val="0"/>
    <w:pPr>
      <w:widowControl/>
      <w:tabs>
        <w:tab w:val="decimal" w:pos="0"/>
      </w:tabs>
      <w:overflowPunct w:val="0"/>
      <w:autoSpaceDE w:val="0"/>
      <w:autoSpaceDN w:val="0"/>
      <w:adjustRightInd w:val="0"/>
      <w:jc w:val="left"/>
      <w:textAlignment w:val="baseline"/>
    </w:pPr>
    <w:rPr>
      <w:kern w:val="0"/>
      <w:szCs w:val="20"/>
      <w:lang w:eastAsia="en-US"/>
    </w:rPr>
  </w:style>
  <w:style w:type="character" w:customStyle="1" w:styleId="142">
    <w:name w:val="Ò³Ã¼ Char Char"/>
    <w:qFormat/>
    <w:uiPriority w:val="0"/>
    <w:rPr>
      <w:sz w:val="18"/>
      <w:szCs w:val="18"/>
    </w:rPr>
  </w:style>
  <w:style w:type="character" w:customStyle="1" w:styleId="143">
    <w:name w:val="heading 2 Char2"/>
    <w:qFormat/>
    <w:uiPriority w:val="0"/>
    <w:rPr>
      <w:rFonts w:ascii="Cambria" w:hAnsi="Cambria"/>
      <w:b/>
      <w:bCs/>
      <w:kern w:val="2"/>
      <w:sz w:val="32"/>
      <w:szCs w:val="32"/>
    </w:rPr>
  </w:style>
  <w:style w:type="character" w:customStyle="1" w:styleId="144">
    <w:name w:val="书籍标题11"/>
    <w:qFormat/>
    <w:uiPriority w:val="0"/>
    <w:rPr>
      <w:b/>
      <w:bCs/>
      <w:smallCaps/>
      <w:spacing w:val="5"/>
    </w:rPr>
  </w:style>
  <w:style w:type="character" w:customStyle="1" w:styleId="145">
    <w:name w:val="Char Char21"/>
    <w:qFormat/>
    <w:uiPriority w:val="0"/>
    <w:rPr>
      <w:rFonts w:ascii="Times New Roman" w:hAnsi="Times New Roman" w:eastAsia="宋体" w:cs="Times New Roman"/>
      <w:b/>
      <w:bCs/>
      <w:kern w:val="44"/>
      <w:sz w:val="44"/>
      <w:szCs w:val="44"/>
    </w:rPr>
  </w:style>
  <w:style w:type="character" w:customStyle="1" w:styleId="146">
    <w:name w:val="正文文本缩进 Char"/>
    <w:link w:val="24"/>
    <w:qFormat/>
    <w:uiPriority w:val="0"/>
    <w:rPr>
      <w:rFonts w:eastAsia="宋体"/>
      <w:kern w:val="2"/>
      <w:sz w:val="24"/>
      <w:szCs w:val="24"/>
      <w:lang w:val="en-US" w:eastAsia="zh-CN" w:bidi="ar-SA"/>
    </w:rPr>
  </w:style>
  <w:style w:type="character" w:customStyle="1" w:styleId="147">
    <w:name w:val="不明显强调1"/>
    <w:qFormat/>
    <w:uiPriority w:val="0"/>
    <w:rPr>
      <w:i/>
      <w:iCs/>
      <w:color w:val="808080"/>
    </w:rPr>
  </w:style>
  <w:style w:type="character" w:customStyle="1" w:styleId="148">
    <w:name w:val="正文文本缩进 3 Char"/>
    <w:link w:val="45"/>
    <w:qFormat/>
    <w:uiPriority w:val="0"/>
    <w:rPr>
      <w:rFonts w:eastAsia="宋体"/>
      <w:kern w:val="2"/>
      <w:sz w:val="24"/>
      <w:szCs w:val="24"/>
      <w:lang w:val="en-US" w:eastAsia="zh-CN" w:bidi="ar-SA"/>
    </w:rPr>
  </w:style>
  <w:style w:type="character" w:customStyle="1" w:styleId="149">
    <w:name w:val="heading 5 Char"/>
    <w:qFormat/>
    <w:uiPriority w:val="0"/>
    <w:rPr>
      <w:rFonts w:ascii="Arial" w:hAnsi="Arial" w:eastAsia="黑体"/>
      <w:sz w:val="21"/>
      <w:szCs w:val="21"/>
    </w:rPr>
  </w:style>
  <w:style w:type="character" w:customStyle="1" w:styleId="150">
    <w:name w:val="Style3"/>
    <w:qFormat/>
    <w:uiPriority w:val="0"/>
    <w:rPr>
      <w:rFonts w:ascii="Calibri" w:hAnsi="宋体" w:eastAsia="宋体" w:cs="Times New Roman"/>
      <w:szCs w:val="22"/>
      <w:lang w:eastAsia="zh-CN"/>
    </w:rPr>
  </w:style>
  <w:style w:type="character" w:customStyle="1" w:styleId="151">
    <w:name w:val="标题 4 Char"/>
    <w:link w:val="7"/>
    <w:qFormat/>
    <w:uiPriority w:val="0"/>
    <w:rPr>
      <w:rFonts w:eastAsia="宋体"/>
      <w:kern w:val="2"/>
      <w:sz w:val="28"/>
      <w:szCs w:val="28"/>
      <w:lang w:val="en-US" w:eastAsia="zh-CN" w:bidi="ar-SA"/>
    </w:rPr>
  </w:style>
  <w:style w:type="character" w:customStyle="1" w:styleId="152">
    <w:name w:val="Char Char241"/>
    <w:qFormat/>
    <w:uiPriority w:val="0"/>
    <w:rPr>
      <w:rFonts w:eastAsia="宋体"/>
      <w:b/>
      <w:kern w:val="2"/>
      <w:sz w:val="28"/>
      <w:lang w:val="en-US" w:eastAsia="zh-CN" w:bidi="ar-SA"/>
    </w:rPr>
  </w:style>
  <w:style w:type="character" w:customStyle="1" w:styleId="153">
    <w:name w:val="批注框文本 Char"/>
    <w:link w:val="35"/>
    <w:qFormat/>
    <w:uiPriority w:val="0"/>
    <w:rPr>
      <w:rFonts w:eastAsia="宋体"/>
      <w:kern w:val="2"/>
      <w:sz w:val="18"/>
      <w:szCs w:val="18"/>
      <w:lang w:val="en-US" w:eastAsia="zh-CN" w:bidi="ar-SA"/>
    </w:rPr>
  </w:style>
  <w:style w:type="character" w:customStyle="1" w:styleId="154">
    <w:name w:val="标题 3 Char"/>
    <w:link w:val="6"/>
    <w:qFormat/>
    <w:uiPriority w:val="0"/>
    <w:rPr>
      <w:rFonts w:eastAsia="黑体"/>
      <w:b/>
      <w:kern w:val="2"/>
      <w:sz w:val="28"/>
      <w:lang w:val="en-US" w:eastAsia="zh-CN" w:bidi="ar-SA"/>
    </w:rPr>
  </w:style>
  <w:style w:type="character" w:customStyle="1" w:styleId="155">
    <w:name w:val="明显强调11"/>
    <w:qFormat/>
    <w:uiPriority w:val="0"/>
    <w:rPr>
      <w:b/>
      <w:bCs/>
      <w:i/>
      <w:iCs/>
      <w:color w:val="4F81BD"/>
    </w:rPr>
  </w:style>
  <w:style w:type="character" w:customStyle="1" w:styleId="156">
    <w:name w:val="签名 Char"/>
    <w:link w:val="38"/>
    <w:qFormat/>
    <w:uiPriority w:val="0"/>
    <w:rPr>
      <w:rFonts w:ascii="仿宋_GB2312" w:eastAsia="仿宋_GB2312"/>
      <w:b/>
      <w:sz w:val="24"/>
      <w:szCs w:val="32"/>
    </w:rPr>
  </w:style>
  <w:style w:type="character" w:customStyle="1" w:styleId="157">
    <w:name w:val="heading 3 Char2"/>
    <w:qFormat/>
    <w:uiPriority w:val="0"/>
    <w:rPr>
      <w:b/>
      <w:bCs/>
      <w:kern w:val="2"/>
      <w:sz w:val="32"/>
      <w:szCs w:val="32"/>
    </w:rPr>
  </w:style>
  <w:style w:type="character" w:customStyle="1" w:styleId="158">
    <w:name w:val="style21"/>
    <w:qFormat/>
    <w:uiPriority w:val="0"/>
    <w:rPr>
      <w:sz w:val="15"/>
      <w:szCs w:val="15"/>
    </w:rPr>
  </w:style>
  <w:style w:type="character" w:customStyle="1" w:styleId="159">
    <w:name w:val="Char Char271"/>
    <w:qFormat/>
    <w:uiPriority w:val="0"/>
    <w:rPr>
      <w:rFonts w:eastAsia="宋体"/>
      <w:kern w:val="2"/>
      <w:sz w:val="28"/>
      <w:lang w:val="en-US" w:eastAsia="zh-CN" w:bidi="ar-SA"/>
    </w:rPr>
  </w:style>
  <w:style w:type="character" w:customStyle="1" w:styleId="160">
    <w:name w:val="表格 Char Char"/>
    <w:link w:val="161"/>
    <w:qFormat/>
    <w:uiPriority w:val="0"/>
    <w:rPr>
      <w:rFonts w:ascii="宋体" w:hAnsi="宋体" w:eastAsia="宋体"/>
      <w:lang w:val="en-US" w:eastAsia="zh-CN" w:bidi="ar-SA"/>
    </w:rPr>
  </w:style>
  <w:style w:type="paragraph" w:customStyle="1" w:styleId="161">
    <w:name w:val="表格"/>
    <w:basedOn w:val="1"/>
    <w:link w:val="160"/>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62">
    <w:name w:val="heading 6 Char1"/>
    <w:qFormat/>
    <w:uiPriority w:val="0"/>
    <w:rPr>
      <w:rFonts w:ascii="Arial" w:hAnsi="Arial" w:eastAsia="黑体"/>
      <w:kern w:val="2"/>
      <w:sz w:val="24"/>
      <w:szCs w:val="24"/>
      <w:lang w:val="en-US" w:eastAsia="zh-CN" w:bidi="ar-SA"/>
    </w:rPr>
  </w:style>
  <w:style w:type="character" w:customStyle="1" w:styleId="163">
    <w:name w:val="Char Char211"/>
    <w:qFormat/>
    <w:uiPriority w:val="0"/>
    <w:rPr>
      <w:rFonts w:ascii="Times New Roman" w:hAnsi="Times New Roman" w:eastAsia="宋体" w:cs="Times New Roman"/>
      <w:b/>
      <w:bCs/>
      <w:kern w:val="44"/>
      <w:sz w:val="44"/>
      <w:szCs w:val="44"/>
    </w:rPr>
  </w:style>
  <w:style w:type="character" w:customStyle="1" w:styleId="164">
    <w:name w:val="不明显强调11"/>
    <w:qFormat/>
    <w:uiPriority w:val="0"/>
    <w:rPr>
      <w:i/>
      <w:iCs/>
      <w:color w:val="808080"/>
    </w:rPr>
  </w:style>
  <w:style w:type="character" w:customStyle="1" w:styleId="165">
    <w:name w:val="标题 9 Char"/>
    <w:link w:val="12"/>
    <w:qFormat/>
    <w:uiPriority w:val="0"/>
    <w:rPr>
      <w:rFonts w:ascii="Arial" w:hAnsi="Arial" w:eastAsia="黑体"/>
      <w:kern w:val="2"/>
      <w:sz w:val="21"/>
      <w:lang w:val="en-US" w:eastAsia="zh-CN" w:bidi="ar-SA"/>
    </w:rPr>
  </w:style>
  <w:style w:type="character" w:customStyle="1" w:styleId="166">
    <w:name w:val="正文文本 Char"/>
    <w:link w:val="22"/>
    <w:qFormat/>
    <w:uiPriority w:val="0"/>
    <w:rPr>
      <w:rFonts w:ascii="仿宋_GB2312" w:eastAsia="宋体"/>
      <w:b/>
      <w:kern w:val="2"/>
      <w:sz w:val="21"/>
      <w:szCs w:val="24"/>
      <w:lang w:val="en-US" w:eastAsia="zh-CN" w:bidi="ar-SA"/>
    </w:rPr>
  </w:style>
  <w:style w:type="character" w:customStyle="1" w:styleId="167">
    <w:name w:val="明显引用 Char"/>
    <w:link w:val="168"/>
    <w:qFormat/>
    <w:uiPriority w:val="0"/>
    <w:rPr>
      <w:rFonts w:ascii="Calibri" w:hAnsi="Calibri" w:eastAsia="宋体"/>
      <w:b/>
      <w:bCs/>
      <w:i/>
      <w:iCs/>
      <w:color w:val="4F81BD"/>
      <w:lang w:val="en-US" w:eastAsia="zh-CN" w:bidi="ar-SA"/>
    </w:rPr>
  </w:style>
  <w:style w:type="paragraph" w:styleId="168">
    <w:name w:val="Intense Quote"/>
    <w:basedOn w:val="1"/>
    <w:next w:val="1"/>
    <w:link w:val="167"/>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character" w:customStyle="1" w:styleId="169">
    <w:name w:val="heading 5 Char1"/>
    <w:qFormat/>
    <w:uiPriority w:val="0"/>
    <w:rPr>
      <w:rFonts w:eastAsia="宋体"/>
      <w:b/>
      <w:bCs/>
      <w:kern w:val="2"/>
      <w:sz w:val="28"/>
      <w:szCs w:val="28"/>
      <w:lang w:val="en-US" w:eastAsia="zh-CN" w:bidi="ar-SA"/>
    </w:rPr>
  </w:style>
  <w:style w:type="character" w:customStyle="1" w:styleId="170">
    <w:name w:val="Texte Char Char"/>
    <w:qFormat/>
    <w:uiPriority w:val="0"/>
    <w:rPr>
      <w:rFonts w:ascii="宋体" w:hAnsi="Courier New" w:eastAsia="宋体"/>
      <w:sz w:val="21"/>
      <w:szCs w:val="21"/>
      <w:lang w:val="en-US" w:eastAsia="zh-CN" w:bidi="ar-SA"/>
    </w:rPr>
  </w:style>
  <w:style w:type="character" w:customStyle="1" w:styleId="171">
    <w:name w:val="正文1 Char Char"/>
    <w:link w:val="172"/>
    <w:qFormat/>
    <w:uiPriority w:val="0"/>
    <w:rPr>
      <w:rFonts w:ascii="宋体" w:hAnsi="宋体" w:eastAsia="宋体" w:cs="宋体"/>
      <w:sz w:val="21"/>
      <w:lang w:val="en-US" w:eastAsia="zh-CN" w:bidi="ar-SA"/>
    </w:rPr>
  </w:style>
  <w:style w:type="paragraph" w:customStyle="1" w:styleId="172">
    <w:name w:val="正文1"/>
    <w:basedOn w:val="1"/>
    <w:link w:val="171"/>
    <w:qFormat/>
    <w:uiPriority w:val="0"/>
    <w:pPr>
      <w:widowControl/>
      <w:spacing w:line="360" w:lineRule="auto"/>
      <w:ind w:left="360" w:firstLine="420"/>
      <w:jc w:val="left"/>
    </w:pPr>
    <w:rPr>
      <w:rFonts w:ascii="宋体" w:hAnsi="宋体" w:cs="宋体"/>
      <w:kern w:val="0"/>
      <w:szCs w:val="20"/>
    </w:rPr>
  </w:style>
  <w:style w:type="character" w:customStyle="1" w:styleId="173">
    <w:name w:val="heading 8 Char1"/>
    <w:qFormat/>
    <w:uiPriority w:val="0"/>
    <w:rPr>
      <w:rFonts w:ascii="Arial" w:hAnsi="Arial" w:eastAsia="黑体"/>
      <w:sz w:val="24"/>
      <w:lang w:val="en-US" w:eastAsia="zh-CN" w:bidi="ar-SA"/>
    </w:rPr>
  </w:style>
  <w:style w:type="character" w:customStyle="1" w:styleId="174">
    <w:name w:val="heading 9 Char1"/>
    <w:qFormat/>
    <w:uiPriority w:val="0"/>
    <w:rPr>
      <w:rFonts w:ascii="Arial" w:hAnsi="Arial" w:eastAsia="黑体"/>
      <w:sz w:val="21"/>
      <w:lang w:val="en-US" w:eastAsia="zh-CN" w:bidi="ar-SA"/>
    </w:rPr>
  </w:style>
  <w:style w:type="character" w:customStyle="1" w:styleId="175">
    <w:name w:val="标题 6 Char"/>
    <w:link w:val="9"/>
    <w:qFormat/>
    <w:uiPriority w:val="0"/>
    <w:rPr>
      <w:rFonts w:ascii="Arial" w:hAnsi="Arial" w:eastAsia="黑体"/>
      <w:b/>
      <w:kern w:val="2"/>
      <w:sz w:val="24"/>
      <w:lang w:val="en-US" w:eastAsia="zh-CN" w:bidi="ar-SA"/>
    </w:rPr>
  </w:style>
  <w:style w:type="character" w:customStyle="1" w:styleId="176">
    <w:name w:val="ändrad Char1"/>
    <w:qFormat/>
    <w:uiPriority w:val="0"/>
    <w:rPr>
      <w:rFonts w:ascii="仿宋_GB2312" w:eastAsia="宋体"/>
      <w:b/>
      <w:kern w:val="2"/>
      <w:sz w:val="21"/>
      <w:szCs w:val="24"/>
      <w:lang w:val="en-US" w:eastAsia="zh-CN" w:bidi="ar-SA"/>
    </w:rPr>
  </w:style>
  <w:style w:type="character" w:customStyle="1" w:styleId="177">
    <w:name w:val="Char Char41"/>
    <w:qFormat/>
    <w:uiPriority w:val="0"/>
    <w:rPr>
      <w:rFonts w:ascii="Cambria" w:hAnsi="Cambria" w:eastAsia="宋体"/>
      <w:b/>
      <w:bCs/>
      <w:sz w:val="32"/>
      <w:szCs w:val="32"/>
      <w:lang w:bidi="ar-SA"/>
    </w:rPr>
  </w:style>
  <w:style w:type="character" w:customStyle="1" w:styleId="178">
    <w:name w:val="标题 8 Char"/>
    <w:link w:val="11"/>
    <w:qFormat/>
    <w:uiPriority w:val="0"/>
    <w:rPr>
      <w:rFonts w:ascii="Arial" w:hAnsi="Arial" w:eastAsia="黑体"/>
      <w:kern w:val="2"/>
      <w:sz w:val="24"/>
      <w:lang w:val="en-US" w:eastAsia="zh-CN" w:bidi="ar-SA"/>
    </w:rPr>
  </w:style>
  <w:style w:type="character" w:customStyle="1" w:styleId="179">
    <w:name w:val="Char Char11"/>
    <w:qFormat/>
    <w:uiPriority w:val="0"/>
    <w:rPr>
      <w:rFonts w:ascii="Times New Roman" w:hAnsi="Times New Roman" w:eastAsia="宋体" w:cs="Times New Roman"/>
      <w:sz w:val="18"/>
      <w:szCs w:val="18"/>
    </w:rPr>
  </w:style>
  <w:style w:type="character" w:customStyle="1" w:styleId="180">
    <w:name w:val="正文文本缩进 2 Char"/>
    <w:link w:val="34"/>
    <w:qFormat/>
    <w:uiPriority w:val="0"/>
    <w:rPr>
      <w:rFonts w:eastAsia="宋体"/>
      <w:kern w:val="2"/>
      <w:sz w:val="24"/>
      <w:szCs w:val="24"/>
      <w:lang w:val="en-US" w:eastAsia="zh-CN" w:bidi="ar-SA"/>
    </w:rPr>
  </w:style>
  <w:style w:type="character" w:customStyle="1" w:styleId="181">
    <w:name w:val="Char Char6"/>
    <w:qFormat/>
    <w:uiPriority w:val="0"/>
    <w:rPr>
      <w:rFonts w:ascii="Times New Roman" w:hAnsi="Times New Roman" w:eastAsia="宋体" w:cs="Times New Roman"/>
      <w:szCs w:val="24"/>
    </w:rPr>
  </w:style>
  <w:style w:type="character" w:customStyle="1" w:styleId="182">
    <w:name w:val="Char Char Char"/>
    <w:qFormat/>
    <w:uiPriority w:val="0"/>
    <w:rPr>
      <w:rFonts w:ascii="宋体" w:hAnsi="Courier New" w:eastAsia="宋体"/>
      <w:b/>
      <w:sz w:val="21"/>
      <w:szCs w:val="21"/>
      <w:lang w:val="en-US" w:eastAsia="zh-CN" w:bidi="ar-SA"/>
    </w:rPr>
  </w:style>
  <w:style w:type="character" w:customStyle="1" w:styleId="183">
    <w:name w:val="heading 2 Char"/>
    <w:qFormat/>
    <w:uiPriority w:val="0"/>
    <w:rPr>
      <w:rFonts w:ascii="Arial" w:hAnsi="Arial" w:eastAsia="黑体" w:cs="Times New Roman"/>
      <w:sz w:val="30"/>
      <w:szCs w:val="24"/>
    </w:rPr>
  </w:style>
  <w:style w:type="character" w:customStyle="1" w:styleId="184">
    <w:name w:val="Char Char2"/>
    <w:qFormat/>
    <w:uiPriority w:val="0"/>
    <w:rPr>
      <w:rFonts w:ascii="Arial" w:hAnsi="Arial" w:eastAsia="黑体"/>
      <w:b/>
      <w:bCs/>
      <w:kern w:val="44"/>
      <w:sz w:val="30"/>
      <w:szCs w:val="44"/>
      <w:lang w:val="en-US" w:eastAsia="zh-CN" w:bidi="ar-SA"/>
    </w:rPr>
  </w:style>
  <w:style w:type="character" w:customStyle="1" w:styleId="185">
    <w:name w:val="Footer-Even Char2"/>
    <w:qFormat/>
    <w:uiPriority w:val="0"/>
    <w:rPr>
      <w:kern w:val="2"/>
      <w:sz w:val="18"/>
      <w:szCs w:val="18"/>
    </w:rPr>
  </w:style>
  <w:style w:type="character" w:customStyle="1" w:styleId="186">
    <w:name w:val="Char Char17"/>
    <w:qFormat/>
    <w:uiPriority w:val="0"/>
    <w:rPr>
      <w:rFonts w:ascii="Cambria" w:hAnsi="Cambria"/>
      <w:b/>
      <w:bCs/>
      <w:kern w:val="2"/>
      <w:sz w:val="28"/>
      <w:szCs w:val="28"/>
    </w:rPr>
  </w:style>
  <w:style w:type="character" w:customStyle="1" w:styleId="187">
    <w:name w:val="heading 4 Char"/>
    <w:qFormat/>
    <w:uiPriority w:val="0"/>
    <w:rPr>
      <w:rFonts w:ascii="Arial" w:hAnsi="Arial" w:eastAsia="黑体" w:cs="Times New Roman"/>
      <w:sz w:val="21"/>
      <w:szCs w:val="21"/>
    </w:rPr>
  </w:style>
  <w:style w:type="character" w:customStyle="1" w:styleId="188">
    <w:name w:val="Char Char20"/>
    <w:qFormat/>
    <w:uiPriority w:val="0"/>
    <w:rPr>
      <w:b/>
      <w:bCs/>
      <w:kern w:val="44"/>
      <w:sz w:val="44"/>
      <w:szCs w:val="44"/>
    </w:rPr>
  </w:style>
  <w:style w:type="character" w:customStyle="1" w:styleId="189">
    <w:name w:val="heading 1 Char2"/>
    <w:qFormat/>
    <w:uiPriority w:val="0"/>
    <w:rPr>
      <w:b/>
      <w:bCs/>
      <w:kern w:val="44"/>
      <w:sz w:val="44"/>
      <w:szCs w:val="44"/>
    </w:rPr>
  </w:style>
  <w:style w:type="character" w:customStyle="1" w:styleId="190">
    <w:name w:val="font11"/>
    <w:qFormat/>
    <w:uiPriority w:val="0"/>
    <w:rPr>
      <w:rFonts w:hint="eastAsia" w:ascii="宋体" w:hAnsi="宋体" w:eastAsia="宋体" w:cs="宋体"/>
      <w:b/>
      <w:color w:val="000000"/>
      <w:sz w:val="20"/>
      <w:szCs w:val="20"/>
      <w:u w:val="none"/>
    </w:rPr>
  </w:style>
  <w:style w:type="character" w:customStyle="1" w:styleId="191">
    <w:name w:val="表正文 Char2"/>
    <w:qFormat/>
    <w:uiPriority w:val="0"/>
    <w:rPr>
      <w:rFonts w:ascii="Times New Roman" w:hAnsi="Times New Roman" w:eastAsia="宋体" w:cs="Times New Roman"/>
      <w:szCs w:val="24"/>
    </w:rPr>
  </w:style>
  <w:style w:type="character" w:customStyle="1" w:styleId="192">
    <w:name w:val="引用 Char"/>
    <w:link w:val="193"/>
    <w:qFormat/>
    <w:uiPriority w:val="0"/>
    <w:rPr>
      <w:rFonts w:ascii="Calibri" w:hAnsi="Calibri" w:eastAsia="宋体"/>
      <w:i/>
      <w:iCs/>
      <w:color w:val="000000"/>
      <w:lang w:val="en-US" w:eastAsia="zh-CN" w:bidi="ar-SA"/>
    </w:rPr>
  </w:style>
  <w:style w:type="paragraph" w:styleId="193">
    <w:name w:val="Quote"/>
    <w:basedOn w:val="1"/>
    <w:next w:val="1"/>
    <w:link w:val="192"/>
    <w:qFormat/>
    <w:uiPriority w:val="0"/>
    <w:rPr>
      <w:rFonts w:ascii="Calibri" w:hAnsi="Calibri"/>
      <w:i/>
      <w:iCs/>
      <w:color w:val="000000"/>
      <w:kern w:val="0"/>
      <w:sz w:val="20"/>
      <w:szCs w:val="20"/>
    </w:rPr>
  </w:style>
  <w:style w:type="character" w:customStyle="1" w:styleId="194">
    <w:name w:val="纯文本 Char"/>
    <w:link w:val="30"/>
    <w:qFormat/>
    <w:uiPriority w:val="0"/>
    <w:rPr>
      <w:rFonts w:ascii="宋体" w:hAnsi="Courier New" w:eastAsia="宋体"/>
      <w:b/>
      <w:sz w:val="21"/>
      <w:szCs w:val="21"/>
      <w:lang w:val="en-US" w:eastAsia="zh-CN" w:bidi="ar-SA"/>
    </w:rPr>
  </w:style>
  <w:style w:type="character" w:customStyle="1" w:styleId="195">
    <w:name w:val="Char Char19"/>
    <w:qFormat/>
    <w:uiPriority w:val="0"/>
    <w:rPr>
      <w:rFonts w:ascii="Cambria" w:hAnsi="Cambria"/>
      <w:b/>
      <w:bCs/>
      <w:kern w:val="2"/>
      <w:sz w:val="32"/>
      <w:szCs w:val="32"/>
    </w:rPr>
  </w:style>
  <w:style w:type="character" w:customStyle="1" w:styleId="196">
    <w:name w:val="style41"/>
    <w:qFormat/>
    <w:uiPriority w:val="0"/>
    <w:rPr>
      <w:color w:val="auto"/>
    </w:rPr>
  </w:style>
  <w:style w:type="character" w:customStyle="1" w:styleId="197">
    <w:name w:val="Char Char201"/>
    <w:qFormat/>
    <w:uiPriority w:val="0"/>
    <w:rPr>
      <w:rFonts w:ascii="Cambria" w:hAnsi="Cambria" w:eastAsia="宋体" w:cs="Times New Roman"/>
      <w:b/>
      <w:bCs/>
      <w:sz w:val="32"/>
      <w:szCs w:val="32"/>
    </w:rPr>
  </w:style>
  <w:style w:type="character" w:customStyle="1" w:styleId="198">
    <w:name w:val="正文首行缩进 Char"/>
    <w:link w:val="23"/>
    <w:qFormat/>
    <w:uiPriority w:val="0"/>
    <w:rPr>
      <w:rFonts w:eastAsia="宋体"/>
      <w:lang w:val="en-US" w:eastAsia="zh-CN" w:bidi="ar-SA"/>
    </w:rPr>
  </w:style>
  <w:style w:type="character" w:customStyle="1" w:styleId="199">
    <w:name w:val="smalltxt1"/>
    <w:qFormat/>
    <w:uiPriority w:val="0"/>
    <w:rPr>
      <w:rFonts w:hint="default" w:ascii="ˎ̥" w:hAnsi="ˎ̥"/>
      <w:sz w:val="24"/>
      <w:szCs w:val="24"/>
    </w:rPr>
  </w:style>
  <w:style w:type="character" w:customStyle="1" w:styleId="200">
    <w:name w:val="正文文本 2 Char"/>
    <w:basedOn w:val="55"/>
    <w:link w:val="48"/>
    <w:qFormat/>
    <w:uiPriority w:val="0"/>
  </w:style>
  <w:style w:type="paragraph" w:customStyle="1" w:styleId="20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02">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203">
    <w:name w:val="表内文字"/>
    <w:basedOn w:val="1"/>
    <w:qFormat/>
    <w:uiPriority w:val="0"/>
    <w:pPr>
      <w:spacing w:line="240" w:lineRule="atLeast"/>
      <w:jc w:val="center"/>
    </w:pPr>
    <w:rPr>
      <w:rFonts w:ascii="Arial" w:hAnsi="Arial" w:cs="Arial"/>
      <w:b/>
      <w:bCs/>
    </w:rPr>
  </w:style>
  <w:style w:type="paragraph" w:customStyle="1" w:styleId="204">
    <w:name w:val="列项——（一级）"/>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205">
    <w:name w:val="Char Char Char Char Char Char Char"/>
    <w:basedOn w:val="1"/>
    <w:qFormat/>
    <w:uiPriority w:val="0"/>
    <w:rPr>
      <w:rFonts w:ascii="仿宋_GB2312" w:eastAsia="仿宋_GB2312"/>
      <w:b/>
      <w:sz w:val="32"/>
      <w:szCs w:val="32"/>
    </w:rPr>
  </w:style>
  <w:style w:type="paragraph" w:customStyle="1" w:styleId="206">
    <w:name w:val="列出段落1"/>
    <w:basedOn w:val="1"/>
    <w:qFormat/>
    <w:uiPriority w:val="0"/>
    <w:pPr>
      <w:ind w:firstLine="420" w:firstLineChars="200"/>
    </w:pPr>
    <w:rPr>
      <w:szCs w:val="20"/>
    </w:rPr>
  </w:style>
  <w:style w:type="paragraph" w:customStyle="1" w:styleId="207">
    <w:name w:val="一级条标题"/>
    <w:next w:val="1"/>
    <w:qFormat/>
    <w:uiPriority w:val="0"/>
    <w:pPr>
      <w:tabs>
        <w:tab w:val="left" w:pos="3889"/>
      </w:tabs>
      <w:ind w:left="3889" w:hanging="420"/>
      <w:outlineLvl w:val="2"/>
    </w:pPr>
    <w:rPr>
      <w:rFonts w:ascii="Times New Roman" w:hAnsi="Times New Roman" w:eastAsia="黑体" w:cs="Times New Roman"/>
      <w:sz w:val="21"/>
      <w:lang w:val="en-US" w:eastAsia="zh-CN" w:bidi="ar-SA"/>
    </w:rPr>
  </w:style>
  <w:style w:type="paragraph" w:customStyle="1" w:styleId="20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09">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210">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1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3">
    <w:name w:val="NICMAN Body Text"/>
    <w:basedOn w:val="1"/>
    <w:next w:val="22"/>
    <w:qFormat/>
    <w:uiPriority w:val="0"/>
    <w:pPr>
      <w:autoSpaceDE w:val="0"/>
      <w:autoSpaceDN w:val="0"/>
      <w:adjustRightInd w:val="0"/>
      <w:spacing w:after="120"/>
      <w:jc w:val="left"/>
    </w:pPr>
    <w:rPr>
      <w:kern w:val="0"/>
      <w:sz w:val="20"/>
      <w:szCs w:val="20"/>
    </w:rPr>
  </w:style>
  <w:style w:type="paragraph" w:customStyle="1" w:styleId="214">
    <w:name w:val="Char Char Char Char Char Char Char Char Char Char Char Char Char"/>
    <w:basedOn w:val="1"/>
    <w:qFormat/>
    <w:uiPriority w:val="0"/>
    <w:rPr>
      <w:rFonts w:ascii="Tahoma" w:hAnsi="Tahoma"/>
      <w:sz w:val="24"/>
      <w:szCs w:val="20"/>
    </w:rPr>
  </w:style>
  <w:style w:type="paragraph" w:customStyle="1" w:styleId="215">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16">
    <w:name w:val="正文缩进1"/>
    <w:basedOn w:val="1"/>
    <w:next w:val="24"/>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17">
    <w:name w:val="Table Heading"/>
    <w:qFormat/>
    <w:uiPriority w:val="0"/>
    <w:pPr>
      <w:keepNext/>
      <w:snapToGrid w:val="0"/>
      <w:spacing w:before="80" w:after="80"/>
      <w:jc w:val="center"/>
    </w:pPr>
    <w:rPr>
      <w:rFonts w:ascii="Times New Roman" w:hAnsi="Times New Roman" w:eastAsia="黑体" w:cs="Arial"/>
      <w:kern w:val="2"/>
      <w:sz w:val="18"/>
      <w:szCs w:val="18"/>
      <w:lang w:val="en-US" w:eastAsia="zh-CN" w:bidi="ar-SA"/>
    </w:rPr>
  </w:style>
  <w:style w:type="paragraph" w:customStyle="1" w:styleId="218">
    <w:name w:val="Char Char Char Char1"/>
    <w:basedOn w:val="18"/>
    <w:qFormat/>
    <w:uiPriority w:val="0"/>
    <w:rPr>
      <w:rFonts w:ascii="Tahoma" w:hAnsi="Tahoma"/>
      <w:sz w:val="24"/>
    </w:rPr>
  </w:style>
  <w:style w:type="paragraph" w:customStyle="1" w:styleId="219">
    <w:name w:val="正文 首行缩进:  2 字符 Char"/>
    <w:basedOn w:val="1"/>
    <w:qFormat/>
    <w:uiPriority w:val="0"/>
    <w:pPr>
      <w:spacing w:line="360" w:lineRule="auto"/>
      <w:ind w:firstLine="480"/>
    </w:pPr>
    <w:rPr>
      <w:rFonts w:cs="宋体"/>
      <w:sz w:val="24"/>
      <w:szCs w:val="20"/>
    </w:rPr>
  </w:style>
  <w:style w:type="paragraph" w:customStyle="1" w:styleId="220">
    <w:name w:val="样式1"/>
    <w:basedOn w:val="1"/>
    <w:qFormat/>
    <w:uiPriority w:val="0"/>
    <w:pPr>
      <w:autoSpaceDE w:val="0"/>
      <w:autoSpaceDN w:val="0"/>
      <w:adjustRightInd w:val="0"/>
      <w:spacing w:line="400" w:lineRule="exact"/>
    </w:pPr>
    <w:rPr>
      <w:rFonts w:ascii="宋体" w:cs="宋体"/>
      <w:kern w:val="0"/>
    </w:rPr>
  </w:style>
  <w:style w:type="paragraph" w:customStyle="1" w:styleId="22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2">
    <w:name w:val="小标题"/>
    <w:basedOn w:val="1"/>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22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4">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225">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226">
    <w:name w:val="二级条标题"/>
    <w:basedOn w:val="207"/>
    <w:next w:val="1"/>
    <w:qFormat/>
    <w:uiPriority w:val="0"/>
    <w:pPr>
      <w:tabs>
        <w:tab w:val="left" w:pos="4309"/>
        <w:tab w:val="clear" w:pos="3889"/>
      </w:tabs>
      <w:ind w:left="4309"/>
      <w:outlineLvl w:val="3"/>
    </w:pPr>
  </w:style>
  <w:style w:type="paragraph" w:customStyle="1" w:styleId="227">
    <w:name w:val="正文－恩普"/>
    <w:basedOn w:val="2"/>
    <w:qFormat/>
    <w:uiPriority w:val="0"/>
    <w:pPr>
      <w:adjustRightInd/>
      <w:spacing w:line="360" w:lineRule="auto"/>
      <w:ind w:firstLine="200" w:firstLineChars="200"/>
      <w:textAlignment w:val="auto"/>
    </w:pPr>
    <w:rPr>
      <w:kern w:val="2"/>
      <w:sz w:val="24"/>
      <w:szCs w:val="24"/>
    </w:rPr>
  </w:style>
  <w:style w:type="paragraph" w:customStyle="1" w:styleId="228">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229">
    <w:name w:val="正文（首行缩进）"/>
    <w:basedOn w:val="24"/>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spacing w:val="10"/>
      <w:kern w:val="0"/>
      <w:szCs w:val="20"/>
    </w:rPr>
  </w:style>
  <w:style w:type="paragraph" w:customStyle="1" w:styleId="230">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31">
    <w:name w:val="文字"/>
    <w:basedOn w:val="1"/>
    <w:qFormat/>
    <w:uiPriority w:val="0"/>
    <w:pPr>
      <w:tabs>
        <w:tab w:val="left" w:pos="8520"/>
      </w:tabs>
      <w:spacing w:line="312" w:lineRule="auto"/>
      <w:ind w:right="-210" w:firstLine="556"/>
    </w:pPr>
    <w:rPr>
      <w:rFonts w:ascii="宋体"/>
      <w:sz w:val="28"/>
      <w:szCs w:val="20"/>
    </w:rPr>
  </w:style>
  <w:style w:type="paragraph" w:customStyle="1" w:styleId="2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33">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4">
    <w:name w:val="标准段落"/>
    <w:basedOn w:val="1"/>
    <w:qFormat/>
    <w:uiPriority w:val="0"/>
    <w:pPr>
      <w:spacing w:after="120" w:line="360" w:lineRule="auto"/>
      <w:ind w:firstLine="420"/>
    </w:pPr>
    <w:rPr>
      <w:rFonts w:ascii="黑体" w:hAnsi="宋体" w:eastAsia="黑体"/>
      <w:b/>
      <w:spacing w:val="6"/>
      <w:szCs w:val="22"/>
    </w:rPr>
  </w:style>
  <w:style w:type="paragraph" w:customStyle="1" w:styleId="235">
    <w:name w:val="三级条标题"/>
    <w:basedOn w:val="226"/>
    <w:next w:val="1"/>
    <w:qFormat/>
    <w:uiPriority w:val="0"/>
    <w:pPr>
      <w:tabs>
        <w:tab w:val="left" w:pos="4729"/>
        <w:tab w:val="clear" w:pos="4309"/>
      </w:tabs>
      <w:ind w:left="4729"/>
      <w:outlineLvl w:val="4"/>
    </w:pPr>
  </w:style>
  <w:style w:type="paragraph" w:customStyle="1" w:styleId="236">
    <w:name w:val="Test2"/>
    <w:basedOn w:val="5"/>
    <w:qFormat/>
    <w:uiPriority w:val="0"/>
    <w:pPr>
      <w:keepNext w:val="0"/>
      <w:widowControl/>
      <w:tabs>
        <w:tab w:val="left" w:pos="774"/>
      </w:tabs>
      <w:autoSpaceDE w:val="0"/>
      <w:autoSpaceDN w:val="0"/>
      <w:adjustRightInd w:val="0"/>
      <w:snapToGrid w:val="0"/>
      <w:spacing w:before="360" w:after="360" w:line="240" w:lineRule="atLeast"/>
      <w:ind w:left="774" w:hanging="576"/>
      <w:jc w:val="left"/>
    </w:pPr>
    <w:rPr>
      <w:rFonts w:ascii="宋体" w:hAnsi="Arial"/>
      <w:snapToGrid w:val="0"/>
      <w:kern w:val="0"/>
    </w:rPr>
  </w:style>
  <w:style w:type="paragraph" w:customStyle="1" w:styleId="237">
    <w:name w:val="默认段落字体 Para Char Char Char Char Char Char Char"/>
    <w:basedOn w:val="1"/>
    <w:qFormat/>
    <w:uiPriority w:val="0"/>
  </w:style>
  <w:style w:type="paragraph" w:customStyle="1" w:styleId="238">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3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40">
    <w:name w:val="Char13"/>
    <w:basedOn w:val="1"/>
    <w:qFormat/>
    <w:uiPriority w:val="0"/>
    <w:pPr>
      <w:widowControl/>
      <w:spacing w:after="160" w:line="240" w:lineRule="exact"/>
      <w:jc w:val="left"/>
    </w:pPr>
    <w:rPr>
      <w:rFonts w:ascii="Verdana" w:hAnsi="Verdana"/>
      <w:kern w:val="0"/>
      <w:sz w:val="20"/>
      <w:szCs w:val="20"/>
      <w:lang w:eastAsia="en-US"/>
    </w:rPr>
  </w:style>
  <w:style w:type="paragraph" w:customStyle="1" w:styleId="241">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42">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243">
    <w:name w:val="列表段落"/>
    <w:basedOn w:val="1"/>
    <w:qFormat/>
    <w:uiPriority w:val="0"/>
    <w:pPr>
      <w:ind w:firstLine="420" w:firstLineChars="200"/>
    </w:pPr>
    <w:rPr>
      <w:rFonts w:ascii="Calibri" w:hAnsi="Calibri"/>
      <w:szCs w:val="22"/>
    </w:rPr>
  </w:style>
  <w:style w:type="paragraph" w:customStyle="1" w:styleId="244">
    <w:name w:val="五级条标题"/>
    <w:basedOn w:val="245"/>
    <w:next w:val="1"/>
    <w:qFormat/>
    <w:uiPriority w:val="0"/>
    <w:pPr>
      <w:tabs>
        <w:tab w:val="left" w:pos="5149"/>
        <w:tab w:val="left" w:pos="5569"/>
      </w:tabs>
      <w:ind w:left="5569"/>
      <w:outlineLvl w:val="6"/>
    </w:pPr>
  </w:style>
  <w:style w:type="paragraph" w:customStyle="1" w:styleId="245">
    <w:name w:val="四级条标题"/>
    <w:basedOn w:val="235"/>
    <w:next w:val="1"/>
    <w:qFormat/>
    <w:uiPriority w:val="0"/>
    <w:pPr>
      <w:tabs>
        <w:tab w:val="left" w:pos="5149"/>
        <w:tab w:val="clear" w:pos="4729"/>
      </w:tabs>
      <w:ind w:left="5149"/>
      <w:outlineLvl w:val="5"/>
    </w:pPr>
  </w:style>
  <w:style w:type="paragraph" w:customStyle="1" w:styleId="246">
    <w:name w:val="正文-宋体四号"/>
    <w:basedOn w:val="1"/>
    <w:qFormat/>
    <w:uiPriority w:val="0"/>
    <w:pPr>
      <w:spacing w:line="360" w:lineRule="auto"/>
      <w:ind w:firstLine="560" w:firstLineChars="200"/>
    </w:pPr>
    <w:rPr>
      <w:rFonts w:cs="宋体"/>
      <w:sz w:val="28"/>
      <w:szCs w:val="20"/>
    </w:rPr>
  </w:style>
  <w:style w:type="paragraph" w:customStyle="1" w:styleId="247">
    <w:name w:val="纯文本1"/>
    <w:basedOn w:val="1"/>
    <w:qFormat/>
    <w:uiPriority w:val="0"/>
    <w:pPr>
      <w:adjustRightInd w:val="0"/>
      <w:textAlignment w:val="baseline"/>
    </w:pPr>
    <w:rPr>
      <w:rFonts w:ascii="宋体" w:hAnsi="Courier New" w:eastAsia="楷体_GB2312"/>
      <w:sz w:val="28"/>
      <w:szCs w:val="20"/>
    </w:rPr>
  </w:style>
  <w:style w:type="paragraph" w:customStyle="1" w:styleId="248">
    <w:name w:val="Char2"/>
    <w:basedOn w:val="1"/>
    <w:qFormat/>
    <w:uiPriority w:val="0"/>
  </w:style>
  <w:style w:type="paragraph" w:customStyle="1" w:styleId="249">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250">
    <w:name w:val="样式5"/>
    <w:basedOn w:val="2"/>
    <w:qFormat/>
    <w:uiPriority w:val="0"/>
    <w:pPr>
      <w:adjustRightInd/>
      <w:spacing w:line="360" w:lineRule="auto"/>
      <w:ind w:firstLine="200" w:firstLineChars="200"/>
      <w:textAlignment w:val="auto"/>
    </w:pPr>
    <w:rPr>
      <w:sz w:val="28"/>
      <w:szCs w:val="21"/>
    </w:rPr>
  </w:style>
  <w:style w:type="paragraph" w:customStyle="1" w:styleId="251">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252">
    <w:name w:val="Char Char Char Char Char Char Char Char Char Char Char Char Char1"/>
    <w:basedOn w:val="1"/>
    <w:qFormat/>
    <w:uiPriority w:val="0"/>
  </w:style>
  <w:style w:type="paragraph" w:customStyle="1" w:styleId="253">
    <w:name w:val="样式 标题 1Level 1Level 11h1II+IHeading1H1-Heading 1Header 1..."/>
    <w:basedOn w:val="4"/>
    <w:qFormat/>
    <w:uiPriority w:val="0"/>
    <w:pPr>
      <w:keepLines/>
      <w:pageBreakBefore/>
      <w:spacing w:before="100" w:after="100" w:line="360" w:lineRule="auto"/>
      <w:ind w:left="1680" w:hanging="420"/>
      <w:jc w:val="left"/>
    </w:pPr>
    <w:rPr>
      <w:rFonts w:ascii="Arial" w:hAnsi="Arial" w:cs="宋体"/>
      <w:bCs/>
      <w:kern w:val="44"/>
      <w:sz w:val="44"/>
    </w:rPr>
  </w:style>
  <w:style w:type="paragraph" w:customStyle="1" w:styleId="254">
    <w:name w:val="样式 标题 3 + 黑色 段前: 5 磅 段后: 5 磅 行距: 1.5 倍行距"/>
    <w:basedOn w:val="1"/>
    <w:qFormat/>
    <w:uiPriority w:val="0"/>
    <w:pPr>
      <w:ind w:left="855" w:hanging="855"/>
    </w:pPr>
    <w:rPr>
      <w:sz w:val="24"/>
      <w:szCs w:val="20"/>
    </w:rPr>
  </w:style>
  <w:style w:type="paragraph" w:customStyle="1" w:styleId="255">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256">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25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8">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59">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260">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261">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262">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26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6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66">
    <w:name w:val="tabletext"/>
    <w:basedOn w:val="1"/>
    <w:qFormat/>
    <w:uiPriority w:val="0"/>
    <w:pPr>
      <w:widowControl/>
      <w:spacing w:line="300" w:lineRule="atLeast"/>
      <w:jc w:val="left"/>
    </w:pPr>
    <w:rPr>
      <w:rFonts w:ascii="宋体" w:hAnsi="宋体" w:cs="宋体"/>
      <w:kern w:val="0"/>
      <w:sz w:val="18"/>
      <w:szCs w:val="18"/>
    </w:rPr>
  </w:style>
  <w:style w:type="paragraph" w:customStyle="1" w:styleId="267">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268">
    <w:name w:val="TOC 标题1"/>
    <w:basedOn w:val="4"/>
    <w:next w:val="1"/>
    <w:unhideWhenUsed/>
    <w:qFormat/>
    <w:uiPriority w:val="39"/>
    <w:pPr>
      <w:widowControl/>
      <w:spacing w:before="480" w:line="276" w:lineRule="auto"/>
      <w:jc w:val="left"/>
      <w:outlineLvl w:val="9"/>
    </w:pPr>
    <w:rPr>
      <w:rFonts w:ascii="Cambria" w:hAnsi="Cambria" w:eastAsia="宋体"/>
      <w:color w:val="366091"/>
      <w:kern w:val="0"/>
      <w:sz w:val="28"/>
      <w:szCs w:val="28"/>
    </w:rPr>
  </w:style>
  <w:style w:type="paragraph" w:customStyle="1" w:styleId="269">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270">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271">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272">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73">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274">
    <w:name w:val="简单回函地址"/>
    <w:basedOn w:val="1"/>
    <w:qFormat/>
    <w:uiPriority w:val="0"/>
  </w:style>
  <w:style w:type="paragraph" w:customStyle="1" w:styleId="275">
    <w:name w:val="前言、引言标题"/>
    <w:next w:val="1"/>
    <w:qFormat/>
    <w:uiPriority w:val="0"/>
    <w:pPr>
      <w:shd w:val="clear" w:color="FFFFFF" w:fill="FFFFFF"/>
      <w:tabs>
        <w:tab w:val="left" w:pos="3349"/>
      </w:tabs>
      <w:spacing w:before="640" w:after="560"/>
      <w:ind w:left="3349" w:hanging="720"/>
      <w:jc w:val="center"/>
      <w:outlineLvl w:val="0"/>
    </w:pPr>
    <w:rPr>
      <w:rFonts w:ascii="黑体" w:hAnsi="Times New Roman" w:eastAsia="黑体" w:cs="Times New Roman"/>
      <w:sz w:val="32"/>
      <w:lang w:val="en-US" w:eastAsia="zh-CN" w:bidi="ar-SA"/>
    </w:rPr>
  </w:style>
  <w:style w:type="paragraph" w:customStyle="1" w:styleId="276">
    <w:name w:val="正文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77">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278">
    <w:name w:val="1 Char"/>
    <w:basedOn w:val="2"/>
    <w:qFormat/>
    <w:uiPriority w:val="0"/>
    <w:pPr>
      <w:adjustRightInd/>
      <w:spacing w:line="360" w:lineRule="auto"/>
      <w:ind w:firstLine="200" w:firstLineChars="200"/>
      <w:textAlignment w:val="auto"/>
    </w:pPr>
    <w:rPr>
      <w:kern w:val="2"/>
    </w:rPr>
  </w:style>
  <w:style w:type="paragraph" w:customStyle="1" w:styleId="279">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280">
    <w:name w:val="TOC 标题2"/>
    <w:basedOn w:val="4"/>
    <w:next w:val="1"/>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281">
    <w:name w:val="Char Char"/>
    <w:basedOn w:val="1"/>
    <w:qFormat/>
    <w:uiPriority w:val="0"/>
    <w:rPr>
      <w:rFonts w:ascii="仿宋_GB2312" w:eastAsia="仿宋_GB2312"/>
      <w:b/>
      <w:sz w:val="32"/>
      <w:szCs w:val="32"/>
    </w:rPr>
  </w:style>
  <w:style w:type="paragraph" w:customStyle="1" w:styleId="282">
    <w:name w:val="l正文"/>
    <w:basedOn w:val="1"/>
    <w:qFormat/>
    <w:uiPriority w:val="0"/>
    <w:pPr>
      <w:spacing w:line="360" w:lineRule="auto"/>
      <w:ind w:firstLine="200" w:firstLineChars="200"/>
    </w:pPr>
    <w:rPr>
      <w:rFonts w:ascii="宋体" w:hAnsi="宋体"/>
      <w:sz w:val="24"/>
    </w:rPr>
  </w:style>
  <w:style w:type="paragraph" w:customStyle="1" w:styleId="283">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28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5">
    <w:name w:val="Item List in Tabl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286">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287">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288">
    <w:name w:val="Char Char Char Char Char Char Char1"/>
    <w:basedOn w:val="1"/>
    <w:qFormat/>
    <w:uiPriority w:val="0"/>
    <w:rPr>
      <w:rFonts w:ascii="仿宋_GB2312" w:eastAsia="仿宋_GB2312"/>
      <w:b/>
      <w:sz w:val="32"/>
      <w:szCs w:val="32"/>
    </w:rPr>
  </w:style>
  <w:style w:type="paragraph" w:customStyle="1" w:styleId="289">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0">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1">
    <w:name w:val="标题2"/>
    <w:basedOn w:val="5"/>
    <w:qFormat/>
    <w:uiPriority w:val="0"/>
    <w:pPr>
      <w:tabs>
        <w:tab w:val="left" w:pos="709"/>
      </w:tabs>
    </w:pPr>
    <w:rPr>
      <w:rFonts w:ascii="宋体" w:hAnsi="宋体"/>
      <w:sz w:val="36"/>
      <w:szCs w:val="36"/>
    </w:rPr>
  </w:style>
  <w:style w:type="paragraph" w:customStyle="1" w:styleId="292">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294">
    <w:name w:val="Char1"/>
    <w:basedOn w:val="1"/>
    <w:qFormat/>
    <w:uiPriority w:val="0"/>
    <w:rPr>
      <w:rFonts w:ascii="仿宋_GB2312" w:eastAsia="仿宋_GB2312"/>
      <w:b/>
      <w:sz w:val="32"/>
      <w:szCs w:val="32"/>
    </w:rPr>
  </w:style>
  <w:style w:type="paragraph" w:customStyle="1" w:styleId="295">
    <w:name w:val="正文字缩2字"/>
    <w:basedOn w:val="1"/>
    <w:qFormat/>
    <w:uiPriority w:val="0"/>
    <w:pPr>
      <w:spacing w:before="60" w:after="60" w:line="360" w:lineRule="auto"/>
      <w:ind w:left="200" w:leftChars="200" w:firstLine="200" w:firstLineChars="200"/>
    </w:pPr>
    <w:rPr>
      <w:sz w:val="24"/>
    </w:rPr>
  </w:style>
  <w:style w:type="paragraph" w:customStyle="1" w:styleId="296">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97">
    <w:name w:val="保留正文"/>
    <w:basedOn w:val="22"/>
    <w:qFormat/>
    <w:uiPriority w:val="0"/>
    <w:pPr>
      <w:keepNext/>
      <w:spacing w:after="160"/>
    </w:pPr>
    <w:rPr>
      <w:szCs w:val="20"/>
    </w:rPr>
  </w:style>
  <w:style w:type="paragraph" w:customStyle="1" w:styleId="298">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30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01">
    <w:name w:val="Char"/>
    <w:basedOn w:val="1"/>
    <w:qFormat/>
    <w:uiPriority w:val="0"/>
    <w:rPr>
      <w:rFonts w:ascii="仿宋_GB2312" w:eastAsia="仿宋_GB2312"/>
      <w:b/>
      <w:sz w:val="32"/>
      <w:szCs w:val="32"/>
    </w:rPr>
  </w:style>
  <w:style w:type="paragraph" w:customStyle="1" w:styleId="302">
    <w:name w:val="Char2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3">
    <w:name w:val="正文文字表格居中"/>
    <w:basedOn w:val="1"/>
    <w:next w:val="48"/>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304">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305">
    <w:name w:val="Char1 Char Char Char Char Char Char"/>
    <w:basedOn w:val="1"/>
    <w:qFormat/>
    <w:uiPriority w:val="0"/>
    <w:rPr>
      <w:rFonts w:ascii="宋体" w:hAnsi="宋体"/>
      <w:color w:val="000000"/>
      <w:sz w:val="24"/>
    </w:rPr>
  </w:style>
  <w:style w:type="paragraph" w:customStyle="1" w:styleId="306">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307">
    <w:name w:val="Char1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8">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Cs w:val="22"/>
    </w:rPr>
  </w:style>
  <w:style w:type="paragraph" w:customStyle="1" w:styleId="309">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310">
    <w:name w:val="图"/>
    <w:basedOn w:val="1"/>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311">
    <w:name w:val="xl83"/>
    <w:basedOn w:val="1"/>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12">
    <w:name w:val="Char Char13"/>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31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14">
    <w:name w:val="features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15">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316">
    <w:name w:val="章标题"/>
    <w:next w:val="1"/>
    <w:qFormat/>
    <w:uiPriority w:val="0"/>
    <w:pPr>
      <w:tabs>
        <w:tab w:val="left" w:pos="3469"/>
      </w:tabs>
      <w:spacing w:beforeLines="50" w:afterLines="50"/>
      <w:ind w:left="3469" w:hanging="420"/>
      <w:jc w:val="both"/>
      <w:outlineLvl w:val="1"/>
    </w:pPr>
    <w:rPr>
      <w:rFonts w:ascii="黑体" w:hAnsi="Times New Roman" w:eastAsia="黑体" w:cs="Times New Roman"/>
      <w:sz w:val="21"/>
      <w:lang w:val="en-US" w:eastAsia="zh-CN" w:bidi="ar-SA"/>
    </w:rPr>
  </w:style>
  <w:style w:type="paragraph" w:customStyle="1" w:styleId="317">
    <w:name w:val="样式 标题 3 + 黑体 小四 非加粗"/>
    <w:basedOn w:val="6"/>
    <w:qFormat/>
    <w:uiPriority w:val="0"/>
    <w:pPr>
      <w:spacing w:before="260" w:after="260" w:line="413" w:lineRule="auto"/>
    </w:pPr>
    <w:rPr>
      <w:rFonts w:ascii="黑体" w:hAnsi="黑体"/>
      <w:b w:val="0"/>
      <w:kern w:val="0"/>
      <w:sz w:val="24"/>
      <w:szCs w:val="32"/>
    </w:rPr>
  </w:style>
  <w:style w:type="paragraph" w:customStyle="1" w:styleId="318">
    <w:name w:val="正文_0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19">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320">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321">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2">
    <w:name w:val="VIT-Text"/>
    <w:basedOn w:val="1"/>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323">
    <w:name w:val="文档正文"/>
    <w:basedOn w:val="1"/>
    <w:qFormat/>
    <w:uiPriority w:val="0"/>
    <w:pPr>
      <w:adjustRightInd w:val="0"/>
      <w:spacing w:line="300" w:lineRule="auto"/>
      <w:ind w:firstLine="567"/>
      <w:textAlignment w:val="baseline"/>
    </w:pPr>
    <w:rPr>
      <w:kern w:val="0"/>
      <w:sz w:val="24"/>
      <w:szCs w:val="20"/>
    </w:rPr>
  </w:style>
  <w:style w:type="paragraph" w:customStyle="1" w:styleId="324">
    <w:name w:val="列出段落2"/>
    <w:basedOn w:val="1"/>
    <w:qFormat/>
    <w:uiPriority w:val="0"/>
    <w:pPr>
      <w:ind w:firstLine="420" w:firstLineChars="200"/>
    </w:pPr>
  </w:style>
  <w:style w:type="paragraph" w:customStyle="1" w:styleId="325">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326">
    <w:name w:val="È±Ê¡ÎÄ±¾ Char"/>
    <w:basedOn w:val="1"/>
    <w:qFormat/>
    <w:uiPriority w:val="0"/>
    <w:pPr>
      <w:widowControl/>
      <w:overflowPunct w:val="0"/>
      <w:autoSpaceDE w:val="0"/>
      <w:autoSpaceDN w:val="0"/>
      <w:adjustRightInd w:val="0"/>
      <w:textAlignment w:val="baseline"/>
    </w:pPr>
    <w:rPr>
      <w:szCs w:val="21"/>
      <w:lang w:val="zh-CN"/>
    </w:rPr>
  </w:style>
  <w:style w:type="paragraph" w:customStyle="1" w:styleId="327">
    <w:name w:val="p0"/>
    <w:basedOn w:val="1"/>
    <w:qFormat/>
    <w:uiPriority w:val="0"/>
    <w:pPr>
      <w:widowControl/>
    </w:pPr>
    <w:rPr>
      <w:kern w:val="0"/>
      <w:szCs w:val="21"/>
    </w:rPr>
  </w:style>
  <w:style w:type="paragraph" w:customStyle="1" w:styleId="328">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table" w:customStyle="1" w:styleId="329">
    <w:name w:val="TableGrid"/>
    <w:qFormat/>
    <w:uiPriority w:val="0"/>
    <w:tblPr>
      <w:tblCellMar>
        <w:top w:w="0" w:type="dxa"/>
        <w:left w:w="0" w:type="dxa"/>
        <w:bottom w:w="0" w:type="dxa"/>
        <w:right w:w="0" w:type="dxa"/>
      </w:tblCellMar>
    </w:tblPr>
  </w:style>
  <w:style w:type="paragraph" w:styleId="330">
    <w:name w:val="List Paragraph"/>
    <w:basedOn w:val="1"/>
    <w:qFormat/>
    <w:uiPriority w:val="99"/>
    <w:pPr>
      <w:ind w:firstLine="420" w:firstLineChars="200"/>
    </w:pPr>
  </w:style>
  <w:style w:type="paragraph" w:customStyle="1" w:styleId="331">
    <w:name w:val="正文段"/>
    <w:basedOn w:val="1"/>
    <w:qFormat/>
    <w:uiPriority w:val="0"/>
    <w:pPr>
      <w:widowControl/>
      <w:snapToGrid w:val="0"/>
      <w:spacing w:afterLines="50"/>
      <w:ind w:firstLine="200" w:firstLineChars="200"/>
    </w:pPr>
    <w:rPr>
      <w:sz w:val="24"/>
      <w:szCs w:val="20"/>
    </w:rPr>
  </w:style>
  <w:style w:type="paragraph" w:customStyle="1" w:styleId="332">
    <w:name w:val="_Style 3"/>
    <w:basedOn w:val="1"/>
    <w:next w:val="1"/>
    <w:qFormat/>
    <w:uiPriority w:val="34"/>
    <w:pPr>
      <w:spacing w:line="360" w:lineRule="auto"/>
      <w:ind w:firstLine="420" w:firstLineChars="200"/>
    </w:pPr>
  </w:style>
  <w:style w:type="paragraph" w:customStyle="1" w:styleId="333">
    <w:name w:val="_Style 2"/>
    <w:basedOn w:val="1"/>
    <w:next w:val="1"/>
    <w:qFormat/>
    <w:uiPriority w:val="0"/>
    <w:pPr>
      <w:pBdr>
        <w:bottom w:val="single" w:color="auto" w:sz="6" w:space="1"/>
      </w:pBdr>
      <w:jc w:val="center"/>
    </w:pPr>
    <w:rPr>
      <w:rFonts w:ascii="Arial"/>
      <w:vanish/>
      <w:sz w:val="16"/>
    </w:rPr>
  </w:style>
  <w:style w:type="character" w:customStyle="1" w:styleId="334">
    <w:name w:val="font31"/>
    <w:basedOn w:val="55"/>
    <w:qFormat/>
    <w:uiPriority w:val="0"/>
    <w:rPr>
      <w:rFonts w:hint="eastAsia" w:ascii="宋体" w:hAnsi="宋体" w:eastAsia="宋体" w:cs="宋体"/>
      <w:color w:val="000000"/>
      <w:sz w:val="24"/>
      <w:szCs w:val="24"/>
      <w:u w:val="single"/>
    </w:rPr>
  </w:style>
  <w:style w:type="paragraph" w:customStyle="1" w:styleId="335">
    <w:name w:val="表格文字"/>
    <w:basedOn w:val="1"/>
    <w:next w:val="22"/>
    <w:qFormat/>
    <w:uiPriority w:val="0"/>
    <w:pPr>
      <w:adjustRightInd w:val="0"/>
      <w:spacing w:line="420" w:lineRule="atLeast"/>
      <w:jc w:val="left"/>
      <w:textAlignment w:val="baseline"/>
    </w:pPr>
    <w:rPr>
      <w:kern w:val="0"/>
    </w:rPr>
  </w:style>
  <w:style w:type="character" w:customStyle="1" w:styleId="336">
    <w:name w:val="font01"/>
    <w:basedOn w:val="55"/>
    <w:qFormat/>
    <w:uiPriority w:val="0"/>
    <w:rPr>
      <w:rFonts w:ascii="Arial" w:hAnsi="Arial" w:cs="Arial"/>
      <w:color w:val="000000"/>
      <w:sz w:val="18"/>
      <w:szCs w:val="18"/>
      <w:u w:val="none"/>
    </w:rPr>
  </w:style>
  <w:style w:type="paragraph" w:customStyle="1" w:styleId="337">
    <w:name w:val="列出段落3"/>
    <w:basedOn w:val="1"/>
    <w:qFormat/>
    <w:uiPriority w:val="34"/>
    <w:pPr>
      <w:adjustRightInd w:val="0"/>
      <w:snapToGrid w:val="0"/>
      <w:spacing w:after="200"/>
      <w:ind w:firstLine="420" w:firstLineChars="200"/>
    </w:pPr>
    <w:rPr>
      <w:rFonts w:ascii="Tahoma" w:hAnsi="Tahoma" w:eastAsia="微软雅黑"/>
      <w:sz w:val="22"/>
    </w:rPr>
  </w:style>
  <w:style w:type="paragraph" w:customStyle="1" w:styleId="338">
    <w:name w:val="标题3 附件1"/>
    <w:basedOn w:val="1"/>
    <w:qFormat/>
    <w:uiPriority w:val="0"/>
    <w:pPr>
      <w:keepNext/>
      <w:keepLines/>
      <w:spacing w:before="340" w:after="330" w:line="360" w:lineRule="exact"/>
      <w:jc w:val="left"/>
      <w:outlineLvl w:val="2"/>
    </w:pPr>
    <w:rPr>
      <w:b/>
      <w:bCs/>
      <w:kern w:val="44"/>
      <w:szCs w:val="21"/>
    </w:rPr>
  </w:style>
  <w:style w:type="character" w:customStyle="1" w:styleId="339">
    <w:name w:val="font61"/>
    <w:basedOn w:val="55"/>
    <w:qFormat/>
    <w:uiPriority w:val="0"/>
    <w:rPr>
      <w:rFonts w:hint="eastAsia" w:ascii="宋体" w:hAnsi="宋体" w:eastAsia="宋体" w:cs="宋体"/>
      <w:color w:val="000000"/>
      <w:sz w:val="20"/>
      <w:szCs w:val="20"/>
      <w:u w:val="none"/>
    </w:rPr>
  </w:style>
  <w:style w:type="character" w:customStyle="1" w:styleId="340">
    <w:name w:val="font81"/>
    <w:basedOn w:val="55"/>
    <w:qFormat/>
    <w:uiPriority w:val="0"/>
    <w:rPr>
      <w:rFonts w:ascii="Calibri" w:hAnsi="Calibri" w:cs="Calibri"/>
      <w:color w:val="000000"/>
      <w:sz w:val="20"/>
      <w:szCs w:val="20"/>
      <w:u w:val="none"/>
    </w:rPr>
  </w:style>
  <w:style w:type="character" w:customStyle="1" w:styleId="341">
    <w:name w:val="font71"/>
    <w:basedOn w:val="55"/>
    <w:qFormat/>
    <w:uiPriority w:val="0"/>
    <w:rPr>
      <w:rFonts w:hint="eastAsia" w:ascii="宋体" w:hAnsi="宋体" w:eastAsia="宋体" w:cs="宋体"/>
      <w:color w:val="000000"/>
      <w:sz w:val="22"/>
      <w:szCs w:val="22"/>
      <w:u w:val="none"/>
    </w:rPr>
  </w:style>
  <w:style w:type="paragraph" w:customStyle="1" w:styleId="342">
    <w:name w:val="列表编号1"/>
    <w:basedOn w:val="15"/>
    <w:qFormat/>
    <w:uiPriority w:val="0"/>
    <w:pPr>
      <w:numPr>
        <w:ilvl w:val="0"/>
        <w:numId w:val="2"/>
      </w:numPr>
      <w:adjustRightInd w:val="0"/>
      <w:snapToGrid w:val="0"/>
      <w:contextualSpacing w:val="0"/>
      <w:jc w:val="center"/>
    </w:pPr>
    <w:rPr>
      <w:rFonts w:eastAsia="微软雅黑"/>
      <w:sz w:val="24"/>
    </w:rPr>
  </w:style>
  <w:style w:type="paragraph" w:customStyle="1" w:styleId="343">
    <w:name w:val="列表编号2"/>
    <w:basedOn w:val="14"/>
    <w:next w:val="14"/>
    <w:qFormat/>
    <w:uiPriority w:val="0"/>
    <w:pPr>
      <w:numPr>
        <w:ilvl w:val="1"/>
        <w:numId w:val="2"/>
      </w:numPr>
      <w:adjustRightInd w:val="0"/>
      <w:snapToGrid w:val="0"/>
      <w:contextualSpacing w:val="0"/>
      <w:jc w:val="center"/>
    </w:pPr>
    <w:rPr>
      <w:rFonts w:eastAsia="微软雅黑"/>
      <w:sz w:val="24"/>
    </w:rPr>
  </w:style>
  <w:style w:type="paragraph" w:customStyle="1" w:styleId="344">
    <w:name w:val="列表段落2"/>
    <w:basedOn w:val="1"/>
    <w:next w:val="14"/>
    <w:qFormat/>
    <w:uiPriority w:val="99"/>
    <w:pPr>
      <w:widowControl/>
      <w:numPr>
        <w:ilvl w:val="1"/>
        <w:numId w:val="3"/>
      </w:numPr>
      <w:jc w:val="center"/>
    </w:pPr>
    <w:rPr>
      <w:rFonts w:ascii="宋体" w:hAnsi="宋体" w:eastAsia="宋体" w:cs="宋体"/>
      <w:kern w:val="0"/>
      <w:sz w:val="24"/>
      <w:szCs w:val="24"/>
    </w:rPr>
  </w:style>
  <w:style w:type="paragraph" w:customStyle="1" w:styleId="345">
    <w:name w:val="样式 正文缩进 + 首行缩进:  2 字符"/>
    <w:basedOn w:val="2"/>
    <w:qFormat/>
    <w:uiPriority w:val="0"/>
    <w:pPr>
      <w:spacing w:line="360" w:lineRule="auto"/>
      <w:ind w:firstLine="200"/>
    </w:pPr>
    <w:rPr>
      <w:rFonts w:ascii="Times New Roman" w:hAnsi="Times New Roman" w:eastAsia="仿宋" w:cs="Times New Roman"/>
      <w:sz w:val="24"/>
      <w:szCs w:val="20"/>
    </w:rPr>
  </w:style>
  <w:style w:type="paragraph" w:customStyle="1" w:styleId="34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中国远东国际贸易总公司</Company>
  <Pages>55</Pages>
  <Words>28030</Words>
  <Characters>29454</Characters>
  <Lines>322</Lines>
  <Paragraphs>90</Paragraphs>
  <TotalTime>0</TotalTime>
  <ScaleCrop>false</ScaleCrop>
  <LinksUpToDate>false</LinksUpToDate>
  <CharactersWithSpaces>31593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2020-10-13T06:50:00Z</dcterms:created>
  <dc:creator>zyq</dc:creator>
  <cp:lastModifiedBy>乐圣天</cp:lastModifiedBy>
  <cp:lastPrinted>2023-01-04T01:21:00Z</cp:lastPrinted>
  <dcterms:modified xsi:type="dcterms:W3CDTF">2023-01-04T07:46:05Z</dcterms:modified>
  <dc:title>招标文件目录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BC1BA64C697642BF92F420CC9F67FF35</vt:lpwstr>
  </property>
</Properties>
</file>