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distribute"/>
        <w:rPr>
          <w:rFonts w:hint="eastAsia" w:ascii="宋体" w:hAnsi="宋体" w:eastAsia="宋体" w:cs="宋体"/>
          <w:b/>
          <w:bCs/>
          <w:color w:val="auto"/>
          <w:sz w:val="52"/>
          <w:szCs w:val="52"/>
          <w:highlight w:val="none"/>
          <w:lang w:eastAsia="zh-CN"/>
        </w:rPr>
      </w:pPr>
      <w:r>
        <w:rPr>
          <w:rFonts w:hint="eastAsia" w:ascii="宋体" w:hAnsi="宋体" w:cs="宋体"/>
          <w:color w:val="auto"/>
          <w:spacing w:val="20"/>
          <w:sz w:val="84"/>
          <w:highlight w:val="none"/>
          <w:lang w:eastAsia="zh-CN"/>
        </w:rPr>
        <w:t>温州市中医院</w:t>
      </w:r>
    </w:p>
    <w:p>
      <w:pPr>
        <w:jc w:val="center"/>
        <w:rPr>
          <w:rFonts w:hint="eastAsia" w:ascii="宋体" w:hAnsi="宋体" w:eastAsia="宋体" w:cs="宋体"/>
          <w:b/>
          <w:bCs/>
          <w:color w:val="auto"/>
          <w:spacing w:val="26"/>
          <w:sz w:val="52"/>
          <w:highlight w:val="none"/>
        </w:rPr>
      </w:pPr>
    </w:p>
    <w:p>
      <w:pPr>
        <w:ind w:firstLine="2357" w:firstLineChars="235"/>
        <w:rPr>
          <w:rFonts w:hint="eastAsia" w:ascii="宋体" w:hAnsi="宋体" w:eastAsia="宋体" w:cs="宋体"/>
          <w:b/>
          <w:bCs/>
          <w:color w:val="auto"/>
          <w:spacing w:val="140"/>
          <w:sz w:val="72"/>
          <w:highlight w:val="none"/>
        </w:rPr>
      </w:pPr>
    </w:p>
    <w:p>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54"/>
        <w:tblW w:w="0" w:type="auto"/>
        <w:tblInd w:w="2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50"/>
        <w:gridCol w:w="6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5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6106" w:type="dxa"/>
            <w:vAlign w:val="center"/>
          </w:tcPr>
          <w:p>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pacing w:val="40"/>
                <w:sz w:val="28"/>
                <w:highlight w:val="none"/>
                <w:lang w:eastAsia="zh-CN"/>
              </w:rPr>
              <w:t>WZLCZB（W）-2022-09416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5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6106"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化学发光免疫分析系统耗材（试剂）及配套设备租赁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5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6106"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5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6106"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pPr>
        <w:spacing w:line="700" w:lineRule="exact"/>
        <w:ind w:firstLine="723" w:firstLineChars="300"/>
        <w:jc w:val="left"/>
        <w:rPr>
          <w:rFonts w:hint="eastAsia" w:ascii="宋体" w:hAnsi="宋体" w:eastAsia="宋体" w:cs="宋体"/>
          <w:b/>
          <w:bCs/>
          <w:color w:val="auto"/>
          <w:sz w:val="24"/>
          <w:highlight w:val="none"/>
        </w:rPr>
      </w:pPr>
    </w:p>
    <w:p>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pPr>
        <w:spacing w:line="700" w:lineRule="exact"/>
        <w:ind w:left="3802" w:leftChars="540" w:hanging="2668" w:hangingChars="700"/>
        <w:rPr>
          <w:rFonts w:hint="eastAsia" w:ascii="宋体" w:hAnsi="宋体" w:eastAsia="宋体" w:cs="宋体"/>
          <w:b/>
          <w:color w:val="auto"/>
          <w:spacing w:val="40"/>
          <w:sz w:val="30"/>
          <w:szCs w:val="30"/>
          <w:highlight w:val="none"/>
        </w:rPr>
      </w:pPr>
    </w:p>
    <w:p>
      <w:pPr>
        <w:keepNext/>
        <w:spacing w:line="700" w:lineRule="exact"/>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pPr>
        <w:pStyle w:val="10"/>
        <w:rPr>
          <w:rFonts w:hint="eastAsia"/>
        </w:rPr>
      </w:pPr>
    </w:p>
    <w:p>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温州市中医院</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招标代理机构：温州历程招标有限公司</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二0二</w:t>
      </w:r>
      <w:r>
        <w:rPr>
          <w:rFonts w:hint="eastAsia" w:ascii="宋体" w:hAnsi="宋体" w:cs="宋体"/>
          <w:color w:val="auto"/>
          <w:spacing w:val="30"/>
          <w:sz w:val="30"/>
          <w:highlight w:val="none"/>
          <w:lang w:val="en-US" w:eastAsia="zh-CN"/>
        </w:rPr>
        <w:t>二</w:t>
      </w:r>
      <w:r>
        <w:rPr>
          <w:rFonts w:hint="eastAsia" w:ascii="宋体" w:hAnsi="宋体" w:eastAsia="宋体" w:cs="宋体"/>
          <w:color w:val="auto"/>
          <w:spacing w:val="30"/>
          <w:sz w:val="30"/>
          <w:highlight w:val="none"/>
        </w:rPr>
        <w:t>年</w:t>
      </w:r>
      <w:r>
        <w:rPr>
          <w:rFonts w:hint="eastAsia" w:ascii="宋体" w:hAnsi="宋体" w:cs="宋体"/>
          <w:color w:val="auto"/>
          <w:spacing w:val="30"/>
          <w:sz w:val="30"/>
          <w:highlight w:val="none"/>
          <w:lang w:val="en-US" w:eastAsia="zh-CN"/>
        </w:rPr>
        <w:t>九</w:t>
      </w:r>
      <w:r>
        <w:rPr>
          <w:rFonts w:hint="eastAsia" w:ascii="宋体" w:hAnsi="宋体" w:eastAsia="宋体" w:cs="宋体"/>
          <w:color w:val="auto"/>
          <w:spacing w:val="30"/>
          <w:sz w:val="30"/>
          <w:highlight w:val="none"/>
        </w:rPr>
        <w:t>月</w:t>
      </w:r>
    </w:p>
    <w:p>
      <w:pPr>
        <w:rPr>
          <w:rFonts w:hint="eastAsia"/>
        </w:rPr>
      </w:pPr>
      <w:r>
        <w:rPr>
          <w:rFonts w:hint="eastAsia" w:ascii="宋体" w:hAnsi="宋体" w:eastAsia="宋体" w:cs="宋体"/>
          <w:b/>
          <w:color w:val="auto"/>
          <w:sz w:val="36"/>
          <w:szCs w:val="36"/>
          <w:highlight w:val="none"/>
        </w:rPr>
        <w:br w:type="page"/>
      </w:r>
    </w:p>
    <w:sdt>
      <w:sdtPr>
        <w:rPr>
          <w:rFonts w:hint="eastAsia" w:ascii="宋体" w:hAnsi="宋体" w:eastAsia="宋体" w:cs="宋体"/>
          <w:kern w:val="2"/>
          <w:sz w:val="21"/>
          <w:szCs w:val="24"/>
          <w:lang w:val="en-US" w:eastAsia="zh-CN" w:bidi="ar-SA"/>
        </w:rPr>
        <w:id w:val="147459729"/>
        <w15:color w:val="DBDBDB"/>
        <w:docPartObj>
          <w:docPartGallery w:val="Table of Contents"/>
          <w:docPartUnique/>
        </w:docPartObj>
      </w:sdtPr>
      <w:sdtEndPr>
        <w:rPr>
          <w:rFonts w:hint="eastAsia" w:ascii="宋体" w:hAnsi="宋体" w:eastAsia="宋体" w:cs="宋体"/>
          <w:color w:val="auto"/>
          <w:kern w:val="2"/>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rPr>
          </w:pPr>
        </w:p>
        <w:p>
          <w:pPr>
            <w:pStyle w:val="38"/>
            <w:tabs>
              <w:tab w:val="right" w:leader="dot" w:pos="9638"/>
            </w:tabs>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pPr>
            <w:pStyle w:val="38"/>
            <w:tabs>
              <w:tab w:val="right" w:leader="dot" w:pos="9638"/>
            </w:tabs>
            <w:spacing w:line="360" w:lineRule="auto"/>
            <w:rPr>
              <w:sz w:val="22"/>
              <w:szCs w:val="28"/>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_Toc6599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招</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标</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公</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告</w:t>
          </w:r>
          <w:r>
            <w:rPr>
              <w:sz w:val="22"/>
              <w:szCs w:val="28"/>
            </w:rPr>
            <w:tab/>
          </w:r>
          <w:r>
            <w:rPr>
              <w:sz w:val="22"/>
              <w:szCs w:val="28"/>
            </w:rPr>
            <w:fldChar w:fldCharType="begin"/>
          </w:r>
          <w:r>
            <w:rPr>
              <w:sz w:val="22"/>
              <w:szCs w:val="28"/>
            </w:rPr>
            <w:instrText xml:space="preserve"> PAGEREF _Toc6599 \h </w:instrText>
          </w:r>
          <w:r>
            <w:rPr>
              <w:sz w:val="22"/>
              <w:szCs w:val="28"/>
            </w:rPr>
            <w:fldChar w:fldCharType="separate"/>
          </w:r>
          <w:r>
            <w:rPr>
              <w:sz w:val="22"/>
              <w:szCs w:val="28"/>
            </w:rPr>
            <w:t>3</w:t>
          </w:r>
          <w:r>
            <w:rPr>
              <w:sz w:val="22"/>
              <w:szCs w:val="28"/>
            </w:rPr>
            <w:fldChar w:fldCharType="end"/>
          </w:r>
          <w:r>
            <w:rPr>
              <w:rFonts w:hint="eastAsia" w:ascii="宋体" w:hAnsi="宋体" w:eastAsia="宋体" w:cs="宋体"/>
              <w:color w:val="auto"/>
              <w:sz w:val="22"/>
              <w:szCs w:val="40"/>
              <w:highlight w:val="none"/>
            </w:rPr>
            <w:fldChar w:fldCharType="end"/>
          </w:r>
        </w:p>
        <w:p>
          <w:pPr>
            <w:pStyle w:val="3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_Toc10401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第一部分  投标人须知</w:t>
          </w:r>
          <w:r>
            <w:rPr>
              <w:sz w:val="22"/>
              <w:szCs w:val="28"/>
            </w:rPr>
            <w:tab/>
          </w:r>
          <w:r>
            <w:rPr>
              <w:sz w:val="22"/>
              <w:szCs w:val="28"/>
            </w:rPr>
            <w:fldChar w:fldCharType="begin"/>
          </w:r>
          <w:r>
            <w:rPr>
              <w:sz w:val="22"/>
              <w:szCs w:val="28"/>
            </w:rPr>
            <w:instrText xml:space="preserve"> PAGEREF _Toc10401 \h </w:instrText>
          </w:r>
          <w:r>
            <w:rPr>
              <w:sz w:val="22"/>
              <w:szCs w:val="28"/>
            </w:rPr>
            <w:fldChar w:fldCharType="separate"/>
          </w:r>
          <w:r>
            <w:rPr>
              <w:sz w:val="22"/>
              <w:szCs w:val="28"/>
            </w:rPr>
            <w:t>6</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_Toc6224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前 附 表</w:t>
          </w:r>
          <w:r>
            <w:rPr>
              <w:sz w:val="22"/>
              <w:szCs w:val="28"/>
            </w:rPr>
            <w:tab/>
          </w:r>
          <w:r>
            <w:rPr>
              <w:sz w:val="22"/>
              <w:szCs w:val="28"/>
            </w:rPr>
            <w:fldChar w:fldCharType="begin"/>
          </w:r>
          <w:r>
            <w:rPr>
              <w:sz w:val="22"/>
              <w:szCs w:val="28"/>
            </w:rPr>
            <w:instrText xml:space="preserve"> PAGEREF _Toc6224 \h </w:instrText>
          </w:r>
          <w:r>
            <w:rPr>
              <w:sz w:val="22"/>
              <w:szCs w:val="28"/>
            </w:rPr>
            <w:fldChar w:fldCharType="separate"/>
          </w:r>
          <w:r>
            <w:rPr>
              <w:sz w:val="22"/>
              <w:szCs w:val="28"/>
            </w:rPr>
            <w:t>6</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_Toc19070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一、 说   明</w:t>
          </w:r>
          <w:r>
            <w:rPr>
              <w:sz w:val="22"/>
              <w:szCs w:val="28"/>
            </w:rPr>
            <w:tab/>
          </w:r>
          <w:r>
            <w:rPr>
              <w:sz w:val="22"/>
              <w:szCs w:val="28"/>
            </w:rPr>
            <w:fldChar w:fldCharType="begin"/>
          </w:r>
          <w:r>
            <w:rPr>
              <w:sz w:val="22"/>
              <w:szCs w:val="28"/>
            </w:rPr>
            <w:instrText xml:space="preserve"> PAGEREF _Toc19070 \h </w:instrText>
          </w:r>
          <w:r>
            <w:rPr>
              <w:sz w:val="22"/>
              <w:szCs w:val="28"/>
            </w:rPr>
            <w:fldChar w:fldCharType="separate"/>
          </w:r>
          <w:r>
            <w:rPr>
              <w:sz w:val="22"/>
              <w:szCs w:val="28"/>
            </w:rPr>
            <w:t>10</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_Toc28278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二、 招标文件</w:t>
          </w:r>
          <w:r>
            <w:rPr>
              <w:sz w:val="22"/>
              <w:szCs w:val="28"/>
            </w:rPr>
            <w:tab/>
          </w:r>
          <w:r>
            <w:rPr>
              <w:sz w:val="22"/>
              <w:szCs w:val="28"/>
            </w:rPr>
            <w:fldChar w:fldCharType="begin"/>
          </w:r>
          <w:r>
            <w:rPr>
              <w:sz w:val="22"/>
              <w:szCs w:val="28"/>
            </w:rPr>
            <w:instrText xml:space="preserve"> PAGEREF _Toc28278 \h </w:instrText>
          </w:r>
          <w:r>
            <w:rPr>
              <w:sz w:val="22"/>
              <w:szCs w:val="28"/>
            </w:rPr>
            <w:fldChar w:fldCharType="separate"/>
          </w:r>
          <w:r>
            <w:rPr>
              <w:sz w:val="22"/>
              <w:szCs w:val="28"/>
            </w:rPr>
            <w:t>10</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_Toc22646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三、 投标文件的编制</w:t>
          </w:r>
          <w:r>
            <w:rPr>
              <w:sz w:val="22"/>
              <w:szCs w:val="28"/>
            </w:rPr>
            <w:tab/>
          </w:r>
          <w:r>
            <w:rPr>
              <w:sz w:val="22"/>
              <w:szCs w:val="28"/>
            </w:rPr>
            <w:fldChar w:fldCharType="begin"/>
          </w:r>
          <w:r>
            <w:rPr>
              <w:sz w:val="22"/>
              <w:szCs w:val="28"/>
            </w:rPr>
            <w:instrText xml:space="preserve"> PAGEREF _Toc22646 \h </w:instrText>
          </w:r>
          <w:r>
            <w:rPr>
              <w:sz w:val="22"/>
              <w:szCs w:val="28"/>
            </w:rPr>
            <w:fldChar w:fldCharType="separate"/>
          </w:r>
          <w:r>
            <w:rPr>
              <w:sz w:val="22"/>
              <w:szCs w:val="28"/>
            </w:rPr>
            <w:t>11</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_Toc18542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四、 投标文件的递交</w:t>
          </w:r>
          <w:r>
            <w:rPr>
              <w:sz w:val="22"/>
              <w:szCs w:val="28"/>
            </w:rPr>
            <w:tab/>
          </w:r>
          <w:r>
            <w:rPr>
              <w:sz w:val="22"/>
              <w:szCs w:val="28"/>
            </w:rPr>
            <w:fldChar w:fldCharType="begin"/>
          </w:r>
          <w:r>
            <w:rPr>
              <w:sz w:val="22"/>
              <w:szCs w:val="28"/>
            </w:rPr>
            <w:instrText xml:space="preserve"> PAGEREF _Toc18542 \h </w:instrText>
          </w:r>
          <w:r>
            <w:rPr>
              <w:sz w:val="22"/>
              <w:szCs w:val="28"/>
            </w:rPr>
            <w:fldChar w:fldCharType="separate"/>
          </w:r>
          <w:r>
            <w:rPr>
              <w:sz w:val="22"/>
              <w:szCs w:val="28"/>
            </w:rPr>
            <w:t>15</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_Toc8079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五、 开标和评标</w:t>
          </w:r>
          <w:r>
            <w:rPr>
              <w:sz w:val="22"/>
              <w:szCs w:val="28"/>
            </w:rPr>
            <w:tab/>
          </w:r>
          <w:r>
            <w:rPr>
              <w:sz w:val="22"/>
              <w:szCs w:val="28"/>
            </w:rPr>
            <w:fldChar w:fldCharType="begin"/>
          </w:r>
          <w:r>
            <w:rPr>
              <w:sz w:val="22"/>
              <w:szCs w:val="28"/>
            </w:rPr>
            <w:instrText xml:space="preserve"> PAGEREF _Toc8079 \h </w:instrText>
          </w:r>
          <w:r>
            <w:rPr>
              <w:sz w:val="22"/>
              <w:szCs w:val="28"/>
            </w:rPr>
            <w:fldChar w:fldCharType="separate"/>
          </w:r>
          <w:r>
            <w:rPr>
              <w:sz w:val="22"/>
              <w:szCs w:val="28"/>
            </w:rPr>
            <w:t>15</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_Toc21056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六、 授予合同</w:t>
          </w:r>
          <w:r>
            <w:rPr>
              <w:sz w:val="22"/>
              <w:szCs w:val="28"/>
            </w:rPr>
            <w:tab/>
          </w:r>
          <w:r>
            <w:rPr>
              <w:sz w:val="22"/>
              <w:szCs w:val="28"/>
            </w:rPr>
            <w:fldChar w:fldCharType="begin"/>
          </w:r>
          <w:r>
            <w:rPr>
              <w:sz w:val="22"/>
              <w:szCs w:val="28"/>
            </w:rPr>
            <w:instrText xml:space="preserve"> PAGEREF _Toc21056 \h </w:instrText>
          </w:r>
          <w:r>
            <w:rPr>
              <w:sz w:val="22"/>
              <w:szCs w:val="28"/>
            </w:rPr>
            <w:fldChar w:fldCharType="separate"/>
          </w:r>
          <w:r>
            <w:rPr>
              <w:sz w:val="22"/>
              <w:szCs w:val="28"/>
            </w:rPr>
            <w:t>19</w:t>
          </w:r>
          <w:r>
            <w:rPr>
              <w:sz w:val="22"/>
              <w:szCs w:val="28"/>
            </w:rPr>
            <w:fldChar w:fldCharType="end"/>
          </w:r>
          <w:r>
            <w:rPr>
              <w:rFonts w:hint="eastAsia" w:ascii="宋体" w:hAnsi="宋体" w:eastAsia="宋体" w:cs="宋体"/>
              <w:color w:val="auto"/>
              <w:sz w:val="22"/>
              <w:szCs w:val="40"/>
              <w:highlight w:val="none"/>
            </w:rPr>
            <w:fldChar w:fldCharType="end"/>
          </w:r>
        </w:p>
        <w:p>
          <w:pPr>
            <w:pStyle w:val="3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_Toc19043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第二部分  合同主要条款</w:t>
          </w:r>
          <w:r>
            <w:rPr>
              <w:sz w:val="22"/>
              <w:szCs w:val="28"/>
            </w:rPr>
            <w:tab/>
          </w:r>
          <w:r>
            <w:rPr>
              <w:sz w:val="22"/>
              <w:szCs w:val="28"/>
            </w:rPr>
            <w:fldChar w:fldCharType="begin"/>
          </w:r>
          <w:r>
            <w:rPr>
              <w:sz w:val="22"/>
              <w:szCs w:val="28"/>
            </w:rPr>
            <w:instrText xml:space="preserve"> PAGEREF _Toc19043 \h </w:instrText>
          </w:r>
          <w:r>
            <w:rPr>
              <w:sz w:val="22"/>
              <w:szCs w:val="28"/>
            </w:rPr>
            <w:fldChar w:fldCharType="separate"/>
          </w:r>
          <w:r>
            <w:rPr>
              <w:sz w:val="22"/>
              <w:szCs w:val="28"/>
            </w:rPr>
            <w:t>21</w:t>
          </w:r>
          <w:r>
            <w:rPr>
              <w:sz w:val="22"/>
              <w:szCs w:val="28"/>
            </w:rPr>
            <w:fldChar w:fldCharType="end"/>
          </w:r>
          <w:r>
            <w:rPr>
              <w:rFonts w:hint="eastAsia" w:ascii="宋体" w:hAnsi="宋体" w:eastAsia="宋体" w:cs="宋体"/>
              <w:color w:val="auto"/>
              <w:sz w:val="22"/>
              <w:szCs w:val="40"/>
              <w:highlight w:val="none"/>
            </w:rPr>
            <w:fldChar w:fldCharType="end"/>
          </w:r>
        </w:p>
        <w:p>
          <w:pPr>
            <w:pStyle w:val="3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_Toc18439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第三部分  附件</w:t>
          </w:r>
          <w:r>
            <w:rPr>
              <w:sz w:val="22"/>
              <w:szCs w:val="28"/>
            </w:rPr>
            <w:tab/>
          </w:r>
          <w:r>
            <w:rPr>
              <w:sz w:val="22"/>
              <w:szCs w:val="28"/>
            </w:rPr>
            <w:fldChar w:fldCharType="begin"/>
          </w:r>
          <w:r>
            <w:rPr>
              <w:sz w:val="22"/>
              <w:szCs w:val="28"/>
            </w:rPr>
            <w:instrText xml:space="preserve"> PAGEREF _Toc18439 \h </w:instrText>
          </w:r>
          <w:r>
            <w:rPr>
              <w:sz w:val="22"/>
              <w:szCs w:val="28"/>
            </w:rPr>
            <w:fldChar w:fldCharType="separate"/>
          </w:r>
          <w:r>
            <w:rPr>
              <w:sz w:val="22"/>
              <w:szCs w:val="28"/>
            </w:rPr>
            <w:t>25</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_Toc6368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highlight w:val="none"/>
            </w:rPr>
            <w:t>附件一</w:t>
          </w:r>
          <w:r>
            <w:rPr>
              <w:sz w:val="22"/>
              <w:szCs w:val="28"/>
            </w:rPr>
            <w:tab/>
          </w:r>
          <w:r>
            <w:rPr>
              <w:sz w:val="22"/>
              <w:szCs w:val="28"/>
            </w:rPr>
            <w:fldChar w:fldCharType="begin"/>
          </w:r>
          <w:r>
            <w:rPr>
              <w:sz w:val="22"/>
              <w:szCs w:val="28"/>
            </w:rPr>
            <w:instrText xml:space="preserve"> PAGEREF _Toc6368 \h </w:instrText>
          </w:r>
          <w:r>
            <w:rPr>
              <w:sz w:val="22"/>
              <w:szCs w:val="28"/>
            </w:rPr>
            <w:fldChar w:fldCharType="separate"/>
          </w:r>
          <w:r>
            <w:rPr>
              <w:sz w:val="22"/>
              <w:szCs w:val="28"/>
            </w:rPr>
            <w:t>25</w:t>
          </w:r>
          <w:r>
            <w:rPr>
              <w:sz w:val="22"/>
              <w:szCs w:val="28"/>
            </w:rPr>
            <w:fldChar w:fldCharType="end"/>
          </w:r>
          <w:r>
            <w:rPr>
              <w:rFonts w:hint="eastAsia" w:ascii="宋体" w:hAnsi="宋体" w:eastAsia="宋体" w:cs="宋体"/>
              <w:color w:val="auto"/>
              <w:sz w:val="22"/>
              <w:szCs w:val="40"/>
              <w:highlight w:val="none"/>
            </w:rPr>
            <w:fldChar w:fldCharType="end"/>
          </w:r>
        </w:p>
        <w:p>
          <w:pPr>
            <w:pStyle w:val="2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_Toc5430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rPr>
            <w:t>报价文件</w:t>
          </w:r>
          <w:r>
            <w:rPr>
              <w:sz w:val="22"/>
              <w:szCs w:val="28"/>
            </w:rPr>
            <w:tab/>
          </w:r>
          <w:r>
            <w:rPr>
              <w:sz w:val="22"/>
              <w:szCs w:val="28"/>
            </w:rPr>
            <w:fldChar w:fldCharType="begin"/>
          </w:r>
          <w:r>
            <w:rPr>
              <w:sz w:val="22"/>
              <w:szCs w:val="28"/>
            </w:rPr>
            <w:instrText xml:space="preserve"> PAGEREF _Toc5430 \h </w:instrText>
          </w:r>
          <w:r>
            <w:rPr>
              <w:sz w:val="22"/>
              <w:szCs w:val="28"/>
            </w:rPr>
            <w:fldChar w:fldCharType="separate"/>
          </w:r>
          <w:r>
            <w:rPr>
              <w:sz w:val="22"/>
              <w:szCs w:val="28"/>
            </w:rPr>
            <w:t>25</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_Toc12035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附件二</w:t>
          </w:r>
          <w:r>
            <w:rPr>
              <w:sz w:val="22"/>
              <w:szCs w:val="28"/>
            </w:rPr>
            <w:tab/>
          </w:r>
          <w:r>
            <w:rPr>
              <w:sz w:val="22"/>
              <w:szCs w:val="28"/>
            </w:rPr>
            <w:fldChar w:fldCharType="begin"/>
          </w:r>
          <w:r>
            <w:rPr>
              <w:sz w:val="22"/>
              <w:szCs w:val="28"/>
            </w:rPr>
            <w:instrText xml:space="preserve"> PAGEREF _Toc12035 \h </w:instrText>
          </w:r>
          <w:r>
            <w:rPr>
              <w:sz w:val="22"/>
              <w:szCs w:val="28"/>
            </w:rPr>
            <w:fldChar w:fldCharType="separate"/>
          </w:r>
          <w:r>
            <w:rPr>
              <w:sz w:val="22"/>
              <w:szCs w:val="28"/>
            </w:rPr>
            <w:t>34</w:t>
          </w:r>
          <w:r>
            <w:rPr>
              <w:sz w:val="22"/>
              <w:szCs w:val="28"/>
            </w:rPr>
            <w:fldChar w:fldCharType="end"/>
          </w:r>
          <w:r>
            <w:rPr>
              <w:rFonts w:hint="eastAsia" w:ascii="宋体" w:hAnsi="宋体" w:eastAsia="宋体" w:cs="宋体"/>
              <w:color w:val="auto"/>
              <w:sz w:val="22"/>
              <w:szCs w:val="40"/>
              <w:highlight w:val="none"/>
            </w:rPr>
            <w:fldChar w:fldCharType="end"/>
          </w:r>
        </w:p>
        <w:p>
          <w:pPr>
            <w:pStyle w:val="2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_Toc25309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rPr>
            <w:t>资格证明文件</w:t>
          </w:r>
          <w:r>
            <w:rPr>
              <w:sz w:val="22"/>
              <w:szCs w:val="28"/>
            </w:rPr>
            <w:tab/>
          </w:r>
          <w:r>
            <w:rPr>
              <w:sz w:val="22"/>
              <w:szCs w:val="28"/>
            </w:rPr>
            <w:fldChar w:fldCharType="begin"/>
          </w:r>
          <w:r>
            <w:rPr>
              <w:sz w:val="22"/>
              <w:szCs w:val="28"/>
            </w:rPr>
            <w:instrText xml:space="preserve"> PAGEREF _Toc25309 \h </w:instrText>
          </w:r>
          <w:r>
            <w:rPr>
              <w:sz w:val="22"/>
              <w:szCs w:val="28"/>
            </w:rPr>
            <w:fldChar w:fldCharType="separate"/>
          </w:r>
          <w:r>
            <w:rPr>
              <w:sz w:val="22"/>
              <w:szCs w:val="28"/>
            </w:rPr>
            <w:t>34</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_Toc31356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附件三</w:t>
          </w:r>
          <w:r>
            <w:rPr>
              <w:sz w:val="22"/>
              <w:szCs w:val="28"/>
            </w:rPr>
            <w:tab/>
          </w:r>
          <w:r>
            <w:rPr>
              <w:sz w:val="22"/>
              <w:szCs w:val="28"/>
            </w:rPr>
            <w:fldChar w:fldCharType="begin"/>
          </w:r>
          <w:r>
            <w:rPr>
              <w:sz w:val="22"/>
              <w:szCs w:val="28"/>
            </w:rPr>
            <w:instrText xml:space="preserve"> PAGEREF _Toc31356 \h </w:instrText>
          </w:r>
          <w:r>
            <w:rPr>
              <w:sz w:val="22"/>
              <w:szCs w:val="28"/>
            </w:rPr>
            <w:fldChar w:fldCharType="separate"/>
          </w:r>
          <w:r>
            <w:rPr>
              <w:sz w:val="22"/>
              <w:szCs w:val="28"/>
            </w:rPr>
            <w:t>39</w:t>
          </w:r>
          <w:r>
            <w:rPr>
              <w:sz w:val="22"/>
              <w:szCs w:val="28"/>
            </w:rPr>
            <w:fldChar w:fldCharType="end"/>
          </w:r>
          <w:r>
            <w:rPr>
              <w:rFonts w:hint="eastAsia" w:ascii="宋体" w:hAnsi="宋体" w:eastAsia="宋体" w:cs="宋体"/>
              <w:color w:val="auto"/>
              <w:sz w:val="22"/>
              <w:szCs w:val="40"/>
              <w:highlight w:val="none"/>
            </w:rPr>
            <w:fldChar w:fldCharType="end"/>
          </w:r>
        </w:p>
        <w:p>
          <w:pPr>
            <w:pStyle w:val="2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_Toc13639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lang w:val="zh-CN"/>
            </w:rPr>
            <w:t>商务技术文件</w:t>
          </w:r>
          <w:r>
            <w:rPr>
              <w:sz w:val="22"/>
              <w:szCs w:val="28"/>
            </w:rPr>
            <w:tab/>
          </w:r>
          <w:r>
            <w:rPr>
              <w:sz w:val="22"/>
              <w:szCs w:val="28"/>
            </w:rPr>
            <w:fldChar w:fldCharType="begin"/>
          </w:r>
          <w:r>
            <w:rPr>
              <w:sz w:val="22"/>
              <w:szCs w:val="28"/>
            </w:rPr>
            <w:instrText xml:space="preserve"> PAGEREF _Toc13639 \h </w:instrText>
          </w:r>
          <w:r>
            <w:rPr>
              <w:sz w:val="22"/>
              <w:szCs w:val="28"/>
            </w:rPr>
            <w:fldChar w:fldCharType="separate"/>
          </w:r>
          <w:r>
            <w:rPr>
              <w:sz w:val="22"/>
              <w:szCs w:val="28"/>
            </w:rPr>
            <w:t>39</w:t>
          </w:r>
          <w:r>
            <w:rPr>
              <w:sz w:val="22"/>
              <w:szCs w:val="28"/>
            </w:rPr>
            <w:fldChar w:fldCharType="end"/>
          </w:r>
          <w:r>
            <w:rPr>
              <w:rFonts w:hint="eastAsia" w:ascii="宋体" w:hAnsi="宋体" w:eastAsia="宋体" w:cs="宋体"/>
              <w:color w:val="auto"/>
              <w:sz w:val="22"/>
              <w:szCs w:val="40"/>
              <w:highlight w:val="none"/>
            </w:rPr>
            <w:fldChar w:fldCharType="end"/>
          </w:r>
        </w:p>
        <w:p>
          <w:pPr>
            <w:pStyle w:val="3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_Toc3381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第四部分 项目技术规范和服务要求</w:t>
          </w:r>
          <w:r>
            <w:rPr>
              <w:sz w:val="22"/>
              <w:szCs w:val="28"/>
            </w:rPr>
            <w:tab/>
          </w:r>
          <w:r>
            <w:rPr>
              <w:sz w:val="22"/>
              <w:szCs w:val="28"/>
            </w:rPr>
            <w:fldChar w:fldCharType="begin"/>
          </w:r>
          <w:r>
            <w:rPr>
              <w:sz w:val="22"/>
              <w:szCs w:val="28"/>
            </w:rPr>
            <w:instrText xml:space="preserve"> PAGEREF _Toc3381 \h </w:instrText>
          </w:r>
          <w:r>
            <w:rPr>
              <w:sz w:val="22"/>
              <w:szCs w:val="28"/>
            </w:rPr>
            <w:fldChar w:fldCharType="separate"/>
          </w:r>
          <w:r>
            <w:rPr>
              <w:sz w:val="22"/>
              <w:szCs w:val="28"/>
            </w:rPr>
            <w:t>55</w:t>
          </w:r>
          <w:r>
            <w:rPr>
              <w:sz w:val="22"/>
              <w:szCs w:val="28"/>
            </w:rPr>
            <w:fldChar w:fldCharType="end"/>
          </w:r>
          <w:r>
            <w:rPr>
              <w:rFonts w:hint="eastAsia" w:ascii="宋体" w:hAnsi="宋体" w:eastAsia="宋体" w:cs="宋体"/>
              <w:color w:val="auto"/>
              <w:sz w:val="22"/>
              <w:szCs w:val="40"/>
              <w:highlight w:val="none"/>
            </w:rPr>
            <w:fldChar w:fldCharType="end"/>
          </w:r>
        </w:p>
        <w:p>
          <w:pPr>
            <w:pStyle w:val="3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_Toc18194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第五部分 评标原则及方法</w:t>
          </w:r>
          <w:r>
            <w:rPr>
              <w:sz w:val="22"/>
              <w:szCs w:val="28"/>
            </w:rPr>
            <w:tab/>
          </w:r>
          <w:r>
            <w:rPr>
              <w:sz w:val="22"/>
              <w:szCs w:val="28"/>
            </w:rPr>
            <w:fldChar w:fldCharType="begin"/>
          </w:r>
          <w:r>
            <w:rPr>
              <w:sz w:val="22"/>
              <w:szCs w:val="28"/>
            </w:rPr>
            <w:instrText xml:space="preserve"> PAGEREF _Toc18194 \h </w:instrText>
          </w:r>
          <w:r>
            <w:rPr>
              <w:sz w:val="22"/>
              <w:szCs w:val="28"/>
            </w:rPr>
            <w:fldChar w:fldCharType="separate"/>
          </w:r>
          <w:r>
            <w:rPr>
              <w:sz w:val="22"/>
              <w:szCs w:val="28"/>
            </w:rPr>
            <w:t>55</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_Toc15713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一、总 则</w:t>
          </w:r>
          <w:r>
            <w:rPr>
              <w:sz w:val="22"/>
              <w:szCs w:val="28"/>
            </w:rPr>
            <w:tab/>
          </w:r>
          <w:r>
            <w:rPr>
              <w:sz w:val="22"/>
              <w:szCs w:val="28"/>
            </w:rPr>
            <w:fldChar w:fldCharType="begin"/>
          </w:r>
          <w:r>
            <w:rPr>
              <w:sz w:val="22"/>
              <w:szCs w:val="28"/>
            </w:rPr>
            <w:instrText xml:space="preserve"> PAGEREF _Toc15713 \h </w:instrText>
          </w:r>
          <w:r>
            <w:rPr>
              <w:sz w:val="22"/>
              <w:szCs w:val="28"/>
            </w:rPr>
            <w:fldChar w:fldCharType="separate"/>
          </w:r>
          <w:r>
            <w:rPr>
              <w:sz w:val="22"/>
              <w:szCs w:val="28"/>
            </w:rPr>
            <w:t>59</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_Toc23152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二、评标组织</w:t>
          </w:r>
          <w:r>
            <w:rPr>
              <w:sz w:val="22"/>
              <w:szCs w:val="28"/>
            </w:rPr>
            <w:tab/>
          </w:r>
          <w:r>
            <w:rPr>
              <w:sz w:val="22"/>
              <w:szCs w:val="28"/>
            </w:rPr>
            <w:fldChar w:fldCharType="begin"/>
          </w:r>
          <w:r>
            <w:rPr>
              <w:sz w:val="22"/>
              <w:szCs w:val="28"/>
            </w:rPr>
            <w:instrText xml:space="preserve"> PAGEREF _Toc23152 \h </w:instrText>
          </w:r>
          <w:r>
            <w:rPr>
              <w:sz w:val="22"/>
              <w:szCs w:val="28"/>
            </w:rPr>
            <w:fldChar w:fldCharType="separate"/>
          </w:r>
          <w:r>
            <w:rPr>
              <w:sz w:val="22"/>
              <w:szCs w:val="28"/>
            </w:rPr>
            <w:t>59</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_Toc67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三、评标程序</w:t>
          </w:r>
          <w:r>
            <w:rPr>
              <w:sz w:val="22"/>
              <w:szCs w:val="28"/>
            </w:rPr>
            <w:tab/>
          </w:r>
          <w:r>
            <w:rPr>
              <w:sz w:val="22"/>
              <w:szCs w:val="28"/>
            </w:rPr>
            <w:fldChar w:fldCharType="begin"/>
          </w:r>
          <w:r>
            <w:rPr>
              <w:sz w:val="22"/>
              <w:szCs w:val="28"/>
            </w:rPr>
            <w:instrText xml:space="preserve"> PAGEREF _Toc67 \h </w:instrText>
          </w:r>
          <w:r>
            <w:rPr>
              <w:sz w:val="22"/>
              <w:szCs w:val="28"/>
            </w:rPr>
            <w:fldChar w:fldCharType="separate"/>
          </w:r>
          <w:r>
            <w:rPr>
              <w:sz w:val="22"/>
              <w:szCs w:val="28"/>
            </w:rPr>
            <w:t>59</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_Toc24825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四、评标办法</w:t>
          </w:r>
          <w:r>
            <w:rPr>
              <w:sz w:val="22"/>
              <w:szCs w:val="28"/>
            </w:rPr>
            <w:tab/>
          </w:r>
          <w:r>
            <w:rPr>
              <w:sz w:val="22"/>
              <w:szCs w:val="28"/>
            </w:rPr>
            <w:fldChar w:fldCharType="begin"/>
          </w:r>
          <w:r>
            <w:rPr>
              <w:sz w:val="22"/>
              <w:szCs w:val="28"/>
            </w:rPr>
            <w:instrText xml:space="preserve"> PAGEREF _Toc24825 \h </w:instrText>
          </w:r>
          <w:r>
            <w:rPr>
              <w:sz w:val="22"/>
              <w:szCs w:val="28"/>
            </w:rPr>
            <w:fldChar w:fldCharType="separate"/>
          </w:r>
          <w:r>
            <w:rPr>
              <w:sz w:val="22"/>
              <w:szCs w:val="28"/>
            </w:rPr>
            <w:t>59</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_Toc11450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rPr>
            <w:t xml:space="preserve">五、 </w:t>
          </w:r>
          <w:r>
            <w:rPr>
              <w:rFonts w:hint="eastAsia" w:ascii="宋体" w:hAnsi="宋体" w:eastAsia="宋体" w:cs="宋体"/>
              <w:sz w:val="22"/>
              <w:szCs w:val="24"/>
              <w:highlight w:val="none"/>
            </w:rPr>
            <w:t>评分细则</w:t>
          </w:r>
          <w:r>
            <w:rPr>
              <w:sz w:val="22"/>
              <w:szCs w:val="28"/>
            </w:rPr>
            <w:tab/>
          </w:r>
          <w:r>
            <w:rPr>
              <w:sz w:val="22"/>
              <w:szCs w:val="28"/>
            </w:rPr>
            <w:fldChar w:fldCharType="begin"/>
          </w:r>
          <w:r>
            <w:rPr>
              <w:sz w:val="22"/>
              <w:szCs w:val="28"/>
            </w:rPr>
            <w:instrText xml:space="preserve"> PAGEREF _Toc11450 \h </w:instrText>
          </w:r>
          <w:r>
            <w:rPr>
              <w:sz w:val="22"/>
              <w:szCs w:val="28"/>
            </w:rPr>
            <w:fldChar w:fldCharType="separate"/>
          </w:r>
          <w:r>
            <w:rPr>
              <w:sz w:val="22"/>
              <w:szCs w:val="28"/>
            </w:rPr>
            <w:t>59</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_Toc4727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六、定标办法</w:t>
          </w:r>
          <w:r>
            <w:rPr>
              <w:sz w:val="22"/>
              <w:szCs w:val="28"/>
            </w:rPr>
            <w:tab/>
          </w:r>
          <w:r>
            <w:rPr>
              <w:sz w:val="22"/>
              <w:szCs w:val="28"/>
            </w:rPr>
            <w:fldChar w:fldCharType="begin"/>
          </w:r>
          <w:r>
            <w:rPr>
              <w:sz w:val="22"/>
              <w:szCs w:val="28"/>
            </w:rPr>
            <w:instrText xml:space="preserve"> PAGEREF _Toc4727 \h </w:instrText>
          </w:r>
          <w:r>
            <w:rPr>
              <w:sz w:val="22"/>
              <w:szCs w:val="28"/>
            </w:rPr>
            <w:fldChar w:fldCharType="separate"/>
          </w:r>
          <w:r>
            <w:rPr>
              <w:sz w:val="22"/>
              <w:szCs w:val="28"/>
            </w:rPr>
            <w:t>61</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_Toc3629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七、投标人义务</w:t>
          </w:r>
          <w:r>
            <w:rPr>
              <w:sz w:val="22"/>
              <w:szCs w:val="28"/>
            </w:rPr>
            <w:tab/>
          </w:r>
          <w:r>
            <w:rPr>
              <w:sz w:val="22"/>
              <w:szCs w:val="28"/>
            </w:rPr>
            <w:fldChar w:fldCharType="begin"/>
          </w:r>
          <w:r>
            <w:rPr>
              <w:sz w:val="22"/>
              <w:szCs w:val="28"/>
            </w:rPr>
            <w:instrText xml:space="preserve"> PAGEREF _Toc3629 \h </w:instrText>
          </w:r>
          <w:r>
            <w:rPr>
              <w:sz w:val="22"/>
              <w:szCs w:val="28"/>
            </w:rPr>
            <w:fldChar w:fldCharType="separate"/>
          </w:r>
          <w:r>
            <w:rPr>
              <w:sz w:val="22"/>
              <w:szCs w:val="28"/>
            </w:rPr>
            <w:t>62</w:t>
          </w:r>
          <w:r>
            <w:rPr>
              <w:sz w:val="22"/>
              <w:szCs w:val="28"/>
            </w:rPr>
            <w:fldChar w:fldCharType="end"/>
          </w:r>
          <w:r>
            <w:rPr>
              <w:rFonts w:hint="eastAsia" w:ascii="宋体" w:hAnsi="宋体" w:eastAsia="宋体" w:cs="宋体"/>
              <w:color w:val="auto"/>
              <w:sz w:val="22"/>
              <w:szCs w:val="40"/>
              <w:highlight w:val="none"/>
            </w:rPr>
            <w:fldChar w:fldCharType="end"/>
          </w:r>
        </w:p>
        <w:p>
          <w:pPr>
            <w:spacing w:line="360" w:lineRule="auto"/>
            <w:ind w:firstLine="1870" w:firstLineChars="850"/>
            <w:rPr>
              <w:rFonts w:hint="eastAsia" w:ascii="宋体" w:hAnsi="宋体" w:eastAsia="宋体" w:cs="宋体"/>
              <w:b/>
              <w:color w:val="auto"/>
              <w:sz w:val="36"/>
              <w:szCs w:val="36"/>
              <w:highlight w:val="none"/>
            </w:rPr>
          </w:pPr>
          <w:r>
            <w:rPr>
              <w:rFonts w:hint="eastAsia" w:ascii="宋体" w:hAnsi="宋体" w:eastAsia="宋体" w:cs="宋体"/>
              <w:color w:val="auto"/>
              <w:sz w:val="22"/>
              <w:szCs w:val="40"/>
              <w:highlight w:val="none"/>
            </w:rPr>
            <w:fldChar w:fldCharType="end"/>
          </w:r>
        </w:p>
      </w:sdtContent>
    </w:sdt>
    <w:p>
      <w:pPr>
        <w:spacing w:line="360" w:lineRule="auto"/>
        <w:jc w:val="center"/>
        <w:rPr>
          <w:rFonts w:hint="eastAsia" w:ascii="宋体" w:hAnsi="宋体" w:eastAsia="宋体" w:cs="宋体"/>
          <w:b/>
          <w:color w:val="auto"/>
          <w:sz w:val="22"/>
          <w:szCs w:val="22"/>
          <w:highlight w:val="none"/>
        </w:rPr>
      </w:pPr>
    </w:p>
    <w:p>
      <w:pPr>
        <w:pStyle w:val="4"/>
        <w:bidi w:val="0"/>
        <w:rPr>
          <w:rFonts w:hint="eastAsia" w:ascii="宋体" w:hAnsi="宋体" w:eastAsia="宋体" w:cs="宋体"/>
          <w:b/>
          <w:color w:val="auto"/>
          <w:highlight w:val="none"/>
        </w:rPr>
      </w:pPr>
      <w:bookmarkStart w:id="0" w:name="_Toc32649"/>
      <w:bookmarkStart w:id="1" w:name="_Toc6599"/>
      <w:r>
        <w:rPr>
          <w:rFonts w:hint="eastAsia" w:ascii="宋体" w:hAnsi="宋体" w:eastAsia="宋体" w:cs="宋体"/>
        </w:rPr>
        <w:t>招</w:t>
      </w:r>
      <w:r>
        <w:rPr>
          <w:rFonts w:hint="eastAsia" w:ascii="宋体" w:hAnsi="宋体" w:eastAsia="宋体" w:cs="宋体"/>
          <w:lang w:val="en-US" w:eastAsia="zh-CN"/>
        </w:rPr>
        <w:t xml:space="preserve"> </w:t>
      </w:r>
      <w:r>
        <w:rPr>
          <w:rFonts w:hint="eastAsia" w:ascii="宋体" w:hAnsi="宋体" w:eastAsia="宋体" w:cs="宋体"/>
        </w:rPr>
        <w:t>标</w:t>
      </w:r>
      <w:r>
        <w:rPr>
          <w:rFonts w:hint="eastAsia" w:ascii="宋体" w:hAnsi="宋体" w:eastAsia="宋体" w:cs="宋体"/>
          <w:lang w:val="en-US" w:eastAsia="zh-CN"/>
        </w:rPr>
        <w:t xml:space="preserve"> </w:t>
      </w:r>
      <w:r>
        <w:rPr>
          <w:rFonts w:hint="eastAsia" w:ascii="宋体" w:hAnsi="宋体" w:eastAsia="宋体" w:cs="宋体"/>
        </w:rPr>
        <w:t>公</w:t>
      </w:r>
      <w:r>
        <w:rPr>
          <w:rFonts w:hint="eastAsia" w:ascii="宋体" w:hAnsi="宋体" w:eastAsia="宋体" w:cs="宋体"/>
          <w:lang w:val="en-US" w:eastAsia="zh-CN"/>
        </w:rPr>
        <w:t xml:space="preserve"> </w:t>
      </w:r>
      <w:r>
        <w:rPr>
          <w:rFonts w:hint="eastAsia" w:ascii="宋体" w:hAnsi="宋体" w:eastAsia="宋体" w:cs="宋体"/>
        </w:rPr>
        <w:t>告</w:t>
      </w:r>
      <w:bookmarkEnd w:id="0"/>
      <w:bookmarkEnd w:id="1"/>
    </w:p>
    <w:p>
      <w:pPr>
        <w:tabs>
          <w:tab w:val="left" w:pos="360"/>
        </w:tabs>
        <w:spacing w:line="460" w:lineRule="exact"/>
        <w:ind w:firstLine="663" w:firstLineChars="3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项目概况</w:t>
      </w:r>
    </w:p>
    <w:p>
      <w:pPr>
        <w:tabs>
          <w:tab w:val="left" w:pos="360"/>
        </w:tabs>
        <w:spacing w:line="460" w:lineRule="exact"/>
        <w:ind w:firstLine="550" w:firstLineChars="250"/>
        <w:rPr>
          <w:rFonts w:hint="eastAsia"/>
          <w:b/>
          <w:bCs/>
          <w:sz w:val="22"/>
          <w:szCs w:val="22"/>
          <w:u w:val="none"/>
        </w:rPr>
      </w:pPr>
      <w:r>
        <w:rPr>
          <w:rFonts w:hint="eastAsia" w:ascii="宋体" w:hAnsi="宋体" w:cs="宋体"/>
          <w:color w:val="auto"/>
          <w:sz w:val="22"/>
          <w:highlight w:val="none"/>
          <w:lang w:eastAsia="zh-CN"/>
        </w:rPr>
        <w:t>化学发光免疫分析系统耗材（试剂）及配套设备租赁</w:t>
      </w:r>
      <w:r>
        <w:rPr>
          <w:rFonts w:hint="eastAsia" w:ascii="宋体" w:hAnsi="宋体" w:eastAsia="宋体" w:cs="宋体"/>
          <w:color w:val="auto"/>
          <w:sz w:val="22"/>
          <w:highlight w:val="none"/>
        </w:rPr>
        <w:t>招标项目的潜在投标人应在浙江政府采购网获取（下载）招标文件，</w:t>
      </w:r>
      <w:r>
        <w:rPr>
          <w:rFonts w:hint="eastAsia" w:ascii="宋体" w:hAnsi="宋体" w:eastAsia="宋体" w:cs="宋体"/>
          <w:color w:val="000000" w:themeColor="text1"/>
          <w:sz w:val="22"/>
          <w:highlight w:val="none"/>
          <w14:textFill>
            <w14:solidFill>
              <w14:schemeClr w14:val="tx1"/>
            </w14:solidFill>
          </w14:textFill>
        </w:rPr>
        <w:t>并于</w:t>
      </w:r>
      <w:r>
        <w:rPr>
          <w:rFonts w:hint="eastAsia" w:ascii="宋体" w:hAnsi="宋体" w:cs="宋体"/>
          <w:color w:val="000000" w:themeColor="text1"/>
          <w:sz w:val="22"/>
          <w:highlight w:val="none"/>
          <w:lang w:eastAsia="zh-CN"/>
          <w14:textFill>
            <w14:solidFill>
              <w14:schemeClr w14:val="tx1"/>
            </w14:solidFill>
          </w14:textFill>
        </w:rPr>
        <w:t>2022年</w:t>
      </w:r>
      <w:r>
        <w:rPr>
          <w:rFonts w:hint="eastAsia" w:ascii="宋体" w:hAnsi="宋体" w:cs="宋体"/>
          <w:color w:val="000000" w:themeColor="text1"/>
          <w:sz w:val="22"/>
          <w:highlight w:val="none"/>
          <w:lang w:val="en-US" w:eastAsia="zh-CN"/>
          <w14:textFill>
            <w14:solidFill>
              <w14:schemeClr w14:val="tx1"/>
            </w14:solidFill>
          </w14:textFill>
        </w:rPr>
        <w:t>09</w:t>
      </w:r>
      <w:r>
        <w:rPr>
          <w:rFonts w:hint="eastAsia" w:ascii="宋体" w:hAnsi="宋体" w:eastAsia="宋体" w:cs="宋体"/>
          <w:color w:val="000000" w:themeColor="text1"/>
          <w:sz w:val="22"/>
          <w:highlight w:val="none"/>
          <w14:textFill>
            <w14:solidFill>
              <w14:schemeClr w14:val="tx1"/>
            </w14:solidFill>
          </w14:textFill>
        </w:rPr>
        <w:t>月</w:t>
      </w:r>
      <w:r>
        <w:rPr>
          <w:rFonts w:hint="eastAsia" w:ascii="宋体" w:hAnsi="宋体" w:cs="宋体"/>
          <w:color w:val="000000" w:themeColor="text1"/>
          <w:sz w:val="22"/>
          <w:highlight w:val="none"/>
          <w:lang w:val="en-US" w:eastAsia="zh-CN"/>
          <w14:textFill>
            <w14:solidFill>
              <w14:schemeClr w14:val="tx1"/>
            </w14:solidFill>
          </w14:textFill>
        </w:rPr>
        <w:t>30</w:t>
      </w:r>
      <w:r>
        <w:rPr>
          <w:rFonts w:hint="eastAsia" w:ascii="宋体" w:hAnsi="宋体" w:eastAsia="宋体" w:cs="宋体"/>
          <w:color w:val="000000" w:themeColor="text1"/>
          <w:sz w:val="22"/>
          <w:highlight w:val="none"/>
          <w14:textFill>
            <w14:solidFill>
              <w14:schemeClr w14:val="tx1"/>
            </w14:solidFill>
          </w14:textFill>
        </w:rPr>
        <w:t>日</w:t>
      </w:r>
      <w:r>
        <w:rPr>
          <w:rFonts w:hint="eastAsia" w:ascii="宋体" w:hAnsi="宋体" w:cs="宋体"/>
          <w:color w:val="000000" w:themeColor="text1"/>
          <w:sz w:val="22"/>
          <w:highlight w:val="none"/>
          <w:lang w:val="en-US" w:eastAsia="zh-CN"/>
          <w14:textFill>
            <w14:solidFill>
              <w14:schemeClr w14:val="tx1"/>
            </w14:solidFill>
          </w14:textFill>
        </w:rPr>
        <w:t>09</w:t>
      </w:r>
      <w:r>
        <w:rPr>
          <w:rFonts w:hint="eastAsia" w:ascii="宋体" w:hAnsi="宋体" w:eastAsia="宋体" w:cs="宋体"/>
          <w:color w:val="000000" w:themeColor="text1"/>
          <w:sz w:val="22"/>
          <w:highlight w:val="none"/>
          <w14:textFill>
            <w14:solidFill>
              <w14:schemeClr w14:val="tx1"/>
            </w14:solidFill>
          </w14:textFill>
        </w:rPr>
        <w:t>:30（北京时间）前递交（上传）投标文件。</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lang w:val="en-US" w:eastAsia="zh-CN"/>
        </w:rPr>
      </w:pPr>
      <w:r>
        <w:rPr>
          <w:rFonts w:hint="eastAsia"/>
          <w:b/>
          <w:bCs/>
          <w:sz w:val="22"/>
          <w:szCs w:val="22"/>
          <w:u w:val="none"/>
        </w:rPr>
        <w:t>一、项目基本情况</w:t>
      </w:r>
      <w:r>
        <w:rPr>
          <w:rFonts w:hint="eastAsia"/>
          <w:sz w:val="22"/>
          <w:szCs w:val="22"/>
          <w:u w:val="none"/>
          <w:lang w:val="en-US" w:eastAsia="zh-CN"/>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项目编号：</w:t>
      </w:r>
      <w:r>
        <w:rPr>
          <w:rFonts w:hint="eastAsia"/>
          <w:sz w:val="22"/>
          <w:szCs w:val="22"/>
          <w:u w:val="none"/>
          <w:lang w:eastAsia="zh-CN"/>
        </w:rPr>
        <w:t>WZLCZB（W）-2022-09416</w:t>
      </w:r>
      <w:r>
        <w:rPr>
          <w:rFonts w:hint="eastAsia"/>
          <w:sz w:val="22"/>
          <w:szCs w:val="22"/>
          <w:u w:val="none"/>
          <w:lang w:val="en-US" w:eastAsia="zh-CN"/>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eastAsia="zh-CN"/>
        </w:rPr>
      </w:pPr>
      <w:r>
        <w:rPr>
          <w:rFonts w:hint="eastAsia"/>
          <w:sz w:val="22"/>
          <w:szCs w:val="22"/>
          <w:u w:val="none"/>
          <w:lang w:val="en-US" w:eastAsia="zh-CN"/>
        </w:rPr>
        <w:t>项目名称：</w:t>
      </w:r>
      <w:r>
        <w:rPr>
          <w:rFonts w:hint="eastAsia"/>
          <w:sz w:val="22"/>
          <w:szCs w:val="22"/>
          <w:u w:val="none"/>
          <w:lang w:eastAsia="zh-CN"/>
        </w:rPr>
        <w:t>化学发光免疫分析系统耗材（试剂）及配套设备租赁</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ascii="新宋体" w:hAnsi="新宋体" w:eastAsia="新宋体" w:cs="新宋体"/>
          <w:color w:val="000000"/>
          <w:sz w:val="22"/>
          <w:highlight w:val="none"/>
        </w:rPr>
        <w:t>采购需求：</w:t>
      </w:r>
    </w:p>
    <w:tbl>
      <w:tblPr>
        <w:tblStyle w:val="53"/>
        <w:tblW w:w="96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7"/>
        <w:gridCol w:w="2909"/>
        <w:gridCol w:w="2900"/>
        <w:gridCol w:w="1659"/>
        <w:gridCol w:w="14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25"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序号</w:t>
            </w:r>
          </w:p>
        </w:tc>
        <w:tc>
          <w:tcPr>
            <w:tcW w:w="2909"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2900"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default" w:ascii="宋体" w:hAnsi="宋体" w:eastAsia="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lang w:val="en-US" w:eastAsia="zh-CN"/>
              </w:rPr>
              <w:t>项目内容</w:t>
            </w:r>
          </w:p>
        </w:tc>
        <w:tc>
          <w:tcPr>
            <w:tcW w:w="165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highlight w:val="none"/>
              </w:rPr>
              <w:t>预算金额</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rPr>
                <w:rFonts w:hint="eastAsia" w:ascii="宋体" w:hAnsi="宋体" w:eastAsia="宋体" w:cs="宋体"/>
                <w:color w:val="auto"/>
                <w:kern w:val="0"/>
                <w:sz w:val="22"/>
                <w:szCs w:val="22"/>
                <w:highlight w:val="none"/>
              </w:rPr>
            </w:pPr>
            <w:r>
              <w:rPr>
                <w:rFonts w:hint="eastAsia" w:ascii="新宋体" w:hAnsi="新宋体" w:eastAsia="新宋体" w:cs="新宋体"/>
                <w:color w:val="000000"/>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5" w:hRule="atLeast"/>
          <w:jc w:val="center"/>
        </w:trPr>
        <w:tc>
          <w:tcPr>
            <w:tcW w:w="667" w:type="dxa"/>
            <w:vMerge w:val="restart"/>
            <w:tcBorders>
              <w:top w:val="single" w:color="auto" w:sz="4" w:space="0"/>
              <w:left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909" w:type="dxa"/>
            <w:vMerge w:val="restart"/>
            <w:tcBorders>
              <w:top w:val="single" w:color="auto" w:sz="4" w:space="0"/>
              <w:left w:val="single" w:color="auto" w:sz="4" w:space="0"/>
              <w:bottom w:val="single" w:color="auto" w:sz="4" w:space="0"/>
              <w:right w:val="single" w:color="auto" w:sz="4" w:space="0"/>
            </w:tcBorders>
            <w:vAlign w:val="center"/>
          </w:tcPr>
          <w:p>
            <w:pPr>
              <w:tabs>
                <w:tab w:val="left" w:pos="360"/>
              </w:tabs>
              <w:spacing w:line="440" w:lineRule="exact"/>
              <w:jc w:val="center"/>
              <w:rPr>
                <w:rFonts w:hint="eastAsia" w:ascii="宋体" w:hAnsi="宋体" w:eastAsia="宋体" w:cs="宋体"/>
                <w:color w:val="auto"/>
                <w:sz w:val="22"/>
                <w:highlight w:val="none"/>
              </w:rPr>
            </w:pPr>
            <w:r>
              <w:rPr>
                <w:rFonts w:hint="eastAsia" w:ascii="新宋体" w:hAnsi="新宋体" w:eastAsia="新宋体" w:cs="新宋体"/>
                <w:bCs/>
                <w:color w:val="000000"/>
                <w:sz w:val="22"/>
                <w:szCs w:val="22"/>
                <w:highlight w:val="none"/>
              </w:rPr>
              <w:t>化学发光免疫分析系统耗材（试剂）及配套设备租赁</w:t>
            </w:r>
          </w:p>
        </w:tc>
        <w:tc>
          <w:tcPr>
            <w:tcW w:w="2900"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40" w:lineRule="exact"/>
              <w:jc w:val="center"/>
              <w:rPr>
                <w:rFonts w:hint="eastAsia" w:ascii="宋体" w:hAnsi="宋体" w:eastAsia="宋体" w:cs="宋体"/>
                <w:color w:val="auto"/>
                <w:sz w:val="22"/>
                <w:szCs w:val="22"/>
                <w:highlight w:val="none"/>
                <w:shd w:val="clear" w:color="auto" w:fill="FFFFFF"/>
                <w:lang w:val="en-US" w:eastAsia="zh-CN"/>
              </w:rPr>
            </w:pPr>
            <w:r>
              <w:rPr>
                <w:rFonts w:hint="eastAsia" w:ascii="新宋体" w:hAnsi="新宋体" w:eastAsia="新宋体" w:cs="新宋体"/>
                <w:bCs/>
                <w:color w:val="000000"/>
                <w:sz w:val="22"/>
                <w:szCs w:val="22"/>
                <w:highlight w:val="none"/>
              </w:rPr>
              <w:t>化学发光免疫分析系统耗材（试剂）</w:t>
            </w:r>
          </w:p>
        </w:tc>
        <w:tc>
          <w:tcPr>
            <w:tcW w:w="16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default" w:ascii="宋体" w:hAnsi="宋体" w:eastAsia="宋体" w:cs="宋体"/>
                <w:color w:val="auto"/>
                <w:sz w:val="22"/>
                <w:szCs w:val="22"/>
                <w:highlight w:val="none"/>
                <w:shd w:val="clear" w:color="auto" w:fill="FFFFFF"/>
                <w:lang w:val="en-US" w:eastAsia="zh-CN"/>
              </w:rPr>
            </w:pPr>
            <w:r>
              <w:rPr>
                <w:rFonts w:hint="eastAsia" w:ascii="新宋体" w:hAnsi="新宋体" w:eastAsia="新宋体" w:cs="新宋体"/>
                <w:color w:val="000000"/>
                <w:sz w:val="22"/>
                <w:szCs w:val="22"/>
                <w:highlight w:val="none"/>
              </w:rPr>
              <w:t>450000元</w:t>
            </w:r>
          </w:p>
        </w:tc>
        <w:tc>
          <w:tcPr>
            <w:tcW w:w="1477" w:type="dxa"/>
            <w:vMerge w:val="restart"/>
            <w:tcBorders>
              <w:top w:val="single" w:color="auto" w:sz="4" w:space="0"/>
              <w:left w:val="single" w:color="auto" w:sz="4" w:space="0"/>
              <w:right w:val="single" w:color="auto" w:sz="4" w:space="0"/>
            </w:tcBorders>
            <w:vAlign w:val="center"/>
          </w:tcPr>
          <w:p>
            <w:pPr>
              <w:shd w:val="clear" w:color="auto" w:fill="FFFFFF"/>
              <w:snapToGrid w:val="0"/>
              <w:spacing w:line="440" w:lineRule="exact"/>
              <w:jc w:val="center"/>
              <w:rPr>
                <w:rFonts w:hint="eastAsia" w:ascii="宋体" w:hAnsi="宋体" w:eastAsia="宋体" w:cs="宋体"/>
                <w:color w:val="auto"/>
                <w:sz w:val="22"/>
                <w:szCs w:val="22"/>
                <w:highlight w:val="none"/>
              </w:rPr>
            </w:pPr>
            <w:r>
              <w:rPr>
                <w:rFonts w:hint="eastAsia" w:ascii="新宋体" w:hAnsi="新宋体" w:eastAsia="新宋体" w:cs="新宋体"/>
                <w:color w:val="000000"/>
                <w:sz w:val="22"/>
                <w:szCs w:val="22"/>
                <w:highlight w:val="none"/>
                <w:lang w:val="en-US" w:eastAsia="zh-CN"/>
              </w:rPr>
              <w:t>不</w:t>
            </w:r>
            <w:r>
              <w:rPr>
                <w:rFonts w:hint="eastAsia" w:ascii="新宋体" w:hAnsi="新宋体" w:eastAsia="新宋体" w:cs="新宋体"/>
                <w:color w:val="000000"/>
                <w:sz w:val="22"/>
                <w:szCs w:val="22"/>
                <w:highlight w:val="none"/>
              </w:rPr>
              <w:t>允许进口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667" w:type="dxa"/>
            <w:vMerge w:val="continue"/>
            <w:tcBorders>
              <w:left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p>
        </w:tc>
        <w:tc>
          <w:tcPr>
            <w:tcW w:w="2909" w:type="dxa"/>
            <w:vMerge w:val="continue"/>
            <w:tcBorders>
              <w:top w:val="single" w:color="auto" w:sz="4" w:space="0"/>
              <w:left w:val="single" w:color="auto" w:sz="4" w:space="0"/>
              <w:right w:val="single" w:color="auto" w:sz="4" w:space="0"/>
            </w:tcBorders>
            <w:vAlign w:val="center"/>
          </w:tcPr>
          <w:p>
            <w:pPr>
              <w:tabs>
                <w:tab w:val="left" w:pos="360"/>
              </w:tabs>
              <w:spacing w:line="440" w:lineRule="exact"/>
              <w:jc w:val="center"/>
              <w:rPr>
                <w:rFonts w:hint="eastAsia" w:ascii="宋体" w:hAnsi="宋体" w:cs="宋体"/>
                <w:color w:val="auto"/>
                <w:sz w:val="22"/>
                <w:highlight w:val="none"/>
                <w:lang w:eastAsia="zh-CN"/>
              </w:rPr>
            </w:pPr>
          </w:p>
        </w:tc>
        <w:tc>
          <w:tcPr>
            <w:tcW w:w="2900"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40" w:lineRule="exact"/>
              <w:jc w:val="center"/>
              <w:rPr>
                <w:rFonts w:hint="eastAsia" w:ascii="宋体" w:hAnsi="宋体" w:eastAsia="宋体" w:cs="宋体"/>
                <w:color w:val="auto"/>
                <w:sz w:val="22"/>
                <w:szCs w:val="22"/>
                <w:highlight w:val="none"/>
                <w:shd w:val="clear" w:color="auto" w:fill="FFFFFF"/>
                <w:lang w:val="en-US" w:eastAsia="zh-CN"/>
              </w:rPr>
            </w:pPr>
            <w:r>
              <w:rPr>
                <w:rFonts w:hint="eastAsia" w:ascii="新宋体" w:hAnsi="新宋体" w:eastAsia="新宋体" w:cs="新宋体"/>
                <w:bCs/>
                <w:color w:val="000000"/>
                <w:sz w:val="22"/>
                <w:szCs w:val="22"/>
                <w:highlight w:val="none"/>
              </w:rPr>
              <w:t>配套设备租赁</w:t>
            </w:r>
          </w:p>
        </w:tc>
        <w:tc>
          <w:tcPr>
            <w:tcW w:w="1659" w:type="dxa"/>
            <w:tcBorders>
              <w:top w:val="single" w:color="auto" w:sz="4" w:space="0"/>
              <w:left w:val="single" w:color="auto" w:sz="4" w:space="0"/>
              <w:right w:val="single" w:color="auto" w:sz="4" w:space="0"/>
            </w:tcBorders>
            <w:shd w:val="clear" w:color="auto" w:fill="auto"/>
            <w:vAlign w:val="center"/>
          </w:tcPr>
          <w:p>
            <w:pPr>
              <w:spacing w:line="460" w:lineRule="exact"/>
              <w:jc w:val="center"/>
              <w:rPr>
                <w:rFonts w:hint="default" w:ascii="宋体" w:hAnsi="宋体" w:eastAsia="宋体" w:cs="宋体"/>
                <w:color w:val="auto"/>
                <w:sz w:val="22"/>
                <w:szCs w:val="22"/>
                <w:highlight w:val="none"/>
                <w:shd w:val="clear" w:color="auto" w:fill="FFFFFF"/>
                <w:lang w:val="en-US" w:eastAsia="zh-CN"/>
              </w:rPr>
            </w:pPr>
            <w:r>
              <w:rPr>
                <w:rFonts w:hint="eastAsia" w:ascii="新宋体" w:hAnsi="新宋体" w:eastAsia="新宋体" w:cs="新宋体"/>
                <w:color w:val="000000"/>
                <w:sz w:val="22"/>
                <w:szCs w:val="22"/>
                <w:highlight w:val="none"/>
              </w:rPr>
              <w:t>3000元/年</w:t>
            </w:r>
          </w:p>
        </w:tc>
        <w:tc>
          <w:tcPr>
            <w:tcW w:w="1477" w:type="dxa"/>
            <w:vMerge w:val="continue"/>
            <w:tcBorders>
              <w:left w:val="single" w:color="auto" w:sz="4" w:space="0"/>
              <w:right w:val="single" w:color="auto" w:sz="4" w:space="0"/>
            </w:tcBorders>
            <w:vAlign w:val="center"/>
          </w:tcPr>
          <w:p>
            <w:pPr>
              <w:shd w:val="clear" w:color="auto" w:fill="FFFFFF"/>
              <w:snapToGrid w:val="0"/>
              <w:spacing w:line="460" w:lineRule="exact"/>
              <w:jc w:val="center"/>
              <w:rPr>
                <w:rFonts w:hint="eastAsia" w:ascii="宋体" w:hAnsi="宋体" w:eastAsia="宋体" w:cs="宋体"/>
                <w:color w:val="auto"/>
                <w:sz w:val="22"/>
                <w:szCs w:val="22"/>
                <w:highlight w:val="none"/>
              </w:rPr>
            </w:pPr>
          </w:p>
        </w:tc>
      </w:tr>
    </w:tbl>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sz w:val="22"/>
          <w:szCs w:val="22"/>
          <w:u w:val="none"/>
          <w:lang w:val="en-US" w:eastAsia="zh-CN"/>
        </w:rPr>
      </w:pPr>
      <w:r>
        <w:rPr>
          <w:rFonts w:hint="eastAsia" w:ascii="宋体" w:hAnsi="宋体" w:eastAsia="宋体" w:cs="宋体"/>
          <w:color w:val="auto"/>
          <w:kern w:val="0"/>
          <w:sz w:val="22"/>
          <w:szCs w:val="22"/>
          <w:highlight w:val="none"/>
        </w:rPr>
        <w:t>简要技术要求、用途</w:t>
      </w:r>
      <w:r>
        <w:rPr>
          <w:rFonts w:hint="eastAsia" w:cs="宋体"/>
          <w:color w:val="auto"/>
          <w:kern w:val="0"/>
          <w:sz w:val="22"/>
          <w:szCs w:val="22"/>
          <w:highlight w:val="none"/>
          <w:lang w:eastAsia="zh-CN"/>
        </w:rPr>
        <w:t>：</w:t>
      </w:r>
      <w:r>
        <w:rPr>
          <w:rFonts w:hint="eastAsia" w:ascii="宋体" w:hAnsi="宋体" w:eastAsia="宋体" w:cs="宋体"/>
          <w:color w:val="auto"/>
          <w:sz w:val="22"/>
          <w:szCs w:val="22"/>
          <w:highlight w:val="none"/>
        </w:rPr>
        <w:t>详见招标文件第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部分“项目技术规范和服务要求”</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合同履约期限：标项 1，具体详见招标文件</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lang w:val="en-US" w:eastAsia="zh-CN"/>
        </w:rPr>
        <w:t>本项目（否）接受联合体投标。</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lang w:val="en-US" w:eastAsia="zh-CN"/>
        </w:rPr>
      </w:pPr>
      <w:r>
        <w:rPr>
          <w:rFonts w:hint="eastAsia"/>
          <w:b/>
          <w:bCs/>
          <w:sz w:val="22"/>
          <w:szCs w:val="22"/>
          <w:u w:val="none"/>
          <w:lang w:val="en-US" w:eastAsia="zh-CN"/>
        </w:rPr>
        <w:t>二、申请人的资格要求：</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2.落实政府采购政策需满足的资格要求：无 </w:t>
      </w:r>
    </w:p>
    <w:p>
      <w:pPr>
        <w:tabs>
          <w:tab w:val="left" w:pos="360"/>
        </w:tabs>
        <w:spacing w:line="460" w:lineRule="exact"/>
        <w:ind w:firstLine="440" w:firstLineChars="200"/>
        <w:rPr>
          <w:rFonts w:hint="eastAsia"/>
          <w:sz w:val="22"/>
          <w:szCs w:val="22"/>
          <w:u w:val="none"/>
          <w:lang w:val="en-US" w:eastAsia="zh-CN"/>
        </w:rPr>
      </w:pPr>
      <w:r>
        <w:rPr>
          <w:rFonts w:hint="eastAsia"/>
          <w:sz w:val="22"/>
          <w:szCs w:val="22"/>
          <w:u w:val="none"/>
          <w:lang w:val="en-US" w:eastAsia="zh-CN"/>
        </w:rPr>
        <w:t>3.本项目的特定资格要求：</w:t>
      </w:r>
      <w:r>
        <w:rPr>
          <w:rFonts w:hint="eastAsia" w:ascii="Times New Roman" w:hAnsi="Times New Roman" w:eastAsia="新宋体"/>
          <w:sz w:val="22"/>
          <w:szCs w:val="22"/>
          <w:lang w:val="en-US" w:eastAsia="zh-CN"/>
        </w:rPr>
        <w:t>①</w:t>
      </w:r>
      <w:r>
        <w:rPr>
          <w:rFonts w:ascii="Times New Roman" w:hAnsi="Times New Roman" w:eastAsia="新宋体"/>
          <w:sz w:val="22"/>
          <w:szCs w:val="22"/>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w:t>
      </w:r>
      <w:r>
        <w:rPr>
          <w:rFonts w:hint="eastAsia" w:ascii="Times New Roman" w:hAnsi="Times New Roman" w:eastAsia="新宋体"/>
          <w:sz w:val="22"/>
          <w:szCs w:val="22"/>
          <w:lang w:val="en-US" w:eastAsia="zh-CN"/>
        </w:rPr>
        <w:t>②</w:t>
      </w:r>
      <w:r>
        <w:rPr>
          <w:rFonts w:ascii="Times New Roman" w:hAnsi="Times New Roman" w:eastAsia="新宋体"/>
          <w:sz w:val="22"/>
          <w:szCs w:val="22"/>
        </w:rPr>
        <w:t>提供食品药品监督管理部门核发的完整有效的医疗器械注册或备案证明；（适用于按医疗器械管理的设备）</w:t>
      </w:r>
      <w:r>
        <w:rPr>
          <w:rFonts w:hint="eastAsia" w:ascii="Times New Roman" w:hAnsi="Times New Roman" w:eastAsia="新宋体"/>
          <w:sz w:val="22"/>
          <w:szCs w:val="22"/>
          <w:lang w:val="en-US" w:eastAsia="zh-CN"/>
        </w:rPr>
        <w:t>③</w:t>
      </w:r>
      <w:r>
        <w:rPr>
          <w:rFonts w:ascii="Times New Roman" w:hAnsi="Times New Roman" w:eastAsia="新宋体"/>
          <w:sz w:val="22"/>
          <w:szCs w:val="22"/>
        </w:rPr>
        <w:t>货物制造商或其它有销售资格（提供证明材料）的供应商出具的授权书（适用于投标人是进口货物代理商的情形）；</w:t>
      </w:r>
      <w:r>
        <w:rPr>
          <w:rFonts w:hint="eastAsia"/>
          <w:sz w:val="22"/>
          <w:szCs w:val="22"/>
          <w:u w:val="none"/>
          <w:lang w:val="en-US" w:eastAsia="zh-CN"/>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三、获取招标文件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时间：</w:t>
      </w:r>
      <w:r>
        <w:rPr>
          <w:rFonts w:hint="eastAsia" w:cs="宋体"/>
          <w:color w:val="000000" w:themeColor="text1"/>
          <w:sz w:val="22"/>
          <w:highlight w:val="none"/>
          <w:lang w:val="en-US" w:eastAsia="zh-CN"/>
          <w14:textFill>
            <w14:solidFill>
              <w14:schemeClr w14:val="tx1"/>
            </w14:solidFill>
          </w14:textFill>
        </w:rPr>
        <w:t>2022年09月09日</w:t>
      </w:r>
      <w:r>
        <w:rPr>
          <w:rFonts w:hint="eastAsia"/>
          <w:sz w:val="22"/>
          <w:szCs w:val="22"/>
          <w:u w:val="none"/>
        </w:rPr>
        <w:t>至</w:t>
      </w:r>
      <w:r>
        <w:rPr>
          <w:rFonts w:hint="eastAsia" w:ascii="宋体" w:hAnsi="宋体" w:cs="宋体"/>
          <w:color w:val="000000" w:themeColor="text1"/>
          <w:sz w:val="22"/>
          <w:highlight w:val="none"/>
          <w:lang w:eastAsia="zh-CN"/>
          <w14:textFill>
            <w14:solidFill>
              <w14:schemeClr w14:val="tx1"/>
            </w14:solidFill>
          </w14:textFill>
        </w:rPr>
        <w:t>2022年</w:t>
      </w:r>
      <w:r>
        <w:rPr>
          <w:rFonts w:hint="eastAsia" w:cs="宋体"/>
          <w:color w:val="000000" w:themeColor="text1"/>
          <w:sz w:val="22"/>
          <w:highlight w:val="none"/>
          <w:lang w:val="en-US" w:eastAsia="zh-CN"/>
          <w14:textFill>
            <w14:solidFill>
              <w14:schemeClr w14:val="tx1"/>
            </w14:solidFill>
          </w14:textFill>
        </w:rPr>
        <w:t>09</w:t>
      </w:r>
      <w:r>
        <w:rPr>
          <w:rFonts w:hint="eastAsia" w:ascii="宋体" w:hAnsi="宋体" w:eastAsia="宋体" w:cs="宋体"/>
          <w:color w:val="000000" w:themeColor="text1"/>
          <w:sz w:val="22"/>
          <w:highlight w:val="none"/>
          <w14:textFill>
            <w14:solidFill>
              <w14:schemeClr w14:val="tx1"/>
            </w14:solidFill>
          </w14:textFill>
        </w:rPr>
        <w:t>月</w:t>
      </w:r>
      <w:r>
        <w:rPr>
          <w:rFonts w:hint="eastAsia" w:cs="宋体"/>
          <w:color w:val="000000" w:themeColor="text1"/>
          <w:sz w:val="22"/>
          <w:highlight w:val="none"/>
          <w:lang w:val="en-US" w:eastAsia="zh-CN"/>
          <w14:textFill>
            <w14:solidFill>
              <w14:schemeClr w14:val="tx1"/>
            </w14:solidFill>
          </w14:textFill>
        </w:rPr>
        <w:t>30</w:t>
      </w:r>
      <w:r>
        <w:rPr>
          <w:rFonts w:hint="eastAsia" w:ascii="宋体" w:hAnsi="宋体" w:eastAsia="宋体" w:cs="宋体"/>
          <w:color w:val="000000" w:themeColor="text1"/>
          <w:sz w:val="22"/>
          <w:highlight w:val="none"/>
          <w14:textFill>
            <w14:solidFill>
              <w14:schemeClr w14:val="tx1"/>
            </w14:solidFill>
          </w14:textFill>
        </w:rPr>
        <w:t>日</w:t>
      </w:r>
      <w:r>
        <w:rPr>
          <w:rFonts w:hint="eastAsia"/>
          <w:sz w:val="22"/>
          <w:szCs w:val="22"/>
          <w:u w:val="none"/>
        </w:rPr>
        <w:t>，每天上午00:00至12:00，下午12:00至23:59（北京时间，线上获取法定节假日均可，线下获取文件法定节假日除外）</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地点（网址）：浙江政府采购网（https://zfcg.czt.zj.gov.cn/）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方式：供应商登录政采云平台https://www.zcygov.cn/在线申请获取采购文件（进入“项目采购”应用，在获取采购文件菜单中选择项目，申请获取采购文件）</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售价（元）：0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四、提交投标文件截止时间、开标时间和地点</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提交投标文件截止时间：</w:t>
      </w:r>
      <w:r>
        <w:rPr>
          <w:rFonts w:hint="eastAsia" w:ascii="宋体" w:hAnsi="宋体" w:cs="宋体"/>
          <w:color w:val="000000" w:themeColor="text1"/>
          <w:sz w:val="22"/>
          <w:highlight w:val="none"/>
          <w:lang w:eastAsia="zh-CN"/>
          <w14:textFill>
            <w14:solidFill>
              <w14:schemeClr w14:val="tx1"/>
            </w14:solidFill>
          </w14:textFill>
        </w:rPr>
        <w:t>2022年</w:t>
      </w:r>
      <w:r>
        <w:rPr>
          <w:rFonts w:hint="eastAsia" w:cs="宋体"/>
          <w:color w:val="000000" w:themeColor="text1"/>
          <w:sz w:val="22"/>
          <w:highlight w:val="none"/>
          <w:lang w:val="en-US" w:eastAsia="zh-CN"/>
          <w14:textFill>
            <w14:solidFill>
              <w14:schemeClr w14:val="tx1"/>
            </w14:solidFill>
          </w14:textFill>
        </w:rPr>
        <w:t>09</w:t>
      </w:r>
      <w:r>
        <w:rPr>
          <w:rFonts w:hint="eastAsia" w:ascii="宋体" w:hAnsi="宋体" w:eastAsia="宋体" w:cs="宋体"/>
          <w:color w:val="000000" w:themeColor="text1"/>
          <w:sz w:val="22"/>
          <w:highlight w:val="none"/>
          <w14:textFill>
            <w14:solidFill>
              <w14:schemeClr w14:val="tx1"/>
            </w14:solidFill>
          </w14:textFill>
        </w:rPr>
        <w:t>月</w:t>
      </w:r>
      <w:r>
        <w:rPr>
          <w:rFonts w:hint="eastAsia" w:cs="宋体"/>
          <w:color w:val="000000" w:themeColor="text1"/>
          <w:sz w:val="22"/>
          <w:highlight w:val="none"/>
          <w:lang w:val="en-US" w:eastAsia="zh-CN"/>
          <w14:textFill>
            <w14:solidFill>
              <w14:schemeClr w14:val="tx1"/>
            </w14:solidFill>
          </w14:textFill>
        </w:rPr>
        <w:t>30</w:t>
      </w:r>
      <w:r>
        <w:rPr>
          <w:rFonts w:hint="eastAsia" w:ascii="宋体" w:hAnsi="宋体" w:eastAsia="宋体" w:cs="宋体"/>
          <w:color w:val="000000" w:themeColor="text1"/>
          <w:sz w:val="22"/>
          <w:highlight w:val="none"/>
          <w14:textFill>
            <w14:solidFill>
              <w14:schemeClr w14:val="tx1"/>
            </w14:solidFill>
          </w14:textFill>
        </w:rPr>
        <w:t>日</w:t>
      </w:r>
      <w:r>
        <w:rPr>
          <w:rFonts w:hint="eastAsia" w:cs="宋体"/>
          <w:color w:val="000000" w:themeColor="text1"/>
          <w:sz w:val="22"/>
          <w:highlight w:val="none"/>
          <w:lang w:val="en-US" w:eastAsia="zh-CN"/>
          <w14:textFill>
            <w14:solidFill>
              <w14:schemeClr w14:val="tx1"/>
            </w14:solidFill>
          </w14:textFill>
        </w:rPr>
        <w:t>09</w:t>
      </w:r>
      <w:r>
        <w:rPr>
          <w:rFonts w:hint="eastAsia" w:ascii="宋体" w:hAnsi="宋体" w:eastAsia="宋体" w:cs="宋体"/>
          <w:color w:val="000000" w:themeColor="text1"/>
          <w:sz w:val="22"/>
          <w:highlight w:val="none"/>
          <w14:textFill>
            <w14:solidFill>
              <w14:schemeClr w14:val="tx1"/>
            </w14:solidFill>
          </w14:textFill>
        </w:rPr>
        <w:t>:30</w:t>
      </w:r>
      <w:r>
        <w:rPr>
          <w:rFonts w:hint="eastAsia"/>
          <w:sz w:val="22"/>
          <w:szCs w:val="22"/>
          <w:u w:val="none"/>
        </w:rPr>
        <w:t>（北京时间）</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投标地点（网址）：</w:t>
      </w:r>
      <w:r>
        <w:rPr>
          <w:rFonts w:hint="eastAsia" w:ascii="宋体" w:hAnsi="宋体" w:eastAsia="宋体" w:cs="宋体"/>
          <w:color w:val="auto"/>
          <w:sz w:val="22"/>
          <w:highlight w:val="none"/>
          <w:lang w:val="en-US" w:eastAsia="zh-CN"/>
        </w:rPr>
        <w:t>温州市鹿城区学院中路229号三想集团5楼（政采云平台：http://zfcg.czt.zj.gov.cn）</w:t>
      </w:r>
      <w:r>
        <w:rPr>
          <w:rFonts w:hint="eastAsia"/>
          <w:sz w:val="22"/>
          <w:szCs w:val="22"/>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开标时间：</w:t>
      </w:r>
      <w:r>
        <w:rPr>
          <w:rFonts w:hint="eastAsia" w:ascii="宋体" w:hAnsi="宋体" w:cs="宋体"/>
          <w:color w:val="000000" w:themeColor="text1"/>
          <w:sz w:val="22"/>
          <w:highlight w:val="none"/>
          <w:lang w:eastAsia="zh-CN"/>
          <w14:textFill>
            <w14:solidFill>
              <w14:schemeClr w14:val="tx1"/>
            </w14:solidFill>
          </w14:textFill>
        </w:rPr>
        <w:t>2022年</w:t>
      </w:r>
      <w:r>
        <w:rPr>
          <w:rFonts w:hint="eastAsia" w:cs="宋体"/>
          <w:color w:val="000000" w:themeColor="text1"/>
          <w:sz w:val="22"/>
          <w:highlight w:val="none"/>
          <w:lang w:val="en-US" w:eastAsia="zh-CN"/>
          <w14:textFill>
            <w14:solidFill>
              <w14:schemeClr w14:val="tx1"/>
            </w14:solidFill>
          </w14:textFill>
        </w:rPr>
        <w:t>09</w:t>
      </w:r>
      <w:r>
        <w:rPr>
          <w:rFonts w:hint="eastAsia" w:ascii="宋体" w:hAnsi="宋体" w:eastAsia="宋体" w:cs="宋体"/>
          <w:color w:val="000000" w:themeColor="text1"/>
          <w:sz w:val="22"/>
          <w:highlight w:val="none"/>
          <w14:textFill>
            <w14:solidFill>
              <w14:schemeClr w14:val="tx1"/>
            </w14:solidFill>
          </w14:textFill>
        </w:rPr>
        <w:t>月</w:t>
      </w:r>
      <w:r>
        <w:rPr>
          <w:rFonts w:hint="eastAsia" w:cs="宋体"/>
          <w:color w:val="000000" w:themeColor="text1"/>
          <w:sz w:val="22"/>
          <w:highlight w:val="none"/>
          <w:lang w:val="en-US" w:eastAsia="zh-CN"/>
          <w14:textFill>
            <w14:solidFill>
              <w14:schemeClr w14:val="tx1"/>
            </w14:solidFill>
          </w14:textFill>
        </w:rPr>
        <w:t>30</w:t>
      </w:r>
      <w:r>
        <w:rPr>
          <w:rFonts w:hint="eastAsia" w:ascii="宋体" w:hAnsi="宋体" w:eastAsia="宋体" w:cs="宋体"/>
          <w:color w:val="000000" w:themeColor="text1"/>
          <w:sz w:val="22"/>
          <w:highlight w:val="none"/>
          <w14:textFill>
            <w14:solidFill>
              <w14:schemeClr w14:val="tx1"/>
            </w14:solidFill>
          </w14:textFill>
        </w:rPr>
        <w:t>日</w:t>
      </w:r>
      <w:r>
        <w:rPr>
          <w:rFonts w:hint="eastAsia" w:cs="宋体"/>
          <w:color w:val="000000" w:themeColor="text1"/>
          <w:sz w:val="22"/>
          <w:highlight w:val="none"/>
          <w:lang w:val="en-US" w:eastAsia="zh-CN"/>
          <w14:textFill>
            <w14:solidFill>
              <w14:schemeClr w14:val="tx1"/>
            </w14:solidFill>
          </w14:textFill>
        </w:rPr>
        <w:t>09</w:t>
      </w:r>
      <w:r>
        <w:rPr>
          <w:rFonts w:hint="eastAsia" w:ascii="宋体" w:hAnsi="宋体" w:eastAsia="宋体" w:cs="宋体"/>
          <w:color w:val="000000" w:themeColor="text1"/>
          <w:sz w:val="22"/>
          <w:highlight w:val="none"/>
          <w14:textFill>
            <w14:solidFill>
              <w14:schemeClr w14:val="tx1"/>
            </w14:solidFill>
          </w14:textFill>
        </w:rPr>
        <w:t>:30</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开标地点（网址）：</w:t>
      </w:r>
      <w:r>
        <w:rPr>
          <w:rFonts w:hint="eastAsia" w:ascii="宋体" w:hAnsi="宋体" w:eastAsia="宋体" w:cs="宋体"/>
          <w:color w:val="auto"/>
          <w:sz w:val="22"/>
          <w:highlight w:val="none"/>
          <w:lang w:val="en-US" w:eastAsia="zh-CN"/>
        </w:rPr>
        <w:t>温州市鹿城区学院中路229号三想集团5楼（政采云平台：http://zfcg.czt.zj.gov.cn）</w:t>
      </w:r>
      <w:r>
        <w:rPr>
          <w:rFonts w:hint="eastAsia"/>
          <w:sz w:val="22"/>
          <w:szCs w:val="22"/>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rPr>
      </w:pPr>
      <w:r>
        <w:rPr>
          <w:rFonts w:hint="eastAsia"/>
          <w:b/>
          <w:bCs/>
          <w:sz w:val="22"/>
          <w:szCs w:val="22"/>
          <w:u w:val="none"/>
        </w:rPr>
        <w:t>五、公告期限</w:t>
      </w:r>
      <w:r>
        <w:rPr>
          <w:rFonts w:hint="eastAsia"/>
          <w:sz w:val="22"/>
          <w:szCs w:val="22"/>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自本公告发布之日起5个工作日。</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六、其他补充事宜</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sz w:val="22"/>
          <w:szCs w:val="22"/>
          <w:u w:val="none"/>
          <w:lang w:val="en-US" w:eastAsia="zh-CN"/>
        </w:rPr>
      </w:pPr>
      <w:r>
        <w:rPr>
          <w:rFonts w:hint="eastAsia" w:ascii="宋体" w:hAnsi="宋体" w:eastAsia="宋体" w:cs="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1.采购人信息</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sz w:val="22"/>
          <w:szCs w:val="22"/>
          <w:u w:val="none"/>
          <w:lang w:eastAsia="zh-CN"/>
        </w:rPr>
      </w:pPr>
      <w:r>
        <w:rPr>
          <w:rFonts w:hint="eastAsia"/>
          <w:sz w:val="22"/>
          <w:szCs w:val="22"/>
          <w:u w:val="none"/>
        </w:rPr>
        <w:t>名  称：</w:t>
      </w:r>
      <w:r>
        <w:rPr>
          <w:rFonts w:hint="eastAsia"/>
          <w:sz w:val="22"/>
          <w:szCs w:val="22"/>
          <w:u w:val="none"/>
          <w:lang w:eastAsia="zh-CN"/>
        </w:rPr>
        <w:t>温州市中医院</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地  址：</w:t>
      </w:r>
      <w:r>
        <w:rPr>
          <w:rFonts w:hint="eastAsia" w:ascii="宋体" w:hAnsi="宋体" w:eastAsia="宋体" w:cs="宋体"/>
          <w:i w:val="0"/>
          <w:iCs w:val="0"/>
          <w:caps w:val="0"/>
          <w:spacing w:val="0"/>
          <w:sz w:val="22"/>
          <w:szCs w:val="22"/>
          <w:shd w:val="clear" w:fill="FFFFFF"/>
        </w:rPr>
        <w:t>温州市六虹桥蛟尾路9号</w:t>
      </w:r>
      <w:r>
        <w:rPr>
          <w:rFonts w:hint="eastAsia"/>
          <w:sz w:val="22"/>
          <w:szCs w:val="22"/>
          <w:u w:val="none"/>
        </w:rPr>
        <w:t xml:space="preserve">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传  真：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项目联系人（询问）：</w:t>
      </w:r>
      <w:r>
        <w:rPr>
          <w:rFonts w:hint="eastAsia" w:cs="宋体"/>
          <w:i w:val="0"/>
          <w:iCs w:val="0"/>
          <w:caps w:val="0"/>
          <w:spacing w:val="0"/>
          <w:sz w:val="22"/>
          <w:szCs w:val="22"/>
          <w:shd w:val="clear" w:fill="FFFFFF"/>
          <w:lang w:val="en-US" w:eastAsia="zh-CN"/>
        </w:rPr>
        <w:t>徐</w:t>
      </w:r>
      <w:r>
        <w:rPr>
          <w:rFonts w:hint="eastAsia" w:ascii="宋体" w:hAnsi="宋体" w:eastAsia="宋体" w:cs="宋体"/>
          <w:i w:val="0"/>
          <w:iCs w:val="0"/>
          <w:caps w:val="0"/>
          <w:spacing w:val="0"/>
          <w:sz w:val="22"/>
          <w:szCs w:val="22"/>
          <w:shd w:val="clear" w:fill="FFFFFF"/>
        </w:rPr>
        <w:t>先生</w:t>
      </w:r>
      <w:r>
        <w:rPr>
          <w:rFonts w:hint="eastAsia"/>
          <w:sz w:val="22"/>
          <w:szCs w:val="22"/>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项目联系方式（询问）：0577-56671591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rPr>
      </w:pPr>
      <w:r>
        <w:rPr>
          <w:rFonts w:hint="eastAsia"/>
          <w:sz w:val="22"/>
          <w:szCs w:val="22"/>
          <w:u w:val="none"/>
        </w:rPr>
        <w:t>  2.采购代理机构信息</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名  称：</w:t>
      </w:r>
      <w:r>
        <w:rPr>
          <w:rFonts w:hint="eastAsia"/>
          <w:sz w:val="22"/>
          <w:szCs w:val="22"/>
          <w:u w:val="none"/>
          <w:lang w:val="en-US" w:eastAsia="zh-CN"/>
        </w:rPr>
        <w:t>温州历程招标有限公司</w:t>
      </w:r>
      <w:r>
        <w:rPr>
          <w:rFonts w:hint="eastAsia"/>
          <w:sz w:val="22"/>
          <w:szCs w:val="22"/>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地  址：</w:t>
      </w:r>
      <w:r>
        <w:rPr>
          <w:rFonts w:hint="eastAsia"/>
          <w:sz w:val="22"/>
          <w:szCs w:val="22"/>
          <w:lang w:eastAsia="zh-CN"/>
        </w:rPr>
        <w:t>温州市鹿城区学院中路229号三想集团5楼</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 xml:space="preserve">传  真：0577-89887255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项目联系人（询问）： 郑永强、温碧霞</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项目联系方式（询问）：0577-89887322、13757727199</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sz w:val="22"/>
          <w:szCs w:val="22"/>
          <w:u w:val="none"/>
          <w:lang w:val="en-US" w:eastAsia="zh-CN"/>
        </w:rPr>
      </w:pPr>
      <w:r>
        <w:rPr>
          <w:rFonts w:hint="eastAsia"/>
          <w:sz w:val="22"/>
          <w:szCs w:val="22"/>
          <w:u w:val="none"/>
        </w:rPr>
        <w:t>质疑联系人：</w:t>
      </w:r>
      <w:r>
        <w:rPr>
          <w:rFonts w:hint="eastAsia"/>
          <w:sz w:val="22"/>
          <w:szCs w:val="22"/>
          <w:u w:val="none"/>
          <w:lang w:val="en-US" w:eastAsia="zh-CN"/>
        </w:rPr>
        <w:t>肖忠文</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质疑联系方式：13757727199 </w:t>
      </w:r>
    </w:p>
    <w:p>
      <w:pPr>
        <w:pStyle w:val="48"/>
        <w:keepNext w:val="0"/>
        <w:keepLines w:val="0"/>
        <w:pageBreakBefore w:val="0"/>
        <w:numPr>
          <w:ilvl w:val="0"/>
          <w:numId w:val="4"/>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采购监督管理部门</w:t>
      </w:r>
    </w:p>
    <w:p>
      <w:pPr>
        <w:pStyle w:val="4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名 </w:t>
      </w:r>
      <w:r>
        <w:rPr>
          <w:rFonts w:hint="eastAsia"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称：</w:t>
      </w:r>
      <w:r>
        <w:rPr>
          <w:rFonts w:hint="eastAsia" w:cs="宋体"/>
          <w:color w:val="auto"/>
          <w:sz w:val="22"/>
          <w:szCs w:val="22"/>
          <w:highlight w:val="none"/>
          <w:u w:val="none"/>
          <w:lang w:eastAsia="zh-CN"/>
        </w:rPr>
        <w:t>温州市中医院</w:t>
      </w:r>
      <w:r>
        <w:rPr>
          <w:rFonts w:hint="eastAsia" w:ascii="宋体" w:hAnsi="宋体" w:eastAsia="宋体" w:cs="宋体"/>
          <w:color w:val="auto"/>
          <w:sz w:val="22"/>
          <w:szCs w:val="22"/>
          <w:highlight w:val="none"/>
          <w:u w:val="none"/>
          <w:lang w:eastAsia="zh-CN"/>
        </w:rPr>
        <w:t>监察室</w:t>
      </w:r>
      <w:r>
        <w:rPr>
          <w:rFonts w:hint="eastAsia" w:ascii="宋体" w:hAnsi="宋体" w:eastAsia="宋体" w:cs="宋体"/>
          <w:color w:val="auto"/>
          <w:sz w:val="22"/>
          <w:highlight w:val="none"/>
          <w:lang w:val="en-US" w:eastAsia="zh-CN"/>
        </w:rPr>
        <w:t> </w:t>
      </w:r>
    </w:p>
    <w:p>
      <w:pPr>
        <w:tabs>
          <w:tab w:val="left" w:pos="360"/>
        </w:tabs>
        <w:spacing w:line="460" w:lineRule="exact"/>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电</w:t>
      </w:r>
      <w:r>
        <w:rPr>
          <w:rFonts w:hint="eastAsia" w:ascii="宋体" w:hAnsi="宋体"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话：0577-56671511</w:t>
      </w:r>
    </w:p>
    <w:p>
      <w:pPr>
        <w:keepNext/>
        <w:keepLines/>
        <w:pageBreakBefore w:val="0"/>
        <w:widowControl w:val="0"/>
        <w:kinsoku/>
        <w:wordWrap/>
        <w:overflowPunct/>
        <w:topLinePunct w:val="0"/>
        <w:autoSpaceDE/>
        <w:autoSpaceDN/>
        <w:bidi w:val="0"/>
        <w:adjustRightInd/>
        <w:snapToGrid/>
        <w:textAlignment w:val="auto"/>
        <w:outlineLvl w:val="9"/>
        <w:rPr>
          <w:rFonts w:hint="eastAsia"/>
        </w:rPr>
      </w:pP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p>
      <w:pPr>
        <w:rPr>
          <w:rFonts w:hint="eastAsia" w:ascii="宋体" w:hAnsi="宋体" w:eastAsia="宋体" w:cs="宋体"/>
          <w:color w:val="auto"/>
          <w:highlight w:val="none"/>
        </w:rPr>
      </w:pPr>
    </w:p>
    <w:p>
      <w:pPr>
        <w:pStyle w:val="2"/>
        <w:spacing w:line="460" w:lineRule="exact"/>
        <w:ind w:left="602" w:hanging="602"/>
        <w:jc w:val="center"/>
        <w:rPr>
          <w:rFonts w:hint="eastAsia" w:ascii="宋体" w:hAnsi="宋体" w:eastAsia="宋体" w:cs="宋体"/>
          <w:b/>
          <w:color w:val="auto"/>
          <w:sz w:val="30"/>
          <w:highlight w:val="none"/>
        </w:rPr>
      </w:pPr>
    </w:p>
    <w:p>
      <w:pPr>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pPr>
        <w:pStyle w:val="4"/>
        <w:bidi w:val="0"/>
        <w:rPr>
          <w:rFonts w:hint="eastAsia" w:ascii="宋体" w:hAnsi="宋体" w:eastAsia="宋体" w:cs="宋体"/>
        </w:rPr>
      </w:pPr>
      <w:bookmarkStart w:id="2" w:name="_Toc5772"/>
      <w:bookmarkStart w:id="3" w:name="_Toc10401"/>
      <w:r>
        <w:rPr>
          <w:rFonts w:hint="eastAsia" w:ascii="宋体" w:hAnsi="宋体" w:eastAsia="宋体" w:cs="宋体"/>
        </w:rPr>
        <w:t>第一部分    投标人须知</w:t>
      </w:r>
      <w:bookmarkEnd w:id="2"/>
      <w:bookmarkEnd w:id="3"/>
    </w:p>
    <w:p>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auto"/>
          <w:sz w:val="24"/>
          <w:highlight w:val="none"/>
        </w:rPr>
      </w:pPr>
      <w:bookmarkStart w:id="4" w:name="_Toc354996695"/>
      <w:bookmarkStart w:id="5" w:name="_Toc33194387"/>
      <w:bookmarkStart w:id="6" w:name="_Toc1839"/>
      <w:bookmarkStart w:id="7" w:name="_Toc233618971"/>
      <w:bookmarkStart w:id="8" w:name="_Toc6224"/>
      <w:r>
        <w:rPr>
          <w:rFonts w:hint="eastAsia" w:ascii="宋体" w:hAnsi="宋体" w:eastAsia="宋体" w:cs="宋体"/>
          <w:b/>
          <w:bCs/>
          <w:color w:val="auto"/>
          <w:sz w:val="24"/>
          <w:highlight w:val="none"/>
        </w:rPr>
        <w:t>前 附 表</w:t>
      </w:r>
      <w:bookmarkEnd w:id="4"/>
      <w:bookmarkEnd w:id="5"/>
      <w:bookmarkEnd w:id="6"/>
      <w:bookmarkEnd w:id="7"/>
      <w:bookmarkEnd w:id="8"/>
    </w:p>
    <w:tbl>
      <w:tblPr>
        <w:tblStyle w:val="53"/>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9"/>
        <w:gridCol w:w="96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8"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条款</w:t>
            </w:r>
          </w:p>
        </w:tc>
        <w:tc>
          <w:tcPr>
            <w:tcW w:w="9676" w:type="dxa"/>
            <w:tcBorders>
              <w:top w:val="single" w:color="000000" w:sz="8" w:space="0"/>
              <w:left w:val="single" w:color="000000" w:sz="2" w:space="0"/>
              <w:bottom w:val="single" w:color="000000" w:sz="2" w:space="0"/>
              <w:right w:val="single" w:color="000000" w:sz="8"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p>
        </w:tc>
        <w:tc>
          <w:tcPr>
            <w:tcW w:w="9676" w:type="dxa"/>
            <w:tcBorders>
              <w:top w:val="single" w:color="000000" w:sz="2" w:space="0"/>
              <w:left w:val="single" w:color="000000" w:sz="2" w:space="0"/>
              <w:bottom w:val="single" w:color="000000" w:sz="2" w:space="0"/>
              <w:right w:val="single" w:color="000000" w:sz="8" w:space="0"/>
            </w:tcBorders>
          </w:tcPr>
          <w:p>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化学发光免疫分析系统耗材（试剂）及配套设备租赁</w:t>
            </w:r>
          </w:p>
          <w:p>
            <w:pPr>
              <w:spacing w:line="460" w:lineRule="exact"/>
              <w:rPr>
                <w:rFonts w:hint="eastAsia" w:ascii="宋体" w:hAnsi="宋体" w:eastAsia="宋体" w:cs="宋体"/>
                <w:b/>
                <w:bCs/>
                <w:color w:val="auto"/>
                <w:sz w:val="22"/>
                <w:szCs w:val="22"/>
                <w:highlight w:val="none"/>
              </w:rPr>
            </w:pPr>
            <w:bookmarkStart w:id="9" w:name="_Hlt75139851"/>
            <w:bookmarkEnd w:id="9"/>
            <w:r>
              <w:rPr>
                <w:rFonts w:hint="eastAsia" w:ascii="宋体" w:hAnsi="宋体" w:eastAsia="宋体" w:cs="宋体"/>
                <w:b/>
                <w:bCs/>
                <w:color w:val="auto"/>
                <w:sz w:val="22"/>
                <w:szCs w:val="22"/>
                <w:highlight w:val="none"/>
              </w:rPr>
              <w:t>二、采购内容：</w:t>
            </w:r>
          </w:p>
          <w:tbl>
            <w:tblPr>
              <w:tblStyle w:val="53"/>
              <w:tblW w:w="92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5"/>
              <w:gridCol w:w="1687"/>
              <w:gridCol w:w="2001"/>
              <w:gridCol w:w="1443"/>
              <w:gridCol w:w="2250"/>
              <w:gridCol w:w="13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515"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序号</w:t>
                  </w:r>
                </w:p>
              </w:tc>
              <w:tc>
                <w:tcPr>
                  <w:tcW w:w="1687"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2001"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default" w:ascii="宋体" w:hAnsi="宋体" w:eastAsia="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lang w:val="en-US" w:eastAsia="zh-CN"/>
                    </w:rPr>
                    <w:t>项目内容</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highlight w:val="none"/>
                    </w:rPr>
                    <w:t>预算金额</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简要技术要求、用途</w:t>
                  </w:r>
                </w:p>
              </w:tc>
              <w:tc>
                <w:tcPr>
                  <w:tcW w:w="1329"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rPr>
                      <w:rFonts w:hint="eastAsia" w:ascii="宋体" w:hAnsi="宋体" w:eastAsia="宋体" w:cs="宋体"/>
                      <w:color w:val="auto"/>
                      <w:kern w:val="0"/>
                      <w:sz w:val="22"/>
                      <w:szCs w:val="22"/>
                      <w:highlight w:val="none"/>
                    </w:rPr>
                  </w:pPr>
                  <w:r>
                    <w:rPr>
                      <w:rFonts w:hint="eastAsia" w:ascii="新宋体" w:hAnsi="新宋体" w:eastAsia="新宋体" w:cs="新宋体"/>
                      <w:color w:val="000000"/>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515" w:type="dxa"/>
                  <w:vMerge w:val="restart"/>
                  <w:tcBorders>
                    <w:top w:val="single" w:color="auto" w:sz="4" w:space="0"/>
                    <w:left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687" w:type="dxa"/>
                  <w:vMerge w:val="restart"/>
                  <w:tcBorders>
                    <w:top w:val="single" w:color="auto" w:sz="4" w:space="0"/>
                    <w:left w:val="single" w:color="auto" w:sz="4" w:space="0"/>
                    <w:bottom w:val="single" w:color="auto" w:sz="4" w:space="0"/>
                    <w:right w:val="single" w:color="auto" w:sz="4" w:space="0"/>
                  </w:tcBorders>
                  <w:vAlign w:val="center"/>
                </w:tcPr>
                <w:p>
                  <w:pPr>
                    <w:tabs>
                      <w:tab w:val="left" w:pos="360"/>
                    </w:tabs>
                    <w:spacing w:line="440" w:lineRule="exact"/>
                    <w:jc w:val="center"/>
                    <w:rPr>
                      <w:rFonts w:hint="eastAsia" w:ascii="宋体" w:hAnsi="宋体" w:eastAsia="宋体" w:cs="宋体"/>
                      <w:color w:val="auto"/>
                      <w:sz w:val="22"/>
                      <w:highlight w:val="none"/>
                    </w:rPr>
                  </w:pPr>
                  <w:r>
                    <w:rPr>
                      <w:rFonts w:hint="eastAsia" w:ascii="新宋体" w:hAnsi="新宋体" w:eastAsia="新宋体" w:cs="新宋体"/>
                      <w:bCs/>
                      <w:color w:val="000000"/>
                      <w:sz w:val="22"/>
                      <w:szCs w:val="22"/>
                      <w:highlight w:val="none"/>
                    </w:rPr>
                    <w:t>化学发光免疫分析系统耗材（试剂）及配套设备租赁</w:t>
                  </w:r>
                </w:p>
              </w:tc>
              <w:tc>
                <w:tcPr>
                  <w:tcW w:w="2001"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40" w:lineRule="exact"/>
                    <w:jc w:val="center"/>
                    <w:rPr>
                      <w:rFonts w:hint="eastAsia" w:ascii="宋体" w:hAnsi="宋体" w:eastAsia="宋体" w:cs="宋体"/>
                      <w:color w:val="auto"/>
                      <w:sz w:val="22"/>
                      <w:szCs w:val="22"/>
                      <w:highlight w:val="none"/>
                      <w:shd w:val="clear" w:color="auto" w:fill="FFFFFF"/>
                      <w:lang w:val="en-US" w:eastAsia="zh-CN"/>
                    </w:rPr>
                  </w:pPr>
                  <w:r>
                    <w:rPr>
                      <w:rFonts w:hint="eastAsia" w:ascii="新宋体" w:hAnsi="新宋体" w:eastAsia="新宋体" w:cs="新宋体"/>
                      <w:bCs/>
                      <w:color w:val="000000"/>
                      <w:sz w:val="22"/>
                      <w:szCs w:val="22"/>
                      <w:highlight w:val="none"/>
                    </w:rPr>
                    <w:t>化学发光免疫分析系统耗材（试剂）</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default" w:ascii="宋体" w:hAnsi="宋体" w:eastAsia="宋体" w:cs="宋体"/>
                      <w:color w:val="auto"/>
                      <w:sz w:val="22"/>
                      <w:szCs w:val="22"/>
                      <w:highlight w:val="none"/>
                      <w:shd w:val="clear" w:color="auto" w:fill="FFFFFF"/>
                      <w:lang w:val="en-US" w:eastAsia="zh-CN"/>
                    </w:rPr>
                  </w:pPr>
                  <w:r>
                    <w:rPr>
                      <w:rFonts w:hint="eastAsia" w:ascii="新宋体" w:hAnsi="新宋体" w:eastAsia="新宋体" w:cs="新宋体"/>
                      <w:color w:val="000000"/>
                      <w:sz w:val="22"/>
                      <w:szCs w:val="22"/>
                      <w:highlight w:val="none"/>
                    </w:rPr>
                    <w:t>450000元</w:t>
                  </w:r>
                </w:p>
              </w:tc>
              <w:tc>
                <w:tcPr>
                  <w:tcW w:w="2250" w:type="dxa"/>
                  <w:vMerge w:val="restart"/>
                  <w:tcBorders>
                    <w:top w:val="single" w:color="auto" w:sz="4" w:space="0"/>
                    <w:left w:val="single" w:color="auto" w:sz="4" w:space="0"/>
                    <w:right w:val="single" w:color="auto" w:sz="4" w:space="0"/>
                  </w:tcBorders>
                  <w:vAlign w:val="center"/>
                </w:tcPr>
                <w:p>
                  <w:pPr>
                    <w:shd w:val="clear" w:color="auto" w:fill="FFFFFF"/>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部分“项目技术规范和服务要求”</w:t>
                  </w:r>
                </w:p>
              </w:tc>
              <w:tc>
                <w:tcPr>
                  <w:tcW w:w="1329" w:type="dxa"/>
                  <w:vMerge w:val="restart"/>
                  <w:tcBorders>
                    <w:top w:val="single" w:color="auto" w:sz="4" w:space="0"/>
                    <w:left w:val="single" w:color="auto" w:sz="4" w:space="0"/>
                    <w:right w:val="single" w:color="auto" w:sz="4" w:space="0"/>
                  </w:tcBorders>
                  <w:vAlign w:val="center"/>
                </w:tcPr>
                <w:p>
                  <w:pPr>
                    <w:shd w:val="clear" w:color="auto" w:fill="FFFFFF"/>
                    <w:snapToGrid w:val="0"/>
                    <w:spacing w:line="440" w:lineRule="exact"/>
                    <w:jc w:val="center"/>
                    <w:rPr>
                      <w:rFonts w:hint="eastAsia" w:ascii="宋体" w:hAnsi="宋体" w:eastAsia="宋体" w:cs="宋体"/>
                      <w:color w:val="auto"/>
                      <w:sz w:val="22"/>
                      <w:szCs w:val="22"/>
                      <w:highlight w:val="none"/>
                    </w:rPr>
                  </w:pPr>
                  <w:r>
                    <w:rPr>
                      <w:rFonts w:hint="eastAsia" w:ascii="新宋体" w:hAnsi="新宋体" w:eastAsia="新宋体" w:cs="新宋体"/>
                      <w:color w:val="000000"/>
                      <w:sz w:val="22"/>
                      <w:szCs w:val="22"/>
                      <w:highlight w:val="none"/>
                      <w:lang w:val="en-US" w:eastAsia="zh-CN"/>
                    </w:rPr>
                    <w:t>不</w:t>
                  </w:r>
                  <w:r>
                    <w:rPr>
                      <w:rFonts w:hint="eastAsia" w:ascii="新宋体" w:hAnsi="新宋体" w:eastAsia="新宋体" w:cs="新宋体"/>
                      <w:color w:val="000000"/>
                      <w:sz w:val="22"/>
                      <w:szCs w:val="22"/>
                      <w:highlight w:val="none"/>
                    </w:rPr>
                    <w:t>允许进口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515" w:type="dxa"/>
                  <w:vMerge w:val="continue"/>
                  <w:tcBorders>
                    <w:left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p>
              </w:tc>
              <w:tc>
                <w:tcPr>
                  <w:tcW w:w="1687" w:type="dxa"/>
                  <w:vMerge w:val="continue"/>
                  <w:tcBorders>
                    <w:top w:val="single" w:color="auto" w:sz="4" w:space="0"/>
                    <w:left w:val="single" w:color="auto" w:sz="4" w:space="0"/>
                    <w:right w:val="single" w:color="auto" w:sz="4" w:space="0"/>
                  </w:tcBorders>
                  <w:vAlign w:val="center"/>
                </w:tcPr>
                <w:p>
                  <w:pPr>
                    <w:tabs>
                      <w:tab w:val="left" w:pos="360"/>
                    </w:tabs>
                    <w:spacing w:line="440" w:lineRule="exact"/>
                    <w:jc w:val="center"/>
                    <w:rPr>
                      <w:rFonts w:hint="eastAsia" w:ascii="宋体" w:hAnsi="宋体" w:cs="宋体"/>
                      <w:color w:val="auto"/>
                      <w:sz w:val="22"/>
                      <w:highlight w:val="none"/>
                      <w:lang w:eastAsia="zh-CN"/>
                    </w:rPr>
                  </w:pPr>
                </w:p>
              </w:tc>
              <w:tc>
                <w:tcPr>
                  <w:tcW w:w="2001"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40" w:lineRule="exact"/>
                    <w:jc w:val="center"/>
                    <w:rPr>
                      <w:rFonts w:hint="eastAsia" w:ascii="宋体" w:hAnsi="宋体" w:eastAsia="宋体" w:cs="宋体"/>
                      <w:color w:val="auto"/>
                      <w:sz w:val="22"/>
                      <w:szCs w:val="22"/>
                      <w:highlight w:val="none"/>
                      <w:shd w:val="clear" w:color="auto" w:fill="FFFFFF"/>
                      <w:lang w:val="en-US" w:eastAsia="zh-CN"/>
                    </w:rPr>
                  </w:pPr>
                  <w:r>
                    <w:rPr>
                      <w:rFonts w:hint="eastAsia" w:ascii="新宋体" w:hAnsi="新宋体" w:eastAsia="新宋体" w:cs="新宋体"/>
                      <w:bCs/>
                      <w:color w:val="000000"/>
                      <w:sz w:val="22"/>
                      <w:szCs w:val="22"/>
                      <w:highlight w:val="none"/>
                    </w:rPr>
                    <w:t>配套设备租赁</w:t>
                  </w:r>
                </w:p>
              </w:tc>
              <w:tc>
                <w:tcPr>
                  <w:tcW w:w="1443" w:type="dxa"/>
                  <w:tcBorders>
                    <w:top w:val="single" w:color="auto" w:sz="4" w:space="0"/>
                    <w:left w:val="single" w:color="auto" w:sz="4" w:space="0"/>
                    <w:right w:val="single" w:color="auto" w:sz="4" w:space="0"/>
                  </w:tcBorders>
                  <w:shd w:val="clear" w:color="auto" w:fill="auto"/>
                  <w:vAlign w:val="center"/>
                </w:tcPr>
                <w:p>
                  <w:pPr>
                    <w:spacing w:line="460" w:lineRule="exact"/>
                    <w:jc w:val="center"/>
                    <w:rPr>
                      <w:rFonts w:hint="default" w:ascii="宋体" w:hAnsi="宋体" w:eastAsia="宋体" w:cs="宋体"/>
                      <w:color w:val="auto"/>
                      <w:sz w:val="22"/>
                      <w:szCs w:val="22"/>
                      <w:highlight w:val="none"/>
                      <w:shd w:val="clear" w:color="auto" w:fill="FFFFFF"/>
                      <w:lang w:val="en-US" w:eastAsia="zh-CN"/>
                    </w:rPr>
                  </w:pPr>
                  <w:r>
                    <w:rPr>
                      <w:rFonts w:hint="eastAsia" w:ascii="新宋体" w:hAnsi="新宋体" w:eastAsia="新宋体" w:cs="新宋体"/>
                      <w:color w:val="000000"/>
                      <w:sz w:val="22"/>
                      <w:szCs w:val="22"/>
                      <w:highlight w:val="none"/>
                    </w:rPr>
                    <w:t>3000元/年</w:t>
                  </w:r>
                </w:p>
              </w:tc>
              <w:tc>
                <w:tcPr>
                  <w:tcW w:w="2250" w:type="dxa"/>
                  <w:vMerge w:val="continue"/>
                  <w:tcBorders>
                    <w:left w:val="single" w:color="auto" w:sz="4" w:space="0"/>
                    <w:right w:val="single" w:color="auto" w:sz="4" w:space="0"/>
                  </w:tcBorders>
                  <w:vAlign w:val="center"/>
                </w:tcPr>
                <w:p>
                  <w:pPr>
                    <w:shd w:val="clear" w:color="auto" w:fill="FFFFFF"/>
                    <w:snapToGrid w:val="0"/>
                    <w:spacing w:line="460" w:lineRule="exact"/>
                    <w:jc w:val="center"/>
                    <w:rPr>
                      <w:rFonts w:hint="eastAsia" w:ascii="宋体" w:hAnsi="宋体" w:eastAsia="宋体" w:cs="宋体"/>
                      <w:color w:val="auto"/>
                      <w:sz w:val="22"/>
                      <w:szCs w:val="22"/>
                      <w:highlight w:val="none"/>
                    </w:rPr>
                  </w:pPr>
                </w:p>
              </w:tc>
              <w:tc>
                <w:tcPr>
                  <w:tcW w:w="1329" w:type="dxa"/>
                  <w:vMerge w:val="continue"/>
                  <w:tcBorders>
                    <w:left w:val="single" w:color="auto" w:sz="4" w:space="0"/>
                    <w:right w:val="single" w:color="auto" w:sz="4" w:space="0"/>
                  </w:tcBorders>
                  <w:vAlign w:val="center"/>
                </w:tcPr>
                <w:p>
                  <w:pPr>
                    <w:shd w:val="clear" w:color="auto" w:fill="FFFFFF"/>
                    <w:snapToGrid w:val="0"/>
                    <w:spacing w:line="460" w:lineRule="exact"/>
                    <w:jc w:val="center"/>
                    <w:rPr>
                      <w:rFonts w:hint="eastAsia" w:ascii="宋体" w:hAnsi="宋体" w:eastAsia="宋体" w:cs="宋体"/>
                      <w:color w:val="auto"/>
                      <w:sz w:val="22"/>
                      <w:szCs w:val="22"/>
                      <w:highlight w:val="none"/>
                    </w:rPr>
                  </w:pPr>
                </w:p>
              </w:tc>
            </w:tr>
          </w:tbl>
          <w:p>
            <w:pPr>
              <w:tabs>
                <w:tab w:val="left" w:pos="360"/>
              </w:tabs>
              <w:spacing w:line="460" w:lineRule="exact"/>
              <w:rPr>
                <w:rFonts w:hint="eastAsia" w:ascii="宋体" w:hAnsi="宋体" w:eastAsia="宋体" w:cs="宋体"/>
                <w:color w:val="auto"/>
                <w:highlight w:val="none"/>
              </w:rPr>
            </w:pPr>
            <w:r>
              <w:rPr>
                <w:rFonts w:hint="eastAsia" w:ascii="宋体" w:hAnsi="宋体" w:eastAsia="宋体" w:cs="宋体"/>
                <w:b/>
                <w:color w:val="auto"/>
                <w:sz w:val="22"/>
                <w:szCs w:val="22"/>
                <w:highlight w:val="none"/>
              </w:rPr>
              <w:t>如投标人报价超过预算金额按无效标处理。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p>
        </w:tc>
        <w:tc>
          <w:tcPr>
            <w:tcW w:w="9676"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w:t>
            </w:r>
          </w:p>
        </w:tc>
        <w:tc>
          <w:tcPr>
            <w:tcW w:w="9676"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w:t>
            </w:r>
          </w:p>
        </w:tc>
        <w:tc>
          <w:tcPr>
            <w:tcW w:w="9676"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招标服务费：根据国家计委计价格【2002】1980号《招标代理服务收费管理暂行办法》规定</w:t>
            </w:r>
            <w:r>
              <w:rPr>
                <w:rFonts w:hint="eastAsia" w:ascii="宋体" w:hAnsi="宋体" w:eastAsia="宋体" w:cs="宋体"/>
                <w:b/>
                <w:bCs/>
                <w:color w:val="auto"/>
                <w:sz w:val="22"/>
                <w:szCs w:val="22"/>
                <w:highlight w:val="none"/>
                <w:lang w:val="en-US" w:eastAsia="zh-CN"/>
              </w:rPr>
              <w:t>标准</w:t>
            </w:r>
            <w:r>
              <w:rPr>
                <w:rFonts w:hint="eastAsia" w:ascii="宋体" w:hAnsi="宋体" w:cs="宋体"/>
                <w:b/>
                <w:bCs/>
                <w:color w:val="auto"/>
                <w:sz w:val="22"/>
                <w:szCs w:val="22"/>
                <w:highlight w:val="none"/>
                <w:lang w:val="en-US" w:eastAsia="zh-CN"/>
              </w:rPr>
              <w:t>的75%</w:t>
            </w:r>
            <w:r>
              <w:rPr>
                <w:rFonts w:hint="eastAsia" w:ascii="宋体" w:hAnsi="宋体" w:eastAsia="宋体" w:cs="宋体"/>
                <w:b/>
                <w:bCs/>
                <w:color w:val="auto"/>
                <w:sz w:val="22"/>
                <w:szCs w:val="22"/>
                <w:highlight w:val="none"/>
              </w:rPr>
              <w:t>收取,由中标人在领取中标通知书时支付。</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户   名：温州历程招标有限公司</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   号：33050162870409101001</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开户行：中国建设银行温州黎明支行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w:t>
            </w:r>
          </w:p>
        </w:tc>
        <w:tc>
          <w:tcPr>
            <w:tcW w:w="9676"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w:t>
            </w:r>
          </w:p>
        </w:tc>
        <w:tc>
          <w:tcPr>
            <w:tcW w:w="9676"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w:t>
            </w:r>
          </w:p>
        </w:tc>
        <w:tc>
          <w:tcPr>
            <w:tcW w:w="9676"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w:t>
            </w:r>
          </w:p>
        </w:tc>
        <w:tc>
          <w:tcPr>
            <w:tcW w:w="9676"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w:t>
            </w:r>
          </w:p>
        </w:tc>
        <w:tc>
          <w:tcPr>
            <w:tcW w:w="9676"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sz w:val="22"/>
                <w:szCs w:val="28"/>
              </w:rPr>
            </w:pPr>
            <w:r>
              <w:rPr>
                <w:rFonts w:hint="eastAsia"/>
                <w:sz w:val="22"/>
                <w:szCs w:val="28"/>
              </w:rPr>
              <w:t>投标文件份数：</w:t>
            </w:r>
          </w:p>
          <w:p>
            <w:pPr>
              <w:numPr>
                <w:ilvl w:val="0"/>
                <w:numId w:val="5"/>
              </w:numPr>
              <w:spacing w:line="460" w:lineRule="exact"/>
              <w:rPr>
                <w:rFonts w:hint="eastAsia"/>
                <w:sz w:val="22"/>
                <w:szCs w:val="28"/>
              </w:rPr>
            </w:pPr>
            <w:r>
              <w:rPr>
                <w:rFonts w:hint="eastAsia"/>
                <w:sz w:val="22"/>
                <w:szCs w:val="28"/>
              </w:rPr>
              <w:t>“电子加密投标文件”：在线上传递交、一份。</w:t>
            </w:r>
          </w:p>
          <w:p>
            <w:pPr>
              <w:numPr>
                <w:ilvl w:val="0"/>
                <w:numId w:val="5"/>
              </w:numPr>
              <w:spacing w:line="460" w:lineRule="exact"/>
              <w:rPr>
                <w:rFonts w:hint="eastAsia"/>
                <w:sz w:val="22"/>
                <w:szCs w:val="28"/>
              </w:rPr>
            </w:pPr>
            <w:r>
              <w:rPr>
                <w:rFonts w:hint="eastAsia"/>
                <w:sz w:val="22"/>
                <w:szCs w:val="28"/>
              </w:rPr>
              <w:t>“备份投标文件”：密封包装后投标截止时间前递交、一份</w:t>
            </w:r>
          </w:p>
          <w:p>
            <w:pPr>
              <w:spacing w:line="460" w:lineRule="exact"/>
              <w:rPr>
                <w:rFonts w:hint="eastAsia"/>
                <w:sz w:val="22"/>
                <w:szCs w:val="28"/>
              </w:rPr>
            </w:pPr>
            <w:r>
              <w:rPr>
                <w:rFonts w:hint="eastAsia"/>
                <w:sz w:val="22"/>
                <w:szCs w:val="28"/>
              </w:rPr>
              <w:t>（若不提供备份投标文件，开标当天电子加密投标文件解密失败，投标人自行负责。）</w:t>
            </w:r>
          </w:p>
          <w:p>
            <w:pPr>
              <w:tabs>
                <w:tab w:val="left" w:pos="360"/>
              </w:tabs>
              <w:spacing w:line="460" w:lineRule="exact"/>
              <w:rPr>
                <w:rFonts w:hint="eastAsia"/>
                <w:sz w:val="22"/>
                <w:szCs w:val="28"/>
              </w:rPr>
            </w:pPr>
            <w:r>
              <w:rPr>
                <w:rFonts w:hint="eastAsia"/>
                <w:sz w:val="22"/>
                <w:szCs w:val="28"/>
              </w:rPr>
              <w:t>可以（邮寄形式，建议顺丰）在投标截止时间前递交，并需采购代理机构确认是否收到，</w:t>
            </w:r>
          </w:p>
          <w:p>
            <w:pPr>
              <w:spacing w:line="460" w:lineRule="exact"/>
              <w:rPr>
                <w:rFonts w:hint="eastAsia"/>
                <w:sz w:val="22"/>
                <w:szCs w:val="28"/>
                <w:lang w:eastAsia="zh-CN"/>
              </w:rPr>
            </w:pPr>
            <w:r>
              <w:rPr>
                <w:rFonts w:hint="eastAsia"/>
                <w:sz w:val="22"/>
                <w:szCs w:val="28"/>
              </w:rPr>
              <w:t>邮寄地址：</w:t>
            </w:r>
            <w:r>
              <w:rPr>
                <w:rFonts w:hint="eastAsia"/>
                <w:sz w:val="22"/>
                <w:szCs w:val="28"/>
                <w:lang w:eastAsia="zh-CN"/>
              </w:rPr>
              <w:t>温州市鹿城区学院中路229号三想集团5楼</w:t>
            </w:r>
          </w:p>
          <w:p>
            <w:pPr>
              <w:spacing w:line="460" w:lineRule="exact"/>
              <w:rPr>
                <w:rFonts w:hint="default" w:eastAsia="宋体"/>
                <w:lang w:val="en-US" w:eastAsia="zh-CN"/>
              </w:rPr>
            </w:pPr>
            <w:r>
              <w:rPr>
                <w:rFonts w:hint="eastAsia"/>
                <w:sz w:val="22"/>
                <w:szCs w:val="28"/>
                <w:lang w:val="en-US" w:eastAsia="zh-CN"/>
              </w:rPr>
              <w:t>联系人：温先生    联系电话</w:t>
            </w:r>
            <w:r>
              <w:rPr>
                <w:rFonts w:hint="eastAsia"/>
                <w:b w:val="0"/>
                <w:bCs w:val="0"/>
                <w:sz w:val="22"/>
                <w:szCs w:val="28"/>
                <w:lang w:val="en-US" w:eastAsia="zh-CN"/>
              </w:rPr>
              <w:t>：13868508737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w:t>
            </w:r>
          </w:p>
        </w:tc>
        <w:tc>
          <w:tcPr>
            <w:tcW w:w="9676"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a.投标人应在投标截止时间前将“电子加密投标文件”成功上传递交至“政府采购云平台”，否则投标无效。</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pPr>
              <w:tabs>
                <w:tab w:val="left" w:pos="360"/>
              </w:tabs>
              <w:spacing w:line="460" w:lineRule="exact"/>
              <w:ind w:firstLine="550" w:firstLineChars="25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（邮寄形式，建议顺丰）在投标截止时间前递交，并需采购代理机构确认是否收到</w:t>
            </w:r>
            <w:r>
              <w:rPr>
                <w:rFonts w:hint="eastAsia" w:ascii="宋体" w:hAnsi="宋体" w:eastAsia="宋体" w:cs="宋体"/>
                <w:b/>
                <w:bCs/>
                <w:color w:val="auto"/>
                <w:sz w:val="22"/>
                <w:szCs w:val="22"/>
                <w:highlight w:val="none"/>
              </w:rPr>
              <w:t>）</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w:t>
            </w:r>
          </w:p>
        </w:tc>
        <w:tc>
          <w:tcPr>
            <w:tcW w:w="9676"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w:t>
            </w:r>
          </w:p>
        </w:tc>
        <w:tc>
          <w:tcPr>
            <w:tcW w:w="9676"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ascii="宋体" w:hAnsi="宋体" w:eastAsia="宋体" w:cs="宋体"/>
                <w:color w:val="auto"/>
                <w:sz w:val="22"/>
                <w:szCs w:val="22"/>
                <w:highlight w:val="none"/>
                <w:lang w:eastAsia="zh-CN"/>
              </w:rPr>
              <w:t>2022年</w:t>
            </w:r>
            <w:r>
              <w:rPr>
                <w:rFonts w:hint="eastAsia" w:ascii="宋体" w:hAnsi="宋体" w:eastAsia="宋体" w:cs="宋体"/>
                <w:color w:val="auto"/>
                <w:sz w:val="22"/>
                <w:szCs w:val="22"/>
                <w:highlight w:val="none"/>
                <w:lang w:val="en-US" w:eastAsia="zh-CN"/>
              </w:rPr>
              <w:t>09</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日</w:t>
            </w:r>
            <w:r>
              <w:rPr>
                <w:rFonts w:hint="eastAsia" w:ascii="宋体" w:hAnsi="宋体" w:eastAsia="宋体" w:cs="宋体"/>
                <w:color w:val="auto"/>
                <w:sz w:val="22"/>
                <w:szCs w:val="22"/>
                <w:highlight w:val="none"/>
                <w:lang w:val="en-US" w:eastAsia="zh-CN"/>
              </w:rPr>
              <w:t>09</w:t>
            </w:r>
            <w:r>
              <w:rPr>
                <w:rFonts w:hint="eastAsia" w:ascii="宋体" w:hAnsi="宋体" w:eastAsia="宋体" w:cs="宋体"/>
                <w:color w:val="auto"/>
                <w:sz w:val="22"/>
                <w:szCs w:val="22"/>
                <w:highlight w:val="none"/>
              </w:rPr>
              <w:t>:30</w:t>
            </w:r>
            <w:r>
              <w:rPr>
                <w:rFonts w:hint="eastAsia"/>
                <w:sz w:val="22"/>
                <w:szCs w:val="22"/>
                <w:u w:val="none"/>
              </w:rPr>
              <w:t>（北京时间）</w:t>
            </w:r>
            <w:r>
              <w:rPr>
                <w:rFonts w:hint="eastAsia" w:ascii="宋体" w:hAnsi="宋体" w:eastAsia="宋体" w:cs="宋体"/>
                <w:color w:val="auto"/>
                <w:sz w:val="22"/>
                <w:szCs w:val="22"/>
                <w:highlight w:val="none"/>
              </w:rPr>
              <w:t> </w:t>
            </w:r>
          </w:p>
          <w:p>
            <w:pPr>
              <w:widowControl/>
              <w:snapToGrid w:val="0"/>
              <w:spacing w:line="460" w:lineRule="exact"/>
              <w:jc w:val="left"/>
              <w:rPr>
                <w:rFonts w:hint="eastAsia"/>
                <w:color w:val="auto"/>
              </w:rPr>
            </w:pPr>
            <w:r>
              <w:rPr>
                <w:rFonts w:hint="eastAsia" w:ascii="宋体" w:hAnsi="宋体" w:eastAsia="宋体" w:cs="宋体"/>
                <w:color w:val="auto"/>
                <w:sz w:val="22"/>
                <w:szCs w:val="22"/>
                <w:highlight w:val="none"/>
              </w:rPr>
              <w:t>投标地点（网址）：</w:t>
            </w:r>
            <w:r>
              <w:rPr>
                <w:rFonts w:hint="eastAsia" w:ascii="宋体" w:hAnsi="宋体" w:eastAsia="宋体" w:cs="宋体"/>
                <w:color w:val="auto"/>
                <w:sz w:val="22"/>
                <w:szCs w:val="22"/>
                <w:highlight w:val="none"/>
                <w:lang w:eastAsia="zh-CN"/>
              </w:rPr>
              <w:t>温州市鹿城区学院中路229号三想集团5楼（</w:t>
            </w:r>
            <w:r>
              <w:rPr>
                <w:rFonts w:hint="eastAsia" w:ascii="宋体" w:hAnsi="宋体" w:eastAsia="宋体" w:cs="宋体"/>
                <w:color w:val="auto"/>
                <w:sz w:val="22"/>
                <w:szCs w:val="22"/>
                <w:highlight w:val="none"/>
                <w:lang w:val="en-US" w:eastAsia="zh-CN"/>
              </w:rPr>
              <w:t>政采云</w:t>
            </w:r>
            <w:r>
              <w:rPr>
                <w:rFonts w:hint="eastAsia" w:ascii="宋体" w:hAnsi="宋体" w:eastAsia="宋体" w:cs="宋体"/>
                <w:color w:val="auto"/>
                <w:sz w:val="21"/>
                <w:szCs w:val="21"/>
                <w:highlight w:val="none"/>
              </w:rPr>
              <w:t>http://zfcg.czt.zj.gov.cn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3</w:t>
            </w:r>
          </w:p>
        </w:tc>
        <w:tc>
          <w:tcPr>
            <w:tcW w:w="9676" w:type="dxa"/>
            <w:tcBorders>
              <w:top w:val="single" w:color="000000" w:sz="2" w:space="0"/>
              <w:left w:val="single" w:color="000000" w:sz="2" w:space="0"/>
              <w:bottom w:val="single" w:color="auto" w:sz="4" w:space="0"/>
              <w:right w:val="single" w:color="000000" w:sz="8" w:space="0"/>
            </w:tcBorders>
            <w:vAlign w:val="center"/>
          </w:tcPr>
          <w:p>
            <w:pPr>
              <w:widowControl/>
              <w:snapToGrid w:val="0"/>
              <w:spacing w:line="460" w:lineRule="exact"/>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开标时间</w:t>
            </w:r>
            <w:r>
              <w:rPr>
                <w:rFonts w:hint="eastAsia" w:ascii="宋体" w:hAnsi="宋体" w:eastAsia="宋体" w:cs="宋体"/>
                <w:b w:val="0"/>
                <w:bCs w:val="0"/>
                <w:color w:val="auto"/>
                <w:sz w:val="22"/>
                <w:szCs w:val="22"/>
                <w:highlight w:val="none"/>
                <w:lang w:eastAsia="zh-CN"/>
              </w:rPr>
              <w:t>：2022年</w:t>
            </w:r>
            <w:r>
              <w:rPr>
                <w:rFonts w:hint="eastAsia" w:ascii="宋体" w:hAnsi="宋体" w:eastAsia="宋体" w:cs="宋体"/>
                <w:b w:val="0"/>
                <w:bCs w:val="0"/>
                <w:color w:val="auto"/>
                <w:sz w:val="22"/>
                <w:szCs w:val="22"/>
                <w:highlight w:val="none"/>
                <w:lang w:val="en-US" w:eastAsia="zh-CN"/>
              </w:rPr>
              <w:t>09</w:t>
            </w:r>
            <w:r>
              <w:rPr>
                <w:rFonts w:hint="eastAsia" w:ascii="宋体" w:hAnsi="宋体" w:eastAsia="宋体" w:cs="宋体"/>
                <w:b w:val="0"/>
                <w:bCs w:val="0"/>
                <w:color w:val="auto"/>
                <w:sz w:val="22"/>
                <w:szCs w:val="22"/>
                <w:highlight w:val="none"/>
                <w:lang w:eastAsia="zh-CN"/>
              </w:rPr>
              <w:t>月</w:t>
            </w:r>
            <w:r>
              <w:rPr>
                <w:rFonts w:hint="eastAsia" w:ascii="宋体" w:hAnsi="宋体" w:eastAsia="宋体" w:cs="宋体"/>
                <w:b w:val="0"/>
                <w:bCs w:val="0"/>
                <w:color w:val="auto"/>
                <w:sz w:val="22"/>
                <w:szCs w:val="22"/>
                <w:highlight w:val="none"/>
                <w:lang w:val="en-US" w:eastAsia="zh-CN"/>
              </w:rPr>
              <w:t>30</w:t>
            </w:r>
            <w:r>
              <w:rPr>
                <w:rFonts w:hint="eastAsia" w:ascii="宋体" w:hAnsi="宋体" w:eastAsia="宋体" w:cs="宋体"/>
                <w:b w:val="0"/>
                <w:bCs w:val="0"/>
                <w:color w:val="auto"/>
                <w:sz w:val="22"/>
                <w:szCs w:val="22"/>
                <w:highlight w:val="none"/>
                <w:lang w:eastAsia="zh-CN"/>
              </w:rPr>
              <w:t>日</w:t>
            </w:r>
            <w:r>
              <w:rPr>
                <w:rFonts w:hint="eastAsia" w:ascii="宋体" w:hAnsi="宋体" w:eastAsia="宋体" w:cs="宋体"/>
                <w:b w:val="0"/>
                <w:bCs w:val="0"/>
                <w:color w:val="auto"/>
                <w:sz w:val="22"/>
                <w:szCs w:val="22"/>
                <w:highlight w:val="none"/>
                <w:lang w:val="en-US" w:eastAsia="zh-CN"/>
              </w:rPr>
              <w:t>09</w:t>
            </w:r>
            <w:r>
              <w:rPr>
                <w:rFonts w:hint="eastAsia" w:ascii="宋体" w:hAnsi="宋体" w:eastAsia="宋体" w:cs="宋体"/>
                <w:b w:val="0"/>
                <w:bCs w:val="0"/>
                <w:color w:val="auto"/>
                <w:sz w:val="22"/>
                <w:szCs w:val="22"/>
                <w:highlight w:val="none"/>
                <w:lang w:eastAsia="zh-CN"/>
              </w:rPr>
              <w:t>:30</w:t>
            </w:r>
            <w:r>
              <w:rPr>
                <w:rFonts w:hint="eastAsia"/>
                <w:sz w:val="22"/>
                <w:szCs w:val="22"/>
                <w:u w:val="none"/>
              </w:rPr>
              <w:t>（北京时间）</w:t>
            </w:r>
            <w:bookmarkStart w:id="94" w:name="_GoBack"/>
            <w:bookmarkEnd w:id="94"/>
          </w:p>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开标地点（网址）：</w:t>
            </w:r>
            <w:r>
              <w:rPr>
                <w:rFonts w:hint="eastAsia" w:ascii="宋体" w:hAnsi="宋体" w:eastAsia="宋体" w:cs="宋体"/>
                <w:color w:val="auto"/>
                <w:sz w:val="22"/>
                <w:highlight w:val="none"/>
                <w:lang w:eastAsia="zh-CN"/>
              </w:rPr>
              <w:t>温州市鹿城区学院中路229号三想集团5楼（</w:t>
            </w:r>
            <w:r>
              <w:rPr>
                <w:rFonts w:hint="eastAsia" w:ascii="宋体" w:hAnsi="宋体" w:eastAsia="宋体" w:cs="宋体"/>
                <w:color w:val="auto"/>
                <w:sz w:val="22"/>
                <w:highlight w:val="none"/>
                <w:lang w:val="en-US" w:eastAsia="zh-CN"/>
              </w:rPr>
              <w:t>政采云</w:t>
            </w:r>
            <w:r>
              <w:rPr>
                <w:rFonts w:hint="eastAsia" w:ascii="宋体" w:hAnsi="宋体" w:eastAsia="宋体" w:cs="宋体"/>
                <w:color w:val="auto"/>
                <w:sz w:val="21"/>
                <w:szCs w:val="22"/>
                <w:highlight w:val="none"/>
              </w:rPr>
              <w:t>http://zfcg.czt.zj.gov.cn</w:t>
            </w:r>
            <w:r>
              <w:rPr>
                <w:rFonts w:hint="eastAsia" w:ascii="宋体" w:hAnsi="宋体" w:eastAsia="宋体" w:cs="宋体"/>
                <w:color w:val="auto"/>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auto" w:sz="4"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4</w:t>
            </w:r>
          </w:p>
        </w:tc>
        <w:tc>
          <w:tcPr>
            <w:tcW w:w="9676" w:type="dxa"/>
            <w:tcBorders>
              <w:top w:val="single" w:color="auto" w:sz="4" w:space="0"/>
              <w:left w:val="single" w:color="000000" w:sz="2" w:space="0"/>
              <w:bottom w:val="single" w:color="auto" w:sz="4"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5</w:t>
            </w:r>
          </w:p>
        </w:tc>
        <w:tc>
          <w:tcPr>
            <w:tcW w:w="9676"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kern w:val="10"/>
                <w:sz w:val="22"/>
                <w:szCs w:val="22"/>
                <w:highlight w:val="none"/>
              </w:rPr>
              <w:t>潜在供应商需在浙江政府采购网http://http://zfcg.czt.zj.gov.cn/进行免费注册，具体详见浙江政府采购网供应商注册要求。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6</w:t>
            </w:r>
          </w:p>
        </w:tc>
        <w:tc>
          <w:tcPr>
            <w:tcW w:w="9676"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ind w:firstLine="440" w:firstLineChars="20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1、本项目对符合财政扶持政策的中小企业（小型、微型）、监狱企业、残疾人福利性单位给予价格优惠扶持，价格优惠扶持</w:t>
            </w:r>
            <w:r>
              <w:rPr>
                <w:rFonts w:hint="eastAsia" w:ascii="宋体" w:hAnsi="宋体" w:cs="宋体"/>
                <w:color w:val="auto"/>
                <w:kern w:val="0"/>
                <w:sz w:val="22"/>
                <w:szCs w:val="22"/>
                <w:highlight w:val="none"/>
                <w:lang w:eastAsia="zh-CN"/>
              </w:rPr>
              <w:t>：</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满足转发财政部 工业和信息化部关于印发《</w:t>
            </w:r>
            <w:r>
              <w:rPr>
                <w:rFonts w:hint="eastAsia" w:ascii="宋体" w:hAnsi="宋体" w:eastAsia="宋体" w:cs="宋体"/>
                <w:color w:val="auto"/>
                <w:kern w:val="0"/>
                <w:sz w:val="22"/>
                <w:szCs w:val="22"/>
                <w:highlight w:val="none"/>
                <w:lang w:eastAsia="zh-CN"/>
              </w:rPr>
              <w:t>政府采购促进中小企业发展管理办法</w:t>
            </w:r>
            <w:r>
              <w:rPr>
                <w:rFonts w:hint="eastAsia" w:ascii="宋体" w:hAnsi="宋体" w:eastAsia="宋体" w:cs="宋体"/>
                <w:color w:val="auto"/>
                <w:kern w:val="0"/>
                <w:sz w:val="22"/>
                <w:szCs w:val="22"/>
                <w:highlight w:val="none"/>
              </w:rPr>
              <w:t>》的通知（</w:t>
            </w:r>
            <w:r>
              <w:rPr>
                <w:rFonts w:hint="eastAsia" w:ascii="宋体" w:hAnsi="宋体" w:eastAsia="宋体" w:cs="宋体"/>
                <w:color w:val="auto"/>
                <w:kern w:val="0"/>
                <w:sz w:val="22"/>
                <w:szCs w:val="22"/>
                <w:highlight w:val="none"/>
                <w:lang w:eastAsia="zh-CN"/>
              </w:rPr>
              <w:t>财库﹝2020﹞46号</w:t>
            </w:r>
            <w:r>
              <w:rPr>
                <w:rFonts w:hint="eastAsia" w:ascii="宋体" w:hAnsi="宋体" w:eastAsia="宋体" w:cs="宋体"/>
                <w:color w:val="auto"/>
                <w:kern w:val="0"/>
                <w:sz w:val="22"/>
                <w:szCs w:val="22"/>
                <w:highlight w:val="none"/>
              </w:rPr>
              <w:t>）的规定的中小企业可享受优惠扶持。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满足关于政府采购支持监狱企业发展有关问题的通知（财库[2014]68号）的规定的供应商可享受优惠扶持。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满足关于促进残疾人就业政府采购政策的通知（财库[2017]141号）的规定的供应商可享受优惠扶持。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、节能产品、环境标志产品的强制采购政策</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、节能产品、环境标志产品的优先采购政策</w:t>
            </w:r>
          </w:p>
          <w:p>
            <w:pPr>
              <w:widowControl/>
              <w:snapToGrid w:val="0"/>
              <w:spacing w:line="460" w:lineRule="exact"/>
              <w:ind w:firstLine="440" w:firstLineChars="200"/>
              <w:jc w:val="lef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7</w:t>
            </w:r>
          </w:p>
        </w:tc>
        <w:tc>
          <w:tcPr>
            <w:tcW w:w="9676"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w:t>
            </w:r>
          </w:p>
          <w:p>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2）截止时点：提交投标文件（响应文件）截止时间前3年内；</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bl>
    <w:p>
      <w:pPr>
        <w:rPr>
          <w:rFonts w:hint="eastAsia" w:ascii="宋体" w:hAnsi="宋体" w:eastAsia="宋体" w:cs="宋体"/>
          <w:b/>
          <w:bCs/>
          <w:color w:val="auto"/>
          <w:sz w:val="26"/>
          <w:szCs w:val="26"/>
          <w:highlight w:val="none"/>
        </w:rPr>
      </w:pPr>
      <w:r>
        <w:rPr>
          <w:rFonts w:hint="eastAsia" w:ascii="宋体" w:hAnsi="宋体" w:eastAsia="宋体" w:cs="宋体"/>
          <w:b/>
          <w:bCs/>
          <w:color w:val="auto"/>
          <w:sz w:val="26"/>
          <w:szCs w:val="26"/>
          <w:highlight w:val="none"/>
        </w:rPr>
        <w:br w:type="page"/>
      </w:r>
    </w:p>
    <w:p>
      <w:pPr>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bookmarkStart w:id="10" w:name="_Toc20846"/>
      <w:bookmarkStart w:id="11" w:name="_Toc19070"/>
      <w:r>
        <w:rPr>
          <w:rFonts w:hint="eastAsia" w:ascii="宋体" w:hAnsi="宋体" w:eastAsia="宋体" w:cs="宋体"/>
          <w:b/>
          <w:bCs/>
          <w:color w:val="auto"/>
          <w:sz w:val="26"/>
          <w:szCs w:val="26"/>
          <w:highlight w:val="none"/>
        </w:rPr>
        <w:t>一、 说   明</w:t>
      </w:r>
      <w:bookmarkEnd w:id="10"/>
      <w:bookmarkEnd w:id="11"/>
    </w:p>
    <w:p>
      <w:pPr>
        <w:tabs>
          <w:tab w:val="left" w:pos="360"/>
        </w:tabs>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pPr>
        <w:tabs>
          <w:tab w:val="left" w:pos="360"/>
        </w:tabs>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pPr>
        <w:tabs>
          <w:tab w:val="left" w:pos="360"/>
        </w:tabs>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pPr>
        <w:tabs>
          <w:tab w:val="left" w:pos="360"/>
        </w:tabs>
        <w:spacing w:line="46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szCs w:val="22"/>
          <w:highlight w:val="none"/>
        </w:rPr>
        <w:t>3.1</w:t>
      </w:r>
      <w:r>
        <w:rPr>
          <w:rFonts w:hint="eastAsia" w:ascii="宋体" w:hAnsi="宋体" w:eastAsia="宋体" w:cs="宋体"/>
          <w:b/>
          <w:color w:val="auto"/>
          <w:sz w:val="22"/>
          <w:highlight w:val="none"/>
        </w:rPr>
        <w:t>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4.1</w:t>
      </w:r>
      <w:r>
        <w:rPr>
          <w:rFonts w:hint="eastAsia" w:ascii="宋体" w:hAnsi="宋体" w:eastAsia="宋体" w:cs="宋体"/>
          <w:color w:val="auto"/>
          <w:sz w:val="22"/>
          <w:szCs w:val="22"/>
          <w:highlight w:val="none"/>
        </w:rPr>
        <w:t>投标人应承担所有与准备和参加投标有关费用，不论投标的结果如何，招标人或招标代理机构均无义务和责任承担这些费用。</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2" w:name="_Toc9899"/>
      <w:bookmarkStart w:id="13" w:name="_Toc28278"/>
      <w:r>
        <w:rPr>
          <w:rFonts w:hint="eastAsia" w:ascii="宋体" w:hAnsi="宋体" w:eastAsia="宋体" w:cs="宋体"/>
          <w:b/>
          <w:bCs/>
          <w:color w:val="auto"/>
          <w:sz w:val="26"/>
          <w:szCs w:val="26"/>
          <w:highlight w:val="none"/>
        </w:rPr>
        <w:t>二、 招标文件</w:t>
      </w:r>
      <w:bookmarkEnd w:id="12"/>
      <w:bookmarkEnd w:id="13"/>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2、招标文件的澄清</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3、招标文件的修改</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eastAsia="宋体" w:cs="宋体"/>
          <w:color w:val="auto"/>
          <w:sz w:val="22"/>
          <w:szCs w:val="22"/>
          <w:highlight w:val="none"/>
        </w:rPr>
        <w:t>。</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4" w:name="_Toc12726"/>
      <w:bookmarkStart w:id="15" w:name="_Toc22646"/>
      <w:r>
        <w:rPr>
          <w:rFonts w:hint="eastAsia" w:ascii="宋体" w:hAnsi="宋体" w:eastAsia="宋体" w:cs="宋体"/>
          <w:b/>
          <w:bCs/>
          <w:color w:val="auto"/>
          <w:sz w:val="26"/>
          <w:szCs w:val="26"/>
          <w:highlight w:val="none"/>
        </w:rPr>
        <w:t>三、 投标文件的编制</w:t>
      </w:r>
      <w:bookmarkEnd w:id="14"/>
      <w:bookmarkEnd w:id="15"/>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1、投标人应认真阅读招标文件中所有事项、格式、条款和技术规范等。</w:t>
      </w:r>
      <w:r>
        <w:rPr>
          <w:rFonts w:hint="eastAsia" w:ascii="宋体" w:hAnsi="宋体" w:eastAsia="宋体" w:cs="宋体"/>
          <w:b/>
          <w:color w:val="auto"/>
          <w:sz w:val="22"/>
          <w:highlight w:val="none"/>
        </w:rPr>
        <w:t>投标人没有按照招标文件要求提交全部资料，或者没有对招标文件各个方面做出实质性响应，导致投标被否决的风险由投标人自行承担。</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rPr>
        <w:t>投标</w:t>
      </w:r>
      <w:r>
        <w:rPr>
          <w:rFonts w:hint="eastAsia" w:ascii="宋体" w:hAnsi="宋体" w:eastAsia="宋体" w:cs="宋体"/>
          <w:b/>
          <w:bCs/>
          <w:color w:val="auto"/>
          <w:kern w:val="0"/>
          <w:sz w:val="22"/>
          <w:szCs w:val="22"/>
          <w:highlight w:val="none"/>
          <w:lang w:val="zh-CN"/>
        </w:rPr>
        <w:t>文件应当包括以下主要内容：资格文件、报价文件、商务技术文件。</w:t>
      </w:r>
    </w:p>
    <w:p>
      <w:pPr>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pPr>
        <w:spacing w:line="460" w:lineRule="exact"/>
        <w:ind w:firstLine="539" w:firstLineChars="245"/>
        <w:rPr>
          <w:rFonts w:hint="eastAsia" w:ascii="宋体" w:hAnsi="宋体" w:eastAsia="宋体" w:cs="宋体"/>
          <w:color w:val="auto"/>
          <w:kern w:val="0"/>
          <w:sz w:val="22"/>
          <w:szCs w:val="22"/>
          <w:highlight w:val="none"/>
          <w:u w:val="none"/>
          <w:lang w:val="zh-CN"/>
        </w:rPr>
      </w:pPr>
      <w:r>
        <w:rPr>
          <w:rFonts w:hint="eastAsia" w:ascii="宋体" w:hAnsi="宋体" w:eastAsia="宋体" w:cs="宋体"/>
          <w:color w:val="auto"/>
          <w:kern w:val="0"/>
          <w:sz w:val="22"/>
          <w:szCs w:val="22"/>
          <w:highlight w:val="none"/>
          <w:u w:val="none"/>
          <w:lang w:val="zh-CN"/>
        </w:rPr>
        <w:t>基本资格条件审查材料：即证明其符合《中华人民共和国政府采购法》规定的供应商基本条件的有关资格证明文件。</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包括：</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w:t>
      </w:r>
      <w:r>
        <w:rPr>
          <w:rFonts w:hint="eastAsia" w:ascii="宋体" w:hAnsi="宋体" w:eastAsia="宋体" w:cs="宋体"/>
          <w:bCs/>
          <w:color w:val="auto"/>
          <w:sz w:val="22"/>
          <w:szCs w:val="22"/>
          <w:highlight w:val="none"/>
          <w:u w:val="none"/>
        </w:rPr>
        <w:t>营业执照</w:t>
      </w:r>
      <w:r>
        <w:rPr>
          <w:rFonts w:hint="eastAsia" w:ascii="宋体" w:hAnsi="宋体" w:eastAsia="宋体" w:cs="宋体"/>
          <w:color w:val="auto"/>
          <w:sz w:val="22"/>
          <w:szCs w:val="22"/>
          <w:highlight w:val="none"/>
          <w:u w:val="none"/>
        </w:rPr>
        <w:t xml:space="preserve">(或事业法人登记证书或其它工商等登记证明材料；自然人参与政府采购，提供身份证)复印件；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（2）最近一年财务报表(复印件，新成立的公司提供情况说明)；</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（3）具有履行合同所必需的场地、设备和专业技术能力的承诺函；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4</w:t>
      </w:r>
      <w:r>
        <w:rPr>
          <w:rFonts w:hint="eastAsia" w:ascii="宋体" w:hAnsi="宋体" w:eastAsia="宋体" w:cs="宋体"/>
          <w:color w:val="auto"/>
          <w:sz w:val="22"/>
          <w:szCs w:val="22"/>
          <w:highlight w:val="none"/>
          <w:u w:val="none"/>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5</w:t>
      </w:r>
      <w:r>
        <w:rPr>
          <w:rFonts w:hint="eastAsia" w:ascii="宋体" w:hAnsi="宋体" w:eastAsia="宋体" w:cs="宋体"/>
          <w:color w:val="auto"/>
          <w:sz w:val="22"/>
          <w:szCs w:val="22"/>
          <w:highlight w:val="none"/>
          <w:u w:val="none"/>
        </w:rPr>
        <w:t>）提供食品药品监督管理部门核发的完整有效的医疗器械注册或备案证明；（适用于按医疗器械管理的设备）</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6</w:t>
      </w:r>
      <w:r>
        <w:rPr>
          <w:rFonts w:hint="eastAsia" w:ascii="宋体" w:hAnsi="宋体" w:eastAsia="宋体" w:cs="宋体"/>
          <w:color w:val="auto"/>
          <w:sz w:val="22"/>
          <w:szCs w:val="22"/>
          <w:highlight w:val="none"/>
          <w:u w:val="none"/>
        </w:rPr>
        <w:t>）货物制造商或其它有销售资格（提供证明材料）的供应商出具的授权书（适用于投标人是进口货物代理商的情形）</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7</w:t>
      </w:r>
      <w:r>
        <w:rPr>
          <w:rFonts w:hint="eastAsia" w:ascii="宋体" w:hAnsi="宋体" w:eastAsia="宋体" w:cs="宋体"/>
          <w:color w:val="auto"/>
          <w:sz w:val="22"/>
          <w:szCs w:val="22"/>
          <w:highlight w:val="none"/>
          <w:u w:val="none"/>
        </w:rPr>
        <w:t>）依法缴纳税收和社会保障资金的承诺函；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cs="宋体"/>
          <w:color w:val="auto"/>
          <w:sz w:val="22"/>
          <w:szCs w:val="22"/>
          <w:highlight w:val="none"/>
          <w:u w:val="none"/>
          <w:lang w:val="en-US" w:eastAsia="zh-CN"/>
        </w:rPr>
        <w:t>8</w:t>
      </w:r>
      <w:r>
        <w:rPr>
          <w:rFonts w:hint="eastAsia" w:ascii="宋体" w:hAnsi="宋体" w:eastAsia="宋体" w:cs="宋体"/>
          <w:color w:val="auto"/>
          <w:sz w:val="22"/>
          <w:szCs w:val="22"/>
          <w:highlight w:val="none"/>
          <w:u w:val="none"/>
        </w:rPr>
        <w:t>）参加政府采购活动前3年内在经营活动中没有重大违法记录的声明函；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cs="宋体"/>
          <w:color w:val="auto"/>
          <w:sz w:val="22"/>
          <w:szCs w:val="22"/>
          <w:highlight w:val="none"/>
          <w:u w:val="none"/>
          <w:lang w:val="en-US" w:eastAsia="zh-CN"/>
        </w:rPr>
        <w:t>9</w:t>
      </w:r>
      <w:r>
        <w:rPr>
          <w:rFonts w:hint="eastAsia" w:ascii="宋体" w:hAnsi="宋体" w:eastAsia="宋体" w:cs="宋体"/>
          <w:color w:val="auto"/>
          <w:sz w:val="22"/>
          <w:szCs w:val="22"/>
          <w:highlight w:val="none"/>
          <w:u w:val="none"/>
        </w:rPr>
        <w:t>）单位负责人为同一人或者存在直接控股、管理关系的不同供应商，不得参加同一合同项下的政府采购活动承诺函；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cs="宋体"/>
          <w:color w:val="auto"/>
          <w:sz w:val="22"/>
          <w:szCs w:val="22"/>
          <w:highlight w:val="none"/>
          <w:u w:val="none"/>
          <w:lang w:val="en-US" w:eastAsia="zh-CN"/>
        </w:rPr>
        <w:t>10</w:t>
      </w:r>
      <w:r>
        <w:rPr>
          <w:rFonts w:hint="eastAsia" w:ascii="宋体" w:hAnsi="宋体" w:eastAsia="宋体" w:cs="宋体"/>
          <w:color w:val="auto"/>
          <w:sz w:val="22"/>
          <w:szCs w:val="22"/>
          <w:highlight w:val="none"/>
          <w:u w:val="none"/>
        </w:rPr>
        <w:t>）供应商不属于公益一类事业单位承诺函。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cs="宋体"/>
          <w:color w:val="auto"/>
          <w:sz w:val="22"/>
          <w:szCs w:val="22"/>
          <w:highlight w:val="none"/>
          <w:u w:val="none"/>
          <w:lang w:val="en-US" w:eastAsia="zh-CN"/>
        </w:rPr>
        <w:t>11</w:t>
      </w:r>
      <w:r>
        <w:rPr>
          <w:rFonts w:hint="eastAsia" w:ascii="宋体" w:hAnsi="宋体" w:eastAsia="宋体" w:cs="宋体"/>
          <w:color w:val="auto"/>
          <w:sz w:val="22"/>
          <w:szCs w:val="22"/>
          <w:highlight w:val="none"/>
          <w:u w:val="none"/>
        </w:rPr>
        <w:t>）未被“信用中国”（www.creditchina.gov.cn）、中国政府采购网（www.ccgp.gov.cn）列入失信被执行人、重大税收违法案件当事人名单、政府采购严重违法失信行为记录名单.</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信用信息查询记录和证据以项目公告发出日期后的网页截图为准；</w:t>
      </w:r>
    </w:p>
    <w:p>
      <w:pPr>
        <w:numPr>
          <w:ilvl w:val="0"/>
          <w:numId w:val="6"/>
        </w:num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采购活动确认声明书</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pPr>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（2）投标报价一览表；</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（3）投标分项报价表</w:t>
      </w:r>
    </w:p>
    <w:p>
      <w:pPr>
        <w:snapToGrid w:val="0"/>
        <w:spacing w:line="460" w:lineRule="exact"/>
        <w:ind w:left="105" w:leftChars="5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（4）中小企业声明函、监狱企业、残疾人福利性单位及其他相关的充分的证明材料。（如有）</w:t>
      </w:r>
      <w:r>
        <w:rPr>
          <w:rFonts w:hint="eastAsia" w:ascii="宋体" w:hAnsi="宋体" w:eastAsia="宋体" w:cs="宋体"/>
          <w:color w:val="auto"/>
          <w:sz w:val="22"/>
          <w:szCs w:val="22"/>
          <w:highlight w:val="none"/>
        </w:rPr>
        <w:t xml:space="preserve"> </w:t>
      </w:r>
    </w:p>
    <w:p>
      <w:pPr>
        <w:snapToGrid w:val="0"/>
        <w:spacing w:line="4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3.3</w:t>
      </w:r>
      <w:r>
        <w:rPr>
          <w:rFonts w:hint="eastAsia" w:ascii="宋体" w:hAnsi="宋体" w:eastAsia="宋体" w:cs="宋体"/>
          <w:color w:val="auto"/>
          <w:kern w:val="0"/>
          <w:sz w:val="22"/>
          <w:szCs w:val="22"/>
          <w:highlight w:val="none"/>
          <w:lang w:val="zh-CN"/>
        </w:rPr>
        <w:t>投标人的</w:t>
      </w:r>
      <w:r>
        <w:rPr>
          <w:rFonts w:hint="eastAsia" w:ascii="宋体" w:hAnsi="宋体" w:eastAsia="宋体" w:cs="宋体"/>
          <w:b/>
          <w:bCs/>
          <w:color w:val="auto"/>
          <w:kern w:val="0"/>
          <w:sz w:val="22"/>
          <w:szCs w:val="22"/>
          <w:highlight w:val="none"/>
          <w:lang w:val="zh-CN"/>
        </w:rPr>
        <w:t>商务技术文件</w:t>
      </w:r>
      <w:r>
        <w:rPr>
          <w:rFonts w:hint="eastAsia" w:ascii="宋体" w:hAnsi="宋体" w:eastAsia="宋体" w:cs="宋体"/>
          <w:color w:val="auto"/>
          <w:kern w:val="0"/>
          <w:sz w:val="22"/>
          <w:szCs w:val="22"/>
          <w:highlight w:val="none"/>
          <w:lang w:val="zh-CN"/>
        </w:rPr>
        <w:t xml:space="preserve">应包括以下内容： </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（1）法定代表人授权委托书（需提供法定代表人及授权委托人的身份证复印件加盖公章）；</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（2）投标人情况表</w:t>
      </w:r>
    </w:p>
    <w:p>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偏离表（</w:t>
      </w:r>
      <w:r>
        <w:rPr>
          <w:rFonts w:hint="eastAsia" w:ascii="宋体" w:hAnsi="宋体" w:eastAsia="宋体" w:cs="宋体"/>
          <w:color w:val="auto"/>
          <w:sz w:val="22"/>
          <w:szCs w:val="22"/>
          <w:highlight w:val="none"/>
        </w:rPr>
        <w:t>商务、技术偏离</w:t>
      </w:r>
      <w:r>
        <w:rPr>
          <w:rFonts w:hint="eastAsia" w:ascii="宋体" w:hAnsi="宋体" w:eastAsia="宋体" w:cs="宋体"/>
          <w:color w:val="auto"/>
          <w:sz w:val="22"/>
          <w:szCs w:val="22"/>
          <w:highlight w:val="none"/>
          <w:lang w:val="zh-CN"/>
        </w:rPr>
        <w:t>）</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详细供货清单说明一览表</w:t>
      </w:r>
    </w:p>
    <w:p>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备品、易损件、备件、专用工具清单</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投标设备配套的合理性，技术指标的先进性</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设备档次</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耗材试剂配送服务方案</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运行应急方案</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市场占有率</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售后服务</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投标人提供的超出招标文件的优惠条件</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13</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环境标志产品、节能产品</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）其他必要提供的资料。</w:t>
      </w:r>
    </w:p>
    <w:p>
      <w:pPr>
        <w:spacing w:line="460" w:lineRule="exact"/>
        <w:ind w:firstLine="442" w:firstLineChars="200"/>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投标文件中所需的各种证书、证件、证明资料如是复印件，须在复印件上加盖有效公章。</w:t>
      </w:r>
    </w:p>
    <w:p>
      <w:pPr>
        <w:pStyle w:val="29"/>
        <w:snapToGrid w:val="0"/>
        <w:spacing w:line="460" w:lineRule="exact"/>
        <w:ind w:firstLine="442"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zh-CN"/>
        </w:rPr>
        <w:t>投标人的</w:t>
      </w:r>
      <w:r>
        <w:rPr>
          <w:rFonts w:hint="eastAsia" w:ascii="宋体" w:hAnsi="宋体" w:eastAsia="宋体" w:cs="宋体"/>
          <w:color w:val="auto"/>
          <w:sz w:val="22"/>
          <w:szCs w:val="22"/>
          <w:highlight w:val="none"/>
        </w:rPr>
        <w:t>投标文件必须按照招标文件要求制作</w:t>
      </w:r>
      <w:r>
        <w:rPr>
          <w:rFonts w:hint="eastAsia" w:ascii="宋体" w:hAnsi="宋体" w:eastAsia="宋体" w:cs="宋体"/>
          <w:bCs/>
          <w:color w:val="auto"/>
          <w:sz w:val="22"/>
          <w:szCs w:val="22"/>
          <w:highlight w:val="none"/>
        </w:rPr>
        <w:t>。</w:t>
      </w:r>
    </w:p>
    <w:p>
      <w:pPr>
        <w:pStyle w:val="29"/>
        <w:snapToGrid w:val="0"/>
        <w:spacing w:line="460" w:lineRule="exact"/>
        <w:ind w:firstLine="442"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highlight w:val="none"/>
        </w:rPr>
        <w:t>4.1投标人应根据国家的有关规定和招标文件要求并结合企业的实际情况进行投标报价。投标报价以人民币为结算货币，供货、税金、包装、运输、保险、装卸、验收（含第三方验收）、技术服务、售后服务、质保期保障、材料费等合同所需的一切本身和不可或缺的所有工作开支、政策性文件规定及合同包含的所有风险、责任等各项全部费用并承担一切风险责任。在合同服务期间内不得违反国家相关政策规定，磋商供应商应根据上述因素自行考虑含入磋商报价。</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4.2投标人必须按附件中的投标报价一览表、投标分项报价表内容填写价格，并由投标人代表签署。</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4.3</w:t>
      </w:r>
      <w:r>
        <w:rPr>
          <w:rFonts w:hint="eastAsia" w:ascii="宋体" w:hAnsi="宋体" w:eastAsia="宋体" w:cs="宋体"/>
          <w:b/>
          <w:color w:val="auto"/>
          <w:sz w:val="22"/>
          <w:highlight w:val="none"/>
        </w:rPr>
        <w:t>投标货币以人民币进行投标</w:t>
      </w:r>
      <w:r>
        <w:rPr>
          <w:rFonts w:hint="eastAsia" w:ascii="宋体" w:hAnsi="宋体" w:eastAsia="宋体" w:cs="宋体"/>
          <w:b/>
          <w:color w:val="auto"/>
          <w:sz w:val="22"/>
          <w:szCs w:val="22"/>
          <w:highlight w:val="none"/>
        </w:rPr>
        <w:t>。</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4.4</w:t>
      </w:r>
      <w:r>
        <w:rPr>
          <w:rFonts w:hint="eastAsia" w:ascii="宋体" w:hAnsi="宋体" w:eastAsia="宋体" w:cs="宋体"/>
          <w:b/>
          <w:color w:val="auto"/>
          <w:sz w:val="22"/>
          <w:highlight w:val="none"/>
        </w:rPr>
        <w:t>招标人和招标代理机构不接受任何选择投标，对任何服务只允许一个价格。</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4.5招标人和</w:t>
      </w:r>
      <w:r>
        <w:rPr>
          <w:rFonts w:hint="eastAsia" w:ascii="宋体" w:hAnsi="宋体" w:eastAsia="宋体" w:cs="宋体"/>
          <w:color w:val="auto"/>
          <w:sz w:val="22"/>
          <w:highlight w:val="none"/>
        </w:rPr>
        <w:t>招标代理机构</w:t>
      </w:r>
      <w:r>
        <w:rPr>
          <w:rFonts w:hint="eastAsia" w:ascii="宋体" w:hAnsi="宋体" w:eastAsia="宋体" w:cs="宋体"/>
          <w:color w:val="auto"/>
          <w:sz w:val="22"/>
          <w:szCs w:val="22"/>
          <w:highlight w:val="none"/>
        </w:rPr>
        <w:t>要求分类报价是为了方便评标，但在任何情况下不限制招标人以其认为最合适的条款、条件签订合同的权利。</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4.6投标报价报出后，投标人不得以任何理由予以变更。任何包含价格调整的要求，将被认为是非实质性响应投标而予以否决。</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4.7最低报价不能作为中标的保证。</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5.1自开标之日起</w:t>
      </w:r>
      <w:r>
        <w:rPr>
          <w:rFonts w:hint="eastAsia" w:ascii="宋体" w:hAnsi="宋体" w:eastAsia="宋体" w:cs="宋体"/>
          <w:b/>
          <w:bCs/>
          <w:color w:val="auto"/>
          <w:sz w:val="22"/>
          <w:szCs w:val="22"/>
          <w:highlight w:val="none"/>
        </w:rPr>
        <w:t xml:space="preserve"> 120 </w:t>
      </w:r>
      <w:r>
        <w:rPr>
          <w:rFonts w:hint="eastAsia" w:ascii="宋体" w:hAnsi="宋体" w:eastAsia="宋体" w:cs="宋体"/>
          <w:b/>
          <w:color w:val="auto"/>
          <w:sz w:val="22"/>
          <w:szCs w:val="22"/>
          <w:highlight w:val="none"/>
        </w:rPr>
        <w:t>天内投标应保持有效。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6、投标保证金</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7、投标文件编制</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7.1本项目通过“政府采购云平台（http://zfcg.czt.zj.gov.cn）”实行在线投标响应（电子投标）。供应商应通过“政采云电子交易客户端”，并按照本招标文件和“政府采购云平台”的要求编制并加密投标文件。</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7.2投标人应当按照本章节 “投标文件的构成”规定的内容及顺序在“政采云电子交易客户端”编制投标文件。其中《资格文件》和《商务技术文件》中不得出现本项目投标报价。</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7.4《投标文件》内容不完整、编排混乱导致《投标文件》被误读、漏读或者查找不到相关内容的，投标人自行负责。</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7.5《投标文件》因字迹潦草或表达不清所引起的后果由投标人负责。</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8、投标文件的签章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8.1《投标文件》的签章：见《前附表》；</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8.2《投标文件》应由投标人法定代表人或其授权代表签字（或盖章），并时加盖投标人公章。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8.3电子签章操作指南详见采购公告附件《供应商项目采购-电子招投标操作指南》。</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9、投标文件的形式</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9.1投标文件的形式：见《前附表》；</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9.2“电子加密投标文件”：“电子加密投标文件”是指通过“政采云电子交易客户端”完成投标文件编制后生成并加密的数据电文形式的投标文件。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10、投标文件的份数</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10.1投标文件的份数：见《前附表》。</w:t>
      </w:r>
    </w:p>
    <w:p>
      <w:pPr>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6" w:name="_Toc18542"/>
      <w:bookmarkStart w:id="17" w:name="_Toc15422"/>
      <w:r>
        <w:rPr>
          <w:rFonts w:hint="eastAsia" w:ascii="宋体" w:hAnsi="宋体" w:eastAsia="宋体" w:cs="宋体"/>
          <w:b/>
          <w:bCs/>
          <w:color w:val="auto"/>
          <w:sz w:val="22"/>
          <w:szCs w:val="22"/>
          <w:highlight w:val="none"/>
        </w:rPr>
        <w:t>四、 投标文件的递交</w:t>
      </w:r>
      <w:bookmarkEnd w:id="16"/>
      <w:bookmarkEnd w:id="17"/>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1、投标文件的上传和递交</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1.1“投标文件”的上传、递交：见《前附表》。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2、“电子加密投标文件”解密和异常情况处理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8" w:name="_Toc30172"/>
      <w:bookmarkStart w:id="19" w:name="_Toc8079"/>
      <w:r>
        <w:rPr>
          <w:rFonts w:hint="eastAsia" w:ascii="宋体" w:hAnsi="宋体" w:eastAsia="宋体" w:cs="宋体"/>
          <w:b/>
          <w:bCs/>
          <w:color w:val="auto"/>
          <w:sz w:val="22"/>
          <w:szCs w:val="22"/>
          <w:highlight w:val="none"/>
        </w:rPr>
        <w:t>五、 开标和评标</w:t>
      </w:r>
      <w:bookmarkEnd w:id="18"/>
      <w:bookmarkEnd w:id="19"/>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招标人和招标代理机构组建评标委员会。评标委员会的成员在评标过程中必须严格遵守《政府采购法》等有关法律、法规的规定。</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2、评标过程的保密性</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3、开标形式</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采购组织机构将按照招标文件规定的时间通过“政府采购云平台”组织开标、开启投标文件，所有供应商均应当准时(在线)参加。</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4、开标准备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4.1开标的准备工作由采购组织机构负责落实；</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w:t>
      </w:r>
      <w:r>
        <w:rPr>
          <w:rFonts w:hint="eastAsia" w:ascii="宋体" w:hAnsi="宋体" w:eastAsia="宋体" w:cs="宋体"/>
          <w:b/>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5、开标流程</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5.1开标、评标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投标人不足3家的，不得开标。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（2）解密成功后，开启投标人的《报价文件》，由供应商对自己报价文件相关内容进行签字确认，（不予确认的应说明理由，否则视为无异议）。</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r>
        <w:rPr>
          <w:rFonts w:hint="eastAsia" w:ascii="宋体" w:hAnsi="宋体" w:eastAsia="宋体" w:cs="宋体"/>
          <w:bCs/>
          <w:color w:val="auto"/>
          <w:sz w:val="22"/>
          <w:szCs w:val="22"/>
          <w:highlight w:val="none"/>
        </w:rPr>
        <w:t>合格投标人不足3家的，不得评标。</w:t>
      </w:r>
    </w:p>
    <w:p>
      <w:pPr>
        <w:spacing w:line="460" w:lineRule="exact"/>
        <w:ind w:firstLine="541" w:firstLineChars="245"/>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pPr>
        <w:spacing w:line="460" w:lineRule="exact"/>
        <w:ind w:firstLine="539" w:firstLineChars="245"/>
        <w:rPr>
          <w:rFonts w:hint="eastAsia" w:ascii="宋体" w:hAnsi="宋体" w:eastAsia="宋体" w:cs="宋体"/>
          <w:color w:val="auto"/>
          <w:sz w:val="22"/>
          <w:szCs w:val="22"/>
          <w:highlight w:val="none"/>
        </w:rPr>
      </w:pPr>
      <w:bookmarkStart w:id="20" w:name="_Toc24550037"/>
      <w:bookmarkStart w:id="21" w:name="_Toc33194393"/>
      <w:r>
        <w:rPr>
          <w:rFonts w:hint="eastAsia" w:ascii="宋体" w:hAnsi="宋体" w:eastAsia="宋体" w:cs="宋体"/>
          <w:color w:val="auto"/>
          <w:sz w:val="22"/>
          <w:szCs w:val="22"/>
          <w:highlight w:val="none"/>
        </w:rPr>
        <w:t>6、投标人资格审查</w:t>
      </w:r>
      <w:bookmarkEnd w:id="20"/>
      <w:bookmarkEnd w:id="21"/>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6.1开标大会结束后，招标人或采购代理机构首先依法对各投标人的资格进行审查，审查各投标人的资格是否满足招标文件的要求。</w:t>
      </w:r>
      <w:r>
        <w:rPr>
          <w:rFonts w:hint="eastAsia" w:ascii="宋体" w:hAnsi="宋体" w:eastAsia="宋体" w:cs="宋体"/>
          <w:color w:val="auto"/>
          <w:sz w:val="22"/>
          <w:szCs w:val="22"/>
          <w:highlight w:val="none"/>
        </w:rPr>
        <w:t>招标人或采购代理机构对投标人所提交的资格证明材料仅负审核的责任。如发现投标人所提交的资格证明材料不合法或与事实不符，招标人可取消其中标资格并追究投标人的法律责任。</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color w:val="auto"/>
          <w:kern w:val="0"/>
          <w:sz w:val="22"/>
          <w:szCs w:val="22"/>
          <w:highlight w:val="none"/>
        </w:rPr>
        <w:t>将对其作资格审查不通过处理（无效投标），并不再将其投标提交评标委员会进行后续评审。</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6</w:t>
      </w:r>
      <w:r>
        <w:rPr>
          <w:rFonts w:hint="eastAsia" w:ascii="宋体" w:hAnsi="宋体" w:eastAsia="宋体" w:cs="宋体"/>
          <w:b/>
          <w:color w:val="auto"/>
          <w:kern w:val="0"/>
          <w:sz w:val="22"/>
          <w:szCs w:val="22"/>
          <w:highlight w:val="none"/>
        </w:rPr>
        <w:t>.3单位负责人为同一人或者存在直接控股、管理关系的不同供应商参加同一合同项下的政府采购活动的，相关投标人均作资格无效处理。</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7、评标委员按照招标文件中规定的评标方法和标准，对投标文件进行商务和技术评估，综合比较与评价。</w:t>
      </w:r>
    </w:p>
    <w:p>
      <w:pPr>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（10）法律、法规和招标文件规定的其他无效情形。</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（5）不同投标人的投标文件相互混装。</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12.2</w:t>
      </w:r>
      <w:r>
        <w:rPr>
          <w:rFonts w:hint="eastAsia" w:ascii="宋体" w:hAnsi="宋体" w:eastAsia="宋体" w:cs="宋体"/>
          <w:b/>
          <w:color w:val="auto"/>
          <w:sz w:val="22"/>
          <w:szCs w:val="22"/>
          <w:highlight w:val="none"/>
        </w:rPr>
        <w:t>经澄清后，若偏差仍存在，且不可接受，投标人则被认为是“没有实质性响应招标文件要求”，其投标将被拒绝。</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13、评审结果的修改</w:t>
      </w:r>
    </w:p>
    <w:p>
      <w:pPr>
        <w:spacing w:line="460" w:lineRule="exact"/>
        <w:ind w:firstLine="762" w:firstLineChars="3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13.1评标结果汇总完成后，除下列情形外，任何人不得修改评标结果：</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pPr>
        <w:spacing w:line="460" w:lineRule="exact"/>
        <w:ind w:firstLine="759" w:firstLineChars="3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13.2书面评标报告签署前，经复核发现存在以上情形之一的，评标委员会将当场修改评标结果，并在</w:t>
      </w:r>
      <w:r>
        <w:rPr>
          <w:rFonts w:hint="eastAsia" w:ascii="宋体" w:hAnsi="宋体" w:eastAsia="宋体" w:cs="宋体"/>
          <w:b/>
          <w:color w:val="auto"/>
          <w:sz w:val="22"/>
          <w:szCs w:val="22"/>
          <w:highlight w:val="none"/>
        </w:rPr>
        <w:t>评标报告中记载。</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14</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14.1由评标委员会确定中标候选人。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762" w:firstLineChars="345"/>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15、确定中标人</w:t>
      </w:r>
    </w:p>
    <w:p>
      <w:pPr>
        <w:spacing w:line="460" w:lineRule="exact"/>
        <w:ind w:firstLine="762" w:firstLineChars="345"/>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15</w:t>
      </w:r>
      <w:r>
        <w:rPr>
          <w:rFonts w:hint="eastAsia" w:ascii="宋体" w:hAnsi="宋体" w:eastAsia="宋体" w:cs="宋体"/>
          <w:b/>
          <w:bCs/>
          <w:color w:val="auto"/>
          <w:sz w:val="22"/>
          <w:szCs w:val="22"/>
          <w:highlight w:val="none"/>
        </w:rPr>
        <w:t>.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16、起草、签署评审报告</w:t>
      </w:r>
    </w:p>
    <w:p>
      <w:pPr>
        <w:spacing w:line="460" w:lineRule="exact"/>
        <w:ind w:firstLine="759" w:firstLineChars="3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中标人确定后，招标人将在政府指定媒体公告中标结果，招标人向中标人发出中标通知书。</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18、</w:t>
      </w:r>
      <w:r>
        <w:rPr>
          <w:rFonts w:hint="eastAsia" w:ascii="宋体" w:hAnsi="宋体" w:eastAsia="宋体" w:cs="宋体"/>
          <w:b/>
          <w:color w:val="auto"/>
          <w:sz w:val="22"/>
          <w:szCs w:val="22"/>
          <w:highlight w:val="none"/>
        </w:rPr>
        <w:t>招标人对决标结果不做任何解释，也不保证最低价中标。</w:t>
      </w:r>
    </w:p>
    <w:p>
      <w:pPr>
        <w:spacing w:line="460" w:lineRule="exact"/>
        <w:ind w:firstLine="762" w:firstLineChars="3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19、评标细则详见“评标原则及方法”。</w:t>
      </w:r>
    </w:p>
    <w:p>
      <w:pPr>
        <w:spacing w:before="100" w:beforeAutospacing="1" w:after="100" w:afterAutospacing="1" w:line="440" w:lineRule="exact"/>
        <w:jc w:val="center"/>
        <w:outlineLvl w:val="1"/>
        <w:rPr>
          <w:rFonts w:hint="eastAsia" w:ascii="宋体" w:hAnsi="宋体" w:eastAsia="宋体" w:cs="宋体"/>
          <w:b/>
          <w:bCs/>
          <w:color w:val="auto"/>
          <w:sz w:val="26"/>
          <w:szCs w:val="26"/>
          <w:highlight w:val="none"/>
        </w:rPr>
      </w:pPr>
      <w:bookmarkStart w:id="22" w:name="_Toc26836"/>
      <w:bookmarkStart w:id="23" w:name="_Toc21056"/>
      <w:r>
        <w:rPr>
          <w:rFonts w:hint="eastAsia" w:ascii="宋体" w:hAnsi="宋体" w:eastAsia="宋体" w:cs="宋体"/>
          <w:b/>
          <w:bCs/>
          <w:color w:val="auto"/>
          <w:sz w:val="26"/>
          <w:szCs w:val="26"/>
          <w:highlight w:val="none"/>
        </w:rPr>
        <w:t>六、 授予合同</w:t>
      </w:r>
      <w:bookmarkEnd w:id="22"/>
      <w:bookmarkEnd w:id="23"/>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1、中标通知书</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1.1</w:t>
      </w:r>
      <w:r>
        <w:rPr>
          <w:rFonts w:hint="eastAsia" w:ascii="宋体" w:hAnsi="宋体" w:eastAsia="宋体" w:cs="宋体"/>
          <w:color w:val="auto"/>
          <w:sz w:val="22"/>
          <w:szCs w:val="22"/>
          <w:highlight w:val="none"/>
        </w:rPr>
        <w:t xml:space="preserve">中标人确定后，招标人将向中标人发出中标通知书。 </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1.2</w:t>
      </w:r>
      <w:r>
        <w:rPr>
          <w:rFonts w:hint="eastAsia" w:ascii="宋体" w:hAnsi="宋体" w:eastAsia="宋体" w:cs="宋体"/>
          <w:color w:val="auto"/>
          <w:sz w:val="22"/>
          <w:szCs w:val="22"/>
          <w:highlight w:val="none"/>
        </w:rPr>
        <w:t>中标通知书是合同的一个组成部分,对招标人和中标人均具有同等法律效力。</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2、授标时更改采购货物数量的权力</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2.1招标人在授予合同时有权对采购货物的数量和服务在一定幅度范围内予以增加或减少,但不得对单价和其他的条款和条件作任何改变。</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3、签订合同</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3.1中标人应按中标通知书规定的时间、地点与招标人签订合同。</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3.2</w:t>
      </w:r>
      <w:r>
        <w:rPr>
          <w:rFonts w:hint="eastAsia" w:ascii="宋体" w:hAnsi="宋体" w:eastAsia="宋体" w:cs="宋体"/>
          <w:b/>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3.3招标文件、中标人的投标文件、投标修改文件、评标过程中有关澄清文件及经投标人和评委双方签字的询标纪要和中标通知书均作为合同附件。</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3.4拒签合同的违约责任</w:t>
      </w:r>
    </w:p>
    <w:p>
      <w:pPr>
        <w:spacing w:line="460" w:lineRule="exact"/>
        <w:ind w:firstLine="571" w:firstLineChars="245"/>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中标人接到中标通知书后，在规定时间内借故否认已经承诺的条件而拒签合同的，以违约处理。</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4、履约保证金</w:t>
      </w:r>
    </w:p>
    <w:p>
      <w:pPr>
        <w:spacing w:line="460" w:lineRule="exact"/>
        <w:ind w:firstLine="539" w:firstLineChars="24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4.1中标人在收到中标通知书后，须向招标人提交合同总价</w:t>
      </w:r>
      <w:r>
        <w:rPr>
          <w:rFonts w:hint="eastAsia" w:ascii="宋体" w:hAnsi="宋体" w:eastAsia="宋体" w:cs="宋体"/>
          <w:bCs/>
          <w:color w:val="auto"/>
          <w:sz w:val="22"/>
          <w:highlight w:val="none"/>
          <w:lang w:val="en-US" w:eastAsia="zh-CN"/>
        </w:rPr>
        <w:t>5</w:t>
      </w:r>
      <w:r>
        <w:rPr>
          <w:rFonts w:hint="eastAsia" w:ascii="宋体" w:hAnsi="宋体" w:eastAsia="宋体" w:cs="宋体"/>
          <w:bCs/>
          <w:color w:val="auto"/>
          <w:sz w:val="22"/>
          <w:highlight w:val="none"/>
        </w:rPr>
        <w:t>%的履约保证金。</w:t>
      </w:r>
    </w:p>
    <w:p>
      <w:pPr>
        <w:spacing w:line="460" w:lineRule="exact"/>
        <w:ind w:firstLine="539" w:firstLineChars="24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4.2履约保证金用于补偿招标人因中标人不能履行其合同义务而蒙受的损失。</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highlight w:val="none"/>
        </w:rPr>
        <w:t>4.3履约保证金自合同签订之日起至货物验收合格止有效。有效期满后，</w:t>
      </w:r>
      <w:r>
        <w:rPr>
          <w:rFonts w:hint="eastAsia" w:ascii="宋体" w:hAnsi="宋体" w:eastAsia="宋体" w:cs="宋体"/>
          <w:bCs/>
          <w:color w:val="auto"/>
          <w:sz w:val="22"/>
          <w:highlight w:val="none"/>
          <w:lang w:eastAsia="zh-CN"/>
        </w:rPr>
        <w:t>招标人</w:t>
      </w:r>
      <w:r>
        <w:rPr>
          <w:rFonts w:hint="eastAsia" w:ascii="宋体" w:hAnsi="宋体" w:eastAsia="宋体" w:cs="宋体"/>
          <w:bCs/>
          <w:color w:val="auto"/>
          <w:sz w:val="22"/>
          <w:highlight w:val="none"/>
        </w:rPr>
        <w:t>应及时将履约保证金无息退还给中标人。</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5、质疑与投诉</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pPr>
        <w:spacing w:line="460" w:lineRule="exact"/>
        <w:ind w:firstLine="539" w:firstLineChars="245"/>
        <w:rPr>
          <w:rFonts w:hint="eastAsia" w:ascii="宋体" w:hAnsi="宋体" w:eastAsia="宋体" w:cs="宋体"/>
          <w:color w:val="auto"/>
          <w:sz w:val="22"/>
          <w:highlight w:val="none"/>
        </w:rPr>
      </w:pPr>
      <w:r>
        <w:rPr>
          <w:rFonts w:hint="eastAsia" w:ascii="宋体" w:hAnsi="宋体" w:eastAsia="宋体" w:cs="宋体"/>
          <w:color w:val="auto"/>
          <w:sz w:val="22"/>
          <w:highlight w:val="none"/>
        </w:rPr>
        <w:t>5.3投诉人投诉时，应提交投诉书，投诉书应当由本人并由法定代表人签字盖公章，投诉书应说明具体的投诉事项及事实依据。投诉人对投诉书的真实性负责，恶意投诉将承当相应的法律和民事责任。</w:t>
      </w:r>
    </w:p>
    <w:p>
      <w:pPr>
        <w:rPr>
          <w:rFonts w:hint="eastAsia" w:ascii="宋体" w:hAnsi="宋体" w:eastAsia="宋体" w:cs="宋体"/>
          <w:color w:val="auto"/>
          <w:sz w:val="22"/>
          <w:highlight w:val="none"/>
        </w:rPr>
      </w:pPr>
    </w:p>
    <w:p>
      <w:pPr>
        <w:rPr>
          <w:rFonts w:hint="eastAsia" w:ascii="宋体" w:hAnsi="宋体" w:eastAsia="宋体" w:cs="宋体"/>
        </w:rPr>
      </w:pPr>
      <w:bookmarkStart w:id="24" w:name="_Toc19043"/>
      <w:bookmarkStart w:id="25" w:name="_Toc28194"/>
      <w:r>
        <w:rPr>
          <w:rFonts w:hint="eastAsia" w:ascii="宋体" w:hAnsi="宋体" w:eastAsia="宋体" w:cs="宋体"/>
        </w:rPr>
        <w:br w:type="page"/>
      </w:r>
    </w:p>
    <w:p>
      <w:pPr>
        <w:pStyle w:val="4"/>
        <w:bidi w:val="0"/>
        <w:rPr>
          <w:rFonts w:hint="eastAsia" w:ascii="宋体" w:hAnsi="宋体" w:eastAsia="宋体" w:cs="宋体"/>
        </w:rPr>
      </w:pPr>
      <w:r>
        <w:rPr>
          <w:rFonts w:hint="eastAsia" w:ascii="宋体" w:hAnsi="宋体" w:eastAsia="宋体" w:cs="宋体"/>
        </w:rPr>
        <w:t>第二部分    合同主要条款</w:t>
      </w:r>
      <w:bookmarkEnd w:id="24"/>
      <w:bookmarkEnd w:id="25"/>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注：如甲、乙双方同意，合同格式也可以按照其他形式, 具体条款以甲方为主协商确定。但合同条款的基本内容应与以下要求的内容相一致。</w:t>
      </w:r>
    </w:p>
    <w:p>
      <w:pPr>
        <w:keepNext w:val="0"/>
        <w:keepLines w:val="0"/>
        <w:pageBreakBefore w:val="0"/>
        <w:widowControl w:val="0"/>
        <w:kinsoku/>
        <w:wordWrap/>
        <w:overflowPunct/>
        <w:topLinePunct w:val="0"/>
        <w:autoSpaceDE w:val="0"/>
        <w:autoSpaceDN w:val="0"/>
        <w:bidi w:val="0"/>
        <w:adjustRightInd/>
        <w:snapToGrid/>
        <w:spacing w:before="98" w:line="240" w:lineRule="atLeast"/>
        <w:ind w:left="5212" w:leftChars="2482" w:right="405" w:rightChars="193" w:firstLine="2518" w:firstLineChars="1200"/>
        <w:jc w:val="left"/>
        <w:textAlignment w:val="auto"/>
        <w:outlineLvl w:val="9"/>
        <w:rPr>
          <w:rFonts w:hint="eastAsia" w:ascii="新宋体" w:hAnsi="新宋体" w:eastAsia="新宋体" w:cs="新宋体"/>
          <w:b/>
          <w:bCs/>
          <w:color w:val="000000"/>
          <w:kern w:val="0"/>
          <w:sz w:val="22"/>
          <w:szCs w:val="22"/>
          <w:highlight w:val="none"/>
          <w:lang w:val="zh-CN"/>
        </w:rPr>
      </w:pPr>
      <w:bookmarkStart w:id="26" w:name="_Toc9247341"/>
      <w:bookmarkStart w:id="27" w:name="_Toc527802469"/>
      <w:r>
        <w:rPr>
          <w:rFonts w:hint="eastAsia" w:ascii="新宋体" w:hAnsi="新宋体" w:eastAsia="新宋体" w:cs="新宋体"/>
          <w:b/>
          <w:bCs/>
          <w:color w:val="000000"/>
          <w:w w:val="95"/>
          <w:kern w:val="0"/>
          <w:sz w:val="22"/>
          <w:szCs w:val="22"/>
          <w:highlight w:val="none"/>
          <w:lang w:val="zh-CN"/>
        </w:rPr>
        <w:t>合同编号：</w:t>
      </w:r>
      <w:bookmarkEnd w:id="26"/>
      <w:bookmarkEnd w:id="27"/>
      <w:r>
        <w:rPr>
          <w:rFonts w:hint="eastAsia" w:ascii="新宋体" w:hAnsi="新宋体" w:eastAsia="新宋体" w:cs="新宋体"/>
          <w:b/>
          <w:bCs/>
          <w:color w:val="000000"/>
          <w:w w:val="95"/>
          <w:kern w:val="0"/>
          <w:sz w:val="22"/>
          <w:szCs w:val="22"/>
          <w:highlight w:val="none"/>
          <w:lang w:val="zh-CN"/>
        </w:rPr>
        <w:t xml:space="preserve"> </w:t>
      </w:r>
    </w:p>
    <w:p>
      <w:pPr>
        <w:autoSpaceDE w:val="0"/>
        <w:autoSpaceDN w:val="0"/>
        <w:spacing w:line="460" w:lineRule="exact"/>
        <w:jc w:val="left"/>
        <w:rPr>
          <w:rFonts w:hint="eastAsia" w:ascii="新宋体" w:hAnsi="新宋体" w:eastAsia="新宋体" w:cs="新宋体"/>
          <w:b/>
          <w:color w:val="000000"/>
          <w:kern w:val="0"/>
          <w:sz w:val="22"/>
          <w:szCs w:val="22"/>
          <w:highlight w:val="none"/>
          <w:lang w:val="zh-CN"/>
        </w:rPr>
      </w:pPr>
      <w:r>
        <w:rPr>
          <w:rFonts w:hint="eastAsia" w:ascii="新宋体" w:hAnsi="新宋体" w:eastAsia="新宋体" w:cs="新宋体"/>
          <w:b/>
          <w:color w:val="000000"/>
          <w:kern w:val="0"/>
          <w:sz w:val="22"/>
          <w:szCs w:val="22"/>
          <w:highlight w:val="none"/>
          <w:lang w:val="zh-CN"/>
        </w:rPr>
        <w:t>甲方（</w:t>
      </w:r>
      <w:r>
        <w:rPr>
          <w:rFonts w:hint="eastAsia" w:ascii="新宋体" w:hAnsi="新宋体" w:eastAsia="新宋体" w:cs="新宋体"/>
          <w:b/>
          <w:color w:val="000000"/>
          <w:kern w:val="0"/>
          <w:sz w:val="22"/>
          <w:szCs w:val="22"/>
          <w:highlight w:val="none"/>
          <w:lang w:val="en-US" w:eastAsia="zh-CN"/>
        </w:rPr>
        <w:t>招标人</w:t>
      </w:r>
      <w:r>
        <w:rPr>
          <w:rFonts w:hint="eastAsia" w:ascii="新宋体" w:hAnsi="新宋体" w:eastAsia="新宋体" w:cs="新宋体"/>
          <w:b/>
          <w:color w:val="000000"/>
          <w:kern w:val="0"/>
          <w:sz w:val="22"/>
          <w:szCs w:val="22"/>
          <w:highlight w:val="none"/>
          <w:lang w:val="zh-CN"/>
        </w:rPr>
        <w:t>）：温州市中医院</w:t>
      </w:r>
    </w:p>
    <w:p>
      <w:pPr>
        <w:autoSpaceDE w:val="0"/>
        <w:autoSpaceDN w:val="0"/>
        <w:spacing w:line="460" w:lineRule="exact"/>
        <w:jc w:val="left"/>
        <w:rPr>
          <w:rFonts w:hint="eastAsia" w:ascii="新宋体" w:hAnsi="新宋体" w:eastAsia="新宋体" w:cs="新宋体"/>
          <w:b/>
          <w:color w:val="000000"/>
          <w:kern w:val="0"/>
          <w:sz w:val="22"/>
          <w:szCs w:val="22"/>
          <w:highlight w:val="none"/>
          <w:lang w:val="zh-CN"/>
        </w:rPr>
      </w:pPr>
      <w:r>
        <w:rPr>
          <w:rFonts w:hint="eastAsia" w:ascii="新宋体" w:hAnsi="新宋体" w:eastAsia="新宋体" w:cs="新宋体"/>
          <w:b/>
          <w:color w:val="000000"/>
          <w:kern w:val="0"/>
          <w:sz w:val="22"/>
          <w:szCs w:val="22"/>
          <w:highlight w:val="none"/>
          <w:lang w:val="zh-CN"/>
        </w:rPr>
        <w:t>乙方（</w:t>
      </w:r>
      <w:r>
        <w:rPr>
          <w:rFonts w:hint="eastAsia" w:ascii="新宋体" w:hAnsi="新宋体" w:eastAsia="新宋体" w:cs="新宋体"/>
          <w:b/>
          <w:color w:val="000000"/>
          <w:kern w:val="0"/>
          <w:sz w:val="22"/>
          <w:szCs w:val="22"/>
          <w:highlight w:val="none"/>
          <w:lang w:val="en-US" w:eastAsia="zh-CN"/>
        </w:rPr>
        <w:t>中标人</w:t>
      </w:r>
      <w:r>
        <w:rPr>
          <w:rFonts w:hint="eastAsia" w:ascii="新宋体" w:hAnsi="新宋体" w:eastAsia="新宋体" w:cs="新宋体"/>
          <w:b/>
          <w:color w:val="000000"/>
          <w:kern w:val="0"/>
          <w:sz w:val="22"/>
          <w:szCs w:val="22"/>
          <w:highlight w:val="none"/>
          <w:lang w:val="zh-CN"/>
        </w:rPr>
        <w:t xml:space="preserve">）： </w:t>
      </w:r>
    </w:p>
    <w:p>
      <w:pPr>
        <w:autoSpaceDE w:val="0"/>
        <w:autoSpaceDN w:val="0"/>
        <w:spacing w:line="460" w:lineRule="exact"/>
        <w:ind w:right="199" w:rightChars="95" w:firstLine="690" w:firstLineChars="314"/>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lang w:val="zh-CN"/>
        </w:rPr>
        <w:t>根据《中华人民共和国政府采购法》、《中华人民共和国</w:t>
      </w:r>
      <w:r>
        <w:rPr>
          <w:rFonts w:hint="eastAsia" w:ascii="新宋体" w:hAnsi="新宋体" w:eastAsia="新宋体" w:cs="新宋体"/>
          <w:color w:val="000000"/>
          <w:kern w:val="0"/>
          <w:sz w:val="22"/>
          <w:szCs w:val="22"/>
          <w:highlight w:val="none"/>
        </w:rPr>
        <w:t>民法典</w:t>
      </w:r>
      <w:r>
        <w:rPr>
          <w:rFonts w:hint="eastAsia" w:ascii="新宋体" w:hAnsi="新宋体" w:eastAsia="新宋体" w:cs="新宋体"/>
          <w:color w:val="000000"/>
          <w:kern w:val="0"/>
          <w:sz w:val="22"/>
          <w:szCs w:val="22"/>
          <w:highlight w:val="none"/>
          <w:lang w:val="zh-CN"/>
        </w:rPr>
        <w:t>》等相关法律法规，以及化学发光免疫分析系统耗材（试剂）及配套设备租赁</w:t>
      </w:r>
      <w:r>
        <w:rPr>
          <w:rFonts w:hint="eastAsia" w:ascii="新宋体" w:hAnsi="新宋体" w:eastAsia="新宋体" w:cs="新宋体"/>
          <w:color w:val="000000"/>
          <w:w w:val="95"/>
          <w:kern w:val="0"/>
          <w:sz w:val="22"/>
          <w:szCs w:val="22"/>
          <w:highlight w:val="none"/>
          <w:lang w:val="zh-CN"/>
        </w:rPr>
        <w:t>项</w:t>
      </w:r>
      <w:r>
        <w:rPr>
          <w:rFonts w:hint="eastAsia" w:ascii="新宋体" w:hAnsi="新宋体" w:eastAsia="新宋体" w:cs="新宋体"/>
          <w:color w:val="000000"/>
          <w:kern w:val="0"/>
          <w:sz w:val="22"/>
          <w:szCs w:val="22"/>
          <w:highlight w:val="none"/>
          <w:lang w:val="zh-CN"/>
        </w:rPr>
        <w:t>目（以下简称“项目”）招标文件、中标</w:t>
      </w:r>
      <w:r>
        <w:rPr>
          <w:rFonts w:hint="eastAsia" w:ascii="新宋体" w:hAnsi="新宋体" w:eastAsia="新宋体" w:cs="新宋体"/>
          <w:color w:val="000000"/>
          <w:kern w:val="0"/>
          <w:sz w:val="22"/>
          <w:szCs w:val="22"/>
          <w:highlight w:val="none"/>
        </w:rPr>
        <w:t>人</w:t>
      </w:r>
      <w:r>
        <w:rPr>
          <w:rFonts w:hint="eastAsia" w:ascii="新宋体" w:hAnsi="新宋体" w:eastAsia="新宋体" w:cs="新宋体"/>
          <w:color w:val="000000"/>
          <w:kern w:val="0"/>
          <w:sz w:val="22"/>
          <w:szCs w:val="22"/>
          <w:highlight w:val="none"/>
          <w:lang w:val="zh-CN"/>
        </w:rPr>
        <w:t>投标文件、项目采购协议，或入围承诺书，甲乙双方经协商一致，签署本合同。</w:t>
      </w:r>
    </w:p>
    <w:p>
      <w:pPr>
        <w:autoSpaceDE w:val="0"/>
        <w:autoSpaceDN w:val="0"/>
        <w:spacing w:line="460" w:lineRule="exact"/>
        <w:jc w:val="left"/>
        <w:outlineLvl w:val="1"/>
        <w:rPr>
          <w:rFonts w:hint="eastAsia" w:ascii="新宋体" w:hAnsi="新宋体" w:eastAsia="新宋体" w:cs="新宋体"/>
          <w:b/>
          <w:bCs/>
          <w:color w:val="000000"/>
          <w:kern w:val="0"/>
          <w:sz w:val="22"/>
          <w:szCs w:val="22"/>
          <w:highlight w:val="none"/>
          <w:lang w:val="zh-CN"/>
        </w:rPr>
      </w:pPr>
      <w:bookmarkStart w:id="28" w:name="_Toc527802470"/>
      <w:bookmarkStart w:id="29" w:name="_Toc9247342"/>
      <w:r>
        <w:rPr>
          <w:rFonts w:hint="eastAsia" w:ascii="新宋体" w:hAnsi="新宋体" w:eastAsia="新宋体" w:cs="新宋体"/>
          <w:b/>
          <w:bCs/>
          <w:color w:val="000000"/>
          <w:kern w:val="0"/>
          <w:sz w:val="22"/>
          <w:szCs w:val="22"/>
          <w:highlight w:val="none"/>
          <w:lang w:val="zh-CN"/>
        </w:rPr>
        <w:t>一、货物内容及合同价格</w:t>
      </w:r>
      <w:bookmarkEnd w:id="28"/>
      <w:bookmarkEnd w:id="29"/>
    </w:p>
    <w:tbl>
      <w:tblPr>
        <w:tblStyle w:val="53"/>
        <w:tblW w:w="0" w:type="auto"/>
        <w:tblInd w:w="-10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13"/>
        <w:gridCol w:w="1199"/>
        <w:gridCol w:w="1985"/>
        <w:gridCol w:w="992"/>
        <w:gridCol w:w="29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51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ind w:left="424"/>
              <w:jc w:val="left"/>
              <w:rPr>
                <w:rFonts w:hint="eastAsia" w:ascii="新宋体" w:hAnsi="新宋体" w:eastAsia="新宋体" w:cs="新宋体"/>
                <w:color w:val="000000"/>
                <w:sz w:val="22"/>
                <w:szCs w:val="22"/>
                <w:highlight w:val="none"/>
                <w:lang w:val="zh-CN"/>
              </w:rPr>
            </w:pPr>
            <w:r>
              <w:rPr>
                <w:rFonts w:hint="eastAsia" w:ascii="新宋体" w:hAnsi="新宋体" w:eastAsia="新宋体" w:cs="新宋体"/>
                <w:color w:val="000000"/>
                <w:sz w:val="22"/>
                <w:szCs w:val="22"/>
                <w:highlight w:val="none"/>
                <w:lang w:val="zh-CN"/>
              </w:rPr>
              <w:t>货物名称</w:t>
            </w:r>
          </w:p>
        </w:tc>
        <w:tc>
          <w:tcPr>
            <w:tcW w:w="1199"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ind w:left="287" w:right="276"/>
              <w:jc w:val="center"/>
              <w:rPr>
                <w:rFonts w:hint="eastAsia" w:ascii="新宋体" w:hAnsi="新宋体" w:eastAsia="新宋体" w:cs="新宋体"/>
                <w:color w:val="000000"/>
                <w:sz w:val="22"/>
                <w:szCs w:val="22"/>
                <w:highlight w:val="none"/>
                <w:lang w:val="zh-CN"/>
              </w:rPr>
            </w:pPr>
            <w:r>
              <w:rPr>
                <w:rFonts w:hint="eastAsia" w:ascii="新宋体" w:hAnsi="新宋体" w:eastAsia="新宋体" w:cs="新宋体"/>
                <w:color w:val="000000"/>
                <w:sz w:val="22"/>
                <w:szCs w:val="22"/>
                <w:highlight w:val="none"/>
                <w:lang w:val="zh-CN"/>
              </w:rPr>
              <w:t>品牌</w:t>
            </w:r>
          </w:p>
        </w:tc>
        <w:tc>
          <w:tcPr>
            <w:tcW w:w="198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ind w:left="287" w:right="276"/>
              <w:jc w:val="center"/>
              <w:rPr>
                <w:rFonts w:hint="eastAsia" w:ascii="新宋体" w:hAnsi="新宋体" w:eastAsia="新宋体" w:cs="新宋体"/>
                <w:color w:val="000000"/>
                <w:sz w:val="22"/>
                <w:szCs w:val="22"/>
                <w:highlight w:val="none"/>
                <w:lang w:val="zh-CN"/>
              </w:rPr>
            </w:pPr>
            <w:r>
              <w:rPr>
                <w:rFonts w:hint="eastAsia" w:ascii="新宋体" w:hAnsi="新宋体" w:eastAsia="新宋体" w:cs="新宋体"/>
                <w:color w:val="000000"/>
                <w:sz w:val="22"/>
                <w:szCs w:val="22"/>
                <w:highlight w:val="none"/>
                <w:lang w:val="zh-CN"/>
              </w:rPr>
              <w:t>型号规格</w:t>
            </w:r>
          </w:p>
        </w:tc>
        <w:tc>
          <w:tcPr>
            <w:tcW w:w="99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ind w:left="71" w:right="61"/>
              <w:jc w:val="center"/>
              <w:rPr>
                <w:rFonts w:hint="eastAsia" w:ascii="新宋体" w:hAnsi="新宋体" w:eastAsia="新宋体" w:cs="新宋体"/>
                <w:color w:val="000000"/>
                <w:sz w:val="22"/>
                <w:szCs w:val="22"/>
                <w:highlight w:val="none"/>
                <w:lang w:val="zh-CN"/>
              </w:rPr>
            </w:pPr>
            <w:r>
              <w:rPr>
                <w:rFonts w:hint="eastAsia" w:ascii="新宋体" w:hAnsi="新宋体" w:eastAsia="新宋体" w:cs="新宋体"/>
                <w:color w:val="000000"/>
                <w:sz w:val="22"/>
                <w:szCs w:val="22"/>
                <w:highlight w:val="none"/>
                <w:lang w:val="zh-CN"/>
              </w:rPr>
              <w:t>数量</w:t>
            </w:r>
          </w:p>
        </w:tc>
        <w:tc>
          <w:tcPr>
            <w:tcW w:w="2944"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ind w:left="71" w:right="62"/>
              <w:jc w:val="center"/>
              <w:rPr>
                <w:rFonts w:hint="eastAsia" w:ascii="新宋体" w:hAnsi="新宋体" w:eastAsia="新宋体" w:cs="新宋体"/>
                <w:color w:val="000000"/>
                <w:sz w:val="22"/>
                <w:szCs w:val="22"/>
                <w:highlight w:val="none"/>
                <w:lang w:val="zh-CN"/>
              </w:rPr>
            </w:pPr>
            <w:r>
              <w:rPr>
                <w:rFonts w:hint="eastAsia" w:ascii="新宋体" w:hAnsi="新宋体" w:eastAsia="新宋体" w:cs="新宋体"/>
                <w:color w:val="000000"/>
                <w:sz w:val="22"/>
                <w:szCs w:val="22"/>
                <w:highlight w:val="none"/>
                <w:lang w:val="zh-CN"/>
              </w:rPr>
              <w:t>单价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251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ind w:left="41" w:right="30"/>
              <w:jc w:val="center"/>
              <w:rPr>
                <w:rFonts w:hint="eastAsia" w:ascii="新宋体" w:hAnsi="新宋体" w:eastAsia="新宋体" w:cs="新宋体"/>
                <w:color w:val="000000"/>
                <w:sz w:val="22"/>
                <w:szCs w:val="22"/>
                <w:highlight w:val="none"/>
                <w:lang w:val="zh-CN"/>
              </w:rPr>
            </w:pPr>
          </w:p>
        </w:tc>
        <w:tc>
          <w:tcPr>
            <w:tcW w:w="1199"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ind w:left="287" w:right="276"/>
              <w:jc w:val="center"/>
              <w:rPr>
                <w:rFonts w:hint="eastAsia" w:ascii="新宋体" w:hAnsi="新宋体" w:eastAsia="新宋体" w:cs="新宋体"/>
                <w:color w:val="000000"/>
                <w:sz w:val="22"/>
                <w:szCs w:val="22"/>
                <w:highlight w:val="none"/>
                <w:lang w:val="zh-CN"/>
              </w:rPr>
            </w:pPr>
          </w:p>
        </w:tc>
        <w:tc>
          <w:tcPr>
            <w:tcW w:w="198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ind w:left="287" w:right="281"/>
              <w:jc w:val="center"/>
              <w:rPr>
                <w:rFonts w:hint="eastAsia" w:ascii="新宋体" w:hAnsi="新宋体" w:eastAsia="新宋体" w:cs="新宋体"/>
                <w:color w:val="000000"/>
                <w:sz w:val="22"/>
                <w:szCs w:val="22"/>
                <w:highlight w:val="none"/>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ind w:left="9"/>
              <w:jc w:val="center"/>
              <w:rPr>
                <w:rFonts w:hint="eastAsia" w:ascii="新宋体" w:hAnsi="新宋体" w:eastAsia="新宋体" w:cs="新宋体"/>
                <w:color w:val="000000"/>
                <w:sz w:val="22"/>
                <w:szCs w:val="22"/>
                <w:highlight w:val="none"/>
                <w:lang w:val="zh-CN"/>
              </w:rPr>
            </w:pPr>
          </w:p>
        </w:tc>
        <w:tc>
          <w:tcPr>
            <w:tcW w:w="2944"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ind w:left="71" w:right="63"/>
              <w:jc w:val="center"/>
              <w:rPr>
                <w:rFonts w:hint="eastAsia" w:ascii="新宋体" w:hAnsi="新宋体" w:eastAsia="新宋体" w:cs="新宋体"/>
                <w:color w:val="000000"/>
                <w:sz w:val="22"/>
                <w:szCs w:val="22"/>
                <w:highlight w:val="none"/>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633" w:type="dxa"/>
            <w:gridSpan w:val="5"/>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jc w:val="left"/>
              <w:rPr>
                <w:rFonts w:hint="eastAsia" w:ascii="Times New Roman" w:hAnsi="Times New Roman" w:cs="Times New Roman"/>
                <w:lang w:val="zh-CN"/>
              </w:rPr>
            </w:pPr>
            <w:r>
              <w:rPr>
                <w:rFonts w:hint="eastAsia" w:ascii="Times New Roman" w:hAnsi="Times New Roman" w:cs="Times New Roman"/>
                <w:lang w:val="zh-CN"/>
              </w:rPr>
              <w:t xml:space="preserve">小写：￥       </w:t>
            </w:r>
          </w:p>
          <w:p>
            <w:pPr>
              <w:autoSpaceDE w:val="0"/>
              <w:autoSpaceDN w:val="0"/>
              <w:spacing w:line="460" w:lineRule="exact"/>
              <w:ind w:left="71" w:right="62"/>
              <w:jc w:val="both"/>
              <w:rPr>
                <w:rFonts w:hint="default" w:eastAsia="新宋体"/>
                <w:lang w:val="en-US" w:eastAsia="zh-CN"/>
              </w:rPr>
            </w:pPr>
            <w:r>
              <w:rPr>
                <w:rFonts w:hint="eastAsia" w:ascii="Times New Roman" w:hAnsi="Times New Roman" w:cs="Times New Roman"/>
                <w:lang w:val="en-US" w:eastAsia="zh-CN"/>
              </w:rPr>
              <w:t xml:space="preserve">大写：人民币   元整                                                         </w:t>
            </w:r>
            <w:r>
              <w:rPr>
                <w:rFonts w:hint="eastAsia" w:ascii="新宋体" w:hAnsi="新宋体" w:eastAsia="新宋体" w:cs="新宋体"/>
                <w:color w:val="000000"/>
                <w:sz w:val="22"/>
                <w:szCs w:val="22"/>
                <w:highlight w:val="none"/>
                <w:lang w:val="zh-CN"/>
              </w:rPr>
              <w:t>金额</w:t>
            </w:r>
            <w:r>
              <w:rPr>
                <w:rFonts w:hint="eastAsia" w:ascii="新宋体" w:hAnsi="新宋体" w:eastAsia="新宋体" w:cs="新宋体"/>
                <w:color w:val="000000"/>
                <w:sz w:val="22"/>
                <w:szCs w:val="22"/>
                <w:highlight w:val="none"/>
                <w:lang w:val="en-US" w:eastAsia="zh-CN"/>
              </w:rPr>
              <w:t>单位</w:t>
            </w:r>
            <w:r>
              <w:rPr>
                <w:rFonts w:hint="eastAsia" w:ascii="新宋体" w:hAnsi="新宋体" w:eastAsia="新宋体" w:cs="新宋体"/>
                <w:color w:val="000000"/>
                <w:sz w:val="22"/>
                <w:szCs w:val="22"/>
                <w:highlight w:val="none"/>
                <w:lang w:val="zh-CN"/>
              </w:rPr>
              <w:t>：元</w:t>
            </w:r>
          </w:p>
        </w:tc>
      </w:tr>
    </w:tbl>
    <w:p>
      <w:pPr>
        <w:autoSpaceDE w:val="0"/>
        <w:autoSpaceDN w:val="0"/>
        <w:spacing w:line="460" w:lineRule="exact"/>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w w:val="95"/>
          <w:kern w:val="0"/>
          <w:sz w:val="22"/>
          <w:szCs w:val="22"/>
          <w:highlight w:val="none"/>
          <w:lang w:val="zh-CN"/>
        </w:rPr>
        <w:t>注：</w:t>
      </w:r>
      <w:r>
        <w:rPr>
          <w:rFonts w:hint="eastAsia" w:ascii="新宋体" w:hAnsi="新宋体" w:eastAsia="新宋体" w:cs="新宋体"/>
          <w:color w:val="000000"/>
          <w:kern w:val="0"/>
          <w:sz w:val="22"/>
          <w:szCs w:val="22"/>
          <w:highlight w:val="none"/>
          <w:lang w:val="zh-CN"/>
        </w:rPr>
        <w:t>1、商品型号、数量、配置要求及使用单位地址等详见附件清单</w:t>
      </w:r>
    </w:p>
    <w:p>
      <w:pPr>
        <w:autoSpaceDE w:val="0"/>
        <w:autoSpaceDN w:val="0"/>
        <w:spacing w:line="460" w:lineRule="exact"/>
        <w:ind w:left="126" w:leftChars="60" w:firstLine="288"/>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lang w:val="zh-CN"/>
        </w:rPr>
        <w:t>2、以上合同总价包含货物到达用户并能正常使用所需的一切费用，包括但不限于包装费、运输费、装卸费、保险费、安装调试费、技术服务费、培训费以及保修费、税费等。</w:t>
      </w:r>
    </w:p>
    <w:p>
      <w:pPr>
        <w:autoSpaceDE w:val="0"/>
        <w:autoSpaceDN w:val="0"/>
        <w:spacing w:line="460" w:lineRule="exact"/>
        <w:jc w:val="left"/>
        <w:outlineLvl w:val="1"/>
        <w:rPr>
          <w:rFonts w:hint="eastAsia" w:ascii="新宋体" w:hAnsi="新宋体" w:eastAsia="新宋体" w:cs="新宋体"/>
          <w:b/>
          <w:bCs/>
          <w:color w:val="000000"/>
          <w:kern w:val="0"/>
          <w:sz w:val="22"/>
          <w:szCs w:val="22"/>
          <w:highlight w:val="none"/>
          <w:lang w:val="zh-CN"/>
        </w:rPr>
      </w:pPr>
      <w:bookmarkStart w:id="30" w:name="_Toc9247343"/>
      <w:bookmarkStart w:id="31" w:name="_Toc527802471"/>
      <w:r>
        <w:rPr>
          <w:rFonts w:hint="eastAsia" w:ascii="新宋体" w:hAnsi="新宋体" w:eastAsia="新宋体" w:cs="新宋体"/>
          <w:b/>
          <w:bCs/>
          <w:color w:val="000000"/>
          <w:kern w:val="0"/>
          <w:sz w:val="22"/>
          <w:szCs w:val="22"/>
          <w:highlight w:val="none"/>
          <w:lang w:val="zh-CN"/>
        </w:rPr>
        <w:t>二、技术资料</w:t>
      </w:r>
      <w:bookmarkEnd w:id="30"/>
      <w:bookmarkEnd w:id="31"/>
    </w:p>
    <w:p>
      <w:pPr>
        <w:tabs>
          <w:tab w:val="left" w:pos="522"/>
        </w:tabs>
        <w:autoSpaceDE w:val="0"/>
        <w:autoSpaceDN w:val="0"/>
        <w:spacing w:line="460" w:lineRule="exact"/>
        <w:ind w:left="126" w:leftChars="6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rPr>
        <w:t>1、</w:t>
      </w:r>
      <w:r>
        <w:rPr>
          <w:rFonts w:hint="eastAsia" w:ascii="新宋体" w:hAnsi="新宋体" w:eastAsia="新宋体" w:cs="新宋体"/>
          <w:color w:val="000000"/>
          <w:kern w:val="0"/>
          <w:sz w:val="22"/>
          <w:szCs w:val="22"/>
          <w:highlight w:val="none"/>
          <w:lang w:val="zh-CN"/>
        </w:rPr>
        <w:t>乙方应按招标文件规定的时间向甲方提供使用货物的有关技术资料。</w:t>
      </w:r>
    </w:p>
    <w:p>
      <w:pPr>
        <w:tabs>
          <w:tab w:val="left" w:pos="522"/>
        </w:tabs>
        <w:autoSpaceDE w:val="0"/>
        <w:autoSpaceDN w:val="0"/>
        <w:spacing w:line="460" w:lineRule="exact"/>
        <w:ind w:left="126" w:leftChars="6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rPr>
        <w:t>2、</w:t>
      </w:r>
      <w:r>
        <w:rPr>
          <w:rFonts w:hint="eastAsia" w:ascii="新宋体" w:hAnsi="新宋体" w:eastAsia="新宋体" w:cs="新宋体"/>
          <w:color w:val="000000"/>
          <w:kern w:val="0"/>
          <w:sz w:val="22"/>
          <w:szCs w:val="22"/>
          <w:highlight w:val="none"/>
          <w:lang w:val="zh-CN"/>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autoSpaceDE w:val="0"/>
        <w:autoSpaceDN w:val="0"/>
        <w:spacing w:line="460" w:lineRule="exact"/>
        <w:jc w:val="left"/>
        <w:outlineLvl w:val="1"/>
        <w:rPr>
          <w:rFonts w:hint="eastAsia" w:ascii="新宋体" w:hAnsi="新宋体" w:eastAsia="新宋体" w:cs="新宋体"/>
          <w:b/>
          <w:bCs/>
          <w:color w:val="000000"/>
          <w:kern w:val="0"/>
          <w:sz w:val="22"/>
          <w:szCs w:val="22"/>
          <w:highlight w:val="none"/>
          <w:lang w:val="zh-CN"/>
        </w:rPr>
      </w:pPr>
      <w:bookmarkStart w:id="32" w:name="_Toc9247344"/>
      <w:bookmarkStart w:id="33" w:name="_Toc527802472"/>
      <w:r>
        <w:rPr>
          <w:rFonts w:hint="eastAsia" w:ascii="新宋体" w:hAnsi="新宋体" w:eastAsia="新宋体" w:cs="新宋体"/>
          <w:b/>
          <w:bCs/>
          <w:color w:val="000000"/>
          <w:kern w:val="0"/>
          <w:sz w:val="22"/>
          <w:szCs w:val="22"/>
          <w:highlight w:val="none"/>
          <w:lang w:val="zh-CN"/>
        </w:rPr>
        <w:t>三、知识产权</w:t>
      </w:r>
      <w:bookmarkEnd w:id="32"/>
      <w:bookmarkEnd w:id="33"/>
    </w:p>
    <w:p>
      <w:pPr>
        <w:autoSpaceDE w:val="0"/>
        <w:autoSpaceDN w:val="0"/>
        <w:spacing w:line="460" w:lineRule="exact"/>
        <w:ind w:left="126" w:leftChars="6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lang w:val="zh-CN"/>
        </w:rPr>
        <w:t>乙方应保证所提供的货物或其任何一部分均不会侵犯任何第三方的知识产权。</w:t>
      </w:r>
    </w:p>
    <w:p>
      <w:pPr>
        <w:autoSpaceDE w:val="0"/>
        <w:autoSpaceDN w:val="0"/>
        <w:spacing w:line="460" w:lineRule="exact"/>
        <w:jc w:val="left"/>
        <w:outlineLvl w:val="1"/>
        <w:rPr>
          <w:rFonts w:hint="eastAsia" w:ascii="新宋体" w:hAnsi="新宋体" w:eastAsia="新宋体" w:cs="新宋体"/>
          <w:b/>
          <w:bCs/>
          <w:color w:val="000000"/>
          <w:kern w:val="0"/>
          <w:sz w:val="22"/>
          <w:szCs w:val="22"/>
          <w:highlight w:val="none"/>
          <w:lang w:val="zh-CN"/>
        </w:rPr>
      </w:pPr>
      <w:bookmarkStart w:id="34" w:name="_Toc9247345"/>
      <w:bookmarkStart w:id="35" w:name="_Toc527802473"/>
      <w:r>
        <w:rPr>
          <w:rFonts w:hint="eastAsia" w:ascii="新宋体" w:hAnsi="新宋体" w:eastAsia="新宋体" w:cs="新宋体"/>
          <w:b/>
          <w:bCs/>
          <w:color w:val="000000"/>
          <w:kern w:val="0"/>
          <w:sz w:val="22"/>
          <w:szCs w:val="22"/>
          <w:highlight w:val="none"/>
          <w:lang w:val="zh-CN"/>
        </w:rPr>
        <w:t>四、产权担保</w:t>
      </w:r>
      <w:bookmarkEnd w:id="34"/>
      <w:bookmarkEnd w:id="35"/>
    </w:p>
    <w:p>
      <w:pPr>
        <w:autoSpaceDE w:val="0"/>
        <w:autoSpaceDN w:val="0"/>
        <w:spacing w:line="460" w:lineRule="exact"/>
        <w:ind w:left="126" w:leftChars="6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lang w:val="zh-CN"/>
        </w:rPr>
        <w:t>乙方保证所交付的货物的所有权完全属于乙方且无任何抵押、查封等产权瑕疵。</w:t>
      </w:r>
    </w:p>
    <w:p>
      <w:pPr>
        <w:autoSpaceDE w:val="0"/>
        <w:autoSpaceDN w:val="0"/>
        <w:spacing w:line="460" w:lineRule="exact"/>
        <w:jc w:val="left"/>
        <w:outlineLvl w:val="1"/>
        <w:rPr>
          <w:rFonts w:hint="eastAsia" w:ascii="新宋体" w:hAnsi="新宋体" w:eastAsia="新宋体" w:cs="新宋体"/>
          <w:b/>
          <w:bCs/>
          <w:color w:val="000000"/>
          <w:kern w:val="0"/>
          <w:sz w:val="22"/>
          <w:szCs w:val="22"/>
          <w:highlight w:val="none"/>
          <w:lang w:val="zh-CN"/>
        </w:rPr>
      </w:pPr>
      <w:bookmarkStart w:id="36" w:name="_Toc9247346"/>
      <w:bookmarkStart w:id="37" w:name="_Toc527802474"/>
      <w:r>
        <w:rPr>
          <w:rFonts w:hint="eastAsia" w:ascii="新宋体" w:hAnsi="新宋体" w:eastAsia="新宋体" w:cs="新宋体"/>
          <w:b/>
          <w:bCs/>
          <w:color w:val="000000"/>
          <w:kern w:val="0"/>
          <w:sz w:val="22"/>
          <w:szCs w:val="22"/>
          <w:highlight w:val="none"/>
          <w:lang w:val="zh-CN"/>
        </w:rPr>
        <w:t>五、转包或分包</w:t>
      </w:r>
      <w:bookmarkEnd w:id="36"/>
      <w:bookmarkEnd w:id="37"/>
    </w:p>
    <w:p>
      <w:pPr>
        <w:autoSpaceDE w:val="0"/>
        <w:autoSpaceDN w:val="0"/>
        <w:spacing w:line="460" w:lineRule="exact"/>
        <w:ind w:left="126" w:leftChars="6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lang w:val="zh-CN"/>
        </w:rPr>
        <w:t>本合同范围的货物，应由乙方直接供应，不得转让他人供应，否则，甲方有权解除合同，没收质量保证金并追究乙方的违约责任。</w:t>
      </w:r>
    </w:p>
    <w:p>
      <w:pPr>
        <w:autoSpaceDE w:val="0"/>
        <w:autoSpaceDN w:val="0"/>
        <w:spacing w:line="460" w:lineRule="exact"/>
        <w:jc w:val="left"/>
        <w:outlineLvl w:val="1"/>
        <w:rPr>
          <w:rFonts w:hint="eastAsia" w:ascii="新宋体" w:hAnsi="新宋体" w:eastAsia="新宋体" w:cs="新宋体"/>
          <w:b/>
          <w:bCs/>
          <w:color w:val="000000"/>
          <w:kern w:val="0"/>
          <w:sz w:val="22"/>
          <w:szCs w:val="22"/>
          <w:highlight w:val="none"/>
          <w:lang w:val="zh-CN"/>
        </w:rPr>
      </w:pPr>
      <w:bookmarkStart w:id="38" w:name="_Toc9247347"/>
      <w:bookmarkStart w:id="39" w:name="_Toc527802475"/>
      <w:r>
        <w:rPr>
          <w:rFonts w:hint="eastAsia" w:ascii="新宋体" w:hAnsi="新宋体" w:eastAsia="新宋体" w:cs="新宋体"/>
          <w:b/>
          <w:bCs/>
          <w:color w:val="000000"/>
          <w:kern w:val="0"/>
          <w:sz w:val="22"/>
          <w:szCs w:val="22"/>
          <w:highlight w:val="none"/>
          <w:lang w:val="zh-CN"/>
        </w:rPr>
        <w:t>六、质保期和质保金</w:t>
      </w:r>
      <w:bookmarkEnd w:id="38"/>
      <w:bookmarkEnd w:id="39"/>
    </w:p>
    <w:p>
      <w:pPr>
        <w:numPr>
          <w:ilvl w:val="0"/>
          <w:numId w:val="7"/>
        </w:numPr>
        <w:tabs>
          <w:tab w:val="left" w:pos="522"/>
        </w:tabs>
        <w:autoSpaceDE w:val="0"/>
        <w:autoSpaceDN w:val="0"/>
        <w:spacing w:line="460" w:lineRule="exact"/>
        <w:ind w:left="296" w:leftChars="60" w:hanging="17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spacing w:val="-6"/>
          <w:kern w:val="0"/>
          <w:sz w:val="22"/>
          <w:szCs w:val="22"/>
          <w:highlight w:val="none"/>
          <w:lang w:val="zh-CN"/>
        </w:rPr>
        <w:t xml:space="preserve">质保期为 </w:t>
      </w:r>
      <w:r>
        <w:rPr>
          <w:rFonts w:hint="eastAsia" w:ascii="新宋体" w:hAnsi="新宋体" w:eastAsia="新宋体" w:cs="新宋体"/>
          <w:color w:val="000000"/>
          <w:kern w:val="0"/>
          <w:sz w:val="22"/>
          <w:szCs w:val="22"/>
          <w:highlight w:val="none"/>
          <w:u w:val="single"/>
          <w:lang w:val="zh-CN"/>
        </w:rPr>
        <w:t xml:space="preserve">     </w:t>
      </w:r>
      <w:r>
        <w:rPr>
          <w:rFonts w:hint="eastAsia" w:ascii="新宋体" w:hAnsi="新宋体" w:eastAsia="新宋体" w:cs="新宋体"/>
          <w:color w:val="000000"/>
          <w:kern w:val="0"/>
          <w:sz w:val="22"/>
          <w:szCs w:val="22"/>
          <w:highlight w:val="none"/>
          <w:lang w:val="zh-CN"/>
        </w:rPr>
        <w:t>年。（自交货验收合格之日起计）</w:t>
      </w:r>
    </w:p>
    <w:p>
      <w:pPr>
        <w:numPr>
          <w:ilvl w:val="0"/>
          <w:numId w:val="7"/>
        </w:numPr>
        <w:tabs>
          <w:tab w:val="left" w:pos="522"/>
          <w:tab w:val="left" w:pos="1530"/>
        </w:tabs>
        <w:autoSpaceDE w:val="0"/>
        <w:autoSpaceDN w:val="0"/>
        <w:spacing w:line="460" w:lineRule="exact"/>
        <w:ind w:left="296" w:leftChars="60" w:hanging="17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lang w:val="zh-CN"/>
        </w:rPr>
        <w:t>质保金</w:t>
      </w:r>
      <w:r>
        <w:rPr>
          <w:rFonts w:hint="eastAsia" w:ascii="新宋体" w:hAnsi="新宋体" w:eastAsia="新宋体" w:cs="新宋体"/>
          <w:color w:val="000000"/>
          <w:kern w:val="0"/>
          <w:sz w:val="22"/>
          <w:szCs w:val="22"/>
          <w:highlight w:val="none"/>
          <w:u w:val="single"/>
          <w:lang w:val="zh-CN"/>
        </w:rPr>
        <w:t xml:space="preserve">       </w:t>
      </w:r>
      <w:r>
        <w:rPr>
          <w:rFonts w:hint="eastAsia" w:ascii="新宋体" w:hAnsi="新宋体" w:eastAsia="新宋体" w:cs="新宋体"/>
          <w:color w:val="000000"/>
          <w:kern w:val="0"/>
          <w:sz w:val="22"/>
          <w:szCs w:val="22"/>
          <w:highlight w:val="none"/>
          <w:lang w:val="zh-CN"/>
        </w:rPr>
        <w:t>元。</w:t>
      </w:r>
      <w:r>
        <w:rPr>
          <w:rFonts w:hint="eastAsia" w:ascii="新宋体" w:hAnsi="新宋体" w:eastAsia="新宋体" w:cs="新宋体"/>
          <w:color w:val="000000"/>
          <w:spacing w:val="-5"/>
          <w:kern w:val="0"/>
          <w:sz w:val="22"/>
          <w:szCs w:val="22"/>
          <w:highlight w:val="none"/>
          <w:lang w:val="zh-CN"/>
        </w:rPr>
        <w:t>[</w:t>
      </w:r>
      <w:r>
        <w:rPr>
          <w:rFonts w:hint="eastAsia" w:ascii="新宋体" w:hAnsi="新宋体" w:eastAsia="新宋体" w:cs="新宋体"/>
          <w:color w:val="000000"/>
          <w:kern w:val="0"/>
          <w:sz w:val="22"/>
          <w:szCs w:val="22"/>
          <w:highlight w:val="none"/>
          <w:lang w:val="zh-CN"/>
        </w:rPr>
        <w:t>质量保证金交给采购单位，在合同约定交货验收合格满（</w:t>
      </w:r>
      <w:r>
        <w:rPr>
          <w:rFonts w:hint="eastAsia" w:ascii="新宋体" w:hAnsi="新宋体" w:eastAsia="新宋体" w:cs="新宋体"/>
          <w:color w:val="000000"/>
          <w:spacing w:val="-28"/>
          <w:kern w:val="0"/>
          <w:sz w:val="22"/>
          <w:szCs w:val="22"/>
          <w:highlight w:val="none"/>
          <w:lang w:val="zh-CN"/>
        </w:rPr>
        <w:t xml:space="preserve"> </w:t>
      </w:r>
      <w:r>
        <w:rPr>
          <w:rFonts w:hint="eastAsia" w:ascii="新宋体" w:hAnsi="新宋体" w:eastAsia="新宋体" w:cs="新宋体"/>
          <w:color w:val="000000"/>
          <w:kern w:val="0"/>
          <w:sz w:val="22"/>
          <w:szCs w:val="22"/>
          <w:highlight w:val="none"/>
          <w:lang w:val="zh-CN"/>
        </w:rPr>
        <w:t xml:space="preserve">  ）个月之日起</w:t>
      </w:r>
      <w:r>
        <w:rPr>
          <w:rFonts w:hint="eastAsia" w:ascii="新宋体" w:hAnsi="新宋体" w:eastAsia="新宋体" w:cs="新宋体"/>
          <w:color w:val="000000"/>
          <w:spacing w:val="-28"/>
          <w:kern w:val="0"/>
          <w:sz w:val="22"/>
          <w:szCs w:val="22"/>
          <w:highlight w:val="none"/>
          <w:lang w:val="zh-CN"/>
        </w:rPr>
        <w:t xml:space="preserve"> </w:t>
      </w:r>
      <w:r>
        <w:rPr>
          <w:rFonts w:hint="eastAsia" w:ascii="新宋体" w:hAnsi="新宋体" w:eastAsia="新宋体" w:cs="新宋体"/>
          <w:color w:val="000000"/>
          <w:kern w:val="0"/>
          <w:sz w:val="22"/>
          <w:szCs w:val="22"/>
          <w:highlight w:val="none"/>
          <w:lang w:val="zh-CN"/>
        </w:rPr>
        <w:t>5个工作日内无息退还]</w:t>
      </w:r>
    </w:p>
    <w:p>
      <w:pPr>
        <w:autoSpaceDE w:val="0"/>
        <w:autoSpaceDN w:val="0"/>
        <w:spacing w:line="460" w:lineRule="exact"/>
        <w:jc w:val="left"/>
        <w:outlineLvl w:val="1"/>
        <w:rPr>
          <w:rFonts w:hint="eastAsia" w:ascii="新宋体" w:hAnsi="新宋体" w:eastAsia="新宋体" w:cs="新宋体"/>
          <w:b/>
          <w:bCs/>
          <w:color w:val="000000"/>
          <w:kern w:val="0"/>
          <w:sz w:val="22"/>
          <w:szCs w:val="22"/>
          <w:highlight w:val="none"/>
          <w:lang w:val="zh-CN"/>
        </w:rPr>
      </w:pPr>
      <w:bookmarkStart w:id="40" w:name="_Toc9247348"/>
      <w:bookmarkStart w:id="41" w:name="_Toc527802476"/>
      <w:r>
        <w:rPr>
          <w:rFonts w:hint="eastAsia" w:ascii="新宋体" w:hAnsi="新宋体" w:eastAsia="新宋体" w:cs="新宋体"/>
          <w:b/>
          <w:bCs/>
          <w:color w:val="000000"/>
          <w:kern w:val="0"/>
          <w:sz w:val="22"/>
          <w:szCs w:val="22"/>
          <w:highlight w:val="none"/>
          <w:lang w:val="zh-CN"/>
        </w:rPr>
        <w:t>七、交货期、交货方式及交货地点</w:t>
      </w:r>
      <w:bookmarkEnd w:id="40"/>
      <w:bookmarkEnd w:id="41"/>
    </w:p>
    <w:p>
      <w:pPr>
        <w:numPr>
          <w:ilvl w:val="0"/>
          <w:numId w:val="8"/>
        </w:numPr>
        <w:tabs>
          <w:tab w:val="left" w:pos="522"/>
        </w:tabs>
        <w:autoSpaceDE w:val="0"/>
        <w:autoSpaceDN w:val="0"/>
        <w:spacing w:line="460" w:lineRule="exact"/>
        <w:ind w:left="296" w:leftChars="60" w:hanging="17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spacing w:val="-3"/>
          <w:kern w:val="0"/>
          <w:sz w:val="22"/>
          <w:szCs w:val="22"/>
          <w:highlight w:val="none"/>
          <w:lang w:val="zh-CN"/>
        </w:rPr>
        <w:t>交货期：合同签订后</w:t>
      </w:r>
      <w:r>
        <w:rPr>
          <w:rFonts w:hint="eastAsia" w:ascii="新宋体" w:hAnsi="新宋体" w:eastAsia="新宋体" w:cs="新宋体"/>
          <w:color w:val="000000"/>
          <w:kern w:val="0"/>
          <w:sz w:val="22"/>
          <w:szCs w:val="22"/>
          <w:highlight w:val="none"/>
          <w:u w:val="single"/>
          <w:lang w:val="zh-CN"/>
        </w:rPr>
        <w:t xml:space="preserve">    </w:t>
      </w:r>
      <w:r>
        <w:rPr>
          <w:rFonts w:hint="eastAsia" w:ascii="新宋体" w:hAnsi="新宋体" w:eastAsia="新宋体" w:cs="新宋体"/>
          <w:color w:val="000000"/>
          <w:kern w:val="0"/>
          <w:sz w:val="22"/>
          <w:szCs w:val="22"/>
          <w:highlight w:val="none"/>
          <w:lang w:val="zh-CN"/>
        </w:rPr>
        <w:t>个工作日</w:t>
      </w:r>
    </w:p>
    <w:p>
      <w:pPr>
        <w:numPr>
          <w:ilvl w:val="0"/>
          <w:numId w:val="8"/>
        </w:numPr>
        <w:tabs>
          <w:tab w:val="left" w:pos="522"/>
        </w:tabs>
        <w:autoSpaceDE w:val="0"/>
        <w:autoSpaceDN w:val="0"/>
        <w:spacing w:line="460" w:lineRule="exact"/>
        <w:ind w:left="296" w:leftChars="60" w:hanging="17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spacing w:val="-5"/>
          <w:kern w:val="0"/>
          <w:sz w:val="22"/>
          <w:szCs w:val="22"/>
          <w:highlight w:val="none"/>
          <w:lang w:val="zh-CN"/>
        </w:rPr>
        <w:t>交货方式： 按甲方指定地点</w:t>
      </w:r>
      <w:r>
        <w:rPr>
          <w:rFonts w:hint="eastAsia" w:ascii="新宋体" w:hAnsi="新宋体" w:eastAsia="新宋体" w:cs="新宋体"/>
          <w:color w:val="000000"/>
          <w:kern w:val="0"/>
          <w:sz w:val="22"/>
          <w:szCs w:val="22"/>
          <w:highlight w:val="none"/>
          <w:lang w:val="zh-CN"/>
        </w:rPr>
        <w:t>送货上门</w:t>
      </w:r>
    </w:p>
    <w:p>
      <w:pPr>
        <w:numPr>
          <w:ilvl w:val="0"/>
          <w:numId w:val="8"/>
        </w:numPr>
        <w:tabs>
          <w:tab w:val="left" w:pos="522"/>
        </w:tabs>
        <w:autoSpaceDE w:val="0"/>
        <w:autoSpaceDN w:val="0"/>
        <w:spacing w:line="460" w:lineRule="exact"/>
        <w:ind w:left="296" w:leftChars="60" w:hanging="17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spacing w:val="-11"/>
          <w:kern w:val="0"/>
          <w:sz w:val="22"/>
          <w:szCs w:val="22"/>
          <w:highlight w:val="none"/>
          <w:lang w:val="zh-CN"/>
        </w:rPr>
        <w:t>交货地点：浙江省温州市鹿城区南汇街道六虹桥路蛟尾路9号</w:t>
      </w:r>
    </w:p>
    <w:p>
      <w:pPr>
        <w:tabs>
          <w:tab w:val="left" w:pos="522"/>
        </w:tabs>
        <w:autoSpaceDE w:val="0"/>
        <w:autoSpaceDN w:val="0"/>
        <w:spacing w:line="460" w:lineRule="exact"/>
        <w:ind w:left="-109" w:leftChars="-52" w:right="5231" w:rightChars="2491"/>
        <w:jc w:val="left"/>
        <w:rPr>
          <w:rFonts w:hint="eastAsia" w:ascii="新宋体" w:hAnsi="新宋体" w:eastAsia="新宋体" w:cs="新宋体"/>
          <w:b/>
          <w:color w:val="000000"/>
          <w:kern w:val="0"/>
          <w:sz w:val="22"/>
          <w:szCs w:val="22"/>
          <w:highlight w:val="none"/>
          <w:lang w:val="zh-CN"/>
        </w:rPr>
      </w:pPr>
      <w:r>
        <w:rPr>
          <w:rFonts w:hint="eastAsia" w:ascii="新宋体" w:hAnsi="新宋体" w:eastAsia="新宋体" w:cs="新宋体"/>
          <w:b/>
          <w:color w:val="000000"/>
          <w:spacing w:val="10"/>
          <w:kern w:val="0"/>
          <w:sz w:val="22"/>
          <w:szCs w:val="22"/>
          <w:highlight w:val="none"/>
          <w:lang w:val="zh-CN"/>
        </w:rPr>
        <w:t>八、货款支付</w:t>
      </w:r>
    </w:p>
    <w:p>
      <w:pPr>
        <w:tabs>
          <w:tab w:val="left" w:pos="360"/>
        </w:tabs>
        <w:spacing w:line="460" w:lineRule="exact"/>
        <w:ind w:firstLine="550" w:firstLineChars="250"/>
        <w:rPr>
          <w:rFonts w:hint="eastAsia" w:ascii="新宋体" w:hAnsi="新宋体" w:eastAsia="新宋体"/>
          <w:bCs/>
          <w:color w:val="000000"/>
          <w:sz w:val="22"/>
          <w:highlight w:val="none"/>
        </w:rPr>
      </w:pPr>
      <w:bookmarkStart w:id="42" w:name="_Toc9247349"/>
      <w:bookmarkStart w:id="43" w:name="_Toc527802477"/>
      <w:r>
        <w:rPr>
          <w:rFonts w:hint="eastAsia" w:ascii="新宋体" w:hAnsi="新宋体" w:eastAsia="新宋体"/>
          <w:bCs/>
          <w:color w:val="000000"/>
          <w:sz w:val="22"/>
          <w:highlight w:val="none"/>
        </w:rPr>
        <w:t>耗材的货款结算方法为：以使用数乘以中标单价的金额为采购单位按月结算；检测设备以采购总金额为单位，年终核算支付租赁费。在收到发票后的3个月内支付货款或租赁费。</w:t>
      </w:r>
    </w:p>
    <w:p>
      <w:pPr>
        <w:autoSpaceDE w:val="0"/>
        <w:autoSpaceDN w:val="0"/>
        <w:spacing w:line="460" w:lineRule="exact"/>
        <w:jc w:val="left"/>
        <w:outlineLvl w:val="1"/>
        <w:rPr>
          <w:rFonts w:hint="eastAsia" w:ascii="新宋体" w:hAnsi="新宋体" w:eastAsia="新宋体" w:cs="新宋体"/>
          <w:b/>
          <w:bCs/>
          <w:color w:val="000000"/>
          <w:kern w:val="0"/>
          <w:sz w:val="22"/>
          <w:szCs w:val="22"/>
          <w:highlight w:val="none"/>
          <w:lang w:val="zh-CN"/>
        </w:rPr>
      </w:pPr>
      <w:r>
        <w:rPr>
          <w:rFonts w:hint="eastAsia" w:ascii="新宋体" w:hAnsi="新宋体" w:eastAsia="新宋体" w:cs="新宋体"/>
          <w:b/>
          <w:bCs/>
          <w:color w:val="000000"/>
          <w:kern w:val="0"/>
          <w:sz w:val="22"/>
          <w:szCs w:val="22"/>
          <w:highlight w:val="none"/>
          <w:lang w:val="zh-CN"/>
        </w:rPr>
        <w:t>九、税费</w:t>
      </w:r>
      <w:bookmarkEnd w:id="42"/>
      <w:bookmarkEnd w:id="43"/>
    </w:p>
    <w:p>
      <w:pPr>
        <w:autoSpaceDE w:val="0"/>
        <w:autoSpaceDN w:val="0"/>
        <w:spacing w:line="460" w:lineRule="exact"/>
        <w:ind w:left="126" w:leftChars="6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lang w:val="zh-CN"/>
        </w:rPr>
        <w:t>本合同执行中相关的一切税费均由乙方负担。</w:t>
      </w:r>
    </w:p>
    <w:p>
      <w:pPr>
        <w:autoSpaceDE w:val="0"/>
        <w:autoSpaceDN w:val="0"/>
        <w:spacing w:line="460" w:lineRule="exact"/>
        <w:jc w:val="left"/>
        <w:outlineLvl w:val="1"/>
        <w:rPr>
          <w:rFonts w:hint="eastAsia" w:ascii="新宋体" w:hAnsi="新宋体" w:eastAsia="新宋体" w:cs="新宋体"/>
          <w:b/>
          <w:bCs/>
          <w:color w:val="000000"/>
          <w:kern w:val="0"/>
          <w:sz w:val="22"/>
          <w:szCs w:val="22"/>
          <w:highlight w:val="none"/>
          <w:lang w:val="zh-CN"/>
        </w:rPr>
      </w:pPr>
      <w:bookmarkStart w:id="44" w:name="_Toc527802478"/>
      <w:bookmarkStart w:id="45" w:name="_Toc9247350"/>
      <w:r>
        <w:rPr>
          <w:rFonts w:hint="eastAsia" w:ascii="新宋体" w:hAnsi="新宋体" w:eastAsia="新宋体" w:cs="新宋体"/>
          <w:b/>
          <w:bCs/>
          <w:color w:val="000000"/>
          <w:kern w:val="0"/>
          <w:sz w:val="22"/>
          <w:szCs w:val="22"/>
          <w:highlight w:val="none"/>
          <w:lang w:val="zh-CN"/>
        </w:rPr>
        <w:t>十、质量保证及售后服务</w:t>
      </w:r>
      <w:bookmarkEnd w:id="44"/>
      <w:bookmarkEnd w:id="45"/>
    </w:p>
    <w:p>
      <w:pPr>
        <w:tabs>
          <w:tab w:val="left" w:pos="522"/>
        </w:tabs>
        <w:autoSpaceDE w:val="0"/>
        <w:autoSpaceDN w:val="0"/>
        <w:spacing w:line="460" w:lineRule="exact"/>
        <w:ind w:left="126" w:leftChars="6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rPr>
        <w:t>1、</w:t>
      </w:r>
      <w:r>
        <w:rPr>
          <w:rFonts w:hint="eastAsia" w:ascii="新宋体" w:hAnsi="新宋体" w:eastAsia="新宋体" w:cs="新宋体"/>
          <w:color w:val="000000"/>
          <w:kern w:val="0"/>
          <w:sz w:val="22"/>
          <w:szCs w:val="22"/>
          <w:highlight w:val="none"/>
          <w:lang w:val="zh-CN"/>
        </w:rPr>
        <w:t>乙方保证本合同中所供应的商品是最新生产的符合国家技术规格和质量标准的出厂原装合格产品。如发生所供商品与合同不符，甲方（使用方）有权拒收或退货，由此产生的一切责任和后果由乙方承担。</w:t>
      </w:r>
    </w:p>
    <w:p>
      <w:pPr>
        <w:tabs>
          <w:tab w:val="left" w:pos="522"/>
        </w:tabs>
        <w:autoSpaceDE w:val="0"/>
        <w:autoSpaceDN w:val="0"/>
        <w:spacing w:line="460" w:lineRule="exact"/>
        <w:ind w:left="126" w:leftChars="6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rPr>
        <w:t>2、</w:t>
      </w:r>
      <w:r>
        <w:rPr>
          <w:rFonts w:hint="eastAsia" w:ascii="新宋体" w:hAnsi="新宋体" w:eastAsia="新宋体" w:cs="新宋体"/>
          <w:color w:val="000000"/>
          <w:kern w:val="0"/>
          <w:sz w:val="22"/>
          <w:szCs w:val="22"/>
          <w:highlight w:val="none"/>
          <w:lang w:val="zh-CN"/>
        </w:rPr>
        <w:t>乙方提供的货物在质保期内因货物本身的质量问题发生故障，乙方应负责免费更换。对达不到技术要求者，根据实际情况，经双方协商，可按以下办法处理：</w:t>
      </w:r>
    </w:p>
    <w:p>
      <w:pPr>
        <w:numPr>
          <w:ilvl w:val="0"/>
          <w:numId w:val="9"/>
        </w:numPr>
        <w:tabs>
          <w:tab w:val="left" w:pos="797"/>
        </w:tabs>
        <w:autoSpaceDE w:val="0"/>
        <w:autoSpaceDN w:val="0"/>
        <w:spacing w:line="460" w:lineRule="exact"/>
        <w:ind w:left="571" w:leftChars="60" w:hanging="445"/>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lang w:val="zh-CN"/>
        </w:rPr>
        <w:t>更换：由乙方承担所发生的全部费用。</w:t>
      </w:r>
    </w:p>
    <w:p>
      <w:pPr>
        <w:numPr>
          <w:ilvl w:val="0"/>
          <w:numId w:val="9"/>
        </w:numPr>
        <w:tabs>
          <w:tab w:val="left" w:pos="797"/>
        </w:tabs>
        <w:autoSpaceDE w:val="0"/>
        <w:autoSpaceDN w:val="0"/>
        <w:spacing w:line="460" w:lineRule="exact"/>
        <w:ind w:left="571" w:leftChars="60" w:hanging="445"/>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lang w:val="zh-CN"/>
        </w:rPr>
        <w:t>贬值处理：由甲乙双方合议定价。</w:t>
      </w:r>
    </w:p>
    <w:p>
      <w:pPr>
        <w:numPr>
          <w:ilvl w:val="0"/>
          <w:numId w:val="9"/>
        </w:numPr>
        <w:tabs>
          <w:tab w:val="left" w:pos="797"/>
        </w:tabs>
        <w:autoSpaceDE w:val="0"/>
        <w:autoSpaceDN w:val="0"/>
        <w:spacing w:line="460" w:lineRule="exact"/>
        <w:ind w:left="571" w:leftChars="60" w:hanging="445"/>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lang w:val="zh-CN"/>
        </w:rPr>
        <w:t>退货处理：乙方应退还甲方支付的合同款，同时应承担该货物的直接费用（运输、保险、检验、货款利息及银行手续费等）。</w:t>
      </w:r>
    </w:p>
    <w:p>
      <w:pPr>
        <w:tabs>
          <w:tab w:val="left" w:pos="522"/>
        </w:tabs>
        <w:autoSpaceDE w:val="0"/>
        <w:autoSpaceDN w:val="0"/>
        <w:spacing w:line="460" w:lineRule="exact"/>
        <w:ind w:left="126" w:leftChars="6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rPr>
        <w:t>3、</w:t>
      </w:r>
      <w:r>
        <w:rPr>
          <w:rFonts w:hint="eastAsia" w:ascii="新宋体" w:hAnsi="新宋体" w:eastAsia="新宋体" w:cs="新宋体"/>
          <w:color w:val="000000"/>
          <w:kern w:val="0"/>
          <w:sz w:val="22"/>
          <w:szCs w:val="22"/>
          <w:highlight w:val="none"/>
          <w:lang w:val="zh-CN"/>
        </w:rPr>
        <w:t>在质保期内，乙方应对货物出现的质量及安全问题负责处理解决并承担一切费用。</w:t>
      </w:r>
    </w:p>
    <w:p>
      <w:pPr>
        <w:tabs>
          <w:tab w:val="left" w:pos="522"/>
        </w:tabs>
        <w:autoSpaceDE w:val="0"/>
        <w:autoSpaceDN w:val="0"/>
        <w:spacing w:line="460" w:lineRule="exact"/>
        <w:ind w:left="126" w:leftChars="6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rPr>
        <w:t>4、</w:t>
      </w:r>
      <w:r>
        <w:rPr>
          <w:rFonts w:hint="eastAsia" w:ascii="新宋体" w:hAnsi="新宋体" w:eastAsia="新宋体" w:cs="新宋体"/>
          <w:color w:val="000000"/>
          <w:kern w:val="0"/>
          <w:sz w:val="22"/>
          <w:szCs w:val="22"/>
          <w:highlight w:val="none"/>
          <w:lang w:val="zh-CN"/>
        </w:rPr>
        <w:t>上述的货物在质保期内免费保修，因人为因素出现的故障不在免费保修范围内。超过保修期的机器设备，终生维修，维修时只收部件成本费。乙方应当在甲方通知维修后 日内到达货物所在地进行维修。</w:t>
      </w:r>
    </w:p>
    <w:p>
      <w:pPr>
        <w:autoSpaceDE w:val="0"/>
        <w:autoSpaceDN w:val="0"/>
        <w:spacing w:line="460" w:lineRule="exact"/>
        <w:jc w:val="left"/>
        <w:outlineLvl w:val="1"/>
        <w:rPr>
          <w:rFonts w:hint="eastAsia" w:ascii="新宋体" w:hAnsi="新宋体" w:eastAsia="新宋体" w:cs="新宋体"/>
          <w:b/>
          <w:bCs/>
          <w:color w:val="000000"/>
          <w:kern w:val="0"/>
          <w:sz w:val="22"/>
          <w:szCs w:val="22"/>
          <w:highlight w:val="none"/>
          <w:lang w:val="zh-CN"/>
        </w:rPr>
      </w:pPr>
      <w:bookmarkStart w:id="46" w:name="_Toc9247351"/>
      <w:bookmarkStart w:id="47" w:name="_Toc527802479"/>
      <w:r>
        <w:rPr>
          <w:rFonts w:hint="eastAsia" w:ascii="新宋体" w:hAnsi="新宋体" w:eastAsia="新宋体" w:cs="新宋体"/>
          <w:b/>
          <w:bCs/>
          <w:color w:val="000000"/>
          <w:kern w:val="0"/>
          <w:sz w:val="22"/>
          <w:szCs w:val="22"/>
          <w:highlight w:val="none"/>
          <w:lang w:val="zh-CN"/>
        </w:rPr>
        <w:t>十一、调试和验收</w:t>
      </w:r>
      <w:bookmarkEnd w:id="46"/>
      <w:bookmarkEnd w:id="47"/>
    </w:p>
    <w:p>
      <w:pPr>
        <w:tabs>
          <w:tab w:val="left" w:pos="522"/>
        </w:tabs>
        <w:autoSpaceDE w:val="0"/>
        <w:autoSpaceDN w:val="0"/>
        <w:spacing w:line="460" w:lineRule="exact"/>
        <w:ind w:left="126" w:leftChars="6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rPr>
        <w:t>1、</w:t>
      </w:r>
      <w:r>
        <w:rPr>
          <w:rFonts w:hint="eastAsia" w:ascii="新宋体" w:hAnsi="新宋体" w:eastAsia="新宋体" w:cs="新宋体"/>
          <w:color w:val="000000"/>
          <w:kern w:val="0"/>
          <w:sz w:val="22"/>
          <w:szCs w:val="22"/>
          <w:highlight w:val="none"/>
          <w:lang w:val="zh-CN"/>
        </w:rPr>
        <w:t>甲方对乙方提交的货物依据招标文件上的技术规格要求和国家有关质量标准进行现场验收。货到后，甲方需在二十个工作日内验收（质量等隐蔽瑕疵除外）。</w:t>
      </w:r>
    </w:p>
    <w:p>
      <w:pPr>
        <w:tabs>
          <w:tab w:val="left" w:pos="522"/>
        </w:tabs>
        <w:autoSpaceDE w:val="0"/>
        <w:autoSpaceDN w:val="0"/>
        <w:spacing w:line="460" w:lineRule="exact"/>
        <w:ind w:left="126" w:leftChars="6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rPr>
        <w:t>2、</w:t>
      </w:r>
      <w:r>
        <w:rPr>
          <w:rFonts w:hint="eastAsia" w:ascii="新宋体" w:hAnsi="新宋体" w:eastAsia="新宋体" w:cs="新宋体"/>
          <w:color w:val="000000"/>
          <w:kern w:val="0"/>
          <w:sz w:val="22"/>
          <w:szCs w:val="22"/>
          <w:highlight w:val="none"/>
          <w:lang w:val="zh-CN"/>
        </w:rPr>
        <w:t>乙方交货前应对产品作出全面检查和对验收文件进行整理，并列出清单，作为甲方收货验收和使用的技术条件依据，检验的结果应随货物交甲方。</w:t>
      </w:r>
    </w:p>
    <w:p>
      <w:pPr>
        <w:tabs>
          <w:tab w:val="left" w:pos="522"/>
        </w:tabs>
        <w:autoSpaceDE w:val="0"/>
        <w:autoSpaceDN w:val="0"/>
        <w:spacing w:line="460" w:lineRule="exact"/>
        <w:ind w:left="126" w:leftChars="6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rPr>
        <w:t>3、</w:t>
      </w:r>
      <w:r>
        <w:rPr>
          <w:rFonts w:hint="eastAsia" w:ascii="新宋体" w:hAnsi="新宋体" w:eastAsia="新宋体" w:cs="新宋体"/>
          <w:color w:val="000000"/>
          <w:kern w:val="0"/>
          <w:sz w:val="22"/>
          <w:szCs w:val="22"/>
          <w:highlight w:val="none"/>
          <w:lang w:val="zh-CN"/>
        </w:rPr>
        <w:t>甲方对乙方提供的货物在使用前进行调试时，乙方需负责安装并培训甲方的使用操作人员，并协助甲方一起调试，直到符合技术要求，甲方才做最终验收。</w:t>
      </w:r>
    </w:p>
    <w:p>
      <w:pPr>
        <w:tabs>
          <w:tab w:val="left" w:pos="522"/>
        </w:tabs>
        <w:autoSpaceDE w:val="0"/>
        <w:autoSpaceDN w:val="0"/>
        <w:spacing w:line="460" w:lineRule="exact"/>
        <w:ind w:left="126" w:leftChars="6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rPr>
        <w:t>4、</w:t>
      </w:r>
      <w:r>
        <w:rPr>
          <w:rFonts w:hint="eastAsia" w:ascii="新宋体" w:hAnsi="新宋体" w:eastAsia="新宋体" w:cs="新宋体"/>
          <w:color w:val="000000"/>
          <w:kern w:val="0"/>
          <w:sz w:val="22"/>
          <w:szCs w:val="22"/>
          <w:highlight w:val="none"/>
          <w:lang w:val="zh-CN"/>
        </w:rPr>
        <w:t>对技术复杂的货物，甲方应请国家认可的专业检测机构参与验收，并由其出具质量检测报告。</w:t>
      </w:r>
    </w:p>
    <w:p>
      <w:pPr>
        <w:numPr>
          <w:ilvl w:val="0"/>
          <w:numId w:val="10"/>
        </w:numPr>
        <w:tabs>
          <w:tab w:val="left" w:pos="522"/>
        </w:tabs>
        <w:autoSpaceDE w:val="0"/>
        <w:autoSpaceDN w:val="0"/>
        <w:spacing w:line="460" w:lineRule="exact"/>
        <w:ind w:left="296" w:leftChars="60" w:hanging="17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lang w:val="zh-CN"/>
        </w:rPr>
        <w:t>验收时乙方必须在现场，验收完毕后作出验收结果报告；验收费用由乙方负责。</w:t>
      </w:r>
    </w:p>
    <w:p>
      <w:pPr>
        <w:autoSpaceDE w:val="0"/>
        <w:autoSpaceDN w:val="0"/>
        <w:spacing w:line="460" w:lineRule="exact"/>
        <w:jc w:val="left"/>
        <w:outlineLvl w:val="1"/>
        <w:rPr>
          <w:rFonts w:hint="eastAsia" w:ascii="新宋体" w:hAnsi="新宋体" w:eastAsia="新宋体" w:cs="新宋体"/>
          <w:b/>
          <w:bCs/>
          <w:color w:val="000000"/>
          <w:kern w:val="0"/>
          <w:sz w:val="22"/>
          <w:szCs w:val="22"/>
          <w:highlight w:val="none"/>
          <w:lang w:val="zh-CN"/>
        </w:rPr>
      </w:pPr>
      <w:bookmarkStart w:id="48" w:name="_Toc9247352"/>
      <w:bookmarkStart w:id="49" w:name="_Toc527802480"/>
      <w:r>
        <w:rPr>
          <w:rFonts w:hint="eastAsia" w:ascii="新宋体" w:hAnsi="新宋体" w:eastAsia="新宋体" w:cs="新宋体"/>
          <w:b/>
          <w:bCs/>
          <w:color w:val="000000"/>
          <w:kern w:val="0"/>
          <w:sz w:val="22"/>
          <w:szCs w:val="22"/>
          <w:highlight w:val="none"/>
          <w:lang w:val="zh-CN"/>
        </w:rPr>
        <w:t>十二、货物包装</w:t>
      </w:r>
      <w:bookmarkEnd w:id="48"/>
      <w:bookmarkEnd w:id="49"/>
    </w:p>
    <w:p>
      <w:pPr>
        <w:tabs>
          <w:tab w:val="left" w:pos="522"/>
        </w:tabs>
        <w:autoSpaceDE w:val="0"/>
        <w:autoSpaceDN w:val="0"/>
        <w:spacing w:line="460" w:lineRule="exact"/>
        <w:ind w:left="126" w:leftChars="6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rPr>
        <w:t>1、</w:t>
      </w:r>
      <w:r>
        <w:rPr>
          <w:rFonts w:hint="eastAsia" w:ascii="新宋体" w:hAnsi="新宋体" w:eastAsia="新宋体" w:cs="新宋体"/>
          <w:color w:val="000000"/>
          <w:kern w:val="0"/>
          <w:sz w:val="22"/>
          <w:szCs w:val="22"/>
          <w:highlight w:val="none"/>
          <w:lang w:val="zh-CN"/>
        </w:rPr>
        <w:t>乙方应在货物发运前对其进行满足运输距离、防潮、防震、防锈和防破损装卸等要求包装，以保证货物安全运达甲方指定地点。</w:t>
      </w:r>
    </w:p>
    <w:p>
      <w:pPr>
        <w:tabs>
          <w:tab w:val="left" w:pos="522"/>
        </w:tabs>
        <w:autoSpaceDE w:val="0"/>
        <w:autoSpaceDN w:val="0"/>
        <w:spacing w:line="460" w:lineRule="exact"/>
        <w:ind w:left="126" w:leftChars="6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rPr>
        <w:t>2、</w:t>
      </w:r>
      <w:r>
        <w:rPr>
          <w:rFonts w:hint="eastAsia" w:ascii="新宋体" w:hAnsi="新宋体" w:eastAsia="新宋体" w:cs="新宋体"/>
          <w:color w:val="000000"/>
          <w:kern w:val="0"/>
          <w:sz w:val="22"/>
          <w:szCs w:val="22"/>
          <w:highlight w:val="none"/>
          <w:lang w:val="zh-CN"/>
        </w:rPr>
        <w:t>使用说明书、质量检验证明书、随配附件和工具以及清单一并附于货物内</w:t>
      </w:r>
      <w:r>
        <w:rPr>
          <w:rFonts w:hint="eastAsia" w:ascii="新宋体" w:hAnsi="新宋体" w:eastAsia="新宋体" w:cs="新宋体"/>
          <w:color w:val="000000"/>
          <w:spacing w:val="-1"/>
          <w:w w:val="95"/>
          <w:kern w:val="0"/>
          <w:sz w:val="22"/>
          <w:szCs w:val="22"/>
          <w:highlight w:val="none"/>
          <w:lang w:val="zh-CN"/>
        </w:rPr>
        <w:t>。</w:t>
      </w:r>
    </w:p>
    <w:p>
      <w:pPr>
        <w:tabs>
          <w:tab w:val="left" w:pos="522"/>
        </w:tabs>
        <w:autoSpaceDE w:val="0"/>
        <w:autoSpaceDN w:val="0"/>
        <w:spacing w:line="460" w:lineRule="exact"/>
        <w:ind w:right="4267" w:rightChars="2032"/>
        <w:jc w:val="left"/>
        <w:rPr>
          <w:rFonts w:hint="eastAsia" w:ascii="新宋体" w:hAnsi="新宋体" w:eastAsia="新宋体" w:cs="新宋体"/>
          <w:b/>
          <w:color w:val="000000"/>
          <w:kern w:val="0"/>
          <w:sz w:val="22"/>
          <w:szCs w:val="22"/>
          <w:highlight w:val="none"/>
          <w:lang w:val="zh-CN"/>
        </w:rPr>
      </w:pPr>
      <w:r>
        <w:rPr>
          <w:rFonts w:hint="eastAsia" w:ascii="新宋体" w:hAnsi="新宋体" w:eastAsia="新宋体" w:cs="新宋体"/>
          <w:b/>
          <w:color w:val="000000"/>
          <w:spacing w:val="10"/>
          <w:kern w:val="0"/>
          <w:sz w:val="22"/>
          <w:szCs w:val="22"/>
          <w:highlight w:val="none"/>
          <w:lang w:val="zh-CN"/>
        </w:rPr>
        <w:t>十三、违约责任</w:t>
      </w:r>
    </w:p>
    <w:p>
      <w:pPr>
        <w:tabs>
          <w:tab w:val="left" w:pos="522"/>
        </w:tabs>
        <w:autoSpaceDE w:val="0"/>
        <w:autoSpaceDN w:val="0"/>
        <w:spacing w:line="460" w:lineRule="exact"/>
        <w:ind w:left="126" w:leftChars="6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rPr>
        <w:t>1、</w:t>
      </w:r>
      <w:r>
        <w:rPr>
          <w:rFonts w:hint="eastAsia" w:ascii="新宋体" w:hAnsi="新宋体" w:eastAsia="新宋体" w:cs="新宋体"/>
          <w:color w:val="000000"/>
          <w:kern w:val="0"/>
          <w:sz w:val="22"/>
          <w:szCs w:val="22"/>
          <w:highlight w:val="none"/>
          <w:lang w:val="zh-CN"/>
        </w:rPr>
        <w:t>甲方无正当理由拒收货物的，甲方向乙方偿付拒收货款总值的</w:t>
      </w:r>
      <w:r>
        <w:rPr>
          <w:rFonts w:hint="eastAsia" w:ascii="新宋体" w:hAnsi="新宋体" w:eastAsia="新宋体" w:cs="新宋体"/>
          <w:color w:val="000000"/>
          <w:spacing w:val="3"/>
          <w:kern w:val="0"/>
          <w:sz w:val="22"/>
          <w:szCs w:val="22"/>
          <w:highlight w:val="none"/>
          <w:u w:val="single"/>
          <w:lang w:val="zh-CN"/>
        </w:rPr>
        <w:t xml:space="preserve"> 百分之五</w:t>
      </w:r>
      <w:r>
        <w:rPr>
          <w:rFonts w:hint="eastAsia" w:ascii="新宋体" w:hAnsi="新宋体" w:eastAsia="新宋体" w:cs="新宋体"/>
          <w:color w:val="000000"/>
          <w:spacing w:val="45"/>
          <w:kern w:val="0"/>
          <w:sz w:val="22"/>
          <w:szCs w:val="22"/>
          <w:highlight w:val="none"/>
          <w:lang w:val="zh-CN"/>
        </w:rPr>
        <w:t xml:space="preserve"> </w:t>
      </w:r>
      <w:r>
        <w:rPr>
          <w:rFonts w:hint="eastAsia" w:ascii="新宋体" w:hAnsi="新宋体" w:eastAsia="新宋体" w:cs="新宋体"/>
          <w:color w:val="000000"/>
          <w:kern w:val="0"/>
          <w:sz w:val="22"/>
          <w:szCs w:val="22"/>
          <w:highlight w:val="none"/>
          <w:lang w:val="zh-CN"/>
        </w:rPr>
        <w:t>违约金。</w:t>
      </w:r>
    </w:p>
    <w:p>
      <w:pPr>
        <w:tabs>
          <w:tab w:val="left" w:pos="522"/>
        </w:tabs>
        <w:autoSpaceDE w:val="0"/>
        <w:autoSpaceDN w:val="0"/>
        <w:spacing w:line="460" w:lineRule="exact"/>
        <w:ind w:left="126" w:leftChars="6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rPr>
        <w:t>2、</w:t>
      </w:r>
      <w:r>
        <w:rPr>
          <w:rFonts w:hint="eastAsia" w:ascii="新宋体" w:hAnsi="新宋体" w:eastAsia="新宋体" w:cs="新宋体"/>
          <w:color w:val="000000"/>
          <w:kern w:val="0"/>
          <w:sz w:val="22"/>
          <w:szCs w:val="22"/>
          <w:highlight w:val="none"/>
          <w:lang w:val="zh-CN"/>
        </w:rPr>
        <w:t>甲方无故逾期验收和办理货款支付手续的,甲方应按逾期付款总额每日</w:t>
      </w:r>
      <w:r>
        <w:rPr>
          <w:rFonts w:hint="eastAsia" w:ascii="新宋体" w:hAnsi="新宋体" w:eastAsia="新宋体" w:cs="新宋体"/>
          <w:color w:val="000000"/>
          <w:spacing w:val="2"/>
          <w:kern w:val="0"/>
          <w:sz w:val="22"/>
          <w:szCs w:val="22"/>
          <w:highlight w:val="none"/>
          <w:u w:val="single"/>
          <w:lang w:val="zh-CN"/>
        </w:rPr>
        <w:t xml:space="preserve"> 万分之五</w:t>
      </w:r>
      <w:r>
        <w:rPr>
          <w:rFonts w:hint="eastAsia" w:ascii="新宋体" w:hAnsi="新宋体" w:eastAsia="新宋体" w:cs="新宋体"/>
          <w:color w:val="000000"/>
          <w:spacing w:val="43"/>
          <w:kern w:val="0"/>
          <w:sz w:val="22"/>
          <w:szCs w:val="22"/>
          <w:highlight w:val="none"/>
          <w:lang w:val="zh-CN"/>
        </w:rPr>
        <w:t xml:space="preserve"> </w:t>
      </w:r>
      <w:r>
        <w:rPr>
          <w:rFonts w:hint="eastAsia" w:ascii="新宋体" w:hAnsi="新宋体" w:eastAsia="新宋体" w:cs="新宋体"/>
          <w:color w:val="000000"/>
          <w:kern w:val="0"/>
          <w:sz w:val="22"/>
          <w:szCs w:val="22"/>
          <w:highlight w:val="none"/>
          <w:lang w:val="zh-CN"/>
        </w:rPr>
        <w:t>向乙方支付违约金。</w:t>
      </w:r>
    </w:p>
    <w:p>
      <w:pPr>
        <w:tabs>
          <w:tab w:val="left" w:pos="522"/>
        </w:tabs>
        <w:autoSpaceDE w:val="0"/>
        <w:autoSpaceDN w:val="0"/>
        <w:spacing w:line="460" w:lineRule="exact"/>
        <w:ind w:left="126" w:leftChars="6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rPr>
        <w:t>3、</w:t>
      </w:r>
      <w:r>
        <w:rPr>
          <w:rFonts w:hint="eastAsia" w:ascii="新宋体" w:hAnsi="新宋体" w:eastAsia="新宋体" w:cs="新宋体"/>
          <w:color w:val="000000"/>
          <w:kern w:val="0"/>
          <w:sz w:val="22"/>
          <w:szCs w:val="22"/>
          <w:highlight w:val="none"/>
          <w:lang w:val="zh-CN"/>
        </w:rPr>
        <w:t>乙方逾期交付货物的，乙方应按逾期交货总额每日</w:t>
      </w:r>
      <w:r>
        <w:rPr>
          <w:rFonts w:hint="eastAsia" w:ascii="新宋体" w:hAnsi="新宋体" w:eastAsia="新宋体" w:cs="新宋体"/>
          <w:color w:val="000000"/>
          <w:spacing w:val="15"/>
          <w:kern w:val="0"/>
          <w:sz w:val="22"/>
          <w:szCs w:val="22"/>
          <w:highlight w:val="none"/>
          <w:u w:val="single"/>
          <w:lang w:val="zh-CN"/>
        </w:rPr>
        <w:t xml:space="preserve"> 千分之六</w:t>
      </w:r>
      <w:r>
        <w:rPr>
          <w:rFonts w:hint="eastAsia" w:ascii="新宋体" w:hAnsi="新宋体" w:eastAsia="新宋体" w:cs="新宋体"/>
          <w:color w:val="000000"/>
          <w:spacing w:val="29"/>
          <w:kern w:val="0"/>
          <w:sz w:val="22"/>
          <w:szCs w:val="22"/>
          <w:highlight w:val="none"/>
          <w:lang w:val="zh-CN"/>
        </w:rPr>
        <w:t xml:space="preserve"> </w:t>
      </w:r>
      <w:r>
        <w:rPr>
          <w:rFonts w:hint="eastAsia" w:ascii="新宋体" w:hAnsi="新宋体" w:eastAsia="新宋体" w:cs="新宋体"/>
          <w:color w:val="000000"/>
          <w:kern w:val="0"/>
          <w:sz w:val="22"/>
          <w:szCs w:val="22"/>
          <w:highlight w:val="none"/>
          <w:lang w:val="zh-CN"/>
        </w:rPr>
        <w:t>向甲方支付违约金，由甲方从待付货款中扣除。逾期超过约定日期</w:t>
      </w:r>
      <w:r>
        <w:rPr>
          <w:rFonts w:hint="eastAsia" w:ascii="新宋体" w:hAnsi="新宋体" w:eastAsia="新宋体" w:cs="新宋体"/>
          <w:color w:val="000000"/>
          <w:w w:val="98"/>
          <w:kern w:val="0"/>
          <w:sz w:val="22"/>
          <w:szCs w:val="22"/>
          <w:highlight w:val="none"/>
          <w:u w:val="single"/>
          <w:lang w:val="zh-CN"/>
        </w:rPr>
        <w:t xml:space="preserve"> </w:t>
      </w:r>
      <w:r>
        <w:rPr>
          <w:rFonts w:hint="eastAsia" w:ascii="新宋体" w:hAnsi="新宋体" w:eastAsia="新宋体" w:cs="新宋体"/>
          <w:color w:val="000000"/>
          <w:kern w:val="0"/>
          <w:sz w:val="22"/>
          <w:szCs w:val="22"/>
          <w:highlight w:val="none"/>
          <w:u w:val="single"/>
          <w:lang w:val="zh-CN"/>
        </w:rPr>
        <w:t xml:space="preserve">  10 </w:t>
      </w:r>
      <w:r>
        <w:rPr>
          <w:rFonts w:hint="eastAsia" w:ascii="新宋体" w:hAnsi="新宋体" w:eastAsia="新宋体" w:cs="新宋体"/>
          <w:color w:val="000000"/>
          <w:kern w:val="0"/>
          <w:sz w:val="22"/>
          <w:szCs w:val="22"/>
          <w:highlight w:val="none"/>
          <w:lang w:val="zh-CN"/>
        </w:rPr>
        <w:t>个工作日不能交货的，甲方可解除本合同。乙方因逾期交货或因其他违约行为导致甲方解除合同的，乙方应向甲方支付合同总值</w:t>
      </w:r>
      <w:r>
        <w:rPr>
          <w:rFonts w:hint="eastAsia" w:ascii="新宋体" w:hAnsi="新宋体" w:eastAsia="新宋体" w:cs="新宋体"/>
          <w:color w:val="000000"/>
          <w:spacing w:val="69"/>
          <w:kern w:val="0"/>
          <w:sz w:val="22"/>
          <w:szCs w:val="22"/>
          <w:highlight w:val="none"/>
          <w:u w:val="single"/>
          <w:lang w:val="zh-CN"/>
        </w:rPr>
        <w:t xml:space="preserve"> </w:t>
      </w:r>
      <w:r>
        <w:rPr>
          <w:rFonts w:hint="eastAsia" w:ascii="新宋体" w:hAnsi="新宋体" w:eastAsia="新宋体" w:cs="新宋体"/>
          <w:color w:val="000000"/>
          <w:kern w:val="0"/>
          <w:sz w:val="22"/>
          <w:szCs w:val="22"/>
          <w:highlight w:val="none"/>
          <w:u w:val="single"/>
          <w:lang w:val="zh-CN"/>
        </w:rPr>
        <w:t>5</w:t>
      </w:r>
      <w:r>
        <w:rPr>
          <w:rFonts w:hint="eastAsia" w:ascii="新宋体" w:hAnsi="新宋体" w:eastAsia="新宋体" w:cs="新宋体"/>
          <w:color w:val="000000"/>
          <w:kern w:val="0"/>
          <w:sz w:val="22"/>
          <w:szCs w:val="22"/>
          <w:highlight w:val="none"/>
          <w:lang w:val="zh-CN"/>
        </w:rPr>
        <w:t>%的违约金，如造成甲方损失超过违约金的，超出部分由乙方继续承担赔偿责任。</w:t>
      </w:r>
    </w:p>
    <w:p>
      <w:pPr>
        <w:tabs>
          <w:tab w:val="left" w:pos="522"/>
        </w:tabs>
        <w:autoSpaceDE w:val="0"/>
        <w:autoSpaceDN w:val="0"/>
        <w:spacing w:line="460" w:lineRule="exact"/>
        <w:ind w:left="126" w:leftChars="6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rPr>
        <w:t>4、</w:t>
      </w:r>
      <w:r>
        <w:rPr>
          <w:rFonts w:hint="eastAsia" w:ascii="新宋体" w:hAnsi="新宋体" w:eastAsia="新宋体" w:cs="新宋体"/>
          <w:color w:val="000000"/>
          <w:kern w:val="0"/>
          <w:sz w:val="22"/>
          <w:szCs w:val="22"/>
          <w:highlight w:val="none"/>
          <w:lang w:val="zh-CN"/>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utoSpaceDE w:val="0"/>
        <w:autoSpaceDN w:val="0"/>
        <w:spacing w:line="460" w:lineRule="exact"/>
        <w:jc w:val="left"/>
        <w:outlineLvl w:val="1"/>
        <w:rPr>
          <w:rFonts w:hint="eastAsia" w:ascii="新宋体" w:hAnsi="新宋体" w:eastAsia="新宋体" w:cs="新宋体"/>
          <w:b/>
          <w:bCs/>
          <w:color w:val="000000"/>
          <w:kern w:val="0"/>
          <w:sz w:val="22"/>
          <w:szCs w:val="22"/>
          <w:highlight w:val="none"/>
          <w:lang w:val="zh-CN"/>
        </w:rPr>
      </w:pPr>
      <w:bookmarkStart w:id="50" w:name="_Toc9247353"/>
      <w:bookmarkStart w:id="51" w:name="_Toc527802481"/>
      <w:r>
        <w:rPr>
          <w:rFonts w:hint="eastAsia" w:ascii="新宋体" w:hAnsi="新宋体" w:eastAsia="新宋体" w:cs="新宋体"/>
          <w:b/>
          <w:bCs/>
          <w:color w:val="000000"/>
          <w:kern w:val="0"/>
          <w:sz w:val="22"/>
          <w:szCs w:val="22"/>
          <w:highlight w:val="none"/>
          <w:lang w:val="zh-CN"/>
        </w:rPr>
        <w:t>十四、不可抗力事件处理</w:t>
      </w:r>
      <w:bookmarkEnd w:id="50"/>
      <w:bookmarkEnd w:id="51"/>
    </w:p>
    <w:p>
      <w:pPr>
        <w:tabs>
          <w:tab w:val="left" w:pos="522"/>
        </w:tabs>
        <w:autoSpaceDE w:val="0"/>
        <w:autoSpaceDN w:val="0"/>
        <w:spacing w:line="460" w:lineRule="exact"/>
        <w:ind w:left="126" w:leftChars="6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rPr>
        <w:t>1、</w:t>
      </w:r>
      <w:r>
        <w:rPr>
          <w:rFonts w:hint="eastAsia" w:ascii="新宋体" w:hAnsi="新宋体" w:eastAsia="新宋体" w:cs="新宋体"/>
          <w:color w:val="000000"/>
          <w:kern w:val="0"/>
          <w:sz w:val="22"/>
          <w:szCs w:val="22"/>
          <w:highlight w:val="none"/>
          <w:lang w:val="zh-CN"/>
        </w:rPr>
        <w:t>在合同有效期内，任何一方因不可抗力事件导致不能履行合同，则合同履行期可延长，其延长期与不可抗力影响期相同。</w:t>
      </w:r>
    </w:p>
    <w:p>
      <w:pPr>
        <w:tabs>
          <w:tab w:val="left" w:pos="522"/>
        </w:tabs>
        <w:autoSpaceDE w:val="0"/>
        <w:autoSpaceDN w:val="0"/>
        <w:spacing w:line="460" w:lineRule="exact"/>
        <w:ind w:left="126" w:leftChars="6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rPr>
        <w:t>2、</w:t>
      </w:r>
      <w:r>
        <w:rPr>
          <w:rFonts w:hint="eastAsia" w:ascii="新宋体" w:hAnsi="新宋体" w:eastAsia="新宋体" w:cs="新宋体"/>
          <w:color w:val="000000"/>
          <w:kern w:val="0"/>
          <w:sz w:val="22"/>
          <w:szCs w:val="22"/>
          <w:highlight w:val="none"/>
          <w:lang w:val="zh-CN"/>
        </w:rPr>
        <w:t>不可抗力事件发生后，应立即通知对方，并寄送有关权威机构出具的证明。</w:t>
      </w:r>
    </w:p>
    <w:p>
      <w:pPr>
        <w:tabs>
          <w:tab w:val="left" w:pos="522"/>
        </w:tabs>
        <w:autoSpaceDE w:val="0"/>
        <w:autoSpaceDN w:val="0"/>
        <w:spacing w:line="460" w:lineRule="exact"/>
        <w:ind w:left="126" w:leftChars="6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spacing w:val="-3"/>
          <w:kern w:val="0"/>
          <w:sz w:val="22"/>
          <w:szCs w:val="22"/>
          <w:highlight w:val="none"/>
        </w:rPr>
        <w:t>3、</w:t>
      </w:r>
      <w:r>
        <w:rPr>
          <w:rFonts w:hint="eastAsia" w:ascii="新宋体" w:hAnsi="新宋体" w:eastAsia="新宋体" w:cs="新宋体"/>
          <w:color w:val="000000"/>
          <w:spacing w:val="-3"/>
          <w:kern w:val="0"/>
          <w:sz w:val="22"/>
          <w:szCs w:val="22"/>
          <w:highlight w:val="none"/>
          <w:lang w:val="zh-CN"/>
        </w:rPr>
        <w:t xml:space="preserve">不可抗力事件延续 </w:t>
      </w:r>
      <w:r>
        <w:rPr>
          <w:rFonts w:hint="eastAsia" w:ascii="新宋体" w:hAnsi="新宋体" w:eastAsia="新宋体" w:cs="新宋体"/>
          <w:color w:val="000000"/>
          <w:kern w:val="0"/>
          <w:sz w:val="22"/>
          <w:szCs w:val="22"/>
          <w:highlight w:val="none"/>
          <w:lang w:val="zh-CN"/>
        </w:rPr>
        <w:t>120天以上，双方应通过友好协商，确定是否继续履行合同。</w:t>
      </w:r>
    </w:p>
    <w:p>
      <w:pPr>
        <w:autoSpaceDE w:val="0"/>
        <w:autoSpaceDN w:val="0"/>
        <w:spacing w:line="460" w:lineRule="exact"/>
        <w:jc w:val="left"/>
        <w:outlineLvl w:val="1"/>
        <w:rPr>
          <w:rFonts w:hint="eastAsia" w:ascii="新宋体" w:hAnsi="新宋体" w:eastAsia="新宋体" w:cs="新宋体"/>
          <w:b/>
          <w:bCs/>
          <w:color w:val="000000"/>
          <w:kern w:val="0"/>
          <w:sz w:val="22"/>
          <w:szCs w:val="22"/>
          <w:highlight w:val="none"/>
          <w:lang w:val="zh-CN"/>
        </w:rPr>
      </w:pPr>
      <w:bookmarkStart w:id="52" w:name="_Toc9247354"/>
      <w:bookmarkStart w:id="53" w:name="_Toc527802482"/>
      <w:r>
        <w:rPr>
          <w:rFonts w:hint="eastAsia" w:ascii="新宋体" w:hAnsi="新宋体" w:eastAsia="新宋体" w:cs="新宋体"/>
          <w:b/>
          <w:bCs/>
          <w:color w:val="000000"/>
          <w:kern w:val="0"/>
          <w:sz w:val="22"/>
          <w:szCs w:val="22"/>
          <w:highlight w:val="none"/>
          <w:lang w:val="zh-CN"/>
        </w:rPr>
        <w:t>十五、诉讼</w:t>
      </w:r>
      <w:bookmarkEnd w:id="52"/>
      <w:bookmarkEnd w:id="53"/>
    </w:p>
    <w:p>
      <w:pPr>
        <w:autoSpaceDE w:val="0"/>
        <w:autoSpaceDN w:val="0"/>
        <w:spacing w:line="460" w:lineRule="exact"/>
        <w:ind w:left="126" w:leftChars="6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lang w:val="zh-CN"/>
        </w:rPr>
        <w:t>双方在执行合同中所发生的一切争议，应通过协商解决。如协商不成，可向甲方所在地法院起诉。</w:t>
      </w:r>
    </w:p>
    <w:p>
      <w:pPr>
        <w:autoSpaceDE w:val="0"/>
        <w:autoSpaceDN w:val="0"/>
        <w:spacing w:line="460" w:lineRule="exact"/>
        <w:jc w:val="left"/>
        <w:outlineLvl w:val="1"/>
        <w:rPr>
          <w:rFonts w:hint="eastAsia" w:ascii="新宋体" w:hAnsi="新宋体" w:eastAsia="新宋体" w:cs="新宋体"/>
          <w:b/>
          <w:bCs/>
          <w:color w:val="000000"/>
          <w:kern w:val="0"/>
          <w:sz w:val="22"/>
          <w:szCs w:val="22"/>
          <w:highlight w:val="none"/>
          <w:lang w:val="zh-CN"/>
        </w:rPr>
      </w:pPr>
      <w:bookmarkStart w:id="54" w:name="_Toc527802483"/>
      <w:bookmarkStart w:id="55" w:name="_Toc9247355"/>
      <w:r>
        <w:rPr>
          <w:rFonts w:hint="eastAsia" w:ascii="新宋体" w:hAnsi="新宋体" w:eastAsia="新宋体" w:cs="新宋体"/>
          <w:b/>
          <w:bCs/>
          <w:color w:val="000000"/>
          <w:kern w:val="0"/>
          <w:sz w:val="22"/>
          <w:szCs w:val="22"/>
          <w:highlight w:val="none"/>
          <w:lang w:val="zh-CN"/>
        </w:rPr>
        <w:t>十六、合同生效及其它</w:t>
      </w:r>
      <w:bookmarkEnd w:id="54"/>
      <w:bookmarkEnd w:id="55"/>
    </w:p>
    <w:p>
      <w:pPr>
        <w:tabs>
          <w:tab w:val="left" w:pos="522"/>
        </w:tabs>
        <w:autoSpaceDE w:val="0"/>
        <w:autoSpaceDN w:val="0"/>
        <w:spacing w:line="460" w:lineRule="exact"/>
        <w:ind w:left="126" w:leftChars="6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rPr>
        <w:t>1、</w:t>
      </w:r>
      <w:r>
        <w:rPr>
          <w:rFonts w:hint="eastAsia" w:ascii="新宋体" w:hAnsi="新宋体" w:eastAsia="新宋体" w:cs="新宋体"/>
          <w:color w:val="000000"/>
          <w:kern w:val="0"/>
          <w:sz w:val="22"/>
          <w:szCs w:val="22"/>
          <w:highlight w:val="none"/>
          <w:lang w:val="zh-CN"/>
        </w:rPr>
        <w:t>本合同经甲、乙双方签字并加盖单位公章后生效。</w:t>
      </w:r>
    </w:p>
    <w:p>
      <w:pPr>
        <w:tabs>
          <w:tab w:val="left" w:pos="522"/>
        </w:tabs>
        <w:autoSpaceDE w:val="0"/>
        <w:autoSpaceDN w:val="0"/>
        <w:spacing w:line="460" w:lineRule="exact"/>
        <w:ind w:left="126" w:leftChars="6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rPr>
        <w:t>2、</w:t>
      </w:r>
      <w:r>
        <w:rPr>
          <w:rFonts w:hint="eastAsia" w:ascii="新宋体" w:hAnsi="新宋体" w:eastAsia="新宋体" w:cs="新宋体"/>
          <w:color w:val="000000"/>
          <w:kern w:val="0"/>
          <w:sz w:val="22"/>
          <w:szCs w:val="22"/>
          <w:highlight w:val="none"/>
          <w:lang w:val="zh-CN"/>
        </w:rPr>
        <w:t>招标文件、投标文件、项目采购协议或入围承诺书与本合同具有同等法律效力。如前述各项文件之间约定不一致的，应以最新签署的文件内容为准。</w:t>
      </w:r>
    </w:p>
    <w:p>
      <w:pPr>
        <w:tabs>
          <w:tab w:val="left" w:pos="522"/>
        </w:tabs>
        <w:autoSpaceDE w:val="0"/>
        <w:autoSpaceDN w:val="0"/>
        <w:spacing w:line="460" w:lineRule="exact"/>
        <w:ind w:left="126" w:leftChars="6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rPr>
        <w:t>3、</w:t>
      </w:r>
      <w:r>
        <w:rPr>
          <w:rFonts w:hint="eastAsia" w:ascii="新宋体" w:hAnsi="新宋体" w:eastAsia="新宋体" w:cs="新宋体"/>
          <w:color w:val="000000"/>
          <w:kern w:val="0"/>
          <w:sz w:val="22"/>
          <w:szCs w:val="22"/>
          <w:highlight w:val="none"/>
          <w:lang w:val="zh-CN"/>
        </w:rPr>
        <w:t>本合同未尽事宜，以招投标文件为准。</w:t>
      </w:r>
    </w:p>
    <w:p>
      <w:pPr>
        <w:tabs>
          <w:tab w:val="left" w:pos="522"/>
        </w:tabs>
        <w:autoSpaceDE w:val="0"/>
        <w:autoSpaceDN w:val="0"/>
        <w:spacing w:line="460" w:lineRule="exact"/>
        <w:ind w:left="126" w:leftChars="6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rPr>
        <w:t>4、</w:t>
      </w:r>
      <w:r>
        <w:rPr>
          <w:rFonts w:hint="eastAsia" w:ascii="新宋体" w:hAnsi="新宋体" w:eastAsia="新宋体" w:cs="新宋体"/>
          <w:color w:val="000000"/>
          <w:kern w:val="0"/>
          <w:sz w:val="22"/>
          <w:szCs w:val="22"/>
          <w:highlight w:val="none"/>
          <w:lang w:val="zh-CN"/>
        </w:rPr>
        <w:t>本合同一式三份，甲方执二份，乙方执一份，具有同等法律效力。</w:t>
      </w:r>
    </w:p>
    <w:p>
      <w:pPr>
        <w:tabs>
          <w:tab w:val="left" w:pos="522"/>
        </w:tabs>
        <w:autoSpaceDE w:val="0"/>
        <w:autoSpaceDN w:val="0"/>
        <w:spacing w:line="460" w:lineRule="exact"/>
        <w:ind w:left="126" w:leftChars="60"/>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rPr>
        <w:t>5、</w:t>
      </w:r>
      <w:r>
        <w:rPr>
          <w:rFonts w:hint="eastAsia" w:ascii="新宋体" w:hAnsi="新宋体" w:eastAsia="新宋体" w:cs="新宋体"/>
          <w:color w:val="000000"/>
          <w:kern w:val="0"/>
          <w:sz w:val="22"/>
          <w:szCs w:val="22"/>
          <w:highlight w:val="none"/>
          <w:lang w:val="zh-CN"/>
        </w:rPr>
        <w:t>附件设备配置清单系本合同不可分割的组成部分，与本合同具有同等法律效力。</w:t>
      </w:r>
    </w:p>
    <w:p>
      <w:pPr>
        <w:tabs>
          <w:tab w:val="left" w:pos="522"/>
        </w:tabs>
        <w:autoSpaceDE w:val="0"/>
        <w:autoSpaceDN w:val="0"/>
        <w:spacing w:line="460" w:lineRule="exact"/>
        <w:jc w:val="left"/>
        <w:rPr>
          <w:rFonts w:hint="eastAsia" w:ascii="新宋体" w:hAnsi="新宋体" w:eastAsia="新宋体" w:cs="新宋体"/>
          <w:color w:val="000000"/>
          <w:kern w:val="0"/>
          <w:sz w:val="22"/>
          <w:szCs w:val="22"/>
          <w:highlight w:val="none"/>
          <w:lang w:val="zh-CN"/>
        </w:rPr>
      </w:pPr>
    </w:p>
    <w:p>
      <w:pPr>
        <w:autoSpaceDE w:val="0"/>
        <w:autoSpaceDN w:val="0"/>
        <w:spacing w:line="460" w:lineRule="exact"/>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lang w:val="zh-CN"/>
        </w:rPr>
        <w:t>甲方（盖章）： 温州市中医院</w:t>
      </w:r>
      <w:r>
        <w:rPr>
          <w:rFonts w:hint="eastAsia" w:ascii="新宋体" w:hAnsi="新宋体" w:eastAsia="新宋体" w:cs="新宋体"/>
          <w:color w:val="000000"/>
          <w:kern w:val="0"/>
          <w:sz w:val="22"/>
          <w:szCs w:val="22"/>
          <w:highlight w:val="none"/>
          <w:lang w:val="zh-CN"/>
        </w:rPr>
        <w:tab/>
      </w:r>
      <w:r>
        <w:rPr>
          <w:rFonts w:hint="eastAsia" w:ascii="新宋体" w:hAnsi="新宋体" w:eastAsia="新宋体" w:cs="新宋体"/>
          <w:color w:val="000000"/>
          <w:kern w:val="0"/>
          <w:sz w:val="22"/>
          <w:szCs w:val="22"/>
          <w:highlight w:val="none"/>
          <w:lang w:val="zh-CN"/>
        </w:rPr>
        <w:tab/>
      </w:r>
      <w:r>
        <w:rPr>
          <w:rFonts w:hint="eastAsia" w:ascii="新宋体" w:hAnsi="新宋体" w:eastAsia="新宋体" w:cs="新宋体"/>
          <w:color w:val="000000"/>
          <w:kern w:val="0"/>
          <w:sz w:val="22"/>
          <w:szCs w:val="22"/>
          <w:highlight w:val="none"/>
          <w:lang w:val="zh-CN"/>
        </w:rPr>
        <w:tab/>
      </w:r>
      <w:r>
        <w:rPr>
          <w:rFonts w:hint="eastAsia" w:ascii="新宋体" w:hAnsi="新宋体" w:eastAsia="新宋体" w:cs="新宋体"/>
          <w:color w:val="000000"/>
          <w:kern w:val="0"/>
          <w:sz w:val="22"/>
          <w:szCs w:val="22"/>
          <w:highlight w:val="none"/>
          <w:lang w:val="zh-CN"/>
        </w:rPr>
        <w:tab/>
      </w:r>
      <w:r>
        <w:rPr>
          <w:rFonts w:hint="eastAsia" w:ascii="新宋体" w:hAnsi="新宋体" w:eastAsia="新宋体" w:cs="新宋体"/>
          <w:color w:val="000000"/>
          <w:kern w:val="0"/>
          <w:sz w:val="22"/>
          <w:szCs w:val="22"/>
          <w:highlight w:val="none"/>
          <w:lang w:val="zh-CN"/>
        </w:rPr>
        <w:tab/>
      </w:r>
      <w:r>
        <w:rPr>
          <w:rFonts w:hint="eastAsia" w:ascii="新宋体" w:hAnsi="新宋体" w:eastAsia="新宋体" w:cs="新宋体"/>
          <w:color w:val="000000"/>
          <w:kern w:val="0"/>
          <w:sz w:val="22"/>
          <w:szCs w:val="22"/>
          <w:highlight w:val="none"/>
          <w:lang w:val="zh-CN"/>
        </w:rPr>
        <w:tab/>
      </w:r>
      <w:r>
        <w:rPr>
          <w:rFonts w:hint="eastAsia" w:ascii="新宋体" w:hAnsi="新宋体" w:eastAsia="新宋体" w:cs="新宋体"/>
          <w:color w:val="000000"/>
          <w:kern w:val="0"/>
          <w:sz w:val="22"/>
          <w:szCs w:val="22"/>
          <w:highlight w:val="none"/>
          <w:lang w:val="zh-CN"/>
        </w:rPr>
        <w:t xml:space="preserve">乙方（盖章）： </w:t>
      </w:r>
    </w:p>
    <w:p>
      <w:pPr>
        <w:autoSpaceDE w:val="0"/>
        <w:autoSpaceDN w:val="0"/>
        <w:spacing w:line="460" w:lineRule="exact"/>
        <w:jc w:val="left"/>
        <w:rPr>
          <w:rFonts w:hint="eastAsia" w:ascii="新宋体" w:hAnsi="新宋体" w:eastAsia="新宋体" w:cs="新宋体"/>
          <w:color w:val="000000"/>
          <w:kern w:val="0"/>
          <w:sz w:val="22"/>
          <w:szCs w:val="22"/>
          <w:highlight w:val="none"/>
          <w:lang w:val="zh-CN"/>
        </w:rPr>
      </w:pPr>
    </w:p>
    <w:p>
      <w:pPr>
        <w:autoSpaceDE w:val="0"/>
        <w:autoSpaceDN w:val="0"/>
        <w:spacing w:line="460" w:lineRule="exact"/>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lang w:val="zh-CN"/>
        </w:rPr>
        <w:t>地址：温州市六虹桥路蛟尾路9号</w:t>
      </w:r>
      <w:r>
        <w:rPr>
          <w:rFonts w:hint="eastAsia" w:ascii="新宋体" w:hAnsi="新宋体" w:eastAsia="新宋体" w:cs="新宋体"/>
          <w:color w:val="000000"/>
          <w:kern w:val="0"/>
          <w:sz w:val="22"/>
          <w:szCs w:val="22"/>
          <w:highlight w:val="none"/>
          <w:lang w:val="zh-CN"/>
        </w:rPr>
        <w:tab/>
      </w:r>
      <w:r>
        <w:rPr>
          <w:rFonts w:hint="eastAsia" w:ascii="新宋体" w:hAnsi="新宋体" w:eastAsia="新宋体" w:cs="新宋体"/>
          <w:color w:val="000000"/>
          <w:kern w:val="0"/>
          <w:sz w:val="22"/>
          <w:szCs w:val="22"/>
          <w:highlight w:val="none"/>
          <w:lang w:val="zh-CN"/>
        </w:rPr>
        <w:tab/>
      </w:r>
      <w:r>
        <w:rPr>
          <w:rFonts w:hint="eastAsia" w:ascii="新宋体" w:hAnsi="新宋体" w:eastAsia="新宋体" w:cs="新宋体"/>
          <w:color w:val="000000"/>
          <w:kern w:val="0"/>
          <w:sz w:val="22"/>
          <w:szCs w:val="22"/>
          <w:highlight w:val="none"/>
          <w:lang w:val="zh-CN"/>
        </w:rPr>
        <w:tab/>
      </w:r>
      <w:r>
        <w:rPr>
          <w:rFonts w:hint="eastAsia" w:ascii="新宋体" w:hAnsi="新宋体" w:eastAsia="新宋体" w:cs="新宋体"/>
          <w:color w:val="000000"/>
          <w:kern w:val="0"/>
          <w:sz w:val="22"/>
          <w:szCs w:val="22"/>
          <w:highlight w:val="none"/>
          <w:lang w:val="zh-CN"/>
        </w:rPr>
        <w:tab/>
      </w:r>
      <w:r>
        <w:rPr>
          <w:rFonts w:hint="eastAsia" w:ascii="新宋体" w:hAnsi="新宋体" w:eastAsia="新宋体" w:cs="新宋体"/>
          <w:color w:val="000000"/>
          <w:kern w:val="0"/>
          <w:sz w:val="22"/>
          <w:szCs w:val="22"/>
          <w:highlight w:val="none"/>
          <w:lang w:val="zh-CN"/>
        </w:rPr>
        <w:tab/>
      </w:r>
      <w:r>
        <w:rPr>
          <w:rFonts w:hint="eastAsia" w:ascii="新宋体" w:hAnsi="新宋体" w:eastAsia="新宋体" w:cs="新宋体"/>
          <w:color w:val="000000"/>
          <w:kern w:val="0"/>
          <w:sz w:val="22"/>
          <w:szCs w:val="22"/>
          <w:highlight w:val="none"/>
          <w:lang w:val="zh-CN"/>
        </w:rPr>
        <w:t>地址：</w:t>
      </w:r>
    </w:p>
    <w:p>
      <w:pPr>
        <w:autoSpaceDE w:val="0"/>
        <w:autoSpaceDN w:val="0"/>
        <w:spacing w:line="460" w:lineRule="exact"/>
        <w:jc w:val="left"/>
        <w:rPr>
          <w:rFonts w:hint="eastAsia" w:ascii="新宋体" w:hAnsi="新宋体" w:eastAsia="新宋体" w:cs="新宋体"/>
          <w:color w:val="000000"/>
          <w:kern w:val="0"/>
          <w:sz w:val="22"/>
          <w:szCs w:val="22"/>
          <w:highlight w:val="none"/>
          <w:lang w:val="zh-CN"/>
        </w:rPr>
      </w:pPr>
    </w:p>
    <w:p>
      <w:pPr>
        <w:autoSpaceDE w:val="0"/>
        <w:autoSpaceDN w:val="0"/>
        <w:spacing w:line="460" w:lineRule="exact"/>
        <w:jc w:val="left"/>
        <w:rPr>
          <w:rFonts w:hint="eastAsia"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lang w:val="zh-CN"/>
        </w:rPr>
        <w:t>法定（授权）代表人：</w:t>
      </w:r>
      <w:r>
        <w:rPr>
          <w:rFonts w:hint="eastAsia" w:ascii="新宋体" w:hAnsi="新宋体" w:eastAsia="新宋体" w:cs="新宋体"/>
          <w:color w:val="000000"/>
          <w:kern w:val="0"/>
          <w:sz w:val="22"/>
          <w:szCs w:val="22"/>
          <w:highlight w:val="none"/>
          <w:lang w:val="zh-CN"/>
        </w:rPr>
        <w:tab/>
      </w:r>
      <w:r>
        <w:rPr>
          <w:rFonts w:hint="eastAsia" w:ascii="新宋体" w:hAnsi="新宋体" w:eastAsia="新宋体" w:cs="新宋体"/>
          <w:color w:val="000000"/>
          <w:kern w:val="0"/>
          <w:sz w:val="22"/>
          <w:szCs w:val="22"/>
          <w:highlight w:val="none"/>
          <w:lang w:val="zh-CN"/>
        </w:rPr>
        <w:tab/>
      </w:r>
      <w:r>
        <w:rPr>
          <w:rFonts w:hint="eastAsia" w:ascii="新宋体" w:hAnsi="新宋体" w:eastAsia="新宋体" w:cs="新宋体"/>
          <w:color w:val="000000"/>
          <w:kern w:val="0"/>
          <w:sz w:val="22"/>
          <w:szCs w:val="22"/>
          <w:highlight w:val="none"/>
          <w:lang w:val="zh-CN"/>
        </w:rPr>
        <w:tab/>
      </w:r>
      <w:r>
        <w:rPr>
          <w:rFonts w:hint="eastAsia" w:ascii="新宋体" w:hAnsi="新宋体" w:eastAsia="新宋体" w:cs="新宋体"/>
          <w:color w:val="000000"/>
          <w:kern w:val="0"/>
          <w:sz w:val="22"/>
          <w:szCs w:val="22"/>
          <w:highlight w:val="none"/>
          <w:lang w:val="zh-CN"/>
        </w:rPr>
        <w:tab/>
      </w:r>
      <w:r>
        <w:rPr>
          <w:rFonts w:hint="eastAsia" w:ascii="新宋体" w:hAnsi="新宋体" w:eastAsia="新宋体" w:cs="新宋体"/>
          <w:color w:val="000000"/>
          <w:kern w:val="0"/>
          <w:sz w:val="22"/>
          <w:szCs w:val="22"/>
          <w:highlight w:val="none"/>
          <w:lang w:val="zh-CN"/>
        </w:rPr>
        <w:tab/>
      </w:r>
      <w:r>
        <w:rPr>
          <w:rFonts w:hint="eastAsia" w:ascii="新宋体" w:hAnsi="新宋体" w:eastAsia="新宋体" w:cs="新宋体"/>
          <w:color w:val="000000"/>
          <w:kern w:val="0"/>
          <w:sz w:val="22"/>
          <w:szCs w:val="22"/>
          <w:highlight w:val="none"/>
          <w:lang w:val="zh-CN"/>
        </w:rPr>
        <w:tab/>
      </w:r>
      <w:r>
        <w:rPr>
          <w:rFonts w:hint="eastAsia" w:ascii="新宋体" w:hAnsi="新宋体" w:eastAsia="新宋体" w:cs="新宋体"/>
          <w:color w:val="000000"/>
          <w:kern w:val="0"/>
          <w:sz w:val="22"/>
          <w:szCs w:val="22"/>
          <w:highlight w:val="none"/>
          <w:lang w:val="zh-CN"/>
        </w:rPr>
        <w:tab/>
      </w:r>
      <w:r>
        <w:rPr>
          <w:rFonts w:hint="eastAsia" w:ascii="新宋体" w:hAnsi="新宋体" w:eastAsia="新宋体" w:cs="新宋体"/>
          <w:color w:val="000000"/>
          <w:kern w:val="0"/>
          <w:sz w:val="22"/>
          <w:szCs w:val="22"/>
          <w:highlight w:val="none"/>
          <w:lang w:val="zh-CN"/>
        </w:rPr>
        <w:t>法定（授权）代表人：</w:t>
      </w:r>
    </w:p>
    <w:p>
      <w:pPr>
        <w:autoSpaceDE w:val="0"/>
        <w:autoSpaceDN w:val="0"/>
        <w:spacing w:line="460" w:lineRule="exact"/>
        <w:jc w:val="left"/>
        <w:rPr>
          <w:rFonts w:hint="eastAsia" w:ascii="新宋体" w:hAnsi="新宋体" w:eastAsia="新宋体" w:cs="新宋体"/>
          <w:color w:val="000000"/>
          <w:kern w:val="0"/>
          <w:sz w:val="22"/>
          <w:szCs w:val="22"/>
          <w:highlight w:val="none"/>
          <w:lang w:val="zh-CN"/>
        </w:rPr>
      </w:pPr>
    </w:p>
    <w:p>
      <w:pPr>
        <w:autoSpaceDE w:val="0"/>
        <w:autoSpaceDN w:val="0"/>
        <w:spacing w:line="460" w:lineRule="exact"/>
        <w:jc w:val="left"/>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val="zh-CN"/>
        </w:rPr>
        <w:t>签字日期：  年  月  日</w:t>
      </w:r>
      <w:r>
        <w:rPr>
          <w:rFonts w:hint="eastAsia" w:ascii="新宋体" w:hAnsi="新宋体" w:eastAsia="新宋体" w:cs="新宋体"/>
          <w:color w:val="000000"/>
          <w:kern w:val="0"/>
          <w:sz w:val="22"/>
          <w:szCs w:val="22"/>
          <w:highlight w:val="none"/>
          <w:lang w:val="zh-CN"/>
        </w:rPr>
        <w:tab/>
      </w:r>
      <w:r>
        <w:rPr>
          <w:rFonts w:hint="eastAsia" w:ascii="新宋体" w:hAnsi="新宋体" w:eastAsia="新宋体" w:cs="新宋体"/>
          <w:color w:val="000000"/>
          <w:kern w:val="0"/>
          <w:sz w:val="22"/>
          <w:szCs w:val="22"/>
          <w:highlight w:val="none"/>
          <w:lang w:val="zh-CN"/>
        </w:rPr>
        <w:tab/>
      </w:r>
      <w:r>
        <w:rPr>
          <w:rFonts w:hint="eastAsia" w:ascii="新宋体" w:hAnsi="新宋体" w:eastAsia="新宋体" w:cs="新宋体"/>
          <w:color w:val="000000"/>
          <w:kern w:val="0"/>
          <w:sz w:val="22"/>
          <w:szCs w:val="22"/>
          <w:highlight w:val="none"/>
          <w:lang w:val="zh-CN"/>
        </w:rPr>
        <w:tab/>
      </w:r>
      <w:r>
        <w:rPr>
          <w:rFonts w:hint="eastAsia" w:ascii="新宋体" w:hAnsi="新宋体" w:eastAsia="新宋体" w:cs="新宋体"/>
          <w:color w:val="000000"/>
          <w:kern w:val="0"/>
          <w:sz w:val="22"/>
          <w:szCs w:val="22"/>
          <w:highlight w:val="none"/>
          <w:lang w:val="zh-CN"/>
        </w:rPr>
        <w:tab/>
      </w:r>
      <w:r>
        <w:rPr>
          <w:rFonts w:hint="eastAsia" w:ascii="新宋体" w:hAnsi="新宋体" w:eastAsia="新宋体" w:cs="新宋体"/>
          <w:color w:val="000000"/>
          <w:kern w:val="0"/>
          <w:sz w:val="22"/>
          <w:szCs w:val="22"/>
          <w:highlight w:val="none"/>
          <w:lang w:val="zh-CN"/>
        </w:rPr>
        <w:tab/>
      </w:r>
      <w:r>
        <w:rPr>
          <w:rFonts w:hint="eastAsia" w:ascii="新宋体" w:hAnsi="新宋体" w:eastAsia="新宋体" w:cs="新宋体"/>
          <w:color w:val="000000"/>
          <w:kern w:val="0"/>
          <w:sz w:val="22"/>
          <w:szCs w:val="22"/>
          <w:highlight w:val="none"/>
          <w:lang w:val="zh-CN"/>
        </w:rPr>
        <w:tab/>
      </w:r>
      <w:r>
        <w:rPr>
          <w:rFonts w:hint="eastAsia" w:ascii="新宋体" w:hAnsi="新宋体" w:eastAsia="新宋体" w:cs="新宋体"/>
          <w:color w:val="000000"/>
          <w:kern w:val="0"/>
          <w:sz w:val="22"/>
          <w:szCs w:val="22"/>
          <w:highlight w:val="none"/>
          <w:lang w:val="zh-CN"/>
        </w:rPr>
        <w:tab/>
      </w:r>
      <w:r>
        <w:rPr>
          <w:rFonts w:hint="eastAsia" w:ascii="新宋体" w:hAnsi="新宋体" w:eastAsia="新宋体" w:cs="新宋体"/>
          <w:color w:val="000000"/>
          <w:kern w:val="0"/>
          <w:sz w:val="22"/>
          <w:szCs w:val="22"/>
          <w:highlight w:val="none"/>
          <w:lang w:val="zh-CN"/>
        </w:rPr>
        <w:t>签字日期：  年  月  日</w:t>
      </w:r>
    </w:p>
    <w:p>
      <w:pPr>
        <w:pStyle w:val="2"/>
        <w:keepNext w:val="0"/>
        <w:keepLines w:val="0"/>
        <w:pageBreakBefore w:val="0"/>
        <w:widowControl w:val="0"/>
        <w:kinsoku/>
        <w:wordWrap/>
        <w:overflowPunct/>
        <w:topLinePunct w:val="0"/>
        <w:autoSpaceDE/>
        <w:autoSpaceDN/>
        <w:bidi w:val="0"/>
        <w:adjustRightInd/>
        <w:snapToGrid/>
        <w:spacing w:line="460" w:lineRule="exact"/>
        <w:ind w:left="430" w:leftChars="205" w:firstLine="0" w:firstLineChars="0"/>
        <w:jc w:val="center"/>
        <w:textAlignment w:val="auto"/>
        <w:outlineLvl w:val="9"/>
        <w:rPr>
          <w:rFonts w:hint="eastAsia" w:ascii="新宋体" w:hAnsi="新宋体" w:eastAsia="新宋体" w:cs="新宋体"/>
          <w:b/>
          <w:color w:val="auto"/>
          <w:sz w:val="44"/>
          <w:szCs w:val="44"/>
        </w:rPr>
      </w:pPr>
    </w:p>
    <w:p>
      <w:pPr>
        <w:spacing w:line="360" w:lineRule="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pPr>
        <w:pStyle w:val="4"/>
        <w:bidi w:val="0"/>
        <w:rPr>
          <w:rFonts w:hint="eastAsia" w:ascii="宋体" w:hAnsi="宋体" w:eastAsia="宋体" w:cs="宋体"/>
        </w:rPr>
      </w:pPr>
      <w:bookmarkStart w:id="56" w:name="_Toc19081"/>
      <w:bookmarkStart w:id="57" w:name="_Toc18439"/>
      <w:r>
        <w:rPr>
          <w:rFonts w:hint="eastAsia" w:ascii="宋体" w:hAnsi="宋体" w:eastAsia="宋体" w:cs="宋体"/>
        </w:rPr>
        <w:t>第三部分    附件</w:t>
      </w:r>
      <w:bookmarkEnd w:id="56"/>
      <w:bookmarkEnd w:id="57"/>
    </w:p>
    <w:p>
      <w:pPr>
        <w:pStyle w:val="2"/>
        <w:spacing w:line="460" w:lineRule="exact"/>
        <w:ind w:left="433" w:hanging="433" w:hangingChars="196"/>
        <w:outlineLvl w:val="1"/>
        <w:rPr>
          <w:rFonts w:hint="eastAsia" w:ascii="宋体" w:hAnsi="宋体" w:eastAsia="宋体" w:cs="宋体"/>
          <w:b/>
          <w:color w:val="auto"/>
          <w:sz w:val="22"/>
          <w:highlight w:val="none"/>
        </w:rPr>
      </w:pPr>
      <w:bookmarkStart w:id="58" w:name="_Toc6368"/>
      <w:bookmarkStart w:id="59" w:name="_Toc7056"/>
      <w:r>
        <w:rPr>
          <w:rFonts w:hint="eastAsia" w:ascii="宋体" w:hAnsi="宋体" w:eastAsia="宋体" w:cs="宋体"/>
          <w:b/>
          <w:color w:val="auto"/>
          <w:sz w:val="22"/>
          <w:highlight w:val="none"/>
        </w:rPr>
        <w:t>附件一</w:t>
      </w:r>
      <w:bookmarkEnd w:id="58"/>
      <w:bookmarkEnd w:id="59"/>
    </w:p>
    <w:p>
      <w:pPr>
        <w:spacing w:line="400" w:lineRule="exact"/>
        <w:jc w:val="center"/>
        <w:outlineLvl w:val="2"/>
        <w:rPr>
          <w:rFonts w:hint="eastAsia" w:ascii="宋体" w:hAnsi="宋体" w:eastAsia="宋体" w:cs="宋体"/>
          <w:b/>
          <w:bCs/>
          <w:color w:val="auto"/>
          <w:sz w:val="28"/>
          <w:szCs w:val="28"/>
          <w:highlight w:val="none"/>
        </w:rPr>
      </w:pPr>
      <w:bookmarkStart w:id="60" w:name="_Toc5430"/>
      <w:bookmarkStart w:id="61" w:name="_Toc13365"/>
      <w:r>
        <w:rPr>
          <w:rFonts w:hint="eastAsia" w:ascii="宋体" w:hAnsi="宋体" w:eastAsia="宋体" w:cs="宋体"/>
          <w:b/>
          <w:bCs/>
          <w:color w:val="auto"/>
          <w:sz w:val="28"/>
          <w:szCs w:val="28"/>
          <w:highlight w:val="none"/>
        </w:rPr>
        <w:t>报价文件</w:t>
      </w:r>
      <w:bookmarkEnd w:id="60"/>
      <w:bookmarkEnd w:id="61"/>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zh-CN"/>
        </w:rPr>
        <w:t>投标函</w:t>
      </w:r>
    </w:p>
    <w:p>
      <w:pPr>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温州市中医院</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供应商有前款第(1)至(5)项情形之一的，中标、成交无效。</w:t>
      </w:r>
    </w:p>
    <w:p>
      <w:pPr>
        <w:shd w:val="clear" w:color="auto" w:fill="FFFFFF"/>
        <w:snapToGrid w:val="0"/>
        <w:spacing w:line="360" w:lineRule="auto"/>
        <w:rPr>
          <w:rFonts w:hint="eastAsia" w:ascii="宋体" w:hAnsi="宋体" w:eastAsia="宋体" w:cs="宋体"/>
          <w:color w:val="auto"/>
          <w:kern w:val="0"/>
          <w:sz w:val="22"/>
          <w:szCs w:val="22"/>
          <w:highlight w:val="none"/>
          <w:lang w:val="zh-CN"/>
        </w:rPr>
      </w:pP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投标人盖 章：</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传真：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电子邮件：  </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传真号码：</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pPr>
        <w:pStyle w:val="2"/>
        <w:ind w:left="442" w:hanging="442"/>
        <w:rPr>
          <w:rFonts w:hint="eastAsia" w:ascii="宋体" w:hAnsi="宋体" w:eastAsia="宋体" w:cs="宋体"/>
          <w:b/>
          <w:bCs/>
          <w:color w:val="auto"/>
          <w:sz w:val="22"/>
          <w:szCs w:val="22"/>
          <w:highlight w:val="none"/>
        </w:rPr>
      </w:pPr>
    </w:p>
    <w:p>
      <w:pPr>
        <w:pStyle w:val="2"/>
        <w:ind w:left="442" w:hanging="442"/>
        <w:rPr>
          <w:rFonts w:hint="eastAsia" w:ascii="宋体" w:hAnsi="宋体" w:eastAsia="宋体" w:cs="宋体"/>
          <w:b/>
          <w:bCs/>
          <w:color w:val="auto"/>
          <w:sz w:val="22"/>
          <w:szCs w:val="22"/>
          <w:highlight w:val="none"/>
        </w:rPr>
      </w:pPr>
    </w:p>
    <w:p>
      <w:pPr>
        <w:pStyle w:val="2"/>
        <w:ind w:left="442" w:hanging="442"/>
        <w:rPr>
          <w:rFonts w:hint="eastAsia" w:ascii="宋体" w:hAnsi="宋体" w:eastAsia="宋体" w:cs="宋体"/>
          <w:b/>
          <w:bCs/>
          <w:color w:val="auto"/>
          <w:sz w:val="22"/>
          <w:szCs w:val="22"/>
          <w:highlight w:val="none"/>
        </w:rPr>
      </w:pPr>
    </w:p>
    <w:p>
      <w:pPr>
        <w:pStyle w:val="2"/>
        <w:ind w:left="442" w:hanging="442"/>
        <w:rPr>
          <w:rFonts w:hint="eastAsia" w:ascii="宋体" w:hAnsi="宋体" w:eastAsia="宋体" w:cs="宋体"/>
          <w:b/>
          <w:bCs/>
          <w:color w:val="auto"/>
          <w:sz w:val="22"/>
          <w:szCs w:val="22"/>
          <w:highlight w:val="none"/>
        </w:rPr>
      </w:pPr>
    </w:p>
    <w:p>
      <w:pPr>
        <w:pStyle w:val="2"/>
        <w:ind w:left="442" w:hanging="442"/>
        <w:rPr>
          <w:rFonts w:hint="eastAsia" w:ascii="宋体" w:hAnsi="宋体" w:eastAsia="宋体" w:cs="宋体"/>
          <w:b/>
          <w:bCs/>
          <w:color w:val="auto"/>
          <w:sz w:val="22"/>
          <w:szCs w:val="22"/>
          <w:highlight w:val="none"/>
        </w:rPr>
      </w:pPr>
    </w:p>
    <w:p>
      <w:pPr>
        <w:pStyle w:val="2"/>
        <w:ind w:left="442" w:hanging="442"/>
        <w:rPr>
          <w:rFonts w:hint="eastAsia" w:ascii="宋体" w:hAnsi="宋体" w:eastAsia="宋体" w:cs="宋体"/>
          <w:b/>
          <w:bCs/>
          <w:color w:val="auto"/>
          <w:sz w:val="22"/>
          <w:szCs w:val="22"/>
          <w:highlight w:val="none"/>
        </w:rPr>
      </w:pPr>
    </w:p>
    <w:p>
      <w:pPr>
        <w:pStyle w:val="2"/>
        <w:ind w:left="442" w:hanging="442"/>
        <w:rPr>
          <w:rFonts w:hint="eastAsia" w:ascii="宋体" w:hAnsi="宋体" w:eastAsia="宋体" w:cs="宋体"/>
          <w:b/>
          <w:bCs/>
          <w:color w:val="auto"/>
          <w:sz w:val="22"/>
          <w:szCs w:val="22"/>
          <w:highlight w:val="none"/>
        </w:rPr>
      </w:pPr>
    </w:p>
    <w:p>
      <w:pPr>
        <w:pStyle w:val="2"/>
        <w:ind w:left="442" w:hanging="442"/>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pStyle w:val="2"/>
        <w:ind w:left="0" w:firstLine="0" w:firstLineChars="0"/>
        <w:rPr>
          <w:rFonts w:hint="eastAsia" w:ascii="宋体" w:hAnsi="宋体" w:eastAsia="宋体" w:cs="宋体"/>
          <w:b/>
          <w:bCs/>
          <w:color w:val="auto"/>
          <w:sz w:val="22"/>
          <w:szCs w:val="22"/>
          <w:highlight w:val="none"/>
        </w:rPr>
      </w:pPr>
    </w:p>
    <w:p>
      <w:pPr>
        <w:pStyle w:val="2"/>
        <w:ind w:left="0" w:firstLine="0" w:firstLineChars="0"/>
        <w:rPr>
          <w:rFonts w:hint="eastAsia" w:ascii="宋体" w:hAnsi="宋体" w:eastAsia="宋体" w:cs="宋体"/>
          <w:b/>
          <w:bCs/>
          <w:color w:val="auto"/>
          <w:sz w:val="22"/>
          <w:szCs w:val="22"/>
          <w:highlight w:val="none"/>
        </w:rPr>
      </w:pPr>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zh-CN"/>
        </w:rPr>
        <w:t>投标报价一览表</w:t>
      </w: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spacing w:line="380" w:lineRule="exact"/>
        <w:rPr>
          <w:rFonts w:hint="eastAsia" w:ascii="宋体" w:hAnsi="宋体" w:eastAsia="宋体" w:cs="宋体"/>
          <w:b/>
          <w:color w:val="auto"/>
          <w:sz w:val="22"/>
          <w:highlight w:val="none"/>
        </w:rPr>
      </w:pPr>
      <w:r>
        <w:rPr>
          <w:rFonts w:hint="eastAsia" w:ascii="宋体" w:hAnsi="宋体" w:eastAsia="宋体" w:cs="宋体"/>
          <w:b/>
          <w:bCs/>
          <w:color w:val="auto"/>
          <w:sz w:val="22"/>
          <w:szCs w:val="22"/>
          <w:highlight w:val="none"/>
        </w:rPr>
        <w:t>项目名称：                                         项目编号：</w:t>
      </w:r>
    </w:p>
    <w:tbl>
      <w:tblPr>
        <w:tblStyle w:val="53"/>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2238"/>
        <w:gridCol w:w="2534"/>
        <w:gridCol w:w="3012"/>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3"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238"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2534" w:type="dxa"/>
            <w:vAlign w:val="center"/>
          </w:tcPr>
          <w:p>
            <w:pPr>
              <w:spacing w:line="380" w:lineRule="exact"/>
              <w:jc w:val="center"/>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项目内容</w:t>
            </w:r>
          </w:p>
        </w:tc>
        <w:tc>
          <w:tcPr>
            <w:tcW w:w="3012"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报价（人民币）</w:t>
            </w:r>
          </w:p>
        </w:tc>
        <w:tc>
          <w:tcPr>
            <w:tcW w:w="941"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953" w:type="dxa"/>
            <w:vMerge w:val="restart"/>
            <w:vAlign w:val="center"/>
          </w:tcPr>
          <w:p>
            <w:pPr>
              <w:spacing w:line="380" w:lineRule="exac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1</w:t>
            </w:r>
          </w:p>
        </w:tc>
        <w:tc>
          <w:tcPr>
            <w:tcW w:w="2238" w:type="dxa"/>
            <w:vMerge w:val="restart"/>
            <w:vAlign w:val="center"/>
          </w:tcPr>
          <w:p>
            <w:pPr>
              <w:tabs>
                <w:tab w:val="left" w:pos="360"/>
              </w:tabs>
              <w:spacing w:line="440" w:lineRule="exact"/>
              <w:jc w:val="center"/>
              <w:rPr>
                <w:rFonts w:hint="eastAsia" w:ascii="宋体" w:hAnsi="宋体" w:eastAsia="宋体" w:cs="宋体"/>
                <w:color w:val="auto"/>
                <w:sz w:val="22"/>
                <w:highlight w:val="none"/>
              </w:rPr>
            </w:pPr>
            <w:r>
              <w:rPr>
                <w:rFonts w:hint="eastAsia" w:ascii="新宋体" w:hAnsi="新宋体" w:eastAsia="新宋体" w:cs="新宋体"/>
                <w:bCs/>
                <w:color w:val="000000"/>
                <w:sz w:val="22"/>
                <w:szCs w:val="22"/>
                <w:highlight w:val="none"/>
              </w:rPr>
              <w:t>化学发光免疫分析系统耗材（试剂）及配套设备租赁</w:t>
            </w:r>
          </w:p>
        </w:tc>
        <w:tc>
          <w:tcPr>
            <w:tcW w:w="2534" w:type="dxa"/>
            <w:vAlign w:val="center"/>
          </w:tcPr>
          <w:p>
            <w:pPr>
              <w:tabs>
                <w:tab w:val="left" w:pos="360"/>
              </w:tabs>
              <w:spacing w:line="440" w:lineRule="exact"/>
              <w:jc w:val="center"/>
              <w:rPr>
                <w:rFonts w:hint="eastAsia" w:ascii="宋体" w:hAnsi="宋体" w:eastAsia="宋体" w:cs="宋体"/>
                <w:color w:val="auto"/>
                <w:sz w:val="22"/>
                <w:highlight w:val="none"/>
              </w:rPr>
            </w:pPr>
            <w:r>
              <w:rPr>
                <w:rFonts w:hint="eastAsia" w:ascii="新宋体" w:hAnsi="新宋体" w:eastAsia="新宋体" w:cs="新宋体"/>
                <w:bCs/>
                <w:color w:val="000000"/>
                <w:sz w:val="22"/>
                <w:szCs w:val="22"/>
                <w:highlight w:val="none"/>
              </w:rPr>
              <w:t>化学发光免疫分析系统耗材（试剂）</w:t>
            </w:r>
          </w:p>
        </w:tc>
        <w:tc>
          <w:tcPr>
            <w:tcW w:w="3012" w:type="dxa"/>
            <w:vAlign w:val="center"/>
          </w:tcPr>
          <w:p>
            <w:pPr>
              <w:spacing w:line="380" w:lineRule="exact"/>
              <w:rPr>
                <w:rFonts w:hint="eastAsia" w:ascii="宋体" w:hAnsi="宋体" w:eastAsia="宋体" w:cs="宋体"/>
                <w:color w:val="auto"/>
                <w:sz w:val="22"/>
                <w:highlight w:val="none"/>
              </w:rPr>
            </w:pPr>
          </w:p>
        </w:tc>
        <w:tc>
          <w:tcPr>
            <w:tcW w:w="941" w:type="dxa"/>
            <w:vAlign w:val="center"/>
          </w:tcPr>
          <w:p>
            <w:pPr>
              <w:spacing w:line="38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3" w:type="dxa"/>
            <w:vMerge w:val="continue"/>
            <w:vAlign w:val="center"/>
          </w:tcPr>
          <w:p>
            <w:pPr>
              <w:spacing w:line="380" w:lineRule="exact"/>
              <w:jc w:val="center"/>
              <w:rPr>
                <w:rFonts w:hint="eastAsia" w:ascii="宋体" w:hAnsi="宋体" w:eastAsia="宋体" w:cs="宋体"/>
                <w:color w:val="auto"/>
                <w:sz w:val="22"/>
                <w:highlight w:val="none"/>
                <w:lang w:val="en-US" w:eastAsia="zh-CN"/>
              </w:rPr>
            </w:pPr>
          </w:p>
        </w:tc>
        <w:tc>
          <w:tcPr>
            <w:tcW w:w="2238" w:type="dxa"/>
            <w:vMerge w:val="continue"/>
            <w:vAlign w:val="center"/>
          </w:tcPr>
          <w:p>
            <w:pPr>
              <w:tabs>
                <w:tab w:val="left" w:pos="360"/>
              </w:tabs>
              <w:spacing w:line="440" w:lineRule="exact"/>
              <w:jc w:val="center"/>
              <w:rPr>
                <w:rFonts w:hint="eastAsia" w:ascii="宋体" w:hAnsi="宋体" w:eastAsia="宋体" w:cs="宋体"/>
                <w:color w:val="auto"/>
                <w:sz w:val="22"/>
                <w:highlight w:val="none"/>
              </w:rPr>
            </w:pPr>
          </w:p>
        </w:tc>
        <w:tc>
          <w:tcPr>
            <w:tcW w:w="2534" w:type="dxa"/>
            <w:vAlign w:val="center"/>
          </w:tcPr>
          <w:p>
            <w:pPr>
              <w:tabs>
                <w:tab w:val="left" w:pos="360"/>
              </w:tabs>
              <w:spacing w:line="440" w:lineRule="exact"/>
              <w:jc w:val="center"/>
              <w:rPr>
                <w:rFonts w:hint="eastAsia" w:ascii="宋体" w:hAnsi="宋体" w:eastAsia="宋体" w:cs="宋体"/>
                <w:color w:val="auto"/>
                <w:sz w:val="22"/>
                <w:highlight w:val="none"/>
              </w:rPr>
            </w:pPr>
            <w:r>
              <w:rPr>
                <w:rFonts w:hint="eastAsia" w:ascii="新宋体" w:hAnsi="新宋体" w:eastAsia="新宋体" w:cs="新宋体"/>
                <w:bCs/>
                <w:color w:val="000000"/>
                <w:sz w:val="22"/>
                <w:szCs w:val="22"/>
                <w:highlight w:val="none"/>
              </w:rPr>
              <w:t>配套设备租赁</w:t>
            </w:r>
          </w:p>
        </w:tc>
        <w:tc>
          <w:tcPr>
            <w:tcW w:w="3012" w:type="dxa"/>
            <w:vAlign w:val="center"/>
          </w:tcPr>
          <w:p>
            <w:pPr>
              <w:spacing w:line="380" w:lineRule="exact"/>
              <w:rPr>
                <w:rFonts w:hint="eastAsia" w:ascii="宋体" w:hAnsi="宋体" w:eastAsia="宋体" w:cs="宋体"/>
                <w:color w:val="auto"/>
                <w:sz w:val="22"/>
                <w:highlight w:val="none"/>
              </w:rPr>
            </w:pPr>
          </w:p>
        </w:tc>
        <w:tc>
          <w:tcPr>
            <w:tcW w:w="941" w:type="dxa"/>
            <w:vAlign w:val="center"/>
          </w:tcPr>
          <w:p>
            <w:pPr>
              <w:spacing w:line="38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3191" w:type="dxa"/>
            <w:gridSpan w:val="2"/>
            <w:vAlign w:val="center"/>
          </w:tcPr>
          <w:p>
            <w:pPr>
              <w:spacing w:line="380" w:lineRule="exac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总报价</w:t>
            </w:r>
            <w:r>
              <w:rPr>
                <w:rFonts w:hint="eastAsia" w:ascii="新宋体" w:hAnsi="新宋体" w:eastAsia="新宋体" w:cs="新宋体"/>
                <w:bCs/>
                <w:color w:val="000000"/>
                <w:sz w:val="22"/>
                <w:szCs w:val="22"/>
                <w:highlight w:val="none"/>
              </w:rPr>
              <w:t>（以上各报价之和）</w:t>
            </w:r>
          </w:p>
        </w:tc>
        <w:tc>
          <w:tcPr>
            <w:tcW w:w="5546" w:type="dxa"/>
            <w:gridSpan w:val="2"/>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941" w:type="dxa"/>
            <w:vAlign w:val="center"/>
          </w:tcPr>
          <w:p>
            <w:pPr>
              <w:spacing w:line="380" w:lineRule="exact"/>
              <w:jc w:val="center"/>
              <w:rPr>
                <w:rFonts w:hint="eastAsia" w:ascii="宋体" w:hAnsi="宋体" w:eastAsia="宋体" w:cs="宋体"/>
                <w:color w:val="auto"/>
                <w:sz w:val="22"/>
                <w:highlight w:val="none"/>
              </w:rPr>
            </w:pPr>
          </w:p>
        </w:tc>
      </w:tr>
    </w:tbl>
    <w:p>
      <w:pPr>
        <w:spacing w:line="40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pPr>
        <w:numPr>
          <w:ilvl w:val="0"/>
          <w:numId w:val="11"/>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此栏投标报价应与“3、投标分项报价表”中的总计价相一致。</w:t>
      </w:r>
    </w:p>
    <w:p>
      <w:pPr>
        <w:numPr>
          <w:ilvl w:val="0"/>
          <w:numId w:val="11"/>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不提供此表格将被视为没有实质性响应招标文件</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3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br w:type="page"/>
      </w:r>
    </w:p>
    <w:p>
      <w:pPr>
        <w:spacing w:line="400" w:lineRule="exact"/>
        <w:jc w:val="center"/>
        <w:outlineLvl w:val="3"/>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3、分项报价表</w:t>
      </w:r>
    </w:p>
    <w:p>
      <w:pPr>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708"/>
        <w:gridCol w:w="1419"/>
        <w:gridCol w:w="1227"/>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项目</w:t>
            </w:r>
          </w:p>
        </w:tc>
        <w:tc>
          <w:tcPr>
            <w:tcW w:w="16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货物名称</w:t>
            </w:r>
          </w:p>
        </w:tc>
        <w:tc>
          <w:tcPr>
            <w:tcW w:w="147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品牌型号规格、产地</w:t>
            </w: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制造厂商名称</w:t>
            </w:r>
          </w:p>
        </w:tc>
        <w:tc>
          <w:tcPr>
            <w:tcW w:w="708"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数量</w:t>
            </w: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出厂单价</w:t>
            </w:r>
          </w:p>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（含税）</w:t>
            </w: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总价</w:t>
            </w:r>
          </w:p>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（含税）</w:t>
            </w: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免费</w:t>
            </w:r>
          </w:p>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1</w:t>
            </w:r>
          </w:p>
        </w:tc>
        <w:tc>
          <w:tcPr>
            <w:tcW w:w="160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2</w:t>
            </w:r>
          </w:p>
        </w:tc>
        <w:tc>
          <w:tcPr>
            <w:tcW w:w="160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3</w:t>
            </w:r>
          </w:p>
        </w:tc>
        <w:tc>
          <w:tcPr>
            <w:tcW w:w="160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4</w:t>
            </w:r>
          </w:p>
        </w:tc>
        <w:tc>
          <w:tcPr>
            <w:tcW w:w="160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5</w:t>
            </w:r>
          </w:p>
        </w:tc>
        <w:tc>
          <w:tcPr>
            <w:tcW w:w="160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6</w:t>
            </w:r>
          </w:p>
        </w:tc>
        <w:tc>
          <w:tcPr>
            <w:tcW w:w="160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hint="eastAsia" w:ascii="新宋体" w:hAnsi="新宋体" w:eastAsia="新宋体" w:cs="新宋体"/>
                <w:color w:val="000000"/>
                <w:kern w:val="0"/>
                <w:sz w:val="22"/>
                <w:szCs w:val="22"/>
                <w:highlight w:val="none"/>
                <w:lang w:bidi="ar"/>
              </w:rPr>
            </w:pPr>
          </w:p>
        </w:tc>
        <w:tc>
          <w:tcPr>
            <w:tcW w:w="1605" w:type="dxa"/>
            <w:noWrap w:val="0"/>
            <w:vAlign w:val="center"/>
          </w:tcPr>
          <w:p>
            <w:pPr>
              <w:widowControl/>
              <w:spacing w:line="460" w:lineRule="exact"/>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 ...</w:t>
            </w: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3707" w:type="dxa"/>
            <w:gridSpan w:val="3"/>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运杂及保险费（含卸货）</w:t>
            </w:r>
          </w:p>
        </w:tc>
        <w:tc>
          <w:tcPr>
            <w:tcW w:w="6129" w:type="dxa"/>
            <w:gridSpan w:val="5"/>
            <w:noWrap w:val="0"/>
            <w:vAlign w:val="top"/>
          </w:tcPr>
          <w:p>
            <w:pPr>
              <w:spacing w:line="46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3707" w:type="dxa"/>
            <w:gridSpan w:val="3"/>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安装调试费（包括设备的测试、调试、验收等费用）</w:t>
            </w:r>
          </w:p>
        </w:tc>
        <w:tc>
          <w:tcPr>
            <w:tcW w:w="6129" w:type="dxa"/>
            <w:gridSpan w:val="5"/>
            <w:noWrap w:val="0"/>
            <w:vAlign w:val="top"/>
          </w:tcPr>
          <w:p>
            <w:pPr>
              <w:spacing w:line="46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3707" w:type="dxa"/>
            <w:gridSpan w:val="3"/>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培训费、技术服务费、售后服务费等</w:t>
            </w:r>
          </w:p>
        </w:tc>
        <w:tc>
          <w:tcPr>
            <w:tcW w:w="6129" w:type="dxa"/>
            <w:gridSpan w:val="5"/>
            <w:noWrap w:val="0"/>
            <w:vAlign w:val="top"/>
          </w:tcPr>
          <w:p>
            <w:pPr>
              <w:spacing w:line="46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3707" w:type="dxa"/>
            <w:gridSpan w:val="3"/>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税金</w:t>
            </w:r>
          </w:p>
        </w:tc>
        <w:tc>
          <w:tcPr>
            <w:tcW w:w="6129" w:type="dxa"/>
            <w:gridSpan w:val="5"/>
            <w:noWrap w:val="0"/>
            <w:vAlign w:val="top"/>
          </w:tcPr>
          <w:p>
            <w:pPr>
              <w:spacing w:line="46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总计价</w:t>
            </w:r>
          </w:p>
        </w:tc>
        <w:tc>
          <w:tcPr>
            <w:tcW w:w="6129" w:type="dxa"/>
            <w:gridSpan w:val="5"/>
            <w:noWrap w:val="0"/>
            <w:vAlign w:val="top"/>
          </w:tcPr>
          <w:p>
            <w:pPr>
              <w:spacing w:line="460" w:lineRule="exact"/>
              <w:rPr>
                <w:rFonts w:hint="eastAsia" w:ascii="新宋体" w:hAnsi="新宋体" w:eastAsia="新宋体" w:cs="新宋体"/>
                <w:color w:val="000000"/>
                <w:sz w:val="22"/>
                <w:szCs w:val="22"/>
                <w:highlight w:val="none"/>
              </w:rPr>
            </w:pPr>
          </w:p>
        </w:tc>
      </w:tr>
    </w:tbl>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 xml:space="preserve">说明： </w:t>
      </w:r>
      <w:r>
        <w:rPr>
          <w:rFonts w:hint="eastAsia" w:ascii="宋体" w:hAnsi="宋体" w:eastAsia="宋体" w:cs="宋体"/>
          <w:b/>
          <w:bCs/>
          <w:color w:val="auto"/>
          <w:sz w:val="22"/>
          <w:szCs w:val="22"/>
          <w:highlight w:val="none"/>
        </w:rPr>
        <w:t>1、此表总计价应与“2、报价一览表”中报价相一致。</w:t>
      </w:r>
    </w:p>
    <w:p>
      <w:pPr>
        <w:spacing w:line="380" w:lineRule="exact"/>
        <w:ind w:firstLine="755" w:firstLineChars="34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2、不提供详细分项报价将视为没有实质性响应</w:t>
      </w:r>
      <w:r>
        <w:rPr>
          <w:rFonts w:hint="eastAsia" w:ascii="宋体" w:hAnsi="宋体" w:eastAsia="宋体" w:cs="宋体"/>
          <w:b/>
          <w:bCs/>
          <w:color w:val="auto"/>
          <w:sz w:val="22"/>
          <w:szCs w:val="22"/>
          <w:highlight w:val="none"/>
          <w:lang w:val="en-US" w:eastAsia="zh-CN"/>
        </w:rPr>
        <w:t>招标</w:t>
      </w:r>
      <w:r>
        <w:rPr>
          <w:rFonts w:hint="eastAsia" w:ascii="宋体" w:hAnsi="宋体" w:eastAsia="宋体" w:cs="宋体"/>
          <w:b/>
          <w:bCs/>
          <w:color w:val="auto"/>
          <w:sz w:val="22"/>
          <w:szCs w:val="22"/>
          <w:highlight w:val="none"/>
        </w:rPr>
        <w:t>文件。</w:t>
      </w:r>
    </w:p>
    <w:p>
      <w:pPr>
        <w:spacing w:line="380" w:lineRule="exact"/>
        <w:ind w:firstLine="720"/>
        <w:rPr>
          <w:rFonts w:hint="eastAsia" w:ascii="宋体" w:hAnsi="宋体" w:eastAsia="宋体" w:cs="宋体"/>
          <w:color w:val="auto"/>
          <w:sz w:val="20"/>
          <w:szCs w:val="22"/>
          <w:highlight w:val="none"/>
        </w:rPr>
      </w:pPr>
      <w:r>
        <w:rPr>
          <w:rFonts w:hint="eastAsia" w:ascii="宋体" w:hAnsi="宋体" w:eastAsia="宋体" w:cs="宋体"/>
          <w:b/>
          <w:bCs/>
          <w:color w:val="auto"/>
          <w:sz w:val="22"/>
          <w:szCs w:val="22"/>
          <w:highlight w:val="none"/>
        </w:rPr>
        <w:t>3、如果免费请在该项内容栏内注明“免”，如果含在产品价格中则填“含”，如无此项内容则填“无”。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投标人全称（盖章）：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投标人代表（签字）：</w:t>
      </w:r>
    </w:p>
    <w:p>
      <w:pPr>
        <w:spacing w:line="3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日    期：</w:t>
      </w:r>
    </w:p>
    <w:p>
      <w:pPr>
        <w:outlineLvl w:val="9"/>
        <w:rPr>
          <w:rFonts w:hint="eastAsia" w:ascii="宋体" w:hAnsi="宋体" w:eastAsia="宋体" w:cs="宋体"/>
          <w:color w:val="auto"/>
          <w:sz w:val="22"/>
          <w:szCs w:val="22"/>
          <w:highlight w:val="none"/>
        </w:rPr>
      </w:pPr>
    </w:p>
    <w:p>
      <w:pPr>
        <w:outlineLvl w:val="9"/>
        <w:rPr>
          <w:rFonts w:hint="eastAsia" w:ascii="宋体" w:hAnsi="宋体" w:eastAsia="宋体" w:cs="宋体"/>
          <w:color w:val="auto"/>
          <w:sz w:val="22"/>
          <w:szCs w:val="22"/>
          <w:highlight w:val="none"/>
        </w:rPr>
      </w:pPr>
    </w:p>
    <w:p>
      <w:pPr>
        <w:outlineLvl w:val="9"/>
        <w:rPr>
          <w:rFonts w:hint="eastAsia" w:ascii="宋体" w:hAnsi="宋体" w:eastAsia="宋体" w:cs="宋体"/>
          <w:color w:val="auto"/>
          <w:sz w:val="22"/>
          <w:szCs w:val="22"/>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4、监狱企业的相关证明材料</w:t>
      </w:r>
    </w:p>
    <w:p>
      <w:pPr>
        <w:spacing w:line="460" w:lineRule="exact"/>
        <w:ind w:firstLine="571" w:firstLineChars="245"/>
        <w:rPr>
          <w:rFonts w:hint="eastAsia" w:ascii="宋体" w:hAnsi="宋体" w:eastAsia="宋体" w:cs="宋体"/>
          <w:b/>
          <w:bCs/>
          <w:color w:val="auto"/>
          <w:sz w:val="22"/>
          <w:szCs w:val="22"/>
          <w:highlight w:val="none"/>
          <w:u w:val="single"/>
          <w:lang w:val="zh-CN"/>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是监狱企业的按非监狱企业处理，所提供的证明材料应为最新的最近的</w:t>
      </w:r>
      <w:r>
        <w:rPr>
          <w:rFonts w:hint="eastAsia" w:ascii="宋体" w:hAnsi="宋体" w:eastAsia="宋体" w:cs="宋体"/>
          <w:b/>
          <w:bCs/>
          <w:color w:val="auto"/>
          <w:sz w:val="22"/>
          <w:szCs w:val="22"/>
          <w:highlight w:val="none"/>
          <w:u w:val="single"/>
          <w:lang w:val="zh-CN"/>
        </w:rPr>
        <w:t>。</w:t>
      </w: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pacing w:val="6"/>
          <w:sz w:val="22"/>
          <w:szCs w:val="22"/>
          <w:highlight w:val="none"/>
        </w:rPr>
        <w:t>监狱企业声明函</w:t>
      </w:r>
    </w:p>
    <w:p>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【非监狱企业不用提供】</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本企业郑重声明，根据《关于政府采购支持监狱企业发展有关问题的通知》（财库[2014]68号）的规定，本企业为监狱企业。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根据上述标准，我企业属于监狱企业的理由为：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本企业为参加（招标项目名称</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）（招标编号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）采购活动并承担本工程。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本企业对上述声明的真实性负责。如有虚假，将依法承担相应责任。  </w:t>
      </w:r>
    </w:p>
    <w:p>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 xml:space="preserve">                   </w:t>
      </w:r>
    </w:p>
    <w:p>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日期：    年    月   日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pPr>
        <w:adjustRightInd w:val="0"/>
        <w:snapToGrid w:val="0"/>
        <w:spacing w:line="460" w:lineRule="exact"/>
        <w:ind w:firstLine="464"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tabs>
          <w:tab w:val="left" w:pos="1620"/>
        </w:tabs>
        <w:spacing w:line="46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5、中小企业的相关证明材料</w:t>
      </w:r>
    </w:p>
    <w:p>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w:t>
      </w:r>
      <w:r>
        <w:rPr>
          <w:rFonts w:hint="eastAsia" w:ascii="宋体" w:hAnsi="宋体" w:eastAsia="宋体" w:cs="宋体"/>
          <w:color w:val="auto"/>
          <w:spacing w:val="6"/>
          <w:sz w:val="22"/>
          <w:szCs w:val="22"/>
          <w:highlight w:val="none"/>
          <w:lang w:val="zh-CN"/>
        </w:rPr>
        <w:t>小型、微型</w:t>
      </w:r>
      <w:r>
        <w:rPr>
          <w:rFonts w:hint="eastAsia" w:ascii="宋体" w:hAnsi="宋体" w:eastAsia="宋体" w:cs="宋体"/>
          <w:color w:val="auto"/>
          <w:spacing w:val="6"/>
          <w:sz w:val="22"/>
          <w:szCs w:val="22"/>
          <w:highlight w:val="none"/>
        </w:rPr>
        <w:t>企业不用提供】</w:t>
      </w:r>
    </w:p>
    <w:p>
      <w:pPr>
        <w:spacing w:line="380" w:lineRule="exact"/>
        <w:rPr>
          <w:rFonts w:hint="eastAsia" w:ascii="宋体" w:hAnsi="宋体" w:eastAsia="宋体" w:cs="宋体"/>
          <w:color w:val="auto"/>
          <w:sz w:val="22"/>
          <w:szCs w:val="22"/>
          <w:highlight w:val="none"/>
        </w:rPr>
      </w:pPr>
    </w:p>
    <w:p>
      <w:pPr>
        <w:spacing w:line="460" w:lineRule="exact"/>
        <w:ind w:firstLine="539" w:firstLineChars="24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根据《政府采购促进中小企业发展管理办法》（财库﹝2020﹞46号），对投标产品为小型或微型企业生产的，</w:t>
      </w:r>
      <w:r>
        <w:rPr>
          <w:rFonts w:hint="eastAsia" w:ascii="宋体" w:hAnsi="宋体" w:eastAsia="宋体" w:cs="宋体"/>
          <w:b/>
          <w:bCs/>
          <w:color w:val="auto"/>
          <w:sz w:val="22"/>
          <w:szCs w:val="22"/>
          <w:highlight w:val="none"/>
          <w:u w:val="single"/>
          <w:lang w:val="zh-CN"/>
        </w:rPr>
        <w:t>价格给予</w:t>
      </w:r>
      <w:r>
        <w:rPr>
          <w:rFonts w:hint="eastAsia" w:ascii="宋体" w:hAnsi="宋体" w:cs="宋体"/>
          <w:b/>
          <w:bCs/>
          <w:color w:val="auto"/>
          <w:sz w:val="22"/>
          <w:szCs w:val="22"/>
          <w:highlight w:val="none"/>
          <w:u w:val="single"/>
          <w:lang w:val="en-US" w:eastAsia="zh-CN"/>
        </w:rPr>
        <w:t>10</w:t>
      </w:r>
      <w:r>
        <w:rPr>
          <w:rFonts w:hint="eastAsia" w:ascii="宋体" w:hAnsi="宋体" w:eastAsia="宋体" w:cs="宋体"/>
          <w:b/>
          <w:bCs/>
          <w:color w:val="auto"/>
          <w:sz w:val="22"/>
          <w:szCs w:val="22"/>
          <w:highlight w:val="none"/>
          <w:u w:val="single"/>
          <w:lang w:val="zh-CN"/>
        </w:rPr>
        <w:t>%的扣除</w:t>
      </w:r>
      <w:r>
        <w:rPr>
          <w:rFonts w:hint="eastAsia" w:ascii="宋体" w:hAnsi="宋体" w:eastAsia="宋体" w:cs="宋体"/>
          <w:color w:val="auto"/>
          <w:sz w:val="22"/>
          <w:szCs w:val="22"/>
          <w:highlight w:val="none"/>
          <w:lang w:val="zh-CN"/>
        </w:rPr>
        <w:t>，用扣除后的价格参与价格评分。</w:t>
      </w:r>
    </w:p>
    <w:p>
      <w:pPr>
        <w:spacing w:line="460" w:lineRule="exact"/>
        <w:ind w:firstLine="541" w:firstLineChars="245"/>
        <w:rPr>
          <w:rFonts w:hint="eastAsia" w:ascii="宋体" w:hAnsi="宋体" w:eastAsia="宋体" w:cs="宋体"/>
          <w:color w:val="auto"/>
          <w:sz w:val="22"/>
          <w:szCs w:val="22"/>
          <w:highlight w:val="none"/>
          <w:lang w:val="zh-CN"/>
        </w:rPr>
      </w:pPr>
      <w:r>
        <w:rPr>
          <w:rFonts w:hint="eastAsia" w:ascii="宋体" w:hAnsi="宋体" w:eastAsia="宋体" w:cs="宋体"/>
          <w:b/>
          <w:bCs/>
          <w:color w:val="auto"/>
          <w:sz w:val="22"/>
          <w:szCs w:val="22"/>
          <w:highlight w:val="none"/>
          <w:u w:val="single"/>
          <w:lang w:val="en-US" w:eastAsia="zh-CN"/>
        </w:rPr>
        <w:t>同时</w:t>
      </w:r>
      <w:r>
        <w:rPr>
          <w:rFonts w:hint="eastAsia" w:ascii="宋体" w:hAnsi="宋体" w:eastAsia="宋体" w:cs="宋体"/>
          <w:b/>
          <w:bCs/>
          <w:color w:val="auto"/>
          <w:sz w:val="22"/>
          <w:szCs w:val="22"/>
          <w:highlight w:val="none"/>
          <w:u w:val="single"/>
          <w:lang w:val="zh-CN"/>
        </w:rPr>
        <w:t>符合以下所有要求的投标人被认定为小型、微型企业：</w:t>
      </w:r>
    </w:p>
    <w:p>
      <w:pPr>
        <w:spacing w:line="460" w:lineRule="exact"/>
        <w:ind w:firstLine="541" w:firstLineChars="245"/>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①投标产品生产企业按照《关于印发中小企业划型标准规定的通知》（工信部联企业〔2011〕300号）的所属行业规定为小型、微型企业。</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lang w:val="en-US" w:eastAsia="zh-CN"/>
        </w:rPr>
        <w:t>②</w:t>
      </w:r>
      <w:r>
        <w:rPr>
          <w:rFonts w:hint="eastAsia" w:ascii="宋体" w:hAnsi="宋体" w:eastAsia="宋体" w:cs="宋体"/>
          <w:b/>
          <w:bCs/>
          <w:color w:val="auto"/>
          <w:sz w:val="22"/>
          <w:szCs w:val="22"/>
          <w:highlight w:val="none"/>
          <w:u w:val="single"/>
          <w:lang w:val="zh-CN"/>
        </w:rPr>
        <w:t>投标文件中必须提供《中小企业声明函》。</w:t>
      </w:r>
    </w:p>
    <w:p>
      <w:pPr>
        <w:spacing w:line="460" w:lineRule="exact"/>
        <w:jc w:val="center"/>
        <w:rPr>
          <w:rFonts w:hint="eastAsia" w:ascii="宋体" w:hAnsi="宋体" w:eastAsia="宋体" w:cs="宋体"/>
          <w:b/>
          <w:bCs/>
          <w:color w:val="auto"/>
          <w:sz w:val="22"/>
          <w:szCs w:val="22"/>
          <w:highlight w:val="none"/>
        </w:rPr>
      </w:pPr>
    </w:p>
    <w:p>
      <w:pPr>
        <w:spacing w:line="460" w:lineRule="exact"/>
        <w:ind w:firstLine="42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pacing w:val="20"/>
          <w:sz w:val="22"/>
          <w:szCs w:val="22"/>
          <w:highlight w:val="none"/>
        </w:rPr>
        <w:t>中小企业声明函（货物</w:t>
      </w:r>
      <w:r>
        <w:rPr>
          <w:rFonts w:hint="eastAsia" w:ascii="宋体" w:hAnsi="宋体" w:eastAsia="宋体" w:cs="宋体"/>
          <w:b/>
          <w:bCs/>
          <w:color w:val="auto"/>
          <w:spacing w:val="20"/>
          <w:sz w:val="22"/>
          <w:szCs w:val="22"/>
          <w:highlight w:val="none"/>
          <w:lang w:eastAsia="zh-CN"/>
        </w:rPr>
        <w:t>）</w:t>
      </w:r>
      <w:r>
        <w:rPr>
          <w:rFonts w:hint="eastAsia" w:ascii="宋体" w:hAnsi="宋体" w:eastAsia="宋体" w:cs="宋体"/>
          <w:b/>
          <w:bCs/>
          <w:color w:val="auto"/>
          <w:sz w:val="22"/>
          <w:szCs w:val="22"/>
          <w:highlight w:val="none"/>
        </w:rPr>
        <w:t>》</w:t>
      </w:r>
    </w:p>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pPr>
        <w:spacing w:line="460" w:lineRule="exact"/>
        <w:ind w:firstLine="539" w:firstLineChars="245"/>
        <w:rPr>
          <w:rFonts w:hint="eastAsia" w:ascii="宋体" w:hAnsi="宋体" w:eastAsia="宋体" w:cs="宋体"/>
          <w:color w:val="auto"/>
          <w:spacing w:val="20"/>
          <w:sz w:val="22"/>
          <w:szCs w:val="22"/>
          <w:highlight w:val="none"/>
        </w:rPr>
      </w:pPr>
      <w:r>
        <w:rPr>
          <w:rFonts w:hint="eastAsia" w:ascii="宋体" w:hAnsi="宋体" w:eastAsia="宋体" w:cs="宋体"/>
          <w:b w:val="0"/>
          <w:bCs w:val="0"/>
          <w:color w:val="auto"/>
          <w:sz w:val="22"/>
          <w:szCs w:val="22"/>
          <w:highlight w:val="none"/>
          <w:lang w:val="zh-CN"/>
        </w:rPr>
        <w:t>1.</w:t>
      </w:r>
      <w:r>
        <w:rPr>
          <w:rFonts w:hint="eastAsia" w:ascii="宋体" w:hAnsi="宋体" w:eastAsia="宋体" w:cs="宋体"/>
          <w:b w:val="0"/>
          <w:bCs w:val="0"/>
          <w:color w:val="auto"/>
          <w:sz w:val="22"/>
          <w:szCs w:val="22"/>
          <w:highlight w:val="none"/>
          <w:u w:val="single"/>
          <w:lang w:val="zh-CN"/>
        </w:rPr>
        <w:t>（标的名称）</w:t>
      </w:r>
      <w:r>
        <w:rPr>
          <w:rFonts w:hint="eastAsia" w:ascii="宋体" w:hAnsi="宋体" w:eastAsia="宋体" w:cs="宋体"/>
          <w:b w:val="0"/>
          <w:bCs w:val="0"/>
          <w:color w:val="auto"/>
          <w:sz w:val="22"/>
          <w:szCs w:val="22"/>
          <w:highlight w:val="none"/>
          <w:lang w:val="zh-CN"/>
        </w:rPr>
        <w:t xml:space="preserve"> ，属于</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行业；制造商为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u w:val="single"/>
          <w:lang w:eastAsia="zh-CN"/>
        </w:rPr>
        <w:t>，</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（中型企业、小型企业、微型企业）</w:t>
      </w:r>
      <w:r>
        <w:rPr>
          <w:rFonts w:hint="eastAsia" w:ascii="宋体" w:hAnsi="宋体" w:eastAsia="宋体" w:cs="宋体"/>
          <w:color w:val="auto"/>
          <w:spacing w:val="20"/>
          <w:sz w:val="22"/>
          <w:szCs w:val="22"/>
          <w:highlight w:val="none"/>
        </w:rPr>
        <w:t>；</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 xml:space="preserve"> ，属于</w:t>
      </w:r>
      <w:r>
        <w:rPr>
          <w:rFonts w:hint="eastAsia" w:ascii="宋体" w:hAnsi="宋体" w:eastAsia="宋体" w:cs="宋体"/>
          <w:color w:val="auto"/>
          <w:spacing w:val="20"/>
          <w:sz w:val="22"/>
          <w:szCs w:val="22"/>
          <w:highlight w:val="none"/>
          <w:u w:val="single"/>
        </w:rPr>
        <w:t>（采购文件中明确的所属行业）</w:t>
      </w:r>
      <w:r>
        <w:rPr>
          <w:rFonts w:hint="eastAsia" w:ascii="宋体" w:hAnsi="宋体" w:eastAsia="宋体" w:cs="宋体"/>
          <w:color w:val="auto"/>
          <w:spacing w:val="20"/>
          <w:sz w:val="22"/>
          <w:szCs w:val="22"/>
          <w:highlight w:val="none"/>
        </w:rPr>
        <w:t>行业；制造商为（企业名称），从业人员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万元，属于（中型企业、小型企业、微型企业）；</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以上企业，不属于大企业的分支机构，不存在控股股东为大企业的情形，也不存在与大企业的负责人为同一人的情形。</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本企业对上述声明内容的真实性负责。如有虚假，将依法承担相应责任。</w:t>
      </w:r>
    </w:p>
    <w:p>
      <w:pPr>
        <w:spacing w:line="460" w:lineRule="exact"/>
        <w:rPr>
          <w:rFonts w:hint="eastAsia" w:ascii="宋体" w:hAnsi="宋体" w:eastAsia="宋体" w:cs="宋体"/>
          <w:color w:val="auto"/>
          <w:spacing w:val="20"/>
          <w:sz w:val="22"/>
          <w:szCs w:val="22"/>
          <w:highlight w:val="none"/>
        </w:rPr>
      </w:pPr>
    </w:p>
    <w:p>
      <w:pPr>
        <w:pStyle w:val="10"/>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企业名称（盖章）：</w:t>
      </w: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日 期：</w:t>
      </w:r>
    </w:p>
    <w:p>
      <w:pPr>
        <w:pStyle w:val="10"/>
        <w:rPr>
          <w:rFonts w:hint="eastAsia" w:ascii="宋体" w:hAnsi="宋体" w:eastAsia="宋体" w:cs="宋体"/>
          <w:color w:val="auto"/>
          <w:spacing w:val="20"/>
          <w:sz w:val="22"/>
          <w:szCs w:val="22"/>
          <w:highlight w:val="none"/>
        </w:rPr>
      </w:pPr>
    </w:p>
    <w:p>
      <w:pPr>
        <w:rPr>
          <w:rFonts w:hint="eastAsia" w:ascii="宋体" w:hAnsi="宋体" w:eastAsia="宋体" w:cs="宋体"/>
          <w:color w:val="auto"/>
          <w:spacing w:val="20"/>
          <w:sz w:val="22"/>
          <w:szCs w:val="22"/>
          <w:highlight w:val="none"/>
        </w:rPr>
      </w:pPr>
    </w:p>
    <w:p>
      <w:pPr>
        <w:pStyle w:val="10"/>
        <w:rPr>
          <w:rFonts w:hint="eastAsia" w:ascii="宋体" w:hAnsi="宋体" w:eastAsia="宋体" w:cs="宋体"/>
          <w:color w:val="auto"/>
          <w:spacing w:val="20"/>
          <w:sz w:val="22"/>
          <w:szCs w:val="22"/>
          <w:highlight w:val="none"/>
        </w:rPr>
      </w:pPr>
    </w:p>
    <w:p>
      <w:pPr>
        <w:rPr>
          <w:rFonts w:hint="eastAsia" w:ascii="宋体" w:hAnsi="宋体" w:eastAsia="宋体" w:cs="宋体"/>
          <w:color w:val="auto"/>
          <w:spacing w:val="20"/>
          <w:sz w:val="22"/>
          <w:szCs w:val="22"/>
          <w:highlight w:val="none"/>
        </w:rPr>
      </w:pPr>
    </w:p>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中小企业声明函（工程、服务）</w:t>
      </w:r>
      <w:r>
        <w:rPr>
          <w:rFonts w:hint="eastAsia" w:ascii="宋体" w:hAnsi="宋体" w:eastAsia="宋体" w:cs="宋体"/>
          <w:b/>
          <w:bCs/>
          <w:color w:val="auto"/>
          <w:sz w:val="24"/>
          <w:szCs w:val="24"/>
          <w:highlight w:val="none"/>
          <w:lang w:eastAsia="zh-CN"/>
        </w:rPr>
        <w:t>》</w:t>
      </w:r>
    </w:p>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1.</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 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 xml:space="preserve">； </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w:t>
      </w:r>
    </w:p>
    <w:p>
      <w:pPr>
        <w:spacing w:line="460" w:lineRule="exact"/>
        <w:ind w:firstLine="639" w:firstLineChars="245"/>
        <w:rPr>
          <w:rFonts w:hint="eastAsia" w:ascii="宋体" w:hAnsi="宋体" w:eastAsia="宋体" w:cs="宋体"/>
          <w:b/>
          <w:bCs/>
          <w:color w:val="auto"/>
          <w:spacing w:val="20"/>
          <w:sz w:val="22"/>
          <w:szCs w:val="22"/>
          <w:highlight w:val="none"/>
        </w:rPr>
      </w:pPr>
      <w:r>
        <w:rPr>
          <w:rFonts w:hint="eastAsia" w:ascii="宋体" w:hAnsi="宋体" w:eastAsia="宋体" w:cs="宋体"/>
          <w:b/>
          <w:bCs/>
          <w:color w:val="auto"/>
          <w:spacing w:val="20"/>
          <w:sz w:val="22"/>
          <w:szCs w:val="22"/>
          <w:highlight w:val="none"/>
        </w:rPr>
        <w:t>……</w:t>
      </w:r>
    </w:p>
    <w:p>
      <w:pPr>
        <w:spacing w:line="460" w:lineRule="exact"/>
        <w:ind w:firstLine="637" w:firstLineChars="245"/>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460" w:lineRule="exact"/>
        <w:jc w:val="center"/>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lang w:val="en-US" w:eastAsia="zh-CN"/>
        </w:rPr>
        <w:t xml:space="preserve">           企业</w:t>
      </w:r>
      <w:r>
        <w:rPr>
          <w:rFonts w:hint="eastAsia" w:ascii="宋体" w:hAnsi="宋体" w:eastAsia="宋体" w:cs="宋体"/>
          <w:color w:val="auto"/>
          <w:spacing w:val="20"/>
          <w:sz w:val="22"/>
          <w:szCs w:val="22"/>
          <w:highlight w:val="none"/>
        </w:rPr>
        <w:t>名称（盖章）：</w:t>
      </w: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日</w:t>
      </w:r>
      <w:r>
        <w:rPr>
          <w:rFonts w:hint="eastAsia" w:ascii="宋体" w:hAnsi="宋体" w:eastAsia="宋体" w:cs="宋体"/>
          <w:color w:val="auto"/>
          <w:spacing w:val="20"/>
          <w:sz w:val="22"/>
          <w:szCs w:val="22"/>
          <w:highlight w:val="none"/>
        </w:rPr>
        <w:t xml:space="preserve"> 期：</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6、残疾人福利性单位的相关证明材料</w:t>
      </w:r>
    </w:p>
    <w:p>
      <w:pPr>
        <w:spacing w:line="460" w:lineRule="exact"/>
        <w:ind w:firstLine="699" w:firstLineChars="300"/>
        <w:rPr>
          <w:rFonts w:hint="eastAsia" w:ascii="宋体" w:hAnsi="宋体" w:eastAsia="宋体" w:cs="宋体"/>
          <w:color w:val="auto"/>
          <w:spacing w:val="20"/>
          <w:sz w:val="22"/>
          <w:szCs w:val="22"/>
          <w:highlight w:val="none"/>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是残疾人福利性单位的按非残疾人福利性单位处理，所提供的证明材料应为最新的最近的</w:t>
      </w:r>
      <w:r>
        <w:rPr>
          <w:rFonts w:hint="eastAsia" w:ascii="宋体" w:hAnsi="宋体" w:eastAsia="宋体" w:cs="宋体"/>
          <w:b/>
          <w:bCs/>
          <w:color w:val="auto"/>
          <w:sz w:val="22"/>
          <w:szCs w:val="22"/>
          <w:highlight w:val="none"/>
          <w:u w:val="single"/>
          <w:lang w:val="zh-CN"/>
        </w:rPr>
        <w:t>。</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jc w:val="center"/>
        <w:rPr>
          <w:rFonts w:hint="eastAsia" w:ascii="宋体" w:hAnsi="宋体" w:eastAsia="宋体" w:cs="宋体"/>
          <w:color w:val="auto"/>
          <w:spacing w:val="6"/>
          <w:sz w:val="22"/>
          <w:szCs w:val="22"/>
          <w:highlight w:val="none"/>
        </w:rPr>
      </w:pPr>
      <w:r>
        <w:rPr>
          <w:rFonts w:hint="eastAsia" w:ascii="宋体" w:hAnsi="宋体" w:eastAsia="宋体" w:cs="宋体"/>
          <w:b/>
          <w:color w:val="auto"/>
          <w:spacing w:val="6"/>
          <w:sz w:val="22"/>
          <w:szCs w:val="22"/>
          <w:highlight w:val="none"/>
        </w:rPr>
        <w:t>残疾人福利性单位声明函</w:t>
      </w:r>
    </w:p>
    <w:p>
      <w:pPr>
        <w:widowControl/>
        <w:adjustRightInd w:val="0"/>
        <w:snapToGrid w:val="0"/>
        <w:spacing w:line="460" w:lineRule="exact"/>
        <w:ind w:firstLine="440" w:firstLineChars="20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【不属于残疾人福利性单位的无需填写、递交】</w:t>
      </w:r>
    </w:p>
    <w:p>
      <w:pPr>
        <w:snapToGrid w:val="0"/>
        <w:spacing w:line="460" w:lineRule="exact"/>
        <w:jc w:val="center"/>
        <w:rPr>
          <w:rFonts w:hint="eastAsia" w:ascii="宋体" w:hAnsi="宋体" w:eastAsia="宋体" w:cs="宋体"/>
          <w:b/>
          <w:bCs/>
          <w:color w:val="auto"/>
          <w:sz w:val="22"/>
          <w:szCs w:val="22"/>
          <w:highlight w:val="none"/>
        </w:rPr>
      </w:pP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w:t>
      </w:r>
      <w:r>
        <w:rPr>
          <w:rFonts w:hint="eastAsia" w:ascii="宋体" w:hAnsi="宋体" w:eastAsia="宋体" w:cs="宋体"/>
          <w:color w:val="auto"/>
          <w:spacing w:val="6"/>
          <w:sz w:val="22"/>
          <w:szCs w:val="22"/>
          <w:highlight w:val="none"/>
          <w:u w:val="single"/>
        </w:rPr>
        <w:t>（招标人名称）</w:t>
      </w:r>
      <w:r>
        <w:rPr>
          <w:rFonts w:hint="eastAsia" w:ascii="宋体" w:hAnsi="宋体" w:eastAsia="宋体" w:cs="宋体"/>
          <w:color w:val="auto"/>
          <w:spacing w:val="6"/>
          <w:sz w:val="22"/>
          <w:szCs w:val="22"/>
          <w:highlight w:val="none"/>
        </w:rPr>
        <w:t>单位的</w:t>
      </w:r>
      <w:r>
        <w:rPr>
          <w:rFonts w:hint="eastAsia" w:ascii="宋体" w:hAnsi="宋体" w:eastAsia="宋体" w:cs="宋体"/>
          <w:color w:val="auto"/>
          <w:spacing w:val="6"/>
          <w:sz w:val="22"/>
          <w:szCs w:val="22"/>
          <w:highlight w:val="none"/>
          <w:u w:val="single"/>
        </w:rPr>
        <w:t>（招标项目名称）</w:t>
      </w:r>
      <w:r>
        <w:rPr>
          <w:rFonts w:hint="eastAsia" w:ascii="宋体" w:hAnsi="宋体" w:eastAsia="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pPr>
        <w:snapToGrid w:val="0"/>
        <w:spacing w:line="460" w:lineRule="exact"/>
        <w:ind w:firstLine="464" w:firstLineChars="200"/>
        <w:rPr>
          <w:rFonts w:hint="eastAsia" w:ascii="宋体" w:hAnsi="宋体" w:eastAsia="宋体" w:cs="宋体"/>
          <w:color w:val="auto"/>
          <w:spacing w:val="6"/>
          <w:sz w:val="22"/>
          <w:szCs w:val="22"/>
          <w:highlight w:val="none"/>
        </w:rPr>
      </w:pPr>
    </w:p>
    <w:p>
      <w:pPr>
        <w:snapToGrid w:val="0"/>
        <w:spacing w:line="460" w:lineRule="exact"/>
        <w:ind w:firstLine="464" w:firstLineChars="200"/>
        <w:rPr>
          <w:rFonts w:hint="eastAsia" w:ascii="宋体" w:hAnsi="宋体" w:eastAsia="宋体" w:cs="宋体"/>
          <w:color w:val="auto"/>
          <w:spacing w:val="6"/>
          <w:sz w:val="22"/>
          <w:szCs w:val="22"/>
          <w:highlight w:val="none"/>
        </w:rPr>
      </w:pPr>
    </w:p>
    <w:p>
      <w:pPr>
        <w:adjustRightInd w:val="0"/>
        <w:snapToGrid w:val="0"/>
        <w:spacing w:line="460" w:lineRule="exact"/>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p>
    <w:p>
      <w:pPr>
        <w:pStyle w:val="2"/>
        <w:spacing w:line="460" w:lineRule="exact"/>
        <w:ind w:left="437" w:leftChars="208"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
        <w:spacing w:line="460" w:lineRule="exact"/>
        <w:ind w:left="440" w:hanging="440"/>
        <w:rPr>
          <w:rFonts w:hint="eastAsia" w:ascii="宋体" w:hAnsi="宋体" w:eastAsia="宋体" w:cs="宋体"/>
          <w:color w:val="auto"/>
          <w:kern w:val="0"/>
          <w:sz w:val="22"/>
          <w:szCs w:val="22"/>
          <w:highlight w:val="none"/>
        </w:rPr>
      </w:pPr>
    </w:p>
    <w:p>
      <w:pPr>
        <w:pStyle w:val="2"/>
        <w:ind w:left="440" w:hanging="440"/>
        <w:rPr>
          <w:rFonts w:hint="eastAsia" w:ascii="宋体" w:hAnsi="宋体" w:eastAsia="宋体" w:cs="宋体"/>
          <w:color w:val="auto"/>
          <w:kern w:val="0"/>
          <w:sz w:val="22"/>
          <w:szCs w:val="22"/>
          <w:highlight w:val="none"/>
        </w:rPr>
      </w:pPr>
    </w:p>
    <w:p>
      <w:pPr>
        <w:pStyle w:val="2"/>
        <w:ind w:left="440" w:hanging="440"/>
        <w:rPr>
          <w:rFonts w:hint="eastAsia" w:ascii="宋体" w:hAnsi="宋体" w:eastAsia="宋体" w:cs="宋体"/>
          <w:color w:val="auto"/>
          <w:kern w:val="0"/>
          <w:sz w:val="22"/>
          <w:szCs w:val="22"/>
          <w:highlight w:val="none"/>
        </w:rPr>
      </w:pPr>
    </w:p>
    <w:p>
      <w:pPr>
        <w:pStyle w:val="2"/>
        <w:ind w:left="440" w:hanging="440"/>
        <w:rPr>
          <w:rFonts w:hint="eastAsia" w:ascii="宋体" w:hAnsi="宋体" w:eastAsia="宋体" w:cs="宋体"/>
          <w:color w:val="auto"/>
          <w:kern w:val="0"/>
          <w:sz w:val="22"/>
          <w:szCs w:val="22"/>
          <w:highlight w:val="none"/>
        </w:rPr>
      </w:pPr>
    </w:p>
    <w:p>
      <w:pPr>
        <w:pStyle w:val="2"/>
        <w:ind w:left="440" w:hanging="440"/>
        <w:rPr>
          <w:rFonts w:hint="eastAsia" w:ascii="宋体" w:hAnsi="宋体" w:eastAsia="宋体" w:cs="宋体"/>
          <w:color w:val="auto"/>
          <w:kern w:val="0"/>
          <w:sz w:val="22"/>
          <w:szCs w:val="22"/>
          <w:highlight w:val="none"/>
        </w:rPr>
      </w:pPr>
    </w:p>
    <w:p>
      <w:pPr>
        <w:pStyle w:val="2"/>
        <w:ind w:left="440" w:hanging="440"/>
        <w:rPr>
          <w:rFonts w:hint="eastAsia" w:ascii="宋体" w:hAnsi="宋体" w:eastAsia="宋体" w:cs="宋体"/>
          <w:color w:val="auto"/>
          <w:kern w:val="0"/>
          <w:sz w:val="22"/>
          <w:szCs w:val="22"/>
          <w:highlight w:val="none"/>
        </w:rPr>
      </w:pPr>
    </w:p>
    <w:p>
      <w:pPr>
        <w:pStyle w:val="2"/>
        <w:ind w:left="440" w:hanging="440"/>
        <w:rPr>
          <w:rFonts w:hint="eastAsia" w:ascii="宋体" w:hAnsi="宋体" w:eastAsia="宋体" w:cs="宋体"/>
          <w:color w:val="auto"/>
          <w:kern w:val="0"/>
          <w:sz w:val="22"/>
          <w:szCs w:val="22"/>
          <w:highlight w:val="none"/>
        </w:rPr>
      </w:pPr>
    </w:p>
    <w:p>
      <w:pPr>
        <w:pStyle w:val="2"/>
        <w:ind w:left="440" w:hanging="440"/>
        <w:rPr>
          <w:rFonts w:hint="eastAsia" w:ascii="宋体" w:hAnsi="宋体" w:eastAsia="宋体" w:cs="宋体"/>
          <w:color w:val="auto"/>
          <w:kern w:val="0"/>
          <w:sz w:val="22"/>
          <w:szCs w:val="22"/>
          <w:highlight w:val="none"/>
        </w:rPr>
      </w:pPr>
    </w:p>
    <w:p>
      <w:pPr>
        <w:pStyle w:val="2"/>
        <w:ind w:left="440" w:hanging="440"/>
        <w:rPr>
          <w:rFonts w:hint="eastAsia" w:ascii="宋体" w:hAnsi="宋体" w:eastAsia="宋体" w:cs="宋体"/>
          <w:color w:val="auto"/>
          <w:kern w:val="0"/>
          <w:sz w:val="22"/>
          <w:szCs w:val="22"/>
          <w:highlight w:val="none"/>
        </w:rPr>
      </w:pPr>
    </w:p>
    <w:p>
      <w:pPr>
        <w:pStyle w:val="2"/>
        <w:ind w:left="440" w:hanging="440"/>
        <w:rPr>
          <w:rFonts w:hint="eastAsia" w:ascii="宋体" w:hAnsi="宋体" w:eastAsia="宋体" w:cs="宋体"/>
          <w:color w:val="auto"/>
          <w:kern w:val="0"/>
          <w:sz w:val="22"/>
          <w:szCs w:val="22"/>
          <w:highlight w:val="none"/>
        </w:rPr>
      </w:pPr>
    </w:p>
    <w:p>
      <w:pPr>
        <w:pStyle w:val="2"/>
        <w:ind w:left="440" w:hanging="440"/>
        <w:rPr>
          <w:rFonts w:hint="eastAsia" w:ascii="宋体" w:hAnsi="宋体" w:eastAsia="宋体" w:cs="宋体"/>
          <w:color w:val="auto"/>
          <w:kern w:val="0"/>
          <w:sz w:val="22"/>
          <w:szCs w:val="22"/>
          <w:highlight w:val="none"/>
        </w:rPr>
      </w:pPr>
    </w:p>
    <w:p>
      <w:pPr>
        <w:pStyle w:val="2"/>
        <w:ind w:left="440" w:hanging="440"/>
        <w:rPr>
          <w:rFonts w:hint="eastAsia" w:ascii="宋体" w:hAnsi="宋体" w:eastAsia="宋体" w:cs="宋体"/>
          <w:color w:val="auto"/>
          <w:kern w:val="0"/>
          <w:sz w:val="22"/>
          <w:szCs w:val="22"/>
          <w:highlight w:val="none"/>
        </w:rPr>
      </w:pPr>
    </w:p>
    <w:p>
      <w:pPr>
        <w:pStyle w:val="2"/>
        <w:ind w:left="440" w:hanging="440"/>
        <w:rPr>
          <w:rFonts w:hint="eastAsia" w:ascii="宋体" w:hAnsi="宋体" w:eastAsia="宋体" w:cs="宋体"/>
          <w:color w:val="auto"/>
          <w:kern w:val="0"/>
          <w:sz w:val="22"/>
          <w:szCs w:val="22"/>
          <w:highlight w:val="none"/>
        </w:rPr>
      </w:pPr>
    </w:p>
    <w:p>
      <w:pPr>
        <w:pStyle w:val="2"/>
        <w:ind w:left="440" w:hanging="440"/>
        <w:rPr>
          <w:rFonts w:hint="eastAsia" w:ascii="宋体" w:hAnsi="宋体" w:eastAsia="宋体" w:cs="宋体"/>
          <w:color w:val="auto"/>
          <w:kern w:val="0"/>
          <w:sz w:val="22"/>
          <w:szCs w:val="22"/>
          <w:highlight w:val="none"/>
        </w:rPr>
      </w:pPr>
    </w:p>
    <w:p>
      <w:pPr>
        <w:pStyle w:val="2"/>
        <w:ind w:left="440" w:hanging="440"/>
        <w:rPr>
          <w:rFonts w:hint="eastAsia" w:ascii="宋体" w:hAnsi="宋体" w:eastAsia="宋体" w:cs="宋体"/>
          <w:color w:val="auto"/>
          <w:kern w:val="0"/>
          <w:sz w:val="22"/>
          <w:szCs w:val="22"/>
          <w:highlight w:val="none"/>
        </w:rPr>
      </w:pPr>
    </w:p>
    <w:p>
      <w:pPr>
        <w:pStyle w:val="2"/>
        <w:ind w:left="440" w:hanging="440"/>
        <w:rPr>
          <w:rFonts w:hint="eastAsia" w:ascii="宋体" w:hAnsi="宋体" w:eastAsia="宋体" w:cs="宋体"/>
          <w:color w:val="auto"/>
          <w:kern w:val="0"/>
          <w:sz w:val="22"/>
          <w:szCs w:val="22"/>
          <w:highlight w:val="none"/>
        </w:rPr>
      </w:pPr>
    </w:p>
    <w:p>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pPr>
        <w:pStyle w:val="2"/>
        <w:spacing w:line="460" w:lineRule="exact"/>
        <w:ind w:left="433" w:hanging="433" w:hangingChars="196"/>
        <w:outlineLvl w:val="1"/>
        <w:rPr>
          <w:rFonts w:hint="eastAsia" w:ascii="宋体" w:hAnsi="宋体" w:eastAsia="宋体" w:cs="宋体"/>
          <w:b/>
          <w:color w:val="auto"/>
          <w:sz w:val="22"/>
          <w:szCs w:val="22"/>
          <w:highlight w:val="none"/>
        </w:rPr>
      </w:pPr>
      <w:bookmarkStart w:id="62" w:name="_Toc19402"/>
      <w:bookmarkStart w:id="63" w:name="_Toc12035"/>
      <w:r>
        <w:rPr>
          <w:rFonts w:hint="eastAsia" w:ascii="宋体" w:hAnsi="宋体" w:eastAsia="宋体" w:cs="宋体"/>
          <w:b/>
          <w:color w:val="auto"/>
          <w:sz w:val="22"/>
          <w:szCs w:val="22"/>
          <w:highlight w:val="none"/>
        </w:rPr>
        <w:t>附件二</w:t>
      </w:r>
      <w:bookmarkEnd w:id="62"/>
      <w:bookmarkEnd w:id="63"/>
    </w:p>
    <w:p>
      <w:pPr>
        <w:spacing w:line="460" w:lineRule="exact"/>
        <w:jc w:val="center"/>
        <w:outlineLvl w:val="2"/>
        <w:rPr>
          <w:rFonts w:hint="eastAsia" w:ascii="宋体" w:hAnsi="宋体" w:eastAsia="宋体" w:cs="宋体"/>
          <w:color w:val="auto"/>
          <w:sz w:val="28"/>
          <w:szCs w:val="28"/>
          <w:highlight w:val="none"/>
        </w:rPr>
      </w:pPr>
      <w:bookmarkStart w:id="64" w:name="_Toc4718"/>
      <w:bookmarkStart w:id="65" w:name="_Toc25309"/>
      <w:r>
        <w:rPr>
          <w:rFonts w:hint="eastAsia" w:ascii="宋体" w:hAnsi="宋体" w:eastAsia="宋体" w:cs="宋体"/>
          <w:b/>
          <w:bCs/>
          <w:color w:val="auto"/>
          <w:sz w:val="28"/>
          <w:szCs w:val="28"/>
          <w:highlight w:val="none"/>
        </w:rPr>
        <w:t>资格证明文件</w:t>
      </w:r>
      <w:bookmarkEnd w:id="64"/>
      <w:bookmarkEnd w:id="65"/>
      <w:r>
        <w:rPr>
          <w:rFonts w:hint="eastAsia" w:ascii="宋体" w:hAnsi="宋体" w:eastAsia="宋体" w:cs="宋体"/>
          <w:color w:val="auto"/>
          <w:sz w:val="28"/>
          <w:szCs w:val="28"/>
          <w:highlight w:val="none"/>
        </w:rPr>
        <w:t xml:space="preserve"> </w:t>
      </w: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1、有效营业执照（复印件盖单位公章）</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 w:val="24"/>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2、最近一年财务报表(复印件，新成立的公司提供情况说明)；</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 w:val="24"/>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 w:val="24"/>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4、提供食品药品监督管理部门核发的完整有效的医疗器械注册或备案证明；（适用于按医疗器械管理的设备）</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 w:val="24"/>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5、货物制造商或其它有销售资格（提供证明材料）的供应商出具的授权书（适用于投标人是进口货物代理商的情形）</w:t>
      </w:r>
    </w:p>
    <w:p>
      <w:pPr>
        <w:spacing w:line="460" w:lineRule="exact"/>
        <w:ind w:left="514" w:leftChars="245"/>
        <w:jc w:val="left"/>
        <w:rPr>
          <w:rFonts w:hint="eastAsia" w:ascii="宋体" w:hAnsi="宋体" w:eastAsia="宋体" w:cs="宋体"/>
          <w:b/>
          <w:bCs/>
          <w:color w:val="auto"/>
          <w:szCs w:val="21"/>
          <w:highlight w:val="none"/>
        </w:rPr>
      </w:pPr>
    </w:p>
    <w:p>
      <w:pPr>
        <w:spacing w:line="460" w:lineRule="exact"/>
        <w:jc w:val="left"/>
        <w:outlineLvl w:val="3"/>
        <w:rPr>
          <w:rFonts w:hint="eastAsia" w:ascii="宋体" w:hAnsi="宋体" w:eastAsia="宋体" w:cs="宋体"/>
          <w:color w:val="auto"/>
          <w:szCs w:val="21"/>
          <w:highlight w:val="none"/>
        </w:rPr>
      </w:pPr>
      <w:r>
        <w:rPr>
          <w:rFonts w:hint="eastAsia" w:ascii="宋体" w:hAnsi="宋体" w:cs="宋体"/>
          <w:b/>
          <w:bCs/>
          <w:color w:val="auto"/>
          <w:sz w:val="24"/>
          <w:highlight w:val="none"/>
          <w:lang w:val="en-US" w:eastAsia="zh-CN"/>
        </w:rPr>
        <w:t>6</w:t>
      </w:r>
      <w:r>
        <w:rPr>
          <w:rFonts w:hint="eastAsia" w:ascii="宋体" w:hAnsi="宋体" w:eastAsia="宋体" w:cs="宋体"/>
          <w:b/>
          <w:bCs/>
          <w:color w:val="auto"/>
          <w:sz w:val="24"/>
          <w:highlight w:val="none"/>
        </w:rPr>
        <w:t>、具有履行合同所必需的场地、设备和专业技术能力的承诺函；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投标人</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承诺具有履行合同所必需的场地、设备和专业技术能力。如有虚假，招标人可取消我方任何资格（投标/中标/签订合同），我方对此无任何异议。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
        <w:spacing w:line="460" w:lineRule="exact"/>
        <w:ind w:left="479" w:leftChars="228" w:firstLine="5280" w:firstLineChars="24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
        <w:spacing w:line="460" w:lineRule="exact"/>
        <w:ind w:left="0" w:firstLine="0" w:firstLineChars="0"/>
        <w:rPr>
          <w:rFonts w:hint="eastAsia" w:ascii="宋体" w:hAnsi="宋体" w:eastAsia="宋体" w:cs="宋体"/>
          <w:color w:val="auto"/>
          <w:kern w:val="0"/>
          <w:highlight w:val="none"/>
        </w:rPr>
      </w:pPr>
    </w:p>
    <w:p>
      <w:pPr>
        <w:spacing w:line="460" w:lineRule="exact"/>
        <w:jc w:val="left"/>
        <w:outlineLvl w:val="3"/>
        <w:rPr>
          <w:rFonts w:hint="eastAsia" w:ascii="宋体" w:hAnsi="宋体" w:eastAsia="宋体" w:cs="宋体"/>
          <w:color w:val="auto"/>
          <w:sz w:val="20"/>
          <w:szCs w:val="22"/>
          <w:highlight w:val="none"/>
        </w:rPr>
      </w:pP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rPr>
        <w:t>、依法缴纳税收和社会保障资金的承诺函；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我公司郑重声明，我公司严格依法缴纳税收和社会保障资金，本文件中所提供的相关材料均真实有效，不存在虚假、造假行为。如有违反，愿承担一切责任。</w:t>
      </w:r>
    </w:p>
    <w:p>
      <w:pPr>
        <w:spacing w:line="460" w:lineRule="exact"/>
        <w:ind w:firstLine="440" w:firstLineChars="200"/>
        <w:rPr>
          <w:rFonts w:hint="eastAsia" w:ascii="宋体" w:hAnsi="宋体" w:eastAsia="宋体" w:cs="宋体"/>
          <w:color w:val="auto"/>
          <w:kern w:val="0"/>
          <w:sz w:val="22"/>
          <w:szCs w:val="22"/>
          <w:highlight w:val="none"/>
        </w:rPr>
      </w:pP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
        <w:spacing w:line="460" w:lineRule="exact"/>
        <w:ind w:left="-420" w:leftChars="-200" w:firstLine="6160" w:firstLineChars="28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
        <w:spacing w:line="460" w:lineRule="exact"/>
        <w:ind w:left="0" w:firstLine="0" w:firstLineChars="0"/>
        <w:rPr>
          <w:rFonts w:hint="eastAsia" w:ascii="宋体" w:hAnsi="宋体" w:eastAsia="宋体" w:cs="宋体"/>
          <w:color w:val="auto"/>
          <w:kern w:val="0"/>
          <w:highlight w:val="none"/>
        </w:rPr>
      </w:pPr>
    </w:p>
    <w:p>
      <w:pPr>
        <w:pStyle w:val="2"/>
        <w:spacing w:line="460" w:lineRule="exact"/>
        <w:ind w:left="0" w:firstLine="0" w:firstLineChars="0"/>
        <w:rPr>
          <w:rFonts w:hint="eastAsia" w:ascii="宋体" w:hAnsi="宋体" w:eastAsia="宋体" w:cs="宋体"/>
          <w:color w:val="auto"/>
          <w:kern w:val="0"/>
          <w:highlight w:val="none"/>
        </w:rPr>
      </w:pPr>
    </w:p>
    <w:p>
      <w:pPr>
        <w:pStyle w:val="2"/>
        <w:spacing w:line="460" w:lineRule="exact"/>
        <w:ind w:left="0" w:firstLine="0" w:firstLineChars="0"/>
        <w:rPr>
          <w:rFonts w:hint="eastAsia" w:ascii="宋体" w:hAnsi="宋体" w:eastAsia="宋体" w:cs="宋体"/>
          <w:color w:val="auto"/>
          <w:kern w:val="0"/>
          <w:highlight w:val="none"/>
        </w:rPr>
      </w:pPr>
    </w:p>
    <w:p>
      <w:pPr>
        <w:pStyle w:val="2"/>
        <w:spacing w:line="460" w:lineRule="exact"/>
        <w:ind w:left="0" w:firstLine="0" w:firstLineChars="0"/>
        <w:rPr>
          <w:rFonts w:hint="eastAsia" w:ascii="宋体" w:hAnsi="宋体" w:eastAsia="宋体" w:cs="宋体"/>
          <w:color w:val="auto"/>
          <w:kern w:val="0"/>
          <w:highlight w:val="none"/>
        </w:rPr>
      </w:pPr>
    </w:p>
    <w:p>
      <w:pPr>
        <w:spacing w:line="460" w:lineRule="exact"/>
        <w:outlineLvl w:val="3"/>
        <w:rPr>
          <w:rFonts w:hint="eastAsia" w:ascii="宋体" w:hAnsi="宋体" w:eastAsia="宋体" w:cs="宋体"/>
          <w:b/>
          <w:bCs/>
          <w:color w:val="auto"/>
          <w:sz w:val="22"/>
          <w:szCs w:val="22"/>
          <w:highlight w:val="none"/>
        </w:rPr>
      </w:pP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、参加政府采购活动前3年内在经营活动中没有重大违法记录的声明函</w:t>
      </w:r>
      <w:r>
        <w:rPr>
          <w:rFonts w:hint="eastAsia" w:ascii="宋体" w:hAnsi="宋体" w:eastAsia="宋体" w:cs="宋体"/>
          <w:b/>
          <w:bCs/>
          <w:color w:val="auto"/>
          <w:sz w:val="22"/>
          <w:szCs w:val="22"/>
          <w:highlight w:val="none"/>
        </w:rPr>
        <w:t>；</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投标人</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招标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
        <w:spacing w:line="460" w:lineRule="exact"/>
        <w:ind w:left="514" w:leftChars="245" w:firstLine="5720" w:firstLineChars="2600"/>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日期：     年  月  日</w:t>
      </w:r>
    </w:p>
    <w:p>
      <w:pPr>
        <w:spacing w:line="460" w:lineRule="exact"/>
        <w:ind w:left="514" w:leftChars="245"/>
        <w:rPr>
          <w:rFonts w:hint="eastAsia" w:ascii="宋体" w:hAnsi="宋体" w:eastAsia="宋体" w:cs="宋体"/>
          <w:b/>
          <w:bCs/>
          <w:color w:val="auto"/>
          <w:sz w:val="22"/>
          <w:szCs w:val="22"/>
          <w:highlight w:val="none"/>
        </w:rPr>
      </w:pPr>
    </w:p>
    <w:p>
      <w:pPr>
        <w:pStyle w:val="2"/>
        <w:ind w:left="0" w:firstLine="0" w:firstLineChars="0"/>
        <w:rPr>
          <w:rFonts w:hint="eastAsia" w:ascii="宋体" w:hAnsi="宋体" w:eastAsia="宋体" w:cs="宋体"/>
          <w:color w:val="auto"/>
          <w:highlight w:val="none"/>
        </w:rPr>
      </w:pPr>
    </w:p>
    <w:p>
      <w:pPr>
        <w:spacing w:line="460" w:lineRule="exact"/>
        <w:outlineLvl w:val="3"/>
        <w:rPr>
          <w:rFonts w:hint="eastAsia" w:ascii="宋体" w:hAnsi="宋体" w:eastAsia="宋体" w:cs="宋体"/>
          <w:b/>
          <w:bCs/>
          <w:color w:val="auto"/>
          <w:szCs w:val="21"/>
          <w:highlight w:val="none"/>
        </w:rPr>
      </w:pPr>
      <w:r>
        <w:rPr>
          <w:rFonts w:hint="eastAsia" w:ascii="宋体" w:hAnsi="宋体" w:cs="宋体"/>
          <w:b/>
          <w:bCs/>
          <w:color w:val="auto"/>
          <w:sz w:val="24"/>
          <w:highlight w:val="none"/>
          <w:lang w:val="en-US" w:eastAsia="zh-CN"/>
        </w:rPr>
        <w:t>9</w:t>
      </w:r>
      <w:r>
        <w:rPr>
          <w:rFonts w:hint="eastAsia" w:ascii="宋体" w:hAnsi="宋体" w:eastAsia="宋体" w:cs="宋体"/>
          <w:b/>
          <w:bCs/>
          <w:color w:val="auto"/>
          <w:sz w:val="24"/>
          <w:highlight w:val="none"/>
        </w:rPr>
        <w:t>、单位负责人为同一人或者存在直接控股、管理关系的不同供应商，不得参加同一合同项下的政府采购活动承诺函；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我方郑重承诺，我方此次参加</w:t>
      </w:r>
      <w:r>
        <w:rPr>
          <w:rFonts w:hint="eastAsia" w:ascii="宋体" w:hAnsi="宋体" w:cs="宋体"/>
          <w:color w:val="auto"/>
          <w:sz w:val="22"/>
          <w:szCs w:val="22"/>
          <w:highlight w:val="none"/>
          <w:u w:val="single"/>
          <w:lang w:eastAsia="zh-CN"/>
        </w:rPr>
        <w:t>温州市中医院</w:t>
      </w:r>
      <w:r>
        <w:rPr>
          <w:rFonts w:hint="eastAsia" w:ascii="宋体" w:hAnsi="宋体" w:eastAsia="宋体" w:cs="宋体"/>
          <w:color w:val="auto"/>
          <w:kern w:val="0"/>
          <w:sz w:val="22"/>
          <w:szCs w:val="22"/>
          <w:highlight w:val="none"/>
        </w:rPr>
        <w:t>项目的投标，与参加本次项目同一合同项下政府采购活动的其他供应商不存在单位负责人为同一人或者直接控股、管理关系。如有虚假或隐瞒，愿意承担一切后果。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460" w:lineRule="exact"/>
        <w:jc w:val="center"/>
        <w:rPr>
          <w:rFonts w:hint="eastAsia" w:ascii="宋体" w:hAnsi="宋体" w:eastAsia="宋体" w:cs="宋体"/>
          <w:b/>
          <w:color w:val="auto"/>
          <w:kern w:val="36"/>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
        <w:spacing w:line="460" w:lineRule="exact"/>
        <w:ind w:left="514" w:leftChars="245" w:firstLine="5720" w:firstLineChars="2600"/>
        <w:rPr>
          <w:rFonts w:hint="eastAsia" w:ascii="宋体" w:hAnsi="宋体" w:eastAsia="宋体" w:cs="宋体"/>
          <w:color w:val="auto"/>
          <w:kern w:val="0"/>
          <w:highlight w:val="none"/>
        </w:rPr>
      </w:pPr>
      <w:r>
        <w:rPr>
          <w:rFonts w:hint="eastAsia" w:ascii="宋体" w:hAnsi="宋体" w:eastAsia="宋体" w:cs="宋体"/>
          <w:color w:val="auto"/>
          <w:kern w:val="0"/>
          <w:sz w:val="22"/>
          <w:szCs w:val="22"/>
          <w:highlight w:val="none"/>
        </w:rPr>
        <w:t>日期：     年  月  日</w:t>
      </w:r>
    </w:p>
    <w:p>
      <w:pPr>
        <w:pStyle w:val="2"/>
        <w:spacing w:line="460" w:lineRule="exact"/>
        <w:ind w:left="0" w:firstLine="0" w:firstLineChars="0"/>
        <w:rPr>
          <w:rFonts w:hint="eastAsia" w:ascii="宋体" w:hAnsi="宋体" w:eastAsia="宋体" w:cs="宋体"/>
          <w:color w:val="auto"/>
          <w:kern w:val="0"/>
          <w:highlight w:val="none"/>
        </w:rPr>
      </w:pPr>
    </w:p>
    <w:p>
      <w:pPr>
        <w:pStyle w:val="2"/>
        <w:spacing w:line="460" w:lineRule="exact"/>
        <w:ind w:left="0" w:firstLine="0" w:firstLineChars="0"/>
        <w:rPr>
          <w:rFonts w:hint="eastAsia" w:ascii="宋体" w:hAnsi="宋体" w:eastAsia="宋体" w:cs="宋体"/>
          <w:color w:val="auto"/>
          <w:kern w:val="0"/>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rPr>
        <w:t>、投标人不属于公益一类事业单位承诺函；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我方郑重承诺，我单位不属于公益一类事业单位，可承接</w:t>
      </w:r>
      <w:r>
        <w:rPr>
          <w:rFonts w:hint="eastAsia" w:ascii="宋体" w:hAnsi="宋体" w:cs="宋体"/>
          <w:color w:val="auto"/>
          <w:kern w:val="0"/>
          <w:sz w:val="22"/>
          <w:szCs w:val="22"/>
          <w:highlight w:val="none"/>
          <w:u w:val="single"/>
          <w:lang w:eastAsia="zh-CN"/>
        </w:rPr>
        <w:t>温州市中医院</w:t>
      </w:r>
      <w:r>
        <w:rPr>
          <w:rFonts w:hint="eastAsia" w:ascii="宋体" w:hAnsi="宋体" w:eastAsia="宋体" w:cs="宋体"/>
          <w:color w:val="auto"/>
          <w:kern w:val="0"/>
          <w:sz w:val="22"/>
          <w:szCs w:val="22"/>
          <w:highlight w:val="none"/>
        </w:rPr>
        <w:t>项目的相关服务内容。如有虚假或隐瞒，愿意承担一切后果。</w:t>
      </w:r>
    </w:p>
    <w:p>
      <w:pPr>
        <w:shd w:val="clear" w:color="auto" w:fill="FFFFFF"/>
        <w:snapToGrid w:val="0"/>
        <w:spacing w:line="460" w:lineRule="exact"/>
        <w:jc w:val="center"/>
        <w:rPr>
          <w:rFonts w:hint="eastAsia" w:ascii="宋体" w:hAnsi="宋体" w:eastAsia="宋体" w:cs="宋体"/>
          <w:b/>
          <w:color w:val="auto"/>
          <w:kern w:val="36"/>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adjustRightInd w:val="0"/>
        <w:snapToGrid w:val="0"/>
        <w:spacing w:line="460" w:lineRule="exact"/>
        <w:ind w:firstLine="6160" w:firstLineChars="28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2"/>
          <w:szCs w:val="22"/>
          <w:highlight w:val="none"/>
        </w:rPr>
        <w:t>日期：     年  月  日</w:t>
      </w:r>
    </w:p>
    <w:p>
      <w:pPr>
        <w:pStyle w:val="2"/>
        <w:spacing w:line="460" w:lineRule="exact"/>
        <w:ind w:left="514" w:leftChars="245" w:firstLine="0" w:firstLineChars="0"/>
        <w:rPr>
          <w:rFonts w:hint="eastAsia" w:ascii="宋体" w:hAnsi="宋体" w:eastAsia="宋体" w:cs="宋体"/>
          <w:color w:val="auto"/>
          <w:highlight w:val="none"/>
        </w:rPr>
      </w:pPr>
    </w:p>
    <w:p>
      <w:pPr>
        <w:pStyle w:val="2"/>
        <w:spacing w:line="460" w:lineRule="exact"/>
        <w:ind w:left="514" w:leftChars="245" w:firstLine="0" w:firstLineChars="0"/>
        <w:rPr>
          <w:rFonts w:hint="eastAsia" w:ascii="宋体" w:hAnsi="宋体" w:eastAsia="宋体" w:cs="宋体"/>
          <w:color w:val="auto"/>
          <w:highlight w:val="none"/>
        </w:rPr>
      </w:pPr>
    </w:p>
    <w:p>
      <w:pPr>
        <w:pStyle w:val="2"/>
        <w:spacing w:line="460" w:lineRule="exact"/>
        <w:ind w:left="514" w:leftChars="245" w:firstLine="0" w:firstLineChars="0"/>
        <w:rPr>
          <w:rFonts w:hint="eastAsia" w:ascii="宋体" w:hAnsi="宋体" w:eastAsia="宋体" w:cs="宋体"/>
          <w:color w:val="auto"/>
          <w:highlight w:val="none"/>
        </w:rPr>
      </w:pPr>
    </w:p>
    <w:p>
      <w:pPr>
        <w:pStyle w:val="2"/>
        <w:spacing w:line="460" w:lineRule="exact"/>
        <w:ind w:left="514" w:leftChars="245" w:firstLine="0" w:firstLineChars="0"/>
        <w:rPr>
          <w:rFonts w:hint="eastAsia" w:ascii="宋体" w:hAnsi="宋体" w:eastAsia="宋体" w:cs="宋体"/>
          <w:color w:val="auto"/>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11</w:t>
      </w:r>
      <w:r>
        <w:rPr>
          <w:rFonts w:hint="eastAsia" w:ascii="宋体" w:hAnsi="宋体" w:eastAsia="宋体" w:cs="宋体"/>
          <w:b/>
          <w:bCs/>
          <w:color w:val="auto"/>
          <w:sz w:val="24"/>
          <w:highlight w:val="none"/>
        </w:rPr>
        <w:t>、投标人信用查询：</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3、投标人信用信息查询记录和证据留存的具体方式：网页截图；</w:t>
      </w:r>
    </w:p>
    <w:p>
      <w:pPr>
        <w:tabs>
          <w:tab w:val="left" w:pos="360"/>
        </w:tabs>
        <w:spacing w:line="460" w:lineRule="exact"/>
        <w:ind w:firstLine="552" w:firstLineChars="25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highlight w:val="none"/>
          <w:u w:val="single"/>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pStyle w:val="10"/>
        <w:rPr>
          <w:rFonts w:hint="eastAsia" w:ascii="宋体" w:hAnsi="宋体" w:eastAsia="宋体" w:cs="宋体"/>
          <w:bCs/>
          <w:color w:val="auto"/>
          <w:sz w:val="22"/>
          <w:szCs w:val="22"/>
          <w:highlight w:val="none"/>
        </w:rPr>
      </w:pPr>
    </w:p>
    <w:p>
      <w:pPr>
        <w:rPr>
          <w:rFonts w:hint="eastAsia" w:ascii="宋体" w:hAnsi="宋体" w:eastAsia="宋体" w:cs="宋体"/>
          <w:highlight w:val="none"/>
        </w:rPr>
      </w:pPr>
    </w:p>
    <w:p>
      <w:pPr>
        <w:rPr>
          <w:rFonts w:hint="eastAsia" w:ascii="宋体" w:hAnsi="宋体" w:eastAsia="宋体" w:cs="宋体"/>
          <w:color w:val="auto"/>
          <w:highlight w:val="none"/>
        </w:rPr>
      </w:pPr>
    </w:p>
    <w:p>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pPr>
        <w:spacing w:line="460" w:lineRule="exact"/>
        <w:jc w:val="center"/>
        <w:outlineLvl w:val="3"/>
        <w:rPr>
          <w:rFonts w:hint="eastAsia" w:ascii="宋体" w:hAnsi="宋体" w:eastAsia="宋体" w:cs="宋体"/>
          <w:b/>
          <w:bCs/>
          <w:color w:val="auto"/>
          <w:sz w:val="22"/>
          <w:szCs w:val="22"/>
          <w:highlight w:val="none"/>
        </w:rPr>
      </w:pPr>
      <w:r>
        <w:rPr>
          <w:rFonts w:hint="eastAsia" w:ascii="宋体" w:hAnsi="宋体" w:cs="宋体"/>
          <w:b/>
          <w:bCs/>
          <w:color w:val="auto"/>
          <w:sz w:val="28"/>
          <w:szCs w:val="28"/>
          <w:highlight w:val="none"/>
          <w:lang w:val="en-US" w:eastAsia="zh-CN"/>
        </w:rPr>
        <w:t>12</w:t>
      </w:r>
      <w:r>
        <w:rPr>
          <w:rFonts w:hint="eastAsia" w:ascii="宋体" w:hAnsi="宋体" w:eastAsia="宋体" w:cs="宋体"/>
          <w:b/>
          <w:bCs/>
          <w:color w:val="auto"/>
          <w:sz w:val="28"/>
          <w:szCs w:val="28"/>
          <w:highlight w:val="none"/>
        </w:rPr>
        <w:t>、采购活动现场确认声明书</w:t>
      </w: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kern w:val="0"/>
          <w:sz w:val="22"/>
          <w:szCs w:val="22"/>
          <w:highlight w:val="none"/>
        </w:rPr>
        <w:t>温州历程招标有限公司：</w:t>
      </w:r>
    </w:p>
    <w:p>
      <w:pPr>
        <w:spacing w:line="460" w:lineRule="exact"/>
        <w:ind w:firstLine="440" w:firstLineChars="200"/>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本人经由</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（供应商名称）负责人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（姓名）合法授权参加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）采购活动，经与本单位法人代表（负责人）联系确认，现就有关公平竞争事项郑重声明如下：</w:t>
      </w:r>
    </w:p>
    <w:p>
      <w:pPr>
        <w:numPr>
          <w:ilvl w:val="0"/>
          <w:numId w:val="12"/>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本单位与招标人之间 □不存在利害关系 □存在下列利害关系：</w:t>
      </w:r>
    </w:p>
    <w:p>
      <w:pPr>
        <w:numPr>
          <w:ilvl w:val="0"/>
          <w:numId w:val="12"/>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w:t>
      </w:r>
    </w:p>
    <w:p>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B.行政隶属关系    </w:t>
      </w:r>
    </w:p>
    <w:p>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C.业务指导关系  </w:t>
      </w:r>
    </w:p>
    <w:p>
      <w:pPr>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D.其他可能影响采购公正的利害关系</w:t>
      </w:r>
      <w:r>
        <w:rPr>
          <w:rStyle w:val="333"/>
          <w:rFonts w:hint="eastAsia" w:ascii="宋体" w:hAnsi="宋体" w:eastAsia="宋体" w:cs="宋体"/>
          <w:color w:val="auto"/>
          <w:sz w:val="22"/>
          <w:szCs w:val="22"/>
          <w:highlight w:val="none"/>
        </w:rPr>
        <w:t xml:space="preserve">（如有，请如实说明）                 </w:t>
      </w:r>
      <w:r>
        <w:rPr>
          <w:rFonts w:hint="eastAsia" w:ascii="宋体" w:hAnsi="宋体" w:eastAsia="宋体" w:cs="宋体"/>
          <w:color w:val="auto"/>
          <w:kern w:val="0"/>
          <w:sz w:val="22"/>
          <w:szCs w:val="22"/>
          <w:highlight w:val="none"/>
        </w:rPr>
        <w:t>。</w:t>
      </w:r>
    </w:p>
    <w:p>
      <w:pPr>
        <w:numPr>
          <w:ilvl w:val="0"/>
          <w:numId w:val="12"/>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现已清楚知道参加本项目采购活动的其他所有供应商名称，本单位 </w:t>
      </w:r>
    </w:p>
    <w:p>
      <w:pPr>
        <w:numPr>
          <w:ilvl w:val="0"/>
          <w:numId w:val="12"/>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□与其他所有供应商之间均不存在利害关系 </w:t>
      </w:r>
    </w:p>
    <w:p>
      <w:pPr>
        <w:numPr>
          <w:ilvl w:val="0"/>
          <w:numId w:val="12"/>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p>
    <w:p>
      <w:pPr>
        <w:numPr>
          <w:ilvl w:val="0"/>
          <w:numId w:val="12"/>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pPr>
        <w:numPr>
          <w:ilvl w:val="0"/>
          <w:numId w:val="12"/>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pPr>
        <w:numPr>
          <w:ilvl w:val="0"/>
          <w:numId w:val="12"/>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pPr>
        <w:numPr>
          <w:ilvl w:val="0"/>
          <w:numId w:val="12"/>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pPr>
        <w:numPr>
          <w:ilvl w:val="0"/>
          <w:numId w:val="12"/>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pPr>
        <w:numPr>
          <w:ilvl w:val="0"/>
          <w:numId w:val="12"/>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pPr>
        <w:numPr>
          <w:ilvl w:val="0"/>
          <w:numId w:val="12"/>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G.存在共同直接或间接投资设立子公司、联营企业和合营企业情况</w:t>
      </w:r>
    </w:p>
    <w:p>
      <w:pPr>
        <w:numPr>
          <w:ilvl w:val="0"/>
          <w:numId w:val="12"/>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p>
    <w:p>
      <w:pPr>
        <w:numPr>
          <w:ilvl w:val="0"/>
          <w:numId w:val="12"/>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I.其他利害关系情况</w:t>
      </w:r>
      <w:r>
        <w:rPr>
          <w:rFonts w:hint="eastAsia" w:ascii="宋体" w:hAnsi="宋体" w:eastAsia="宋体" w:cs="宋体"/>
          <w:color w:val="auto"/>
          <w:kern w:val="0"/>
          <w:sz w:val="22"/>
          <w:szCs w:val="22"/>
          <w:highlight w:val="none"/>
          <w:u w:val="single"/>
        </w:rPr>
        <w:t xml:space="preserve">                              。</w:t>
      </w:r>
    </w:p>
    <w:p>
      <w:pPr>
        <w:pStyle w:val="2"/>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（三）现已清楚知道并严格遵守政府采购法律法规和现场纪律</w:t>
      </w:r>
    </w:p>
    <w:p>
      <w:pPr>
        <w:pStyle w:val="2"/>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（四）我发现</w:t>
      </w:r>
      <w:r>
        <w:rPr>
          <w:rStyle w:val="333"/>
          <w:rFonts w:hint="eastAsia" w:ascii="宋体" w:hAnsi="宋体" w:eastAsia="宋体" w:cs="宋体"/>
          <w:color w:val="auto"/>
          <w:sz w:val="22"/>
          <w:szCs w:val="22"/>
          <w:highlight w:val="none"/>
        </w:rPr>
        <w:t xml:space="preserve">                  与                  （供应商名称）</w:t>
      </w:r>
      <w:r>
        <w:rPr>
          <w:rFonts w:hint="eastAsia" w:ascii="宋体" w:hAnsi="宋体" w:eastAsia="宋体" w:cs="宋体"/>
          <w:color w:val="auto"/>
          <w:kern w:val="0"/>
          <w:sz w:val="22"/>
          <w:szCs w:val="22"/>
          <w:highlight w:val="none"/>
        </w:rPr>
        <w:t>之间存在或可能存在上述第二条第</w:t>
      </w:r>
      <w:r>
        <w:rPr>
          <w:rStyle w:val="333"/>
          <w:rFonts w:hint="eastAsia" w:ascii="宋体" w:hAnsi="宋体" w:eastAsia="宋体" w:cs="宋体"/>
          <w:color w:val="auto"/>
          <w:sz w:val="22"/>
          <w:szCs w:val="22"/>
          <w:highlight w:val="none"/>
        </w:rPr>
        <w:t xml:space="preserve">        </w:t>
      </w:r>
      <w:r>
        <w:rPr>
          <w:rFonts w:hint="eastAsia" w:ascii="宋体" w:hAnsi="宋体" w:eastAsia="宋体" w:cs="宋体"/>
          <w:color w:val="auto"/>
          <w:kern w:val="0"/>
          <w:sz w:val="22"/>
          <w:szCs w:val="22"/>
          <w:highlight w:val="none"/>
        </w:rPr>
        <w:t>项利害关系。</w:t>
      </w:r>
    </w:p>
    <w:p>
      <w:pPr>
        <w:pStyle w:val="2"/>
        <w:spacing w:line="460" w:lineRule="exact"/>
        <w:ind w:left="0" w:firstLine="0" w:firstLineChars="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供应商代表签名:</w:t>
      </w:r>
    </w:p>
    <w:p>
      <w:pPr>
        <w:pStyle w:val="2"/>
        <w:spacing w:line="460" w:lineRule="exact"/>
        <w:ind w:left="0" w:firstLine="0" w:firstLineChars="0"/>
        <w:jc w:val="right"/>
        <w:rPr>
          <w:rFonts w:hint="eastAsia" w:ascii="宋体" w:hAnsi="宋体" w:eastAsia="宋体" w:cs="宋体"/>
          <w:b/>
          <w:color w:val="auto"/>
          <w:kern w:val="0"/>
          <w:sz w:val="22"/>
          <w:szCs w:val="22"/>
          <w:highlight w:val="none"/>
        </w:rPr>
      </w:pPr>
    </w:p>
    <w:p>
      <w:pPr>
        <w:pStyle w:val="2"/>
        <w:spacing w:line="460" w:lineRule="exact"/>
        <w:ind w:left="0" w:firstLine="0" w:firstLineChars="0"/>
        <w:jc w:val="right"/>
        <w:rPr>
          <w:rFonts w:hint="eastAsia" w:ascii="宋体" w:hAnsi="宋体" w:eastAsia="宋体" w:cs="宋体"/>
          <w:b/>
          <w:color w:val="auto"/>
          <w:kern w:val="0"/>
          <w:sz w:val="22"/>
          <w:szCs w:val="22"/>
          <w:highlight w:val="none"/>
        </w:rPr>
      </w:pPr>
    </w:p>
    <w:p>
      <w:pPr>
        <w:pStyle w:val="2"/>
        <w:spacing w:line="460" w:lineRule="exact"/>
        <w:ind w:left="0" w:firstLine="0" w:firstLineChars="0"/>
        <w:jc w:val="right"/>
        <w:rPr>
          <w:rFonts w:hint="eastAsia" w:ascii="宋体" w:hAnsi="宋体" w:eastAsia="宋体" w:cs="宋体"/>
          <w:b/>
          <w:bCs/>
          <w:color w:val="auto"/>
          <w:sz w:val="22"/>
          <w:szCs w:val="22"/>
          <w:highlight w:val="none"/>
        </w:rPr>
      </w:pPr>
      <w:r>
        <w:rPr>
          <w:rFonts w:hint="eastAsia" w:ascii="宋体" w:hAnsi="宋体" w:eastAsia="宋体" w:cs="宋体"/>
          <w:b/>
          <w:color w:val="auto"/>
          <w:kern w:val="0"/>
          <w:sz w:val="22"/>
          <w:szCs w:val="22"/>
          <w:highlight w:val="none"/>
        </w:rPr>
        <w:t>日期:</w:t>
      </w:r>
      <w:r>
        <w:rPr>
          <w:rFonts w:hint="eastAsia" w:ascii="宋体" w:hAnsi="宋体" w:cs="宋体"/>
          <w:b/>
          <w:color w:val="auto"/>
          <w:kern w:val="0"/>
          <w:sz w:val="22"/>
          <w:szCs w:val="22"/>
          <w:highlight w:val="none"/>
          <w:lang w:eastAsia="zh-CN"/>
        </w:rPr>
        <w:t>2022</w:t>
      </w:r>
      <w:r>
        <w:rPr>
          <w:rFonts w:hint="eastAsia" w:ascii="宋体" w:hAnsi="宋体" w:eastAsia="宋体" w:cs="宋体"/>
          <w:b/>
          <w:color w:val="auto"/>
          <w:kern w:val="0"/>
          <w:sz w:val="22"/>
          <w:szCs w:val="22"/>
          <w:highlight w:val="none"/>
        </w:rPr>
        <w:t>年    月    日</w:t>
      </w:r>
    </w:p>
    <w:p>
      <w:pPr>
        <w:rPr>
          <w:rFonts w:hint="eastAsia" w:ascii="宋体" w:hAnsi="宋体" w:eastAsia="宋体" w:cs="宋体"/>
          <w:b/>
          <w:bCs/>
          <w:color w:val="auto"/>
          <w:sz w:val="22"/>
          <w:szCs w:val="22"/>
          <w:highlight w:val="none"/>
        </w:rPr>
      </w:pPr>
    </w:p>
    <w:p>
      <w:pPr>
        <w:outlineLvl w:val="1"/>
        <w:rPr>
          <w:rFonts w:hint="eastAsia" w:ascii="宋体" w:hAnsi="宋体" w:eastAsia="宋体" w:cs="宋体"/>
          <w:b/>
          <w:bCs/>
          <w:color w:val="auto"/>
          <w:sz w:val="22"/>
          <w:szCs w:val="22"/>
          <w:highlight w:val="none"/>
        </w:rPr>
      </w:pPr>
      <w:bookmarkStart w:id="66" w:name="_Toc31356"/>
      <w:bookmarkStart w:id="67" w:name="_Toc16516"/>
      <w:r>
        <w:rPr>
          <w:rFonts w:hint="eastAsia" w:ascii="宋体" w:hAnsi="宋体" w:eastAsia="宋体" w:cs="宋体"/>
          <w:b/>
          <w:bCs/>
          <w:color w:val="auto"/>
          <w:sz w:val="22"/>
          <w:szCs w:val="22"/>
          <w:highlight w:val="none"/>
        </w:rPr>
        <w:t>附件三</w:t>
      </w:r>
      <w:bookmarkEnd w:id="66"/>
      <w:bookmarkEnd w:id="67"/>
    </w:p>
    <w:p>
      <w:pPr>
        <w:spacing w:line="460" w:lineRule="exact"/>
        <w:jc w:val="center"/>
        <w:outlineLvl w:val="2"/>
        <w:rPr>
          <w:rFonts w:hint="eastAsia" w:ascii="宋体" w:hAnsi="宋体" w:eastAsia="宋体" w:cs="宋体"/>
          <w:b/>
          <w:bCs/>
          <w:color w:val="auto"/>
          <w:sz w:val="28"/>
          <w:szCs w:val="28"/>
          <w:highlight w:val="none"/>
          <w:lang w:val="zh-CN"/>
        </w:rPr>
      </w:pPr>
      <w:bookmarkStart w:id="68" w:name="_Toc13639"/>
      <w:bookmarkStart w:id="69" w:name="_Toc29102"/>
      <w:r>
        <w:rPr>
          <w:rFonts w:hint="eastAsia" w:ascii="宋体" w:hAnsi="宋体" w:eastAsia="宋体" w:cs="宋体"/>
          <w:b/>
          <w:bCs/>
          <w:color w:val="auto"/>
          <w:sz w:val="28"/>
          <w:szCs w:val="28"/>
          <w:highlight w:val="none"/>
          <w:lang w:val="zh-CN"/>
        </w:rPr>
        <w:t>商务技术文件</w:t>
      </w:r>
      <w:bookmarkEnd w:id="68"/>
      <w:bookmarkEnd w:id="69"/>
    </w:p>
    <w:p>
      <w:pPr>
        <w:spacing w:line="380" w:lineRule="exact"/>
        <w:jc w:val="center"/>
        <w:outlineLvl w:val="3"/>
        <w:rPr>
          <w:rFonts w:hint="eastAsia" w:ascii="宋体" w:hAnsi="宋体" w:eastAsia="宋体" w:cs="宋体"/>
          <w:b/>
          <w:color w:val="auto"/>
          <w:sz w:val="22"/>
          <w:szCs w:val="22"/>
          <w:highlight w:val="none"/>
        </w:rPr>
      </w:pPr>
      <w:r>
        <w:rPr>
          <w:rFonts w:hint="eastAsia" w:ascii="宋体" w:hAnsi="宋体" w:eastAsia="宋体" w:cs="宋体"/>
          <w:b/>
          <w:color w:val="auto"/>
          <w:sz w:val="24"/>
          <w:highlight w:val="none"/>
        </w:rPr>
        <w:t>1、法定代表人授权书</w:t>
      </w:r>
    </w:p>
    <w:p>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w:t>
      </w:r>
    </w:p>
    <w:p>
      <w:pPr>
        <w:spacing w:line="460" w:lineRule="exact"/>
        <w:rPr>
          <w:rFonts w:hint="eastAsia" w:ascii="宋体" w:hAnsi="宋体" w:eastAsia="宋体" w:cs="宋体"/>
          <w:color w:val="auto"/>
          <w:sz w:val="22"/>
          <w:szCs w:val="22"/>
          <w:highlight w:val="none"/>
          <w:u w:val="single"/>
        </w:rPr>
      </w:pPr>
    </w:p>
    <w:p>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pPr>
        <w:spacing w:line="460" w:lineRule="exact"/>
        <w:ind w:firstLine="2955"/>
        <w:rPr>
          <w:rFonts w:hint="eastAsia" w:ascii="宋体" w:hAnsi="宋体" w:eastAsia="宋体" w:cs="宋体"/>
          <w:color w:val="auto"/>
          <w:sz w:val="22"/>
          <w:szCs w:val="22"/>
          <w:highlight w:val="none"/>
        </w:rPr>
      </w:pP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投标人全称（公章）：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pPr>
        <w:spacing w:line="380" w:lineRule="exact"/>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outlineLvl w:val="3"/>
        <w:rPr>
          <w:rFonts w:hint="eastAsia" w:ascii="宋体" w:hAnsi="宋体" w:eastAsia="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pPr>
        <w:spacing w:line="380" w:lineRule="exact"/>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2、投标人情况表</w:t>
      </w:r>
    </w:p>
    <w:p>
      <w:pPr>
        <w:tabs>
          <w:tab w:val="left" w:pos="780"/>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主管部门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企业负责人</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企业性质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单位简介</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及机构</w:t>
            </w:r>
          </w:p>
        </w:tc>
        <w:tc>
          <w:tcPr>
            <w:tcW w:w="6507" w:type="dxa"/>
            <w:gridSpan w:val="6"/>
            <w:vAlign w:val="center"/>
          </w:tcPr>
          <w:p>
            <w:pPr>
              <w:spacing w:line="480" w:lineRule="exact"/>
              <w:jc w:val="center"/>
              <w:rPr>
                <w:rFonts w:hint="eastAsia" w:ascii="宋体" w:hAnsi="宋体" w:eastAsia="宋体" w:cs="宋体"/>
                <w:color w:val="auto"/>
                <w:sz w:val="22"/>
                <w:szCs w:val="22"/>
                <w:highlight w:val="none"/>
              </w:rPr>
            </w:pP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单位优势</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及特长</w:t>
            </w:r>
          </w:p>
        </w:tc>
        <w:tc>
          <w:tcPr>
            <w:tcW w:w="5566" w:type="dxa"/>
            <w:gridSpan w:val="5"/>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单位概况</w:t>
            </w: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职工总数</w:t>
            </w:r>
          </w:p>
        </w:tc>
        <w:tc>
          <w:tcPr>
            <w:tcW w:w="1689" w:type="dxa"/>
            <w:vMerge w:val="restart"/>
          </w:tcPr>
          <w:p>
            <w:pPr>
              <w:spacing w:line="480" w:lineRule="exact"/>
              <w:ind w:firstLine="1540" w:firstLineChars="700"/>
              <w:rPr>
                <w:rFonts w:hint="eastAsia" w:ascii="宋体" w:hAnsi="宋体" w:eastAsia="宋体" w:cs="宋体"/>
                <w:color w:val="auto"/>
                <w:sz w:val="22"/>
                <w:szCs w:val="22"/>
                <w:highlight w:val="none"/>
              </w:rPr>
            </w:pPr>
          </w:p>
        </w:tc>
        <w:tc>
          <w:tcPr>
            <w:tcW w:w="3703" w:type="dxa"/>
            <w:gridSpan w:val="4"/>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各人员构成情况</w:t>
            </w:r>
          </w:p>
        </w:tc>
        <w:tc>
          <w:tcPr>
            <w:tcW w:w="1488"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上一年主要  经济指标</w:t>
            </w: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指标名称</w:t>
            </w:r>
          </w:p>
        </w:tc>
        <w:tc>
          <w:tcPr>
            <w:tcW w:w="1488"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实际完成</w:t>
            </w:r>
          </w:p>
        </w:tc>
        <w:tc>
          <w:tcPr>
            <w:tcW w:w="1106"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3703" w:type="dxa"/>
            <w:gridSpan w:val="4"/>
            <w:vMerge w:val="continue"/>
          </w:tcPr>
          <w:p>
            <w:pPr>
              <w:spacing w:line="480" w:lineRule="exact"/>
              <w:rPr>
                <w:rFonts w:hint="eastAsia" w:ascii="宋体" w:hAnsi="宋体" w:eastAsia="宋体" w:cs="宋体"/>
                <w:color w:val="auto"/>
                <w:sz w:val="22"/>
                <w:szCs w:val="22"/>
                <w:highlight w:val="none"/>
              </w:rPr>
            </w:pP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流动资金</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万元 </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1487" w:type="dxa"/>
            <w:gridSpan w:val="2"/>
            <w:vAlign w:val="center"/>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自有资金</w:t>
            </w: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115"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689"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72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487" w:type="dxa"/>
            <w:gridSpan w:val="2"/>
            <w:tcBorders>
              <w:bottom w:val="single" w:color="auto" w:sz="4" w:space="0"/>
            </w:tcBorders>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银行贷款</w:t>
            </w:r>
          </w:p>
        </w:tc>
        <w:tc>
          <w:tcPr>
            <w:tcW w:w="1488" w:type="dxa"/>
            <w:tcBorders>
              <w:bottom w:val="single" w:color="auto" w:sz="4" w:space="0"/>
            </w:tcBorders>
          </w:tcPr>
          <w:p>
            <w:pPr>
              <w:spacing w:line="4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502" w:type="dxa"/>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主要业绩</w:t>
            </w:r>
          </w:p>
        </w:tc>
        <w:tc>
          <w:tcPr>
            <w:tcW w:w="4064" w:type="dxa"/>
            <w:gridSpan w:val="4"/>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固定资产</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原值   万元</w:t>
            </w:r>
          </w:p>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净值   万元</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资金性质</w:t>
            </w: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728" w:type="dxa"/>
            <w:vMerge w:val="continue"/>
          </w:tcPr>
          <w:p>
            <w:pPr>
              <w:spacing w:line="480" w:lineRule="exact"/>
              <w:rPr>
                <w:rFonts w:hint="eastAsia" w:ascii="宋体" w:hAnsi="宋体" w:eastAsia="宋体" w:cs="宋体"/>
                <w:color w:val="auto"/>
                <w:sz w:val="22"/>
                <w:szCs w:val="22"/>
                <w:highlight w:val="none"/>
              </w:rPr>
            </w:pP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sectPr>
          <w:pgSz w:w="16838" w:h="11906" w:orient="landscape"/>
          <w:pgMar w:top="1134" w:right="1134" w:bottom="1134" w:left="1134" w:header="850" w:footer="992" w:gutter="0"/>
          <w:cols w:space="720" w:num="1"/>
          <w:docGrid w:type="lines" w:linePitch="321" w:charSpace="0"/>
        </w:sectPr>
      </w:pPr>
    </w:p>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zh-CN"/>
        </w:rPr>
        <w:t>偏离表（</w:t>
      </w:r>
      <w:r>
        <w:rPr>
          <w:rFonts w:hint="eastAsia" w:ascii="宋体" w:hAnsi="宋体" w:eastAsia="宋体" w:cs="宋体"/>
          <w:b/>
          <w:color w:val="auto"/>
          <w:sz w:val="24"/>
          <w:highlight w:val="none"/>
        </w:rPr>
        <w:t>商务、技术偏离</w:t>
      </w:r>
      <w:r>
        <w:rPr>
          <w:rFonts w:hint="eastAsia" w:ascii="宋体" w:hAnsi="宋体" w:eastAsia="宋体" w:cs="宋体"/>
          <w:b/>
          <w:color w:val="auto"/>
          <w:sz w:val="24"/>
          <w:highlight w:val="none"/>
          <w:lang w:val="zh-CN"/>
        </w:rPr>
        <w:t>）</w:t>
      </w:r>
    </w:p>
    <w:p>
      <w:pPr>
        <w:spacing w:line="560" w:lineRule="exact"/>
        <w:ind w:firstLine="433" w:firstLineChars="196"/>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544"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843"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bl>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Cs/>
          <w:color w:val="auto"/>
          <w:sz w:val="22"/>
          <w:szCs w:val="22"/>
          <w:highlight w:val="none"/>
        </w:rPr>
      </w:pPr>
    </w:p>
    <w:p>
      <w:pPr>
        <w:rPr>
          <w:rFonts w:hint="eastAsia" w:ascii="宋体" w:hAnsi="宋体" w:eastAsia="宋体" w:cs="宋体"/>
          <w:bCs/>
          <w:color w:val="auto"/>
          <w:sz w:val="22"/>
          <w:szCs w:val="22"/>
          <w:highlight w:val="none"/>
        </w:rPr>
      </w:pPr>
    </w:p>
    <w:p>
      <w:pPr>
        <w:rPr>
          <w:rFonts w:hint="eastAsia" w:ascii="宋体" w:hAnsi="宋体" w:eastAsia="宋体" w:cs="宋体"/>
          <w:b/>
          <w:color w:val="auto"/>
          <w:sz w:val="24"/>
          <w:highlight w:val="none"/>
        </w:rPr>
      </w:pPr>
      <w:bookmarkStart w:id="70" w:name="_Toc415152386"/>
      <w:r>
        <w:rPr>
          <w:rFonts w:hint="eastAsia" w:ascii="宋体" w:hAnsi="宋体" w:eastAsia="宋体" w:cs="宋体"/>
          <w:b/>
          <w:color w:val="auto"/>
          <w:sz w:val="24"/>
          <w:highlight w:val="none"/>
        </w:rPr>
        <w:br w:type="page"/>
      </w:r>
    </w:p>
    <w:bookmarkEnd w:id="70"/>
    <w:p>
      <w:pPr>
        <w:spacing w:line="560" w:lineRule="exact"/>
        <w:jc w:val="center"/>
        <w:outlineLvl w:val="3"/>
        <w:rPr>
          <w:rFonts w:hint="eastAsia" w:ascii="新宋体" w:hAnsi="新宋体" w:eastAsia="新宋体" w:cs="新宋体"/>
          <w:b/>
          <w:bCs/>
          <w:color w:val="000000"/>
          <w:sz w:val="28"/>
          <w:szCs w:val="28"/>
          <w:highlight w:val="none"/>
        </w:rPr>
      </w:pPr>
      <w:r>
        <w:rPr>
          <w:rFonts w:hint="eastAsia" w:ascii="宋体" w:hAnsi="宋体" w:eastAsia="宋体" w:cs="宋体"/>
          <w:b/>
          <w:color w:val="auto"/>
          <w:sz w:val="24"/>
          <w:highlight w:val="none"/>
        </w:rPr>
        <w:br w:type="page"/>
      </w:r>
      <w:r>
        <w:rPr>
          <w:rFonts w:hint="eastAsia" w:ascii="新宋体" w:hAnsi="新宋体" w:eastAsia="新宋体" w:cs="新宋体"/>
          <w:b/>
          <w:bCs/>
          <w:color w:val="000000"/>
          <w:sz w:val="28"/>
          <w:szCs w:val="28"/>
          <w:highlight w:val="none"/>
        </w:rPr>
        <w:t>4、详细供货清单说明一览表</w:t>
      </w:r>
    </w:p>
    <w:p>
      <w:pPr>
        <w:rPr>
          <w:rFonts w:hint="eastAsia" w:ascii="新宋体" w:hAnsi="新宋体" w:eastAsia="新宋体" w:cs="新宋体"/>
          <w:b/>
          <w:bCs/>
          <w:color w:val="000000"/>
          <w:sz w:val="22"/>
          <w:szCs w:val="22"/>
          <w:highlight w:val="none"/>
        </w:rPr>
      </w:pPr>
      <w:r>
        <w:rPr>
          <w:rFonts w:hint="eastAsia" w:ascii="新宋体" w:hAnsi="新宋体" w:eastAsia="新宋体" w:cs="新宋体"/>
          <w:b/>
          <w:color w:val="000000"/>
          <w:sz w:val="22"/>
          <w:szCs w:val="22"/>
          <w:highlight w:val="none"/>
        </w:rPr>
        <w:t>项目名称：                                                       项目编号：</w:t>
      </w:r>
    </w:p>
    <w:tbl>
      <w:tblPr>
        <w:tblStyle w:val="53"/>
        <w:tblpPr w:leftFromText="180" w:rightFromText="180" w:vertAnchor="text" w:horzAnchor="margin"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46"/>
        <w:gridCol w:w="1812"/>
        <w:gridCol w:w="1825"/>
        <w:gridCol w:w="1975"/>
        <w:gridCol w:w="1009"/>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663" w:type="dxa"/>
            <w:shd w:val="clear" w:color="auto" w:fill="FFFFFF"/>
            <w:noWrap w:val="0"/>
            <w:vAlign w:val="center"/>
          </w:tcPr>
          <w:p>
            <w:pPr>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序号</w:t>
            </w:r>
          </w:p>
        </w:tc>
        <w:tc>
          <w:tcPr>
            <w:tcW w:w="1746" w:type="dxa"/>
            <w:shd w:val="clear" w:color="auto" w:fill="FFFFFF"/>
            <w:noWrap w:val="0"/>
            <w:vAlign w:val="center"/>
          </w:tcPr>
          <w:p>
            <w:pPr>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设备名称/规格型号（与注册证一致）</w:t>
            </w:r>
          </w:p>
        </w:tc>
        <w:tc>
          <w:tcPr>
            <w:tcW w:w="1812" w:type="dxa"/>
            <w:shd w:val="clear" w:color="auto" w:fill="FFFFFF"/>
            <w:noWrap w:val="0"/>
            <w:vAlign w:val="center"/>
          </w:tcPr>
          <w:p>
            <w:pPr>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货物注册证名称</w:t>
            </w:r>
          </w:p>
        </w:tc>
        <w:tc>
          <w:tcPr>
            <w:tcW w:w="1825" w:type="dxa"/>
            <w:shd w:val="clear" w:color="auto" w:fill="FFFFFF"/>
            <w:noWrap w:val="0"/>
            <w:vAlign w:val="center"/>
          </w:tcPr>
          <w:p>
            <w:pPr>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规格及技术参数</w:t>
            </w:r>
          </w:p>
        </w:tc>
        <w:tc>
          <w:tcPr>
            <w:tcW w:w="1975" w:type="dxa"/>
            <w:shd w:val="clear" w:color="auto" w:fill="FFFFFF"/>
            <w:noWrap w:val="0"/>
            <w:vAlign w:val="center"/>
          </w:tcPr>
          <w:p>
            <w:pPr>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原产地</w:t>
            </w:r>
          </w:p>
          <w:p>
            <w:pPr>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（生产厂家/品牌）</w:t>
            </w:r>
          </w:p>
        </w:tc>
        <w:tc>
          <w:tcPr>
            <w:tcW w:w="1009" w:type="dxa"/>
            <w:shd w:val="clear" w:color="auto" w:fill="FFFFFF"/>
            <w:noWrap w:val="0"/>
            <w:vAlign w:val="center"/>
          </w:tcPr>
          <w:p>
            <w:pPr>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数量</w:t>
            </w:r>
          </w:p>
        </w:tc>
        <w:tc>
          <w:tcPr>
            <w:tcW w:w="976" w:type="dxa"/>
            <w:shd w:val="clear" w:color="auto" w:fill="FFFFFF"/>
            <w:noWrap w:val="0"/>
            <w:vAlign w:val="center"/>
          </w:tcPr>
          <w:p>
            <w:pPr>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812" w:type="dxa"/>
            <w:noWrap w:val="0"/>
            <w:vAlign w:val="top"/>
          </w:tcPr>
          <w:p>
            <w:pPr>
              <w:spacing w:line="360" w:lineRule="auto"/>
              <w:jc w:val="center"/>
              <w:rPr>
                <w:rFonts w:hint="eastAsia" w:ascii="新宋体" w:hAnsi="新宋体" w:eastAsia="新宋体" w:cs="新宋体"/>
                <w:color w:val="000000"/>
                <w:sz w:val="22"/>
                <w:szCs w:val="22"/>
                <w:highlight w:val="none"/>
              </w:rPr>
            </w:pPr>
          </w:p>
        </w:tc>
        <w:tc>
          <w:tcPr>
            <w:tcW w:w="1825" w:type="dxa"/>
            <w:noWrap w:val="0"/>
            <w:vAlign w:val="top"/>
          </w:tcPr>
          <w:p>
            <w:pPr>
              <w:spacing w:line="360" w:lineRule="auto"/>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top"/>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top"/>
          </w:tcPr>
          <w:p>
            <w:pPr>
              <w:spacing w:line="360" w:lineRule="auto"/>
              <w:rPr>
                <w:rFonts w:hint="eastAsia" w:ascii="新宋体" w:hAnsi="新宋体" w:eastAsia="新宋体" w:cs="新宋体"/>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812" w:type="dxa"/>
            <w:noWrap w:val="0"/>
            <w:vAlign w:val="top"/>
          </w:tcPr>
          <w:p>
            <w:pPr>
              <w:spacing w:line="360" w:lineRule="auto"/>
              <w:jc w:val="center"/>
              <w:rPr>
                <w:rFonts w:hint="eastAsia" w:ascii="新宋体" w:hAnsi="新宋体" w:eastAsia="新宋体" w:cs="新宋体"/>
                <w:color w:val="000000"/>
                <w:sz w:val="22"/>
                <w:szCs w:val="22"/>
                <w:highlight w:val="none"/>
              </w:rPr>
            </w:pPr>
          </w:p>
        </w:tc>
        <w:tc>
          <w:tcPr>
            <w:tcW w:w="1825" w:type="dxa"/>
            <w:noWrap w:val="0"/>
            <w:vAlign w:val="top"/>
          </w:tcPr>
          <w:p>
            <w:pPr>
              <w:spacing w:line="360" w:lineRule="auto"/>
              <w:rPr>
                <w:rFonts w:hint="eastAsia" w:ascii="新宋体" w:hAnsi="新宋体" w:eastAsia="新宋体" w:cs="新宋体"/>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812" w:type="dxa"/>
            <w:noWrap w:val="0"/>
            <w:vAlign w:val="top"/>
          </w:tcPr>
          <w:p>
            <w:pPr>
              <w:spacing w:line="360" w:lineRule="auto"/>
              <w:jc w:val="center"/>
              <w:rPr>
                <w:rFonts w:hint="eastAsia" w:ascii="新宋体" w:hAnsi="新宋体" w:eastAsia="新宋体" w:cs="新宋体"/>
                <w:color w:val="000000"/>
                <w:sz w:val="22"/>
                <w:szCs w:val="22"/>
                <w:highlight w:val="none"/>
              </w:rPr>
            </w:pPr>
          </w:p>
        </w:tc>
        <w:tc>
          <w:tcPr>
            <w:tcW w:w="1825" w:type="dxa"/>
            <w:noWrap w:val="0"/>
            <w:vAlign w:val="top"/>
          </w:tcPr>
          <w:p>
            <w:pPr>
              <w:spacing w:line="360" w:lineRule="auto"/>
              <w:rPr>
                <w:rFonts w:hint="eastAsia" w:ascii="新宋体" w:hAnsi="新宋体" w:eastAsia="新宋体" w:cs="新宋体"/>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bCs/>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746" w:type="dxa"/>
            <w:noWrap w:val="0"/>
            <w:vAlign w:val="top"/>
          </w:tcPr>
          <w:p>
            <w:pPr>
              <w:spacing w:line="360" w:lineRule="auto"/>
              <w:rPr>
                <w:rFonts w:hint="eastAsia" w:ascii="新宋体" w:hAnsi="新宋体" w:eastAsia="新宋体" w:cs="新宋体"/>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bl>
    <w:p>
      <w:pPr>
        <w:pStyle w:val="29"/>
        <w:spacing w:line="400" w:lineRule="atLeast"/>
        <w:rPr>
          <w:rFonts w:hint="eastAsia" w:ascii="新宋体" w:hAnsi="新宋体" w:eastAsia="新宋体" w:cs="新宋体"/>
          <w:color w:val="000000"/>
          <w:sz w:val="22"/>
          <w:szCs w:val="22"/>
          <w:highlight w:val="none"/>
        </w:rPr>
      </w:pPr>
    </w:p>
    <w:p>
      <w:pPr>
        <w:pStyle w:val="29"/>
        <w:spacing w:line="400" w:lineRule="atLeast"/>
        <w:ind w:left="5360" w:leftChars="2500" w:hanging="110" w:hangingChars="50"/>
        <w:rPr>
          <w:rFonts w:hint="eastAsia" w:ascii="新宋体" w:hAnsi="新宋体" w:eastAsia="新宋体" w:cs="新宋体"/>
          <w:b w:val="0"/>
          <w:bCs/>
          <w:color w:val="000000"/>
          <w:sz w:val="22"/>
          <w:szCs w:val="22"/>
          <w:highlight w:val="none"/>
        </w:rPr>
      </w:pPr>
      <w:r>
        <w:rPr>
          <w:rFonts w:hint="eastAsia" w:ascii="新宋体" w:hAnsi="新宋体" w:eastAsia="新宋体" w:cs="新宋体"/>
          <w:b w:val="0"/>
          <w:bCs/>
          <w:color w:val="000000"/>
          <w:sz w:val="22"/>
          <w:szCs w:val="22"/>
          <w:highlight w:val="none"/>
        </w:rPr>
        <w:t>投标人全称（盖章）：</w:t>
      </w:r>
    </w:p>
    <w:p>
      <w:pPr>
        <w:spacing w:line="400" w:lineRule="exact"/>
        <w:rPr>
          <w:rFonts w:hint="eastAsia" w:ascii="新宋体" w:hAnsi="新宋体" w:eastAsia="新宋体" w:cs="新宋体"/>
          <w:bCs/>
          <w:color w:val="000000"/>
          <w:sz w:val="22"/>
          <w:szCs w:val="22"/>
          <w:highlight w:val="none"/>
        </w:rPr>
      </w:pPr>
      <w:r>
        <w:rPr>
          <w:rFonts w:hint="eastAsia" w:ascii="新宋体" w:hAnsi="新宋体" w:eastAsia="新宋体" w:cs="新宋体"/>
          <w:bCs/>
          <w:color w:val="000000"/>
          <w:sz w:val="22"/>
          <w:szCs w:val="22"/>
          <w:highlight w:val="none"/>
        </w:rPr>
        <w:t xml:space="preserve">                                                投标人代表（签字）：</w:t>
      </w:r>
    </w:p>
    <w:p>
      <w:pPr>
        <w:spacing w:line="400" w:lineRule="exact"/>
        <w:rPr>
          <w:rFonts w:hint="eastAsia" w:ascii="新宋体" w:hAnsi="新宋体" w:eastAsia="新宋体" w:cs="新宋体"/>
          <w:bCs/>
          <w:color w:val="000000"/>
          <w:sz w:val="22"/>
          <w:szCs w:val="22"/>
          <w:highlight w:val="none"/>
        </w:rPr>
      </w:pPr>
      <w:r>
        <w:rPr>
          <w:rFonts w:hint="eastAsia" w:ascii="新宋体" w:hAnsi="新宋体" w:eastAsia="新宋体" w:cs="新宋体"/>
          <w:bCs/>
          <w:color w:val="000000"/>
          <w:sz w:val="22"/>
          <w:szCs w:val="22"/>
          <w:highlight w:val="none"/>
        </w:rPr>
        <w:t xml:space="preserve">                                                日   期：</w:t>
      </w:r>
    </w:p>
    <w:p>
      <w:pPr>
        <w:keepNext/>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keepNext/>
        <w:rPr>
          <w:rFonts w:hint="eastAsia"/>
          <w:color w:val="000000"/>
          <w:highlight w:val="none"/>
        </w:rPr>
      </w:pPr>
    </w:p>
    <w:p>
      <w:pPr>
        <w:spacing w:line="400" w:lineRule="exact"/>
        <w:jc w:val="center"/>
        <w:outlineLvl w:val="3"/>
        <w:rPr>
          <w:rFonts w:hint="eastAsia" w:ascii="新宋体" w:hAnsi="新宋体" w:eastAsia="新宋体" w:cs="新宋体"/>
          <w:b/>
          <w:bCs/>
          <w:color w:val="000000"/>
          <w:sz w:val="28"/>
          <w:szCs w:val="28"/>
          <w:highlight w:val="none"/>
        </w:rPr>
      </w:pPr>
      <w:r>
        <w:rPr>
          <w:rFonts w:hint="eastAsia" w:ascii="新宋体" w:hAnsi="新宋体" w:eastAsia="新宋体" w:cs="新宋体"/>
          <w:b/>
          <w:bCs/>
          <w:color w:val="000000"/>
          <w:sz w:val="28"/>
          <w:szCs w:val="28"/>
          <w:highlight w:val="none"/>
        </w:rPr>
        <w:br w:type="page"/>
      </w:r>
      <w:r>
        <w:rPr>
          <w:rFonts w:hint="eastAsia" w:ascii="新宋体" w:hAnsi="新宋体" w:eastAsia="新宋体" w:cs="新宋体"/>
          <w:b/>
          <w:bCs/>
          <w:color w:val="000000"/>
          <w:sz w:val="28"/>
          <w:szCs w:val="28"/>
          <w:highlight w:val="none"/>
        </w:rPr>
        <w:t>5、备品、易损件、备件、专用工具清单</w:t>
      </w:r>
    </w:p>
    <w:p>
      <w:pPr>
        <w:spacing w:line="400" w:lineRule="exact"/>
        <w:ind w:left="139" w:leftChars="66" w:firstLine="166" w:firstLineChars="75"/>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noWrap w:val="0"/>
            <w:vAlign w:val="center"/>
          </w:tcPr>
          <w:p>
            <w:pPr>
              <w:spacing w:line="400" w:lineRule="exact"/>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序号</w:t>
            </w:r>
          </w:p>
        </w:tc>
        <w:tc>
          <w:tcPr>
            <w:tcW w:w="1240" w:type="dxa"/>
            <w:shd w:val="clear" w:color="auto" w:fill="FFFFFF"/>
            <w:noWrap w:val="0"/>
            <w:vAlign w:val="center"/>
          </w:tcPr>
          <w:p>
            <w:pPr>
              <w:spacing w:line="400" w:lineRule="exact"/>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名  称</w:t>
            </w:r>
          </w:p>
        </w:tc>
        <w:tc>
          <w:tcPr>
            <w:tcW w:w="1404" w:type="dxa"/>
            <w:shd w:val="clear" w:color="auto" w:fill="FFFFFF"/>
            <w:noWrap w:val="0"/>
            <w:vAlign w:val="center"/>
          </w:tcPr>
          <w:p>
            <w:pPr>
              <w:spacing w:line="400" w:lineRule="exact"/>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规格型号</w:t>
            </w:r>
          </w:p>
        </w:tc>
        <w:tc>
          <w:tcPr>
            <w:tcW w:w="796" w:type="dxa"/>
            <w:shd w:val="clear" w:color="auto" w:fill="FFFFFF"/>
            <w:noWrap w:val="0"/>
            <w:vAlign w:val="center"/>
          </w:tcPr>
          <w:p>
            <w:pPr>
              <w:spacing w:line="400" w:lineRule="exact"/>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数量</w:t>
            </w:r>
          </w:p>
        </w:tc>
        <w:tc>
          <w:tcPr>
            <w:tcW w:w="3704" w:type="dxa"/>
            <w:shd w:val="clear" w:color="auto" w:fill="FFFFFF"/>
            <w:noWrap w:val="0"/>
            <w:vAlign w:val="center"/>
          </w:tcPr>
          <w:p>
            <w:pPr>
              <w:spacing w:line="400" w:lineRule="exact"/>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原产地/制造商</w:t>
            </w:r>
          </w:p>
        </w:tc>
        <w:tc>
          <w:tcPr>
            <w:tcW w:w="1568" w:type="dxa"/>
            <w:shd w:val="clear" w:color="auto" w:fill="FFFFFF"/>
            <w:noWrap w:val="0"/>
            <w:vAlign w:val="center"/>
          </w:tcPr>
          <w:p>
            <w:pPr>
              <w:spacing w:line="400" w:lineRule="exact"/>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bl>
    <w:p>
      <w:pPr>
        <w:spacing w:line="400" w:lineRule="exact"/>
        <w:ind w:firstLine="4620" w:firstLineChars="2100"/>
        <w:rPr>
          <w:rFonts w:hint="eastAsia" w:ascii="新宋体" w:hAnsi="新宋体" w:eastAsia="新宋体" w:cs="新宋体"/>
          <w:color w:val="000000"/>
          <w:sz w:val="22"/>
          <w:szCs w:val="22"/>
          <w:highlight w:val="none"/>
        </w:rPr>
      </w:pPr>
    </w:p>
    <w:p>
      <w:pPr>
        <w:spacing w:line="400" w:lineRule="exact"/>
        <w:ind w:firstLine="5280" w:firstLineChars="24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投标人全称（盖章）：</w:t>
      </w:r>
    </w:p>
    <w:p>
      <w:pPr>
        <w:spacing w:line="400" w:lineRule="exact"/>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 xml:space="preserve">                                                投标人代表（签字）：</w:t>
      </w:r>
    </w:p>
    <w:p>
      <w:pPr>
        <w:spacing w:line="380" w:lineRule="exact"/>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 xml:space="preserve">                                                日    期：</w:t>
      </w:r>
    </w:p>
    <w:p>
      <w:pPr>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400" w:lineRule="exact"/>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4、投标设备配套的合理性，技术指标的先进性</w:t>
      </w:r>
    </w:p>
    <w:p>
      <w:pPr>
        <w:spacing w:line="4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pStyle w:val="29"/>
        <w:spacing w:line="400" w:lineRule="atLeast"/>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p>
    <w:p>
      <w:pPr>
        <w:spacing w:line="400" w:lineRule="exact"/>
        <w:jc w:val="center"/>
        <w:outlineLvl w:val="3"/>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5、设备档次</w:t>
      </w:r>
    </w:p>
    <w:p>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tabs>
          <w:tab w:val="left" w:pos="360"/>
        </w:tabs>
        <w:spacing w:line="460" w:lineRule="exact"/>
        <w:ind w:firstLine="552" w:firstLineChars="250"/>
        <w:rPr>
          <w:rFonts w:hint="eastAsia" w:ascii="宋体" w:hAnsi="宋体" w:eastAsia="宋体" w:cs="宋体"/>
          <w:b/>
          <w:color w:val="auto"/>
          <w:sz w:val="22"/>
          <w:szCs w:val="22"/>
          <w:highlight w:val="none"/>
        </w:rPr>
      </w:pPr>
    </w:p>
    <w:p>
      <w:pPr>
        <w:spacing w:line="400" w:lineRule="exact"/>
        <w:ind w:firstLine="4620" w:firstLineChars="2100"/>
        <w:rPr>
          <w:rFonts w:hint="eastAsia" w:ascii="宋体" w:hAnsi="宋体" w:eastAsia="宋体" w:cs="宋体"/>
          <w:color w:val="auto"/>
          <w:sz w:val="22"/>
          <w:szCs w:val="22"/>
          <w:highlight w:val="none"/>
        </w:rPr>
      </w:pPr>
    </w:p>
    <w:p>
      <w:pPr>
        <w:spacing w:line="400" w:lineRule="exact"/>
        <w:ind w:firstLine="5280" w:firstLineChars="2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投标人代表（签字）：</w:t>
      </w:r>
    </w:p>
    <w:p>
      <w:pPr>
        <w:spacing w:line="380" w:lineRule="exact"/>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420" w:lineRule="exact"/>
        <w:rPr>
          <w:rFonts w:hint="eastAsia" w:ascii="宋体" w:hAnsi="宋体" w:eastAsia="宋体" w:cs="宋体"/>
          <w:b/>
          <w:color w:val="auto"/>
          <w:sz w:val="24"/>
          <w:highlight w:val="none"/>
        </w:rPr>
      </w:pPr>
    </w:p>
    <w:p>
      <w:pPr>
        <w:spacing w:line="400" w:lineRule="exact"/>
        <w:jc w:val="center"/>
        <w:outlineLvl w:val="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、耗材试剂配送服务方案</w:t>
      </w:r>
    </w:p>
    <w:p>
      <w:pPr>
        <w:spacing w:line="400" w:lineRule="exact"/>
        <w:jc w:val="center"/>
        <w:outlineLvl w:val="9"/>
        <w:rPr>
          <w:rFonts w:hint="eastAsia" w:ascii="宋体" w:hAnsi="宋体" w:eastAsia="宋体" w:cs="宋体"/>
          <w:b/>
          <w:color w:val="auto"/>
          <w:sz w:val="28"/>
          <w:szCs w:val="28"/>
          <w:highlight w:val="none"/>
          <w:lang w:val="zh-CN"/>
        </w:rPr>
      </w:pPr>
    </w:p>
    <w:p>
      <w:pPr>
        <w:spacing w:line="380" w:lineRule="exact"/>
        <w:rPr>
          <w:rFonts w:hint="eastAsia" w:ascii="宋体" w:hAnsi="宋体" w:eastAsia="宋体" w:cs="宋体"/>
          <w:color w:val="auto"/>
          <w:sz w:val="36"/>
          <w:szCs w:val="36"/>
          <w:highlight w:val="none"/>
        </w:rPr>
      </w:pPr>
      <w:r>
        <w:rPr>
          <w:rFonts w:hint="eastAsia" w:ascii="宋体" w:hAnsi="宋体" w:eastAsia="宋体" w:cs="宋体"/>
          <w:b/>
          <w:color w:val="auto"/>
          <w:sz w:val="22"/>
          <w:szCs w:val="22"/>
          <w:highlight w:val="none"/>
        </w:rPr>
        <w:t>项目名称：                                          项目编号：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8" w:hRule="atLeast"/>
        </w:trPr>
        <w:tc>
          <w:tcPr>
            <w:tcW w:w="10196" w:type="dxa"/>
            <w:vAlign w:val="center"/>
          </w:tcPr>
          <w:p>
            <w:pPr>
              <w:jc w:val="center"/>
              <w:rPr>
                <w:rFonts w:hint="eastAsia" w:ascii="宋体" w:hAnsi="宋体" w:eastAsia="宋体" w:cs="宋体"/>
                <w:b/>
                <w:color w:val="auto"/>
                <w:sz w:val="22"/>
                <w:szCs w:val="22"/>
                <w:highlight w:val="none"/>
              </w:rPr>
            </w:pPr>
          </w:p>
          <w:p>
            <w:pPr>
              <w:jc w:val="center"/>
              <w:rPr>
                <w:rFonts w:hint="eastAsia" w:ascii="宋体" w:hAnsi="宋体" w:eastAsia="宋体" w:cs="宋体"/>
                <w:b/>
                <w:color w:val="auto"/>
                <w:sz w:val="22"/>
                <w:szCs w:val="22"/>
                <w:highlight w:val="none"/>
              </w:rPr>
            </w:pPr>
          </w:p>
        </w:tc>
      </w:tr>
    </w:tbl>
    <w:p>
      <w:pPr>
        <w:spacing w:line="380" w:lineRule="exact"/>
        <w:rPr>
          <w:rFonts w:hint="eastAsia" w:ascii="宋体" w:hAnsi="宋体" w:eastAsia="宋体" w:cs="宋体"/>
          <w:color w:val="auto"/>
          <w:sz w:val="36"/>
          <w:szCs w:val="36"/>
          <w:highlight w:val="none"/>
        </w:rPr>
      </w:pPr>
    </w:p>
    <w:p>
      <w:pPr>
        <w:spacing w:line="380" w:lineRule="exact"/>
        <w:rPr>
          <w:rFonts w:hint="eastAsia" w:ascii="宋体" w:hAnsi="宋体" w:eastAsia="宋体" w:cs="宋体"/>
          <w:color w:val="auto"/>
          <w:sz w:val="36"/>
          <w:szCs w:val="36"/>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b/>
          <w:color w:val="auto"/>
          <w:sz w:val="36"/>
          <w:szCs w:val="36"/>
          <w:highlight w:val="none"/>
        </w:rPr>
      </w:pPr>
      <w:r>
        <w:rPr>
          <w:rFonts w:hint="eastAsia" w:ascii="宋体" w:hAnsi="宋体" w:eastAsia="宋体" w:cs="宋体"/>
          <w:color w:val="auto"/>
          <w:sz w:val="22"/>
          <w:szCs w:val="22"/>
          <w:highlight w:val="none"/>
        </w:rPr>
        <w:t xml:space="preserve">日  期：   </w:t>
      </w: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400" w:lineRule="exact"/>
        <w:jc w:val="center"/>
        <w:outlineLvl w:val="3"/>
        <w:rPr>
          <w:rFonts w:hint="eastAsia" w:ascii="宋体" w:hAnsi="宋体" w:eastAsia="宋体" w:cs="宋体"/>
          <w:b/>
          <w:color w:val="auto"/>
          <w:sz w:val="24"/>
          <w:highlight w:val="none"/>
        </w:rPr>
      </w:pPr>
      <w:r>
        <w:rPr>
          <w:rFonts w:hint="eastAsia" w:ascii="新宋体" w:hAnsi="新宋体" w:eastAsia="新宋体" w:cs="Times New Roman"/>
          <w:b/>
          <w:sz w:val="22"/>
          <w:szCs w:val="22"/>
          <w:lang w:val="en-US" w:eastAsia="zh-CN"/>
        </w:rPr>
        <w:t>7</w:t>
      </w:r>
      <w:r>
        <w:rPr>
          <w:rFonts w:hint="eastAsia" w:ascii="新宋体" w:hAnsi="新宋体" w:eastAsia="新宋体" w:cs="Times New Roman"/>
          <w:b/>
          <w:sz w:val="22"/>
          <w:szCs w:val="22"/>
        </w:rPr>
        <w:t>、运行应急方案</w:t>
      </w:r>
    </w:p>
    <w:p>
      <w:pPr>
        <w:spacing w:line="400" w:lineRule="exact"/>
        <w:jc w:val="center"/>
        <w:outlineLvl w:val="9"/>
        <w:rPr>
          <w:rFonts w:hint="eastAsia" w:ascii="宋体" w:hAnsi="宋体" w:eastAsia="宋体" w:cs="宋体"/>
          <w:b/>
          <w:color w:val="auto"/>
          <w:sz w:val="28"/>
          <w:szCs w:val="28"/>
          <w:highlight w:val="none"/>
          <w:lang w:val="zh-CN"/>
        </w:rPr>
      </w:pPr>
    </w:p>
    <w:p>
      <w:pPr>
        <w:spacing w:line="380" w:lineRule="exact"/>
        <w:rPr>
          <w:rFonts w:hint="eastAsia" w:ascii="宋体" w:hAnsi="宋体" w:eastAsia="宋体" w:cs="宋体"/>
          <w:color w:val="auto"/>
          <w:sz w:val="36"/>
          <w:szCs w:val="36"/>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32" w:hRule="atLeast"/>
          <w:jc w:val="center"/>
        </w:trPr>
        <w:tc>
          <w:tcPr>
            <w:tcW w:w="9242" w:type="dxa"/>
            <w:vAlign w:val="center"/>
          </w:tcPr>
          <w:p>
            <w:pPr>
              <w:jc w:val="center"/>
              <w:rPr>
                <w:rFonts w:hint="eastAsia" w:ascii="宋体" w:hAnsi="宋体" w:eastAsia="宋体" w:cs="宋体"/>
                <w:b/>
                <w:color w:val="auto"/>
                <w:szCs w:val="21"/>
                <w:highlight w:val="none"/>
              </w:rPr>
            </w:pPr>
          </w:p>
        </w:tc>
      </w:tr>
    </w:tbl>
    <w:p>
      <w:pPr>
        <w:spacing w:line="380" w:lineRule="exact"/>
        <w:rPr>
          <w:rFonts w:hint="eastAsia" w:ascii="宋体" w:hAnsi="宋体" w:eastAsia="宋体" w:cs="宋体"/>
          <w:color w:val="auto"/>
          <w:sz w:val="36"/>
          <w:szCs w:val="36"/>
          <w:highlight w:val="none"/>
        </w:rPr>
      </w:pPr>
    </w:p>
    <w:p>
      <w:pPr>
        <w:spacing w:line="380" w:lineRule="exact"/>
        <w:rPr>
          <w:rFonts w:hint="eastAsia" w:ascii="宋体" w:hAnsi="宋体" w:eastAsia="宋体" w:cs="宋体"/>
          <w:color w:val="auto"/>
          <w:sz w:val="36"/>
          <w:szCs w:val="36"/>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400" w:lineRule="exact"/>
        <w:jc w:val="center"/>
        <w:outlineLvl w:val="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8</w:t>
      </w:r>
      <w:r>
        <w:rPr>
          <w:rFonts w:hint="eastAsia" w:ascii="宋体" w:hAnsi="宋体" w:eastAsia="宋体" w:cs="宋体"/>
          <w:b/>
          <w:color w:val="auto"/>
          <w:sz w:val="24"/>
          <w:highlight w:val="none"/>
        </w:rPr>
        <w:t>、市场占有率</w:t>
      </w:r>
    </w:p>
    <w:p>
      <w:pPr>
        <w:spacing w:line="400" w:lineRule="exact"/>
        <w:jc w:val="center"/>
        <w:outlineLvl w:val="9"/>
        <w:rPr>
          <w:rFonts w:hint="eastAsia" w:ascii="宋体" w:hAnsi="宋体" w:eastAsia="宋体" w:cs="宋体"/>
          <w:b/>
          <w:color w:val="auto"/>
          <w:sz w:val="24"/>
          <w:highlight w:val="none"/>
          <w:lang w:val="zh-CN"/>
        </w:rPr>
      </w:pPr>
    </w:p>
    <w:p>
      <w:pP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pStyle w:val="29"/>
        <w:tabs>
          <w:tab w:val="left" w:pos="0"/>
          <w:tab w:val="left" w:pos="540"/>
        </w:tabs>
        <w:spacing w:line="300" w:lineRule="auto"/>
        <w:ind w:firstLine="221" w:firstLineChars="100"/>
        <w:rPr>
          <w:rFonts w:hint="eastAsia" w:ascii="宋体" w:hAnsi="宋体" w:eastAsia="宋体" w:cs="宋体"/>
          <w:color w:val="auto"/>
          <w:sz w:val="22"/>
          <w:szCs w:val="22"/>
          <w:highlight w:val="none"/>
        </w:rPr>
      </w:pPr>
    </w:p>
    <w:p>
      <w:pPr>
        <w:pStyle w:val="29"/>
        <w:spacing w:line="400" w:lineRule="atLeast"/>
        <w:ind w:left="657" w:leftChars="313" w:firstLine="3975" w:firstLineChars="1800"/>
        <w:rPr>
          <w:rFonts w:hint="eastAsia" w:ascii="宋体" w:hAnsi="宋体" w:eastAsia="宋体" w:cs="宋体"/>
          <w:color w:val="auto"/>
          <w:sz w:val="22"/>
          <w:highlight w:val="none"/>
        </w:rPr>
      </w:pPr>
    </w:p>
    <w:p>
      <w:pPr>
        <w:pStyle w:val="29"/>
        <w:spacing w:line="460" w:lineRule="atLeast"/>
        <w:ind w:left="657" w:leftChars="313" w:firstLine="3960" w:firstLineChars="18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投标人名称（盖章）：</w:t>
      </w:r>
    </w:p>
    <w:p>
      <w:pPr>
        <w:pStyle w:val="29"/>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投标人代表（签字）：   </w:t>
      </w:r>
    </w:p>
    <w:p>
      <w:pPr>
        <w:pStyle w:val="29"/>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日   期： </w:t>
      </w:r>
    </w:p>
    <w:p>
      <w:pPr>
        <w:pStyle w:val="29"/>
        <w:spacing w:line="460" w:lineRule="atLeast"/>
        <w:ind w:left="660" w:hanging="660" w:hangingChars="300"/>
        <w:rPr>
          <w:rFonts w:hint="eastAsia" w:ascii="宋体" w:hAnsi="宋体" w:eastAsia="宋体" w:cs="宋体"/>
          <w:b w:val="0"/>
          <w:bCs/>
          <w:color w:val="auto"/>
          <w:sz w:val="22"/>
          <w:highlight w:val="none"/>
        </w:rPr>
      </w:pPr>
    </w:p>
    <w:p>
      <w:pPr>
        <w:rPr>
          <w:rFonts w:hint="eastAsia" w:ascii="宋体" w:hAnsi="宋体" w:eastAsia="宋体" w:cs="宋体"/>
          <w:b/>
          <w:color w:val="auto"/>
          <w:sz w:val="24"/>
          <w:highlight w:val="none"/>
          <w:lang w:val="en-US" w:eastAsia="zh-CN"/>
        </w:rPr>
      </w:pPr>
    </w:p>
    <w:p>
      <w:pPr>
        <w:pStyle w:val="10"/>
        <w:rPr>
          <w:rFonts w:hint="eastAsia"/>
          <w:lang w:val="en-US" w:eastAsia="zh-CN"/>
        </w:rPr>
      </w:pPr>
    </w:p>
    <w:p>
      <w:pPr>
        <w:spacing w:line="400" w:lineRule="exact"/>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9、售后服务</w:t>
      </w:r>
    </w:p>
    <w:p>
      <w:pPr>
        <w:spacing w:line="400" w:lineRule="exact"/>
        <w:jc w:val="center"/>
        <w:outlineLvl w:val="9"/>
        <w:rPr>
          <w:rFonts w:hint="eastAsia" w:ascii="宋体" w:hAnsi="宋体" w:eastAsia="宋体" w:cs="宋体"/>
          <w:b/>
          <w:color w:val="auto"/>
          <w:sz w:val="24"/>
          <w:highlight w:val="none"/>
          <w:lang w:val="zh-CN" w:eastAsia="zh-CN"/>
        </w:rPr>
      </w:pPr>
    </w:p>
    <w:p>
      <w:pPr>
        <w:spacing w:line="38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项目名称：                                          项目编号：</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用户名称</w:t>
            </w: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bl>
    <w:p>
      <w:pPr>
        <w:spacing w:line="460" w:lineRule="exact"/>
        <w:rPr>
          <w:rFonts w:hint="eastAsia" w:ascii="宋体" w:hAnsi="宋体" w:eastAsia="宋体" w:cs="宋体"/>
          <w:color w:val="auto"/>
          <w:sz w:val="22"/>
          <w:szCs w:val="22"/>
          <w:highlight w:val="none"/>
        </w:rPr>
      </w:pPr>
    </w:p>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pStyle w:val="29"/>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pPr>
        <w:pStyle w:val="29"/>
        <w:spacing w:line="400" w:lineRule="atLeast"/>
        <w:rPr>
          <w:rFonts w:hint="eastAsia" w:ascii="宋体" w:hAnsi="宋体" w:eastAsia="宋体" w:cs="宋体"/>
          <w:color w:val="auto"/>
          <w:sz w:val="22"/>
          <w:highlight w:val="none"/>
        </w:rPr>
      </w:pPr>
    </w:p>
    <w:p>
      <w:pPr>
        <w:spacing w:line="400" w:lineRule="exact"/>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、投标人提供的超出招标文件的优惠条件</w:t>
      </w:r>
    </w:p>
    <w:p>
      <w:pPr>
        <w:spacing w:line="400" w:lineRule="exact"/>
        <w:jc w:val="center"/>
        <w:outlineLvl w:val="9"/>
        <w:rPr>
          <w:rFonts w:hint="eastAsia" w:ascii="宋体" w:hAnsi="宋体" w:eastAsia="宋体" w:cs="宋体"/>
          <w:b/>
          <w:color w:val="auto"/>
          <w:sz w:val="24"/>
          <w:highlight w:val="none"/>
          <w:lang w:val="zh-CN"/>
        </w:rPr>
      </w:pPr>
    </w:p>
    <w:p>
      <w:pPr>
        <w:spacing w:line="38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pStyle w:val="29"/>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pPr>
        <w:spacing w:line="46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、环境标志产品、节能产品</w:t>
      </w:r>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0" w:hRule="atLeast"/>
          <w:jc w:val="center"/>
        </w:trPr>
        <w:tc>
          <w:tcPr>
            <w:tcW w:w="9242" w:type="dxa"/>
            <w:noWrap w:val="0"/>
            <w:vAlign w:val="top"/>
          </w:tcPr>
          <w:p>
            <w:pPr>
              <w:spacing w:line="500" w:lineRule="exact"/>
              <w:jc w:val="center"/>
              <w:rPr>
                <w:rFonts w:hint="eastAsia" w:ascii="宋体" w:hAnsi="宋体" w:eastAsia="宋体" w:cs="宋体"/>
                <w:b/>
                <w:color w:val="auto"/>
                <w:sz w:val="22"/>
                <w:highlight w:val="none"/>
              </w:rPr>
            </w:pPr>
          </w:p>
        </w:tc>
      </w:tr>
    </w:tbl>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pPr>
        <w:spacing w:line="38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pPr>
        <w:pStyle w:val="4"/>
        <w:numPr>
          <w:ilvl w:val="0"/>
          <w:numId w:val="13"/>
        </w:numPr>
        <w:bidi w:val="0"/>
        <w:rPr>
          <w:rFonts w:hint="eastAsia" w:ascii="宋体" w:hAnsi="宋体" w:eastAsia="宋体" w:cs="宋体"/>
          <w:b/>
          <w:color w:val="auto"/>
          <w:highlight w:val="none"/>
        </w:rPr>
      </w:pPr>
      <w:r>
        <w:rPr>
          <w:rFonts w:hint="eastAsia" w:ascii="宋体" w:hAnsi="宋体" w:eastAsia="宋体" w:cs="宋体"/>
        </w:rPr>
        <w:t xml:space="preserve">  </w:t>
      </w:r>
      <w:bookmarkStart w:id="71" w:name="_Toc3381"/>
      <w:bookmarkStart w:id="72" w:name="_Toc10142"/>
      <w:bookmarkStart w:id="73" w:name="_Toc221356895"/>
      <w:bookmarkStart w:id="74" w:name="_Toc221356958"/>
      <w:r>
        <w:rPr>
          <w:rFonts w:hint="eastAsia" w:ascii="宋体" w:hAnsi="宋体" w:eastAsia="宋体" w:cs="宋体"/>
        </w:rPr>
        <w:t>项目技术规范和服务要求</w:t>
      </w:r>
      <w:bookmarkEnd w:id="71"/>
      <w:bookmarkEnd w:id="72"/>
    </w:p>
    <w:bookmarkEnd w:id="73"/>
    <w:bookmarkEnd w:id="74"/>
    <w:p>
      <w:pPr>
        <w:spacing w:line="460" w:lineRule="exact"/>
        <w:ind w:left="440" w:leftChars="52" w:hanging="331" w:hangingChars="150"/>
        <w:outlineLvl w:val="1"/>
        <w:rPr>
          <w:rFonts w:hint="eastAsia" w:ascii="新宋体" w:hAnsi="新宋体" w:eastAsia="新宋体" w:cs="新宋体"/>
          <w:b/>
          <w:sz w:val="22"/>
          <w:szCs w:val="22"/>
          <w:highlight w:val="none"/>
          <w:lang w:val="zh-CN"/>
        </w:rPr>
      </w:pPr>
      <w:bookmarkStart w:id="75" w:name="_Toc182398356"/>
      <w:bookmarkStart w:id="76" w:name="_Toc175826929"/>
      <w:bookmarkStart w:id="77" w:name="_Toc188355454"/>
      <w:bookmarkStart w:id="78" w:name="_Toc30323"/>
      <w:bookmarkStart w:id="79" w:name="_Toc18194"/>
      <w:r>
        <w:rPr>
          <w:rFonts w:hint="eastAsia" w:ascii="新宋体" w:hAnsi="新宋体" w:eastAsia="新宋体" w:cs="新宋体"/>
          <w:b/>
          <w:sz w:val="22"/>
          <w:szCs w:val="22"/>
          <w:highlight w:val="none"/>
          <w:lang w:val="zh-CN"/>
        </w:rPr>
        <w:t>一、总体要求</w:t>
      </w:r>
      <w:bookmarkEnd w:id="75"/>
    </w:p>
    <w:p>
      <w:pPr>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1、投标供应商应</w:t>
      </w:r>
      <w:r>
        <w:rPr>
          <w:rFonts w:hint="eastAsia" w:ascii="新宋体" w:hAnsi="新宋体" w:eastAsia="新宋体" w:cs="新宋体"/>
          <w:sz w:val="22"/>
          <w:szCs w:val="22"/>
          <w:highlight w:val="none"/>
        </w:rPr>
        <w:t>对招标范围内的所有内容进行投标</w:t>
      </w:r>
      <w:r>
        <w:rPr>
          <w:rFonts w:hint="eastAsia" w:ascii="新宋体" w:hAnsi="新宋体" w:eastAsia="新宋体" w:cs="新宋体"/>
          <w:color w:val="000000"/>
          <w:sz w:val="22"/>
          <w:szCs w:val="22"/>
          <w:highlight w:val="none"/>
        </w:rPr>
        <w:t>，提供</w:t>
      </w:r>
      <w:r>
        <w:rPr>
          <w:rFonts w:hint="eastAsia" w:ascii="新宋体" w:hAnsi="新宋体" w:eastAsia="新宋体" w:cs="新宋体"/>
          <w:sz w:val="22"/>
          <w:szCs w:val="22"/>
          <w:highlight w:val="none"/>
        </w:rPr>
        <w:t>产品</w:t>
      </w:r>
      <w:r>
        <w:rPr>
          <w:rFonts w:hint="eastAsia" w:ascii="新宋体" w:hAnsi="新宋体" w:eastAsia="新宋体" w:cs="新宋体"/>
          <w:color w:val="000000"/>
          <w:sz w:val="22"/>
          <w:szCs w:val="22"/>
          <w:highlight w:val="none"/>
        </w:rPr>
        <w:t>及其附件的设计、采购、制造、检测、试验、至最终目的地的运输和保险、现场仓储以及安装、验收、技术服务及相关文件的提交、质保期维护等服务。</w:t>
      </w:r>
    </w:p>
    <w:p>
      <w:pPr>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2、投标供应商所投</w:t>
      </w:r>
      <w:r>
        <w:rPr>
          <w:rFonts w:hint="eastAsia" w:ascii="新宋体" w:hAnsi="新宋体" w:eastAsia="新宋体" w:cs="新宋体"/>
          <w:sz w:val="22"/>
          <w:szCs w:val="22"/>
          <w:highlight w:val="none"/>
        </w:rPr>
        <w:t>产品</w:t>
      </w:r>
      <w:r>
        <w:rPr>
          <w:rFonts w:hint="eastAsia" w:ascii="新宋体" w:hAnsi="新宋体" w:eastAsia="新宋体" w:cs="新宋体"/>
          <w:color w:val="000000"/>
          <w:sz w:val="22"/>
          <w:szCs w:val="22"/>
          <w:highlight w:val="none"/>
        </w:rPr>
        <w:t>及主要部件的名称、品牌、型号、技术参数、性能、数量、单价、合价、制造商、质保期等应在投标文件中明确，对采购文件的技术条款及要求应予以实质性响应，如有偏离应在偏离表中注明。</w:t>
      </w:r>
    </w:p>
    <w:bookmarkEnd w:id="76"/>
    <w:bookmarkEnd w:id="77"/>
    <w:p>
      <w:pPr>
        <w:spacing w:line="460" w:lineRule="exact"/>
        <w:ind w:left="440" w:leftChars="52" w:hanging="331" w:hangingChars="150"/>
        <w:outlineLvl w:val="1"/>
        <w:rPr>
          <w:rFonts w:hint="eastAsia" w:ascii="新宋体" w:hAnsi="新宋体" w:eastAsia="新宋体" w:cs="新宋体"/>
          <w:b/>
          <w:sz w:val="22"/>
          <w:szCs w:val="22"/>
          <w:highlight w:val="none"/>
          <w:lang w:val="zh-CN"/>
        </w:rPr>
      </w:pPr>
      <w:r>
        <w:rPr>
          <w:rFonts w:hint="eastAsia" w:ascii="新宋体" w:hAnsi="新宋体" w:eastAsia="新宋体" w:cs="新宋体"/>
          <w:b/>
          <w:sz w:val="22"/>
          <w:szCs w:val="22"/>
          <w:highlight w:val="none"/>
          <w:lang w:val="zh-CN"/>
        </w:rPr>
        <w:t>二、招标内容一览表</w:t>
      </w:r>
    </w:p>
    <w:p>
      <w:pPr>
        <w:spacing w:line="460" w:lineRule="exact"/>
        <w:ind w:firstLine="440" w:firstLineChars="200"/>
        <w:rPr>
          <w:rFonts w:hint="eastAsia" w:ascii="新宋体" w:hAnsi="新宋体" w:eastAsia="新宋体" w:cs="新宋体"/>
          <w:b/>
          <w:kern w:val="0"/>
          <w:sz w:val="22"/>
          <w:szCs w:val="22"/>
          <w:highlight w:val="none"/>
        </w:rPr>
      </w:pPr>
      <w:r>
        <w:rPr>
          <w:rFonts w:hint="eastAsia" w:ascii="新宋体" w:hAnsi="新宋体" w:eastAsia="新宋体" w:cs="新宋体"/>
          <w:color w:val="000000"/>
          <w:sz w:val="22"/>
          <w:szCs w:val="22"/>
          <w:highlight w:val="none"/>
        </w:rPr>
        <w:t>化学发光免疫分析系统设备租赁及试剂采购</w:t>
      </w:r>
    </w:p>
    <w:p>
      <w:pPr>
        <w:spacing w:line="460" w:lineRule="exact"/>
        <w:ind w:left="440" w:leftChars="52" w:hanging="331" w:hangingChars="150"/>
        <w:outlineLvl w:val="1"/>
        <w:rPr>
          <w:rFonts w:hint="eastAsia" w:ascii="新宋体" w:hAnsi="新宋体" w:eastAsia="新宋体" w:cs="新宋体"/>
          <w:b/>
          <w:sz w:val="22"/>
          <w:szCs w:val="22"/>
          <w:highlight w:val="none"/>
          <w:lang w:val="zh-CN"/>
        </w:rPr>
      </w:pPr>
      <w:r>
        <w:rPr>
          <w:rFonts w:hint="eastAsia" w:ascii="新宋体" w:hAnsi="新宋体" w:eastAsia="新宋体" w:cs="新宋体"/>
          <w:b/>
          <w:sz w:val="22"/>
          <w:szCs w:val="22"/>
          <w:highlight w:val="none"/>
        </w:rPr>
        <w:t>三、</w:t>
      </w:r>
      <w:r>
        <w:rPr>
          <w:rFonts w:hint="eastAsia" w:ascii="新宋体" w:hAnsi="新宋体" w:eastAsia="新宋体" w:cs="新宋体"/>
          <w:b/>
          <w:sz w:val="22"/>
          <w:szCs w:val="22"/>
          <w:highlight w:val="none"/>
          <w:lang w:val="zh-CN"/>
        </w:rPr>
        <w:t>技术规格及配置要求</w:t>
      </w:r>
    </w:p>
    <w:tbl>
      <w:tblPr>
        <w:tblStyle w:val="53"/>
        <w:tblW w:w="9746"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5"/>
        <w:gridCol w:w="2465"/>
        <w:gridCol w:w="2896"/>
        <w:gridCol w:w="1915"/>
        <w:gridCol w:w="168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85" w:type="dxa"/>
            <w:noWrap w:val="0"/>
            <w:vAlign w:val="center"/>
          </w:tcPr>
          <w:p>
            <w:pPr>
              <w:spacing w:line="460" w:lineRule="exact"/>
              <w:jc w:val="center"/>
              <w:rPr>
                <w:rFonts w:hint="eastAsia" w:ascii="新宋体" w:hAnsi="新宋体" w:eastAsia="新宋体" w:cs="新宋体"/>
                <w:caps/>
                <w:sz w:val="22"/>
                <w:szCs w:val="22"/>
                <w:highlight w:val="none"/>
              </w:rPr>
            </w:pPr>
            <w:r>
              <w:rPr>
                <w:rFonts w:hint="eastAsia" w:ascii="新宋体" w:hAnsi="新宋体" w:eastAsia="新宋体" w:cs="新宋体"/>
                <w:caps/>
                <w:sz w:val="22"/>
                <w:szCs w:val="22"/>
                <w:highlight w:val="none"/>
              </w:rPr>
              <w:t>序号</w:t>
            </w:r>
          </w:p>
        </w:tc>
        <w:tc>
          <w:tcPr>
            <w:tcW w:w="2465" w:type="dxa"/>
            <w:noWrap w:val="0"/>
            <w:vAlign w:val="center"/>
          </w:tcPr>
          <w:p>
            <w:pPr>
              <w:spacing w:line="460" w:lineRule="exact"/>
              <w:jc w:val="center"/>
              <w:rPr>
                <w:rFonts w:hint="eastAsia" w:ascii="新宋体" w:hAnsi="新宋体" w:eastAsia="新宋体" w:cs="新宋体"/>
                <w:caps/>
                <w:sz w:val="22"/>
                <w:szCs w:val="22"/>
                <w:highlight w:val="none"/>
              </w:rPr>
            </w:pPr>
            <w:r>
              <w:rPr>
                <w:rFonts w:hint="eastAsia" w:ascii="新宋体" w:hAnsi="新宋体" w:eastAsia="新宋体" w:cs="新宋体"/>
                <w:caps/>
                <w:sz w:val="22"/>
                <w:szCs w:val="22"/>
                <w:highlight w:val="none"/>
              </w:rPr>
              <w:t>货物名称</w:t>
            </w:r>
          </w:p>
        </w:tc>
        <w:tc>
          <w:tcPr>
            <w:tcW w:w="2896" w:type="dxa"/>
            <w:noWrap w:val="0"/>
            <w:vAlign w:val="center"/>
          </w:tcPr>
          <w:p>
            <w:pPr>
              <w:tabs>
                <w:tab w:val="left" w:pos="360"/>
              </w:tabs>
              <w:spacing w:line="440" w:lineRule="exact"/>
              <w:jc w:val="center"/>
              <w:rPr>
                <w:rFonts w:hint="eastAsia" w:ascii="新宋体" w:hAnsi="新宋体" w:eastAsia="新宋体" w:cs="新宋体"/>
                <w:caps/>
                <w:sz w:val="22"/>
                <w:szCs w:val="22"/>
                <w:highlight w:val="none"/>
              </w:rPr>
            </w:pPr>
            <w:r>
              <w:rPr>
                <w:rFonts w:hint="eastAsia" w:ascii="新宋体" w:hAnsi="新宋体" w:eastAsia="新宋体" w:cs="新宋体"/>
                <w:color w:val="000000"/>
                <w:sz w:val="22"/>
                <w:szCs w:val="22"/>
                <w:highlight w:val="none"/>
              </w:rPr>
              <w:t>项目内容</w:t>
            </w:r>
          </w:p>
        </w:tc>
        <w:tc>
          <w:tcPr>
            <w:tcW w:w="1915" w:type="dxa"/>
            <w:noWrap w:val="0"/>
            <w:vAlign w:val="center"/>
          </w:tcPr>
          <w:p>
            <w:pPr>
              <w:tabs>
                <w:tab w:val="left" w:pos="360"/>
              </w:tabs>
              <w:spacing w:line="440" w:lineRule="exact"/>
              <w:jc w:val="center"/>
              <w:rPr>
                <w:rFonts w:hint="eastAsia" w:ascii="新宋体" w:hAnsi="新宋体" w:eastAsia="新宋体" w:cs="新宋体"/>
                <w:caps/>
                <w:sz w:val="22"/>
                <w:szCs w:val="22"/>
                <w:highlight w:val="none"/>
              </w:rPr>
            </w:pPr>
            <w:r>
              <w:rPr>
                <w:rFonts w:hint="eastAsia" w:ascii="新宋体" w:hAnsi="新宋体" w:eastAsia="新宋体" w:cs="新宋体"/>
                <w:color w:val="000000"/>
                <w:sz w:val="22"/>
                <w:szCs w:val="22"/>
                <w:highlight w:val="none"/>
              </w:rPr>
              <w:t>预算</w:t>
            </w:r>
          </w:p>
        </w:tc>
        <w:tc>
          <w:tcPr>
            <w:tcW w:w="1685" w:type="dxa"/>
            <w:noWrap w:val="0"/>
            <w:vAlign w:val="center"/>
          </w:tcPr>
          <w:p>
            <w:pPr>
              <w:spacing w:line="460" w:lineRule="exact"/>
              <w:jc w:val="center"/>
              <w:rPr>
                <w:rFonts w:hint="eastAsia" w:ascii="新宋体" w:hAnsi="新宋体" w:eastAsia="新宋体" w:cs="新宋体"/>
                <w:caps/>
                <w:sz w:val="22"/>
                <w:szCs w:val="22"/>
                <w:highlight w:val="none"/>
              </w:rPr>
            </w:pPr>
            <w:r>
              <w:rPr>
                <w:rFonts w:hint="eastAsia" w:ascii="新宋体" w:hAnsi="新宋体" w:eastAsia="新宋体" w:cs="新宋体"/>
                <w:caps/>
                <w:sz w:val="22"/>
                <w:szCs w:val="22"/>
                <w:highlight w:val="none"/>
              </w:rPr>
              <w:t>目的地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rPr>
        <w:tc>
          <w:tcPr>
            <w:tcW w:w="785" w:type="dxa"/>
            <w:vMerge w:val="restart"/>
            <w:noWrap w:val="0"/>
            <w:vAlign w:val="center"/>
          </w:tcPr>
          <w:p>
            <w:pPr>
              <w:spacing w:line="460" w:lineRule="exact"/>
              <w:jc w:val="center"/>
              <w:rPr>
                <w:rFonts w:hint="eastAsia" w:ascii="新宋体" w:hAnsi="新宋体" w:eastAsia="新宋体" w:cs="新宋体"/>
                <w:caps/>
                <w:sz w:val="22"/>
                <w:szCs w:val="22"/>
                <w:highlight w:val="none"/>
              </w:rPr>
            </w:pPr>
            <w:r>
              <w:rPr>
                <w:rFonts w:hint="eastAsia" w:ascii="新宋体" w:hAnsi="新宋体" w:eastAsia="新宋体" w:cs="新宋体"/>
                <w:caps/>
                <w:sz w:val="22"/>
                <w:szCs w:val="22"/>
                <w:highlight w:val="none"/>
              </w:rPr>
              <w:t>1</w:t>
            </w:r>
          </w:p>
        </w:tc>
        <w:tc>
          <w:tcPr>
            <w:tcW w:w="2465" w:type="dxa"/>
            <w:vMerge w:val="restart"/>
            <w:noWrap w:val="0"/>
            <w:vAlign w:val="center"/>
          </w:tcPr>
          <w:p>
            <w:pPr>
              <w:spacing w:line="460" w:lineRule="exact"/>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配套化学发光免疫分析系统设备（租赁方式）</w:t>
            </w:r>
          </w:p>
        </w:tc>
        <w:tc>
          <w:tcPr>
            <w:tcW w:w="2896" w:type="dxa"/>
            <w:noWrap w:val="0"/>
            <w:vAlign w:val="center"/>
          </w:tcPr>
          <w:p>
            <w:pPr>
              <w:tabs>
                <w:tab w:val="left" w:pos="360"/>
              </w:tabs>
              <w:spacing w:line="440" w:lineRule="exact"/>
              <w:jc w:val="center"/>
              <w:rPr>
                <w:rFonts w:hint="eastAsia" w:ascii="新宋体" w:hAnsi="新宋体" w:eastAsia="新宋体" w:cs="新宋体"/>
                <w:sz w:val="22"/>
                <w:szCs w:val="22"/>
                <w:highlight w:val="none"/>
              </w:rPr>
            </w:pPr>
            <w:r>
              <w:rPr>
                <w:rFonts w:hint="eastAsia" w:ascii="新宋体" w:hAnsi="新宋体" w:eastAsia="新宋体" w:cs="新宋体"/>
                <w:bCs/>
                <w:color w:val="000000"/>
                <w:sz w:val="22"/>
                <w:szCs w:val="22"/>
                <w:highlight w:val="none"/>
              </w:rPr>
              <w:t>化学发光免疫分析系统耗材（试剂）</w:t>
            </w:r>
          </w:p>
        </w:tc>
        <w:tc>
          <w:tcPr>
            <w:tcW w:w="1915" w:type="dxa"/>
            <w:noWrap w:val="0"/>
            <w:vAlign w:val="center"/>
          </w:tcPr>
          <w:p>
            <w:pPr>
              <w:spacing w:line="460" w:lineRule="exact"/>
              <w:jc w:val="center"/>
              <w:rPr>
                <w:rFonts w:hint="eastAsia" w:ascii="新宋体" w:hAnsi="新宋体" w:eastAsia="新宋体" w:cs="新宋体"/>
                <w:sz w:val="22"/>
                <w:szCs w:val="22"/>
                <w:highlight w:val="none"/>
              </w:rPr>
            </w:pPr>
            <w:r>
              <w:rPr>
                <w:rFonts w:hint="eastAsia" w:ascii="新宋体" w:hAnsi="新宋体" w:eastAsia="新宋体" w:cs="新宋体"/>
                <w:color w:val="000000"/>
                <w:sz w:val="22"/>
                <w:szCs w:val="22"/>
                <w:highlight w:val="none"/>
              </w:rPr>
              <w:t>450000元</w:t>
            </w:r>
          </w:p>
        </w:tc>
        <w:tc>
          <w:tcPr>
            <w:tcW w:w="1685" w:type="dxa"/>
            <w:vMerge w:val="restart"/>
            <w:noWrap w:val="0"/>
            <w:vAlign w:val="center"/>
          </w:tcPr>
          <w:p>
            <w:pPr>
              <w:spacing w:line="460" w:lineRule="exact"/>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温州市中医院指定地点</w:t>
            </w:r>
          </w:p>
          <w:p>
            <w:pPr>
              <w:spacing w:line="460" w:lineRule="exact"/>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85" w:type="dxa"/>
            <w:vMerge w:val="continue"/>
            <w:noWrap w:val="0"/>
            <w:vAlign w:val="center"/>
          </w:tcPr>
          <w:p>
            <w:pPr>
              <w:spacing w:line="460" w:lineRule="exact"/>
              <w:jc w:val="center"/>
              <w:rPr>
                <w:rFonts w:hint="eastAsia" w:ascii="新宋体" w:hAnsi="新宋体" w:eastAsia="新宋体" w:cs="新宋体"/>
                <w:sz w:val="22"/>
                <w:szCs w:val="22"/>
                <w:highlight w:val="none"/>
              </w:rPr>
            </w:pPr>
          </w:p>
        </w:tc>
        <w:tc>
          <w:tcPr>
            <w:tcW w:w="2465" w:type="dxa"/>
            <w:vMerge w:val="continue"/>
            <w:noWrap w:val="0"/>
            <w:vAlign w:val="center"/>
          </w:tcPr>
          <w:p>
            <w:pPr>
              <w:spacing w:line="460" w:lineRule="exact"/>
              <w:jc w:val="center"/>
              <w:rPr>
                <w:rFonts w:hint="eastAsia" w:ascii="新宋体" w:hAnsi="新宋体" w:eastAsia="新宋体" w:cs="新宋体"/>
                <w:sz w:val="22"/>
                <w:szCs w:val="22"/>
                <w:highlight w:val="none"/>
              </w:rPr>
            </w:pPr>
          </w:p>
        </w:tc>
        <w:tc>
          <w:tcPr>
            <w:tcW w:w="2896" w:type="dxa"/>
            <w:noWrap w:val="0"/>
            <w:vAlign w:val="center"/>
          </w:tcPr>
          <w:p>
            <w:pPr>
              <w:tabs>
                <w:tab w:val="left" w:pos="360"/>
              </w:tabs>
              <w:spacing w:line="440" w:lineRule="exact"/>
              <w:jc w:val="center"/>
              <w:rPr>
                <w:rFonts w:hint="eastAsia" w:ascii="新宋体" w:hAnsi="新宋体" w:eastAsia="新宋体" w:cs="新宋体"/>
                <w:sz w:val="22"/>
                <w:szCs w:val="22"/>
                <w:highlight w:val="none"/>
              </w:rPr>
            </w:pPr>
            <w:r>
              <w:rPr>
                <w:rFonts w:hint="eastAsia" w:ascii="新宋体" w:hAnsi="新宋体" w:eastAsia="新宋体" w:cs="新宋体"/>
                <w:bCs/>
                <w:color w:val="000000"/>
                <w:sz w:val="22"/>
                <w:szCs w:val="22"/>
                <w:highlight w:val="none"/>
              </w:rPr>
              <w:t>配套设备租赁</w:t>
            </w:r>
          </w:p>
        </w:tc>
        <w:tc>
          <w:tcPr>
            <w:tcW w:w="1915" w:type="dxa"/>
            <w:noWrap w:val="0"/>
            <w:vAlign w:val="center"/>
          </w:tcPr>
          <w:p>
            <w:pPr>
              <w:spacing w:line="460" w:lineRule="exact"/>
              <w:jc w:val="center"/>
              <w:rPr>
                <w:rFonts w:hint="eastAsia" w:ascii="新宋体" w:hAnsi="新宋体" w:eastAsia="新宋体" w:cs="新宋体"/>
                <w:sz w:val="22"/>
                <w:szCs w:val="22"/>
                <w:highlight w:val="none"/>
              </w:rPr>
            </w:pPr>
            <w:r>
              <w:rPr>
                <w:rFonts w:hint="eastAsia" w:ascii="新宋体" w:hAnsi="新宋体" w:eastAsia="新宋体" w:cs="新宋体"/>
                <w:color w:val="000000"/>
                <w:sz w:val="22"/>
                <w:szCs w:val="22"/>
                <w:highlight w:val="none"/>
              </w:rPr>
              <w:t>3000元/年</w:t>
            </w:r>
          </w:p>
        </w:tc>
        <w:tc>
          <w:tcPr>
            <w:tcW w:w="1685" w:type="dxa"/>
            <w:vMerge w:val="continue"/>
            <w:noWrap w:val="0"/>
            <w:vAlign w:val="center"/>
          </w:tcPr>
          <w:p>
            <w:pPr>
              <w:spacing w:line="460" w:lineRule="exact"/>
              <w:jc w:val="center"/>
              <w:rPr>
                <w:rFonts w:hint="eastAsia" w:ascii="新宋体" w:hAnsi="新宋体" w:eastAsia="新宋体" w:cs="新宋体"/>
                <w:sz w:val="22"/>
                <w:szCs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85" w:type="dxa"/>
            <w:noWrap w:val="0"/>
            <w:vAlign w:val="center"/>
          </w:tcPr>
          <w:p>
            <w:pPr>
              <w:spacing w:line="460" w:lineRule="exact"/>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w:t>
            </w:r>
          </w:p>
        </w:tc>
        <w:tc>
          <w:tcPr>
            <w:tcW w:w="7276" w:type="dxa"/>
            <w:gridSpan w:val="3"/>
            <w:noWrap w:val="0"/>
            <w:vAlign w:val="center"/>
          </w:tcPr>
          <w:p>
            <w:pPr>
              <w:spacing w:line="460" w:lineRule="exact"/>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 xml:space="preserve">相关检测试剂盒采购 </w:t>
            </w:r>
          </w:p>
        </w:tc>
        <w:tc>
          <w:tcPr>
            <w:tcW w:w="1685" w:type="dxa"/>
            <w:vMerge w:val="continue"/>
            <w:noWrap w:val="0"/>
            <w:vAlign w:val="center"/>
          </w:tcPr>
          <w:p>
            <w:pPr>
              <w:spacing w:line="460" w:lineRule="exact"/>
              <w:jc w:val="center"/>
              <w:rPr>
                <w:rFonts w:hint="eastAsia" w:ascii="新宋体" w:hAnsi="新宋体" w:eastAsia="新宋体" w:cs="新宋体"/>
                <w:sz w:val="22"/>
                <w:szCs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85" w:type="dxa"/>
            <w:noWrap w:val="0"/>
            <w:vAlign w:val="center"/>
          </w:tcPr>
          <w:p>
            <w:pPr>
              <w:spacing w:line="460" w:lineRule="exact"/>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3</w:t>
            </w:r>
          </w:p>
        </w:tc>
        <w:tc>
          <w:tcPr>
            <w:tcW w:w="7276" w:type="dxa"/>
            <w:gridSpan w:val="3"/>
            <w:noWrap w:val="0"/>
            <w:vAlign w:val="center"/>
          </w:tcPr>
          <w:p>
            <w:pPr>
              <w:spacing w:line="460" w:lineRule="exact"/>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 xml:space="preserve">技术资料 </w:t>
            </w:r>
          </w:p>
        </w:tc>
        <w:tc>
          <w:tcPr>
            <w:tcW w:w="1685" w:type="dxa"/>
            <w:vMerge w:val="continue"/>
            <w:noWrap w:val="0"/>
            <w:vAlign w:val="center"/>
          </w:tcPr>
          <w:p>
            <w:pPr>
              <w:spacing w:line="460" w:lineRule="exact"/>
              <w:jc w:val="center"/>
              <w:rPr>
                <w:rFonts w:hint="eastAsia" w:ascii="新宋体" w:hAnsi="新宋体" w:eastAsia="新宋体" w:cs="新宋体"/>
                <w:sz w:val="22"/>
                <w:szCs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85" w:type="dxa"/>
            <w:noWrap w:val="0"/>
            <w:vAlign w:val="center"/>
          </w:tcPr>
          <w:p>
            <w:pPr>
              <w:spacing w:line="460" w:lineRule="exact"/>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4</w:t>
            </w:r>
          </w:p>
        </w:tc>
        <w:tc>
          <w:tcPr>
            <w:tcW w:w="7276" w:type="dxa"/>
            <w:gridSpan w:val="3"/>
            <w:noWrap w:val="0"/>
            <w:vAlign w:val="center"/>
          </w:tcPr>
          <w:p>
            <w:pPr>
              <w:spacing w:line="460" w:lineRule="exact"/>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 xml:space="preserve">投标商须提供的其他资料 </w:t>
            </w:r>
          </w:p>
        </w:tc>
        <w:tc>
          <w:tcPr>
            <w:tcW w:w="1685" w:type="dxa"/>
            <w:vMerge w:val="continue"/>
            <w:noWrap w:val="0"/>
            <w:vAlign w:val="center"/>
          </w:tcPr>
          <w:p>
            <w:pPr>
              <w:spacing w:line="460" w:lineRule="exact"/>
              <w:jc w:val="center"/>
              <w:rPr>
                <w:rFonts w:hint="eastAsia" w:ascii="新宋体" w:hAnsi="新宋体" w:eastAsia="新宋体" w:cs="新宋体"/>
                <w:sz w:val="22"/>
                <w:szCs w:val="22"/>
                <w:highlight w:val="none"/>
              </w:rPr>
            </w:pPr>
          </w:p>
        </w:tc>
      </w:tr>
    </w:tbl>
    <w:p>
      <w:pPr>
        <w:spacing w:line="460" w:lineRule="exact"/>
        <w:ind w:left="440" w:leftChars="52" w:hanging="331" w:hangingChars="150"/>
        <w:outlineLvl w:val="1"/>
        <w:rPr>
          <w:rFonts w:hint="eastAsia" w:ascii="新宋体" w:hAnsi="新宋体" w:eastAsia="新宋体" w:cs="新宋体"/>
          <w:sz w:val="22"/>
          <w:szCs w:val="22"/>
          <w:highlight w:val="none"/>
          <w:lang w:val="en-GB"/>
        </w:rPr>
      </w:pPr>
      <w:r>
        <w:rPr>
          <w:rFonts w:hint="eastAsia" w:ascii="新宋体" w:hAnsi="新宋体" w:eastAsia="新宋体" w:cs="新宋体"/>
          <w:b/>
          <w:sz w:val="22"/>
          <w:szCs w:val="22"/>
          <w:highlight w:val="none"/>
        </w:rPr>
        <w:t>四、</w:t>
      </w:r>
      <w:r>
        <w:rPr>
          <w:rFonts w:hint="eastAsia" w:ascii="新宋体" w:hAnsi="新宋体" w:eastAsia="新宋体" w:cs="新宋体"/>
          <w:b/>
          <w:sz w:val="22"/>
          <w:szCs w:val="22"/>
          <w:highlight w:val="none"/>
          <w:lang w:val="zh-CN"/>
        </w:rPr>
        <w:t>采购</w:t>
      </w:r>
      <w:r>
        <w:rPr>
          <w:rFonts w:hint="eastAsia" w:ascii="新宋体" w:hAnsi="新宋体" w:eastAsia="新宋体" w:cs="新宋体"/>
          <w:b/>
          <w:sz w:val="22"/>
          <w:szCs w:val="22"/>
          <w:highlight w:val="none"/>
        </w:rPr>
        <w:t>需求</w:t>
      </w:r>
    </w:p>
    <w:p>
      <w:pPr>
        <w:spacing w:line="460" w:lineRule="exact"/>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（一）试剂报价</w:t>
      </w:r>
    </w:p>
    <w:tbl>
      <w:tblPr>
        <w:tblStyle w:val="53"/>
        <w:tblW w:w="9682" w:type="dxa"/>
        <w:tblInd w:w="12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57"/>
        <w:gridCol w:w="4454"/>
        <w:gridCol w:w="1580"/>
        <w:gridCol w:w="259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1057" w:type="dxa"/>
            <w:noWrap w:val="0"/>
            <w:vAlign w:val="center"/>
          </w:tcPr>
          <w:p>
            <w:pPr>
              <w:spacing w:line="460" w:lineRule="exact"/>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序号</w:t>
            </w:r>
          </w:p>
        </w:tc>
        <w:tc>
          <w:tcPr>
            <w:tcW w:w="4454" w:type="dxa"/>
            <w:noWrap w:val="0"/>
            <w:vAlign w:val="center"/>
          </w:tcPr>
          <w:p>
            <w:pPr>
              <w:spacing w:line="460" w:lineRule="exact"/>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检验项目</w:t>
            </w:r>
          </w:p>
        </w:tc>
        <w:tc>
          <w:tcPr>
            <w:tcW w:w="1580" w:type="dxa"/>
            <w:noWrap w:val="0"/>
            <w:vAlign w:val="center"/>
          </w:tcPr>
          <w:p>
            <w:pPr>
              <w:spacing w:line="460" w:lineRule="exact"/>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年估数量</w:t>
            </w:r>
          </w:p>
        </w:tc>
        <w:tc>
          <w:tcPr>
            <w:tcW w:w="2591" w:type="dxa"/>
            <w:tcBorders>
              <w:left w:val="single" w:color="auto" w:sz="4" w:space="0"/>
            </w:tcBorders>
            <w:noWrap w:val="0"/>
            <w:vAlign w:val="center"/>
          </w:tcPr>
          <w:p>
            <w:pPr>
              <w:spacing w:line="460" w:lineRule="exact"/>
              <w:ind w:firstLine="220" w:firstLineChars="100"/>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品牌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1057" w:type="dxa"/>
            <w:noWrap w:val="0"/>
            <w:vAlign w:val="center"/>
          </w:tcPr>
          <w:p>
            <w:pPr>
              <w:spacing w:line="460" w:lineRule="exact"/>
              <w:jc w:val="center"/>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1</w:t>
            </w:r>
          </w:p>
        </w:tc>
        <w:tc>
          <w:tcPr>
            <w:tcW w:w="4454" w:type="dxa"/>
            <w:noWrap w:val="0"/>
            <w:vAlign w:val="center"/>
          </w:tcPr>
          <w:p>
            <w:pPr>
              <w:spacing w:line="460" w:lineRule="exact"/>
              <w:jc w:val="center"/>
              <w:rPr>
                <w:rFonts w:hint="eastAsia" w:ascii="新宋体" w:hAnsi="新宋体" w:eastAsia="新宋体" w:cs="新宋体"/>
                <w:sz w:val="22"/>
                <w:szCs w:val="22"/>
                <w:highlight w:val="none"/>
              </w:rPr>
            </w:pPr>
            <w:r>
              <w:rPr>
                <w:rFonts w:hint="eastAsia" w:ascii="新宋体" w:hAnsi="新宋体" w:eastAsia="新宋体" w:cs="新宋体"/>
                <w:bCs/>
                <w:sz w:val="22"/>
                <w:szCs w:val="22"/>
                <w:highlight w:val="none"/>
              </w:rPr>
              <w:t>抗心磷脂抗体IgG</w:t>
            </w:r>
          </w:p>
        </w:tc>
        <w:tc>
          <w:tcPr>
            <w:tcW w:w="1580" w:type="dxa"/>
            <w:noWrap w:val="0"/>
            <w:vAlign w:val="center"/>
          </w:tcPr>
          <w:p>
            <w:pPr>
              <w:spacing w:line="460" w:lineRule="exact"/>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4000</w:t>
            </w:r>
          </w:p>
        </w:tc>
        <w:tc>
          <w:tcPr>
            <w:tcW w:w="2591" w:type="dxa"/>
            <w:tcBorders>
              <w:left w:val="single" w:color="auto" w:sz="4" w:space="0"/>
            </w:tcBorders>
            <w:noWrap w:val="0"/>
            <w:vAlign w:val="center"/>
          </w:tcPr>
          <w:p>
            <w:pPr>
              <w:spacing w:line="460" w:lineRule="exact"/>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配套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1057" w:type="dxa"/>
            <w:noWrap w:val="0"/>
            <w:vAlign w:val="center"/>
          </w:tcPr>
          <w:p>
            <w:pPr>
              <w:spacing w:line="460" w:lineRule="exact"/>
              <w:jc w:val="center"/>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2</w:t>
            </w:r>
          </w:p>
        </w:tc>
        <w:tc>
          <w:tcPr>
            <w:tcW w:w="4454" w:type="dxa"/>
            <w:noWrap w:val="0"/>
            <w:vAlign w:val="center"/>
          </w:tcPr>
          <w:p>
            <w:pPr>
              <w:spacing w:line="460" w:lineRule="exact"/>
              <w:jc w:val="center"/>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抗心磷脂抗体IgM</w:t>
            </w:r>
          </w:p>
        </w:tc>
        <w:tc>
          <w:tcPr>
            <w:tcW w:w="1580" w:type="dxa"/>
            <w:noWrap w:val="0"/>
            <w:vAlign w:val="center"/>
          </w:tcPr>
          <w:p>
            <w:pPr>
              <w:spacing w:line="460" w:lineRule="exact"/>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4000</w:t>
            </w:r>
          </w:p>
        </w:tc>
        <w:tc>
          <w:tcPr>
            <w:tcW w:w="2591" w:type="dxa"/>
            <w:tcBorders>
              <w:left w:val="single" w:color="auto" w:sz="4" w:space="0"/>
            </w:tcBorders>
            <w:noWrap w:val="0"/>
            <w:vAlign w:val="center"/>
          </w:tcPr>
          <w:p>
            <w:pPr>
              <w:spacing w:line="460" w:lineRule="exact"/>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配套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5" w:hRule="atLeast"/>
        </w:trPr>
        <w:tc>
          <w:tcPr>
            <w:tcW w:w="1057" w:type="dxa"/>
            <w:noWrap w:val="0"/>
            <w:vAlign w:val="center"/>
          </w:tcPr>
          <w:p>
            <w:pPr>
              <w:spacing w:line="460" w:lineRule="exact"/>
              <w:jc w:val="center"/>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3</w:t>
            </w:r>
          </w:p>
        </w:tc>
        <w:tc>
          <w:tcPr>
            <w:tcW w:w="4454" w:type="dxa"/>
            <w:noWrap w:val="0"/>
            <w:vAlign w:val="center"/>
          </w:tcPr>
          <w:p>
            <w:pPr>
              <w:spacing w:line="460" w:lineRule="exact"/>
              <w:jc w:val="center"/>
              <w:rPr>
                <w:rFonts w:hint="eastAsia" w:ascii="新宋体" w:hAnsi="新宋体" w:eastAsia="新宋体" w:cs="新宋体"/>
                <w:bCs/>
                <w:sz w:val="22"/>
                <w:szCs w:val="22"/>
                <w:highlight w:val="none"/>
              </w:rPr>
            </w:pPr>
            <w:r>
              <w:rPr>
                <w:rFonts w:hint="eastAsia" w:ascii="新宋体" w:hAnsi="新宋体" w:eastAsia="新宋体" w:cs="新宋体"/>
                <w:sz w:val="22"/>
                <w:szCs w:val="22"/>
                <w:highlight w:val="none"/>
              </w:rPr>
              <w:t>抗β2糖蛋白1抗体</w:t>
            </w:r>
            <w:r>
              <w:rPr>
                <w:rFonts w:hint="eastAsia" w:ascii="新宋体" w:hAnsi="新宋体" w:eastAsia="新宋体" w:cs="新宋体"/>
                <w:bCs/>
                <w:sz w:val="22"/>
                <w:szCs w:val="22"/>
                <w:highlight w:val="none"/>
              </w:rPr>
              <w:t>IgG</w:t>
            </w:r>
          </w:p>
        </w:tc>
        <w:tc>
          <w:tcPr>
            <w:tcW w:w="1580" w:type="dxa"/>
            <w:noWrap w:val="0"/>
            <w:vAlign w:val="center"/>
          </w:tcPr>
          <w:p>
            <w:pPr>
              <w:spacing w:line="460" w:lineRule="exact"/>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3000</w:t>
            </w:r>
          </w:p>
        </w:tc>
        <w:tc>
          <w:tcPr>
            <w:tcW w:w="2591" w:type="dxa"/>
            <w:tcBorders>
              <w:left w:val="single" w:color="auto" w:sz="4" w:space="0"/>
            </w:tcBorders>
            <w:noWrap w:val="0"/>
            <w:vAlign w:val="center"/>
          </w:tcPr>
          <w:p>
            <w:pPr>
              <w:spacing w:line="460" w:lineRule="exact"/>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配套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5" w:hRule="atLeast"/>
        </w:trPr>
        <w:tc>
          <w:tcPr>
            <w:tcW w:w="1057" w:type="dxa"/>
            <w:noWrap w:val="0"/>
            <w:vAlign w:val="center"/>
          </w:tcPr>
          <w:p>
            <w:pPr>
              <w:spacing w:line="460" w:lineRule="exact"/>
              <w:jc w:val="center"/>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4</w:t>
            </w:r>
          </w:p>
        </w:tc>
        <w:tc>
          <w:tcPr>
            <w:tcW w:w="4454" w:type="dxa"/>
            <w:noWrap w:val="0"/>
            <w:vAlign w:val="center"/>
          </w:tcPr>
          <w:p>
            <w:pPr>
              <w:spacing w:line="460" w:lineRule="exact"/>
              <w:jc w:val="center"/>
              <w:rPr>
                <w:rFonts w:hint="eastAsia" w:ascii="新宋体" w:hAnsi="新宋体" w:eastAsia="新宋体" w:cs="新宋体"/>
                <w:bCs/>
                <w:sz w:val="22"/>
                <w:szCs w:val="22"/>
                <w:highlight w:val="none"/>
              </w:rPr>
            </w:pPr>
            <w:r>
              <w:rPr>
                <w:rFonts w:hint="eastAsia" w:ascii="新宋体" w:hAnsi="新宋体" w:eastAsia="新宋体" w:cs="新宋体"/>
                <w:sz w:val="22"/>
                <w:szCs w:val="22"/>
                <w:highlight w:val="none"/>
              </w:rPr>
              <w:t>抗β2糖蛋白1抗体</w:t>
            </w:r>
            <w:r>
              <w:rPr>
                <w:rFonts w:hint="eastAsia" w:ascii="新宋体" w:hAnsi="新宋体" w:eastAsia="新宋体" w:cs="新宋体"/>
                <w:bCs/>
                <w:sz w:val="22"/>
                <w:szCs w:val="22"/>
                <w:highlight w:val="none"/>
              </w:rPr>
              <w:t>IgM</w:t>
            </w:r>
          </w:p>
        </w:tc>
        <w:tc>
          <w:tcPr>
            <w:tcW w:w="1580" w:type="dxa"/>
            <w:noWrap w:val="0"/>
            <w:vAlign w:val="center"/>
          </w:tcPr>
          <w:p>
            <w:pPr>
              <w:spacing w:line="460" w:lineRule="exact"/>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3000</w:t>
            </w:r>
          </w:p>
        </w:tc>
        <w:tc>
          <w:tcPr>
            <w:tcW w:w="2591" w:type="dxa"/>
            <w:tcBorders>
              <w:left w:val="single" w:color="auto" w:sz="4" w:space="0"/>
            </w:tcBorders>
            <w:noWrap w:val="0"/>
            <w:vAlign w:val="center"/>
          </w:tcPr>
          <w:p>
            <w:pPr>
              <w:spacing w:line="460" w:lineRule="exact"/>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配套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1" w:hRule="atLeast"/>
        </w:trPr>
        <w:tc>
          <w:tcPr>
            <w:tcW w:w="1057" w:type="dxa"/>
            <w:noWrap w:val="0"/>
            <w:vAlign w:val="center"/>
          </w:tcPr>
          <w:p>
            <w:pPr>
              <w:spacing w:line="460" w:lineRule="exact"/>
              <w:jc w:val="center"/>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5</w:t>
            </w:r>
          </w:p>
        </w:tc>
        <w:tc>
          <w:tcPr>
            <w:tcW w:w="4454" w:type="dxa"/>
            <w:noWrap w:val="0"/>
            <w:vAlign w:val="center"/>
          </w:tcPr>
          <w:p>
            <w:pPr>
              <w:spacing w:line="460" w:lineRule="exact"/>
              <w:jc w:val="center"/>
              <w:rPr>
                <w:rFonts w:hint="eastAsia" w:ascii="新宋体" w:hAnsi="新宋体" w:eastAsia="新宋体" w:cs="新宋体"/>
                <w:bCs/>
                <w:sz w:val="22"/>
                <w:szCs w:val="22"/>
                <w:highlight w:val="none"/>
              </w:rPr>
            </w:pPr>
            <w:r>
              <w:rPr>
                <w:rFonts w:hint="eastAsia" w:ascii="新宋体" w:hAnsi="新宋体" w:eastAsia="新宋体" w:cs="新宋体"/>
                <w:kern w:val="0"/>
                <w:sz w:val="22"/>
                <w:szCs w:val="22"/>
                <w:highlight w:val="none"/>
              </w:rPr>
              <w:t>抗缪勒氏管激素</w:t>
            </w:r>
            <w:r>
              <w:rPr>
                <w:rFonts w:hint="eastAsia" w:ascii="新宋体" w:hAnsi="新宋体" w:eastAsia="新宋体" w:cs="新宋体"/>
                <w:bCs/>
                <w:sz w:val="22"/>
                <w:szCs w:val="22"/>
                <w:highlight w:val="none"/>
              </w:rPr>
              <w:t>AMH</w:t>
            </w:r>
          </w:p>
        </w:tc>
        <w:tc>
          <w:tcPr>
            <w:tcW w:w="1580" w:type="dxa"/>
            <w:noWrap w:val="0"/>
            <w:vAlign w:val="center"/>
          </w:tcPr>
          <w:p>
            <w:pPr>
              <w:spacing w:line="460" w:lineRule="exact"/>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3000</w:t>
            </w:r>
          </w:p>
        </w:tc>
        <w:tc>
          <w:tcPr>
            <w:tcW w:w="2591" w:type="dxa"/>
            <w:tcBorders>
              <w:left w:val="single" w:color="auto" w:sz="4" w:space="0"/>
            </w:tcBorders>
            <w:noWrap w:val="0"/>
            <w:vAlign w:val="center"/>
          </w:tcPr>
          <w:p>
            <w:pPr>
              <w:spacing w:line="460" w:lineRule="exact"/>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配套</w:t>
            </w:r>
          </w:p>
        </w:tc>
      </w:tr>
    </w:tbl>
    <w:p>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1、投标价为试剂价格与每年设备租赁价格分别报价。</w:t>
      </w:r>
    </w:p>
    <w:p>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2、试剂要求：投标商提供的常规项目试剂必须是医院认可品牌的试剂，试剂质量必须符合实验室质控要求，质量不稳定的，医院有权要求更换，直至质量过关为止。</w:t>
      </w:r>
    </w:p>
    <w:p>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3、本次招标医院只向中标商采购的试剂盒，投标商必须把与之相关的所有消耗品折算到试剂价格中（注：含质控品）。</w:t>
      </w:r>
    </w:p>
    <w:p>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4、租赁期1年+1年，1年期满无重</w:t>
      </w:r>
      <w:r>
        <w:rPr>
          <w:rFonts w:hint="eastAsia" w:ascii="新宋体" w:hAnsi="新宋体" w:eastAsia="新宋体" w:cs="新宋体"/>
          <w:sz w:val="22"/>
          <w:szCs w:val="22"/>
          <w:highlight w:val="none"/>
          <w:lang w:eastAsia="zh-CN"/>
        </w:rPr>
        <w:t>大</w:t>
      </w:r>
      <w:r>
        <w:rPr>
          <w:rFonts w:hint="eastAsia" w:ascii="新宋体" w:hAnsi="新宋体" w:eastAsia="新宋体" w:cs="新宋体"/>
          <w:sz w:val="22"/>
          <w:szCs w:val="22"/>
          <w:highlight w:val="none"/>
        </w:rPr>
        <w:t>问题可续签一年，从设备安装验收合格之日算起。合同期内试剂价格保持不变，医院根据实际临床需要用量采购试剂和支付租赁费。</w:t>
      </w:r>
    </w:p>
    <w:p>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5、如因集中招标等政策性调整，本招标结果自动结束，相关事宜双方协商解决。</w:t>
      </w:r>
    </w:p>
    <w:p>
      <w:pPr>
        <w:spacing w:line="460" w:lineRule="exact"/>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（二）其他</w:t>
      </w:r>
    </w:p>
    <w:p>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提供其他投标商认为可提供的优惠方案。</w:t>
      </w:r>
    </w:p>
    <w:p>
      <w:pPr>
        <w:spacing w:line="460" w:lineRule="exact"/>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（三）技术要求：</w:t>
      </w:r>
    </w:p>
    <w:p>
      <w:pPr>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合同期内须提供满足以下技术要求的时间和设备：</w:t>
      </w:r>
    </w:p>
    <w:tbl>
      <w:tblPr>
        <w:tblStyle w:val="53"/>
        <w:tblW w:w="9773" w:type="dxa"/>
        <w:tblInd w:w="13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2"/>
        <w:gridCol w:w="88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8861" w:type="dxa"/>
          </w:tcPr>
          <w:p>
            <w:pPr>
              <w:keepNext w:val="0"/>
              <w:keepLines w:val="0"/>
              <w:pageBreakBefore w:val="0"/>
              <w:widowControl w:val="0"/>
              <w:kinsoku/>
              <w:wordWrap/>
              <w:overflowPunct/>
              <w:topLinePunct w:val="0"/>
              <w:autoSpaceDE/>
              <w:bidi w:val="0"/>
              <w:adjustRightInd/>
              <w:snapToGrid/>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8861" w:type="dxa"/>
          </w:tcPr>
          <w:p>
            <w:pPr>
              <w:keepNext w:val="0"/>
              <w:keepLines w:val="0"/>
              <w:pageBreakBefore w:val="0"/>
              <w:widowControl w:val="0"/>
              <w:kinsoku/>
              <w:wordWrap/>
              <w:overflowPunct/>
              <w:topLinePunct w:val="0"/>
              <w:autoSpaceDE/>
              <w:bidi w:val="0"/>
              <w:adjustRightInd/>
              <w:snapToGrid/>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化学发光免疫分析系统一套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8861" w:type="dxa"/>
            <w:vAlign w:val="center"/>
          </w:tcPr>
          <w:p>
            <w:pPr>
              <w:keepNext w:val="0"/>
              <w:keepLines w:val="0"/>
              <w:pageBreakBefore w:val="0"/>
              <w:widowControl w:val="0"/>
              <w:kinsoku/>
              <w:wordWrap/>
              <w:overflowPunct/>
              <w:topLinePunct w:val="0"/>
              <w:autoSpaceDE/>
              <w:bidi w:val="0"/>
              <w:adjustRightInd/>
              <w:snapToGrid/>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分析方法：吖啶酯直接化学发光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8861" w:type="dxa"/>
            <w:vAlign w:val="center"/>
          </w:tcPr>
          <w:p>
            <w:pPr>
              <w:keepNext w:val="0"/>
              <w:keepLines w:val="0"/>
              <w:pageBreakBefore w:val="0"/>
              <w:widowControl w:val="0"/>
              <w:kinsoku/>
              <w:wordWrap/>
              <w:overflowPunct/>
              <w:topLinePunct w:val="0"/>
              <w:autoSpaceDE/>
              <w:bidi w:val="0"/>
              <w:adjustRightInd/>
              <w:snapToGrid/>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用于心磷脂抗体IgG、IgM、IgA、Ig(GAM)检测和抗β2糖蛋白1抗体IgG、IgM、IgA检测，并提供有效的产品注册证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8861" w:type="dxa"/>
            <w:vAlign w:val="center"/>
          </w:tcPr>
          <w:p>
            <w:pPr>
              <w:keepNext w:val="0"/>
              <w:keepLines w:val="0"/>
              <w:pageBreakBefore w:val="0"/>
              <w:widowControl w:val="0"/>
              <w:kinsoku/>
              <w:wordWrap/>
              <w:overflowPunct/>
              <w:topLinePunct w:val="0"/>
              <w:autoSpaceDE/>
              <w:bidi w:val="0"/>
              <w:adjustRightInd/>
              <w:snapToGrid/>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可用于抗缪勒氏管激素（AMH）全自动检测，产品证件齐全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8861" w:type="dxa"/>
            <w:vAlign w:val="center"/>
          </w:tcPr>
          <w:p>
            <w:pPr>
              <w:keepNext w:val="0"/>
              <w:keepLines w:val="0"/>
              <w:pageBreakBefore w:val="0"/>
              <w:widowControl w:val="0"/>
              <w:kinsoku/>
              <w:wordWrap/>
              <w:overflowPunct/>
              <w:topLinePunct w:val="0"/>
              <w:autoSpaceDE/>
              <w:bidi w:val="0"/>
              <w:adjustRightInd/>
              <w:snapToGrid/>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可用于肺炎支原体（MP）、肺炎衣原体，抑制素B的相关检测，产品证件齐全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w:t>
            </w:r>
          </w:p>
        </w:tc>
        <w:tc>
          <w:tcPr>
            <w:tcW w:w="8861" w:type="dxa"/>
            <w:vAlign w:val="center"/>
          </w:tcPr>
          <w:p>
            <w:pPr>
              <w:keepNext w:val="0"/>
              <w:keepLines w:val="0"/>
              <w:pageBreakBefore w:val="0"/>
              <w:widowControl w:val="0"/>
              <w:kinsoku/>
              <w:wordWrap/>
              <w:overflowPunct/>
              <w:topLinePunct w:val="0"/>
              <w:autoSpaceDE/>
              <w:bidi w:val="0"/>
              <w:adjustRightInd/>
              <w:snapToGrid/>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所有开展的项目，为同一品牌试剂，消耗品，节省科室空间和管理难度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w:t>
            </w:r>
          </w:p>
        </w:tc>
        <w:tc>
          <w:tcPr>
            <w:tcW w:w="8861" w:type="dxa"/>
            <w:vAlign w:val="center"/>
          </w:tcPr>
          <w:p>
            <w:pPr>
              <w:keepNext w:val="0"/>
              <w:keepLines w:val="0"/>
              <w:pageBreakBefore w:val="0"/>
              <w:widowControl w:val="0"/>
              <w:kinsoku/>
              <w:wordWrap/>
              <w:overflowPunct/>
              <w:topLinePunct w:val="0"/>
              <w:autoSpaceDE/>
              <w:bidi w:val="0"/>
              <w:adjustRightInd/>
              <w:snapToGrid/>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机器与全部试剂为同一品牌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p>
        </w:tc>
        <w:tc>
          <w:tcPr>
            <w:tcW w:w="8861" w:type="dxa"/>
            <w:vAlign w:val="center"/>
          </w:tcPr>
          <w:p>
            <w:pPr>
              <w:keepNext w:val="0"/>
              <w:keepLines w:val="0"/>
              <w:pageBreakBefore w:val="0"/>
              <w:widowControl w:val="0"/>
              <w:kinsoku/>
              <w:wordWrap/>
              <w:overflowPunct/>
              <w:topLinePunct w:val="0"/>
              <w:autoSpaceDE/>
              <w:bidi w:val="0"/>
              <w:adjustRightInd/>
              <w:snapToGrid/>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单台检测速度：≥</w:t>
            </w:r>
            <w:r>
              <w:rPr>
                <w:rFonts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t>00测试/小时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1.8</w:t>
            </w:r>
          </w:p>
        </w:tc>
        <w:tc>
          <w:tcPr>
            <w:tcW w:w="8861" w:type="dxa"/>
            <w:vAlign w:val="center"/>
          </w:tcPr>
          <w:p>
            <w:pPr>
              <w:keepNext w:val="0"/>
              <w:keepLines w:val="0"/>
              <w:pageBreakBefore w:val="0"/>
              <w:widowControl w:val="0"/>
              <w:kinsoku/>
              <w:wordWrap/>
              <w:overflowPunct/>
              <w:topLinePunct w:val="0"/>
              <w:autoSpaceDE/>
              <w:bidi w:val="0"/>
              <w:adjustRightInd/>
              <w:snapToGrid/>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可模块化联机，最高测速：≥</w:t>
            </w:r>
            <w:r>
              <w:rPr>
                <w:rFonts w:ascii="新宋体" w:hAnsi="新宋体" w:eastAsia="新宋体" w:cs="新宋体"/>
                <w:color w:val="auto"/>
                <w:sz w:val="22"/>
                <w:szCs w:val="22"/>
                <w:highlight w:val="none"/>
              </w:rPr>
              <w:t>2400</w:t>
            </w:r>
            <w:r>
              <w:rPr>
                <w:rFonts w:hint="eastAsia" w:ascii="新宋体" w:hAnsi="新宋体" w:eastAsia="新宋体" w:cs="新宋体"/>
                <w:color w:val="auto"/>
                <w:sz w:val="22"/>
                <w:szCs w:val="22"/>
                <w:highlight w:val="none"/>
              </w:rPr>
              <w:t>测试/小时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1.9</w:t>
            </w:r>
          </w:p>
        </w:tc>
        <w:tc>
          <w:tcPr>
            <w:tcW w:w="8861" w:type="dxa"/>
            <w:vAlign w:val="center"/>
          </w:tcPr>
          <w:p>
            <w:pPr>
              <w:keepNext w:val="0"/>
              <w:keepLines w:val="0"/>
              <w:pageBreakBefore w:val="0"/>
              <w:widowControl w:val="0"/>
              <w:kinsoku/>
              <w:wordWrap/>
              <w:overflowPunct/>
              <w:topLinePunct w:val="0"/>
              <w:autoSpaceDE/>
              <w:autoSpaceDN w:val="0"/>
              <w:bidi w:val="0"/>
              <w:adjustRightInd/>
              <w:snapToGrid/>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单台试剂位：≥</w:t>
            </w:r>
            <w:r>
              <w:rPr>
                <w:rFonts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rPr>
              <w:t>0个项目，工作中可在线更换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1.10</w:t>
            </w:r>
          </w:p>
        </w:tc>
        <w:tc>
          <w:tcPr>
            <w:tcW w:w="8861" w:type="dxa"/>
            <w:vAlign w:val="center"/>
          </w:tcPr>
          <w:p>
            <w:pPr>
              <w:keepNext w:val="0"/>
              <w:keepLines w:val="0"/>
              <w:pageBreakBefore w:val="0"/>
              <w:widowControl w:val="0"/>
              <w:kinsoku/>
              <w:wordWrap/>
              <w:overflowPunct/>
              <w:topLinePunct w:val="0"/>
              <w:autoSpaceDE/>
              <w:autoSpaceDN w:val="0"/>
              <w:bidi w:val="0"/>
              <w:adjustRightInd/>
              <w:snapToGrid/>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样本位：≥140个，原始管上机并随时加载；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1.11</w:t>
            </w:r>
          </w:p>
        </w:tc>
        <w:tc>
          <w:tcPr>
            <w:tcW w:w="8861" w:type="dxa"/>
            <w:vAlign w:val="center"/>
          </w:tcPr>
          <w:p>
            <w:pPr>
              <w:keepNext w:val="0"/>
              <w:keepLines w:val="0"/>
              <w:pageBreakBefore w:val="0"/>
              <w:widowControl w:val="0"/>
              <w:kinsoku/>
              <w:wordWrap/>
              <w:overflowPunct/>
              <w:topLinePunct w:val="0"/>
              <w:autoSpaceDE/>
              <w:autoSpaceDN w:val="0"/>
              <w:bidi w:val="0"/>
              <w:adjustRightInd/>
              <w:snapToGrid/>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反应杯：可一次性装载≥2000个反应杯，可在线随机加杯，全程跟踪，不足报警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★1.12</w:t>
            </w:r>
          </w:p>
        </w:tc>
        <w:tc>
          <w:tcPr>
            <w:tcW w:w="8861" w:type="dxa"/>
            <w:vAlign w:val="center"/>
          </w:tcPr>
          <w:p>
            <w:pPr>
              <w:keepNext w:val="0"/>
              <w:keepLines w:val="0"/>
              <w:pageBreakBefore w:val="0"/>
              <w:widowControl w:val="0"/>
              <w:kinsoku/>
              <w:wordWrap/>
              <w:overflowPunct/>
              <w:topLinePunct w:val="0"/>
              <w:autoSpaceDE/>
              <w:autoSpaceDN w:val="0"/>
              <w:bidi w:val="0"/>
              <w:adjustRightInd/>
              <w:snapToGrid/>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急诊功能：具备急诊功能，急诊样本随时插入，优先处理。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★1.13</w:t>
            </w:r>
          </w:p>
        </w:tc>
        <w:tc>
          <w:tcPr>
            <w:tcW w:w="8861" w:type="dxa"/>
            <w:vAlign w:val="center"/>
          </w:tcPr>
          <w:p>
            <w:pPr>
              <w:keepNext w:val="0"/>
              <w:keepLines w:val="0"/>
              <w:pageBreakBefore w:val="0"/>
              <w:widowControl w:val="0"/>
              <w:kinsoku/>
              <w:wordWrap/>
              <w:overflowPunct/>
              <w:topLinePunct w:val="0"/>
              <w:autoSpaceDE/>
              <w:bidi w:val="0"/>
              <w:adjustRightInd/>
              <w:snapToGrid/>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急诊功能：第一个出结果时间为12分钟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1.14</w:t>
            </w:r>
          </w:p>
        </w:tc>
        <w:tc>
          <w:tcPr>
            <w:tcW w:w="8861" w:type="dxa"/>
            <w:vAlign w:val="center"/>
          </w:tcPr>
          <w:p>
            <w:pPr>
              <w:keepNext w:val="0"/>
              <w:keepLines w:val="0"/>
              <w:pageBreakBefore w:val="0"/>
              <w:widowControl w:val="0"/>
              <w:tabs>
                <w:tab w:val="left" w:pos="0"/>
              </w:tabs>
              <w:kinsoku/>
              <w:wordWrap/>
              <w:overflowPunct/>
              <w:topLinePunct w:val="0"/>
              <w:autoSpaceDE/>
              <w:bidi w:val="0"/>
              <w:adjustRightInd/>
              <w:snapToGrid/>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反应过程中能连续加载样本试剂及耗品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1.15</w:t>
            </w:r>
          </w:p>
        </w:tc>
        <w:tc>
          <w:tcPr>
            <w:tcW w:w="8861" w:type="dxa"/>
            <w:vAlign w:val="center"/>
          </w:tcPr>
          <w:p>
            <w:pPr>
              <w:keepNext w:val="0"/>
              <w:keepLines w:val="0"/>
              <w:pageBreakBefore w:val="0"/>
              <w:widowControl w:val="0"/>
              <w:kinsoku/>
              <w:wordWrap/>
              <w:overflowPunct/>
              <w:topLinePunct w:val="0"/>
              <w:autoSpaceDE/>
              <w:autoSpaceDN w:val="0"/>
              <w:bidi w:val="0"/>
              <w:adjustRightInd/>
              <w:snapToGrid/>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试剂系统：具备试剂冷藏装置（2-8℃），试剂可在机冷藏存储，有试剂不足报警功能，且可在线添加试剂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1.16</w:t>
            </w:r>
          </w:p>
        </w:tc>
        <w:tc>
          <w:tcPr>
            <w:tcW w:w="8861" w:type="dxa"/>
            <w:vAlign w:val="center"/>
          </w:tcPr>
          <w:p>
            <w:pPr>
              <w:keepNext w:val="0"/>
              <w:keepLines w:val="0"/>
              <w:pageBreakBefore w:val="0"/>
              <w:widowControl w:val="0"/>
              <w:kinsoku/>
              <w:wordWrap/>
              <w:overflowPunct/>
              <w:topLinePunct w:val="0"/>
              <w:autoSpaceDE/>
              <w:autoSpaceDN w:val="0"/>
              <w:bidi w:val="0"/>
              <w:adjustRightInd/>
              <w:snapToGrid/>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加样系统：加样（样本添加和试剂添加）系统具备液面感应、随量跟踪、气泡、空吸检测、防堵、防撞功能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912" w:type="dxa"/>
            <w:vAlign w:val="center"/>
          </w:tcPr>
          <w:p>
            <w:pPr>
              <w:keepNext w:val="0"/>
              <w:keepLines w:val="0"/>
              <w:pageBreakBefore w:val="0"/>
              <w:widowControl w:val="0"/>
              <w:kinsoku/>
              <w:wordWrap/>
              <w:overflowPunct/>
              <w:topLinePunct w:val="0"/>
              <w:autoSpaceDE/>
              <w:autoSpaceDN w:val="0"/>
              <w:bidi w:val="0"/>
              <w:adjustRightInd/>
              <w:snapToGrid/>
              <w:spacing w:line="460" w:lineRule="exact"/>
              <w:jc w:val="center"/>
              <w:textAlignment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1.17</w:t>
            </w:r>
          </w:p>
        </w:tc>
        <w:tc>
          <w:tcPr>
            <w:tcW w:w="8861" w:type="dxa"/>
            <w:vAlign w:val="center"/>
          </w:tcPr>
          <w:p>
            <w:pPr>
              <w:keepNext w:val="0"/>
              <w:keepLines w:val="0"/>
              <w:pageBreakBefore w:val="0"/>
              <w:widowControl w:val="0"/>
              <w:kinsoku/>
              <w:wordWrap/>
              <w:overflowPunct/>
              <w:topLinePunct w:val="0"/>
              <w:autoSpaceDE/>
              <w:autoSpaceDN w:val="0"/>
              <w:bidi w:val="0"/>
              <w:adjustRightInd/>
              <w:snapToGrid/>
              <w:spacing w:line="460" w:lineRule="exact"/>
              <w:jc w:val="left"/>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无需一次性Tip头吸取样本，支持所有</w:t>
            </w:r>
            <w:r>
              <w:rPr>
                <w:rFonts w:hint="eastAsia" w:ascii="新宋体" w:hAnsi="新宋体" w:eastAsia="新宋体" w:cs="新宋体"/>
                <w:color w:val="auto"/>
                <w:sz w:val="22"/>
                <w:szCs w:val="22"/>
                <w:highlight w:val="none"/>
                <w:lang w:val="en-US" w:eastAsia="zh-Hans"/>
              </w:rPr>
              <w:t>试剂</w:t>
            </w:r>
            <w:r>
              <w:rPr>
                <w:rFonts w:hint="default" w:ascii="新宋体" w:hAnsi="新宋体" w:eastAsia="新宋体" w:cs="新宋体"/>
                <w:color w:val="auto"/>
                <w:sz w:val="22"/>
                <w:szCs w:val="22"/>
                <w:highlight w:val="none"/>
                <w:lang w:eastAsia="zh-Hans"/>
              </w:rPr>
              <w:t>、</w:t>
            </w:r>
            <w:r>
              <w:rPr>
                <w:rFonts w:hint="eastAsia" w:ascii="新宋体" w:hAnsi="新宋体" w:eastAsia="新宋体" w:cs="新宋体"/>
                <w:color w:val="auto"/>
                <w:sz w:val="22"/>
                <w:szCs w:val="22"/>
                <w:highlight w:val="none"/>
              </w:rPr>
              <w:t>耗材测试过程中在线更换。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1.18</w:t>
            </w:r>
          </w:p>
        </w:tc>
        <w:tc>
          <w:tcPr>
            <w:tcW w:w="8861" w:type="dxa"/>
            <w:vAlign w:val="center"/>
          </w:tcPr>
          <w:p>
            <w:pPr>
              <w:keepNext w:val="0"/>
              <w:keepLines w:val="0"/>
              <w:pageBreakBefore w:val="0"/>
              <w:widowControl w:val="0"/>
              <w:kinsoku/>
              <w:wordWrap/>
              <w:overflowPunct/>
              <w:topLinePunct w:val="0"/>
              <w:autoSpaceDE/>
              <w:autoSpaceDN w:val="0"/>
              <w:bidi w:val="0"/>
              <w:adjustRightInd/>
              <w:snapToGrid/>
              <w:spacing w:line="460" w:lineRule="exact"/>
              <w:jc w:val="left"/>
              <w:textAlignment w:val="center"/>
              <w:rPr>
                <w:rFonts w:ascii="新宋体" w:hAnsi="新宋体" w:eastAsia="新宋体" w:cs="新宋体"/>
                <w:color w:val="auto"/>
                <w:sz w:val="22"/>
                <w:szCs w:val="22"/>
                <w:highlight w:val="none"/>
              </w:rPr>
            </w:pPr>
            <w:r>
              <w:rPr>
                <w:rFonts w:hint="eastAsia"/>
                <w:color w:val="auto"/>
                <w:szCs w:val="21"/>
                <w:highlight w:val="none"/>
              </w:rPr>
              <w:t>携带</w:t>
            </w:r>
            <w:r>
              <w:rPr>
                <w:color w:val="auto"/>
                <w:szCs w:val="21"/>
                <w:highlight w:val="none"/>
              </w:rPr>
              <w:t>污染率：</w:t>
            </w:r>
            <w:r>
              <w:rPr>
                <w:rFonts w:hint="eastAsia"/>
                <w:color w:val="auto"/>
                <w:szCs w:val="21"/>
                <w:highlight w:val="none"/>
              </w:rPr>
              <w:t>≤0.1PPM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1.19</w:t>
            </w:r>
          </w:p>
        </w:tc>
        <w:tc>
          <w:tcPr>
            <w:tcW w:w="8861" w:type="dxa"/>
            <w:vAlign w:val="center"/>
          </w:tcPr>
          <w:p>
            <w:pPr>
              <w:keepNext w:val="0"/>
              <w:keepLines w:val="0"/>
              <w:pageBreakBefore w:val="0"/>
              <w:widowControl w:val="0"/>
              <w:kinsoku/>
              <w:wordWrap/>
              <w:overflowPunct/>
              <w:topLinePunct w:val="0"/>
              <w:autoSpaceDE/>
              <w:bidi w:val="0"/>
              <w:adjustRightInd/>
              <w:snapToGrid/>
              <w:spacing w:line="460" w:lineRule="exact"/>
              <w:rPr>
                <w:color w:val="auto"/>
                <w:szCs w:val="21"/>
                <w:highlight w:val="none"/>
              </w:rPr>
            </w:pPr>
            <w:r>
              <w:rPr>
                <w:color w:val="auto"/>
                <w:szCs w:val="21"/>
                <w:highlight w:val="none"/>
              </w:rPr>
              <w:t>设备可24小时待机</w:t>
            </w:r>
            <w:r>
              <w:rPr>
                <w:rFonts w:hint="eastAsia"/>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1.20</w:t>
            </w:r>
          </w:p>
        </w:tc>
        <w:tc>
          <w:tcPr>
            <w:tcW w:w="8861" w:type="dxa"/>
            <w:vAlign w:val="center"/>
          </w:tcPr>
          <w:p>
            <w:pPr>
              <w:keepNext w:val="0"/>
              <w:keepLines w:val="0"/>
              <w:pageBreakBefore w:val="0"/>
              <w:widowControl w:val="0"/>
              <w:kinsoku/>
              <w:wordWrap/>
              <w:overflowPunct/>
              <w:topLinePunct w:val="0"/>
              <w:autoSpaceDE/>
              <w:bidi w:val="0"/>
              <w:adjustRightInd/>
              <w:snapToGrid/>
              <w:spacing w:line="460" w:lineRule="exact"/>
              <w:rPr>
                <w:color w:val="auto"/>
                <w:szCs w:val="21"/>
                <w:highlight w:val="none"/>
              </w:rPr>
            </w:pPr>
            <w:r>
              <w:rPr>
                <w:color w:val="auto"/>
                <w:szCs w:val="21"/>
                <w:highlight w:val="none"/>
              </w:rPr>
              <w:t>设备具有实时故障报警</w:t>
            </w:r>
            <w:r>
              <w:rPr>
                <w:rFonts w:hint="eastAsia"/>
                <w:color w:val="auto"/>
                <w:szCs w:val="21"/>
                <w:highlight w:val="none"/>
              </w:rPr>
              <w:t>、</w:t>
            </w:r>
            <w:r>
              <w:rPr>
                <w:color w:val="auto"/>
                <w:szCs w:val="21"/>
                <w:highlight w:val="none"/>
              </w:rPr>
              <w:t>反馈日志记录功能</w:t>
            </w:r>
            <w:r>
              <w:rPr>
                <w:rFonts w:hint="eastAsia"/>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trPr>
        <w:tc>
          <w:tcPr>
            <w:tcW w:w="912" w:type="dxa"/>
            <w:vAlign w:val="center"/>
          </w:tcPr>
          <w:p>
            <w:pPr>
              <w:pStyle w:val="2"/>
              <w:keepNext w:val="0"/>
              <w:keepLines w:val="0"/>
              <w:pageBreakBefore w:val="0"/>
              <w:widowControl w:val="0"/>
              <w:kinsoku/>
              <w:wordWrap/>
              <w:overflowPunct/>
              <w:topLinePunct w:val="0"/>
              <w:autoSpaceDE/>
              <w:bidi w:val="0"/>
              <w:adjustRightInd/>
              <w:snapToGrid/>
              <w:spacing w:line="460" w:lineRule="exact"/>
              <w:ind w:left="0" w:leftChars="0" w:firstLine="0" w:firstLineChars="0"/>
              <w:jc w:val="center"/>
              <w:rPr>
                <w:rFonts w:hint="default" w:eastAsia="宋体"/>
                <w:color w:val="auto"/>
                <w:highlight w:val="none"/>
                <w:lang w:val="en-US" w:eastAsia="zh-CN"/>
              </w:rPr>
            </w:pPr>
            <w:r>
              <w:rPr>
                <w:rFonts w:hint="eastAsia" w:ascii="新宋体" w:hAnsi="新宋体" w:eastAsia="新宋体" w:cs="新宋体"/>
                <w:color w:val="auto"/>
                <w:kern w:val="2"/>
                <w:sz w:val="22"/>
                <w:szCs w:val="22"/>
                <w:highlight w:val="none"/>
                <w:lang w:val="en-US" w:eastAsia="zh-CN" w:bidi="ar-SA"/>
              </w:rPr>
              <w:t>1.21</w:t>
            </w:r>
          </w:p>
        </w:tc>
        <w:tc>
          <w:tcPr>
            <w:tcW w:w="8861" w:type="dxa"/>
            <w:vAlign w:val="center"/>
          </w:tcPr>
          <w:p>
            <w:pPr>
              <w:keepNext w:val="0"/>
              <w:keepLines w:val="0"/>
              <w:pageBreakBefore w:val="0"/>
              <w:widowControl w:val="0"/>
              <w:kinsoku/>
              <w:wordWrap/>
              <w:overflowPunct/>
              <w:topLinePunct w:val="0"/>
              <w:autoSpaceDE/>
              <w:bidi w:val="0"/>
              <w:adjustRightInd/>
              <w:snapToGrid/>
              <w:spacing w:line="460" w:lineRule="exact"/>
              <w:rPr>
                <w:color w:val="auto"/>
                <w:szCs w:val="21"/>
                <w:highlight w:val="none"/>
              </w:rPr>
            </w:pPr>
            <w:r>
              <w:rPr>
                <w:color w:val="auto"/>
                <w:szCs w:val="21"/>
                <w:highlight w:val="none"/>
              </w:rPr>
              <w:t>设备对仪器状态、测试状态、试剂耗材可进行实时监测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22</w:t>
            </w:r>
          </w:p>
        </w:tc>
        <w:tc>
          <w:tcPr>
            <w:tcW w:w="8861" w:type="dxa"/>
            <w:vAlign w:val="center"/>
          </w:tcPr>
          <w:p>
            <w:pPr>
              <w:keepNext w:val="0"/>
              <w:keepLines w:val="0"/>
              <w:pageBreakBefore w:val="0"/>
              <w:widowControl w:val="0"/>
              <w:kinsoku/>
              <w:wordWrap/>
              <w:overflowPunct/>
              <w:topLinePunct w:val="0"/>
              <w:autoSpaceDE/>
              <w:autoSpaceDN w:val="0"/>
              <w:bidi w:val="0"/>
              <w:adjustRightInd/>
              <w:snapToGrid/>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拓展测试项目齐全：≥110项;包括新冠试剂IgM，IgG分项检测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23</w:t>
            </w:r>
          </w:p>
        </w:tc>
        <w:tc>
          <w:tcPr>
            <w:tcW w:w="8861" w:type="dxa"/>
            <w:vAlign w:val="center"/>
          </w:tcPr>
          <w:p>
            <w:pPr>
              <w:keepNext w:val="0"/>
              <w:keepLines w:val="0"/>
              <w:pageBreakBefore w:val="0"/>
              <w:widowControl w:val="0"/>
              <w:kinsoku/>
              <w:wordWrap/>
              <w:overflowPunct/>
              <w:topLinePunct w:val="0"/>
              <w:autoSpaceDE/>
              <w:autoSpaceDN w:val="0"/>
              <w:bidi w:val="0"/>
              <w:adjustRightInd/>
              <w:snapToGrid/>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提供磷脂浙江省用户≥10家，并提供试剂发票；温州市三级以上医院装机用户≥5家，并提供试剂在用发票。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5" w:hRule="atLeast"/>
        </w:trPr>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24</w:t>
            </w:r>
          </w:p>
        </w:tc>
        <w:tc>
          <w:tcPr>
            <w:tcW w:w="8861" w:type="dxa"/>
            <w:vAlign w:val="center"/>
          </w:tcPr>
          <w:p>
            <w:pPr>
              <w:keepNext w:val="0"/>
              <w:keepLines w:val="0"/>
              <w:pageBreakBefore w:val="0"/>
              <w:widowControl w:val="0"/>
              <w:kinsoku/>
              <w:wordWrap/>
              <w:overflowPunct/>
              <w:topLinePunct w:val="0"/>
              <w:autoSpaceDE/>
              <w:autoSpaceDN w:val="0"/>
              <w:bidi w:val="0"/>
              <w:adjustRightInd/>
              <w:snapToGrid/>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数据输入要求：系统进行扫描条码识别，同时可接受样本的条码输入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25</w:t>
            </w:r>
          </w:p>
        </w:tc>
        <w:tc>
          <w:tcPr>
            <w:tcW w:w="8861" w:type="dxa"/>
            <w:vAlign w:val="center"/>
          </w:tcPr>
          <w:p>
            <w:pPr>
              <w:keepNext w:val="0"/>
              <w:keepLines w:val="0"/>
              <w:pageBreakBefore w:val="0"/>
              <w:widowControl w:val="0"/>
              <w:kinsoku/>
              <w:wordWrap/>
              <w:overflowPunct/>
              <w:topLinePunct w:val="0"/>
              <w:autoSpaceDE/>
              <w:autoSpaceDN w:val="0"/>
              <w:bidi w:val="0"/>
              <w:adjustRightInd/>
              <w:snapToGrid/>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数据输出要求：整套设备可与实验室配套信息管理软件对接，实现有效的智能化信息管理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hint="eastAsia" w:ascii="新宋体" w:hAnsi="新宋体" w:eastAsia="新宋体" w:cs="新宋体"/>
                <w:color w:val="auto"/>
                <w:sz w:val="22"/>
                <w:szCs w:val="22"/>
                <w:highlight w:val="none"/>
              </w:rPr>
            </w:pPr>
            <w:r>
              <w:rPr>
                <w:rFonts w:hint="default"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Hans"/>
              </w:rPr>
              <w:t>.</w:t>
            </w:r>
            <w:r>
              <w:rPr>
                <w:rFonts w:hint="eastAsia" w:ascii="新宋体" w:hAnsi="新宋体" w:eastAsia="新宋体" w:cs="新宋体"/>
                <w:color w:val="auto"/>
                <w:sz w:val="22"/>
                <w:szCs w:val="22"/>
                <w:highlight w:val="none"/>
                <w:lang w:val="en-US" w:eastAsia="zh-CN"/>
              </w:rPr>
              <w:t>26</w:t>
            </w:r>
          </w:p>
        </w:tc>
        <w:tc>
          <w:tcPr>
            <w:tcW w:w="8861" w:type="dxa"/>
            <w:vAlign w:val="center"/>
          </w:tcPr>
          <w:p>
            <w:pPr>
              <w:keepNext w:val="0"/>
              <w:keepLines w:val="0"/>
              <w:pageBreakBefore w:val="0"/>
              <w:widowControl w:val="0"/>
              <w:kinsoku/>
              <w:wordWrap/>
              <w:overflowPunct/>
              <w:topLinePunct w:val="0"/>
              <w:autoSpaceDE/>
              <w:autoSpaceDN w:val="0"/>
              <w:bidi w:val="0"/>
              <w:adjustRightInd/>
              <w:snapToGrid/>
              <w:spacing w:line="460" w:lineRule="exact"/>
              <w:jc w:val="left"/>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Hans"/>
              </w:rPr>
              <w:t>投标产品需提前经过院方质量论证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8861" w:type="dxa"/>
            <w:vAlign w:val="center"/>
          </w:tcPr>
          <w:p>
            <w:pPr>
              <w:keepNext w:val="0"/>
              <w:keepLines w:val="0"/>
              <w:pageBreakBefore w:val="0"/>
              <w:widowControl w:val="0"/>
              <w:kinsoku/>
              <w:wordWrap/>
              <w:overflowPunct/>
              <w:topLinePunct w:val="0"/>
              <w:autoSpaceDE/>
              <w:autoSpaceDN w:val="0"/>
              <w:bidi w:val="0"/>
              <w:adjustRightInd/>
              <w:snapToGrid/>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合同期内负责所有设备的安装、维护、维修和质量保证，并承担由此而产生的所有费用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8861" w:type="dxa"/>
            <w:vAlign w:val="center"/>
          </w:tcPr>
          <w:p>
            <w:pPr>
              <w:keepNext w:val="0"/>
              <w:keepLines w:val="0"/>
              <w:pageBreakBefore w:val="0"/>
              <w:widowControl w:val="0"/>
              <w:kinsoku/>
              <w:wordWrap/>
              <w:overflowPunct/>
              <w:topLinePunct w:val="0"/>
              <w:autoSpaceDE/>
              <w:autoSpaceDN w:val="0"/>
              <w:bidi w:val="0"/>
              <w:adjustRightInd/>
              <w:snapToGrid/>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能与检验科LIS系统联机的通讯端口连接，并承担联机软件费用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8861" w:type="dxa"/>
            <w:vAlign w:val="center"/>
          </w:tcPr>
          <w:p>
            <w:pPr>
              <w:keepNext w:val="0"/>
              <w:keepLines w:val="0"/>
              <w:pageBreakBefore w:val="0"/>
              <w:widowControl w:val="0"/>
              <w:kinsoku/>
              <w:wordWrap/>
              <w:overflowPunct/>
              <w:topLinePunct w:val="0"/>
              <w:autoSpaceDE/>
              <w:autoSpaceDN w:val="0"/>
              <w:bidi w:val="0"/>
              <w:adjustRightInd/>
              <w:snapToGrid/>
              <w:spacing w:line="460" w:lineRule="exact"/>
              <w:jc w:val="lef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数据处理工作站：1套（含高级计算机1台等）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8861" w:type="dxa"/>
            <w:vAlign w:val="center"/>
          </w:tcPr>
          <w:p>
            <w:pPr>
              <w:keepNext w:val="0"/>
              <w:keepLines w:val="0"/>
              <w:pageBreakBefore w:val="0"/>
              <w:widowControl w:val="0"/>
              <w:kinsoku/>
              <w:wordWrap/>
              <w:overflowPunct/>
              <w:topLinePunct w:val="0"/>
              <w:autoSpaceDE/>
              <w:bidi w:val="0"/>
              <w:adjustRightInd/>
              <w:snapToGrid/>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提供公司规模状况资料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8861" w:type="dxa"/>
            <w:vAlign w:val="center"/>
          </w:tcPr>
          <w:p>
            <w:pPr>
              <w:keepNext w:val="0"/>
              <w:keepLines w:val="0"/>
              <w:pageBreakBefore w:val="0"/>
              <w:widowControl w:val="0"/>
              <w:kinsoku/>
              <w:wordWrap/>
              <w:overflowPunct/>
              <w:topLinePunct w:val="0"/>
              <w:autoSpaceDE/>
              <w:bidi w:val="0"/>
              <w:adjustRightInd/>
              <w:snapToGrid/>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负责对医院操作人员进行仪器的基本操作和日常维护的培训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8861" w:type="dxa"/>
            <w:vAlign w:val="center"/>
          </w:tcPr>
          <w:p>
            <w:pPr>
              <w:keepNext w:val="0"/>
              <w:keepLines w:val="0"/>
              <w:pageBreakBefore w:val="0"/>
              <w:widowControl w:val="0"/>
              <w:kinsoku/>
              <w:wordWrap/>
              <w:overflowPunct/>
              <w:topLinePunct w:val="0"/>
              <w:autoSpaceDE/>
              <w:bidi w:val="0"/>
              <w:adjustRightInd/>
              <w:snapToGrid/>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提供检验质量保证措施资料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2" w:type="dxa"/>
            <w:vAlign w:val="center"/>
          </w:tcPr>
          <w:p>
            <w:pPr>
              <w:keepNext w:val="0"/>
              <w:keepLines w:val="0"/>
              <w:pageBreakBefore w:val="0"/>
              <w:widowControl w:val="0"/>
              <w:kinsoku/>
              <w:wordWrap/>
              <w:overflowPunct/>
              <w:topLinePunct w:val="0"/>
              <w:autoSpaceDE/>
              <w:bidi w:val="0"/>
              <w:adjustRightInd/>
              <w:snapToGrid/>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8861" w:type="dxa"/>
            <w:vAlign w:val="center"/>
          </w:tcPr>
          <w:p>
            <w:pPr>
              <w:keepNext w:val="0"/>
              <w:keepLines w:val="0"/>
              <w:pageBreakBefore w:val="0"/>
              <w:widowControl w:val="0"/>
              <w:kinsoku/>
              <w:wordWrap/>
              <w:overflowPunct/>
              <w:topLinePunct w:val="0"/>
              <w:autoSpaceDE/>
              <w:bidi w:val="0"/>
              <w:adjustRightInd/>
              <w:snapToGrid/>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培训：每年提供技术培训、学习活动2次以上</w:t>
            </w:r>
          </w:p>
        </w:tc>
      </w:tr>
    </w:tbl>
    <w:p>
      <w:pPr>
        <w:spacing w:line="460" w:lineRule="exact"/>
        <w:outlineLvl w:val="1"/>
        <w:rPr>
          <w:rFonts w:hint="eastAsia" w:ascii="新宋体" w:hAnsi="新宋体" w:eastAsia="新宋体" w:cs="新宋体"/>
          <w:b/>
          <w:bCs/>
          <w:spacing w:val="2"/>
          <w:sz w:val="22"/>
          <w:szCs w:val="22"/>
          <w:highlight w:val="none"/>
        </w:rPr>
      </w:pPr>
      <w:r>
        <w:rPr>
          <w:rFonts w:hint="eastAsia" w:ascii="新宋体" w:hAnsi="新宋体" w:eastAsia="新宋体" w:cs="新宋体"/>
          <w:b/>
          <w:bCs/>
          <w:sz w:val="22"/>
          <w:szCs w:val="22"/>
          <w:highlight w:val="none"/>
        </w:rPr>
        <w:t>五</w:t>
      </w:r>
      <w:r>
        <w:rPr>
          <w:rFonts w:hint="eastAsia" w:ascii="新宋体" w:hAnsi="新宋体" w:eastAsia="新宋体" w:cs="新宋体"/>
          <w:b/>
          <w:bCs/>
          <w:sz w:val="22"/>
          <w:szCs w:val="22"/>
          <w:highlight w:val="none"/>
          <w:lang w:val="en-GB"/>
        </w:rPr>
        <w:t>、商务条款</w:t>
      </w:r>
    </w:p>
    <w:p>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1、试剂到货期：收到医院设备科订货通知后，3个工作日内送货到医院。到货地点：由供应商送到设备科指定科室。试剂以实际测试数为单位开具送货单和发票。以医疗器械注册证上批准的规范名称开具送货单和发票。</w:t>
      </w:r>
    </w:p>
    <w:p>
      <w:pPr>
        <w:spacing w:line="460" w:lineRule="exact"/>
        <w:ind w:firstLine="440" w:firstLineChars="200"/>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2、货物送达医院时，应在发票或送货单上注明货物名称、规格（型号）、注册证号、注册证失效日期、制造商、生产日期（或生产批号）、产品有效期；货物名称和货物规格（型号）须与产品注册证一致。</w:t>
      </w:r>
    </w:p>
    <w:p>
      <w:pPr>
        <w:spacing w:line="460" w:lineRule="exact"/>
        <w:ind w:firstLine="440" w:firstLineChars="200"/>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3、供应商提供的货物应有6个月以上的有效期；签订合同前须提供省平台产品编码的产品，并且中标商必须已取得配送资格的企业。</w:t>
      </w:r>
    </w:p>
    <w:p>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4、</w:t>
      </w:r>
      <w:r>
        <w:rPr>
          <w:rFonts w:hint="eastAsia" w:ascii="新宋体" w:hAnsi="新宋体" w:eastAsia="新宋体" w:cs="新宋体"/>
          <w:bCs/>
          <w:sz w:val="22"/>
          <w:szCs w:val="22"/>
          <w:highlight w:val="none"/>
        </w:rPr>
        <w:t>医院</w:t>
      </w:r>
      <w:r>
        <w:rPr>
          <w:rFonts w:hint="eastAsia" w:ascii="新宋体" w:hAnsi="新宋体" w:eastAsia="新宋体" w:cs="新宋体"/>
          <w:sz w:val="22"/>
          <w:szCs w:val="22"/>
          <w:highlight w:val="none"/>
        </w:rPr>
        <w:t>对货物的外包装完好性、数量、规格、厂家、生产批号、有效期等信息进行核对无误后进行入库验收。若验收不合格，供应商必须更换货物，并且赔偿由此给医院造成的损失；入库记录为入库验收的唯一有效凭证，入库验收时间以入库记录时间为准。</w:t>
      </w:r>
    </w:p>
    <w:p>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5、付款：试剂的货款结算方法为：检测试剂盒以实际测试数为采购单位按月结算；检测设备以实际测试数为单位，年终核算支付租赁费。在收到发票后的3个月内支付货款或租赁费。</w:t>
      </w:r>
    </w:p>
    <w:p>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6、如有货物质量问题，供应商应免费更换相应的货物，并承担由于产品质量问题而引发的全部费用。</w:t>
      </w:r>
    </w:p>
    <w:p>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7、供应商发生一次下列情况之一，必须及时对货物进行处理，若造成医院损失的，供应商应赔偿损失；如多次（三次或三次以上）发生的，医院有权终止合同：（1）入库验收和使用中发现货物达不到产品功能性能要求或买方使用要求的；（2）不按时供货；（3）在使用过程中发生医疗器械不良事件或质量问题。（4）交货时，货物已过保质期的。（5）供应商的任一资质证书已过有效期的。（6）供应商在产品经销过程中，有违法违纪行为的；（7）货物发生质量问题且乙方无法解决。（8）产品性能不能满足临床要求。</w:t>
      </w:r>
    </w:p>
    <w:p>
      <w:pPr>
        <w:spacing w:line="460" w:lineRule="exact"/>
        <w:ind w:firstLine="440" w:firstLineChars="200"/>
        <w:rPr>
          <w:rFonts w:hint="eastAsia" w:ascii="新宋体" w:hAnsi="新宋体" w:eastAsia="新宋体" w:cs="新宋体"/>
          <w:spacing w:val="2"/>
          <w:sz w:val="22"/>
          <w:szCs w:val="22"/>
          <w:highlight w:val="none"/>
        </w:rPr>
      </w:pPr>
      <w:r>
        <w:rPr>
          <w:rFonts w:hint="eastAsia" w:ascii="新宋体" w:hAnsi="新宋体" w:eastAsia="新宋体" w:cs="新宋体"/>
          <w:sz w:val="22"/>
          <w:szCs w:val="22"/>
          <w:highlight w:val="none"/>
        </w:rPr>
        <w:t>8、报价方式：报到医院人民币价（含货物应交纳的一切税费、运输费、保险费和伴随服务费）。</w:t>
      </w:r>
    </w:p>
    <w:p>
      <w:pPr>
        <w:spacing w:line="460" w:lineRule="exact"/>
        <w:ind w:firstLine="448" w:firstLineChars="200"/>
        <w:rPr>
          <w:rFonts w:hint="eastAsia" w:ascii="新宋体" w:hAnsi="新宋体" w:eastAsia="新宋体" w:cs="新宋体"/>
          <w:spacing w:val="2"/>
          <w:sz w:val="22"/>
          <w:szCs w:val="22"/>
          <w:highlight w:val="none"/>
        </w:rPr>
      </w:pPr>
      <w:r>
        <w:rPr>
          <w:rFonts w:hint="eastAsia" w:ascii="新宋体" w:hAnsi="新宋体" w:eastAsia="新宋体" w:cs="新宋体"/>
          <w:spacing w:val="2"/>
          <w:sz w:val="22"/>
          <w:szCs w:val="22"/>
          <w:highlight w:val="none"/>
        </w:rPr>
        <w:t>9、医院根据需求有权选择更先进、更实惠的技术或方法来替代上述检测项目。</w:t>
      </w:r>
    </w:p>
    <w:p>
      <w:pPr>
        <w:spacing w:line="460" w:lineRule="exact"/>
        <w:ind w:firstLine="448" w:firstLineChars="200"/>
        <w:rPr>
          <w:rFonts w:hint="eastAsia" w:ascii="新宋体" w:hAnsi="新宋体" w:eastAsia="新宋体" w:cs="新宋体"/>
          <w:spacing w:val="2"/>
          <w:sz w:val="22"/>
          <w:szCs w:val="22"/>
          <w:highlight w:val="none"/>
        </w:rPr>
      </w:pPr>
      <w:r>
        <w:rPr>
          <w:rFonts w:hint="eastAsia" w:ascii="新宋体" w:hAnsi="新宋体" w:eastAsia="新宋体" w:cs="新宋体"/>
          <w:spacing w:val="2"/>
          <w:sz w:val="22"/>
          <w:szCs w:val="22"/>
          <w:highlight w:val="none"/>
        </w:rPr>
        <w:t>10、中标方在租赁期内可提前6个月提出终止租赁合作。</w:t>
      </w:r>
    </w:p>
    <w:p>
      <w:pPr>
        <w:spacing w:line="460" w:lineRule="exact"/>
        <w:ind w:firstLine="440" w:firstLineChars="200"/>
        <w:rPr>
          <w:rFonts w:hint="eastAsia" w:ascii="新宋体" w:hAnsi="新宋体" w:eastAsia="新宋体" w:cs="新宋体"/>
          <w:spacing w:val="2"/>
          <w:sz w:val="22"/>
          <w:szCs w:val="22"/>
          <w:highlight w:val="none"/>
        </w:rPr>
      </w:pPr>
      <w:r>
        <w:rPr>
          <w:rFonts w:hint="eastAsia" w:ascii="新宋体" w:hAnsi="新宋体" w:eastAsia="新宋体" w:cs="新宋体"/>
          <w:sz w:val="22"/>
          <w:szCs w:val="22"/>
          <w:highlight w:val="none"/>
        </w:rPr>
        <w:t>11、中标通知书</w:t>
      </w:r>
      <w:r>
        <w:rPr>
          <w:rFonts w:hint="eastAsia" w:ascii="新宋体" w:hAnsi="新宋体" w:eastAsia="新宋体" w:cs="新宋体"/>
          <w:spacing w:val="2"/>
          <w:sz w:val="22"/>
          <w:szCs w:val="22"/>
          <w:highlight w:val="none"/>
        </w:rPr>
        <w:t>发出之日起，5个工作日内签定完毕合同，合同内容不应与投标文件及承诺书内容有抵触，未在投标文件中列出、且不被用户所认可的内容，将不能作为合同条款的一部分。</w:t>
      </w:r>
    </w:p>
    <w:p>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12如在合同期内，合同执行与法律、法规或政府行政部门要求发生抵触，则应从法律、法规或政府行政部门要求规定执行；</w:t>
      </w:r>
    </w:p>
    <w:p>
      <w:pPr>
        <w:spacing w:line="460" w:lineRule="exact"/>
        <w:ind w:firstLine="448" w:firstLineChars="200"/>
        <w:rPr>
          <w:rFonts w:hint="eastAsia" w:ascii="新宋体" w:hAnsi="新宋体" w:eastAsia="新宋体" w:cs="新宋体"/>
          <w:b/>
          <w:bCs/>
          <w:sz w:val="22"/>
          <w:szCs w:val="22"/>
          <w:highlight w:val="none"/>
        </w:rPr>
      </w:pPr>
      <w:r>
        <w:rPr>
          <w:rFonts w:hint="eastAsia" w:ascii="新宋体" w:hAnsi="新宋体" w:eastAsia="新宋体" w:cs="新宋体"/>
          <w:spacing w:val="2"/>
          <w:sz w:val="22"/>
          <w:szCs w:val="22"/>
          <w:highlight w:val="none"/>
        </w:rPr>
        <w:t>13、合同签署地：温州</w:t>
      </w:r>
    </w:p>
    <w:p>
      <w:pPr>
        <w:spacing w:line="460" w:lineRule="exact"/>
        <w:ind w:left="440" w:leftChars="52" w:hanging="331" w:hangingChars="150"/>
        <w:outlineLvl w:val="1"/>
        <w:rPr>
          <w:rFonts w:hint="eastAsia" w:ascii="新宋体" w:hAnsi="新宋体" w:eastAsia="新宋体" w:cs="新宋体"/>
          <w:b/>
          <w:sz w:val="22"/>
          <w:szCs w:val="22"/>
          <w:highlight w:val="none"/>
        </w:rPr>
      </w:pPr>
      <w:r>
        <w:rPr>
          <w:rFonts w:hint="eastAsia" w:ascii="新宋体" w:hAnsi="新宋体" w:eastAsia="新宋体" w:cs="新宋体"/>
          <w:b/>
          <w:sz w:val="22"/>
          <w:szCs w:val="22"/>
          <w:highlight w:val="none"/>
        </w:rPr>
        <w:t>六、</w:t>
      </w:r>
      <w:r>
        <w:rPr>
          <w:rFonts w:hint="eastAsia" w:ascii="新宋体" w:hAnsi="新宋体" w:eastAsia="新宋体" w:cs="新宋体"/>
          <w:b/>
          <w:sz w:val="22"/>
          <w:szCs w:val="22"/>
          <w:highlight w:val="none"/>
          <w:lang w:val="zh-CN"/>
        </w:rPr>
        <w:t>说明</w:t>
      </w:r>
    </w:p>
    <w:p>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1、产品标准和规范应符合最新版本的中华人民共和国国家标准/规范，或相应的国际标准/规范，或厂家标准/规范</w:t>
      </w:r>
    </w:p>
    <w:p>
      <w:pPr>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2、本标书中的技术要求不得被认为是详尽无遗的，无论规定与否，投标供应商应提供所有投标文件没有规定但投标供应商认为完成本项目必要或必须的设备和材料，应在技术标表中一一列明并在商务标</w:t>
      </w:r>
      <w:r>
        <w:rPr>
          <w:rFonts w:hint="eastAsia" w:ascii="新宋体" w:hAnsi="新宋体" w:eastAsia="新宋体" w:cs="新宋体"/>
          <w:sz w:val="22"/>
          <w:szCs w:val="22"/>
          <w:highlight w:val="none"/>
        </w:rPr>
        <w:t>分项报价表中列出对应价格。</w:t>
      </w:r>
    </w:p>
    <w:p>
      <w:pPr>
        <w:spacing w:line="460" w:lineRule="exact"/>
        <w:ind w:firstLine="440" w:firstLineChars="200"/>
        <w:rPr>
          <w:rFonts w:hint="eastAsia" w:ascii="新宋体" w:hAnsi="新宋体" w:eastAsia="新宋体" w:cs="新宋体"/>
          <w:bCs/>
          <w:color w:val="000000"/>
          <w:sz w:val="22"/>
          <w:szCs w:val="22"/>
          <w:highlight w:val="none"/>
          <w:u w:val="single"/>
        </w:rPr>
      </w:pPr>
      <w:r>
        <w:rPr>
          <w:rFonts w:hint="eastAsia" w:ascii="新宋体" w:hAnsi="新宋体" w:eastAsia="新宋体" w:cs="新宋体"/>
          <w:sz w:val="22"/>
          <w:szCs w:val="22"/>
          <w:highlight w:val="none"/>
        </w:rPr>
        <w:t>3、</w:t>
      </w:r>
      <w:r>
        <w:rPr>
          <w:rFonts w:hint="eastAsia" w:ascii="新宋体" w:hAnsi="新宋体" w:eastAsia="新宋体" w:cs="新宋体"/>
          <w:color w:val="000000"/>
          <w:sz w:val="22"/>
          <w:szCs w:val="22"/>
          <w:highlight w:val="none"/>
        </w:rPr>
        <w:t>使用单位：温州市中医院</w:t>
      </w:r>
    </w:p>
    <w:p>
      <w:pPr>
        <w:rPr>
          <w:rFonts w:hint="eastAsia" w:ascii="宋体" w:hAnsi="宋体" w:eastAsia="宋体" w:cs="宋体"/>
        </w:rPr>
      </w:pPr>
      <w:r>
        <w:rPr>
          <w:rFonts w:hint="eastAsia" w:ascii="宋体" w:hAnsi="宋体" w:eastAsia="宋体" w:cs="宋体"/>
        </w:rPr>
        <w:br w:type="page"/>
      </w:r>
    </w:p>
    <w:p>
      <w:pPr>
        <w:pStyle w:val="4"/>
        <w:bidi w:val="0"/>
        <w:rPr>
          <w:rFonts w:hint="eastAsia" w:ascii="宋体" w:hAnsi="宋体" w:eastAsia="宋体" w:cs="宋体"/>
        </w:rPr>
      </w:pPr>
      <w:r>
        <w:rPr>
          <w:rFonts w:hint="eastAsia" w:ascii="宋体" w:hAnsi="宋体" w:eastAsia="宋体" w:cs="宋体"/>
        </w:rPr>
        <w:t>第五部分   评标原则及方法</w:t>
      </w:r>
      <w:bookmarkEnd w:id="78"/>
      <w:bookmarkEnd w:id="79"/>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0" w:name="_Toc15713"/>
      <w:bookmarkStart w:id="81" w:name="_Toc4407"/>
      <w:r>
        <w:rPr>
          <w:rFonts w:hint="eastAsia" w:ascii="宋体" w:hAnsi="宋体" w:eastAsia="宋体" w:cs="宋体"/>
          <w:b/>
          <w:color w:val="auto"/>
          <w:sz w:val="22"/>
          <w:szCs w:val="22"/>
          <w:highlight w:val="none"/>
        </w:rPr>
        <w:t>一、总 则</w:t>
      </w:r>
      <w:bookmarkEnd w:id="80"/>
      <w:bookmarkEnd w:id="81"/>
    </w:p>
    <w:p>
      <w:pPr>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2" w:name="_Toc23152"/>
      <w:bookmarkStart w:id="83" w:name="_Toc24468"/>
      <w:r>
        <w:rPr>
          <w:rFonts w:hint="eastAsia" w:ascii="宋体" w:hAnsi="宋体" w:eastAsia="宋体" w:cs="宋体"/>
          <w:b/>
          <w:color w:val="auto"/>
          <w:sz w:val="22"/>
          <w:szCs w:val="22"/>
          <w:highlight w:val="none"/>
        </w:rPr>
        <w:t>二、评标组织</w:t>
      </w:r>
      <w:bookmarkEnd w:id="82"/>
      <w:bookmarkEnd w:id="83"/>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4" w:name="_Toc15153"/>
      <w:bookmarkStart w:id="85" w:name="_Toc67"/>
      <w:r>
        <w:rPr>
          <w:rFonts w:hint="eastAsia" w:ascii="宋体" w:hAnsi="宋体" w:eastAsia="宋体" w:cs="宋体"/>
          <w:b/>
          <w:color w:val="auto"/>
          <w:sz w:val="22"/>
          <w:szCs w:val="22"/>
          <w:highlight w:val="none"/>
        </w:rPr>
        <w:t>三、评标程序</w:t>
      </w:r>
      <w:bookmarkEnd w:id="84"/>
      <w:bookmarkEnd w:id="85"/>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1、评标委员按照招标文件中规定的评标方法和标准，对投标文件进行商务和技术评估，综合比较与评价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pPr>
        <w:spacing w:line="460" w:lineRule="exact"/>
        <w:ind w:firstLine="541" w:firstLineChars="245"/>
        <w:rPr>
          <w:rFonts w:hint="eastAsia" w:ascii="宋体" w:hAnsi="宋体" w:eastAsia="宋体" w:cs="宋体"/>
          <w:b/>
          <w:bCs/>
          <w:color w:val="auto"/>
          <w:sz w:val="22"/>
          <w:szCs w:val="22"/>
          <w:highlight w:val="none"/>
          <w:u w:val="none"/>
        </w:rPr>
      </w:pPr>
      <w:r>
        <w:rPr>
          <w:rFonts w:hint="eastAsia" w:ascii="宋体" w:hAnsi="宋体" w:eastAsia="宋体" w:cs="宋体"/>
          <w:b/>
          <w:bCs/>
          <w:color w:val="auto"/>
          <w:sz w:val="22"/>
          <w:szCs w:val="22"/>
          <w:highlight w:val="none"/>
          <w:u w:val="non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pPr>
        <w:spacing w:line="460" w:lineRule="exact"/>
        <w:ind w:firstLine="541" w:firstLineChars="245"/>
        <w:rPr>
          <w:rFonts w:hint="eastAsia" w:ascii="宋体" w:hAnsi="宋体" w:eastAsia="宋体" w:cs="宋体"/>
          <w:color w:val="auto"/>
          <w:sz w:val="22"/>
          <w:szCs w:val="22"/>
          <w:highlight w:val="none"/>
          <w:u w:val="none"/>
        </w:rPr>
      </w:pPr>
      <w:r>
        <w:rPr>
          <w:rFonts w:hint="eastAsia" w:ascii="宋体" w:hAnsi="宋体" w:eastAsia="宋体" w:cs="宋体"/>
          <w:b/>
          <w:bCs/>
          <w:color w:val="auto"/>
          <w:sz w:val="22"/>
          <w:szCs w:val="22"/>
          <w:highlight w:val="none"/>
          <w:u w:val="none"/>
        </w:rPr>
        <w:t>非单一产品采购项目，应当根据采购项目技术构成、产品价格比重等合理确定核心产品。多家投标人提供的核心产品品牌相同的，按前款规定处理。</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6" w:name="_Toc24825"/>
      <w:bookmarkStart w:id="87" w:name="_Toc11306"/>
      <w:r>
        <w:rPr>
          <w:rFonts w:hint="eastAsia" w:ascii="宋体" w:hAnsi="宋体" w:eastAsia="宋体" w:cs="宋体"/>
          <w:b/>
          <w:color w:val="auto"/>
          <w:sz w:val="22"/>
          <w:szCs w:val="22"/>
          <w:highlight w:val="none"/>
        </w:rPr>
        <w:t>四、评标办法</w:t>
      </w:r>
      <w:bookmarkEnd w:id="86"/>
      <w:bookmarkEnd w:id="87"/>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总分设定为100分：技术标</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0%），商务标（报价）</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w:t>
      </w:r>
    </w:p>
    <w:p>
      <w:pPr>
        <w:keepNext w:val="0"/>
        <w:keepLines w:val="0"/>
        <w:pageBreakBefore w:val="0"/>
        <w:widowControl w:val="0"/>
        <w:numPr>
          <w:ilvl w:val="0"/>
          <w:numId w:val="14"/>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8" w:name="_Toc11450"/>
      <w:bookmarkStart w:id="89" w:name="_Toc1535"/>
      <w:r>
        <w:rPr>
          <w:rFonts w:hint="eastAsia" w:ascii="宋体" w:hAnsi="宋体" w:eastAsia="宋体" w:cs="宋体"/>
          <w:b/>
          <w:color w:val="auto"/>
          <w:sz w:val="22"/>
          <w:szCs w:val="22"/>
          <w:highlight w:val="none"/>
        </w:rPr>
        <w:t>评分细则</w:t>
      </w:r>
      <w:bookmarkEnd w:id="88"/>
      <w:bookmarkEnd w:id="89"/>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1、技术分的评定：技术标</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auto"/>
          <w:sz w:val="22"/>
          <w:highlight w:val="none"/>
        </w:rPr>
        <w:t>各评标委员会成员对各投标人的各项评分内容评分的算术平均值为各投标人技术分得分</w:t>
      </w:r>
      <w:r>
        <w:rPr>
          <w:rFonts w:hint="eastAsia" w:ascii="宋体" w:hAnsi="宋体" w:eastAsia="宋体" w:cs="宋体"/>
          <w:color w:val="auto"/>
          <w:sz w:val="22"/>
          <w:szCs w:val="22"/>
          <w:highlight w:val="none"/>
        </w:rPr>
        <w:t>（小数点后按四舍五入保留2位）。</w:t>
      </w:r>
    </w:p>
    <w:tbl>
      <w:tblPr>
        <w:tblStyle w:val="53"/>
        <w:tblW w:w="10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523"/>
        <w:gridCol w:w="818"/>
        <w:gridCol w:w="6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rPr>
              <w:t>序号</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rPr>
              <w:t>评分内容</w:t>
            </w:r>
          </w:p>
        </w:tc>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rPr>
              <w:t>分值</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sz w:val="22"/>
                <w:szCs w:val="22"/>
                <w:highlight w:val="none"/>
              </w:rPr>
              <w:t>对应于招标文件设备技术规格及配置的偏离度</w:t>
            </w:r>
          </w:p>
        </w:tc>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sz w:val="22"/>
                <w:szCs w:val="22"/>
                <w:highlight w:val="none"/>
              </w:rPr>
              <w:t>28分</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hint="default"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sz w:val="22"/>
                <w:szCs w:val="22"/>
                <w:highlight w:val="none"/>
              </w:rPr>
              <w:t>与招标文件招标内容及要求的设备技术规格及配置对比，实质性条款除外，标注★的技术指标偏离扣2分，一项一般技术指标偏离扣1分，一项功能偏离扣2分，扣完为止。</w:t>
            </w:r>
            <w:r>
              <w:rPr>
                <w:rFonts w:hint="eastAsia" w:ascii="新宋体" w:hAnsi="新宋体" w:eastAsia="新宋体" w:cs="新宋体"/>
                <w:color w:val="000000"/>
                <w:sz w:val="22"/>
                <w:szCs w:val="22"/>
                <w:highlight w:val="none"/>
                <w:lang w:val="en-US" w:eastAsia="zh-CN"/>
              </w:rPr>
              <w:t>注：投标人须在偏离表中明确。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2</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投标设备配套的合理性，技术指标的先进性</w:t>
            </w:r>
          </w:p>
        </w:tc>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10分</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hint="eastAsia" w:ascii="新宋体" w:hAnsi="新宋体" w:eastAsia="新宋体" w:cs="新宋体"/>
                <w:color w:val="000000"/>
                <w:sz w:val="22"/>
                <w:szCs w:val="22"/>
                <w:highlight w:val="none"/>
                <w:lang w:eastAsia="zh-CN"/>
              </w:rPr>
            </w:pPr>
            <w:r>
              <w:rPr>
                <w:rFonts w:hint="eastAsia" w:ascii="新宋体" w:hAnsi="新宋体" w:eastAsia="新宋体" w:cs="新宋体"/>
                <w:color w:val="000000"/>
                <w:sz w:val="22"/>
                <w:szCs w:val="22"/>
                <w:highlight w:val="none"/>
              </w:rPr>
              <w:t>评委对投标设备配套的合理性，技术指标的先进性酌情打分</w:t>
            </w:r>
            <w:r>
              <w:rPr>
                <w:rFonts w:hint="eastAsia" w:ascii="新宋体" w:hAnsi="新宋体" w:eastAsia="新宋体" w:cs="新宋体"/>
                <w:bCs/>
                <w:color w:val="000000"/>
                <w:sz w:val="22"/>
                <w:szCs w:val="22"/>
                <w:highlight w:val="none"/>
              </w:rPr>
              <w:t>A档:10-</w:t>
            </w:r>
            <w:r>
              <w:rPr>
                <w:rFonts w:hint="eastAsia" w:ascii="新宋体" w:hAnsi="新宋体" w:eastAsia="新宋体" w:cs="新宋体"/>
                <w:bCs/>
                <w:color w:val="000000"/>
                <w:sz w:val="22"/>
                <w:szCs w:val="22"/>
                <w:highlight w:val="none"/>
                <w:lang w:val="en-US" w:eastAsia="zh-CN"/>
              </w:rPr>
              <w:t>8</w:t>
            </w:r>
            <w:r>
              <w:rPr>
                <w:rFonts w:hint="eastAsia" w:ascii="新宋体" w:hAnsi="新宋体" w:eastAsia="新宋体" w:cs="新宋体"/>
                <w:bCs/>
                <w:color w:val="000000"/>
                <w:sz w:val="22"/>
                <w:szCs w:val="22"/>
                <w:highlight w:val="none"/>
              </w:rPr>
              <w:t>分；B档：</w:t>
            </w:r>
            <w:r>
              <w:rPr>
                <w:rFonts w:hint="eastAsia" w:ascii="新宋体" w:hAnsi="新宋体" w:eastAsia="新宋体" w:cs="新宋体"/>
                <w:bCs/>
                <w:color w:val="000000"/>
                <w:sz w:val="22"/>
                <w:szCs w:val="22"/>
                <w:highlight w:val="none"/>
                <w:lang w:val="en-US" w:eastAsia="zh-CN"/>
              </w:rPr>
              <w:t>7</w:t>
            </w:r>
            <w:r>
              <w:rPr>
                <w:rFonts w:hint="eastAsia" w:ascii="新宋体" w:hAnsi="新宋体" w:eastAsia="新宋体" w:cs="新宋体"/>
                <w:bCs/>
                <w:color w:val="000000"/>
                <w:sz w:val="22"/>
                <w:szCs w:val="22"/>
                <w:highlight w:val="none"/>
              </w:rPr>
              <w:t>-</w:t>
            </w:r>
            <w:r>
              <w:rPr>
                <w:rFonts w:hint="eastAsia" w:ascii="新宋体" w:hAnsi="新宋体" w:eastAsia="新宋体" w:cs="新宋体"/>
                <w:bCs/>
                <w:color w:val="000000"/>
                <w:sz w:val="22"/>
                <w:szCs w:val="22"/>
                <w:highlight w:val="none"/>
                <w:lang w:val="en-US" w:eastAsia="zh-CN"/>
              </w:rPr>
              <w:t>4</w:t>
            </w:r>
            <w:r>
              <w:rPr>
                <w:rFonts w:hint="eastAsia" w:ascii="新宋体" w:hAnsi="新宋体" w:eastAsia="新宋体" w:cs="新宋体"/>
                <w:bCs/>
                <w:color w:val="000000"/>
                <w:sz w:val="22"/>
                <w:szCs w:val="22"/>
                <w:highlight w:val="none"/>
              </w:rPr>
              <w:t>分 ；C档：3-0分</w:t>
            </w:r>
            <w:r>
              <w:rPr>
                <w:rFonts w:hint="eastAsia" w:ascii="新宋体" w:hAnsi="新宋体" w:eastAsia="新宋体" w:cs="新宋体"/>
                <w:bCs/>
                <w:color w:val="000000"/>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vMerge w:val="restart"/>
            <w:tcBorders>
              <w:top w:val="single" w:color="auto" w:sz="4" w:space="0"/>
              <w:left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3</w:t>
            </w:r>
          </w:p>
        </w:tc>
        <w:tc>
          <w:tcPr>
            <w:tcW w:w="2523" w:type="dxa"/>
            <w:vMerge w:val="restart"/>
            <w:tcBorders>
              <w:top w:val="single" w:color="auto" w:sz="4" w:space="0"/>
              <w:left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设备档次</w:t>
            </w:r>
          </w:p>
        </w:tc>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5分</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hint="eastAsia" w:ascii="新宋体" w:hAnsi="新宋体" w:eastAsia="新宋体" w:cs="新宋体"/>
                <w:color w:val="000000"/>
                <w:sz w:val="22"/>
                <w:szCs w:val="22"/>
                <w:highlight w:val="none"/>
                <w:lang w:eastAsia="zh-CN"/>
              </w:rPr>
            </w:pPr>
            <w:r>
              <w:rPr>
                <w:rFonts w:hint="eastAsia" w:ascii="新宋体" w:hAnsi="新宋体" w:eastAsia="新宋体" w:cs="新宋体"/>
                <w:color w:val="000000"/>
                <w:sz w:val="22"/>
                <w:szCs w:val="22"/>
                <w:highlight w:val="none"/>
              </w:rPr>
              <w:t>评委对投标机型酌情打分</w:t>
            </w:r>
            <w:r>
              <w:rPr>
                <w:rFonts w:hint="eastAsia" w:ascii="新宋体" w:hAnsi="新宋体" w:eastAsia="新宋体" w:cs="新宋体"/>
                <w:bCs/>
                <w:color w:val="000000"/>
                <w:sz w:val="22"/>
                <w:szCs w:val="22"/>
                <w:highlight w:val="none"/>
              </w:rPr>
              <w:t>A档:5-4分；B档：</w:t>
            </w:r>
            <w:r>
              <w:rPr>
                <w:rFonts w:hint="eastAsia" w:ascii="新宋体" w:hAnsi="新宋体" w:eastAsia="新宋体" w:cs="新宋体"/>
                <w:bCs/>
                <w:color w:val="000000"/>
                <w:sz w:val="22"/>
                <w:szCs w:val="22"/>
                <w:highlight w:val="none"/>
                <w:lang w:val="en-US" w:eastAsia="zh-CN"/>
              </w:rPr>
              <w:t>3</w:t>
            </w:r>
            <w:r>
              <w:rPr>
                <w:rFonts w:hint="eastAsia" w:ascii="新宋体" w:hAnsi="新宋体" w:eastAsia="新宋体" w:cs="新宋体"/>
                <w:bCs/>
                <w:color w:val="000000"/>
                <w:sz w:val="22"/>
                <w:szCs w:val="22"/>
                <w:highlight w:val="none"/>
              </w:rPr>
              <w:t>-2分 ；C档：</w:t>
            </w:r>
            <w:r>
              <w:rPr>
                <w:rFonts w:hint="eastAsia" w:ascii="新宋体" w:hAnsi="新宋体" w:eastAsia="新宋体" w:cs="新宋体"/>
                <w:bCs/>
                <w:color w:val="000000"/>
                <w:sz w:val="22"/>
                <w:szCs w:val="22"/>
                <w:highlight w:val="none"/>
                <w:lang w:val="en-US" w:eastAsia="zh-CN"/>
              </w:rPr>
              <w:t>1</w:t>
            </w:r>
            <w:r>
              <w:rPr>
                <w:rFonts w:hint="eastAsia" w:ascii="新宋体" w:hAnsi="新宋体" w:eastAsia="新宋体" w:cs="新宋体"/>
                <w:bCs/>
                <w:color w:val="000000"/>
                <w:sz w:val="22"/>
                <w:szCs w:val="22"/>
                <w:highlight w:val="none"/>
              </w:rPr>
              <w:t>-0分</w:t>
            </w:r>
            <w:r>
              <w:rPr>
                <w:rFonts w:hint="eastAsia" w:ascii="新宋体" w:hAnsi="新宋体" w:eastAsia="新宋体" w:cs="新宋体"/>
                <w:bCs/>
                <w:color w:val="000000"/>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vMerge w:val="continue"/>
            <w:tcBorders>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p>
        </w:tc>
        <w:tc>
          <w:tcPr>
            <w:tcW w:w="2523" w:type="dxa"/>
            <w:vMerge w:val="continue"/>
            <w:tcBorders>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val="en-US" w:eastAsia="zh-CN"/>
              </w:rPr>
              <w:t>5</w:t>
            </w:r>
            <w:r>
              <w:rPr>
                <w:rFonts w:hint="eastAsia" w:ascii="新宋体" w:hAnsi="新宋体" w:eastAsia="新宋体" w:cs="新宋体"/>
                <w:color w:val="000000"/>
                <w:sz w:val="22"/>
                <w:szCs w:val="22"/>
                <w:highlight w:val="none"/>
              </w:rPr>
              <w:t>分</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hint="eastAsia" w:ascii="新宋体" w:hAnsi="新宋体" w:eastAsia="新宋体" w:cs="新宋体"/>
                <w:color w:val="000000"/>
                <w:sz w:val="22"/>
                <w:szCs w:val="22"/>
                <w:highlight w:val="none"/>
                <w:lang w:eastAsia="zh-CN"/>
              </w:rPr>
            </w:pPr>
            <w:r>
              <w:rPr>
                <w:rFonts w:hint="eastAsia" w:ascii="新宋体" w:hAnsi="新宋体" w:eastAsia="新宋体" w:cs="新宋体"/>
                <w:color w:val="000000"/>
                <w:sz w:val="22"/>
                <w:szCs w:val="22"/>
                <w:highlight w:val="none"/>
              </w:rPr>
              <w:t>评委对投标品牌酌情打分</w:t>
            </w:r>
            <w:r>
              <w:rPr>
                <w:rFonts w:hint="eastAsia" w:ascii="新宋体" w:hAnsi="新宋体" w:eastAsia="新宋体" w:cs="新宋体"/>
                <w:bCs/>
                <w:color w:val="000000"/>
                <w:sz w:val="22"/>
                <w:szCs w:val="22"/>
                <w:highlight w:val="none"/>
              </w:rPr>
              <w:t>A档:5-4分；B档：</w:t>
            </w:r>
            <w:r>
              <w:rPr>
                <w:rFonts w:hint="eastAsia" w:ascii="新宋体" w:hAnsi="新宋体" w:eastAsia="新宋体" w:cs="新宋体"/>
                <w:bCs/>
                <w:color w:val="000000"/>
                <w:sz w:val="22"/>
                <w:szCs w:val="22"/>
                <w:highlight w:val="none"/>
                <w:lang w:val="en-US" w:eastAsia="zh-CN"/>
              </w:rPr>
              <w:t>3</w:t>
            </w:r>
            <w:r>
              <w:rPr>
                <w:rFonts w:hint="eastAsia" w:ascii="新宋体" w:hAnsi="新宋体" w:eastAsia="新宋体" w:cs="新宋体"/>
                <w:bCs/>
                <w:color w:val="000000"/>
                <w:sz w:val="22"/>
                <w:szCs w:val="22"/>
                <w:highlight w:val="none"/>
              </w:rPr>
              <w:t>-2分 ；C档：</w:t>
            </w:r>
            <w:r>
              <w:rPr>
                <w:rFonts w:hint="eastAsia" w:ascii="新宋体" w:hAnsi="新宋体" w:eastAsia="新宋体" w:cs="新宋体"/>
                <w:bCs/>
                <w:color w:val="000000"/>
                <w:sz w:val="22"/>
                <w:szCs w:val="22"/>
                <w:highlight w:val="none"/>
                <w:lang w:val="en-US" w:eastAsia="zh-CN"/>
              </w:rPr>
              <w:t>1</w:t>
            </w:r>
            <w:r>
              <w:rPr>
                <w:rFonts w:hint="eastAsia" w:ascii="新宋体" w:hAnsi="新宋体" w:eastAsia="新宋体" w:cs="新宋体"/>
                <w:bCs/>
                <w:color w:val="000000"/>
                <w:sz w:val="22"/>
                <w:szCs w:val="22"/>
                <w:highlight w:val="none"/>
              </w:rPr>
              <w:t>-0分</w:t>
            </w:r>
            <w:r>
              <w:rPr>
                <w:rFonts w:hint="eastAsia" w:ascii="新宋体" w:hAnsi="新宋体" w:eastAsia="新宋体" w:cs="新宋体"/>
                <w:bCs/>
                <w:color w:val="000000"/>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tcBorders>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4</w:t>
            </w:r>
          </w:p>
        </w:tc>
        <w:tc>
          <w:tcPr>
            <w:tcW w:w="2523" w:type="dxa"/>
            <w:tcBorders>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耗材试剂配送服务方案</w:t>
            </w:r>
          </w:p>
        </w:tc>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5分</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hint="eastAsia" w:ascii="新宋体" w:hAnsi="新宋体" w:eastAsia="新宋体" w:cs="新宋体"/>
                <w:color w:val="000000"/>
                <w:sz w:val="22"/>
                <w:szCs w:val="22"/>
                <w:highlight w:val="none"/>
                <w:lang w:eastAsia="zh-CN"/>
              </w:rPr>
            </w:pPr>
            <w:r>
              <w:rPr>
                <w:rFonts w:hint="eastAsia" w:ascii="新宋体" w:hAnsi="新宋体" w:eastAsia="新宋体" w:cs="新宋体"/>
                <w:color w:val="000000"/>
                <w:sz w:val="22"/>
                <w:szCs w:val="22"/>
                <w:highlight w:val="none"/>
              </w:rPr>
              <w:t>服务期内耗材试剂配送服务方案进行评审，包括服务响应及时性、方案可靠性、人员车辆配置等</w:t>
            </w:r>
            <w:r>
              <w:rPr>
                <w:rFonts w:hint="eastAsia" w:ascii="新宋体" w:hAnsi="新宋体" w:eastAsia="新宋体" w:cs="新宋体"/>
                <w:bCs/>
                <w:color w:val="000000"/>
                <w:sz w:val="22"/>
                <w:szCs w:val="22"/>
                <w:highlight w:val="none"/>
              </w:rPr>
              <w:t>A档:5-4分；B档：</w:t>
            </w:r>
            <w:r>
              <w:rPr>
                <w:rFonts w:hint="eastAsia" w:ascii="新宋体" w:hAnsi="新宋体" w:eastAsia="新宋体" w:cs="新宋体"/>
                <w:bCs/>
                <w:color w:val="000000"/>
                <w:sz w:val="22"/>
                <w:szCs w:val="22"/>
                <w:highlight w:val="none"/>
                <w:lang w:val="en-US" w:eastAsia="zh-CN"/>
              </w:rPr>
              <w:t>3</w:t>
            </w:r>
            <w:r>
              <w:rPr>
                <w:rFonts w:hint="eastAsia" w:ascii="新宋体" w:hAnsi="新宋体" w:eastAsia="新宋体" w:cs="新宋体"/>
                <w:bCs/>
                <w:color w:val="000000"/>
                <w:sz w:val="22"/>
                <w:szCs w:val="22"/>
                <w:highlight w:val="none"/>
              </w:rPr>
              <w:t>-2分 ；C档：</w:t>
            </w:r>
            <w:r>
              <w:rPr>
                <w:rFonts w:hint="eastAsia" w:ascii="新宋体" w:hAnsi="新宋体" w:eastAsia="新宋体" w:cs="新宋体"/>
                <w:bCs/>
                <w:color w:val="000000"/>
                <w:sz w:val="22"/>
                <w:szCs w:val="22"/>
                <w:highlight w:val="none"/>
                <w:lang w:val="en-US" w:eastAsia="zh-CN"/>
              </w:rPr>
              <w:t>1</w:t>
            </w:r>
            <w:r>
              <w:rPr>
                <w:rFonts w:hint="eastAsia" w:ascii="新宋体" w:hAnsi="新宋体" w:eastAsia="新宋体" w:cs="新宋体"/>
                <w:bCs/>
                <w:color w:val="000000"/>
                <w:sz w:val="22"/>
                <w:szCs w:val="22"/>
                <w:highlight w:val="none"/>
              </w:rPr>
              <w:t>-0分</w:t>
            </w:r>
            <w:r>
              <w:rPr>
                <w:rFonts w:hint="eastAsia" w:ascii="新宋体" w:hAnsi="新宋体" w:eastAsia="新宋体" w:cs="新宋体"/>
                <w:bCs/>
                <w:color w:val="000000"/>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5</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运行应急方案</w:t>
            </w:r>
          </w:p>
        </w:tc>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4分</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评委对投标机型的运行故障应急方案等酌情打分</w:t>
            </w:r>
          </w:p>
          <w:p>
            <w:pPr>
              <w:widowControl/>
              <w:spacing w:line="460" w:lineRule="exact"/>
              <w:rPr>
                <w:rFonts w:hint="eastAsia" w:ascii="新宋体" w:hAnsi="新宋体" w:eastAsia="新宋体" w:cs="新宋体"/>
                <w:color w:val="000000"/>
                <w:sz w:val="22"/>
                <w:szCs w:val="22"/>
                <w:highlight w:val="none"/>
                <w:lang w:eastAsia="zh-CN"/>
              </w:rPr>
            </w:pPr>
            <w:r>
              <w:rPr>
                <w:rFonts w:hint="eastAsia" w:ascii="新宋体" w:hAnsi="新宋体" w:eastAsia="新宋体" w:cs="新宋体"/>
                <w:bCs/>
                <w:color w:val="000000"/>
                <w:sz w:val="22"/>
                <w:szCs w:val="22"/>
                <w:highlight w:val="none"/>
              </w:rPr>
              <w:t>A档:4-3分；B档：</w:t>
            </w:r>
            <w:r>
              <w:rPr>
                <w:rFonts w:hint="eastAsia" w:ascii="新宋体" w:hAnsi="新宋体" w:eastAsia="新宋体" w:cs="新宋体"/>
                <w:bCs/>
                <w:color w:val="000000"/>
                <w:sz w:val="22"/>
                <w:szCs w:val="22"/>
                <w:highlight w:val="none"/>
                <w:lang w:val="en-US" w:eastAsia="zh-CN"/>
              </w:rPr>
              <w:t>2</w:t>
            </w:r>
            <w:r>
              <w:rPr>
                <w:rFonts w:hint="eastAsia" w:ascii="新宋体" w:hAnsi="新宋体" w:eastAsia="新宋体" w:cs="新宋体"/>
                <w:bCs/>
                <w:color w:val="000000"/>
                <w:sz w:val="22"/>
                <w:szCs w:val="22"/>
                <w:highlight w:val="none"/>
              </w:rPr>
              <w:t>-</w:t>
            </w:r>
            <w:r>
              <w:rPr>
                <w:rFonts w:hint="eastAsia" w:ascii="新宋体" w:hAnsi="新宋体" w:eastAsia="新宋体" w:cs="新宋体"/>
                <w:bCs/>
                <w:color w:val="000000"/>
                <w:sz w:val="22"/>
                <w:szCs w:val="22"/>
                <w:highlight w:val="none"/>
                <w:lang w:val="en-US" w:eastAsia="zh-CN"/>
              </w:rPr>
              <w:t>0</w:t>
            </w:r>
            <w:r>
              <w:rPr>
                <w:rFonts w:hint="eastAsia" w:ascii="新宋体" w:hAnsi="新宋体" w:eastAsia="新宋体" w:cs="新宋体"/>
                <w:bCs/>
                <w:color w:val="000000"/>
                <w:sz w:val="22"/>
                <w:szCs w:val="22"/>
                <w:highlight w:val="none"/>
              </w:rPr>
              <w:t>分</w:t>
            </w:r>
            <w:r>
              <w:rPr>
                <w:rFonts w:hint="eastAsia" w:ascii="新宋体" w:hAnsi="新宋体" w:eastAsia="新宋体" w:cs="新宋体"/>
                <w:bCs/>
                <w:color w:val="000000"/>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6</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市场占有率</w:t>
            </w:r>
          </w:p>
        </w:tc>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val="en-US" w:eastAsia="zh-CN"/>
              </w:rPr>
              <w:t>3</w:t>
            </w:r>
            <w:r>
              <w:rPr>
                <w:rFonts w:hint="eastAsia" w:ascii="新宋体" w:hAnsi="新宋体" w:eastAsia="新宋体" w:cs="新宋体"/>
                <w:color w:val="000000"/>
                <w:sz w:val="22"/>
                <w:szCs w:val="22"/>
                <w:highlight w:val="none"/>
              </w:rPr>
              <w:t>分</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rPr>
              <w:t>提供201</w:t>
            </w:r>
            <w:r>
              <w:rPr>
                <w:rFonts w:hint="eastAsia" w:ascii="新宋体" w:hAnsi="新宋体" w:eastAsia="新宋体" w:cs="新宋体"/>
                <w:color w:val="000000"/>
                <w:sz w:val="22"/>
                <w:szCs w:val="22"/>
                <w:highlight w:val="none"/>
                <w:lang w:val="en-US" w:eastAsia="zh-CN"/>
              </w:rPr>
              <w:t>9</w:t>
            </w:r>
            <w:r>
              <w:rPr>
                <w:rFonts w:hint="eastAsia" w:ascii="新宋体" w:hAnsi="新宋体" w:eastAsia="新宋体" w:cs="新宋体"/>
                <w:color w:val="000000"/>
                <w:sz w:val="22"/>
                <w:szCs w:val="22"/>
                <w:highlight w:val="none"/>
              </w:rPr>
              <w:t>年1月1日起至今与最终用户签订的投标机型合同复印件，每份有效合同得1分，最多</w:t>
            </w:r>
            <w:r>
              <w:rPr>
                <w:rFonts w:hint="eastAsia" w:ascii="新宋体" w:hAnsi="新宋体" w:eastAsia="新宋体" w:cs="新宋体"/>
                <w:color w:val="000000"/>
                <w:sz w:val="22"/>
                <w:szCs w:val="22"/>
                <w:highlight w:val="none"/>
                <w:lang w:val="en-US" w:eastAsia="zh-CN"/>
              </w:rPr>
              <w:t>3</w:t>
            </w:r>
            <w:r>
              <w:rPr>
                <w:rFonts w:hint="eastAsia" w:ascii="新宋体" w:hAnsi="新宋体" w:eastAsia="新宋体" w:cs="新宋体"/>
                <w:color w:val="000000"/>
                <w:sz w:val="22"/>
                <w:szCs w:val="22"/>
                <w:highlight w:val="none"/>
              </w:rPr>
              <w:t>分。</w:t>
            </w:r>
            <w:r>
              <w:rPr>
                <w:rFonts w:hint="eastAsia" w:ascii="新宋体" w:hAnsi="新宋体" w:eastAsia="新宋体" w:cs="新宋体"/>
                <w:color w:val="000000"/>
                <w:sz w:val="22"/>
                <w:szCs w:val="22"/>
                <w:highlight w:val="none"/>
                <w:lang w:val="en-US" w:eastAsia="zh-CN"/>
              </w:rPr>
              <w:t>注：须提供合同复印件并加盖公章。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7</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售后服务</w:t>
            </w:r>
          </w:p>
          <w:p>
            <w:pPr>
              <w:widowControl/>
              <w:spacing w:line="460" w:lineRule="exact"/>
              <w:jc w:val="center"/>
              <w:rPr>
                <w:rFonts w:hint="eastAsia" w:ascii="新宋体" w:hAnsi="新宋体" w:eastAsia="新宋体" w:cs="新宋体"/>
                <w:color w:val="000000"/>
                <w:sz w:val="22"/>
                <w:szCs w:val="22"/>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5分</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05" w:leftChars="50" w:right="10" w:rightChars="5"/>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根据售后服务承诺的范围和完善程度：</w:t>
            </w:r>
          </w:p>
          <w:p>
            <w:pPr>
              <w:spacing w:line="460" w:lineRule="exact"/>
              <w:ind w:left="105" w:leftChars="50" w:right="10" w:rightChars="5"/>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保修年限、保修范围、 (1-0分)；</w:t>
            </w:r>
          </w:p>
          <w:p>
            <w:pPr>
              <w:spacing w:line="460" w:lineRule="exact"/>
              <w:ind w:left="105" w:leftChars="50" w:right="10" w:rightChars="5"/>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服务标准，备品情况、人员配备（1-0分）；</w:t>
            </w:r>
          </w:p>
          <w:p>
            <w:pPr>
              <w:spacing w:line="460" w:lineRule="exact"/>
              <w:ind w:left="105" w:leftChars="50" w:right="10" w:rightChars="5"/>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故障响应修复时间方式、产品维护及保障措施（1-0分）；</w:t>
            </w:r>
          </w:p>
          <w:p>
            <w:pPr>
              <w:spacing w:line="460" w:lineRule="exact"/>
              <w:ind w:left="105" w:leftChars="50" w:right="10" w:rightChars="5"/>
              <w:rPr>
                <w:rFonts w:hint="eastAsia" w:ascii="新宋体" w:hAnsi="新宋体" w:eastAsia="新宋体" w:cs="新宋体"/>
                <w:color w:val="000000"/>
                <w:sz w:val="22"/>
                <w:szCs w:val="22"/>
                <w:highlight w:val="none"/>
                <w:lang w:eastAsia="zh-CN"/>
              </w:rPr>
            </w:pPr>
            <w:r>
              <w:rPr>
                <w:rFonts w:hint="eastAsia" w:ascii="新宋体" w:hAnsi="新宋体" w:eastAsia="新宋体" w:cs="新宋体"/>
                <w:color w:val="000000"/>
                <w:sz w:val="22"/>
                <w:szCs w:val="22"/>
                <w:highlight w:val="none"/>
              </w:rPr>
              <w:t>服务网点（2-0分）</w:t>
            </w:r>
            <w:r>
              <w:rPr>
                <w:rFonts w:hint="eastAsia" w:ascii="新宋体" w:hAnsi="新宋体" w:eastAsia="新宋体" w:cs="新宋体"/>
                <w:color w:val="000000"/>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8</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投标人提供的超出招标文件的优惠条件</w:t>
            </w:r>
          </w:p>
        </w:tc>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3分</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05" w:leftChars="50" w:right="10" w:rightChars="5"/>
              <w:rPr>
                <w:rFonts w:hint="eastAsia" w:ascii="新宋体" w:hAnsi="新宋体" w:eastAsia="新宋体" w:cs="新宋体"/>
                <w:color w:val="000000"/>
                <w:sz w:val="22"/>
                <w:szCs w:val="22"/>
                <w:highlight w:val="none"/>
                <w:lang w:eastAsia="zh-CN"/>
              </w:rPr>
            </w:pPr>
            <w:r>
              <w:rPr>
                <w:rFonts w:hint="eastAsia" w:ascii="新宋体" w:hAnsi="新宋体" w:eastAsia="新宋体" w:cs="新宋体"/>
                <w:color w:val="000000"/>
                <w:sz w:val="22"/>
                <w:szCs w:val="22"/>
                <w:highlight w:val="none"/>
              </w:rPr>
              <w:t>评委对投标文件中是否有超出招标文件的优惠条件进行评议，没有实质性优惠条件得0分；有优惠条件的，根据优惠内容得</w:t>
            </w:r>
            <w:r>
              <w:rPr>
                <w:rFonts w:hint="eastAsia" w:ascii="新宋体" w:hAnsi="新宋体" w:eastAsia="新宋体" w:cs="新宋体"/>
                <w:bCs/>
                <w:color w:val="000000"/>
                <w:sz w:val="22"/>
                <w:szCs w:val="22"/>
                <w:highlight w:val="none"/>
              </w:rPr>
              <w:t>A档:3-2分；B档：</w:t>
            </w:r>
            <w:r>
              <w:rPr>
                <w:rFonts w:hint="eastAsia" w:ascii="新宋体" w:hAnsi="新宋体" w:eastAsia="新宋体" w:cs="新宋体"/>
                <w:bCs/>
                <w:color w:val="000000"/>
                <w:sz w:val="22"/>
                <w:szCs w:val="22"/>
                <w:highlight w:val="none"/>
                <w:lang w:val="en-US" w:eastAsia="zh-CN"/>
              </w:rPr>
              <w:t>1</w:t>
            </w:r>
            <w:r>
              <w:rPr>
                <w:rFonts w:hint="eastAsia" w:ascii="新宋体" w:hAnsi="新宋体" w:eastAsia="新宋体" w:cs="新宋体"/>
                <w:bCs/>
                <w:color w:val="000000"/>
                <w:sz w:val="22"/>
                <w:szCs w:val="22"/>
                <w:highlight w:val="none"/>
              </w:rPr>
              <w:t>-</w:t>
            </w:r>
            <w:r>
              <w:rPr>
                <w:rFonts w:hint="eastAsia" w:ascii="新宋体" w:hAnsi="新宋体" w:eastAsia="新宋体" w:cs="新宋体"/>
                <w:bCs/>
                <w:color w:val="000000"/>
                <w:sz w:val="22"/>
                <w:szCs w:val="22"/>
                <w:highlight w:val="none"/>
                <w:lang w:val="en-US" w:eastAsia="zh-CN"/>
              </w:rPr>
              <w:t>0</w:t>
            </w:r>
            <w:r>
              <w:rPr>
                <w:rFonts w:hint="eastAsia" w:ascii="新宋体" w:hAnsi="新宋体" w:eastAsia="新宋体" w:cs="新宋体"/>
                <w:bCs/>
                <w:color w:val="000000"/>
                <w:sz w:val="22"/>
                <w:szCs w:val="22"/>
                <w:highlight w:val="none"/>
              </w:rPr>
              <w:t>分</w:t>
            </w:r>
            <w:r>
              <w:rPr>
                <w:rFonts w:hint="eastAsia" w:ascii="新宋体" w:hAnsi="新宋体" w:eastAsia="新宋体" w:cs="新宋体"/>
                <w:bCs/>
                <w:color w:val="000000"/>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9</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环境标志产品、节能产品</w:t>
            </w:r>
          </w:p>
        </w:tc>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2分</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05" w:leftChars="50" w:right="10" w:rightChars="5"/>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投标产品主体列入财政部、环境保护部“环境标志产品政府采购清单”的、列入财政部、国家发展改革委“节能产品政府采购清单”的，每项</w:t>
            </w:r>
            <w:r>
              <w:rPr>
                <w:rFonts w:hint="eastAsia" w:ascii="新宋体" w:hAnsi="新宋体" w:eastAsia="新宋体" w:cs="新宋体"/>
                <w:color w:val="000000"/>
                <w:sz w:val="22"/>
                <w:szCs w:val="22"/>
                <w:highlight w:val="none"/>
                <w:lang w:val="en-US" w:eastAsia="zh-CN"/>
              </w:rPr>
              <w:t>得0-1</w:t>
            </w:r>
            <w:r>
              <w:rPr>
                <w:rFonts w:hint="eastAsia" w:ascii="新宋体" w:hAnsi="新宋体" w:eastAsia="新宋体" w:cs="新宋体"/>
                <w:color w:val="000000"/>
                <w:sz w:val="22"/>
                <w:szCs w:val="22"/>
                <w:highlight w:val="none"/>
              </w:rPr>
              <w:t>分；投标人提供清单并显著标识。</w:t>
            </w:r>
          </w:p>
        </w:tc>
      </w:tr>
    </w:tbl>
    <w:p>
      <w:pPr>
        <w:pStyle w:val="2"/>
        <w:spacing w:line="460" w:lineRule="exact"/>
        <w:ind w:left="0" w:lef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2、报价评分（</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满足招标文件要求且投标报价最低的投标报价为评标基准价，其余投标人投标报价与该基准价对比，计算出商务报价评分值（保留小数2位）：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1）有效投标人的投标报价等于评标基准价时其报价分为满分</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0分；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2）其他投标人的价格分按以下公式计算：</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投标报价得分=（评分基准价/投标人投标报价）× 价格权值 ×100（保留小数2位）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3、有效投标人的综合得分为技术分和商务（报价）分的总和。</w:t>
      </w:r>
    </w:p>
    <w:p>
      <w:pPr>
        <w:spacing w:line="460" w:lineRule="exact"/>
        <w:ind w:firstLine="539" w:firstLineChars="24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根据《政府采购促进中小企业发展管理办法》（财库﹝2020﹞46号），对投标产品为小型或微型企业生产的，</w:t>
      </w:r>
      <w:r>
        <w:rPr>
          <w:rFonts w:hint="eastAsia" w:ascii="宋体" w:hAnsi="宋体" w:eastAsia="宋体" w:cs="宋体"/>
          <w:b/>
          <w:bCs/>
          <w:color w:val="auto"/>
          <w:sz w:val="22"/>
          <w:szCs w:val="22"/>
          <w:highlight w:val="none"/>
          <w:u w:val="single"/>
          <w:lang w:val="zh-CN"/>
        </w:rPr>
        <w:t>价格给予</w:t>
      </w:r>
      <w:r>
        <w:rPr>
          <w:rFonts w:hint="eastAsia" w:ascii="宋体" w:hAnsi="宋体" w:cs="宋体"/>
          <w:b/>
          <w:bCs/>
          <w:color w:val="auto"/>
          <w:sz w:val="22"/>
          <w:szCs w:val="22"/>
          <w:highlight w:val="none"/>
          <w:u w:val="single"/>
          <w:lang w:val="en-US" w:eastAsia="zh-CN"/>
        </w:rPr>
        <w:t>10</w:t>
      </w:r>
      <w:r>
        <w:rPr>
          <w:rFonts w:hint="eastAsia" w:ascii="宋体" w:hAnsi="宋体" w:eastAsia="宋体" w:cs="宋体"/>
          <w:b/>
          <w:bCs/>
          <w:color w:val="auto"/>
          <w:sz w:val="22"/>
          <w:szCs w:val="22"/>
          <w:highlight w:val="none"/>
          <w:u w:val="single"/>
          <w:lang w:val="zh-CN"/>
        </w:rPr>
        <w:t>%的扣除</w:t>
      </w:r>
      <w:r>
        <w:rPr>
          <w:rFonts w:hint="eastAsia" w:ascii="宋体" w:hAnsi="宋体" w:eastAsia="宋体" w:cs="宋体"/>
          <w:color w:val="auto"/>
          <w:sz w:val="22"/>
          <w:szCs w:val="22"/>
          <w:highlight w:val="none"/>
          <w:lang w:val="zh-CN"/>
        </w:rPr>
        <w:t>，用扣除后的价格参与价格评分。</w:t>
      </w:r>
    </w:p>
    <w:p>
      <w:pPr>
        <w:spacing w:line="460" w:lineRule="exact"/>
        <w:ind w:firstLine="541" w:firstLineChars="245"/>
        <w:rPr>
          <w:rFonts w:hint="eastAsia" w:ascii="宋体" w:hAnsi="宋体" w:eastAsia="宋体" w:cs="宋体"/>
          <w:color w:val="auto"/>
          <w:sz w:val="22"/>
          <w:szCs w:val="22"/>
          <w:highlight w:val="none"/>
          <w:lang w:val="zh-CN"/>
        </w:rPr>
      </w:pPr>
      <w:r>
        <w:rPr>
          <w:rFonts w:hint="eastAsia" w:ascii="宋体" w:hAnsi="宋体" w:eastAsia="宋体" w:cs="宋体"/>
          <w:b/>
          <w:bCs/>
          <w:color w:val="auto"/>
          <w:sz w:val="22"/>
          <w:szCs w:val="22"/>
          <w:highlight w:val="none"/>
          <w:u w:val="single"/>
          <w:lang w:val="en-US" w:eastAsia="zh-CN"/>
        </w:rPr>
        <w:t>同时</w:t>
      </w:r>
      <w:r>
        <w:rPr>
          <w:rFonts w:hint="eastAsia" w:ascii="宋体" w:hAnsi="宋体" w:eastAsia="宋体" w:cs="宋体"/>
          <w:b/>
          <w:bCs/>
          <w:color w:val="auto"/>
          <w:sz w:val="22"/>
          <w:szCs w:val="22"/>
          <w:highlight w:val="none"/>
          <w:u w:val="single"/>
          <w:lang w:val="zh-CN"/>
        </w:rPr>
        <w:t>符合以下所有要求的投标人被认定为小型、微型企业：</w:t>
      </w:r>
    </w:p>
    <w:p>
      <w:pPr>
        <w:spacing w:line="460" w:lineRule="exact"/>
        <w:ind w:firstLine="541" w:firstLineChars="245"/>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①投标产品生产企业按照《关于印发中小企业划型标准规定的通知》（工信部联企业〔2011〕300号）的所属行业规定为小型、微型企业。</w:t>
      </w:r>
    </w:p>
    <w:p>
      <w:pPr>
        <w:spacing w:line="460" w:lineRule="exact"/>
        <w:ind w:firstLine="541" w:firstLineChars="245"/>
        <w:rPr>
          <w:rFonts w:hint="eastAsia" w:ascii="宋体" w:hAnsi="宋体" w:eastAsia="宋体" w:cs="宋体"/>
          <w:b/>
          <w:bCs/>
          <w:color w:val="auto"/>
          <w:sz w:val="22"/>
          <w:szCs w:val="22"/>
          <w:highlight w:val="none"/>
          <w:u w:val="single"/>
          <w:lang w:val="zh-CN"/>
        </w:rPr>
      </w:pPr>
      <w:r>
        <w:rPr>
          <w:rFonts w:hint="eastAsia" w:ascii="宋体" w:hAnsi="宋体" w:eastAsia="宋体" w:cs="宋体"/>
          <w:b/>
          <w:bCs/>
          <w:color w:val="auto"/>
          <w:sz w:val="22"/>
          <w:szCs w:val="22"/>
          <w:highlight w:val="none"/>
          <w:u w:val="single"/>
          <w:lang w:val="en-US" w:eastAsia="zh-CN"/>
        </w:rPr>
        <w:t>②</w:t>
      </w:r>
      <w:r>
        <w:rPr>
          <w:rFonts w:hint="eastAsia" w:ascii="宋体" w:hAnsi="宋体" w:eastAsia="宋体" w:cs="宋体"/>
          <w:b/>
          <w:bCs/>
          <w:color w:val="auto"/>
          <w:sz w:val="22"/>
          <w:szCs w:val="22"/>
          <w:highlight w:val="none"/>
          <w:u w:val="single"/>
          <w:lang w:val="zh-CN"/>
        </w:rPr>
        <w:t>投标文件中必须提供《中小企业声明函》。</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监狱企业视同小微企业，其产品参加本项目投标的，享受小微企业同等的价格扣除。</w:t>
      </w:r>
    </w:p>
    <w:p>
      <w:pPr>
        <w:spacing w:line="460" w:lineRule="exact"/>
        <w:rPr>
          <w:rFonts w:hint="eastAsia" w:ascii="宋体" w:hAnsi="宋体" w:eastAsia="宋体" w:cs="宋体"/>
          <w:b/>
          <w:bCs/>
          <w:color w:val="auto"/>
          <w:sz w:val="22"/>
          <w:szCs w:val="22"/>
          <w:highlight w:val="none"/>
          <w:u w:val="single"/>
        </w:rPr>
      </w:pPr>
      <w:r>
        <w:rPr>
          <w:rFonts w:hint="eastAsia" w:ascii="宋体" w:hAnsi="宋体" w:eastAsia="宋体" w:cs="宋体"/>
          <w:b/>
          <w:color w:val="auto"/>
          <w:sz w:val="22"/>
          <w:szCs w:val="22"/>
          <w:highlight w:val="none"/>
        </w:rPr>
        <w:t xml:space="preserve">   </w:t>
      </w:r>
      <w:r>
        <w:rPr>
          <w:rFonts w:hint="eastAsia" w:ascii="宋体" w:hAnsi="宋体" w:eastAsia="宋体" w:cs="宋体"/>
          <w:b/>
          <w:bCs/>
          <w:color w:val="auto"/>
          <w:sz w:val="22"/>
          <w:szCs w:val="22"/>
          <w:highlight w:val="none"/>
          <w:u w:val="singl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hint="eastAsia" w:ascii="宋体" w:hAnsi="宋体" w:eastAsia="宋体" w:cs="宋体"/>
          <w:b/>
          <w:bCs/>
          <w:color w:val="auto"/>
          <w:sz w:val="22"/>
          <w:szCs w:val="22"/>
          <w:highlight w:val="none"/>
        </w:rPr>
      </w:pPr>
      <w:bookmarkStart w:id="90" w:name="_Toc4727"/>
      <w:bookmarkStart w:id="91" w:name="_Toc2482"/>
      <w:r>
        <w:rPr>
          <w:rFonts w:hint="eastAsia" w:ascii="宋体" w:hAnsi="宋体" w:eastAsia="宋体" w:cs="宋体"/>
          <w:b/>
          <w:bCs/>
          <w:color w:val="auto"/>
          <w:sz w:val="22"/>
          <w:szCs w:val="22"/>
          <w:highlight w:val="none"/>
        </w:rPr>
        <w:t>六、定标办法</w:t>
      </w:r>
      <w:bookmarkEnd w:id="90"/>
      <w:bookmarkEnd w:id="91"/>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2、确定中标人</w:t>
      </w: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p>
    <w:p>
      <w:pPr>
        <w:spacing w:line="460" w:lineRule="exact"/>
        <w:ind w:firstLine="541" w:firstLineChars="245"/>
        <w:outlineLvl w:val="1"/>
        <w:rPr>
          <w:rFonts w:hint="eastAsia" w:ascii="宋体" w:hAnsi="宋体" w:eastAsia="宋体" w:cs="宋体"/>
          <w:b/>
          <w:color w:val="auto"/>
          <w:sz w:val="22"/>
          <w:szCs w:val="22"/>
          <w:highlight w:val="none"/>
        </w:rPr>
      </w:pPr>
      <w:bookmarkStart w:id="92" w:name="_Toc17587"/>
      <w:bookmarkStart w:id="93" w:name="_Toc3629"/>
      <w:r>
        <w:rPr>
          <w:rFonts w:hint="eastAsia" w:ascii="宋体" w:hAnsi="宋体" w:eastAsia="宋体" w:cs="宋体"/>
          <w:b/>
          <w:color w:val="auto"/>
          <w:sz w:val="22"/>
          <w:szCs w:val="22"/>
          <w:highlight w:val="none"/>
        </w:rPr>
        <w:t>七、投标人义务</w:t>
      </w:r>
      <w:bookmarkEnd w:id="92"/>
      <w:bookmarkEnd w:id="93"/>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7"/>
      </w:rPr>
    </w:pPr>
    <w:r>
      <w:fldChar w:fldCharType="begin"/>
    </w:r>
    <w:r>
      <w:rPr>
        <w:rStyle w:val="57"/>
      </w:rPr>
      <w:instrText xml:space="preserve">PAGE  </w:instrText>
    </w:r>
    <w:r>
      <w:fldChar w:fldCharType="separate"/>
    </w:r>
    <w:r>
      <w:rPr>
        <w:rStyle w:val="57"/>
      </w:rPr>
      <w:t>28</w:t>
    </w:r>
    <w:r>
      <w:fldChar w:fldCharType="end"/>
    </w:r>
  </w:p>
  <w:p>
    <w:pPr>
      <w:pStyle w:val="35"/>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7"/>
      </w:rPr>
    </w:pPr>
    <w:r>
      <w:fldChar w:fldCharType="begin"/>
    </w:r>
    <w:r>
      <w:rPr>
        <w:rStyle w:val="57"/>
      </w:rPr>
      <w:instrText xml:space="preserve">PAGE  </w:instrText>
    </w:r>
    <w:r>
      <w:fldChar w:fldCharType="separate"/>
    </w:r>
    <w:r>
      <w:rPr>
        <w:rStyle w:val="57"/>
      </w:rPr>
      <w:t>72</w:t>
    </w:r>
    <w:r>
      <w:fldChar w:fldCharType="end"/>
    </w:r>
  </w:p>
  <w:p>
    <w:pPr>
      <w:pStyle w:val="35"/>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6" w:space="0"/>
      </w:pBdr>
      <w:jc w:val="both"/>
    </w:pPr>
    <w:r>
      <w:rPr>
        <w:rFonts w:hint="eastAsia"/>
        <w:lang w:eastAsia="zh-CN"/>
      </w:rPr>
      <w:t>温州市中医院</w:t>
    </w:r>
    <w:r>
      <w:rPr>
        <w:rFonts w:hint="eastAsia"/>
      </w:rPr>
      <w:t>招标文件                                             项目编号：</w:t>
    </w:r>
    <w:r>
      <w:rPr>
        <w:rFonts w:hint="eastAsia"/>
        <w:lang w:eastAsia="zh-CN"/>
      </w:rPr>
      <w:t xml:space="preserve">WZLCZB（W）-2022-09416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6" w:space="0"/>
      </w:pBdr>
      <w:jc w:val="both"/>
    </w:pPr>
    <w:r>
      <w:rPr>
        <w:rFonts w:hint="eastAsia"/>
        <w:lang w:eastAsia="zh-CN"/>
      </w:rPr>
      <w:t>温州市中医院</w:t>
    </w:r>
    <w:r>
      <w:rPr>
        <w:rFonts w:hint="eastAsia"/>
      </w:rPr>
      <w:t>招标文件                                             项目编号：</w:t>
    </w:r>
    <w:r>
      <w:rPr>
        <w:rFonts w:hint="eastAsia"/>
        <w:lang w:eastAsia="zh-CN"/>
      </w:rPr>
      <w:t xml:space="preserve">WZLCZB（W）-2022-09416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66A58"/>
    <w:multiLevelType w:val="singleLevel"/>
    <w:tmpl w:val="86B66A58"/>
    <w:lvl w:ilvl="0" w:tentative="0">
      <w:start w:val="3"/>
      <w:numFmt w:val="decimal"/>
      <w:lvlText w:val="%1."/>
      <w:lvlJc w:val="left"/>
      <w:pPr>
        <w:tabs>
          <w:tab w:val="left" w:pos="312"/>
        </w:tabs>
      </w:pPr>
    </w:lvl>
  </w:abstractNum>
  <w:abstractNum w:abstractNumId="1">
    <w:nsid w:val="9DED2AFC"/>
    <w:multiLevelType w:val="singleLevel"/>
    <w:tmpl w:val="9DED2AFC"/>
    <w:lvl w:ilvl="0" w:tentative="0">
      <w:start w:val="4"/>
      <w:numFmt w:val="chineseCounting"/>
      <w:suff w:val="space"/>
      <w:lvlText w:val="第%1部分"/>
      <w:lvlJc w:val="left"/>
      <w:rPr>
        <w:rFonts w:hint="eastAsia"/>
      </w:rPr>
    </w:lvl>
  </w:abstractNum>
  <w:abstractNum w:abstractNumId="2">
    <w:nsid w:val="B1C0EE6B"/>
    <w:multiLevelType w:val="singleLevel"/>
    <w:tmpl w:val="B1C0EE6B"/>
    <w:lvl w:ilvl="0" w:tentative="0">
      <w:start w:val="5"/>
      <w:numFmt w:val="chineseCounting"/>
      <w:suff w:val="nothing"/>
      <w:lvlText w:val="%1、"/>
      <w:lvlJc w:val="left"/>
      <w:rPr>
        <w:rFonts w:hint="eastAsia"/>
      </w:rPr>
    </w:lvl>
  </w:abstractNum>
  <w:abstractNum w:abstractNumId="3">
    <w:nsid w:val="BAF9EC89"/>
    <w:multiLevelType w:val="singleLevel"/>
    <w:tmpl w:val="BAF9EC89"/>
    <w:lvl w:ilvl="0" w:tentative="0">
      <w:start w:val="1"/>
      <w:numFmt w:val="chineseCounting"/>
      <w:suff w:val="nothing"/>
      <w:lvlText w:val="（%1）"/>
      <w:lvlJc w:val="left"/>
      <w:rPr>
        <w:rFonts w:hint="eastAsia"/>
      </w:rPr>
    </w:lvl>
  </w:abstractNum>
  <w:abstractNum w:abstractNumId="4">
    <w:nsid w:val="CD31F181"/>
    <w:multiLevelType w:val="singleLevel"/>
    <w:tmpl w:val="CD31F181"/>
    <w:lvl w:ilvl="0" w:tentative="0">
      <w:start w:val="1"/>
      <w:numFmt w:val="decimal"/>
      <w:suff w:val="nothing"/>
      <w:lvlText w:val="%1、"/>
      <w:lvlJc w:val="left"/>
    </w:lvl>
  </w:abstractNum>
  <w:abstractNum w:abstractNumId="5">
    <w:nsid w:val="CF092B84"/>
    <w:multiLevelType w:val="multilevel"/>
    <w:tmpl w:val="CF092B84"/>
    <w:lvl w:ilvl="0" w:tentative="0">
      <w:start w:val="1"/>
      <w:numFmt w:val="decimal"/>
      <w:lvlText w:val="%1."/>
      <w:lvlJc w:val="left"/>
      <w:pPr>
        <w:ind w:left="521" w:hanging="171"/>
      </w:pPr>
      <w:rPr>
        <w:rFonts w:hint="default" w:ascii="Verdana" w:hAnsi="Verdana" w:eastAsia="Times New Roman" w:cs="Verdana"/>
        <w:spacing w:val="-2"/>
        <w:w w:val="98"/>
        <w:sz w:val="15"/>
        <w:szCs w:val="15"/>
      </w:rPr>
    </w:lvl>
    <w:lvl w:ilvl="1" w:tentative="0">
      <w:start w:val="0"/>
      <w:numFmt w:val="bullet"/>
      <w:lvlText w:val="•"/>
      <w:lvlJc w:val="left"/>
      <w:pPr>
        <w:ind w:left="1522" w:hanging="171"/>
      </w:pPr>
    </w:lvl>
    <w:lvl w:ilvl="2" w:tentative="0">
      <w:start w:val="0"/>
      <w:numFmt w:val="bullet"/>
      <w:lvlText w:val="•"/>
      <w:lvlJc w:val="left"/>
      <w:pPr>
        <w:ind w:left="2524" w:hanging="171"/>
      </w:pPr>
    </w:lvl>
    <w:lvl w:ilvl="3" w:tentative="0">
      <w:start w:val="0"/>
      <w:numFmt w:val="bullet"/>
      <w:lvlText w:val="•"/>
      <w:lvlJc w:val="left"/>
      <w:pPr>
        <w:ind w:left="3526" w:hanging="171"/>
      </w:pPr>
    </w:lvl>
    <w:lvl w:ilvl="4" w:tentative="0">
      <w:start w:val="0"/>
      <w:numFmt w:val="bullet"/>
      <w:lvlText w:val="•"/>
      <w:lvlJc w:val="left"/>
      <w:pPr>
        <w:ind w:left="4528" w:hanging="171"/>
      </w:pPr>
    </w:lvl>
    <w:lvl w:ilvl="5" w:tentative="0">
      <w:start w:val="0"/>
      <w:numFmt w:val="bullet"/>
      <w:lvlText w:val="•"/>
      <w:lvlJc w:val="left"/>
      <w:pPr>
        <w:ind w:left="5530" w:hanging="171"/>
      </w:pPr>
    </w:lvl>
    <w:lvl w:ilvl="6" w:tentative="0">
      <w:start w:val="0"/>
      <w:numFmt w:val="bullet"/>
      <w:lvlText w:val="•"/>
      <w:lvlJc w:val="left"/>
      <w:pPr>
        <w:ind w:left="6532" w:hanging="171"/>
      </w:pPr>
    </w:lvl>
    <w:lvl w:ilvl="7" w:tentative="0">
      <w:start w:val="0"/>
      <w:numFmt w:val="bullet"/>
      <w:lvlText w:val="•"/>
      <w:lvlJc w:val="left"/>
      <w:pPr>
        <w:ind w:left="7534" w:hanging="171"/>
      </w:pPr>
    </w:lvl>
    <w:lvl w:ilvl="8" w:tentative="0">
      <w:start w:val="0"/>
      <w:numFmt w:val="bullet"/>
      <w:lvlText w:val="•"/>
      <w:lvlJc w:val="left"/>
      <w:pPr>
        <w:ind w:left="8536" w:hanging="171"/>
      </w:pPr>
    </w:lvl>
  </w:abstractNum>
  <w:abstractNum w:abstractNumId="6">
    <w:nsid w:val="D49EA414"/>
    <w:multiLevelType w:val="singleLevel"/>
    <w:tmpl w:val="D49EA414"/>
    <w:lvl w:ilvl="0" w:tentative="0">
      <w:start w:val="12"/>
      <w:numFmt w:val="decimal"/>
      <w:suff w:val="nothing"/>
      <w:lvlText w:val="（%1）"/>
      <w:lvlJc w:val="left"/>
    </w:lvl>
  </w:abstractNum>
  <w:abstractNum w:abstractNumId="7">
    <w:nsid w:val="03D62ECE"/>
    <w:multiLevelType w:val="multilevel"/>
    <w:tmpl w:val="03D62ECE"/>
    <w:lvl w:ilvl="0" w:tentative="0">
      <w:start w:val="1"/>
      <w:numFmt w:val="decimal"/>
      <w:lvlText w:val="（%1）"/>
      <w:lvlJc w:val="left"/>
      <w:pPr>
        <w:ind w:left="796" w:hanging="446"/>
      </w:pPr>
      <w:rPr>
        <w:rFonts w:hint="eastAsia" w:ascii="宋体" w:hAnsi="宋体" w:eastAsia="宋体" w:cs="宋体"/>
        <w:w w:val="98"/>
        <w:sz w:val="15"/>
        <w:szCs w:val="15"/>
      </w:rPr>
    </w:lvl>
    <w:lvl w:ilvl="1" w:tentative="0">
      <w:start w:val="0"/>
      <w:numFmt w:val="bullet"/>
      <w:lvlText w:val="•"/>
      <w:lvlJc w:val="left"/>
      <w:pPr>
        <w:ind w:left="1774" w:hanging="446"/>
      </w:pPr>
    </w:lvl>
    <w:lvl w:ilvl="2" w:tentative="0">
      <w:start w:val="0"/>
      <w:numFmt w:val="bullet"/>
      <w:lvlText w:val="•"/>
      <w:lvlJc w:val="left"/>
      <w:pPr>
        <w:ind w:left="2748" w:hanging="446"/>
      </w:pPr>
    </w:lvl>
    <w:lvl w:ilvl="3" w:tentative="0">
      <w:start w:val="0"/>
      <w:numFmt w:val="bullet"/>
      <w:lvlText w:val="•"/>
      <w:lvlJc w:val="left"/>
      <w:pPr>
        <w:ind w:left="3722" w:hanging="446"/>
      </w:pPr>
    </w:lvl>
    <w:lvl w:ilvl="4" w:tentative="0">
      <w:start w:val="0"/>
      <w:numFmt w:val="bullet"/>
      <w:lvlText w:val="•"/>
      <w:lvlJc w:val="left"/>
      <w:pPr>
        <w:ind w:left="4696" w:hanging="446"/>
      </w:pPr>
    </w:lvl>
    <w:lvl w:ilvl="5" w:tentative="0">
      <w:start w:val="0"/>
      <w:numFmt w:val="bullet"/>
      <w:lvlText w:val="•"/>
      <w:lvlJc w:val="left"/>
      <w:pPr>
        <w:ind w:left="5670" w:hanging="446"/>
      </w:pPr>
    </w:lvl>
    <w:lvl w:ilvl="6" w:tentative="0">
      <w:start w:val="0"/>
      <w:numFmt w:val="bullet"/>
      <w:lvlText w:val="•"/>
      <w:lvlJc w:val="left"/>
      <w:pPr>
        <w:ind w:left="6644" w:hanging="446"/>
      </w:pPr>
    </w:lvl>
    <w:lvl w:ilvl="7" w:tentative="0">
      <w:start w:val="0"/>
      <w:numFmt w:val="bullet"/>
      <w:lvlText w:val="•"/>
      <w:lvlJc w:val="left"/>
      <w:pPr>
        <w:ind w:left="7618" w:hanging="446"/>
      </w:pPr>
    </w:lvl>
    <w:lvl w:ilvl="8" w:tentative="0">
      <w:start w:val="0"/>
      <w:numFmt w:val="bullet"/>
      <w:lvlText w:val="•"/>
      <w:lvlJc w:val="left"/>
      <w:pPr>
        <w:ind w:left="8592" w:hanging="446"/>
      </w:pPr>
    </w:lvl>
  </w:abstractNum>
  <w:abstractNum w:abstractNumId="8">
    <w:nsid w:val="25B654F3"/>
    <w:multiLevelType w:val="multilevel"/>
    <w:tmpl w:val="25B654F3"/>
    <w:lvl w:ilvl="0" w:tentative="0">
      <w:start w:val="1"/>
      <w:numFmt w:val="decimal"/>
      <w:lvlText w:val="%1."/>
      <w:lvlJc w:val="left"/>
      <w:pPr>
        <w:ind w:left="521" w:hanging="171"/>
      </w:pPr>
      <w:rPr>
        <w:rFonts w:hint="default" w:ascii="Verdana" w:hAnsi="Verdana" w:eastAsia="Times New Roman" w:cs="Verdana"/>
        <w:spacing w:val="-2"/>
        <w:w w:val="98"/>
        <w:sz w:val="15"/>
        <w:szCs w:val="15"/>
      </w:rPr>
    </w:lvl>
    <w:lvl w:ilvl="1" w:tentative="0">
      <w:start w:val="0"/>
      <w:numFmt w:val="bullet"/>
      <w:lvlText w:val="•"/>
      <w:lvlJc w:val="left"/>
      <w:pPr>
        <w:ind w:left="1522" w:hanging="171"/>
      </w:pPr>
    </w:lvl>
    <w:lvl w:ilvl="2" w:tentative="0">
      <w:start w:val="0"/>
      <w:numFmt w:val="bullet"/>
      <w:lvlText w:val="•"/>
      <w:lvlJc w:val="left"/>
      <w:pPr>
        <w:ind w:left="2524" w:hanging="171"/>
      </w:pPr>
    </w:lvl>
    <w:lvl w:ilvl="3" w:tentative="0">
      <w:start w:val="0"/>
      <w:numFmt w:val="bullet"/>
      <w:lvlText w:val="•"/>
      <w:lvlJc w:val="left"/>
      <w:pPr>
        <w:ind w:left="3526" w:hanging="171"/>
      </w:pPr>
    </w:lvl>
    <w:lvl w:ilvl="4" w:tentative="0">
      <w:start w:val="0"/>
      <w:numFmt w:val="bullet"/>
      <w:lvlText w:val="•"/>
      <w:lvlJc w:val="left"/>
      <w:pPr>
        <w:ind w:left="4528" w:hanging="171"/>
      </w:pPr>
    </w:lvl>
    <w:lvl w:ilvl="5" w:tentative="0">
      <w:start w:val="0"/>
      <w:numFmt w:val="bullet"/>
      <w:lvlText w:val="•"/>
      <w:lvlJc w:val="left"/>
      <w:pPr>
        <w:ind w:left="5530" w:hanging="171"/>
      </w:pPr>
    </w:lvl>
    <w:lvl w:ilvl="6" w:tentative="0">
      <w:start w:val="0"/>
      <w:numFmt w:val="bullet"/>
      <w:lvlText w:val="•"/>
      <w:lvlJc w:val="left"/>
      <w:pPr>
        <w:ind w:left="6532" w:hanging="171"/>
      </w:pPr>
    </w:lvl>
    <w:lvl w:ilvl="7" w:tentative="0">
      <w:start w:val="0"/>
      <w:numFmt w:val="bullet"/>
      <w:lvlText w:val="•"/>
      <w:lvlJc w:val="left"/>
      <w:pPr>
        <w:ind w:left="7534" w:hanging="171"/>
      </w:pPr>
    </w:lvl>
    <w:lvl w:ilvl="8" w:tentative="0">
      <w:start w:val="0"/>
      <w:numFmt w:val="bullet"/>
      <w:lvlText w:val="•"/>
      <w:lvlJc w:val="left"/>
      <w:pPr>
        <w:ind w:left="8536" w:hanging="171"/>
      </w:pPr>
    </w:lvl>
  </w:abstractNum>
  <w:abstractNum w:abstractNumId="9">
    <w:nsid w:val="2D177BD0"/>
    <w:multiLevelType w:val="multilevel"/>
    <w:tmpl w:val="2D177BD0"/>
    <w:lvl w:ilvl="0" w:tentative="0">
      <w:start w:val="1"/>
      <w:numFmt w:val="decimal"/>
      <w:pStyle w:val="341"/>
      <w:suff w:val="nothing"/>
      <w:lvlText w:val="%1"/>
      <w:lvlJc w:val="left"/>
      <w:pPr>
        <w:ind w:left="0" w:firstLine="0"/>
      </w:pPr>
      <w:rPr>
        <w:rFonts w:hint="eastAsia" w:ascii="微软雅黑" w:hAnsi="微软雅黑" w:eastAsia="微软雅黑"/>
        <w:b w:val="0"/>
        <w:sz w:val="24"/>
      </w:rPr>
    </w:lvl>
    <w:lvl w:ilvl="1" w:tentative="0">
      <w:start w:val="1"/>
      <w:numFmt w:val="decimal"/>
      <w:pStyle w:val="342"/>
      <w:suff w:val="nothing"/>
      <w:lvlText w:val="%1.%2"/>
      <w:lvlJc w:val="left"/>
      <w:pPr>
        <w:ind w:left="0" w:firstLine="0"/>
      </w:pPr>
      <w:rPr>
        <w:rFonts w:hint="eastAsia" w:ascii="微软雅黑" w:hAnsi="微软雅黑" w:eastAsia="微软雅黑"/>
        <w:sz w:val="24"/>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40515ABD"/>
    <w:multiLevelType w:val="singleLevel"/>
    <w:tmpl w:val="40515ABD"/>
    <w:lvl w:ilvl="0" w:tentative="0">
      <w:start w:val="1"/>
      <w:numFmt w:val="decimal"/>
      <w:pStyle w:val="15"/>
      <w:lvlText w:val="%1."/>
      <w:lvlJc w:val="left"/>
      <w:pPr>
        <w:tabs>
          <w:tab w:val="left" w:pos="780"/>
        </w:tabs>
        <w:ind w:left="780" w:hanging="360"/>
      </w:pPr>
    </w:lvl>
  </w:abstractNum>
  <w:abstractNum w:abstractNumId="11">
    <w:nsid w:val="4DF73F39"/>
    <w:multiLevelType w:val="multilevel"/>
    <w:tmpl w:val="4DF73F39"/>
    <w:lvl w:ilvl="0" w:tentative="0">
      <w:start w:val="1"/>
      <w:numFmt w:val="decimal"/>
      <w:suff w:val="nothing"/>
      <w:lvlText w:val="%1"/>
      <w:lvlJc w:val="left"/>
      <w:pPr>
        <w:ind w:left="0" w:firstLine="0"/>
      </w:pPr>
      <w:rPr>
        <w:rFonts w:hint="default"/>
        <w:b w:val="0"/>
      </w:rPr>
    </w:lvl>
    <w:lvl w:ilvl="1" w:tentative="0">
      <w:start w:val="1"/>
      <w:numFmt w:val="decimal"/>
      <w:pStyle w:val="343"/>
      <w:suff w:val="nothing"/>
      <w:lvlText w:val="%1.%2"/>
      <w:lvlJc w:val="left"/>
      <w:pPr>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52D7A3B6"/>
    <w:multiLevelType w:val="singleLevel"/>
    <w:tmpl w:val="52D7A3B6"/>
    <w:lvl w:ilvl="0" w:tentative="0">
      <w:start w:val="1"/>
      <w:numFmt w:val="decimal"/>
      <w:suff w:val="nothing"/>
      <w:lvlText w:val="（%1）"/>
      <w:lvlJc w:val="left"/>
    </w:lvl>
  </w:abstractNum>
  <w:abstractNum w:abstractNumId="13">
    <w:nsid w:val="59ADCABA"/>
    <w:multiLevelType w:val="multilevel"/>
    <w:tmpl w:val="59ADCABA"/>
    <w:lvl w:ilvl="0" w:tentative="0">
      <w:start w:val="1"/>
      <w:numFmt w:val="decimal"/>
      <w:lvlText w:val="%1."/>
      <w:lvlJc w:val="left"/>
      <w:pPr>
        <w:ind w:left="521" w:hanging="171"/>
      </w:pPr>
      <w:rPr>
        <w:rFonts w:hint="default" w:ascii="Verdana" w:hAnsi="Verdana" w:eastAsia="Times New Roman" w:cs="Verdana"/>
        <w:spacing w:val="-2"/>
        <w:w w:val="98"/>
        <w:sz w:val="15"/>
        <w:szCs w:val="15"/>
      </w:rPr>
    </w:lvl>
    <w:lvl w:ilvl="1" w:tentative="0">
      <w:start w:val="0"/>
      <w:numFmt w:val="bullet"/>
      <w:lvlText w:val="•"/>
      <w:lvlJc w:val="left"/>
      <w:pPr>
        <w:ind w:left="1522" w:hanging="171"/>
      </w:pPr>
    </w:lvl>
    <w:lvl w:ilvl="2" w:tentative="0">
      <w:start w:val="0"/>
      <w:numFmt w:val="bullet"/>
      <w:lvlText w:val="•"/>
      <w:lvlJc w:val="left"/>
      <w:pPr>
        <w:ind w:left="2524" w:hanging="171"/>
      </w:pPr>
    </w:lvl>
    <w:lvl w:ilvl="3" w:tentative="0">
      <w:start w:val="0"/>
      <w:numFmt w:val="bullet"/>
      <w:lvlText w:val="•"/>
      <w:lvlJc w:val="left"/>
      <w:pPr>
        <w:ind w:left="3526" w:hanging="171"/>
      </w:pPr>
    </w:lvl>
    <w:lvl w:ilvl="4" w:tentative="0">
      <w:start w:val="0"/>
      <w:numFmt w:val="bullet"/>
      <w:lvlText w:val="•"/>
      <w:lvlJc w:val="left"/>
      <w:pPr>
        <w:ind w:left="4528" w:hanging="171"/>
      </w:pPr>
    </w:lvl>
    <w:lvl w:ilvl="5" w:tentative="0">
      <w:start w:val="0"/>
      <w:numFmt w:val="bullet"/>
      <w:lvlText w:val="•"/>
      <w:lvlJc w:val="left"/>
      <w:pPr>
        <w:ind w:left="5530" w:hanging="171"/>
      </w:pPr>
    </w:lvl>
    <w:lvl w:ilvl="6" w:tentative="0">
      <w:start w:val="0"/>
      <w:numFmt w:val="bullet"/>
      <w:lvlText w:val="•"/>
      <w:lvlJc w:val="left"/>
      <w:pPr>
        <w:ind w:left="6532" w:hanging="171"/>
      </w:pPr>
    </w:lvl>
    <w:lvl w:ilvl="7" w:tentative="0">
      <w:start w:val="0"/>
      <w:numFmt w:val="bullet"/>
      <w:lvlText w:val="•"/>
      <w:lvlJc w:val="left"/>
      <w:pPr>
        <w:ind w:left="7534" w:hanging="171"/>
      </w:pPr>
    </w:lvl>
    <w:lvl w:ilvl="8" w:tentative="0">
      <w:start w:val="0"/>
      <w:numFmt w:val="bullet"/>
      <w:lvlText w:val="•"/>
      <w:lvlJc w:val="left"/>
      <w:pPr>
        <w:ind w:left="8536" w:hanging="171"/>
      </w:pPr>
    </w:lvl>
  </w:abstractNum>
  <w:num w:numId="1">
    <w:abstractNumId w:val="10"/>
  </w:num>
  <w:num w:numId="2">
    <w:abstractNumId w:val="9"/>
  </w:num>
  <w:num w:numId="3">
    <w:abstractNumId w:val="11"/>
  </w:num>
  <w:num w:numId="4">
    <w:abstractNumId w:val="0"/>
  </w:num>
  <w:num w:numId="5">
    <w:abstractNumId w:val="12"/>
  </w:num>
  <w:num w:numId="6">
    <w:abstractNumId w:val="6"/>
  </w:num>
  <w:num w:numId="7">
    <w:abstractNumId w:val="5"/>
    <w:lvlOverride w:ilvl="0">
      <w:startOverride w:val="1"/>
    </w:lvlOverride>
  </w:num>
  <w:num w:numId="8">
    <w:abstractNumId w:val="13"/>
    <w:lvlOverride w:ilvl="0">
      <w:startOverride w:val="1"/>
    </w:lvlOverride>
  </w:num>
  <w:num w:numId="9">
    <w:abstractNumId w:val="7"/>
    <w:lvlOverride w:ilvl="0">
      <w:startOverride w:val="1"/>
    </w:lvlOverride>
  </w:num>
  <w:num w:numId="10">
    <w:abstractNumId w:val="8"/>
    <w:lvlOverride w:ilvl="0">
      <w:startOverride w:val="1"/>
    </w:lvlOverride>
  </w:num>
  <w:num w:numId="11">
    <w:abstractNumId w:val="4"/>
  </w:num>
  <w:num w:numId="12">
    <w:abstractNumId w:val="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NWM0YjQ0NTJjNDY5ZjBmYTIzZWIyMWExMGIxOWEifQ=="/>
  </w:docVars>
  <w:rsids>
    <w:rsidRoot w:val="00172A27"/>
    <w:rsid w:val="000149E3"/>
    <w:rsid w:val="00020693"/>
    <w:rsid w:val="000217C7"/>
    <w:rsid w:val="00026A46"/>
    <w:rsid w:val="00027D0D"/>
    <w:rsid w:val="00031F49"/>
    <w:rsid w:val="00037B6F"/>
    <w:rsid w:val="000474B4"/>
    <w:rsid w:val="00063600"/>
    <w:rsid w:val="00090AE6"/>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606883"/>
    <w:rsid w:val="020D29B1"/>
    <w:rsid w:val="021F7DAD"/>
    <w:rsid w:val="0224444B"/>
    <w:rsid w:val="022D7429"/>
    <w:rsid w:val="02451328"/>
    <w:rsid w:val="027D25C0"/>
    <w:rsid w:val="02841565"/>
    <w:rsid w:val="029411C5"/>
    <w:rsid w:val="02B3222E"/>
    <w:rsid w:val="02F63BA4"/>
    <w:rsid w:val="031D0871"/>
    <w:rsid w:val="03283281"/>
    <w:rsid w:val="03331487"/>
    <w:rsid w:val="034A64CB"/>
    <w:rsid w:val="039714E5"/>
    <w:rsid w:val="03BE392F"/>
    <w:rsid w:val="03E13A1E"/>
    <w:rsid w:val="04156ACE"/>
    <w:rsid w:val="042A5AFC"/>
    <w:rsid w:val="043D6DF1"/>
    <w:rsid w:val="043F2279"/>
    <w:rsid w:val="044865A2"/>
    <w:rsid w:val="048D46D7"/>
    <w:rsid w:val="04A01243"/>
    <w:rsid w:val="04C27070"/>
    <w:rsid w:val="04E23C80"/>
    <w:rsid w:val="04FD6D0A"/>
    <w:rsid w:val="050751FC"/>
    <w:rsid w:val="05166806"/>
    <w:rsid w:val="0529508C"/>
    <w:rsid w:val="053A30CA"/>
    <w:rsid w:val="057D25F0"/>
    <w:rsid w:val="05936339"/>
    <w:rsid w:val="05992721"/>
    <w:rsid w:val="05D76F02"/>
    <w:rsid w:val="06075169"/>
    <w:rsid w:val="062F7E7F"/>
    <w:rsid w:val="0650016B"/>
    <w:rsid w:val="06695ADA"/>
    <w:rsid w:val="067D145E"/>
    <w:rsid w:val="067F52AB"/>
    <w:rsid w:val="06E17425"/>
    <w:rsid w:val="06E81491"/>
    <w:rsid w:val="07081502"/>
    <w:rsid w:val="072046E3"/>
    <w:rsid w:val="07373C8C"/>
    <w:rsid w:val="074234A9"/>
    <w:rsid w:val="0747552D"/>
    <w:rsid w:val="07592C30"/>
    <w:rsid w:val="07791E20"/>
    <w:rsid w:val="078177D5"/>
    <w:rsid w:val="07924879"/>
    <w:rsid w:val="079C0E64"/>
    <w:rsid w:val="07D60F62"/>
    <w:rsid w:val="08621901"/>
    <w:rsid w:val="08911C02"/>
    <w:rsid w:val="08913549"/>
    <w:rsid w:val="08B53A61"/>
    <w:rsid w:val="08E76FD5"/>
    <w:rsid w:val="08FD20E7"/>
    <w:rsid w:val="09101BCD"/>
    <w:rsid w:val="09315C91"/>
    <w:rsid w:val="09510BFE"/>
    <w:rsid w:val="097E368B"/>
    <w:rsid w:val="09816EE6"/>
    <w:rsid w:val="09A34824"/>
    <w:rsid w:val="09B85302"/>
    <w:rsid w:val="09B94936"/>
    <w:rsid w:val="09D26DBF"/>
    <w:rsid w:val="09F65854"/>
    <w:rsid w:val="0A07422F"/>
    <w:rsid w:val="0A1B49C1"/>
    <w:rsid w:val="0A3D0590"/>
    <w:rsid w:val="0A7416D8"/>
    <w:rsid w:val="0A8945EB"/>
    <w:rsid w:val="0AD95380"/>
    <w:rsid w:val="0BAC1F4C"/>
    <w:rsid w:val="0BBE4F63"/>
    <w:rsid w:val="0BDA530A"/>
    <w:rsid w:val="0C0247C0"/>
    <w:rsid w:val="0C353302"/>
    <w:rsid w:val="0C3E7749"/>
    <w:rsid w:val="0C496297"/>
    <w:rsid w:val="0C660E5E"/>
    <w:rsid w:val="0C7C51F9"/>
    <w:rsid w:val="0C9A109E"/>
    <w:rsid w:val="0CA74D09"/>
    <w:rsid w:val="0CA9483B"/>
    <w:rsid w:val="0CC51217"/>
    <w:rsid w:val="0D0A01F7"/>
    <w:rsid w:val="0D1F1C9D"/>
    <w:rsid w:val="0D3F6C37"/>
    <w:rsid w:val="0D735BCC"/>
    <w:rsid w:val="0D7C2119"/>
    <w:rsid w:val="0D920730"/>
    <w:rsid w:val="0DE33D9A"/>
    <w:rsid w:val="0E022677"/>
    <w:rsid w:val="0E064CB1"/>
    <w:rsid w:val="0E4706D1"/>
    <w:rsid w:val="0E4B6575"/>
    <w:rsid w:val="0E5C2643"/>
    <w:rsid w:val="0E6537C4"/>
    <w:rsid w:val="0E701E1B"/>
    <w:rsid w:val="0E750CB0"/>
    <w:rsid w:val="0E8E6882"/>
    <w:rsid w:val="0EE50D43"/>
    <w:rsid w:val="0F0377AE"/>
    <w:rsid w:val="0F0E6EE3"/>
    <w:rsid w:val="0F706416"/>
    <w:rsid w:val="0FCD5779"/>
    <w:rsid w:val="0FD03A0D"/>
    <w:rsid w:val="10381F40"/>
    <w:rsid w:val="104869BA"/>
    <w:rsid w:val="10972629"/>
    <w:rsid w:val="109A2257"/>
    <w:rsid w:val="10F47168"/>
    <w:rsid w:val="110264F1"/>
    <w:rsid w:val="1104198D"/>
    <w:rsid w:val="115434FF"/>
    <w:rsid w:val="115D3896"/>
    <w:rsid w:val="11B62E53"/>
    <w:rsid w:val="12103D4D"/>
    <w:rsid w:val="12345EA5"/>
    <w:rsid w:val="124027F2"/>
    <w:rsid w:val="125A673E"/>
    <w:rsid w:val="12775E6D"/>
    <w:rsid w:val="12A01322"/>
    <w:rsid w:val="12AB0828"/>
    <w:rsid w:val="12E05DF5"/>
    <w:rsid w:val="133616DD"/>
    <w:rsid w:val="13582BF6"/>
    <w:rsid w:val="13583E3E"/>
    <w:rsid w:val="136156A3"/>
    <w:rsid w:val="138356B4"/>
    <w:rsid w:val="13884680"/>
    <w:rsid w:val="13996DA4"/>
    <w:rsid w:val="13A56966"/>
    <w:rsid w:val="13B56A40"/>
    <w:rsid w:val="13D309B3"/>
    <w:rsid w:val="13EC3F05"/>
    <w:rsid w:val="14077D57"/>
    <w:rsid w:val="143079B7"/>
    <w:rsid w:val="14342819"/>
    <w:rsid w:val="14965811"/>
    <w:rsid w:val="14CE5CB2"/>
    <w:rsid w:val="14D92610"/>
    <w:rsid w:val="15001500"/>
    <w:rsid w:val="154A25D7"/>
    <w:rsid w:val="15525604"/>
    <w:rsid w:val="155E753C"/>
    <w:rsid w:val="156E5828"/>
    <w:rsid w:val="15B36E57"/>
    <w:rsid w:val="15B43A33"/>
    <w:rsid w:val="15C02CFA"/>
    <w:rsid w:val="15D02588"/>
    <w:rsid w:val="163004AD"/>
    <w:rsid w:val="164356BB"/>
    <w:rsid w:val="166F777C"/>
    <w:rsid w:val="169C21B8"/>
    <w:rsid w:val="169C6B59"/>
    <w:rsid w:val="16BB60A4"/>
    <w:rsid w:val="16D604C4"/>
    <w:rsid w:val="173A5387"/>
    <w:rsid w:val="17725C57"/>
    <w:rsid w:val="17755246"/>
    <w:rsid w:val="17763711"/>
    <w:rsid w:val="17800AEC"/>
    <w:rsid w:val="18245E40"/>
    <w:rsid w:val="184F1816"/>
    <w:rsid w:val="186B461D"/>
    <w:rsid w:val="188B4950"/>
    <w:rsid w:val="18C7387D"/>
    <w:rsid w:val="18C76564"/>
    <w:rsid w:val="19087A11"/>
    <w:rsid w:val="191B7534"/>
    <w:rsid w:val="196E2C37"/>
    <w:rsid w:val="1974690A"/>
    <w:rsid w:val="1A510684"/>
    <w:rsid w:val="1A6171B2"/>
    <w:rsid w:val="1AA65F2A"/>
    <w:rsid w:val="1AA666F2"/>
    <w:rsid w:val="1ADC340E"/>
    <w:rsid w:val="1AED2C78"/>
    <w:rsid w:val="1AEF15D5"/>
    <w:rsid w:val="1B1F6B22"/>
    <w:rsid w:val="1B343FD0"/>
    <w:rsid w:val="1B356551"/>
    <w:rsid w:val="1B377F92"/>
    <w:rsid w:val="1B3E4ABA"/>
    <w:rsid w:val="1B9D2D2C"/>
    <w:rsid w:val="1BA800ED"/>
    <w:rsid w:val="1BAB13EA"/>
    <w:rsid w:val="1BBF1820"/>
    <w:rsid w:val="1BE02644"/>
    <w:rsid w:val="1BF27CE6"/>
    <w:rsid w:val="1BF57F17"/>
    <w:rsid w:val="1C13053F"/>
    <w:rsid w:val="1C162BF5"/>
    <w:rsid w:val="1C212DFA"/>
    <w:rsid w:val="1C3065A1"/>
    <w:rsid w:val="1C32514E"/>
    <w:rsid w:val="1C536B8E"/>
    <w:rsid w:val="1C6074FD"/>
    <w:rsid w:val="1C8449C2"/>
    <w:rsid w:val="1C8676F7"/>
    <w:rsid w:val="1C8B5EF5"/>
    <w:rsid w:val="1C9B7764"/>
    <w:rsid w:val="1C9C37E6"/>
    <w:rsid w:val="1CA3081A"/>
    <w:rsid w:val="1CB81673"/>
    <w:rsid w:val="1CEB7EC5"/>
    <w:rsid w:val="1D0A50BD"/>
    <w:rsid w:val="1D2A3DAB"/>
    <w:rsid w:val="1D46542E"/>
    <w:rsid w:val="1D6359BB"/>
    <w:rsid w:val="1D664936"/>
    <w:rsid w:val="1D71729C"/>
    <w:rsid w:val="1D981331"/>
    <w:rsid w:val="1DAB3C89"/>
    <w:rsid w:val="1DC06E93"/>
    <w:rsid w:val="1DCC77C2"/>
    <w:rsid w:val="1DCF4890"/>
    <w:rsid w:val="1DFB57EB"/>
    <w:rsid w:val="1E0062C5"/>
    <w:rsid w:val="1E4F15C4"/>
    <w:rsid w:val="1E665E93"/>
    <w:rsid w:val="1E6D0B8E"/>
    <w:rsid w:val="1E8A1B7B"/>
    <w:rsid w:val="1ED05FDD"/>
    <w:rsid w:val="1EDA4565"/>
    <w:rsid w:val="1F0115E6"/>
    <w:rsid w:val="1F574D7C"/>
    <w:rsid w:val="1F8B73B9"/>
    <w:rsid w:val="1FC0508F"/>
    <w:rsid w:val="1FD17519"/>
    <w:rsid w:val="1FDE37FF"/>
    <w:rsid w:val="1FE87CF6"/>
    <w:rsid w:val="1FFE3B10"/>
    <w:rsid w:val="20142293"/>
    <w:rsid w:val="202875D1"/>
    <w:rsid w:val="203B6405"/>
    <w:rsid w:val="204042C4"/>
    <w:rsid w:val="204434A6"/>
    <w:rsid w:val="205143DE"/>
    <w:rsid w:val="208E2CB0"/>
    <w:rsid w:val="20C7192F"/>
    <w:rsid w:val="20F3606E"/>
    <w:rsid w:val="20F85F56"/>
    <w:rsid w:val="213009EF"/>
    <w:rsid w:val="213D75BE"/>
    <w:rsid w:val="217A33A1"/>
    <w:rsid w:val="21872636"/>
    <w:rsid w:val="218F2648"/>
    <w:rsid w:val="21AB5C9B"/>
    <w:rsid w:val="21B427AB"/>
    <w:rsid w:val="21BD46E0"/>
    <w:rsid w:val="227C0C68"/>
    <w:rsid w:val="227D1F07"/>
    <w:rsid w:val="22AE5DFE"/>
    <w:rsid w:val="22BD440B"/>
    <w:rsid w:val="23025E80"/>
    <w:rsid w:val="235C31B0"/>
    <w:rsid w:val="23C16FD2"/>
    <w:rsid w:val="242C445B"/>
    <w:rsid w:val="248B6BF0"/>
    <w:rsid w:val="24975A35"/>
    <w:rsid w:val="24A451C8"/>
    <w:rsid w:val="24B0777F"/>
    <w:rsid w:val="24B80E3D"/>
    <w:rsid w:val="24BA3A6C"/>
    <w:rsid w:val="24C14262"/>
    <w:rsid w:val="24DB11B1"/>
    <w:rsid w:val="24DB1DC1"/>
    <w:rsid w:val="254579AD"/>
    <w:rsid w:val="25550995"/>
    <w:rsid w:val="25916749"/>
    <w:rsid w:val="25BD246C"/>
    <w:rsid w:val="25E5097B"/>
    <w:rsid w:val="25ED1CE2"/>
    <w:rsid w:val="25F220DD"/>
    <w:rsid w:val="260366CA"/>
    <w:rsid w:val="26190B1E"/>
    <w:rsid w:val="261954E5"/>
    <w:rsid w:val="26B25A04"/>
    <w:rsid w:val="26E86A48"/>
    <w:rsid w:val="2707113A"/>
    <w:rsid w:val="27101EDB"/>
    <w:rsid w:val="27450F96"/>
    <w:rsid w:val="27A03254"/>
    <w:rsid w:val="27A230C5"/>
    <w:rsid w:val="27A851CF"/>
    <w:rsid w:val="27F6755B"/>
    <w:rsid w:val="2835156C"/>
    <w:rsid w:val="285E7742"/>
    <w:rsid w:val="285F589C"/>
    <w:rsid w:val="2860075F"/>
    <w:rsid w:val="288E7537"/>
    <w:rsid w:val="28D51CE9"/>
    <w:rsid w:val="28E0382C"/>
    <w:rsid w:val="28FB2940"/>
    <w:rsid w:val="2935387C"/>
    <w:rsid w:val="29923BE6"/>
    <w:rsid w:val="29D70027"/>
    <w:rsid w:val="29E4565C"/>
    <w:rsid w:val="2A217644"/>
    <w:rsid w:val="2A5522DC"/>
    <w:rsid w:val="2A6D7AE4"/>
    <w:rsid w:val="2A7647B8"/>
    <w:rsid w:val="2A81126C"/>
    <w:rsid w:val="2A9A509F"/>
    <w:rsid w:val="2ABE75C5"/>
    <w:rsid w:val="2AC54EDF"/>
    <w:rsid w:val="2ADE1592"/>
    <w:rsid w:val="2AE72478"/>
    <w:rsid w:val="2AFE6BB2"/>
    <w:rsid w:val="2AFF547A"/>
    <w:rsid w:val="2B0F5BE3"/>
    <w:rsid w:val="2B194010"/>
    <w:rsid w:val="2B1A0A86"/>
    <w:rsid w:val="2B766889"/>
    <w:rsid w:val="2BB62C14"/>
    <w:rsid w:val="2BB82208"/>
    <w:rsid w:val="2BC1544C"/>
    <w:rsid w:val="2BF83122"/>
    <w:rsid w:val="2C451800"/>
    <w:rsid w:val="2C4D4422"/>
    <w:rsid w:val="2C61592A"/>
    <w:rsid w:val="2CF23348"/>
    <w:rsid w:val="2CFF2E26"/>
    <w:rsid w:val="2D0212AF"/>
    <w:rsid w:val="2D0721CE"/>
    <w:rsid w:val="2D2D0FB8"/>
    <w:rsid w:val="2D5369A4"/>
    <w:rsid w:val="2D553E12"/>
    <w:rsid w:val="2D563294"/>
    <w:rsid w:val="2D572DE8"/>
    <w:rsid w:val="2D7657B0"/>
    <w:rsid w:val="2DA92533"/>
    <w:rsid w:val="2DC542FD"/>
    <w:rsid w:val="2E027319"/>
    <w:rsid w:val="2E740C9C"/>
    <w:rsid w:val="2E912614"/>
    <w:rsid w:val="2EB82B9B"/>
    <w:rsid w:val="2EC0752C"/>
    <w:rsid w:val="2EDB211E"/>
    <w:rsid w:val="2F92082D"/>
    <w:rsid w:val="2FAF734F"/>
    <w:rsid w:val="2FB74538"/>
    <w:rsid w:val="2FF16930"/>
    <w:rsid w:val="30255652"/>
    <w:rsid w:val="302A5959"/>
    <w:rsid w:val="305B0C4B"/>
    <w:rsid w:val="306F34C7"/>
    <w:rsid w:val="3080195E"/>
    <w:rsid w:val="31024AE6"/>
    <w:rsid w:val="313F60CD"/>
    <w:rsid w:val="316C164E"/>
    <w:rsid w:val="31AC33EA"/>
    <w:rsid w:val="31B469D0"/>
    <w:rsid w:val="31CA2AA5"/>
    <w:rsid w:val="31D64F96"/>
    <w:rsid w:val="31EC51C6"/>
    <w:rsid w:val="32017181"/>
    <w:rsid w:val="3202578C"/>
    <w:rsid w:val="326D3B31"/>
    <w:rsid w:val="327021FA"/>
    <w:rsid w:val="329C1DF0"/>
    <w:rsid w:val="329E2BA3"/>
    <w:rsid w:val="32AE7A75"/>
    <w:rsid w:val="32E032B1"/>
    <w:rsid w:val="32EF11A3"/>
    <w:rsid w:val="32EF2028"/>
    <w:rsid w:val="33011C41"/>
    <w:rsid w:val="333C6A3D"/>
    <w:rsid w:val="33420402"/>
    <w:rsid w:val="33644CFD"/>
    <w:rsid w:val="33774568"/>
    <w:rsid w:val="33A0028D"/>
    <w:rsid w:val="33A570FA"/>
    <w:rsid w:val="33D32C1C"/>
    <w:rsid w:val="33D92429"/>
    <w:rsid w:val="343B3818"/>
    <w:rsid w:val="343C1893"/>
    <w:rsid w:val="3449265D"/>
    <w:rsid w:val="358526AE"/>
    <w:rsid w:val="35B54B22"/>
    <w:rsid w:val="35DF0F8E"/>
    <w:rsid w:val="35E83CBD"/>
    <w:rsid w:val="35EF293B"/>
    <w:rsid w:val="35F13A2A"/>
    <w:rsid w:val="35FD564E"/>
    <w:rsid w:val="360453EB"/>
    <w:rsid w:val="362C0965"/>
    <w:rsid w:val="36495F37"/>
    <w:rsid w:val="36523501"/>
    <w:rsid w:val="366A6E58"/>
    <w:rsid w:val="37366041"/>
    <w:rsid w:val="373D0F4E"/>
    <w:rsid w:val="37625DAE"/>
    <w:rsid w:val="377717B0"/>
    <w:rsid w:val="379D7A74"/>
    <w:rsid w:val="37A03DDA"/>
    <w:rsid w:val="37DC389E"/>
    <w:rsid w:val="37E41DF1"/>
    <w:rsid w:val="37FC364E"/>
    <w:rsid w:val="38463090"/>
    <w:rsid w:val="3882116E"/>
    <w:rsid w:val="388234B9"/>
    <w:rsid w:val="38973473"/>
    <w:rsid w:val="38A56CC9"/>
    <w:rsid w:val="38C05F24"/>
    <w:rsid w:val="38D750B8"/>
    <w:rsid w:val="38F2240C"/>
    <w:rsid w:val="39171CC0"/>
    <w:rsid w:val="393F39C1"/>
    <w:rsid w:val="3941283A"/>
    <w:rsid w:val="395212E1"/>
    <w:rsid w:val="39976574"/>
    <w:rsid w:val="39A165F9"/>
    <w:rsid w:val="39B72706"/>
    <w:rsid w:val="39C84E5A"/>
    <w:rsid w:val="39FA0921"/>
    <w:rsid w:val="3A033549"/>
    <w:rsid w:val="3A3457E8"/>
    <w:rsid w:val="3A3F0320"/>
    <w:rsid w:val="3A536E24"/>
    <w:rsid w:val="3A565A98"/>
    <w:rsid w:val="3A5D7130"/>
    <w:rsid w:val="3A810ECA"/>
    <w:rsid w:val="3A871F8A"/>
    <w:rsid w:val="3AA31206"/>
    <w:rsid w:val="3AB57780"/>
    <w:rsid w:val="3AC65AD2"/>
    <w:rsid w:val="3ACF5A26"/>
    <w:rsid w:val="3B3575B2"/>
    <w:rsid w:val="3B4764C1"/>
    <w:rsid w:val="3B54731C"/>
    <w:rsid w:val="3B67428D"/>
    <w:rsid w:val="3B713350"/>
    <w:rsid w:val="3B7A26BE"/>
    <w:rsid w:val="3BBD2198"/>
    <w:rsid w:val="3BE767A5"/>
    <w:rsid w:val="3C1701DB"/>
    <w:rsid w:val="3C2E25AC"/>
    <w:rsid w:val="3C33699A"/>
    <w:rsid w:val="3C41291B"/>
    <w:rsid w:val="3C447C27"/>
    <w:rsid w:val="3C4E3440"/>
    <w:rsid w:val="3E225ED0"/>
    <w:rsid w:val="3E29108F"/>
    <w:rsid w:val="3E530817"/>
    <w:rsid w:val="3E763568"/>
    <w:rsid w:val="3EB341AB"/>
    <w:rsid w:val="3EC20226"/>
    <w:rsid w:val="3EC451E1"/>
    <w:rsid w:val="3EC47F80"/>
    <w:rsid w:val="3F1E63B0"/>
    <w:rsid w:val="3F2226EC"/>
    <w:rsid w:val="3F601C75"/>
    <w:rsid w:val="3FAC6CE4"/>
    <w:rsid w:val="3FDA48AC"/>
    <w:rsid w:val="400C6F8F"/>
    <w:rsid w:val="402A3DD6"/>
    <w:rsid w:val="402E363B"/>
    <w:rsid w:val="403A7A13"/>
    <w:rsid w:val="40883F9A"/>
    <w:rsid w:val="40A6403B"/>
    <w:rsid w:val="40C31767"/>
    <w:rsid w:val="40D11C13"/>
    <w:rsid w:val="40D14228"/>
    <w:rsid w:val="40E32648"/>
    <w:rsid w:val="413F338F"/>
    <w:rsid w:val="415D3A83"/>
    <w:rsid w:val="41A50FA5"/>
    <w:rsid w:val="41B113E8"/>
    <w:rsid w:val="41CC07BC"/>
    <w:rsid w:val="41DD5AAF"/>
    <w:rsid w:val="420569A4"/>
    <w:rsid w:val="42144F10"/>
    <w:rsid w:val="4246080B"/>
    <w:rsid w:val="42CE24FD"/>
    <w:rsid w:val="42F302DD"/>
    <w:rsid w:val="43260C43"/>
    <w:rsid w:val="438034F8"/>
    <w:rsid w:val="4388321A"/>
    <w:rsid w:val="441A31FF"/>
    <w:rsid w:val="446A3759"/>
    <w:rsid w:val="446B4961"/>
    <w:rsid w:val="449428DA"/>
    <w:rsid w:val="44BF2B1E"/>
    <w:rsid w:val="45132E7E"/>
    <w:rsid w:val="456F7A14"/>
    <w:rsid w:val="45787455"/>
    <w:rsid w:val="45B725A0"/>
    <w:rsid w:val="462E25CA"/>
    <w:rsid w:val="46303A17"/>
    <w:rsid w:val="465A58CC"/>
    <w:rsid w:val="46620428"/>
    <w:rsid w:val="46D637ED"/>
    <w:rsid w:val="46DD3F38"/>
    <w:rsid w:val="46F16F1D"/>
    <w:rsid w:val="46FD2CBF"/>
    <w:rsid w:val="472910BD"/>
    <w:rsid w:val="47553E8E"/>
    <w:rsid w:val="477C293C"/>
    <w:rsid w:val="47CA2F97"/>
    <w:rsid w:val="47D84675"/>
    <w:rsid w:val="47E17B3A"/>
    <w:rsid w:val="47FF4104"/>
    <w:rsid w:val="481379C4"/>
    <w:rsid w:val="4816651B"/>
    <w:rsid w:val="481947FE"/>
    <w:rsid w:val="483B043E"/>
    <w:rsid w:val="486B0826"/>
    <w:rsid w:val="486B1D8E"/>
    <w:rsid w:val="48A93D74"/>
    <w:rsid w:val="48D139F6"/>
    <w:rsid w:val="48F56DD6"/>
    <w:rsid w:val="491916C6"/>
    <w:rsid w:val="49573AC8"/>
    <w:rsid w:val="49AA7971"/>
    <w:rsid w:val="49FE240E"/>
    <w:rsid w:val="4A141151"/>
    <w:rsid w:val="4A316318"/>
    <w:rsid w:val="4A643B84"/>
    <w:rsid w:val="4A777A6A"/>
    <w:rsid w:val="4A791AFA"/>
    <w:rsid w:val="4AC017AB"/>
    <w:rsid w:val="4AC9062D"/>
    <w:rsid w:val="4AE52C42"/>
    <w:rsid w:val="4AF2187D"/>
    <w:rsid w:val="4AFC3953"/>
    <w:rsid w:val="4B103205"/>
    <w:rsid w:val="4B1E385E"/>
    <w:rsid w:val="4B425A6C"/>
    <w:rsid w:val="4B4B4F3A"/>
    <w:rsid w:val="4B6870F9"/>
    <w:rsid w:val="4B6C2969"/>
    <w:rsid w:val="4BCF6DCB"/>
    <w:rsid w:val="4BD06B38"/>
    <w:rsid w:val="4BDF321A"/>
    <w:rsid w:val="4BE962F6"/>
    <w:rsid w:val="4C0065CE"/>
    <w:rsid w:val="4C18241E"/>
    <w:rsid w:val="4C227943"/>
    <w:rsid w:val="4C472142"/>
    <w:rsid w:val="4C5F22C4"/>
    <w:rsid w:val="4C9463A6"/>
    <w:rsid w:val="4CA5648E"/>
    <w:rsid w:val="4CE617D5"/>
    <w:rsid w:val="4DC86CD0"/>
    <w:rsid w:val="4DD62C1F"/>
    <w:rsid w:val="4DF46D27"/>
    <w:rsid w:val="4E367509"/>
    <w:rsid w:val="4E5211BA"/>
    <w:rsid w:val="4E90713C"/>
    <w:rsid w:val="4E9D1D1E"/>
    <w:rsid w:val="4F0E0B1D"/>
    <w:rsid w:val="4FBD41CA"/>
    <w:rsid w:val="4FD246D2"/>
    <w:rsid w:val="50077D56"/>
    <w:rsid w:val="50131451"/>
    <w:rsid w:val="50831BFE"/>
    <w:rsid w:val="50B52FE4"/>
    <w:rsid w:val="50BF2E54"/>
    <w:rsid w:val="51390BE4"/>
    <w:rsid w:val="51C804DE"/>
    <w:rsid w:val="51CF0D4C"/>
    <w:rsid w:val="51E33826"/>
    <w:rsid w:val="51E71C22"/>
    <w:rsid w:val="520C6B50"/>
    <w:rsid w:val="522E62F3"/>
    <w:rsid w:val="52A33960"/>
    <w:rsid w:val="52B476CE"/>
    <w:rsid w:val="52F47A95"/>
    <w:rsid w:val="531645CA"/>
    <w:rsid w:val="531F2A96"/>
    <w:rsid w:val="53262EC9"/>
    <w:rsid w:val="53734149"/>
    <w:rsid w:val="53932760"/>
    <w:rsid w:val="539873E7"/>
    <w:rsid w:val="53B46D0C"/>
    <w:rsid w:val="54087353"/>
    <w:rsid w:val="54375044"/>
    <w:rsid w:val="544232E7"/>
    <w:rsid w:val="54837B70"/>
    <w:rsid w:val="549661B6"/>
    <w:rsid w:val="54D24E79"/>
    <w:rsid w:val="5503429F"/>
    <w:rsid w:val="551027C6"/>
    <w:rsid w:val="552F7315"/>
    <w:rsid w:val="554B0FDD"/>
    <w:rsid w:val="55631D2D"/>
    <w:rsid w:val="55BB1E97"/>
    <w:rsid w:val="55BE587F"/>
    <w:rsid w:val="55C8709D"/>
    <w:rsid w:val="560509A3"/>
    <w:rsid w:val="56126C00"/>
    <w:rsid w:val="56250237"/>
    <w:rsid w:val="564569EB"/>
    <w:rsid w:val="56AB5944"/>
    <w:rsid w:val="56F645A2"/>
    <w:rsid w:val="57214861"/>
    <w:rsid w:val="572B4616"/>
    <w:rsid w:val="57541EAD"/>
    <w:rsid w:val="577465D8"/>
    <w:rsid w:val="57AE5029"/>
    <w:rsid w:val="57C23486"/>
    <w:rsid w:val="57D123D3"/>
    <w:rsid w:val="58117CC1"/>
    <w:rsid w:val="581B6D8F"/>
    <w:rsid w:val="582C3384"/>
    <w:rsid w:val="58624A55"/>
    <w:rsid w:val="5881143C"/>
    <w:rsid w:val="59216A89"/>
    <w:rsid w:val="59671A3A"/>
    <w:rsid w:val="59A14E6F"/>
    <w:rsid w:val="59A175DF"/>
    <w:rsid w:val="59B819C2"/>
    <w:rsid w:val="59C7668D"/>
    <w:rsid w:val="59FC4729"/>
    <w:rsid w:val="5A0B75E4"/>
    <w:rsid w:val="5A575BFF"/>
    <w:rsid w:val="5A77586F"/>
    <w:rsid w:val="5AA12CBD"/>
    <w:rsid w:val="5ACA65CD"/>
    <w:rsid w:val="5ACC7A53"/>
    <w:rsid w:val="5AE42F12"/>
    <w:rsid w:val="5AE51758"/>
    <w:rsid w:val="5B581F93"/>
    <w:rsid w:val="5B6B529B"/>
    <w:rsid w:val="5BB250E2"/>
    <w:rsid w:val="5BB3320D"/>
    <w:rsid w:val="5BC31A45"/>
    <w:rsid w:val="5BC772C9"/>
    <w:rsid w:val="5C465FA2"/>
    <w:rsid w:val="5C544090"/>
    <w:rsid w:val="5C726BB6"/>
    <w:rsid w:val="5C7322D1"/>
    <w:rsid w:val="5CEF4070"/>
    <w:rsid w:val="5CFC28A8"/>
    <w:rsid w:val="5D246FFC"/>
    <w:rsid w:val="5D36426B"/>
    <w:rsid w:val="5DDA696A"/>
    <w:rsid w:val="5E0C55BA"/>
    <w:rsid w:val="5E410FFD"/>
    <w:rsid w:val="5E544606"/>
    <w:rsid w:val="5E8E05EA"/>
    <w:rsid w:val="5EFB61FA"/>
    <w:rsid w:val="5F2C7D02"/>
    <w:rsid w:val="5F7663E9"/>
    <w:rsid w:val="5FB656F9"/>
    <w:rsid w:val="5FBC2CFA"/>
    <w:rsid w:val="5FC53466"/>
    <w:rsid w:val="5FD13015"/>
    <w:rsid w:val="5FDE21DF"/>
    <w:rsid w:val="60190EE3"/>
    <w:rsid w:val="601D48F2"/>
    <w:rsid w:val="601E31F8"/>
    <w:rsid w:val="602832C7"/>
    <w:rsid w:val="603D1F50"/>
    <w:rsid w:val="603F673E"/>
    <w:rsid w:val="605467C6"/>
    <w:rsid w:val="60D605A1"/>
    <w:rsid w:val="61464F6C"/>
    <w:rsid w:val="61515A7F"/>
    <w:rsid w:val="61633E93"/>
    <w:rsid w:val="61A4558D"/>
    <w:rsid w:val="61C32B70"/>
    <w:rsid w:val="61E045CD"/>
    <w:rsid w:val="62016875"/>
    <w:rsid w:val="628B7263"/>
    <w:rsid w:val="62902D58"/>
    <w:rsid w:val="62AE4BDA"/>
    <w:rsid w:val="62C97640"/>
    <w:rsid w:val="62D27C48"/>
    <w:rsid w:val="6307315E"/>
    <w:rsid w:val="63184211"/>
    <w:rsid w:val="631B5AD9"/>
    <w:rsid w:val="635C575B"/>
    <w:rsid w:val="636863CF"/>
    <w:rsid w:val="63752C12"/>
    <w:rsid w:val="638C1080"/>
    <w:rsid w:val="63B413CF"/>
    <w:rsid w:val="63C832E6"/>
    <w:rsid w:val="63FF6C27"/>
    <w:rsid w:val="6405263C"/>
    <w:rsid w:val="642454D9"/>
    <w:rsid w:val="644A58BB"/>
    <w:rsid w:val="64613942"/>
    <w:rsid w:val="6464336B"/>
    <w:rsid w:val="64B81776"/>
    <w:rsid w:val="653C5193"/>
    <w:rsid w:val="655C7828"/>
    <w:rsid w:val="65652A5B"/>
    <w:rsid w:val="65CB1350"/>
    <w:rsid w:val="66330E7B"/>
    <w:rsid w:val="66351622"/>
    <w:rsid w:val="663E7042"/>
    <w:rsid w:val="665A2304"/>
    <w:rsid w:val="669C6349"/>
    <w:rsid w:val="66A80AC6"/>
    <w:rsid w:val="66F70CBF"/>
    <w:rsid w:val="67144976"/>
    <w:rsid w:val="67202357"/>
    <w:rsid w:val="67603F26"/>
    <w:rsid w:val="67977208"/>
    <w:rsid w:val="67D3264E"/>
    <w:rsid w:val="68024DD3"/>
    <w:rsid w:val="680F332B"/>
    <w:rsid w:val="6832253F"/>
    <w:rsid w:val="685C3C4D"/>
    <w:rsid w:val="687102AD"/>
    <w:rsid w:val="68724B40"/>
    <w:rsid w:val="68902798"/>
    <w:rsid w:val="690C7142"/>
    <w:rsid w:val="69412846"/>
    <w:rsid w:val="695907E9"/>
    <w:rsid w:val="6964290E"/>
    <w:rsid w:val="698304CD"/>
    <w:rsid w:val="69932BAE"/>
    <w:rsid w:val="69A06126"/>
    <w:rsid w:val="69A16FDB"/>
    <w:rsid w:val="69BA6060"/>
    <w:rsid w:val="69D62885"/>
    <w:rsid w:val="69ED079D"/>
    <w:rsid w:val="6A223F21"/>
    <w:rsid w:val="6A4771F0"/>
    <w:rsid w:val="6A641277"/>
    <w:rsid w:val="6A985E45"/>
    <w:rsid w:val="6AAD0001"/>
    <w:rsid w:val="6ACC3B62"/>
    <w:rsid w:val="6AE30427"/>
    <w:rsid w:val="6B1B05C6"/>
    <w:rsid w:val="6B35684E"/>
    <w:rsid w:val="6B6C1D6A"/>
    <w:rsid w:val="6B706DFD"/>
    <w:rsid w:val="6B735145"/>
    <w:rsid w:val="6B76701F"/>
    <w:rsid w:val="6BB64940"/>
    <w:rsid w:val="6BBA5ABD"/>
    <w:rsid w:val="6BC04151"/>
    <w:rsid w:val="6BFF6B53"/>
    <w:rsid w:val="6C161EDD"/>
    <w:rsid w:val="6C17534B"/>
    <w:rsid w:val="6C52384A"/>
    <w:rsid w:val="6C5F577B"/>
    <w:rsid w:val="6C5F6B13"/>
    <w:rsid w:val="6C82745D"/>
    <w:rsid w:val="6C831486"/>
    <w:rsid w:val="6C8C7141"/>
    <w:rsid w:val="6C903E5F"/>
    <w:rsid w:val="6C92595F"/>
    <w:rsid w:val="6CA31D11"/>
    <w:rsid w:val="6CA820A8"/>
    <w:rsid w:val="6CE513BE"/>
    <w:rsid w:val="6CEE595E"/>
    <w:rsid w:val="6CF82160"/>
    <w:rsid w:val="6D094BFA"/>
    <w:rsid w:val="6D1D7324"/>
    <w:rsid w:val="6D283EB3"/>
    <w:rsid w:val="6D476F5C"/>
    <w:rsid w:val="6D524D35"/>
    <w:rsid w:val="6D631E8B"/>
    <w:rsid w:val="6DA45721"/>
    <w:rsid w:val="6DEF5724"/>
    <w:rsid w:val="6E2D7396"/>
    <w:rsid w:val="6E967068"/>
    <w:rsid w:val="6E977E1E"/>
    <w:rsid w:val="6E9A083E"/>
    <w:rsid w:val="6F1013D6"/>
    <w:rsid w:val="6F1830F3"/>
    <w:rsid w:val="6F2C4E6B"/>
    <w:rsid w:val="6F7502BE"/>
    <w:rsid w:val="6F8E346E"/>
    <w:rsid w:val="6F922D77"/>
    <w:rsid w:val="6FA85985"/>
    <w:rsid w:val="6FEA2DEF"/>
    <w:rsid w:val="70231C9D"/>
    <w:rsid w:val="70411BFE"/>
    <w:rsid w:val="708C386D"/>
    <w:rsid w:val="7093353E"/>
    <w:rsid w:val="70A25D2A"/>
    <w:rsid w:val="70EC15F1"/>
    <w:rsid w:val="70F606D1"/>
    <w:rsid w:val="710C3141"/>
    <w:rsid w:val="71104E62"/>
    <w:rsid w:val="713927A1"/>
    <w:rsid w:val="71426CAF"/>
    <w:rsid w:val="719525E5"/>
    <w:rsid w:val="71C43EDF"/>
    <w:rsid w:val="71D12B7B"/>
    <w:rsid w:val="72047D57"/>
    <w:rsid w:val="72563FB1"/>
    <w:rsid w:val="726E28BC"/>
    <w:rsid w:val="729701F7"/>
    <w:rsid w:val="72C13435"/>
    <w:rsid w:val="7332304C"/>
    <w:rsid w:val="73460DCF"/>
    <w:rsid w:val="736F51CC"/>
    <w:rsid w:val="73765DF7"/>
    <w:rsid w:val="739C093C"/>
    <w:rsid w:val="739D0315"/>
    <w:rsid w:val="73CE4F10"/>
    <w:rsid w:val="73DE0BF4"/>
    <w:rsid w:val="73EF72A5"/>
    <w:rsid w:val="740166CA"/>
    <w:rsid w:val="741606DE"/>
    <w:rsid w:val="74504BE3"/>
    <w:rsid w:val="746B4618"/>
    <w:rsid w:val="748E187D"/>
    <w:rsid w:val="74F727ED"/>
    <w:rsid w:val="75395A4F"/>
    <w:rsid w:val="75A62599"/>
    <w:rsid w:val="75C718AC"/>
    <w:rsid w:val="75E5168E"/>
    <w:rsid w:val="75E65018"/>
    <w:rsid w:val="75FD7923"/>
    <w:rsid w:val="760C615E"/>
    <w:rsid w:val="764536B8"/>
    <w:rsid w:val="764C1E95"/>
    <w:rsid w:val="765340BE"/>
    <w:rsid w:val="76600B0B"/>
    <w:rsid w:val="76EC025F"/>
    <w:rsid w:val="77104195"/>
    <w:rsid w:val="77532B5B"/>
    <w:rsid w:val="77A72B49"/>
    <w:rsid w:val="77BA48A1"/>
    <w:rsid w:val="77EA45C3"/>
    <w:rsid w:val="77F3515D"/>
    <w:rsid w:val="77F537AF"/>
    <w:rsid w:val="78427D95"/>
    <w:rsid w:val="78CE3373"/>
    <w:rsid w:val="78EA06B1"/>
    <w:rsid w:val="79303653"/>
    <w:rsid w:val="79332894"/>
    <w:rsid w:val="79432FDA"/>
    <w:rsid w:val="794E031B"/>
    <w:rsid w:val="796340FE"/>
    <w:rsid w:val="79F651E3"/>
    <w:rsid w:val="7A0539F1"/>
    <w:rsid w:val="7A4A0DFD"/>
    <w:rsid w:val="7A552236"/>
    <w:rsid w:val="7A735659"/>
    <w:rsid w:val="7A7E0068"/>
    <w:rsid w:val="7AC17447"/>
    <w:rsid w:val="7AD70C9B"/>
    <w:rsid w:val="7ADA5B3C"/>
    <w:rsid w:val="7B4531F1"/>
    <w:rsid w:val="7B4D07FD"/>
    <w:rsid w:val="7BAB3DF5"/>
    <w:rsid w:val="7BD26364"/>
    <w:rsid w:val="7BDB29F1"/>
    <w:rsid w:val="7BF87D2D"/>
    <w:rsid w:val="7C2F53CB"/>
    <w:rsid w:val="7C3A3603"/>
    <w:rsid w:val="7C461D0D"/>
    <w:rsid w:val="7C485C63"/>
    <w:rsid w:val="7CA834CE"/>
    <w:rsid w:val="7CB9036C"/>
    <w:rsid w:val="7D047631"/>
    <w:rsid w:val="7D3475DB"/>
    <w:rsid w:val="7D771F95"/>
    <w:rsid w:val="7D942460"/>
    <w:rsid w:val="7DDD5D1F"/>
    <w:rsid w:val="7DEF4A1C"/>
    <w:rsid w:val="7E0B3754"/>
    <w:rsid w:val="7E3C4D54"/>
    <w:rsid w:val="7E563F68"/>
    <w:rsid w:val="7EC40A24"/>
    <w:rsid w:val="7EDF5F74"/>
    <w:rsid w:val="7F270DFD"/>
    <w:rsid w:val="7F5F072D"/>
    <w:rsid w:val="7F711C25"/>
    <w:rsid w:val="7FC50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9"/>
    <w:qFormat/>
    <w:uiPriority w:val="0"/>
    <w:pPr>
      <w:keepNext/>
      <w:jc w:val="center"/>
      <w:outlineLvl w:val="0"/>
    </w:pPr>
    <w:rPr>
      <w:rFonts w:eastAsia="黑体"/>
      <w:b/>
      <w:sz w:val="32"/>
      <w:szCs w:val="20"/>
    </w:rPr>
  </w:style>
  <w:style w:type="paragraph" w:styleId="5">
    <w:name w:val="heading 2"/>
    <w:basedOn w:val="1"/>
    <w:next w:val="1"/>
    <w:link w:val="67"/>
    <w:qFormat/>
    <w:uiPriority w:val="0"/>
    <w:pPr>
      <w:keepNext/>
      <w:outlineLvl w:val="1"/>
    </w:pPr>
    <w:rPr>
      <w:rFonts w:ascii="仿宋_GB2312"/>
      <w:b/>
      <w:sz w:val="28"/>
      <w:szCs w:val="32"/>
    </w:rPr>
  </w:style>
  <w:style w:type="paragraph" w:styleId="6">
    <w:name w:val="heading 3"/>
    <w:basedOn w:val="1"/>
    <w:next w:val="1"/>
    <w:link w:val="152"/>
    <w:qFormat/>
    <w:uiPriority w:val="0"/>
    <w:pPr>
      <w:keepNext/>
      <w:keepLines/>
      <w:spacing w:line="540" w:lineRule="atLeast"/>
      <w:outlineLvl w:val="2"/>
    </w:pPr>
    <w:rPr>
      <w:rFonts w:eastAsia="黑体"/>
      <w:b/>
      <w:sz w:val="28"/>
      <w:szCs w:val="20"/>
    </w:rPr>
  </w:style>
  <w:style w:type="paragraph" w:styleId="7">
    <w:name w:val="heading 4"/>
    <w:basedOn w:val="1"/>
    <w:next w:val="1"/>
    <w:link w:val="149"/>
    <w:qFormat/>
    <w:uiPriority w:val="0"/>
    <w:pPr>
      <w:keepNext/>
      <w:keepLines/>
      <w:spacing w:line="540" w:lineRule="atLeast"/>
      <w:outlineLvl w:val="3"/>
    </w:pPr>
    <w:rPr>
      <w:sz w:val="28"/>
      <w:szCs w:val="28"/>
    </w:rPr>
  </w:style>
  <w:style w:type="paragraph" w:styleId="8">
    <w:name w:val="heading 5"/>
    <w:basedOn w:val="1"/>
    <w:next w:val="1"/>
    <w:link w:val="132"/>
    <w:qFormat/>
    <w:uiPriority w:val="0"/>
    <w:pPr>
      <w:keepNext/>
      <w:keepLines/>
      <w:spacing w:before="280" w:after="290" w:line="372" w:lineRule="auto"/>
      <w:outlineLvl w:val="4"/>
    </w:pPr>
    <w:rPr>
      <w:b/>
      <w:bCs/>
      <w:kern w:val="0"/>
      <w:sz w:val="28"/>
      <w:szCs w:val="28"/>
    </w:rPr>
  </w:style>
  <w:style w:type="paragraph" w:styleId="9">
    <w:name w:val="heading 6"/>
    <w:basedOn w:val="1"/>
    <w:next w:val="10"/>
    <w:link w:val="173"/>
    <w:qFormat/>
    <w:uiPriority w:val="0"/>
    <w:pPr>
      <w:keepNext/>
      <w:keepLines/>
      <w:spacing w:before="240" w:after="64" w:line="317" w:lineRule="auto"/>
      <w:outlineLvl w:val="5"/>
    </w:pPr>
    <w:rPr>
      <w:rFonts w:ascii="Arial" w:hAnsi="Arial" w:eastAsia="黑体"/>
      <w:b/>
      <w:sz w:val="24"/>
      <w:szCs w:val="20"/>
    </w:rPr>
  </w:style>
  <w:style w:type="paragraph" w:styleId="11">
    <w:name w:val="heading 7"/>
    <w:basedOn w:val="1"/>
    <w:next w:val="10"/>
    <w:link w:val="70"/>
    <w:qFormat/>
    <w:uiPriority w:val="0"/>
    <w:pPr>
      <w:keepNext/>
      <w:keepLines/>
      <w:spacing w:before="240" w:after="64" w:line="317" w:lineRule="auto"/>
      <w:outlineLvl w:val="6"/>
    </w:pPr>
    <w:rPr>
      <w:b/>
      <w:sz w:val="24"/>
      <w:szCs w:val="20"/>
    </w:rPr>
  </w:style>
  <w:style w:type="paragraph" w:styleId="12">
    <w:name w:val="heading 8"/>
    <w:basedOn w:val="1"/>
    <w:next w:val="10"/>
    <w:link w:val="176"/>
    <w:qFormat/>
    <w:uiPriority w:val="0"/>
    <w:pPr>
      <w:keepNext/>
      <w:keepLines/>
      <w:spacing w:before="240" w:after="64" w:line="317" w:lineRule="auto"/>
      <w:outlineLvl w:val="7"/>
    </w:pPr>
    <w:rPr>
      <w:rFonts w:ascii="Arial" w:hAnsi="Arial" w:eastAsia="黑体"/>
      <w:sz w:val="24"/>
      <w:szCs w:val="20"/>
    </w:rPr>
  </w:style>
  <w:style w:type="paragraph" w:styleId="13">
    <w:name w:val="heading 9"/>
    <w:basedOn w:val="1"/>
    <w:next w:val="10"/>
    <w:link w:val="163"/>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4"/>
    <w:qFormat/>
    <w:uiPriority w:val="0"/>
    <w:pPr>
      <w:ind w:left="480" w:hanging="480" w:hangingChars="200"/>
    </w:pPr>
    <w:rPr>
      <w:sz w:val="24"/>
    </w:rPr>
  </w:style>
  <w:style w:type="paragraph" w:styleId="3">
    <w:name w:val="macro"/>
    <w:link w:val="11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10">
    <w:name w:val="Normal Indent"/>
    <w:basedOn w:val="1"/>
    <w:next w:val="1"/>
    <w:link w:val="105"/>
    <w:qFormat/>
    <w:uiPriority w:val="0"/>
    <w:pPr>
      <w:adjustRightInd w:val="0"/>
      <w:spacing w:line="312" w:lineRule="atLeast"/>
      <w:ind w:firstLine="420"/>
      <w:textAlignment w:val="baseline"/>
    </w:pPr>
    <w:rPr>
      <w:rFonts w:ascii="仿宋_GB2312"/>
      <w:b/>
      <w:kern w:val="0"/>
      <w:szCs w:val="32"/>
    </w:rPr>
  </w:style>
  <w:style w:type="paragraph" w:styleId="14">
    <w:name w:val="toc 7"/>
    <w:basedOn w:val="1"/>
    <w:next w:val="1"/>
    <w:qFormat/>
    <w:uiPriority w:val="0"/>
    <w:pPr>
      <w:autoSpaceDE w:val="0"/>
      <w:autoSpaceDN w:val="0"/>
      <w:adjustRightInd w:val="0"/>
      <w:ind w:left="2520" w:leftChars="1200"/>
      <w:jc w:val="left"/>
    </w:pPr>
    <w:rPr>
      <w:kern w:val="0"/>
      <w:sz w:val="20"/>
      <w:szCs w:val="20"/>
    </w:rPr>
  </w:style>
  <w:style w:type="paragraph" w:styleId="15">
    <w:name w:val="List Number 2"/>
    <w:basedOn w:val="1"/>
    <w:qFormat/>
    <w:uiPriority w:val="0"/>
    <w:pPr>
      <w:numPr>
        <w:ilvl w:val="0"/>
        <w:numId w:val="1"/>
      </w:numPr>
    </w:pPr>
  </w:style>
  <w:style w:type="paragraph" w:styleId="16">
    <w:name w:val="List Number"/>
    <w:basedOn w:val="1"/>
    <w:qFormat/>
    <w:uiPriority w:val="0"/>
    <w:pPr>
      <w:tabs>
        <w:tab w:val="left" w:pos="360"/>
      </w:tabs>
      <w:ind w:left="360" w:hanging="360" w:hangingChars="200"/>
    </w:pPr>
  </w:style>
  <w:style w:type="paragraph" w:styleId="17">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8">
    <w:name w:val="List Bullet"/>
    <w:basedOn w:val="1"/>
    <w:qFormat/>
    <w:uiPriority w:val="0"/>
    <w:pPr>
      <w:tabs>
        <w:tab w:val="left" w:pos="360"/>
      </w:tabs>
    </w:pPr>
    <w:rPr>
      <w:rFonts w:ascii="Calibri" w:hAnsi="Calibri"/>
      <w:szCs w:val="22"/>
    </w:rPr>
  </w:style>
  <w:style w:type="paragraph" w:styleId="19">
    <w:name w:val="Document Map"/>
    <w:basedOn w:val="1"/>
    <w:link w:val="131"/>
    <w:qFormat/>
    <w:uiPriority w:val="0"/>
    <w:pPr>
      <w:shd w:val="clear" w:color="auto" w:fill="000080"/>
    </w:pPr>
  </w:style>
  <w:style w:type="paragraph" w:styleId="20">
    <w:name w:val="annotation text"/>
    <w:basedOn w:val="1"/>
    <w:link w:val="91"/>
    <w:qFormat/>
    <w:uiPriority w:val="0"/>
    <w:pPr>
      <w:jc w:val="left"/>
    </w:pPr>
  </w:style>
  <w:style w:type="paragraph" w:styleId="21">
    <w:name w:val="Salutation"/>
    <w:basedOn w:val="1"/>
    <w:next w:val="1"/>
    <w:link w:val="79"/>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2">
    <w:name w:val="Body Text 3"/>
    <w:basedOn w:val="1"/>
    <w:link w:val="95"/>
    <w:qFormat/>
    <w:uiPriority w:val="0"/>
    <w:pPr>
      <w:autoSpaceDE w:val="0"/>
      <w:autoSpaceDN w:val="0"/>
      <w:adjustRightInd w:val="0"/>
      <w:jc w:val="center"/>
    </w:pPr>
  </w:style>
  <w:style w:type="paragraph" w:styleId="23">
    <w:name w:val="Body Text"/>
    <w:basedOn w:val="1"/>
    <w:next w:val="1"/>
    <w:link w:val="164"/>
    <w:qFormat/>
    <w:uiPriority w:val="0"/>
    <w:pPr>
      <w:spacing w:after="120"/>
    </w:pPr>
    <w:rPr>
      <w:rFonts w:ascii="仿宋_GB2312"/>
      <w:b/>
    </w:rPr>
  </w:style>
  <w:style w:type="paragraph" w:styleId="24">
    <w:name w:val="List Number 3"/>
    <w:basedOn w:val="1"/>
    <w:qFormat/>
    <w:uiPriority w:val="0"/>
    <w:pPr>
      <w:tabs>
        <w:tab w:val="left" w:pos="1200"/>
      </w:tabs>
      <w:ind w:left="1200" w:leftChars="400" w:hanging="360" w:hangingChars="200"/>
    </w:pPr>
  </w:style>
  <w:style w:type="paragraph" w:styleId="25">
    <w:name w:val="Block Text"/>
    <w:basedOn w:val="1"/>
    <w:qFormat/>
    <w:uiPriority w:val="0"/>
    <w:pPr>
      <w:spacing w:line="520" w:lineRule="exact"/>
      <w:ind w:left="540" w:leftChars="257" w:right="-514"/>
    </w:pPr>
    <w:rPr>
      <w:rFonts w:ascii="宋体" w:hAnsi="宋体"/>
      <w:sz w:val="24"/>
    </w:rPr>
  </w:style>
  <w:style w:type="paragraph" w:styleId="26">
    <w:name w:val="List Bullet 2"/>
    <w:basedOn w:val="1"/>
    <w:qFormat/>
    <w:uiPriority w:val="0"/>
    <w:pPr>
      <w:tabs>
        <w:tab w:val="left" w:pos="780"/>
      </w:tabs>
      <w:spacing w:line="360" w:lineRule="auto"/>
      <w:ind w:left="780" w:leftChars="200" w:hanging="360" w:hangingChars="200"/>
    </w:pPr>
  </w:style>
  <w:style w:type="paragraph" w:styleId="27">
    <w:name w:val="toc 5"/>
    <w:basedOn w:val="1"/>
    <w:next w:val="1"/>
    <w:qFormat/>
    <w:uiPriority w:val="0"/>
    <w:pPr>
      <w:autoSpaceDE w:val="0"/>
      <w:autoSpaceDN w:val="0"/>
      <w:adjustRightInd w:val="0"/>
      <w:ind w:left="1680" w:leftChars="800"/>
      <w:jc w:val="left"/>
    </w:pPr>
    <w:rPr>
      <w:kern w:val="0"/>
      <w:sz w:val="20"/>
      <w:szCs w:val="20"/>
    </w:rPr>
  </w:style>
  <w:style w:type="paragraph" w:styleId="28">
    <w:name w:val="toc 3"/>
    <w:basedOn w:val="1"/>
    <w:next w:val="1"/>
    <w:qFormat/>
    <w:uiPriority w:val="0"/>
    <w:pPr>
      <w:ind w:left="840" w:leftChars="400"/>
    </w:pPr>
  </w:style>
  <w:style w:type="paragraph" w:styleId="29">
    <w:name w:val="Plain Text"/>
    <w:basedOn w:val="1"/>
    <w:link w:val="192"/>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0">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qFormat/>
    <w:uiPriority w:val="0"/>
    <w:pPr>
      <w:autoSpaceDE w:val="0"/>
      <w:autoSpaceDN w:val="0"/>
      <w:adjustRightInd w:val="0"/>
      <w:ind w:left="2940" w:leftChars="1400"/>
      <w:jc w:val="left"/>
    </w:pPr>
    <w:rPr>
      <w:kern w:val="0"/>
      <w:sz w:val="20"/>
      <w:szCs w:val="20"/>
    </w:rPr>
  </w:style>
  <w:style w:type="paragraph" w:styleId="32">
    <w:name w:val="Date"/>
    <w:basedOn w:val="1"/>
    <w:next w:val="1"/>
    <w:link w:val="133"/>
    <w:qFormat/>
    <w:uiPriority w:val="0"/>
    <w:pPr>
      <w:ind w:left="100" w:leftChars="2500"/>
    </w:pPr>
  </w:style>
  <w:style w:type="paragraph" w:styleId="33">
    <w:name w:val="Body Text Indent 2"/>
    <w:basedOn w:val="1"/>
    <w:link w:val="178"/>
    <w:qFormat/>
    <w:uiPriority w:val="0"/>
    <w:pPr>
      <w:spacing w:line="500" w:lineRule="exact"/>
      <w:ind w:firstLine="511" w:firstLineChars="213"/>
    </w:pPr>
    <w:rPr>
      <w:sz w:val="24"/>
    </w:rPr>
  </w:style>
  <w:style w:type="paragraph" w:styleId="34">
    <w:name w:val="Balloon Text"/>
    <w:basedOn w:val="1"/>
    <w:link w:val="151"/>
    <w:qFormat/>
    <w:uiPriority w:val="0"/>
    <w:rPr>
      <w:sz w:val="18"/>
      <w:szCs w:val="18"/>
    </w:rPr>
  </w:style>
  <w:style w:type="paragraph" w:styleId="35">
    <w:name w:val="footer"/>
    <w:basedOn w:val="1"/>
    <w:link w:val="120"/>
    <w:qFormat/>
    <w:uiPriority w:val="0"/>
    <w:pPr>
      <w:tabs>
        <w:tab w:val="center" w:pos="4153"/>
        <w:tab w:val="right" w:pos="8306"/>
      </w:tabs>
      <w:snapToGrid w:val="0"/>
      <w:jc w:val="left"/>
    </w:pPr>
    <w:rPr>
      <w:sz w:val="18"/>
      <w:szCs w:val="18"/>
    </w:rPr>
  </w:style>
  <w:style w:type="paragraph" w:styleId="36">
    <w:name w:val="header"/>
    <w:basedOn w:val="1"/>
    <w:link w:val="135"/>
    <w:qFormat/>
    <w:uiPriority w:val="0"/>
    <w:pPr>
      <w:pBdr>
        <w:bottom w:val="single" w:color="auto" w:sz="6" w:space="1"/>
      </w:pBdr>
      <w:tabs>
        <w:tab w:val="center" w:pos="4153"/>
        <w:tab w:val="right" w:pos="8306"/>
      </w:tabs>
      <w:snapToGrid w:val="0"/>
      <w:jc w:val="center"/>
    </w:pPr>
    <w:rPr>
      <w:sz w:val="18"/>
      <w:szCs w:val="18"/>
    </w:rPr>
  </w:style>
  <w:style w:type="paragraph" w:styleId="37">
    <w:name w:val="Signature"/>
    <w:basedOn w:val="1"/>
    <w:link w:val="154"/>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8">
    <w:name w:val="toc 1"/>
    <w:basedOn w:val="1"/>
    <w:next w:val="1"/>
    <w:qFormat/>
    <w:uiPriority w:val="0"/>
  </w:style>
  <w:style w:type="paragraph" w:styleId="39">
    <w:name w:val="toc 4"/>
    <w:basedOn w:val="1"/>
    <w:next w:val="1"/>
    <w:qFormat/>
    <w:uiPriority w:val="0"/>
    <w:pPr>
      <w:autoSpaceDE w:val="0"/>
      <w:autoSpaceDN w:val="0"/>
      <w:adjustRightInd w:val="0"/>
      <w:ind w:left="1260" w:leftChars="600"/>
      <w:jc w:val="left"/>
    </w:pPr>
    <w:rPr>
      <w:kern w:val="0"/>
      <w:sz w:val="20"/>
      <w:szCs w:val="20"/>
    </w:rPr>
  </w:style>
  <w:style w:type="paragraph" w:styleId="40">
    <w:name w:val="Subtitle"/>
    <w:basedOn w:val="1"/>
    <w:next w:val="1"/>
    <w:link w:val="134"/>
    <w:qFormat/>
    <w:uiPriority w:val="0"/>
    <w:pPr>
      <w:spacing w:before="240" w:after="60" w:line="312" w:lineRule="auto"/>
      <w:jc w:val="center"/>
      <w:outlineLvl w:val="1"/>
    </w:pPr>
    <w:rPr>
      <w:rFonts w:ascii="Cambria" w:hAnsi="Cambria"/>
      <w:b/>
      <w:bCs/>
      <w:kern w:val="28"/>
      <w:sz w:val="32"/>
      <w:szCs w:val="32"/>
    </w:rPr>
  </w:style>
  <w:style w:type="paragraph" w:styleId="41">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2">
    <w:name w:val="List"/>
    <w:basedOn w:val="1"/>
    <w:qFormat/>
    <w:uiPriority w:val="0"/>
    <w:pPr>
      <w:ind w:left="200" w:hanging="200" w:hangingChars="200"/>
    </w:pPr>
  </w:style>
  <w:style w:type="paragraph" w:styleId="43">
    <w:name w:val="toc 6"/>
    <w:basedOn w:val="1"/>
    <w:next w:val="1"/>
    <w:qFormat/>
    <w:uiPriority w:val="0"/>
    <w:pPr>
      <w:autoSpaceDE w:val="0"/>
      <w:autoSpaceDN w:val="0"/>
      <w:adjustRightInd w:val="0"/>
      <w:ind w:left="2100" w:leftChars="1000"/>
      <w:jc w:val="left"/>
    </w:pPr>
    <w:rPr>
      <w:kern w:val="0"/>
      <w:sz w:val="20"/>
      <w:szCs w:val="20"/>
    </w:rPr>
  </w:style>
  <w:style w:type="paragraph" w:styleId="44">
    <w:name w:val="Body Text Indent 3"/>
    <w:basedOn w:val="1"/>
    <w:link w:val="146"/>
    <w:qFormat/>
    <w:uiPriority w:val="0"/>
    <w:pPr>
      <w:spacing w:line="500" w:lineRule="exact"/>
      <w:ind w:left="511" w:hanging="511" w:hangingChars="213"/>
    </w:pPr>
    <w:rPr>
      <w:sz w:val="24"/>
    </w:rPr>
  </w:style>
  <w:style w:type="paragraph" w:styleId="45">
    <w:name w:val="toc 2"/>
    <w:basedOn w:val="1"/>
    <w:next w:val="1"/>
    <w:qFormat/>
    <w:uiPriority w:val="0"/>
    <w:pPr>
      <w:ind w:left="420" w:leftChars="200"/>
    </w:pPr>
  </w:style>
  <w:style w:type="paragraph" w:styleId="46">
    <w:name w:val="toc 9"/>
    <w:basedOn w:val="1"/>
    <w:next w:val="1"/>
    <w:qFormat/>
    <w:uiPriority w:val="0"/>
    <w:pPr>
      <w:autoSpaceDE w:val="0"/>
      <w:autoSpaceDN w:val="0"/>
      <w:adjustRightInd w:val="0"/>
      <w:ind w:left="3360" w:leftChars="1600"/>
      <w:jc w:val="left"/>
    </w:pPr>
    <w:rPr>
      <w:kern w:val="0"/>
      <w:sz w:val="20"/>
      <w:szCs w:val="20"/>
    </w:rPr>
  </w:style>
  <w:style w:type="paragraph" w:styleId="47">
    <w:name w:val="Body Text 2"/>
    <w:basedOn w:val="1"/>
    <w:link w:val="198"/>
    <w:qFormat/>
    <w:uiPriority w:val="0"/>
    <w:pPr>
      <w:autoSpaceDE w:val="0"/>
      <w:autoSpaceDN w:val="0"/>
      <w:adjustRightInd w:val="0"/>
      <w:spacing w:after="120" w:line="480" w:lineRule="auto"/>
      <w:jc w:val="left"/>
    </w:pPr>
  </w:style>
  <w:style w:type="paragraph" w:styleId="4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9">
    <w:name w:val="Title"/>
    <w:basedOn w:val="1"/>
    <w:next w:val="1"/>
    <w:link w:val="111"/>
    <w:qFormat/>
    <w:uiPriority w:val="0"/>
    <w:pPr>
      <w:spacing w:before="240" w:after="60"/>
      <w:jc w:val="center"/>
      <w:outlineLvl w:val="0"/>
    </w:pPr>
    <w:rPr>
      <w:rFonts w:ascii="Cambria" w:hAnsi="Cambria"/>
      <w:b/>
      <w:bCs/>
      <w:sz w:val="32"/>
      <w:szCs w:val="32"/>
    </w:rPr>
  </w:style>
  <w:style w:type="paragraph" w:styleId="50">
    <w:name w:val="annotation subject"/>
    <w:basedOn w:val="20"/>
    <w:next w:val="20"/>
    <w:link w:val="96"/>
    <w:qFormat/>
    <w:uiPriority w:val="0"/>
    <w:rPr>
      <w:b/>
      <w:bCs/>
    </w:rPr>
  </w:style>
  <w:style w:type="paragraph" w:styleId="51">
    <w:name w:val="Body Text First Indent"/>
    <w:basedOn w:val="23"/>
    <w:link w:val="196"/>
    <w:qFormat/>
    <w:uiPriority w:val="0"/>
    <w:pPr>
      <w:autoSpaceDE w:val="0"/>
      <w:autoSpaceDN w:val="0"/>
      <w:adjustRightInd w:val="0"/>
      <w:ind w:firstLine="420" w:firstLineChars="100"/>
      <w:jc w:val="left"/>
    </w:pPr>
    <w:rPr>
      <w:rFonts w:ascii="Times New Roman"/>
      <w:b w:val="0"/>
      <w:kern w:val="0"/>
      <w:sz w:val="20"/>
      <w:szCs w:val="20"/>
    </w:rPr>
  </w:style>
  <w:style w:type="paragraph" w:styleId="52">
    <w:name w:val="Body Text First Indent 2"/>
    <w:basedOn w:val="2"/>
    <w:qFormat/>
    <w:uiPriority w:val="0"/>
    <w:pPr>
      <w:spacing w:after="120"/>
      <w:ind w:left="420" w:leftChars="200" w:firstLine="420"/>
    </w:pPr>
    <w:rPr>
      <w:rFonts w:cs="宋体"/>
      <w:sz w:val="21"/>
      <w:szCs w:val="21"/>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basedOn w:val="55"/>
    <w:qFormat/>
    <w:uiPriority w:val="0"/>
    <w:rPr>
      <w:rFonts w:ascii="仿宋_GB2312" w:eastAsia="仿宋_GB2312"/>
      <w:bCs/>
      <w:sz w:val="32"/>
      <w:szCs w:val="32"/>
    </w:rPr>
  </w:style>
  <w:style w:type="character" w:styleId="57">
    <w:name w:val="page number"/>
    <w:basedOn w:val="55"/>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5"/>
    <w:qFormat/>
    <w:uiPriority w:val="0"/>
  </w:style>
  <w:style w:type="character" w:styleId="61">
    <w:name w:val="Hyperlink"/>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paragraph" w:customStyle="1" w:styleId="64">
    <w:name w:val="Char3 Char Char Char"/>
    <w:basedOn w:val="1"/>
    <w:qFormat/>
    <w:uiPriority w:val="0"/>
  </w:style>
  <w:style w:type="character" w:customStyle="1" w:styleId="65">
    <w:name w:val="不明显参考1"/>
    <w:qFormat/>
    <w:uiPriority w:val="0"/>
    <w:rPr>
      <w:smallCaps/>
      <w:color w:val="C0504D"/>
      <w:u w:val="single"/>
    </w:rPr>
  </w:style>
  <w:style w:type="character" w:customStyle="1" w:styleId="66">
    <w:name w:val="PI Char1"/>
    <w:qFormat/>
    <w:uiPriority w:val="0"/>
    <w:rPr>
      <w:rFonts w:eastAsia="宋体"/>
      <w:kern w:val="2"/>
      <w:sz w:val="24"/>
      <w:szCs w:val="24"/>
      <w:lang w:val="en-US" w:eastAsia="zh-CN" w:bidi="ar-SA"/>
    </w:rPr>
  </w:style>
  <w:style w:type="character" w:customStyle="1" w:styleId="67">
    <w:name w:val="标题 2 Char"/>
    <w:link w:val="5"/>
    <w:qFormat/>
    <w:uiPriority w:val="0"/>
    <w:rPr>
      <w:rFonts w:ascii="仿宋_GB2312" w:eastAsia="宋体"/>
      <w:b/>
      <w:kern w:val="2"/>
      <w:sz w:val="28"/>
      <w:szCs w:val="32"/>
      <w:lang w:val="en-US" w:eastAsia="zh-CN" w:bidi="ar-SA"/>
    </w:rPr>
  </w:style>
  <w:style w:type="character" w:customStyle="1" w:styleId="68">
    <w:name w:val="pt141"/>
    <w:qFormat/>
    <w:uiPriority w:val="0"/>
    <w:rPr>
      <w:color w:val="330066"/>
      <w:spacing w:val="450"/>
      <w:sz w:val="22"/>
      <w:szCs w:val="22"/>
    </w:rPr>
  </w:style>
  <w:style w:type="character" w:customStyle="1" w:styleId="69">
    <w:name w:val="Char Char27"/>
    <w:qFormat/>
    <w:uiPriority w:val="0"/>
    <w:rPr>
      <w:rFonts w:eastAsia="宋体"/>
      <w:kern w:val="2"/>
      <w:sz w:val="28"/>
      <w:lang w:val="en-US" w:eastAsia="zh-CN" w:bidi="ar-SA"/>
    </w:rPr>
  </w:style>
  <w:style w:type="character" w:customStyle="1" w:styleId="70">
    <w:name w:val="标题 7 Char"/>
    <w:link w:val="11"/>
    <w:qFormat/>
    <w:uiPriority w:val="0"/>
    <w:rPr>
      <w:rFonts w:eastAsia="宋体"/>
      <w:b/>
      <w:kern w:val="2"/>
      <w:sz w:val="24"/>
      <w:lang w:val="en-US" w:eastAsia="zh-CN" w:bidi="ar-SA"/>
    </w:rPr>
  </w:style>
  <w:style w:type="character" w:customStyle="1" w:styleId="71">
    <w:name w:val="明显参考1"/>
    <w:qFormat/>
    <w:uiPriority w:val="0"/>
    <w:rPr>
      <w:b/>
      <w:bCs/>
      <w:smallCaps/>
      <w:color w:val="C0504D"/>
      <w:spacing w:val="5"/>
      <w:u w:val="single"/>
    </w:rPr>
  </w:style>
  <w:style w:type="character" w:customStyle="1" w:styleId="72">
    <w:name w:val="书籍标题1"/>
    <w:qFormat/>
    <w:uiPriority w:val="0"/>
    <w:rPr>
      <w:b/>
      <w:bCs/>
      <w:smallCaps/>
      <w:spacing w:val="5"/>
    </w:rPr>
  </w:style>
  <w:style w:type="character" w:customStyle="1" w:styleId="73">
    <w:name w:val="Char Char61"/>
    <w:qFormat/>
    <w:uiPriority w:val="0"/>
    <w:rPr>
      <w:rFonts w:ascii="Times New Roman" w:hAnsi="Times New Roman" w:eastAsia="宋体" w:cs="Times New Roman"/>
      <w:szCs w:val="24"/>
    </w:rPr>
  </w:style>
  <w:style w:type="character" w:customStyle="1" w:styleId="74">
    <w:name w:val="Char Char24"/>
    <w:qFormat/>
    <w:uiPriority w:val="0"/>
    <w:rPr>
      <w:rFonts w:eastAsia="宋体"/>
      <w:b/>
      <w:kern w:val="2"/>
      <w:sz w:val="28"/>
      <w:lang w:val="en-US" w:eastAsia="zh-CN" w:bidi="ar-SA"/>
    </w:rPr>
  </w:style>
  <w:style w:type="character" w:customStyle="1" w:styleId="75">
    <w:name w:val="Style4"/>
    <w:qFormat/>
    <w:uiPriority w:val="0"/>
    <w:rPr>
      <w:rFonts w:ascii="Calibri" w:hAnsi="宋体" w:eastAsia="宋体" w:cs="Times New Roman"/>
      <w:szCs w:val="22"/>
      <w:lang w:eastAsia="zh-CN"/>
    </w:rPr>
  </w:style>
  <w:style w:type="character" w:customStyle="1" w:styleId="76">
    <w:name w:val="Style1"/>
    <w:qFormat/>
    <w:uiPriority w:val="0"/>
    <w:rPr>
      <w:rFonts w:ascii="Calibri" w:hAnsi="宋体" w:eastAsia="宋体" w:cs="Times New Roman"/>
      <w:sz w:val="22"/>
      <w:szCs w:val="22"/>
      <w:lang w:eastAsia="zh-CN"/>
    </w:rPr>
  </w:style>
  <w:style w:type="character" w:customStyle="1" w:styleId="77">
    <w:name w:val="heading 1 Char1"/>
    <w:qFormat/>
    <w:uiPriority w:val="0"/>
    <w:rPr>
      <w:rFonts w:eastAsia="宋体"/>
      <w:b/>
      <w:bCs/>
      <w:kern w:val="44"/>
      <w:sz w:val="44"/>
      <w:szCs w:val="44"/>
      <w:lang w:val="en-US" w:eastAsia="zh-CN" w:bidi="ar-SA"/>
    </w:rPr>
  </w:style>
  <w:style w:type="character" w:customStyle="1" w:styleId="78">
    <w:name w:val="Style5"/>
    <w:qFormat/>
    <w:uiPriority w:val="0"/>
    <w:rPr>
      <w:rFonts w:ascii="Calibri" w:hAnsi="宋体" w:eastAsia="宋体" w:cs="Times New Roman"/>
      <w:sz w:val="22"/>
      <w:szCs w:val="22"/>
      <w:lang w:eastAsia="zh-CN"/>
    </w:rPr>
  </w:style>
  <w:style w:type="character" w:customStyle="1" w:styleId="79">
    <w:name w:val="称呼 Char"/>
    <w:link w:val="21"/>
    <w:qFormat/>
    <w:uiPriority w:val="0"/>
    <w:rPr>
      <w:rFonts w:ascii="仿宋_GB2312" w:eastAsia="仿宋_GB2312"/>
      <w:b/>
      <w:sz w:val="24"/>
      <w:szCs w:val="32"/>
    </w:rPr>
  </w:style>
  <w:style w:type="character" w:customStyle="1" w:styleId="80">
    <w:name w:val="Ò³Ã¼ Char Char2"/>
    <w:qFormat/>
    <w:uiPriority w:val="0"/>
    <w:rPr>
      <w:kern w:val="2"/>
      <w:sz w:val="18"/>
      <w:szCs w:val="18"/>
    </w:rPr>
  </w:style>
  <w:style w:type="character" w:customStyle="1" w:styleId="81">
    <w:name w:val="明显强调1"/>
    <w:qFormat/>
    <w:uiPriority w:val="0"/>
    <w:rPr>
      <w:b/>
      <w:bCs/>
      <w:i/>
      <w:iCs/>
      <w:color w:val="4F81BD"/>
    </w:rPr>
  </w:style>
  <w:style w:type="character" w:customStyle="1" w:styleId="82">
    <w:name w:val="样式 标题 3 + 黑体 小四 Char Char"/>
    <w:link w:val="83"/>
    <w:qFormat/>
    <w:uiPriority w:val="0"/>
    <w:rPr>
      <w:rFonts w:ascii="黑体" w:hAnsi="Arial" w:eastAsia="黑体"/>
      <w:bCs/>
      <w:sz w:val="24"/>
      <w:szCs w:val="24"/>
      <w:lang w:bidi="ar-SA"/>
    </w:rPr>
  </w:style>
  <w:style w:type="paragraph" w:customStyle="1" w:styleId="83">
    <w:name w:val="样式 标题 3 + 黑体 小四"/>
    <w:basedOn w:val="6"/>
    <w:link w:val="82"/>
    <w:qFormat/>
    <w:uiPriority w:val="0"/>
    <w:pPr>
      <w:spacing w:before="260" w:after="260" w:line="413" w:lineRule="auto"/>
    </w:pPr>
    <w:rPr>
      <w:rFonts w:ascii="黑体" w:hAnsi="Arial"/>
      <w:b w:val="0"/>
      <w:bCs/>
      <w:kern w:val="0"/>
      <w:sz w:val="24"/>
      <w:szCs w:val="24"/>
    </w:rPr>
  </w:style>
  <w:style w:type="character" w:customStyle="1" w:styleId="84">
    <w:name w:val="heading 7 Char1"/>
    <w:qFormat/>
    <w:uiPriority w:val="0"/>
    <w:rPr>
      <w:rFonts w:ascii="Arial" w:hAnsi="Arial" w:eastAsia="黑体"/>
      <w:sz w:val="21"/>
      <w:szCs w:val="21"/>
      <w:lang w:val="en-US" w:eastAsia="zh-CN" w:bidi="ar-SA"/>
    </w:rPr>
  </w:style>
  <w:style w:type="character" w:customStyle="1" w:styleId="85">
    <w:name w:val="Char Char1"/>
    <w:qFormat/>
    <w:uiPriority w:val="0"/>
    <w:rPr>
      <w:rFonts w:eastAsia="宋体"/>
      <w:sz w:val="21"/>
      <w:lang w:val="en-US" w:eastAsia="zh-CN" w:bidi="ar-SA"/>
    </w:rPr>
  </w:style>
  <w:style w:type="character" w:customStyle="1" w:styleId="86">
    <w:name w:val="Char Char12"/>
    <w:qFormat/>
    <w:uiPriority w:val="0"/>
    <w:rPr>
      <w:rFonts w:eastAsia="宋体"/>
      <w:kern w:val="2"/>
      <w:sz w:val="21"/>
      <w:szCs w:val="24"/>
      <w:lang w:val="en-US" w:eastAsia="zh-CN" w:bidi="ar-SA"/>
    </w:rPr>
  </w:style>
  <w:style w:type="character" w:customStyle="1" w:styleId="87">
    <w:name w:val="Char Char18"/>
    <w:qFormat/>
    <w:uiPriority w:val="0"/>
    <w:rPr>
      <w:b/>
      <w:bCs/>
      <w:kern w:val="2"/>
      <w:sz w:val="32"/>
      <w:szCs w:val="32"/>
    </w:rPr>
  </w:style>
  <w:style w:type="character" w:customStyle="1" w:styleId="88">
    <w:name w:val="Char Char4"/>
    <w:qFormat/>
    <w:uiPriority w:val="0"/>
    <w:rPr>
      <w:rFonts w:ascii="Cambria" w:hAnsi="Cambria" w:eastAsia="宋体"/>
      <w:b/>
      <w:bCs/>
      <w:sz w:val="32"/>
      <w:szCs w:val="32"/>
      <w:lang w:bidi="ar-SA"/>
    </w:rPr>
  </w:style>
  <w:style w:type="character" w:customStyle="1" w:styleId="89">
    <w:name w:val="PI Char"/>
    <w:qFormat/>
    <w:uiPriority w:val="0"/>
    <w:rPr>
      <w:rFonts w:ascii="宋体" w:hAnsi="宋体"/>
      <w:sz w:val="24"/>
    </w:rPr>
  </w:style>
  <w:style w:type="character" w:customStyle="1" w:styleId="90">
    <w:name w:val="明显参考2"/>
    <w:qFormat/>
    <w:uiPriority w:val="0"/>
    <w:rPr>
      <w:b/>
      <w:bCs/>
      <w:smallCaps/>
      <w:color w:val="C0504D"/>
      <w:spacing w:val="5"/>
      <w:u w:val="single"/>
    </w:rPr>
  </w:style>
  <w:style w:type="character" w:customStyle="1" w:styleId="91">
    <w:name w:val="批注文字 Char"/>
    <w:link w:val="20"/>
    <w:qFormat/>
    <w:uiPriority w:val="0"/>
    <w:rPr>
      <w:rFonts w:eastAsia="宋体"/>
      <w:kern w:val="2"/>
      <w:sz w:val="21"/>
      <w:szCs w:val="24"/>
      <w:lang w:val="en-US" w:eastAsia="zh-CN" w:bidi="ar-SA"/>
    </w:rPr>
  </w:style>
  <w:style w:type="character" w:customStyle="1" w:styleId="92">
    <w:name w:val="Style2"/>
    <w:qFormat/>
    <w:uiPriority w:val="0"/>
    <w:rPr>
      <w:rFonts w:ascii="Calibri" w:hAnsi="宋体" w:eastAsia="宋体" w:cs="Times New Roman"/>
      <w:sz w:val="22"/>
      <w:szCs w:val="22"/>
      <w:lang w:eastAsia="zh-CN"/>
    </w:rPr>
  </w:style>
  <w:style w:type="character" w:customStyle="1" w:styleId="93">
    <w:name w:val="Footer-Even Char1"/>
    <w:qFormat/>
    <w:uiPriority w:val="0"/>
    <w:rPr>
      <w:rFonts w:eastAsia="宋体"/>
      <w:kern w:val="2"/>
      <w:sz w:val="18"/>
      <w:szCs w:val="18"/>
      <w:lang w:val="en-US" w:eastAsia="zh-CN" w:bidi="ar-SA"/>
    </w:rPr>
  </w:style>
  <w:style w:type="character" w:customStyle="1" w:styleId="94">
    <w:name w:val="heading 4 Char1"/>
    <w:qFormat/>
    <w:uiPriority w:val="0"/>
    <w:rPr>
      <w:rFonts w:ascii="Cambria" w:hAnsi="Cambria" w:eastAsia="宋体"/>
      <w:b/>
      <w:bCs/>
      <w:kern w:val="2"/>
      <w:sz w:val="28"/>
      <w:szCs w:val="28"/>
      <w:lang w:val="en-US" w:eastAsia="zh-CN" w:bidi="ar-SA"/>
    </w:rPr>
  </w:style>
  <w:style w:type="character" w:customStyle="1" w:styleId="95">
    <w:name w:val="正文文本 3 Char"/>
    <w:basedOn w:val="55"/>
    <w:link w:val="22"/>
    <w:qFormat/>
    <w:uiPriority w:val="0"/>
  </w:style>
  <w:style w:type="character" w:customStyle="1" w:styleId="96">
    <w:name w:val="批注主题 Char"/>
    <w:link w:val="50"/>
    <w:qFormat/>
    <w:uiPriority w:val="0"/>
    <w:rPr>
      <w:rFonts w:eastAsia="宋体"/>
      <w:b/>
      <w:bCs/>
      <w:kern w:val="2"/>
      <w:sz w:val="21"/>
      <w:szCs w:val="24"/>
      <w:lang w:val="en-US" w:eastAsia="zh-CN" w:bidi="ar-SA"/>
    </w:rPr>
  </w:style>
  <w:style w:type="character" w:customStyle="1" w:styleId="97">
    <w:name w:val="不明显参考11"/>
    <w:qFormat/>
    <w:uiPriority w:val="0"/>
    <w:rPr>
      <w:smallCaps/>
      <w:color w:val="C0504D"/>
      <w:u w:val="single"/>
    </w:rPr>
  </w:style>
  <w:style w:type="character" w:customStyle="1" w:styleId="98">
    <w:name w:val="Plain Text Char"/>
    <w:qFormat/>
    <w:uiPriority w:val="0"/>
    <w:rPr>
      <w:rFonts w:ascii="宋体" w:hAnsi="Courier New" w:eastAsia="宋体" w:cs="Times New Roman"/>
      <w:sz w:val="21"/>
      <w:szCs w:val="21"/>
    </w:rPr>
  </w:style>
  <w:style w:type="character" w:customStyle="1" w:styleId="99">
    <w:name w:val="Char Char111"/>
    <w:qFormat/>
    <w:uiPriority w:val="0"/>
    <w:rPr>
      <w:rFonts w:ascii="Times New Roman" w:hAnsi="Times New Roman" w:eastAsia="宋体" w:cs="Times New Roman"/>
      <w:sz w:val="18"/>
      <w:szCs w:val="18"/>
    </w:rPr>
  </w:style>
  <w:style w:type="character" w:customStyle="1" w:styleId="100">
    <w:name w:val="无间距字符"/>
    <w:link w:val="101"/>
    <w:qFormat/>
    <w:uiPriority w:val="0"/>
    <w:rPr>
      <w:rFonts w:eastAsia="Times New Roman"/>
      <w:sz w:val="22"/>
      <w:szCs w:val="22"/>
      <w:lang w:val="en-US" w:eastAsia="zh-CN" w:bidi="ar-SA"/>
    </w:rPr>
  </w:style>
  <w:style w:type="paragraph" w:customStyle="1" w:styleId="101">
    <w:name w:val="无间距"/>
    <w:link w:val="100"/>
    <w:qFormat/>
    <w:uiPriority w:val="0"/>
    <w:rPr>
      <w:rFonts w:ascii="Times New Roman" w:hAnsi="Times New Roman" w:eastAsia="Times New Roman" w:cs="Times New Roman"/>
      <w:sz w:val="22"/>
      <w:szCs w:val="22"/>
      <w:lang w:val="en-US" w:eastAsia="zh-CN" w:bidi="ar-SA"/>
    </w:rPr>
  </w:style>
  <w:style w:type="character" w:customStyle="1" w:styleId="102">
    <w:name w:val="heading 5 Char2"/>
    <w:qFormat/>
    <w:uiPriority w:val="0"/>
    <w:rPr>
      <w:b/>
      <w:bCs/>
      <w:kern w:val="2"/>
      <w:sz w:val="28"/>
      <w:szCs w:val="28"/>
    </w:rPr>
  </w:style>
  <w:style w:type="character" w:customStyle="1" w:styleId="103">
    <w:name w:val="样式2 Char Char"/>
    <w:link w:val="104"/>
    <w:qFormat/>
    <w:uiPriority w:val="0"/>
    <w:rPr>
      <w:rFonts w:ascii="宋体" w:hAnsi="宋体" w:eastAsia="宋体"/>
      <w:bCs/>
      <w:kern w:val="2"/>
      <w:sz w:val="28"/>
      <w:szCs w:val="28"/>
      <w:lang w:val="en-US" w:eastAsia="zh-CN" w:bidi="ar-SA"/>
    </w:rPr>
  </w:style>
  <w:style w:type="paragraph" w:customStyle="1" w:styleId="104">
    <w:name w:val="样式2"/>
    <w:basedOn w:val="5"/>
    <w:link w:val="103"/>
    <w:qFormat/>
    <w:uiPriority w:val="0"/>
    <w:pPr>
      <w:keepLines/>
      <w:snapToGrid w:val="0"/>
      <w:spacing w:before="260" w:afterLines="50" w:line="480" w:lineRule="exact"/>
      <w:ind w:firstLine="556"/>
    </w:pPr>
    <w:rPr>
      <w:rFonts w:ascii="宋体" w:hAnsi="宋体"/>
      <w:b w:val="0"/>
      <w:bCs/>
      <w:szCs w:val="28"/>
    </w:rPr>
  </w:style>
  <w:style w:type="character" w:customStyle="1" w:styleId="105">
    <w:name w:val="正文缩进 Char"/>
    <w:link w:val="10"/>
    <w:qFormat/>
    <w:uiPriority w:val="0"/>
    <w:rPr>
      <w:rFonts w:ascii="仿宋_GB2312" w:eastAsia="宋体"/>
      <w:b/>
      <w:sz w:val="21"/>
      <w:szCs w:val="32"/>
      <w:lang w:val="en-US" w:eastAsia="zh-CN" w:bidi="ar-SA"/>
    </w:rPr>
  </w:style>
  <w:style w:type="character" w:customStyle="1" w:styleId="106">
    <w:name w:val="heading 2 Char1"/>
    <w:qFormat/>
    <w:uiPriority w:val="0"/>
    <w:rPr>
      <w:rFonts w:ascii="Cambria" w:hAnsi="Cambria" w:eastAsia="宋体"/>
      <w:b/>
      <w:bCs/>
      <w:kern w:val="2"/>
      <w:sz w:val="32"/>
      <w:szCs w:val="32"/>
      <w:lang w:val="en-US" w:eastAsia="zh-CN" w:bidi="ar-SA"/>
    </w:rPr>
  </w:style>
  <w:style w:type="character" w:customStyle="1" w:styleId="107">
    <w:name w:val="heading 3 Char1"/>
    <w:qFormat/>
    <w:uiPriority w:val="0"/>
    <w:rPr>
      <w:rFonts w:eastAsia="宋体"/>
      <w:b/>
      <w:bCs/>
      <w:kern w:val="2"/>
      <w:sz w:val="32"/>
      <w:szCs w:val="32"/>
      <w:lang w:val="en-US" w:eastAsia="zh-CN" w:bidi="ar-SA"/>
    </w:rPr>
  </w:style>
  <w:style w:type="character" w:customStyle="1" w:styleId="108">
    <w:name w:val="Char Char15"/>
    <w:qFormat/>
    <w:uiPriority w:val="0"/>
    <w:rPr>
      <w:rFonts w:ascii="Arial" w:hAnsi="Arial" w:eastAsia="黑体"/>
      <w:sz w:val="24"/>
      <w:szCs w:val="24"/>
    </w:rPr>
  </w:style>
  <w:style w:type="character" w:customStyle="1" w:styleId="109">
    <w:name w:val="heading 1 Char"/>
    <w:qFormat/>
    <w:uiPriority w:val="0"/>
    <w:rPr>
      <w:rFonts w:ascii="Arial" w:hAnsi="Arial" w:eastAsia="黑体"/>
      <w:b/>
      <w:sz w:val="36"/>
      <w:szCs w:val="36"/>
    </w:rPr>
  </w:style>
  <w:style w:type="character" w:customStyle="1" w:styleId="110">
    <w:name w:val="ändrad Char"/>
    <w:qFormat/>
    <w:uiPriority w:val="0"/>
    <w:rPr>
      <w:rFonts w:eastAsia="宋体"/>
      <w:kern w:val="2"/>
      <w:sz w:val="21"/>
      <w:szCs w:val="24"/>
      <w:lang w:val="en-US" w:eastAsia="zh-CN" w:bidi="ar-SA"/>
    </w:rPr>
  </w:style>
  <w:style w:type="character" w:customStyle="1" w:styleId="111">
    <w:name w:val="标题 Char"/>
    <w:link w:val="49"/>
    <w:qFormat/>
    <w:uiPriority w:val="0"/>
    <w:rPr>
      <w:rFonts w:ascii="Cambria" w:hAnsi="Cambria" w:eastAsia="宋体"/>
      <w:b/>
      <w:bCs/>
      <w:kern w:val="2"/>
      <w:sz w:val="32"/>
      <w:szCs w:val="32"/>
      <w:lang w:val="en-US" w:eastAsia="zh-CN" w:bidi="ar-SA"/>
    </w:rPr>
  </w:style>
  <w:style w:type="character" w:customStyle="1" w:styleId="112">
    <w:name w:val="Char Char22"/>
    <w:qFormat/>
    <w:uiPriority w:val="0"/>
    <w:rPr>
      <w:rFonts w:ascii="Arial" w:hAnsi="Arial" w:eastAsia="黑体"/>
      <w:b/>
      <w:bCs/>
      <w:kern w:val="44"/>
      <w:sz w:val="30"/>
      <w:szCs w:val="44"/>
      <w:lang w:val="en-US" w:eastAsia="zh-CN" w:bidi="ar-SA"/>
    </w:rPr>
  </w:style>
  <w:style w:type="character" w:customStyle="1" w:styleId="113">
    <w:name w:val="blue1"/>
    <w:basedOn w:val="55"/>
    <w:qFormat/>
    <w:uiPriority w:val="0"/>
  </w:style>
  <w:style w:type="character" w:customStyle="1" w:styleId="114">
    <w:name w:val="样式 宋体"/>
    <w:qFormat/>
    <w:uiPriority w:val="0"/>
    <w:rPr>
      <w:rFonts w:ascii="宋体" w:hAnsi="宋体" w:eastAsia="宋体"/>
      <w:sz w:val="24"/>
      <w:szCs w:val="24"/>
    </w:rPr>
  </w:style>
  <w:style w:type="character" w:customStyle="1" w:styleId="115">
    <w:name w:val="dandyren_title1"/>
    <w:qFormat/>
    <w:uiPriority w:val="0"/>
    <w:rPr>
      <w:b/>
      <w:bCs/>
      <w:color w:val="FF6633"/>
      <w:sz w:val="18"/>
      <w:szCs w:val="18"/>
    </w:rPr>
  </w:style>
  <w:style w:type="character" w:customStyle="1" w:styleId="116">
    <w:name w:val="font21"/>
    <w:basedOn w:val="55"/>
    <w:qFormat/>
    <w:uiPriority w:val="0"/>
    <w:rPr>
      <w:rFonts w:ascii="Wingdings 2" w:hAnsi="Wingdings 2" w:eastAsia="Wingdings 2" w:cs="Wingdings 2"/>
      <w:b/>
      <w:color w:val="000000"/>
      <w:sz w:val="20"/>
      <w:szCs w:val="20"/>
      <w:u w:val="none"/>
    </w:rPr>
  </w:style>
  <w:style w:type="character" w:customStyle="1" w:styleId="117">
    <w:name w:val="Ò³Ã¼ Char Char1"/>
    <w:qFormat/>
    <w:uiPriority w:val="0"/>
    <w:rPr>
      <w:rFonts w:eastAsia="宋体"/>
      <w:kern w:val="2"/>
      <w:sz w:val="18"/>
      <w:szCs w:val="18"/>
      <w:lang w:val="en-US" w:eastAsia="zh-CN" w:bidi="ar-SA"/>
    </w:rPr>
  </w:style>
  <w:style w:type="character" w:customStyle="1" w:styleId="118">
    <w:name w:val="宏文本 Char"/>
    <w:link w:val="3"/>
    <w:qFormat/>
    <w:uiPriority w:val="0"/>
    <w:rPr>
      <w:rFonts w:ascii="Courier New" w:hAnsi="Courier New" w:eastAsia="Times New Roman"/>
      <w:kern w:val="2"/>
      <w:sz w:val="24"/>
      <w:szCs w:val="24"/>
      <w:lang w:val="en-US" w:eastAsia="zh-CN" w:bidi="ar-SA"/>
    </w:rPr>
  </w:style>
  <w:style w:type="character" w:customStyle="1" w:styleId="119">
    <w:name w:val="Footer-Even Char"/>
    <w:qFormat/>
    <w:uiPriority w:val="0"/>
    <w:rPr>
      <w:sz w:val="18"/>
      <w:szCs w:val="18"/>
    </w:rPr>
  </w:style>
  <w:style w:type="character" w:customStyle="1" w:styleId="120">
    <w:name w:val="页脚 Char"/>
    <w:link w:val="35"/>
    <w:qFormat/>
    <w:uiPriority w:val="0"/>
    <w:rPr>
      <w:rFonts w:eastAsia="宋体"/>
      <w:kern w:val="2"/>
      <w:sz w:val="18"/>
      <w:szCs w:val="18"/>
      <w:lang w:val="en-US" w:eastAsia="zh-CN" w:bidi="ar-SA"/>
    </w:rPr>
  </w:style>
  <w:style w:type="character" w:customStyle="1" w:styleId="121">
    <w:name w:val="style111"/>
    <w:qFormat/>
    <w:uiPriority w:val="0"/>
    <w:rPr>
      <w:sz w:val="27"/>
      <w:szCs w:val="27"/>
    </w:rPr>
  </w:style>
  <w:style w:type="character" w:customStyle="1" w:styleId="122">
    <w:name w:val="PI Char2"/>
    <w:qFormat/>
    <w:uiPriority w:val="0"/>
    <w:rPr>
      <w:kern w:val="2"/>
      <w:sz w:val="24"/>
      <w:szCs w:val="24"/>
    </w:rPr>
  </w:style>
  <w:style w:type="character" w:customStyle="1" w:styleId="123">
    <w:name w:val="gray6"/>
    <w:basedOn w:val="55"/>
    <w:qFormat/>
    <w:uiPriority w:val="0"/>
  </w:style>
  <w:style w:type="character" w:customStyle="1" w:styleId="124">
    <w:name w:val="Char Char Char1"/>
    <w:qFormat/>
    <w:uiPriority w:val="0"/>
    <w:rPr>
      <w:rFonts w:ascii="宋体" w:hAnsi="Courier New"/>
      <w:sz w:val="21"/>
      <w:szCs w:val="21"/>
    </w:rPr>
  </w:style>
  <w:style w:type="character" w:customStyle="1" w:styleId="125">
    <w:name w:val="Char Char121"/>
    <w:qFormat/>
    <w:uiPriority w:val="0"/>
    <w:rPr>
      <w:rFonts w:eastAsia="宋体"/>
      <w:kern w:val="2"/>
      <w:sz w:val="21"/>
      <w:szCs w:val="24"/>
      <w:lang w:val="en-US" w:eastAsia="zh-CN" w:bidi="ar-SA"/>
    </w:rPr>
  </w:style>
  <w:style w:type="character" w:customStyle="1" w:styleId="126">
    <w:name w:val="Char Char Char Char Char Char Char Char Char"/>
    <w:qFormat/>
    <w:uiPriority w:val="0"/>
    <w:rPr>
      <w:rFonts w:ascii="宋体" w:hAnsi="Courier New" w:eastAsia="宋体"/>
      <w:sz w:val="21"/>
      <w:szCs w:val="21"/>
      <w:lang w:val="en-US" w:eastAsia="zh-CN" w:bidi="ar-SA"/>
    </w:rPr>
  </w:style>
  <w:style w:type="character" w:customStyle="1" w:styleId="127">
    <w:name w:val="heading 4 Char2"/>
    <w:qFormat/>
    <w:uiPriority w:val="0"/>
    <w:rPr>
      <w:rFonts w:ascii="Cambria" w:hAnsi="Cambria"/>
      <w:b/>
      <w:bCs/>
      <w:kern w:val="2"/>
      <w:sz w:val="28"/>
      <w:szCs w:val="28"/>
    </w:rPr>
  </w:style>
  <w:style w:type="character" w:customStyle="1" w:styleId="128">
    <w:name w:val="heading 3 Char"/>
    <w:qFormat/>
    <w:uiPriority w:val="0"/>
    <w:rPr>
      <w:rFonts w:ascii="Arial" w:hAnsi="Arial" w:eastAsia="黑体"/>
      <w:sz w:val="28"/>
      <w:szCs w:val="24"/>
    </w:rPr>
  </w:style>
  <w:style w:type="character" w:customStyle="1" w:styleId="129">
    <w:name w:val="标题 1 Char"/>
    <w:link w:val="4"/>
    <w:qFormat/>
    <w:uiPriority w:val="0"/>
    <w:rPr>
      <w:rFonts w:eastAsia="黑体"/>
      <w:b/>
      <w:kern w:val="2"/>
      <w:sz w:val="32"/>
      <w:lang w:val="en-US" w:eastAsia="zh-CN" w:bidi="ar-SA"/>
    </w:rPr>
  </w:style>
  <w:style w:type="character" w:customStyle="1" w:styleId="130">
    <w:name w:val="Char Char16"/>
    <w:qFormat/>
    <w:uiPriority w:val="0"/>
    <w:rPr>
      <w:b/>
      <w:bCs/>
      <w:kern w:val="2"/>
      <w:sz w:val="28"/>
      <w:szCs w:val="28"/>
    </w:rPr>
  </w:style>
  <w:style w:type="character" w:customStyle="1" w:styleId="131">
    <w:name w:val="文档结构图 Char"/>
    <w:link w:val="19"/>
    <w:qFormat/>
    <w:uiPriority w:val="0"/>
    <w:rPr>
      <w:rFonts w:eastAsia="宋体"/>
      <w:kern w:val="2"/>
      <w:sz w:val="21"/>
      <w:szCs w:val="24"/>
      <w:lang w:val="en-US" w:eastAsia="zh-CN" w:bidi="ar-SA"/>
    </w:rPr>
  </w:style>
  <w:style w:type="character" w:customStyle="1" w:styleId="132">
    <w:name w:val="标题 5 Char"/>
    <w:link w:val="8"/>
    <w:qFormat/>
    <w:uiPriority w:val="0"/>
    <w:rPr>
      <w:rFonts w:eastAsia="宋体"/>
      <w:b/>
      <w:bCs/>
      <w:sz w:val="28"/>
      <w:szCs w:val="28"/>
      <w:lang w:bidi="ar-SA"/>
    </w:rPr>
  </w:style>
  <w:style w:type="character" w:customStyle="1" w:styleId="133">
    <w:name w:val="日期 Char"/>
    <w:link w:val="32"/>
    <w:qFormat/>
    <w:uiPriority w:val="0"/>
    <w:rPr>
      <w:rFonts w:eastAsia="宋体"/>
      <w:kern w:val="2"/>
      <w:sz w:val="21"/>
      <w:szCs w:val="24"/>
      <w:lang w:val="en-US" w:eastAsia="zh-CN" w:bidi="ar-SA"/>
    </w:rPr>
  </w:style>
  <w:style w:type="character" w:customStyle="1" w:styleId="134">
    <w:name w:val="副标题 Char"/>
    <w:link w:val="40"/>
    <w:qFormat/>
    <w:uiPriority w:val="0"/>
    <w:rPr>
      <w:rFonts w:ascii="Cambria" w:hAnsi="Cambria" w:eastAsia="宋体"/>
      <w:b/>
      <w:bCs/>
      <w:kern w:val="28"/>
      <w:sz w:val="32"/>
      <w:szCs w:val="32"/>
      <w:lang w:val="en-US" w:eastAsia="zh-CN" w:bidi="ar-SA"/>
    </w:rPr>
  </w:style>
  <w:style w:type="character" w:customStyle="1" w:styleId="135">
    <w:name w:val="页眉 Char"/>
    <w:link w:val="36"/>
    <w:qFormat/>
    <w:uiPriority w:val="0"/>
    <w:rPr>
      <w:rFonts w:eastAsia="宋体"/>
      <w:kern w:val="2"/>
      <w:sz w:val="18"/>
      <w:szCs w:val="18"/>
      <w:lang w:val="en-US" w:eastAsia="zh-CN" w:bidi="ar-SA"/>
    </w:rPr>
  </w:style>
  <w:style w:type="character" w:customStyle="1" w:styleId="136">
    <w:name w:val="style13"/>
    <w:basedOn w:val="55"/>
    <w:qFormat/>
    <w:uiPriority w:val="0"/>
  </w:style>
  <w:style w:type="character" w:customStyle="1" w:styleId="137">
    <w:name w:val="textcolor1"/>
    <w:qFormat/>
    <w:uiPriority w:val="0"/>
    <w:rPr>
      <w:rFonts w:ascii="仿宋_GB2312" w:eastAsia="仿宋_GB2312"/>
      <w:b/>
      <w:color w:val="FF6600"/>
      <w:sz w:val="32"/>
      <w:szCs w:val="32"/>
    </w:rPr>
  </w:style>
  <w:style w:type="character" w:customStyle="1" w:styleId="138">
    <w:name w:val="Table Text Char Char"/>
    <w:link w:val="139"/>
    <w:qFormat/>
    <w:uiPriority w:val="0"/>
    <w:rPr>
      <w:sz w:val="21"/>
      <w:lang w:val="en-US" w:eastAsia="en-US" w:bidi="ar-SA"/>
    </w:rPr>
  </w:style>
  <w:style w:type="paragraph" w:customStyle="1" w:styleId="139">
    <w:name w:val="Table Text"/>
    <w:basedOn w:val="1"/>
    <w:link w:val="138"/>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0">
    <w:name w:val="Ò³Ã¼ Char Char"/>
    <w:qFormat/>
    <w:uiPriority w:val="0"/>
    <w:rPr>
      <w:sz w:val="18"/>
      <w:szCs w:val="18"/>
    </w:rPr>
  </w:style>
  <w:style w:type="character" w:customStyle="1" w:styleId="141">
    <w:name w:val="heading 2 Char2"/>
    <w:qFormat/>
    <w:uiPriority w:val="0"/>
    <w:rPr>
      <w:rFonts w:ascii="Cambria" w:hAnsi="Cambria"/>
      <w:b/>
      <w:bCs/>
      <w:kern w:val="2"/>
      <w:sz w:val="32"/>
      <w:szCs w:val="32"/>
    </w:rPr>
  </w:style>
  <w:style w:type="character" w:customStyle="1" w:styleId="142">
    <w:name w:val="书籍标题11"/>
    <w:qFormat/>
    <w:uiPriority w:val="0"/>
    <w:rPr>
      <w:b/>
      <w:bCs/>
      <w:smallCaps/>
      <w:spacing w:val="5"/>
    </w:rPr>
  </w:style>
  <w:style w:type="character" w:customStyle="1" w:styleId="143">
    <w:name w:val="Char Char21"/>
    <w:qFormat/>
    <w:uiPriority w:val="0"/>
    <w:rPr>
      <w:rFonts w:ascii="Times New Roman" w:hAnsi="Times New Roman" w:eastAsia="宋体" w:cs="Times New Roman"/>
      <w:b/>
      <w:bCs/>
      <w:kern w:val="44"/>
      <w:sz w:val="44"/>
      <w:szCs w:val="44"/>
    </w:rPr>
  </w:style>
  <w:style w:type="character" w:customStyle="1" w:styleId="144">
    <w:name w:val="正文文本缩进 Char"/>
    <w:link w:val="2"/>
    <w:qFormat/>
    <w:uiPriority w:val="0"/>
    <w:rPr>
      <w:rFonts w:eastAsia="宋体"/>
      <w:kern w:val="2"/>
      <w:sz w:val="24"/>
      <w:szCs w:val="24"/>
      <w:lang w:val="en-US" w:eastAsia="zh-CN" w:bidi="ar-SA"/>
    </w:rPr>
  </w:style>
  <w:style w:type="character" w:customStyle="1" w:styleId="145">
    <w:name w:val="不明显强调1"/>
    <w:qFormat/>
    <w:uiPriority w:val="0"/>
    <w:rPr>
      <w:i/>
      <w:iCs/>
      <w:color w:val="808080"/>
    </w:rPr>
  </w:style>
  <w:style w:type="character" w:customStyle="1" w:styleId="146">
    <w:name w:val="正文文本缩进 3 Char"/>
    <w:link w:val="44"/>
    <w:qFormat/>
    <w:uiPriority w:val="0"/>
    <w:rPr>
      <w:rFonts w:eastAsia="宋体"/>
      <w:kern w:val="2"/>
      <w:sz w:val="24"/>
      <w:szCs w:val="24"/>
      <w:lang w:val="en-US" w:eastAsia="zh-CN" w:bidi="ar-SA"/>
    </w:rPr>
  </w:style>
  <w:style w:type="character" w:customStyle="1" w:styleId="147">
    <w:name w:val="heading 5 Char"/>
    <w:qFormat/>
    <w:uiPriority w:val="0"/>
    <w:rPr>
      <w:rFonts w:ascii="Arial" w:hAnsi="Arial" w:eastAsia="黑体"/>
      <w:sz w:val="21"/>
      <w:szCs w:val="21"/>
    </w:rPr>
  </w:style>
  <w:style w:type="character" w:customStyle="1" w:styleId="148">
    <w:name w:val="Style3"/>
    <w:qFormat/>
    <w:uiPriority w:val="0"/>
    <w:rPr>
      <w:rFonts w:ascii="Calibri" w:hAnsi="宋体" w:eastAsia="宋体" w:cs="Times New Roman"/>
      <w:szCs w:val="22"/>
      <w:lang w:eastAsia="zh-CN"/>
    </w:rPr>
  </w:style>
  <w:style w:type="character" w:customStyle="1" w:styleId="149">
    <w:name w:val="标题 4 Char"/>
    <w:link w:val="7"/>
    <w:qFormat/>
    <w:uiPriority w:val="0"/>
    <w:rPr>
      <w:rFonts w:eastAsia="宋体"/>
      <w:kern w:val="2"/>
      <w:sz w:val="28"/>
      <w:szCs w:val="28"/>
      <w:lang w:val="en-US" w:eastAsia="zh-CN" w:bidi="ar-SA"/>
    </w:rPr>
  </w:style>
  <w:style w:type="character" w:customStyle="1" w:styleId="150">
    <w:name w:val="Char Char241"/>
    <w:qFormat/>
    <w:uiPriority w:val="0"/>
    <w:rPr>
      <w:rFonts w:eastAsia="宋体"/>
      <w:b/>
      <w:kern w:val="2"/>
      <w:sz w:val="28"/>
      <w:lang w:val="en-US" w:eastAsia="zh-CN" w:bidi="ar-SA"/>
    </w:rPr>
  </w:style>
  <w:style w:type="character" w:customStyle="1" w:styleId="151">
    <w:name w:val="批注框文本 Char"/>
    <w:link w:val="34"/>
    <w:qFormat/>
    <w:uiPriority w:val="0"/>
    <w:rPr>
      <w:rFonts w:eastAsia="宋体"/>
      <w:kern w:val="2"/>
      <w:sz w:val="18"/>
      <w:szCs w:val="18"/>
      <w:lang w:val="en-US" w:eastAsia="zh-CN" w:bidi="ar-SA"/>
    </w:rPr>
  </w:style>
  <w:style w:type="character" w:customStyle="1" w:styleId="152">
    <w:name w:val="标题 3 Char"/>
    <w:link w:val="6"/>
    <w:qFormat/>
    <w:uiPriority w:val="0"/>
    <w:rPr>
      <w:rFonts w:eastAsia="黑体"/>
      <w:b/>
      <w:kern w:val="2"/>
      <w:sz w:val="28"/>
      <w:lang w:val="en-US" w:eastAsia="zh-CN" w:bidi="ar-SA"/>
    </w:rPr>
  </w:style>
  <w:style w:type="character" w:customStyle="1" w:styleId="153">
    <w:name w:val="明显强调11"/>
    <w:qFormat/>
    <w:uiPriority w:val="0"/>
    <w:rPr>
      <w:b/>
      <w:bCs/>
      <w:i/>
      <w:iCs/>
      <w:color w:val="4F81BD"/>
    </w:rPr>
  </w:style>
  <w:style w:type="character" w:customStyle="1" w:styleId="154">
    <w:name w:val="签名 Char"/>
    <w:link w:val="37"/>
    <w:qFormat/>
    <w:uiPriority w:val="0"/>
    <w:rPr>
      <w:rFonts w:ascii="仿宋_GB2312" w:eastAsia="仿宋_GB2312"/>
      <w:b/>
      <w:sz w:val="24"/>
      <w:szCs w:val="32"/>
    </w:rPr>
  </w:style>
  <w:style w:type="character" w:customStyle="1" w:styleId="155">
    <w:name w:val="heading 3 Char2"/>
    <w:qFormat/>
    <w:uiPriority w:val="0"/>
    <w:rPr>
      <w:b/>
      <w:bCs/>
      <w:kern w:val="2"/>
      <w:sz w:val="32"/>
      <w:szCs w:val="32"/>
    </w:rPr>
  </w:style>
  <w:style w:type="character" w:customStyle="1" w:styleId="156">
    <w:name w:val="style21"/>
    <w:qFormat/>
    <w:uiPriority w:val="0"/>
    <w:rPr>
      <w:sz w:val="15"/>
      <w:szCs w:val="15"/>
    </w:rPr>
  </w:style>
  <w:style w:type="character" w:customStyle="1" w:styleId="157">
    <w:name w:val="Char Char271"/>
    <w:qFormat/>
    <w:uiPriority w:val="0"/>
    <w:rPr>
      <w:rFonts w:eastAsia="宋体"/>
      <w:kern w:val="2"/>
      <w:sz w:val="28"/>
      <w:lang w:val="en-US" w:eastAsia="zh-CN" w:bidi="ar-SA"/>
    </w:rPr>
  </w:style>
  <w:style w:type="character" w:customStyle="1" w:styleId="158">
    <w:name w:val="表格 Char Char"/>
    <w:link w:val="159"/>
    <w:qFormat/>
    <w:uiPriority w:val="0"/>
    <w:rPr>
      <w:rFonts w:ascii="宋体" w:hAnsi="宋体" w:eastAsia="宋体"/>
      <w:lang w:val="en-US" w:eastAsia="zh-CN" w:bidi="ar-SA"/>
    </w:rPr>
  </w:style>
  <w:style w:type="paragraph" w:customStyle="1" w:styleId="159">
    <w:name w:val="表格"/>
    <w:basedOn w:val="1"/>
    <w:link w:val="158"/>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0">
    <w:name w:val="heading 6 Char1"/>
    <w:qFormat/>
    <w:uiPriority w:val="0"/>
    <w:rPr>
      <w:rFonts w:ascii="Arial" w:hAnsi="Arial" w:eastAsia="黑体"/>
      <w:kern w:val="2"/>
      <w:sz w:val="24"/>
      <w:szCs w:val="24"/>
      <w:lang w:val="en-US" w:eastAsia="zh-CN" w:bidi="ar-SA"/>
    </w:rPr>
  </w:style>
  <w:style w:type="character" w:customStyle="1" w:styleId="161">
    <w:name w:val="Char Char211"/>
    <w:qFormat/>
    <w:uiPriority w:val="0"/>
    <w:rPr>
      <w:rFonts w:ascii="Times New Roman" w:hAnsi="Times New Roman" w:eastAsia="宋体" w:cs="Times New Roman"/>
      <w:b/>
      <w:bCs/>
      <w:kern w:val="44"/>
      <w:sz w:val="44"/>
      <w:szCs w:val="44"/>
    </w:rPr>
  </w:style>
  <w:style w:type="character" w:customStyle="1" w:styleId="162">
    <w:name w:val="不明显强调11"/>
    <w:qFormat/>
    <w:uiPriority w:val="0"/>
    <w:rPr>
      <w:i/>
      <w:iCs/>
      <w:color w:val="808080"/>
    </w:rPr>
  </w:style>
  <w:style w:type="character" w:customStyle="1" w:styleId="163">
    <w:name w:val="标题 9 Char"/>
    <w:link w:val="13"/>
    <w:qFormat/>
    <w:uiPriority w:val="0"/>
    <w:rPr>
      <w:rFonts w:ascii="Arial" w:hAnsi="Arial" w:eastAsia="黑体"/>
      <w:kern w:val="2"/>
      <w:sz w:val="21"/>
      <w:lang w:val="en-US" w:eastAsia="zh-CN" w:bidi="ar-SA"/>
    </w:rPr>
  </w:style>
  <w:style w:type="character" w:customStyle="1" w:styleId="164">
    <w:name w:val="正文文本 Char"/>
    <w:link w:val="23"/>
    <w:qFormat/>
    <w:uiPriority w:val="0"/>
    <w:rPr>
      <w:rFonts w:ascii="仿宋_GB2312" w:eastAsia="宋体"/>
      <w:b/>
      <w:kern w:val="2"/>
      <w:sz w:val="21"/>
      <w:szCs w:val="24"/>
      <w:lang w:val="en-US" w:eastAsia="zh-CN" w:bidi="ar-SA"/>
    </w:rPr>
  </w:style>
  <w:style w:type="character" w:customStyle="1" w:styleId="165">
    <w:name w:val="明显引用 Char"/>
    <w:link w:val="166"/>
    <w:qFormat/>
    <w:uiPriority w:val="0"/>
    <w:rPr>
      <w:rFonts w:ascii="Calibri" w:hAnsi="Calibri" w:eastAsia="宋体"/>
      <w:b/>
      <w:bCs/>
      <w:i/>
      <w:iCs/>
      <w:color w:val="4F81BD"/>
      <w:lang w:val="en-US" w:eastAsia="zh-CN" w:bidi="ar-SA"/>
    </w:rPr>
  </w:style>
  <w:style w:type="paragraph" w:styleId="166">
    <w:name w:val="Intense Quote"/>
    <w:basedOn w:val="1"/>
    <w:next w:val="1"/>
    <w:link w:val="165"/>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7">
    <w:name w:val="heading 5 Char1"/>
    <w:qFormat/>
    <w:uiPriority w:val="0"/>
    <w:rPr>
      <w:rFonts w:eastAsia="宋体"/>
      <w:b/>
      <w:bCs/>
      <w:kern w:val="2"/>
      <w:sz w:val="28"/>
      <w:szCs w:val="28"/>
      <w:lang w:val="en-US" w:eastAsia="zh-CN" w:bidi="ar-SA"/>
    </w:rPr>
  </w:style>
  <w:style w:type="character" w:customStyle="1" w:styleId="168">
    <w:name w:val="Texte Char Char"/>
    <w:qFormat/>
    <w:uiPriority w:val="0"/>
    <w:rPr>
      <w:rFonts w:ascii="宋体" w:hAnsi="Courier New" w:eastAsia="宋体"/>
      <w:sz w:val="21"/>
      <w:szCs w:val="21"/>
      <w:lang w:val="en-US" w:eastAsia="zh-CN" w:bidi="ar-SA"/>
    </w:rPr>
  </w:style>
  <w:style w:type="character" w:customStyle="1" w:styleId="169">
    <w:name w:val="正文1 Char Char"/>
    <w:link w:val="170"/>
    <w:qFormat/>
    <w:uiPriority w:val="0"/>
    <w:rPr>
      <w:rFonts w:ascii="宋体" w:hAnsi="宋体" w:eastAsia="宋体" w:cs="宋体"/>
      <w:sz w:val="21"/>
      <w:lang w:val="en-US" w:eastAsia="zh-CN" w:bidi="ar-SA"/>
    </w:rPr>
  </w:style>
  <w:style w:type="paragraph" w:customStyle="1" w:styleId="170">
    <w:name w:val="正文1"/>
    <w:basedOn w:val="1"/>
    <w:link w:val="169"/>
    <w:qFormat/>
    <w:uiPriority w:val="0"/>
    <w:pPr>
      <w:widowControl/>
      <w:spacing w:line="360" w:lineRule="auto"/>
      <w:ind w:left="360" w:firstLine="420"/>
      <w:jc w:val="left"/>
    </w:pPr>
    <w:rPr>
      <w:rFonts w:ascii="宋体" w:hAnsi="宋体" w:cs="宋体"/>
      <w:kern w:val="0"/>
      <w:szCs w:val="20"/>
    </w:rPr>
  </w:style>
  <w:style w:type="character" w:customStyle="1" w:styleId="171">
    <w:name w:val="heading 8 Char1"/>
    <w:qFormat/>
    <w:uiPriority w:val="0"/>
    <w:rPr>
      <w:rFonts w:ascii="Arial" w:hAnsi="Arial" w:eastAsia="黑体"/>
      <w:sz w:val="24"/>
      <w:lang w:val="en-US" w:eastAsia="zh-CN" w:bidi="ar-SA"/>
    </w:rPr>
  </w:style>
  <w:style w:type="character" w:customStyle="1" w:styleId="172">
    <w:name w:val="heading 9 Char1"/>
    <w:qFormat/>
    <w:uiPriority w:val="0"/>
    <w:rPr>
      <w:rFonts w:ascii="Arial" w:hAnsi="Arial" w:eastAsia="黑体"/>
      <w:sz w:val="21"/>
      <w:lang w:val="en-US" w:eastAsia="zh-CN" w:bidi="ar-SA"/>
    </w:rPr>
  </w:style>
  <w:style w:type="character" w:customStyle="1" w:styleId="173">
    <w:name w:val="标题 6 Char"/>
    <w:link w:val="9"/>
    <w:qFormat/>
    <w:uiPriority w:val="0"/>
    <w:rPr>
      <w:rFonts w:ascii="Arial" w:hAnsi="Arial" w:eastAsia="黑体"/>
      <w:b/>
      <w:kern w:val="2"/>
      <w:sz w:val="24"/>
      <w:lang w:val="en-US" w:eastAsia="zh-CN" w:bidi="ar-SA"/>
    </w:rPr>
  </w:style>
  <w:style w:type="character" w:customStyle="1" w:styleId="174">
    <w:name w:val="ändrad Char1"/>
    <w:qFormat/>
    <w:uiPriority w:val="0"/>
    <w:rPr>
      <w:rFonts w:ascii="仿宋_GB2312" w:eastAsia="宋体"/>
      <w:b/>
      <w:kern w:val="2"/>
      <w:sz w:val="21"/>
      <w:szCs w:val="24"/>
      <w:lang w:val="en-US" w:eastAsia="zh-CN" w:bidi="ar-SA"/>
    </w:rPr>
  </w:style>
  <w:style w:type="character" w:customStyle="1" w:styleId="175">
    <w:name w:val="Char Char41"/>
    <w:qFormat/>
    <w:uiPriority w:val="0"/>
    <w:rPr>
      <w:rFonts w:ascii="Cambria" w:hAnsi="Cambria" w:eastAsia="宋体"/>
      <w:b/>
      <w:bCs/>
      <w:sz w:val="32"/>
      <w:szCs w:val="32"/>
      <w:lang w:bidi="ar-SA"/>
    </w:rPr>
  </w:style>
  <w:style w:type="character" w:customStyle="1" w:styleId="176">
    <w:name w:val="标题 8 Char"/>
    <w:link w:val="12"/>
    <w:qFormat/>
    <w:uiPriority w:val="0"/>
    <w:rPr>
      <w:rFonts w:ascii="Arial" w:hAnsi="Arial" w:eastAsia="黑体"/>
      <w:kern w:val="2"/>
      <w:sz w:val="24"/>
      <w:lang w:val="en-US" w:eastAsia="zh-CN" w:bidi="ar-SA"/>
    </w:rPr>
  </w:style>
  <w:style w:type="character" w:customStyle="1" w:styleId="177">
    <w:name w:val="Char Char11"/>
    <w:qFormat/>
    <w:uiPriority w:val="0"/>
    <w:rPr>
      <w:rFonts w:ascii="Times New Roman" w:hAnsi="Times New Roman" w:eastAsia="宋体" w:cs="Times New Roman"/>
      <w:sz w:val="18"/>
      <w:szCs w:val="18"/>
    </w:rPr>
  </w:style>
  <w:style w:type="character" w:customStyle="1" w:styleId="178">
    <w:name w:val="正文文本缩进 2 Char"/>
    <w:link w:val="33"/>
    <w:qFormat/>
    <w:uiPriority w:val="0"/>
    <w:rPr>
      <w:rFonts w:eastAsia="宋体"/>
      <w:kern w:val="2"/>
      <w:sz w:val="24"/>
      <w:szCs w:val="24"/>
      <w:lang w:val="en-US" w:eastAsia="zh-CN" w:bidi="ar-SA"/>
    </w:rPr>
  </w:style>
  <w:style w:type="character" w:customStyle="1" w:styleId="179">
    <w:name w:val="Char Char6"/>
    <w:qFormat/>
    <w:uiPriority w:val="0"/>
    <w:rPr>
      <w:rFonts w:ascii="Times New Roman" w:hAnsi="Times New Roman" w:eastAsia="宋体" w:cs="Times New Roman"/>
      <w:szCs w:val="24"/>
    </w:rPr>
  </w:style>
  <w:style w:type="character" w:customStyle="1" w:styleId="180">
    <w:name w:val="Char Char Char"/>
    <w:qFormat/>
    <w:uiPriority w:val="0"/>
    <w:rPr>
      <w:rFonts w:ascii="宋体" w:hAnsi="Courier New" w:eastAsia="宋体"/>
      <w:b/>
      <w:sz w:val="21"/>
      <w:szCs w:val="21"/>
      <w:lang w:val="en-US" w:eastAsia="zh-CN" w:bidi="ar-SA"/>
    </w:rPr>
  </w:style>
  <w:style w:type="character" w:customStyle="1" w:styleId="181">
    <w:name w:val="heading 2 Char"/>
    <w:qFormat/>
    <w:uiPriority w:val="0"/>
    <w:rPr>
      <w:rFonts w:ascii="Arial" w:hAnsi="Arial" w:eastAsia="黑体" w:cs="Times New Roman"/>
      <w:sz w:val="30"/>
      <w:szCs w:val="24"/>
    </w:rPr>
  </w:style>
  <w:style w:type="character" w:customStyle="1" w:styleId="182">
    <w:name w:val="Char Char2"/>
    <w:qFormat/>
    <w:uiPriority w:val="0"/>
    <w:rPr>
      <w:rFonts w:ascii="Arial" w:hAnsi="Arial" w:eastAsia="黑体"/>
      <w:b/>
      <w:bCs/>
      <w:kern w:val="44"/>
      <w:sz w:val="30"/>
      <w:szCs w:val="44"/>
      <w:lang w:val="en-US" w:eastAsia="zh-CN" w:bidi="ar-SA"/>
    </w:rPr>
  </w:style>
  <w:style w:type="character" w:customStyle="1" w:styleId="183">
    <w:name w:val="Footer-Even Char2"/>
    <w:qFormat/>
    <w:uiPriority w:val="0"/>
    <w:rPr>
      <w:kern w:val="2"/>
      <w:sz w:val="18"/>
      <w:szCs w:val="18"/>
    </w:rPr>
  </w:style>
  <w:style w:type="character" w:customStyle="1" w:styleId="184">
    <w:name w:val="Char Char17"/>
    <w:qFormat/>
    <w:uiPriority w:val="0"/>
    <w:rPr>
      <w:rFonts w:ascii="Cambria" w:hAnsi="Cambria"/>
      <w:b/>
      <w:bCs/>
      <w:kern w:val="2"/>
      <w:sz w:val="28"/>
      <w:szCs w:val="28"/>
    </w:rPr>
  </w:style>
  <w:style w:type="character" w:customStyle="1" w:styleId="185">
    <w:name w:val="heading 4 Char"/>
    <w:qFormat/>
    <w:uiPriority w:val="0"/>
    <w:rPr>
      <w:rFonts w:ascii="Arial" w:hAnsi="Arial" w:eastAsia="黑体" w:cs="Times New Roman"/>
      <w:sz w:val="21"/>
      <w:szCs w:val="21"/>
    </w:rPr>
  </w:style>
  <w:style w:type="character" w:customStyle="1" w:styleId="186">
    <w:name w:val="Char Char20"/>
    <w:qFormat/>
    <w:uiPriority w:val="0"/>
    <w:rPr>
      <w:b/>
      <w:bCs/>
      <w:kern w:val="44"/>
      <w:sz w:val="44"/>
      <w:szCs w:val="44"/>
    </w:rPr>
  </w:style>
  <w:style w:type="character" w:customStyle="1" w:styleId="187">
    <w:name w:val="heading 1 Char2"/>
    <w:qFormat/>
    <w:uiPriority w:val="0"/>
    <w:rPr>
      <w:b/>
      <w:bCs/>
      <w:kern w:val="44"/>
      <w:sz w:val="44"/>
      <w:szCs w:val="44"/>
    </w:rPr>
  </w:style>
  <w:style w:type="character" w:customStyle="1" w:styleId="188">
    <w:name w:val="font11"/>
    <w:qFormat/>
    <w:uiPriority w:val="0"/>
    <w:rPr>
      <w:rFonts w:hint="eastAsia" w:ascii="宋体" w:hAnsi="宋体" w:eastAsia="宋体" w:cs="宋体"/>
      <w:b/>
      <w:color w:val="000000"/>
      <w:sz w:val="20"/>
      <w:szCs w:val="20"/>
      <w:u w:val="none"/>
    </w:rPr>
  </w:style>
  <w:style w:type="character" w:customStyle="1" w:styleId="189">
    <w:name w:val="表正文 Char2"/>
    <w:qFormat/>
    <w:uiPriority w:val="0"/>
    <w:rPr>
      <w:rFonts w:ascii="Times New Roman" w:hAnsi="Times New Roman" w:eastAsia="宋体" w:cs="Times New Roman"/>
      <w:szCs w:val="24"/>
    </w:rPr>
  </w:style>
  <w:style w:type="character" w:customStyle="1" w:styleId="190">
    <w:name w:val="引用 Char"/>
    <w:link w:val="191"/>
    <w:qFormat/>
    <w:uiPriority w:val="0"/>
    <w:rPr>
      <w:rFonts w:ascii="Calibri" w:hAnsi="Calibri" w:eastAsia="宋体"/>
      <w:i/>
      <w:iCs/>
      <w:color w:val="000000"/>
      <w:lang w:val="en-US" w:eastAsia="zh-CN" w:bidi="ar-SA"/>
    </w:rPr>
  </w:style>
  <w:style w:type="paragraph" w:styleId="191">
    <w:name w:val="Quote"/>
    <w:basedOn w:val="1"/>
    <w:next w:val="1"/>
    <w:link w:val="190"/>
    <w:qFormat/>
    <w:uiPriority w:val="0"/>
    <w:rPr>
      <w:rFonts w:ascii="Calibri" w:hAnsi="Calibri"/>
      <w:i/>
      <w:iCs/>
      <w:color w:val="000000"/>
      <w:kern w:val="0"/>
      <w:sz w:val="20"/>
      <w:szCs w:val="20"/>
    </w:rPr>
  </w:style>
  <w:style w:type="character" w:customStyle="1" w:styleId="192">
    <w:name w:val="纯文本 Char"/>
    <w:link w:val="29"/>
    <w:qFormat/>
    <w:uiPriority w:val="0"/>
    <w:rPr>
      <w:rFonts w:ascii="宋体" w:hAnsi="Courier New" w:eastAsia="宋体"/>
      <w:b/>
      <w:sz w:val="21"/>
      <w:szCs w:val="21"/>
      <w:lang w:val="en-US" w:eastAsia="zh-CN" w:bidi="ar-SA"/>
    </w:rPr>
  </w:style>
  <w:style w:type="character" w:customStyle="1" w:styleId="193">
    <w:name w:val="Char Char19"/>
    <w:qFormat/>
    <w:uiPriority w:val="0"/>
    <w:rPr>
      <w:rFonts w:ascii="Cambria" w:hAnsi="Cambria"/>
      <w:b/>
      <w:bCs/>
      <w:kern w:val="2"/>
      <w:sz w:val="32"/>
      <w:szCs w:val="32"/>
    </w:rPr>
  </w:style>
  <w:style w:type="character" w:customStyle="1" w:styleId="194">
    <w:name w:val="style41"/>
    <w:qFormat/>
    <w:uiPriority w:val="0"/>
    <w:rPr>
      <w:color w:val="auto"/>
    </w:rPr>
  </w:style>
  <w:style w:type="character" w:customStyle="1" w:styleId="195">
    <w:name w:val="Char Char201"/>
    <w:qFormat/>
    <w:uiPriority w:val="0"/>
    <w:rPr>
      <w:rFonts w:ascii="Cambria" w:hAnsi="Cambria" w:eastAsia="宋体" w:cs="Times New Roman"/>
      <w:b/>
      <w:bCs/>
      <w:sz w:val="32"/>
      <w:szCs w:val="32"/>
    </w:rPr>
  </w:style>
  <w:style w:type="character" w:customStyle="1" w:styleId="196">
    <w:name w:val="正文首行缩进 Char"/>
    <w:link w:val="51"/>
    <w:qFormat/>
    <w:uiPriority w:val="0"/>
    <w:rPr>
      <w:rFonts w:eastAsia="宋体"/>
      <w:lang w:val="en-US" w:eastAsia="zh-CN" w:bidi="ar-SA"/>
    </w:rPr>
  </w:style>
  <w:style w:type="character" w:customStyle="1" w:styleId="197">
    <w:name w:val="smalltxt1"/>
    <w:qFormat/>
    <w:uiPriority w:val="0"/>
    <w:rPr>
      <w:rFonts w:hint="default" w:ascii="ˎ̥" w:hAnsi="ˎ̥"/>
      <w:sz w:val="24"/>
      <w:szCs w:val="24"/>
    </w:rPr>
  </w:style>
  <w:style w:type="character" w:customStyle="1" w:styleId="198">
    <w:name w:val="正文文本 2 Char"/>
    <w:basedOn w:val="55"/>
    <w:link w:val="47"/>
    <w:qFormat/>
    <w:uiPriority w:val="0"/>
  </w:style>
  <w:style w:type="paragraph" w:customStyle="1" w:styleId="19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0">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1">
    <w:name w:val="表内文字"/>
    <w:basedOn w:val="1"/>
    <w:qFormat/>
    <w:uiPriority w:val="0"/>
    <w:pPr>
      <w:spacing w:line="240" w:lineRule="atLeast"/>
      <w:jc w:val="center"/>
    </w:pPr>
    <w:rPr>
      <w:rFonts w:ascii="Arial" w:hAnsi="Arial" w:cs="Arial"/>
      <w:b/>
      <w:bCs/>
    </w:rPr>
  </w:style>
  <w:style w:type="paragraph" w:customStyle="1" w:styleId="202">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3">
    <w:name w:val="Char Char Char Char Char Char Char"/>
    <w:basedOn w:val="1"/>
    <w:qFormat/>
    <w:uiPriority w:val="0"/>
    <w:rPr>
      <w:rFonts w:ascii="仿宋_GB2312" w:eastAsia="仿宋_GB2312"/>
      <w:b/>
      <w:sz w:val="32"/>
      <w:szCs w:val="32"/>
    </w:rPr>
  </w:style>
  <w:style w:type="paragraph" w:customStyle="1" w:styleId="20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5">
    <w:name w:val="列出段落1"/>
    <w:basedOn w:val="1"/>
    <w:qFormat/>
    <w:uiPriority w:val="0"/>
    <w:pPr>
      <w:ind w:firstLine="420" w:firstLineChars="200"/>
    </w:pPr>
    <w:rPr>
      <w:szCs w:val="20"/>
    </w:rPr>
  </w:style>
  <w:style w:type="paragraph" w:customStyle="1" w:styleId="206">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8">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2">
    <w:name w:val="NICMAN Body Text"/>
    <w:basedOn w:val="1"/>
    <w:next w:val="23"/>
    <w:qFormat/>
    <w:uiPriority w:val="0"/>
    <w:pPr>
      <w:autoSpaceDE w:val="0"/>
      <w:autoSpaceDN w:val="0"/>
      <w:adjustRightInd w:val="0"/>
      <w:spacing w:after="120"/>
      <w:jc w:val="left"/>
    </w:pPr>
    <w:rPr>
      <w:kern w:val="0"/>
      <w:sz w:val="20"/>
      <w:szCs w:val="20"/>
    </w:rPr>
  </w:style>
  <w:style w:type="paragraph" w:customStyle="1" w:styleId="213">
    <w:name w:val="Char Char Char Char Char Char Char Char Char Char Char Char Char"/>
    <w:basedOn w:val="1"/>
    <w:qFormat/>
    <w:uiPriority w:val="0"/>
    <w:rPr>
      <w:rFonts w:ascii="Tahoma" w:hAnsi="Tahoma"/>
      <w:sz w:val="24"/>
      <w:szCs w:val="20"/>
    </w:rPr>
  </w:style>
  <w:style w:type="paragraph" w:customStyle="1" w:styleId="2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5">
    <w:name w:val="正文缩进1"/>
    <w:basedOn w:val="1"/>
    <w:next w:val="2"/>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6">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7">
    <w:name w:val="Char Char Char Char1"/>
    <w:basedOn w:val="19"/>
    <w:qFormat/>
    <w:uiPriority w:val="0"/>
    <w:rPr>
      <w:rFonts w:ascii="Tahoma" w:hAnsi="Tahoma"/>
      <w:sz w:val="24"/>
    </w:rPr>
  </w:style>
  <w:style w:type="paragraph" w:customStyle="1" w:styleId="218">
    <w:name w:val="正文 首行缩进:  2 字符 Char"/>
    <w:basedOn w:val="1"/>
    <w:qFormat/>
    <w:uiPriority w:val="0"/>
    <w:pPr>
      <w:spacing w:line="360" w:lineRule="auto"/>
      <w:ind w:firstLine="480"/>
    </w:pPr>
    <w:rPr>
      <w:rFonts w:cs="宋体"/>
      <w:sz w:val="24"/>
      <w:szCs w:val="20"/>
    </w:rPr>
  </w:style>
  <w:style w:type="paragraph" w:customStyle="1" w:styleId="219">
    <w:name w:val="样式1"/>
    <w:basedOn w:val="1"/>
    <w:qFormat/>
    <w:uiPriority w:val="0"/>
    <w:pPr>
      <w:autoSpaceDE w:val="0"/>
      <w:autoSpaceDN w:val="0"/>
      <w:adjustRightInd w:val="0"/>
      <w:spacing w:line="400" w:lineRule="exact"/>
    </w:pPr>
    <w:rPr>
      <w:rFonts w:ascii="宋体" w:cs="宋体"/>
      <w:kern w:val="0"/>
    </w:rPr>
  </w:style>
  <w:style w:type="paragraph" w:customStyle="1" w:styleId="2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3">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4">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5">
    <w:name w:val="二级条标题"/>
    <w:basedOn w:val="206"/>
    <w:next w:val="1"/>
    <w:qFormat/>
    <w:uiPriority w:val="0"/>
    <w:pPr>
      <w:tabs>
        <w:tab w:val="left" w:pos="4309"/>
        <w:tab w:val="clear" w:pos="3889"/>
      </w:tabs>
      <w:ind w:left="4309"/>
      <w:outlineLvl w:val="3"/>
    </w:pPr>
  </w:style>
  <w:style w:type="paragraph" w:customStyle="1" w:styleId="226">
    <w:name w:val="正文－恩普"/>
    <w:basedOn w:val="10"/>
    <w:qFormat/>
    <w:uiPriority w:val="0"/>
    <w:pPr>
      <w:adjustRightInd/>
      <w:spacing w:line="360" w:lineRule="auto"/>
      <w:ind w:firstLine="200" w:firstLineChars="200"/>
      <w:textAlignment w:val="auto"/>
    </w:pPr>
    <w:rPr>
      <w:kern w:val="2"/>
      <w:sz w:val="24"/>
      <w:szCs w:val="24"/>
    </w:rPr>
  </w:style>
  <w:style w:type="paragraph" w:customStyle="1" w:styleId="227">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8">
    <w:name w:val="正文（首行缩进）"/>
    <w:basedOn w:val="2"/>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0">
    <w:name w:val="文字"/>
    <w:basedOn w:val="1"/>
    <w:qFormat/>
    <w:uiPriority w:val="0"/>
    <w:pPr>
      <w:tabs>
        <w:tab w:val="left" w:pos="8520"/>
      </w:tabs>
      <w:spacing w:line="312" w:lineRule="auto"/>
      <w:ind w:right="-210" w:firstLine="556"/>
    </w:pPr>
    <w:rPr>
      <w:rFonts w:ascii="宋体"/>
      <w:sz w:val="28"/>
      <w:szCs w:val="20"/>
    </w:rPr>
  </w:style>
  <w:style w:type="paragraph" w:customStyle="1" w:styleId="23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3">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4">
    <w:name w:val="三级条标题"/>
    <w:basedOn w:val="225"/>
    <w:next w:val="1"/>
    <w:qFormat/>
    <w:uiPriority w:val="0"/>
    <w:pPr>
      <w:tabs>
        <w:tab w:val="left" w:pos="4729"/>
        <w:tab w:val="clear" w:pos="4309"/>
      </w:tabs>
      <w:ind w:left="4729"/>
      <w:outlineLvl w:val="4"/>
    </w:pPr>
  </w:style>
  <w:style w:type="paragraph" w:customStyle="1" w:styleId="235">
    <w:name w:val="Test2"/>
    <w:basedOn w:val="5"/>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6">
    <w:name w:val="默认段落字体 Para Char Char Char Char Char Char Char"/>
    <w:basedOn w:val="1"/>
    <w:qFormat/>
    <w:uiPriority w:val="0"/>
  </w:style>
  <w:style w:type="paragraph" w:customStyle="1" w:styleId="237">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9">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4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2">
    <w:name w:val="列表段落"/>
    <w:basedOn w:val="1"/>
    <w:qFormat/>
    <w:uiPriority w:val="0"/>
    <w:pPr>
      <w:ind w:firstLine="420" w:firstLineChars="200"/>
    </w:pPr>
    <w:rPr>
      <w:rFonts w:ascii="Calibri" w:hAnsi="Calibri"/>
      <w:szCs w:val="22"/>
    </w:rPr>
  </w:style>
  <w:style w:type="paragraph" w:customStyle="1" w:styleId="243">
    <w:name w:val="五级条标题"/>
    <w:basedOn w:val="244"/>
    <w:next w:val="1"/>
    <w:qFormat/>
    <w:uiPriority w:val="0"/>
    <w:pPr>
      <w:tabs>
        <w:tab w:val="left" w:pos="5149"/>
        <w:tab w:val="left" w:pos="5569"/>
      </w:tabs>
      <w:ind w:left="5569"/>
      <w:outlineLvl w:val="6"/>
    </w:pPr>
  </w:style>
  <w:style w:type="paragraph" w:customStyle="1" w:styleId="244">
    <w:name w:val="四级条标题"/>
    <w:basedOn w:val="234"/>
    <w:next w:val="1"/>
    <w:qFormat/>
    <w:uiPriority w:val="0"/>
    <w:pPr>
      <w:tabs>
        <w:tab w:val="left" w:pos="5149"/>
        <w:tab w:val="clear" w:pos="4729"/>
      </w:tabs>
      <w:ind w:left="5149"/>
      <w:outlineLvl w:val="5"/>
    </w:pPr>
  </w:style>
  <w:style w:type="paragraph" w:customStyle="1" w:styleId="245">
    <w:name w:val="正文-宋体四号"/>
    <w:basedOn w:val="1"/>
    <w:qFormat/>
    <w:uiPriority w:val="0"/>
    <w:pPr>
      <w:spacing w:line="360" w:lineRule="auto"/>
      <w:ind w:firstLine="560" w:firstLineChars="200"/>
    </w:pPr>
    <w:rPr>
      <w:rFonts w:cs="宋体"/>
      <w:sz w:val="28"/>
      <w:szCs w:val="20"/>
    </w:rPr>
  </w:style>
  <w:style w:type="paragraph" w:customStyle="1" w:styleId="246">
    <w:name w:val="纯文本1"/>
    <w:basedOn w:val="1"/>
    <w:qFormat/>
    <w:uiPriority w:val="0"/>
    <w:pPr>
      <w:adjustRightInd w:val="0"/>
      <w:textAlignment w:val="baseline"/>
    </w:pPr>
    <w:rPr>
      <w:rFonts w:ascii="宋体" w:hAnsi="Courier New" w:eastAsia="楷体_GB2312"/>
      <w:sz w:val="28"/>
      <w:szCs w:val="20"/>
    </w:rPr>
  </w:style>
  <w:style w:type="paragraph" w:customStyle="1" w:styleId="247">
    <w:name w:val="Char2"/>
    <w:basedOn w:val="1"/>
    <w:qFormat/>
    <w:uiPriority w:val="0"/>
  </w:style>
  <w:style w:type="paragraph" w:customStyle="1" w:styleId="248">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9">
    <w:name w:val="样式5"/>
    <w:basedOn w:val="10"/>
    <w:qFormat/>
    <w:uiPriority w:val="0"/>
    <w:pPr>
      <w:adjustRightInd/>
      <w:spacing w:line="360" w:lineRule="auto"/>
      <w:ind w:firstLine="200" w:firstLineChars="200"/>
      <w:textAlignment w:val="auto"/>
    </w:pPr>
    <w:rPr>
      <w:sz w:val="28"/>
      <w:szCs w:val="21"/>
    </w:rPr>
  </w:style>
  <w:style w:type="paragraph" w:customStyle="1" w:styleId="25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1">
    <w:name w:val="Char Char Char Char Char Char Char Char Char Char Char Char Char1"/>
    <w:basedOn w:val="1"/>
    <w:qFormat/>
    <w:uiPriority w:val="0"/>
  </w:style>
  <w:style w:type="paragraph" w:customStyle="1" w:styleId="252">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3">
    <w:name w:val="样式 标题 3 + 黑色 段前: 5 磅 段后: 5 磅 行距: 1.5 倍行距"/>
    <w:basedOn w:val="1"/>
    <w:qFormat/>
    <w:uiPriority w:val="0"/>
    <w:pPr>
      <w:ind w:left="855" w:hanging="855"/>
    </w:pPr>
    <w:rPr>
      <w:sz w:val="24"/>
      <w:szCs w:val="20"/>
    </w:rPr>
  </w:style>
  <w:style w:type="paragraph" w:customStyle="1" w:styleId="254">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5">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7">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8">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9">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1">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5">
    <w:name w:val="tabletext"/>
    <w:basedOn w:val="1"/>
    <w:qFormat/>
    <w:uiPriority w:val="0"/>
    <w:pPr>
      <w:widowControl/>
      <w:spacing w:line="300" w:lineRule="atLeast"/>
      <w:jc w:val="left"/>
    </w:pPr>
    <w:rPr>
      <w:rFonts w:ascii="宋体" w:hAnsi="宋体" w:cs="宋体"/>
      <w:kern w:val="0"/>
      <w:sz w:val="18"/>
      <w:szCs w:val="18"/>
    </w:rPr>
  </w:style>
  <w:style w:type="paragraph" w:customStyle="1" w:styleId="26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7">
    <w:name w:val="TOC 标题1"/>
    <w:basedOn w:val="4"/>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9">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7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2">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3">
    <w:name w:val="简单回函地址"/>
    <w:basedOn w:val="1"/>
    <w:qFormat/>
    <w:uiPriority w:val="0"/>
  </w:style>
  <w:style w:type="paragraph" w:customStyle="1" w:styleId="274">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5">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6">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7">
    <w:name w:val="1 Char"/>
    <w:basedOn w:val="10"/>
    <w:qFormat/>
    <w:uiPriority w:val="0"/>
    <w:pPr>
      <w:adjustRightInd/>
      <w:spacing w:line="360" w:lineRule="auto"/>
      <w:ind w:firstLine="200" w:firstLineChars="200"/>
      <w:textAlignment w:val="auto"/>
    </w:pPr>
    <w:rPr>
      <w:kern w:val="2"/>
    </w:rPr>
  </w:style>
  <w:style w:type="paragraph" w:customStyle="1" w:styleId="27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TOC 标题2"/>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0">
    <w:name w:val="Char Char"/>
    <w:basedOn w:val="1"/>
    <w:qFormat/>
    <w:uiPriority w:val="0"/>
    <w:rPr>
      <w:rFonts w:ascii="仿宋_GB2312" w:eastAsia="仿宋_GB2312"/>
      <w:b/>
      <w:sz w:val="32"/>
      <w:szCs w:val="32"/>
    </w:rPr>
  </w:style>
  <w:style w:type="paragraph" w:customStyle="1" w:styleId="281">
    <w:name w:val="l正文"/>
    <w:basedOn w:val="1"/>
    <w:qFormat/>
    <w:uiPriority w:val="0"/>
    <w:pPr>
      <w:spacing w:line="360" w:lineRule="auto"/>
      <w:ind w:firstLine="200" w:firstLineChars="200"/>
    </w:pPr>
    <w:rPr>
      <w:rFonts w:ascii="宋体" w:hAnsi="宋体"/>
      <w:sz w:val="24"/>
    </w:rPr>
  </w:style>
  <w:style w:type="paragraph" w:customStyle="1" w:styleId="282">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4">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5">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6">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7">
    <w:name w:val="Char Char Char Char Char Char Char1"/>
    <w:basedOn w:val="1"/>
    <w:qFormat/>
    <w:uiPriority w:val="0"/>
    <w:rPr>
      <w:rFonts w:ascii="仿宋_GB2312" w:eastAsia="仿宋_GB2312"/>
      <w:b/>
      <w:sz w:val="32"/>
      <w:szCs w:val="32"/>
    </w:rPr>
  </w:style>
  <w:style w:type="paragraph" w:customStyle="1" w:styleId="28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0">
    <w:name w:val="标题2"/>
    <w:basedOn w:val="5"/>
    <w:qFormat/>
    <w:uiPriority w:val="0"/>
    <w:pPr>
      <w:tabs>
        <w:tab w:val="left" w:pos="709"/>
      </w:tabs>
    </w:pPr>
    <w:rPr>
      <w:rFonts w:ascii="宋体" w:hAnsi="宋体"/>
      <w:sz w:val="36"/>
      <w:szCs w:val="36"/>
    </w:rPr>
  </w:style>
  <w:style w:type="paragraph" w:customStyle="1" w:styleId="291">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3">
    <w:name w:val="Char1"/>
    <w:basedOn w:val="1"/>
    <w:qFormat/>
    <w:uiPriority w:val="0"/>
    <w:rPr>
      <w:rFonts w:ascii="仿宋_GB2312" w:eastAsia="仿宋_GB2312"/>
      <w:b/>
      <w:sz w:val="32"/>
      <w:szCs w:val="32"/>
    </w:rPr>
  </w:style>
  <w:style w:type="paragraph" w:customStyle="1" w:styleId="294">
    <w:name w:val="正文字缩2字"/>
    <w:basedOn w:val="1"/>
    <w:qFormat/>
    <w:uiPriority w:val="0"/>
    <w:pPr>
      <w:spacing w:before="60" w:after="60" w:line="360" w:lineRule="auto"/>
      <w:ind w:left="200" w:leftChars="200" w:firstLine="200" w:firstLineChars="200"/>
    </w:pPr>
    <w:rPr>
      <w:sz w:val="24"/>
    </w:rPr>
  </w:style>
  <w:style w:type="paragraph" w:customStyle="1" w:styleId="29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保留正文"/>
    <w:basedOn w:val="23"/>
    <w:qFormat/>
    <w:uiPriority w:val="0"/>
    <w:pPr>
      <w:keepNext/>
      <w:spacing w:after="160"/>
    </w:pPr>
    <w:rPr>
      <w:szCs w:val="20"/>
    </w:rPr>
  </w:style>
  <w:style w:type="paragraph" w:customStyle="1" w:styleId="297">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0">
    <w:name w:val="Char"/>
    <w:basedOn w:val="1"/>
    <w:qFormat/>
    <w:uiPriority w:val="0"/>
    <w:rPr>
      <w:rFonts w:ascii="仿宋_GB2312" w:eastAsia="仿宋_GB2312"/>
      <w:b/>
      <w:sz w:val="32"/>
      <w:szCs w:val="32"/>
    </w:rPr>
  </w:style>
  <w:style w:type="paragraph" w:customStyle="1" w:styleId="301">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2">
    <w:name w:val="正文文字表格居中"/>
    <w:basedOn w:val="1"/>
    <w:next w:val="47"/>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4">
    <w:name w:val="Char1 Char Char Char Char Char Char"/>
    <w:basedOn w:val="1"/>
    <w:qFormat/>
    <w:uiPriority w:val="0"/>
    <w:rPr>
      <w:rFonts w:ascii="宋体" w:hAnsi="宋体"/>
      <w:color w:val="000000"/>
      <w:sz w:val="24"/>
    </w:rPr>
  </w:style>
  <w:style w:type="paragraph" w:customStyle="1" w:styleId="305">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6">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9">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0">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3">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5">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6">
    <w:name w:val="样式 标题 3 + 黑体 小四 非加粗"/>
    <w:basedOn w:val="6"/>
    <w:qFormat/>
    <w:uiPriority w:val="0"/>
    <w:pPr>
      <w:spacing w:before="260" w:after="260" w:line="413" w:lineRule="auto"/>
    </w:pPr>
    <w:rPr>
      <w:rFonts w:ascii="黑体" w:hAnsi="黑体"/>
      <w:b w:val="0"/>
      <w:kern w:val="0"/>
      <w:sz w:val="24"/>
      <w:szCs w:val="32"/>
    </w:rPr>
  </w:style>
  <w:style w:type="paragraph" w:customStyle="1" w:styleId="317">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9">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2">
    <w:name w:val="文档正文"/>
    <w:basedOn w:val="1"/>
    <w:qFormat/>
    <w:uiPriority w:val="0"/>
    <w:pPr>
      <w:adjustRightInd w:val="0"/>
      <w:spacing w:line="300" w:lineRule="auto"/>
      <w:ind w:firstLine="567"/>
      <w:textAlignment w:val="baseline"/>
    </w:pPr>
    <w:rPr>
      <w:kern w:val="0"/>
      <w:sz w:val="24"/>
      <w:szCs w:val="20"/>
    </w:rPr>
  </w:style>
  <w:style w:type="paragraph" w:customStyle="1" w:styleId="323">
    <w:name w:val="列出段落2"/>
    <w:basedOn w:val="1"/>
    <w:qFormat/>
    <w:uiPriority w:val="0"/>
    <w:pPr>
      <w:ind w:firstLine="420" w:firstLineChars="200"/>
    </w:pPr>
  </w:style>
  <w:style w:type="paragraph" w:customStyle="1" w:styleId="324">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5">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6">
    <w:name w:val="p0"/>
    <w:basedOn w:val="1"/>
    <w:qFormat/>
    <w:uiPriority w:val="0"/>
    <w:pPr>
      <w:widowControl/>
    </w:pPr>
    <w:rPr>
      <w:kern w:val="0"/>
      <w:szCs w:val="21"/>
    </w:rPr>
  </w:style>
  <w:style w:type="paragraph" w:customStyle="1" w:styleId="32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8">
    <w:name w:val="TableGrid"/>
    <w:qFormat/>
    <w:uiPriority w:val="0"/>
    <w:tblPr>
      <w:tblCellMar>
        <w:top w:w="0" w:type="dxa"/>
        <w:left w:w="0" w:type="dxa"/>
        <w:bottom w:w="0" w:type="dxa"/>
        <w:right w:w="0" w:type="dxa"/>
      </w:tblCellMar>
    </w:tblPr>
  </w:style>
  <w:style w:type="paragraph" w:styleId="329">
    <w:name w:val="List Paragraph"/>
    <w:basedOn w:val="1"/>
    <w:qFormat/>
    <w:uiPriority w:val="99"/>
    <w:pPr>
      <w:ind w:firstLine="420" w:firstLineChars="200"/>
    </w:pPr>
  </w:style>
  <w:style w:type="paragraph" w:customStyle="1" w:styleId="330">
    <w:name w:val="正文段"/>
    <w:basedOn w:val="1"/>
    <w:qFormat/>
    <w:uiPriority w:val="0"/>
    <w:pPr>
      <w:widowControl/>
      <w:snapToGrid w:val="0"/>
      <w:spacing w:afterLines="50"/>
      <w:ind w:firstLine="200" w:firstLineChars="200"/>
    </w:pPr>
    <w:rPr>
      <w:sz w:val="24"/>
      <w:szCs w:val="20"/>
    </w:rPr>
  </w:style>
  <w:style w:type="paragraph" w:customStyle="1" w:styleId="331">
    <w:name w:val="_Style 3"/>
    <w:basedOn w:val="1"/>
    <w:next w:val="1"/>
    <w:qFormat/>
    <w:uiPriority w:val="34"/>
    <w:pPr>
      <w:spacing w:line="360" w:lineRule="auto"/>
      <w:ind w:firstLine="420" w:firstLineChars="200"/>
    </w:pPr>
  </w:style>
  <w:style w:type="paragraph" w:customStyle="1" w:styleId="332">
    <w:name w:val="_Style 2"/>
    <w:basedOn w:val="1"/>
    <w:next w:val="1"/>
    <w:qFormat/>
    <w:uiPriority w:val="0"/>
    <w:pPr>
      <w:pBdr>
        <w:bottom w:val="single" w:color="auto" w:sz="6" w:space="1"/>
      </w:pBdr>
      <w:jc w:val="center"/>
    </w:pPr>
    <w:rPr>
      <w:rFonts w:ascii="Arial"/>
      <w:vanish/>
      <w:sz w:val="16"/>
    </w:rPr>
  </w:style>
  <w:style w:type="character" w:customStyle="1" w:styleId="333">
    <w:name w:val="font31"/>
    <w:basedOn w:val="55"/>
    <w:qFormat/>
    <w:uiPriority w:val="0"/>
    <w:rPr>
      <w:rFonts w:hint="eastAsia" w:ascii="宋体" w:hAnsi="宋体" w:eastAsia="宋体" w:cs="宋体"/>
      <w:color w:val="000000"/>
      <w:sz w:val="24"/>
      <w:szCs w:val="24"/>
      <w:u w:val="single"/>
    </w:rPr>
  </w:style>
  <w:style w:type="paragraph" w:customStyle="1" w:styleId="334">
    <w:name w:val="表格文字"/>
    <w:basedOn w:val="1"/>
    <w:next w:val="23"/>
    <w:qFormat/>
    <w:uiPriority w:val="0"/>
    <w:pPr>
      <w:adjustRightInd w:val="0"/>
      <w:spacing w:line="420" w:lineRule="atLeast"/>
      <w:jc w:val="left"/>
      <w:textAlignment w:val="baseline"/>
    </w:pPr>
    <w:rPr>
      <w:kern w:val="0"/>
    </w:rPr>
  </w:style>
  <w:style w:type="character" w:customStyle="1" w:styleId="335">
    <w:name w:val="font01"/>
    <w:basedOn w:val="55"/>
    <w:qFormat/>
    <w:uiPriority w:val="0"/>
    <w:rPr>
      <w:rFonts w:ascii="Arial" w:hAnsi="Arial" w:cs="Arial"/>
      <w:color w:val="000000"/>
      <w:sz w:val="18"/>
      <w:szCs w:val="18"/>
      <w:u w:val="none"/>
    </w:rPr>
  </w:style>
  <w:style w:type="paragraph" w:customStyle="1" w:styleId="336">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7">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8">
    <w:name w:val="font61"/>
    <w:basedOn w:val="55"/>
    <w:qFormat/>
    <w:uiPriority w:val="0"/>
    <w:rPr>
      <w:rFonts w:hint="eastAsia" w:ascii="宋体" w:hAnsi="宋体" w:eastAsia="宋体" w:cs="宋体"/>
      <w:color w:val="000000"/>
      <w:sz w:val="20"/>
      <w:szCs w:val="20"/>
      <w:u w:val="none"/>
    </w:rPr>
  </w:style>
  <w:style w:type="character" w:customStyle="1" w:styleId="339">
    <w:name w:val="font81"/>
    <w:basedOn w:val="55"/>
    <w:qFormat/>
    <w:uiPriority w:val="0"/>
    <w:rPr>
      <w:rFonts w:ascii="Calibri" w:hAnsi="Calibri" w:cs="Calibri"/>
      <w:color w:val="000000"/>
      <w:sz w:val="20"/>
      <w:szCs w:val="20"/>
      <w:u w:val="none"/>
    </w:rPr>
  </w:style>
  <w:style w:type="character" w:customStyle="1" w:styleId="340">
    <w:name w:val="font71"/>
    <w:basedOn w:val="55"/>
    <w:qFormat/>
    <w:uiPriority w:val="0"/>
    <w:rPr>
      <w:rFonts w:hint="eastAsia" w:ascii="宋体" w:hAnsi="宋体" w:eastAsia="宋体" w:cs="宋体"/>
      <w:color w:val="000000"/>
      <w:sz w:val="22"/>
      <w:szCs w:val="22"/>
      <w:u w:val="none"/>
    </w:rPr>
  </w:style>
  <w:style w:type="paragraph" w:customStyle="1" w:styleId="341">
    <w:name w:val="列表编号1"/>
    <w:basedOn w:val="16"/>
    <w:qFormat/>
    <w:uiPriority w:val="0"/>
    <w:pPr>
      <w:numPr>
        <w:ilvl w:val="0"/>
        <w:numId w:val="2"/>
      </w:numPr>
      <w:adjustRightInd w:val="0"/>
      <w:snapToGrid w:val="0"/>
      <w:contextualSpacing w:val="0"/>
      <w:jc w:val="center"/>
    </w:pPr>
    <w:rPr>
      <w:rFonts w:eastAsia="微软雅黑"/>
      <w:sz w:val="24"/>
    </w:rPr>
  </w:style>
  <w:style w:type="paragraph" w:customStyle="1" w:styleId="342">
    <w:name w:val="列表编号2"/>
    <w:basedOn w:val="15"/>
    <w:next w:val="15"/>
    <w:qFormat/>
    <w:uiPriority w:val="0"/>
    <w:pPr>
      <w:numPr>
        <w:ilvl w:val="1"/>
        <w:numId w:val="2"/>
      </w:numPr>
      <w:adjustRightInd w:val="0"/>
      <w:snapToGrid w:val="0"/>
      <w:contextualSpacing w:val="0"/>
      <w:jc w:val="center"/>
    </w:pPr>
    <w:rPr>
      <w:rFonts w:eastAsia="微软雅黑"/>
      <w:sz w:val="24"/>
    </w:rPr>
  </w:style>
  <w:style w:type="paragraph" w:customStyle="1" w:styleId="343">
    <w:name w:val="列表段落2"/>
    <w:basedOn w:val="1"/>
    <w:next w:val="15"/>
    <w:qFormat/>
    <w:uiPriority w:val="99"/>
    <w:pPr>
      <w:widowControl/>
      <w:numPr>
        <w:ilvl w:val="1"/>
        <w:numId w:val="3"/>
      </w:numPr>
      <w:jc w:val="center"/>
    </w:pPr>
    <w:rPr>
      <w:rFonts w:ascii="宋体" w:hAnsi="宋体" w:eastAsia="宋体" w:cs="宋体"/>
      <w:kern w:val="0"/>
      <w:sz w:val="24"/>
      <w:szCs w:val="24"/>
    </w:rPr>
  </w:style>
  <w:style w:type="paragraph" w:customStyle="1" w:styleId="344">
    <w:name w:val="样式 正文缩进 + 首行缩进:  2 字符"/>
    <w:basedOn w:val="10"/>
    <w:qFormat/>
    <w:uiPriority w:val="0"/>
    <w:pPr>
      <w:spacing w:line="360" w:lineRule="auto"/>
      <w:ind w:firstLine="200"/>
    </w:pPr>
    <w:rPr>
      <w:rFonts w:ascii="Times New Roman" w:hAnsi="Times New Roman" w:eastAsia="仿宋" w:cs="Times New Roman"/>
      <w:sz w:val="24"/>
      <w:szCs w:val="20"/>
    </w:rPr>
  </w:style>
  <w:style w:type="paragraph" w:customStyle="1" w:styleId="34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62</Pages>
  <Words>28209</Words>
  <Characters>29447</Characters>
  <Lines>322</Lines>
  <Paragraphs>90</Paragraphs>
  <TotalTime>0</TotalTime>
  <ScaleCrop>false</ScaleCrop>
  <LinksUpToDate>false</LinksUpToDate>
  <CharactersWithSpaces>32264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巴西</cp:lastModifiedBy>
  <cp:lastPrinted>2021-03-22T07:00:00Z</cp:lastPrinted>
  <dcterms:modified xsi:type="dcterms:W3CDTF">2022-09-09T06:44:32Z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BC1BA64C697642BF92F420CC9F67FF35</vt:lpwstr>
  </property>
</Properties>
</file>