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WZLCZB（W）-2022-08403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用血管理软件优化升级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2"/>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2"/>
        <w:rPr>
          <w:rFonts w:hint="eastAsia"/>
          <w:color w:val="auto"/>
          <w:highlight w:val="none"/>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八</w:t>
      </w:r>
      <w:r>
        <w:rPr>
          <w:rFonts w:hint="eastAsia" w:ascii="宋体" w:hAnsi="宋体" w:eastAsia="宋体" w:cs="宋体"/>
          <w:color w:val="auto"/>
          <w:spacing w:val="30"/>
          <w:sz w:val="30"/>
          <w:highlight w:val="none"/>
        </w:rPr>
        <w:t>月</w:t>
      </w:r>
    </w:p>
    <w:p>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8"/>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46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46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52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52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5168;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用血管理软件优化升级</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2022年</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23</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14</w:t>
      </w:r>
      <w:r>
        <w:rPr>
          <w:rFonts w:hint="eastAsia" w:ascii="宋体" w:hAnsi="宋体" w:eastAsia="宋体" w:cs="宋体"/>
          <w:color w:val="auto"/>
          <w:sz w:val="22"/>
          <w:highlight w:val="none"/>
        </w:rPr>
        <w:t>:30 （北京时间）前递交（上传）投标文件。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WZLCZB（W）-2022-08403</w:t>
      </w:r>
      <w:r>
        <w:rPr>
          <w:rFonts w:hint="eastAsia"/>
          <w:color w:val="auto"/>
          <w:sz w:val="22"/>
          <w:szCs w:val="22"/>
          <w:highlight w:val="none"/>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用血管理软件优化升级</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预算金额（元）：180000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最高限价（元）：180000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用血管理软件优化升级</w:t>
      </w:r>
      <w:r>
        <w:rPr>
          <w:rFonts w:hint="eastAsia"/>
          <w:color w:val="auto"/>
          <w:sz w:val="22"/>
          <w:szCs w:val="22"/>
          <w:highlight w:val="none"/>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预算金额（元）:180000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本项目（否）接受联合体投标。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2.落实政府采购政策需满足的资格要求：无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2022年9月2日</w:t>
      </w:r>
      <w:r>
        <w:rPr>
          <w:rFonts w:hint="eastAsia"/>
          <w:color w:val="auto"/>
          <w:sz w:val="22"/>
          <w:szCs w:val="22"/>
          <w:highlight w:val="none"/>
          <w:u w:val="none"/>
        </w:rPr>
        <w:t>至</w:t>
      </w:r>
      <w:r>
        <w:rPr>
          <w:rFonts w:hint="eastAsia"/>
          <w:color w:val="auto"/>
          <w:sz w:val="22"/>
          <w:szCs w:val="22"/>
          <w:highlight w:val="none"/>
          <w:u w:val="none"/>
          <w:lang w:eastAsia="zh-CN"/>
        </w:rPr>
        <w:t>2022年</w:t>
      </w:r>
      <w:r>
        <w:rPr>
          <w:rFonts w:hint="eastAsia"/>
          <w:color w:val="auto"/>
          <w:sz w:val="22"/>
          <w:szCs w:val="22"/>
          <w:highlight w:val="none"/>
          <w:u w:val="none"/>
          <w:lang w:val="en-US" w:eastAsia="zh-CN"/>
        </w:rPr>
        <w:t>09</w:t>
      </w:r>
      <w:r>
        <w:rPr>
          <w:rFonts w:hint="eastAsia"/>
          <w:color w:val="auto"/>
          <w:sz w:val="22"/>
          <w:szCs w:val="22"/>
          <w:highlight w:val="none"/>
          <w:u w:val="none"/>
        </w:rPr>
        <w:t>月</w:t>
      </w:r>
      <w:r>
        <w:rPr>
          <w:rFonts w:hint="eastAsia"/>
          <w:color w:val="auto"/>
          <w:sz w:val="22"/>
          <w:szCs w:val="22"/>
          <w:highlight w:val="none"/>
          <w:u w:val="none"/>
          <w:lang w:val="en-US" w:eastAsia="zh-CN"/>
        </w:rPr>
        <w:t>23</w:t>
      </w:r>
      <w:r>
        <w:rPr>
          <w:rFonts w:hint="eastAsia"/>
          <w:color w:val="auto"/>
          <w:sz w:val="22"/>
          <w:szCs w:val="22"/>
          <w:highlight w:val="none"/>
          <w:u w:val="none"/>
        </w:rPr>
        <w:t>日，每天上午00:00至12:00，下午12:00至23:59（北京时间，线上获取法定节假日均可，线下获取文件法定节假日除外）</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ascii="宋体" w:hAnsi="宋体" w:cs="宋体"/>
          <w:color w:val="auto"/>
          <w:sz w:val="22"/>
          <w:highlight w:val="none"/>
          <w:lang w:eastAsia="zh-CN"/>
        </w:rPr>
        <w:t>2022年</w:t>
      </w:r>
      <w:r>
        <w:rPr>
          <w:rFonts w:hint="eastAsia" w:cs="宋体"/>
          <w:color w:val="auto"/>
          <w:sz w:val="22"/>
          <w:highlight w:val="none"/>
          <w:lang w:val="en-US" w:eastAsia="zh-CN"/>
        </w:rPr>
        <w:t>09</w:t>
      </w:r>
      <w:r>
        <w:rPr>
          <w:rFonts w:hint="eastAsia" w:ascii="宋体" w:hAnsi="宋体" w:eastAsia="宋体" w:cs="宋体"/>
          <w:color w:val="auto"/>
          <w:sz w:val="22"/>
          <w:highlight w:val="none"/>
        </w:rPr>
        <w:t>月</w:t>
      </w:r>
      <w:r>
        <w:rPr>
          <w:rFonts w:hint="eastAsia" w:cs="宋体"/>
          <w:color w:val="auto"/>
          <w:sz w:val="22"/>
          <w:highlight w:val="none"/>
          <w:lang w:val="en-US" w:eastAsia="zh-CN"/>
        </w:rPr>
        <w:t>23</w:t>
      </w:r>
      <w:r>
        <w:rPr>
          <w:rFonts w:hint="eastAsia" w:ascii="宋体" w:hAnsi="宋体" w:eastAsia="宋体" w:cs="宋体"/>
          <w:color w:val="auto"/>
          <w:sz w:val="22"/>
          <w:highlight w:val="none"/>
        </w:rPr>
        <w:t>日</w:t>
      </w:r>
      <w:r>
        <w:rPr>
          <w:rFonts w:hint="eastAsia" w:cs="宋体"/>
          <w:color w:val="auto"/>
          <w:sz w:val="22"/>
          <w:highlight w:val="none"/>
          <w:lang w:val="en-US" w:eastAsia="zh-CN"/>
        </w:rPr>
        <w:t>14</w:t>
      </w:r>
      <w:r>
        <w:rPr>
          <w:rFonts w:hint="eastAsia" w:ascii="宋体" w:hAnsi="宋体" w:eastAsia="宋体" w:cs="宋体"/>
          <w:color w:val="auto"/>
          <w:sz w:val="22"/>
          <w:highlight w:val="none"/>
        </w:rPr>
        <w:t>:30</w:t>
      </w:r>
      <w:r>
        <w:rPr>
          <w:rFonts w:hint="eastAsia"/>
          <w:color w:val="auto"/>
          <w:sz w:val="22"/>
          <w:szCs w:val="22"/>
          <w:highlight w:val="none"/>
          <w:u w:val="none"/>
        </w:rPr>
        <w:t>（北京时间）</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2022年</w:t>
      </w:r>
      <w:r>
        <w:rPr>
          <w:rFonts w:hint="eastAsia"/>
          <w:color w:val="auto"/>
          <w:sz w:val="22"/>
          <w:szCs w:val="22"/>
          <w:highlight w:val="none"/>
          <w:u w:val="none"/>
          <w:lang w:val="en-US" w:eastAsia="zh-CN"/>
        </w:rPr>
        <w:t>09</w:t>
      </w:r>
      <w:r>
        <w:rPr>
          <w:rFonts w:hint="eastAsia"/>
          <w:color w:val="auto"/>
          <w:sz w:val="22"/>
          <w:szCs w:val="22"/>
          <w:highlight w:val="none"/>
          <w:u w:val="none"/>
        </w:rPr>
        <w:t>月</w:t>
      </w:r>
      <w:r>
        <w:rPr>
          <w:rFonts w:hint="eastAsia"/>
          <w:color w:val="auto"/>
          <w:sz w:val="22"/>
          <w:szCs w:val="22"/>
          <w:highlight w:val="none"/>
          <w:u w:val="none"/>
          <w:lang w:val="en-US" w:eastAsia="zh-CN"/>
        </w:rPr>
        <w:t>23</w:t>
      </w:r>
      <w:r>
        <w:rPr>
          <w:rFonts w:hint="eastAsia"/>
          <w:color w:val="auto"/>
          <w:sz w:val="22"/>
          <w:szCs w:val="22"/>
          <w:highlight w:val="none"/>
          <w:u w:val="none"/>
        </w:rPr>
        <w:t>日</w:t>
      </w:r>
      <w:r>
        <w:rPr>
          <w:rFonts w:hint="eastAsia"/>
          <w:color w:val="auto"/>
          <w:sz w:val="22"/>
          <w:szCs w:val="22"/>
          <w:highlight w:val="none"/>
          <w:u w:val="none"/>
          <w:lang w:val="en-US" w:eastAsia="zh-CN"/>
        </w:rPr>
        <w:t>14</w:t>
      </w:r>
      <w:r>
        <w:rPr>
          <w:rFonts w:hint="eastAsia"/>
          <w:color w:val="auto"/>
          <w:sz w:val="22"/>
          <w:szCs w:val="22"/>
          <w:highlight w:val="none"/>
          <w:u w:val="none"/>
        </w:rPr>
        <w:t>:30</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 郑永强、温碧霞</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pStyle w:val="48"/>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3"/>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54996695"/>
      <w:bookmarkStart w:id="6" w:name="_Toc6224"/>
      <w:bookmarkStart w:id="7" w:name="_Toc233618971"/>
      <w:bookmarkStart w:id="8" w:name="_Toc33194387"/>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用血管理软件优化升级</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451"/>
              <w:gridCol w:w="952"/>
              <w:gridCol w:w="2217"/>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952"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51"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用血管理软件优化升级</w:t>
                  </w:r>
                </w:p>
              </w:tc>
              <w:tc>
                <w:tcPr>
                  <w:tcW w:w="952"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lang w:val="en-US" w:eastAsia="zh-CN"/>
                    </w:rPr>
                    <w:t>项</w:t>
                  </w:r>
                </w:p>
              </w:tc>
              <w:tc>
                <w:tcPr>
                  <w:tcW w:w="2217"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default" w:ascii="宋体" w:hAnsi="宋体" w:eastAsia="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lang w:val="en-US" w:eastAsia="zh-CN"/>
                    </w:rPr>
                    <w:t>8</w:t>
                  </w:r>
                  <w:r>
                    <w:rPr>
                      <w:rFonts w:hint="default" w:ascii="宋体" w:hAnsi="宋体" w:eastAsia="宋体" w:cs="宋体"/>
                      <w:color w:val="auto"/>
                      <w:sz w:val="22"/>
                      <w:szCs w:val="22"/>
                      <w:highlight w:val="none"/>
                      <w:shd w:val="clear" w:color="auto" w:fill="FFFFFF"/>
                      <w:lang w:val="en-US" w:eastAsia="zh-CN"/>
                    </w:rPr>
                    <w:t>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的75%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highlight w:val="none"/>
              </w:rPr>
            </w:pPr>
            <w:r>
              <w:rPr>
                <w:rFonts w:hint="eastAsia"/>
                <w:color w:val="auto"/>
                <w:highlight w:val="none"/>
              </w:rPr>
              <w:t>投标文件份数：</w:t>
            </w:r>
          </w:p>
          <w:p>
            <w:pPr>
              <w:numPr>
                <w:ilvl w:val="0"/>
                <w:numId w:val="5"/>
              </w:numPr>
              <w:spacing w:line="460" w:lineRule="exact"/>
              <w:rPr>
                <w:rFonts w:hint="eastAsia"/>
                <w:color w:val="auto"/>
                <w:highlight w:val="none"/>
              </w:rPr>
            </w:pPr>
            <w:r>
              <w:rPr>
                <w:rFonts w:hint="eastAsia"/>
                <w:color w:val="auto"/>
                <w:highlight w:val="none"/>
              </w:rPr>
              <w:t>“电子加密投标文件”：在线上传递交、一份。</w:t>
            </w:r>
          </w:p>
          <w:p>
            <w:pPr>
              <w:numPr>
                <w:ilvl w:val="0"/>
                <w:numId w:val="5"/>
              </w:numPr>
              <w:spacing w:line="460" w:lineRule="exact"/>
              <w:rPr>
                <w:rFonts w:hint="eastAsia"/>
                <w:color w:val="auto"/>
                <w:highlight w:val="none"/>
              </w:rPr>
            </w:pPr>
            <w:r>
              <w:rPr>
                <w:rFonts w:hint="eastAsia"/>
                <w:color w:val="auto"/>
                <w:highlight w:val="none"/>
              </w:rPr>
              <w:t>“备份投标文件”：密封包装后投标截止时间前递交、一份</w:t>
            </w:r>
          </w:p>
          <w:p>
            <w:pPr>
              <w:spacing w:line="460" w:lineRule="exact"/>
              <w:rPr>
                <w:rFonts w:hint="eastAsia"/>
                <w:color w:val="auto"/>
                <w:highlight w:val="none"/>
              </w:rPr>
            </w:pPr>
            <w:r>
              <w:rPr>
                <w:rFonts w:hint="eastAsia"/>
                <w:color w:val="auto"/>
                <w:highlight w:val="none"/>
              </w:rPr>
              <w:t>（若不提供备份投标文件，开标当天电子加密投标文件解密失败，投标人自行负责。）</w:t>
            </w:r>
          </w:p>
          <w:p>
            <w:pPr>
              <w:tabs>
                <w:tab w:val="left" w:pos="360"/>
              </w:tabs>
              <w:spacing w:line="460" w:lineRule="exact"/>
              <w:rPr>
                <w:rFonts w:hint="eastAsia"/>
                <w:color w:val="auto"/>
                <w:highlight w:val="none"/>
              </w:rPr>
            </w:pPr>
            <w:r>
              <w:rPr>
                <w:rFonts w:hint="eastAsia"/>
                <w:color w:val="auto"/>
                <w:highlight w:val="none"/>
              </w:rPr>
              <w:t>可以（邮寄形式，建议顺丰）在投标截止时间前递交，并需采购代理机构确认是否收到，</w:t>
            </w:r>
          </w:p>
          <w:p>
            <w:pPr>
              <w:spacing w:line="460" w:lineRule="exact"/>
              <w:rPr>
                <w:rFonts w:hint="eastAsia"/>
                <w:color w:val="auto"/>
                <w:highlight w:val="none"/>
                <w:lang w:eastAsia="zh-CN"/>
              </w:rPr>
            </w:pPr>
            <w:r>
              <w:rPr>
                <w:rFonts w:hint="eastAsia"/>
                <w:color w:val="auto"/>
                <w:highlight w:val="none"/>
              </w:rPr>
              <w:t>邮寄地址：</w:t>
            </w:r>
            <w:r>
              <w:rPr>
                <w:rFonts w:hint="eastAsia"/>
                <w:color w:val="auto"/>
                <w:highlight w:val="none"/>
                <w:lang w:eastAsia="zh-CN"/>
              </w:rPr>
              <w:t>温州市鹿城区学院中路229号三想集团5楼</w:t>
            </w:r>
          </w:p>
          <w:p>
            <w:pPr>
              <w:spacing w:line="460" w:lineRule="exact"/>
              <w:rPr>
                <w:rFonts w:hint="default" w:eastAsia="宋体"/>
                <w:color w:val="auto"/>
                <w:highlight w:val="none"/>
                <w:lang w:val="en-US" w:eastAsia="zh-CN"/>
              </w:rPr>
            </w:pPr>
            <w:r>
              <w:rPr>
                <w:rFonts w:hint="eastAsia"/>
                <w:color w:val="auto"/>
                <w:highlight w:val="none"/>
                <w:lang w:val="en-US" w:eastAsia="zh-CN"/>
              </w:rPr>
              <w:t>联系人：温先生    联系电话</w:t>
            </w:r>
            <w:r>
              <w:rPr>
                <w:rFonts w:hint="eastAsia"/>
                <w:b w:val="0"/>
                <w:bCs w:val="0"/>
                <w:color w:val="auto"/>
                <w:highlight w:val="none"/>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2022年</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:30</w:t>
            </w:r>
            <w:r>
              <w:rPr>
                <w:rFonts w:hint="eastAsia"/>
                <w:color w:val="auto"/>
                <w:sz w:val="22"/>
                <w:szCs w:val="22"/>
                <w:highlight w:val="none"/>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：2022年</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23</w:t>
            </w:r>
            <w:r>
              <w:rPr>
                <w:rFonts w:hint="eastAsia" w:ascii="宋体" w:hAnsi="宋体" w:eastAsia="宋体" w:cs="宋体"/>
                <w:b w:val="0"/>
                <w:bCs w:val="0"/>
                <w:color w:val="auto"/>
                <w:sz w:val="22"/>
                <w:szCs w:val="22"/>
                <w:highlight w:val="none"/>
                <w:lang w:eastAsia="zh-CN"/>
              </w:rPr>
              <w:t>日</w:t>
            </w:r>
            <w:r>
              <w:rPr>
                <w:rFonts w:hint="eastAsia" w:ascii="宋体" w:hAnsi="宋体" w:eastAsia="宋体" w:cs="宋体"/>
                <w:b w:val="0"/>
                <w:bCs w:val="0"/>
                <w:color w:val="auto"/>
                <w:sz w:val="22"/>
                <w:szCs w:val="22"/>
                <w:highlight w:val="none"/>
                <w:lang w:val="en-US" w:eastAsia="zh-CN"/>
              </w:rPr>
              <w:t>14</w:t>
            </w:r>
            <w:r>
              <w:rPr>
                <w:rFonts w:hint="eastAsia" w:ascii="宋体" w:hAnsi="宋体" w:eastAsia="宋体" w:cs="宋体"/>
                <w:b w:val="0"/>
                <w:bCs w:val="0"/>
                <w:color w:val="auto"/>
                <w:sz w:val="22"/>
                <w:szCs w:val="22"/>
                <w:highlight w:val="none"/>
                <w:lang w:eastAsia="zh-CN"/>
              </w:rPr>
              <w:t>:30</w:t>
            </w:r>
            <w:r>
              <w:rPr>
                <w:rFonts w:hint="eastAsia"/>
                <w:color w:val="auto"/>
                <w:sz w:val="22"/>
                <w:szCs w:val="22"/>
                <w:highlight w:val="none"/>
                <w:u w:val="none"/>
              </w:rPr>
              <w:t>（北京时间）</w:t>
            </w:r>
            <w:bookmarkStart w:id="64" w:name="_GoBack"/>
            <w:bookmarkEnd w:id="64"/>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投标人企业情况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设计方案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实施方案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培训方案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项目实施人员情况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color w:val="auto"/>
          <w:highlight w:val="none"/>
        </w:rPr>
      </w:pPr>
      <w:bookmarkStart w:id="24" w:name="_Toc19043"/>
      <w:bookmarkStart w:id="25" w:name="_Toc28194"/>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color w:val="auto"/>
          <w:highlight w:val="none"/>
        </w:rPr>
        <w:t>甲方（采购单位）：温州市中医院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lang w:val="en-US" w:eastAsia="zh-CN"/>
        </w:rPr>
      </w:pPr>
      <w:r>
        <w:rPr>
          <w:rFonts w:hint="eastAsia"/>
          <w:color w:val="auto"/>
          <w:highlight w:val="none"/>
        </w:rPr>
        <w:t>乙方（供应商）：</w:t>
      </w:r>
      <w:r>
        <w:rPr>
          <w:rFonts w:hint="eastAsia"/>
          <w:color w:val="auto"/>
          <w:highlight w:val="none"/>
          <w:lang w:val="en-US" w:eastAsia="zh-CN"/>
        </w:rPr>
        <w:t>XX</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鉴于甲方</w:t>
      </w:r>
      <w:r>
        <w:rPr>
          <w:rFonts w:hint="eastAsia"/>
          <w:color w:val="auto"/>
          <w:highlight w:val="none"/>
          <w:lang w:val="en-US" w:eastAsia="zh-CN"/>
        </w:rPr>
        <w:t xml:space="preserve"> X年X月X日 </w:t>
      </w:r>
      <w:r>
        <w:rPr>
          <w:rFonts w:hint="eastAsia"/>
          <w:color w:val="auto"/>
          <w:highlight w:val="none"/>
        </w:rPr>
        <w:t>接受乙方对</w:t>
      </w:r>
      <w:r>
        <w:rPr>
          <w:rFonts w:hint="eastAsia"/>
          <w:color w:val="auto"/>
          <w:highlight w:val="none"/>
          <w:lang w:val="en-US" w:eastAsia="zh-CN"/>
        </w:rPr>
        <w:t xml:space="preserve"> XX项目</w:t>
      </w:r>
      <w:r>
        <w:rPr>
          <w:rFonts w:hint="eastAsia"/>
          <w:color w:val="auto"/>
          <w:highlight w:val="none"/>
        </w:rPr>
        <w:t>（招标编号</w:t>
      </w:r>
      <w:r>
        <w:rPr>
          <w:rFonts w:hint="eastAsia"/>
          <w:color w:val="auto"/>
          <w:highlight w:val="none"/>
          <w:lang w:val="en-US" w:eastAsia="zh-CN"/>
        </w:rPr>
        <w:t>XXX</w:t>
      </w:r>
      <w:r>
        <w:rPr>
          <w:rFonts w:hint="eastAsia"/>
          <w:color w:val="auto"/>
          <w:highlight w:val="none"/>
        </w:rPr>
        <w:t>）的投标，双方根据《中华人民共和国</w:t>
      </w:r>
      <w:r>
        <w:rPr>
          <w:rFonts w:hint="eastAsia"/>
          <w:color w:val="auto"/>
          <w:highlight w:val="none"/>
          <w:lang w:eastAsia="zh-CN"/>
        </w:rPr>
        <w:t>民法典</w:t>
      </w:r>
      <w:r>
        <w:rPr>
          <w:rFonts w:hint="eastAsia"/>
          <w:color w:val="auto"/>
          <w:highlight w:val="none"/>
        </w:rPr>
        <w:t>》等</w:t>
      </w:r>
      <w:r>
        <w:rPr>
          <w:rFonts w:hint="eastAsia"/>
          <w:color w:val="auto"/>
          <w:highlight w:val="none"/>
          <w:lang w:eastAsia="zh-CN"/>
        </w:rPr>
        <w:t>法律</w:t>
      </w:r>
      <w:r>
        <w:rPr>
          <w:rFonts w:hint="eastAsia"/>
          <w:color w:val="auto"/>
          <w:highlight w:val="none"/>
        </w:rPr>
        <w:t>法规，本着双方友好互利的原则，经双方协商，同意签订本合同，双方共同遵守。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一、货物内容及合同价格</w:t>
      </w:r>
    </w:p>
    <w:tbl>
      <w:tblPr>
        <w:tblStyle w:val="53"/>
        <w:tblW w:w="9659" w:type="dxa"/>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71"/>
        <w:gridCol w:w="787"/>
        <w:gridCol w:w="1970"/>
        <w:gridCol w:w="1933"/>
        <w:gridCol w:w="947"/>
        <w:gridCol w:w="2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9" w:hRule="atLeast"/>
        </w:trPr>
        <w:tc>
          <w:tcPr>
            <w:tcW w:w="157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r>
              <w:rPr>
                <w:rFonts w:hint="eastAsia"/>
                <w:color w:val="auto"/>
                <w:highlight w:val="none"/>
              </w:rPr>
              <w:t>货物名称</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r>
              <w:rPr>
                <w:rFonts w:hint="eastAsia"/>
                <w:color w:val="auto"/>
                <w:highlight w:val="none"/>
              </w:rPr>
              <w:t>品牌</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r>
              <w:rPr>
                <w:rFonts w:hint="eastAsia"/>
                <w:color w:val="auto"/>
                <w:highlight w:val="none"/>
              </w:rPr>
              <w:t>型号</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r>
              <w:rPr>
                <w:rFonts w:hint="eastAsia"/>
                <w:color w:val="auto"/>
                <w:highlight w:val="none"/>
              </w:rPr>
              <w:t>配置</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r>
              <w:rPr>
                <w:rFonts w:hint="eastAsia"/>
                <w:color w:val="auto"/>
                <w:highlight w:val="none"/>
              </w:rPr>
              <w:t>数量</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r>
              <w:rPr>
                <w:rFonts w:hint="eastAsia"/>
                <w:color w:val="auto"/>
                <w:highlight w:val="none"/>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157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val="en-US" w:eastAsia="zh-CN"/>
              </w:rPr>
            </w:pP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val="en-US" w:eastAsia="zh-CN"/>
              </w:rPr>
            </w:pP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7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val="en-US" w:eastAsia="zh-CN"/>
              </w:rPr>
            </w:pP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eastAsia="zh-CN"/>
              </w:rPr>
            </w:pP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val="en-US" w:eastAsia="zh-CN"/>
              </w:rPr>
            </w:pP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9659" w:type="dxa"/>
            <w:gridSpan w:val="6"/>
          </w:tcPr>
          <w:p>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color w:val="auto"/>
                <w:highlight w:val="none"/>
              </w:rPr>
            </w:pPr>
            <w:r>
              <w:rPr>
                <w:rFonts w:hint="eastAsia"/>
                <w:color w:val="auto"/>
                <w:highlight w:val="none"/>
              </w:rPr>
              <w:t xml:space="preserve">合同总价大写：                                         </w:t>
            </w:r>
            <w:r>
              <w:rPr>
                <w:rFonts w:hint="eastAsia"/>
                <w:color w:val="auto"/>
                <w:highlight w:val="none"/>
                <w:lang w:val="en-US" w:eastAsia="zh-CN"/>
              </w:rPr>
              <w:t xml:space="preserve">     </w:t>
            </w:r>
            <w:r>
              <w:rPr>
                <w:rFonts w:hint="eastAsia"/>
                <w:color w:val="auto"/>
                <w:highlight w:val="none"/>
              </w:rPr>
              <w:t>小写：￥</w:t>
            </w:r>
          </w:p>
        </w:tc>
      </w:tr>
    </w:tbl>
    <w:p>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color w:val="auto"/>
          <w:highlight w:val="none"/>
        </w:rPr>
      </w:pPr>
      <w:r>
        <w:rPr>
          <w:rFonts w:hint="eastAsia"/>
          <w:color w:val="auto"/>
          <w:highlight w:val="none"/>
        </w:rPr>
        <w:t>金额单位：元</w:t>
      </w:r>
    </w:p>
    <w:p>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color w:val="auto"/>
          <w:highlight w:val="none"/>
          <w:lang w:eastAsia="zh-CN"/>
        </w:rPr>
      </w:pPr>
      <w:r>
        <w:rPr>
          <w:rFonts w:hint="eastAsia"/>
          <w:color w:val="auto"/>
          <w:highlight w:val="none"/>
        </w:rPr>
        <w:t>注：1、</w:t>
      </w:r>
      <w:r>
        <w:rPr>
          <w:rFonts w:hint="eastAsia"/>
          <w:color w:val="auto"/>
          <w:highlight w:val="none"/>
          <w:lang w:eastAsia="zh-CN"/>
        </w:rPr>
        <w:t>系统规格</w:t>
      </w:r>
      <w:r>
        <w:rPr>
          <w:rFonts w:hint="eastAsia"/>
          <w:color w:val="auto"/>
          <w:highlight w:val="none"/>
        </w:rPr>
        <w:t>、</w:t>
      </w:r>
      <w:r>
        <w:rPr>
          <w:rFonts w:hint="eastAsia"/>
          <w:color w:val="auto"/>
          <w:highlight w:val="none"/>
          <w:lang w:eastAsia="zh-CN"/>
        </w:rPr>
        <w:t>技术参数</w:t>
      </w:r>
      <w:r>
        <w:rPr>
          <w:rFonts w:hint="eastAsia"/>
          <w:color w:val="auto"/>
          <w:highlight w:val="none"/>
        </w:rPr>
        <w:t>、配置要求等详见附件清</w:t>
      </w:r>
      <w:r>
        <w:rPr>
          <w:rFonts w:hint="eastAsia"/>
          <w:color w:val="auto"/>
          <w:highlight w:val="none"/>
          <w:lang w:eastAsia="zh-CN"/>
        </w:rPr>
        <w:t>单</w:t>
      </w:r>
    </w:p>
    <w:p>
      <w:pPr>
        <w:keepNext w:val="0"/>
        <w:keepLines w:val="0"/>
        <w:pageBreakBefore w:val="0"/>
        <w:widowControl w:val="0"/>
        <w:kinsoku/>
        <w:wordWrap/>
        <w:overflowPunct/>
        <w:topLinePunct w:val="0"/>
        <w:autoSpaceDE/>
        <w:autoSpaceDN/>
        <w:bidi w:val="0"/>
        <w:adjustRightInd/>
        <w:snapToGrid/>
        <w:spacing w:line="460" w:lineRule="exact"/>
        <w:ind w:firstLine="630" w:firstLineChars="300"/>
        <w:textAlignment w:val="auto"/>
        <w:rPr>
          <w:rFonts w:hint="eastAsia"/>
          <w:color w:val="auto"/>
          <w:highlight w:val="none"/>
        </w:rPr>
      </w:pPr>
      <w:r>
        <w:rPr>
          <w:rFonts w:hint="eastAsia"/>
          <w:color w:val="auto"/>
          <w:highlight w:val="none"/>
        </w:rPr>
        <w:t>2、以上合同总价包含</w:t>
      </w:r>
      <w:r>
        <w:rPr>
          <w:rFonts w:hint="eastAsia"/>
          <w:color w:val="auto"/>
          <w:highlight w:val="none"/>
          <w:lang w:eastAsia="zh-CN"/>
        </w:rPr>
        <w:t>系统正常使用</w:t>
      </w:r>
      <w:r>
        <w:rPr>
          <w:rFonts w:hint="eastAsia"/>
          <w:color w:val="auto"/>
          <w:highlight w:val="none"/>
        </w:rPr>
        <w:t>所需的一切费用，包括但不限于包装费、运输费、装卸费、保险费、安装调试费、技术服务费、培训费以及保修费、税费等。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二、知识产权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rPr>
        <w:t>乙方应保证所提供的</w:t>
      </w:r>
      <w:r>
        <w:rPr>
          <w:rFonts w:hint="eastAsia"/>
          <w:color w:val="auto"/>
          <w:highlight w:val="none"/>
          <w:lang w:eastAsia="zh-CN"/>
        </w:rPr>
        <w:t>系统</w:t>
      </w:r>
      <w:r>
        <w:rPr>
          <w:rFonts w:hint="eastAsia"/>
          <w:color w:val="auto"/>
          <w:highlight w:val="none"/>
        </w:rPr>
        <w:t>不会侵犯任何第三方的知识产权</w:t>
      </w:r>
      <w:r>
        <w:rPr>
          <w:rFonts w:hint="eastAsia"/>
          <w:color w:val="auto"/>
          <w:highlight w:val="none"/>
          <w:lang w:eastAsia="zh-CN"/>
        </w:rPr>
        <w:t>，甲方行使乙方所授予的软件权利不会侵犯任何第三人的合法权利。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乙方应保证如有第三方声称甲方使用本合同下软件系统侵犯第三方的知识产权或其他权利，乙方将对由此而引起的任何诉讼或法律请求进行抗辩，若发生赔偿，乙方应当支付有关判决或者和解所确定的赔偿金额。甲方为此支出的费用和损失均由乙方承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3.若本合同项下软件系统或者其任何部分被依法认定为侵犯第三方的合法权利，或任何依约定使用该软件或行使任何由乙方授予的权利被认定为侵权，乙方应尽力用相等功能的且非侵权的软件替换本软件，或取得相关授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三、转包或分包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本合同范围的</w:t>
      </w:r>
      <w:r>
        <w:rPr>
          <w:rFonts w:hint="eastAsia"/>
          <w:color w:val="auto"/>
          <w:highlight w:val="none"/>
          <w:lang w:eastAsia="zh-CN"/>
        </w:rPr>
        <w:t>产品</w:t>
      </w:r>
      <w:r>
        <w:rPr>
          <w:rFonts w:hint="eastAsia"/>
          <w:color w:val="auto"/>
          <w:highlight w:val="none"/>
        </w:rPr>
        <w:t>，应由乙方直接供应，不得转让他人供应，否则，甲方有权解除合同，没收质量保证金并追究乙方的违约责任。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四、维保期和履约保证金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eastAsia="zh-CN"/>
        </w:rPr>
        <w:t>维</w:t>
      </w:r>
      <w:r>
        <w:rPr>
          <w:rFonts w:hint="eastAsia"/>
          <w:color w:val="auto"/>
          <w:highlight w:val="none"/>
        </w:rPr>
        <w:t>保期为</w:t>
      </w:r>
      <w:r>
        <w:rPr>
          <w:rFonts w:hint="eastAsia"/>
          <w:color w:val="auto"/>
          <w:highlight w:val="none"/>
          <w:lang w:val="en-US" w:eastAsia="zh-CN"/>
        </w:rPr>
        <w:t>XX</w:t>
      </w:r>
      <w:r>
        <w:rPr>
          <w:rFonts w:hint="eastAsia"/>
          <w:color w:val="auto"/>
          <w:highlight w:val="none"/>
          <w:lang w:val="en-US"/>
        </w:rPr>
        <w:t>年</w:t>
      </w:r>
      <w:r>
        <w:rPr>
          <w:rFonts w:hint="eastAsia"/>
          <w:color w:val="auto"/>
          <w:highlight w:val="none"/>
        </w:rPr>
        <w:t>。（自</w:t>
      </w:r>
      <w:r>
        <w:rPr>
          <w:rFonts w:hint="eastAsia"/>
          <w:color w:val="auto"/>
          <w:highlight w:val="none"/>
          <w:lang w:eastAsia="zh-CN"/>
        </w:rPr>
        <w:t>系统上线</w:t>
      </w:r>
      <w:r>
        <w:rPr>
          <w:rFonts w:hint="eastAsia"/>
          <w:color w:val="auto"/>
          <w:highlight w:val="none"/>
        </w:rPr>
        <w:t>验收合格之日起计）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eastAsia="zh-CN"/>
        </w:rPr>
        <w:t>履约保证</w:t>
      </w:r>
      <w:r>
        <w:rPr>
          <w:rFonts w:hint="eastAsia"/>
          <w:color w:val="auto"/>
          <w:highlight w:val="none"/>
        </w:rPr>
        <w:t>金</w:t>
      </w: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lang w:val="zh-CN" w:eastAsia="zh-CN"/>
        </w:rPr>
        <w:t>乙方应于合同签订后</w:t>
      </w:r>
      <w:r>
        <w:rPr>
          <w:rFonts w:hint="eastAsia"/>
          <w:color w:val="auto"/>
          <w:highlight w:val="none"/>
          <w:lang w:val="en-US" w:eastAsia="zh-CN"/>
        </w:rPr>
        <w:t>7日内</w:t>
      </w:r>
      <w:r>
        <w:rPr>
          <w:rFonts w:hint="eastAsia"/>
          <w:color w:val="auto"/>
          <w:highlight w:val="none"/>
          <w:lang w:val="zh-CN" w:eastAsia="zh-CN"/>
        </w:rPr>
        <w:t>提供合同总金额</w:t>
      </w:r>
      <w:r>
        <w:rPr>
          <w:rFonts w:hint="eastAsia"/>
          <w:color w:val="auto"/>
          <w:highlight w:val="none"/>
          <w:lang w:val="en-US" w:eastAsia="zh-CN"/>
        </w:rPr>
        <w:t>1</w:t>
      </w:r>
      <w:r>
        <w:rPr>
          <w:rFonts w:hint="eastAsia"/>
          <w:color w:val="auto"/>
          <w:highlight w:val="none"/>
          <w:lang w:val="zh-CN" w:eastAsia="zh-CN"/>
        </w:rPr>
        <w:t>%的履约保证金，如乙方未按规定提交履约保证金则甲方有权拒绝支付合同款。合同签订后，全部完成设备供货和系统的安装、调试、验收合格后3个月内，甲方向乙方支付合同总额的100%货款（乙方必须开具合同金额100%的正式税务发票）；履约保证金</w:t>
      </w:r>
      <w:r>
        <w:rPr>
          <w:rFonts w:hint="eastAsia"/>
          <w:color w:val="auto"/>
          <w:highlight w:val="none"/>
          <w:lang w:val="en-US" w:eastAsia="zh-CN"/>
        </w:rPr>
        <w:t>待</w:t>
      </w:r>
      <w:r>
        <w:rPr>
          <w:rFonts w:hint="eastAsia"/>
          <w:color w:val="auto"/>
          <w:highlight w:val="none"/>
          <w:lang w:val="zh-CN" w:eastAsia="zh-CN"/>
        </w:rPr>
        <w:t>验收一年后10个工作日内无息退还</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五、安装时间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签订合同后</w:t>
      </w:r>
      <w:r>
        <w:rPr>
          <w:rFonts w:hint="eastAsia"/>
          <w:color w:val="auto"/>
          <w:highlight w:val="none"/>
          <w:lang w:val="en-US" w:eastAsia="zh-CN"/>
        </w:rPr>
        <w:t>1</w:t>
      </w:r>
      <w:r>
        <w:rPr>
          <w:rFonts w:hint="eastAsia"/>
          <w:color w:val="auto"/>
          <w:highlight w:val="none"/>
        </w:rPr>
        <w:t>个月内完成设备安装调试并投入业务试运行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六、货款支付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甲方按以下第</w:t>
      </w:r>
      <w:r>
        <w:rPr>
          <w:rFonts w:hint="eastAsia"/>
          <w:color w:val="auto"/>
          <w:highlight w:val="none"/>
          <w:lang w:val="en-US"/>
        </w:rPr>
        <w:t>1</w:t>
      </w:r>
      <w:r>
        <w:rPr>
          <w:rFonts w:hint="eastAsia"/>
          <w:color w:val="auto"/>
          <w:highlight w:val="none"/>
        </w:rPr>
        <w:t>种方式支付乙方合同价款。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1、一次性支付：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本合同项下的全部</w:t>
      </w:r>
      <w:r>
        <w:rPr>
          <w:rFonts w:hint="eastAsia"/>
          <w:color w:val="auto"/>
          <w:highlight w:val="none"/>
          <w:lang w:eastAsia="zh-CN"/>
        </w:rPr>
        <w:t>系统</w:t>
      </w:r>
      <w:r>
        <w:rPr>
          <w:rFonts w:hint="eastAsia"/>
          <w:color w:val="auto"/>
          <w:highlight w:val="none"/>
        </w:rPr>
        <w:t>安装调试完毕并经最终验收合格后</w:t>
      </w:r>
      <w:r>
        <w:rPr>
          <w:rFonts w:hint="eastAsia"/>
          <w:color w:val="auto"/>
          <w:highlight w:val="none"/>
          <w:lang w:val="en-US" w:eastAsia="zh-CN"/>
        </w:rPr>
        <w:t>3</w:t>
      </w:r>
      <w:r>
        <w:rPr>
          <w:rFonts w:hint="eastAsia"/>
          <w:color w:val="auto"/>
          <w:highlight w:val="none"/>
        </w:rPr>
        <w:t>个月内，甲方向乙方支付全部合同价款。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2、分期支付：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甲方应于本合同生效后</w:t>
      </w:r>
      <w:r>
        <w:rPr>
          <w:rFonts w:hint="eastAsia"/>
          <w:color w:val="auto"/>
          <w:highlight w:val="none"/>
        </w:rPr>
        <w:tab/>
      </w:r>
      <w:r>
        <w:rPr>
          <w:rFonts w:hint="eastAsia"/>
          <w:color w:val="auto"/>
          <w:highlight w:val="none"/>
        </w:rPr>
        <w:t>个工作日内向乙方支付合同总价款的</w:t>
      </w:r>
      <w:r>
        <w:rPr>
          <w:rFonts w:hint="eastAsia"/>
          <w:color w:val="auto"/>
          <w:highlight w:val="none"/>
        </w:rPr>
        <w:tab/>
      </w:r>
      <w:r>
        <w:rPr>
          <w:rFonts w:hint="eastAsia"/>
          <w:color w:val="auto"/>
          <w:highlight w:val="none"/>
        </w:rPr>
        <w:t>%作为预付款，计¥</w:t>
      </w:r>
      <w:r>
        <w:rPr>
          <w:rFonts w:hint="eastAsia"/>
          <w:color w:val="auto"/>
          <w:highlight w:val="none"/>
        </w:rPr>
        <w:tab/>
      </w:r>
      <w:r>
        <w:rPr>
          <w:rFonts w:hint="eastAsia"/>
          <w:color w:val="auto"/>
          <w:highlight w:val="none"/>
        </w:rPr>
        <w:t>元（大写</w:t>
      </w:r>
      <w:r>
        <w:rPr>
          <w:rFonts w:hint="eastAsia"/>
          <w:color w:val="auto"/>
          <w:highlight w:val="none"/>
        </w:rPr>
        <w:tab/>
      </w:r>
      <w:r>
        <w:rPr>
          <w:rFonts w:hint="eastAsia"/>
          <w:color w:val="auto"/>
          <w:highlight w:val="none"/>
        </w:rPr>
        <w:t>元整）；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全部</w:t>
      </w:r>
      <w:r>
        <w:rPr>
          <w:rFonts w:hint="eastAsia"/>
          <w:color w:val="auto"/>
          <w:highlight w:val="none"/>
          <w:lang w:eastAsia="zh-CN"/>
        </w:rPr>
        <w:t>系统安装</w:t>
      </w:r>
      <w:r>
        <w:rPr>
          <w:rFonts w:hint="eastAsia"/>
          <w:color w:val="auto"/>
          <w:highlight w:val="none"/>
        </w:rPr>
        <w:t>后</w:t>
      </w:r>
      <w:r>
        <w:rPr>
          <w:rFonts w:hint="eastAsia"/>
          <w:color w:val="auto"/>
          <w:highlight w:val="none"/>
          <w:lang w:val="en-US" w:eastAsia="zh-CN"/>
        </w:rPr>
        <w:t xml:space="preserve">   </w:t>
      </w:r>
      <w:r>
        <w:rPr>
          <w:rFonts w:hint="eastAsia"/>
          <w:color w:val="auto"/>
          <w:highlight w:val="none"/>
        </w:rPr>
        <w:t>个工作日内，甲方向乙方支付合同总价款的</w:t>
      </w:r>
      <w:r>
        <w:rPr>
          <w:rFonts w:hint="eastAsia"/>
          <w:color w:val="auto"/>
          <w:highlight w:val="none"/>
        </w:rPr>
        <w:tab/>
      </w:r>
      <w:r>
        <w:rPr>
          <w:rFonts w:hint="eastAsia"/>
          <w:color w:val="auto"/>
          <w:highlight w:val="none"/>
        </w:rPr>
        <w:t>%，计¥</w:t>
      </w:r>
      <w:r>
        <w:rPr>
          <w:rFonts w:hint="eastAsia"/>
          <w:color w:val="auto"/>
          <w:highlight w:val="none"/>
        </w:rPr>
        <w:tab/>
      </w:r>
      <w:r>
        <w:rPr>
          <w:rFonts w:hint="eastAsia"/>
          <w:color w:val="auto"/>
          <w:highlight w:val="none"/>
        </w:rPr>
        <w:t>元（大写</w:t>
      </w:r>
      <w:r>
        <w:rPr>
          <w:rFonts w:hint="eastAsia"/>
          <w:color w:val="auto"/>
          <w:highlight w:val="none"/>
        </w:rPr>
        <w:tab/>
      </w:r>
      <w:r>
        <w:rPr>
          <w:rFonts w:hint="eastAsia"/>
          <w:color w:val="auto"/>
          <w:highlight w:val="none"/>
        </w:rPr>
        <w:t>元整）。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七、税费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八、质量保证及售后服务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eastAsia="zh-CN"/>
        </w:rPr>
        <w:t>乙方必须保证产品的质量，使软件系统在甲方的系统平台上正常运行。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2.合同签订后，乙方应向甲方提供必要的系统管理及使用培训（由双方协商培训时间）。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3.系统验收通过后，乙方应当向甲方提供相应的售后维保服务（</w:t>
      </w:r>
      <w:r>
        <w:rPr>
          <w:rFonts w:hint="eastAsia"/>
          <w:color w:val="auto"/>
          <w:highlight w:val="none"/>
          <w:lang w:val="zh-CN" w:eastAsia="zh-CN"/>
        </w:rPr>
        <w:t>7*24小时技术服务响应和支持；接到甲方故障申告电话后于30分钟内做出响应，须在第一时间接收甲方需求并予以必要支持，乙方服务工程师将于4小时内到达现场</w:t>
      </w:r>
      <w:r>
        <w:rPr>
          <w:rFonts w:hint="eastAsia"/>
          <w:color w:val="auto"/>
          <w:highlight w:val="none"/>
          <w:lang w:val="en-US" w:eastAsia="zh-CN"/>
        </w:rPr>
        <w:t>），乙方向甲方终身免费提供版本升级服务等。若乙方产品在结构、平台、功能上有重大变化的升级，其升级费用由双方协商，乙方承诺提供优惠的升级费用和良好的服务。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九、安装和验收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eastAsia="zh-CN"/>
        </w:rPr>
        <w:t>乙方应当安排工程师将系统安装在甲方的指定系统内，甲方提供必要的协助。</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eastAsia="zh-CN"/>
        </w:rPr>
        <w:t>乙方提供的系统需有完整的安装光盘、齐全的说明资料、技术文档（系统说明书、系统管理员手册和用户使用操作手册）。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eastAsia="zh-CN"/>
        </w:rPr>
        <w:t>系统安装完成调试完毕后</w:t>
      </w:r>
      <w:r>
        <w:rPr>
          <w:rFonts w:hint="eastAsia"/>
          <w:color w:val="auto"/>
          <w:highlight w:val="none"/>
          <w:lang w:val="en-US" w:eastAsia="zh-CN"/>
        </w:rPr>
        <w:t>7个工作日内，采用双方参加、测试方式验收，乙方验收系统的标准以及乙方在招标文件作出的承诺作为通过的依据。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eastAsia="zh-CN"/>
        </w:rPr>
        <w:t>若系统验收不合格，乙方须对系统进行调整直到验收合格，超出双方约定的系统投入使用时间的，视为乙方逾期完成系统安装。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十、违约责任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甲方无故逾期验收和办理货款支付手续的,甲方应按逾期付款总额每日</w:t>
      </w:r>
      <w:r>
        <w:rPr>
          <w:rFonts w:hint="eastAsia"/>
          <w:color w:val="auto"/>
          <w:highlight w:val="none"/>
          <w:lang w:eastAsia="zh-CN"/>
        </w:rPr>
        <w:t>万分之五</w:t>
      </w:r>
      <w:r>
        <w:rPr>
          <w:rFonts w:hint="eastAsia"/>
          <w:color w:val="auto"/>
          <w:highlight w:val="none"/>
        </w:rPr>
        <w:t>向乙方支付违约金</w:t>
      </w:r>
      <w:r>
        <w:rPr>
          <w:rFonts w:hint="eastAsia"/>
          <w:color w:val="auto"/>
          <w:highlight w:val="none"/>
          <w:lang w:eastAsia="zh-CN"/>
        </w:rPr>
        <w:t>，最高不超过合同总金额的</w:t>
      </w:r>
      <w:r>
        <w:rPr>
          <w:rFonts w:hint="eastAsia"/>
          <w:color w:val="auto"/>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乙方逾期</w:t>
      </w:r>
      <w:r>
        <w:rPr>
          <w:rFonts w:hint="eastAsia"/>
          <w:color w:val="auto"/>
          <w:highlight w:val="none"/>
          <w:lang w:eastAsia="zh-CN"/>
        </w:rPr>
        <w:t>完成系统安装</w:t>
      </w:r>
      <w:r>
        <w:rPr>
          <w:rFonts w:hint="eastAsia"/>
          <w:color w:val="auto"/>
          <w:highlight w:val="none"/>
        </w:rPr>
        <w:t>的，乙方应按</w:t>
      </w:r>
      <w:r>
        <w:rPr>
          <w:rFonts w:hint="eastAsia"/>
          <w:color w:val="auto"/>
          <w:highlight w:val="none"/>
          <w:lang w:eastAsia="zh-CN"/>
        </w:rPr>
        <w:t>合同总金额</w:t>
      </w:r>
      <w:r>
        <w:rPr>
          <w:rFonts w:hint="eastAsia"/>
          <w:color w:val="auto"/>
          <w:highlight w:val="none"/>
        </w:rPr>
        <w:t>每日千分之六向甲方支付违约金，由甲方从待付</w:t>
      </w:r>
      <w:r>
        <w:rPr>
          <w:rFonts w:hint="eastAsia"/>
          <w:color w:val="auto"/>
          <w:highlight w:val="none"/>
          <w:lang w:eastAsia="zh-CN"/>
        </w:rPr>
        <w:t>合同</w:t>
      </w:r>
      <w:r>
        <w:rPr>
          <w:rFonts w:hint="eastAsia"/>
          <w:color w:val="auto"/>
          <w:highlight w:val="none"/>
        </w:rPr>
        <w:t>款中扣除。逾期超过约定日期10个工作日不能</w:t>
      </w:r>
      <w:r>
        <w:rPr>
          <w:rFonts w:hint="eastAsia"/>
          <w:color w:val="auto"/>
          <w:highlight w:val="none"/>
          <w:lang w:eastAsia="zh-CN"/>
        </w:rPr>
        <w:t>完成</w:t>
      </w:r>
      <w:r>
        <w:rPr>
          <w:rFonts w:hint="eastAsia"/>
          <w:color w:val="auto"/>
          <w:highlight w:val="none"/>
        </w:rPr>
        <w:t>的，甲方可解除本合同。乙方因逾期</w:t>
      </w:r>
      <w:r>
        <w:rPr>
          <w:rFonts w:hint="eastAsia"/>
          <w:color w:val="auto"/>
          <w:highlight w:val="none"/>
          <w:lang w:eastAsia="zh-CN"/>
        </w:rPr>
        <w:t>完成系统安装</w:t>
      </w:r>
      <w:r>
        <w:rPr>
          <w:rFonts w:hint="eastAsia"/>
          <w:color w:val="auto"/>
          <w:highlight w:val="none"/>
        </w:rPr>
        <w:t>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lang w:eastAsia="zh-CN"/>
        </w:rPr>
        <w:t>维保期内系统发生故障，乙方未在双方约定时间内提供维保服务的，每超出一天，免费维保期延长三天。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十一、不可抗力事件处理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不可抗力事件延续 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十二、</w:t>
      </w:r>
      <w:r>
        <w:rPr>
          <w:rFonts w:hint="eastAsia" w:ascii="Times New Roman" w:hAnsi="Times New Roman" w:cs="Times New Roman"/>
          <w:b/>
          <w:bCs/>
          <w:color w:val="auto"/>
          <w:highlight w:val="none"/>
          <w:lang w:eastAsia="zh-CN"/>
        </w:rPr>
        <w:t>信息保密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1.甲乙双方对彼此之间相互提供的信息、资料以及本合同内容负有保密义务。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2.乙方要对甲方的有关信息系统、业务等资料和数据保密。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3.信息保密期限长期有效。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b/>
          <w:bCs/>
          <w:color w:val="auto"/>
          <w:highlight w:val="none"/>
        </w:rPr>
      </w:pPr>
      <w:r>
        <w:rPr>
          <w:rFonts w:hint="eastAsia" w:ascii="Times New Roman" w:hAnsi="Times New Roman" w:cs="Times New Roman"/>
          <w:b/>
          <w:bCs/>
          <w:color w:val="auto"/>
          <w:highlight w:val="none"/>
        </w:rPr>
        <w:t>十</w:t>
      </w:r>
      <w:r>
        <w:rPr>
          <w:rFonts w:hint="eastAsia" w:ascii="Times New Roman" w:hAnsi="Times New Roman" w:cs="Times New Roman"/>
          <w:b/>
          <w:bCs/>
          <w:color w:val="auto"/>
          <w:highlight w:val="none"/>
          <w:lang w:eastAsia="zh-CN"/>
        </w:rPr>
        <w:t>三</w:t>
      </w:r>
      <w:r>
        <w:rPr>
          <w:rFonts w:hint="eastAsia" w:ascii="Times New Roman" w:hAnsi="Times New Roman" w:cs="Times New Roman"/>
          <w:b/>
          <w:bCs/>
          <w:color w:val="auto"/>
          <w:highlight w:val="none"/>
        </w:rPr>
        <w:t>、诉讼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bCs/>
          <w:color w:val="auto"/>
          <w:highlight w:val="none"/>
        </w:rPr>
      </w:pPr>
      <w:r>
        <w:rPr>
          <w:rFonts w:hint="eastAsia"/>
          <w:b/>
          <w:bCs/>
          <w:color w:val="auto"/>
          <w:highlight w:val="none"/>
        </w:rPr>
        <w:t>十</w:t>
      </w:r>
      <w:r>
        <w:rPr>
          <w:rFonts w:hint="eastAsia"/>
          <w:b/>
          <w:bCs/>
          <w:color w:val="auto"/>
          <w:highlight w:val="none"/>
          <w:lang w:eastAsia="zh-CN"/>
        </w:rPr>
        <w:t>四</w:t>
      </w:r>
      <w:r>
        <w:rPr>
          <w:rFonts w:hint="eastAsia"/>
          <w:b/>
          <w:bCs/>
          <w:color w:val="auto"/>
          <w:highlight w:val="none"/>
        </w:rPr>
        <w:t>、合同生效及其它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本合同经甲、乙双方签字并加盖单位公章后生效。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招标文件、投标文件、项目采购协议或入围承诺书与本合同具有同等法律效力。如前述各项文件之间约定不一致的，应以最新签署的文件内容为准。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本合同未尽事宜，遵照《</w:t>
      </w:r>
      <w:r>
        <w:rPr>
          <w:rFonts w:hint="eastAsia"/>
          <w:color w:val="auto"/>
          <w:highlight w:val="none"/>
          <w:lang w:eastAsia="zh-CN"/>
        </w:rPr>
        <w:t>民法典</w:t>
      </w:r>
      <w:r>
        <w:rPr>
          <w:rFonts w:hint="eastAsia"/>
          <w:color w:val="auto"/>
          <w:highlight w:val="none"/>
        </w:rPr>
        <w:t>》有关条文执行。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本合同一式</w:t>
      </w:r>
      <w:r>
        <w:rPr>
          <w:rFonts w:hint="eastAsia"/>
          <w:color w:val="auto"/>
          <w:highlight w:val="none"/>
          <w:lang w:eastAsia="zh-CN"/>
        </w:rPr>
        <w:t>肆</w:t>
      </w:r>
      <w:r>
        <w:rPr>
          <w:rFonts w:hint="eastAsia"/>
          <w:color w:val="auto"/>
          <w:highlight w:val="none"/>
        </w:rPr>
        <w:t>份，甲</w:t>
      </w:r>
      <w:r>
        <w:rPr>
          <w:rFonts w:hint="eastAsia"/>
          <w:color w:val="auto"/>
          <w:highlight w:val="none"/>
          <w:lang w:eastAsia="zh-CN"/>
        </w:rPr>
        <w:t>方贰</w:t>
      </w:r>
      <w:r>
        <w:rPr>
          <w:rFonts w:hint="eastAsia"/>
          <w:color w:val="auto"/>
          <w:highlight w:val="none"/>
        </w:rPr>
        <w:t>份</w:t>
      </w:r>
      <w:r>
        <w:rPr>
          <w:rFonts w:hint="eastAsia"/>
          <w:color w:val="auto"/>
          <w:highlight w:val="none"/>
          <w:lang w:eastAsia="zh-CN"/>
        </w:rPr>
        <w:t>乙方贰份</w:t>
      </w:r>
      <w:r>
        <w:rPr>
          <w:rFonts w:hint="eastAsia"/>
          <w:color w:val="auto"/>
          <w:highlight w:val="none"/>
        </w:rPr>
        <w:t>，具有同等法律效力。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highlight w:val="none"/>
        </w:rPr>
      </w:pPr>
      <w:r>
        <w:rPr>
          <w:rFonts w:hint="eastAsia"/>
          <w:color w:val="auto"/>
          <w:highlight w:val="none"/>
        </w:rPr>
        <w:t>附件设备配置清单系本合同不可分割的组成部分，与本合同具有同等法律效力。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color w:val="auto"/>
          <w:highlight w:val="none"/>
        </w:rPr>
        <w:t>以下无正文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color w:val="auto"/>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color w:val="auto"/>
          <w:highlight w:val="none"/>
        </w:rPr>
        <w:t xml:space="preserve">地址： 温州市六虹桥蛟尾路9号   </w:t>
      </w:r>
      <w:r>
        <w:rPr>
          <w:rFonts w:hint="eastAsia"/>
          <w:color w:val="auto"/>
          <w:highlight w:val="none"/>
          <w:lang w:val="en-US" w:eastAsia="zh-CN"/>
        </w:rPr>
        <w:t xml:space="preserve">                                </w:t>
      </w:r>
      <w:r>
        <w:rPr>
          <w:rFonts w:hint="eastAsia"/>
          <w:color w:val="auto"/>
          <w:highlight w:val="none"/>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color w:val="auto"/>
          <w:highlight w:val="none"/>
        </w:rPr>
        <w:t>法定（授权）代表人：</w:t>
      </w:r>
      <w:r>
        <w:rPr>
          <w:rFonts w:hint="eastAsia"/>
          <w:color w:val="auto"/>
          <w:highlight w:val="none"/>
          <w:lang w:val="en-US" w:eastAsia="zh-CN"/>
        </w:rPr>
        <w:t xml:space="preserve">                                           </w:t>
      </w:r>
      <w:r>
        <w:rPr>
          <w:rFonts w:hint="eastAsia"/>
          <w:color w:val="auto"/>
          <w:highlight w:val="none"/>
        </w:rPr>
        <w:t>法定（授权）代表人：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color w:val="auto"/>
          <w:highlight w:val="none"/>
        </w:rPr>
        <w:t>签字日期：</w:t>
      </w:r>
      <w:r>
        <w:rPr>
          <w:rFonts w:hint="eastAsia"/>
          <w:color w:val="auto"/>
          <w:highlight w:val="none"/>
          <w:lang w:val="en-US" w:eastAsia="zh-CN"/>
        </w:rPr>
        <w:t xml:space="preserve">      </w:t>
      </w:r>
      <w:r>
        <w:rPr>
          <w:rFonts w:hint="eastAsia"/>
          <w:color w:val="auto"/>
          <w:highlight w:val="none"/>
        </w:rPr>
        <w:t>年   月   日                                   签字日期：</w:t>
      </w:r>
      <w:r>
        <w:rPr>
          <w:rFonts w:hint="eastAsia"/>
          <w:color w:val="auto"/>
          <w:highlight w:val="none"/>
          <w:lang w:val="en-US" w:eastAsia="zh-CN"/>
        </w:rPr>
        <w:t xml:space="preserve">      </w:t>
      </w:r>
      <w:r>
        <w:rPr>
          <w:rFonts w:hint="eastAsia"/>
          <w:color w:val="auto"/>
          <w:highlight w:val="none"/>
        </w:rPr>
        <w:t>年   月    日</w:t>
      </w:r>
    </w:p>
    <w:p>
      <w:pPr>
        <w:pStyle w:val="23"/>
        <w:keepNext w:val="0"/>
        <w:keepLines w:val="0"/>
        <w:pageBreakBefore w:val="0"/>
        <w:widowControl w:val="0"/>
        <w:kinsoku/>
        <w:wordWrap/>
        <w:overflowPunct/>
        <w:topLinePunct w:val="0"/>
        <w:autoSpaceDE/>
        <w:autoSpaceDN/>
        <w:bidi w:val="0"/>
        <w:adjustRightInd/>
        <w:snapToGrid/>
        <w:spacing w:line="460" w:lineRule="exact"/>
        <w:ind w:left="430" w:leftChars="205" w:firstLine="0" w:firstLineChars="0"/>
        <w:jc w:val="center"/>
        <w:textAlignment w:val="auto"/>
        <w:outlineLvl w:val="9"/>
        <w:rPr>
          <w:rFonts w:hint="eastAsia" w:ascii="新宋体" w:hAnsi="新宋体" w:eastAsia="新宋体" w:cs="新宋体"/>
          <w:b/>
          <w:color w:val="auto"/>
          <w:sz w:val="44"/>
          <w:szCs w:val="44"/>
          <w:highlight w:val="none"/>
        </w:rPr>
      </w:pPr>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6" w:name="_Toc18439"/>
      <w:bookmarkStart w:id="27" w:name="_Toc19081"/>
      <w:r>
        <w:rPr>
          <w:rFonts w:hint="eastAsia" w:ascii="宋体" w:hAnsi="宋体" w:eastAsia="宋体" w:cs="宋体"/>
          <w:color w:val="auto"/>
          <w:highlight w:val="none"/>
        </w:rPr>
        <w:t>第三部分    附件</w:t>
      </w:r>
      <w:bookmarkEnd w:id="26"/>
      <w:bookmarkEnd w:id="27"/>
    </w:p>
    <w:p>
      <w:pPr>
        <w:pStyle w:val="23"/>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13365"/>
      <w:bookmarkStart w:id="31" w:name="_Toc5430"/>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3"/>
        <w:ind w:left="0" w:firstLine="0" w:firstLineChars="0"/>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507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07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12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5" w:type="dxa"/>
            <w:vMerge w:val="restart"/>
            <w:vAlign w:val="center"/>
          </w:tcPr>
          <w:p>
            <w:pPr>
              <w:spacing w:line="380" w:lineRule="exact"/>
              <w:jc w:val="center"/>
              <w:rPr>
                <w:rFonts w:hint="eastAsia" w:ascii="宋体" w:hAnsi="宋体" w:eastAsia="宋体" w:cs="宋体"/>
                <w:color w:val="auto"/>
                <w:sz w:val="22"/>
                <w:highlight w:val="none"/>
              </w:rPr>
            </w:pPr>
          </w:p>
        </w:tc>
        <w:tc>
          <w:tcPr>
            <w:tcW w:w="2304" w:type="dxa"/>
            <w:vMerge w:val="restart"/>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210"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5" w:type="dxa"/>
            <w:vMerge w:val="continue"/>
            <w:vAlign w:val="center"/>
          </w:tcPr>
          <w:p>
            <w:pPr>
              <w:spacing w:line="380" w:lineRule="exact"/>
              <w:jc w:val="center"/>
              <w:rPr>
                <w:rFonts w:hint="eastAsia" w:ascii="宋体" w:hAnsi="宋体" w:eastAsia="宋体" w:cs="宋体"/>
                <w:color w:val="auto"/>
                <w:sz w:val="22"/>
                <w:highlight w:val="none"/>
              </w:rPr>
            </w:pPr>
          </w:p>
        </w:tc>
        <w:tc>
          <w:tcPr>
            <w:tcW w:w="2304" w:type="dxa"/>
            <w:vMerge w:val="continue"/>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210"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p>
            <w:pPr>
              <w:spacing w:line="460" w:lineRule="exact"/>
              <w:jc w:val="center"/>
              <w:rPr>
                <w:rFonts w:hint="eastAsia" w:ascii="宋体" w:hAnsi="宋体" w:eastAsia="宋体" w:cs="宋体"/>
                <w:color w:val="auto"/>
                <w:sz w:val="22"/>
                <w:szCs w:val="22"/>
                <w:highlight w:val="none"/>
              </w:rPr>
            </w:pPr>
          </w:p>
        </w:tc>
        <w:tc>
          <w:tcPr>
            <w:tcW w:w="4346"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单价 </w:t>
            </w: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合价 </w:t>
            </w: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w:t>
            </w: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346" w:type="dxa"/>
            <w:noWrap w:val="0"/>
            <w:vAlign w:val="center"/>
          </w:tcPr>
          <w:p>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人员费用</w:t>
            </w: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346"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税金</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346"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346"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noWrap w:val="0"/>
            <w:vAlign w:val="top"/>
          </w:tcPr>
          <w:p>
            <w:pPr>
              <w:spacing w:line="460" w:lineRule="exact"/>
              <w:ind w:firstLine="1650" w:firstLineChars="7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    计   价</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2"/>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3"/>
        <w:spacing w:line="460" w:lineRule="exact"/>
        <w:ind w:left="433" w:hanging="433" w:hangingChars="196"/>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25309"/>
      <w:bookmarkStart w:id="35" w:name="_Toc4718"/>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2"/>
        <w:rPr>
          <w:rFonts w:hint="eastAsia" w:ascii="宋体" w:hAnsi="宋体" w:eastAsia="宋体" w:cs="宋体"/>
          <w:bCs/>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3"/>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6" w:name="_Toc16516"/>
      <w:bookmarkStart w:id="37" w:name="_Toc31356"/>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29102"/>
      <w:bookmarkStart w:id="39" w:name="_Toc13639"/>
      <w:r>
        <w:rPr>
          <w:rFonts w:hint="eastAsia" w:ascii="宋体" w:hAnsi="宋体" w:eastAsia="宋体" w:cs="宋体"/>
          <w:b/>
          <w:bCs/>
          <w:color w:val="auto"/>
          <w:sz w:val="28"/>
          <w:szCs w:val="28"/>
          <w:highlight w:val="none"/>
          <w:lang w:val="zh-CN"/>
        </w:rPr>
        <w:t>商务技术文件</w:t>
      </w:r>
      <w:bookmarkEnd w:id="38"/>
      <w:bookmarkEnd w:id="3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bookmarkEnd w:id="40"/>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4、投标人企业情况</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5、设计方案</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tabs>
          <w:tab w:val="left" w:pos="360"/>
        </w:tabs>
        <w:spacing w:line="460" w:lineRule="exact"/>
        <w:ind w:firstLine="552" w:firstLineChars="250"/>
        <w:rPr>
          <w:rFonts w:hint="eastAsia" w:ascii="宋体" w:hAnsi="宋体" w:eastAsia="宋体" w:cs="宋体"/>
          <w:b/>
          <w:color w:val="auto"/>
          <w:sz w:val="22"/>
          <w:szCs w:val="22"/>
          <w:highlight w:val="none"/>
        </w:rPr>
      </w:pPr>
    </w:p>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20" w:lineRule="exact"/>
        <w:rPr>
          <w:rFonts w:hint="eastAsia" w:ascii="宋体" w:hAnsi="宋体" w:eastAsia="宋体" w:cs="宋体"/>
          <w:b/>
          <w:color w:val="auto"/>
          <w:sz w:val="24"/>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、实施方案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2"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color w:val="auto"/>
          <w:sz w:val="22"/>
          <w:szCs w:val="22"/>
          <w:highlight w:val="none"/>
          <w:lang w:val="en-US" w:eastAsia="zh-CN"/>
        </w:rPr>
        <w:t>7</w:t>
      </w:r>
      <w:r>
        <w:rPr>
          <w:rFonts w:hint="eastAsia" w:ascii="新宋体" w:hAnsi="新宋体" w:eastAsia="新宋体" w:cs="Times New Roman"/>
          <w:b/>
          <w:color w:val="auto"/>
          <w:sz w:val="22"/>
          <w:szCs w:val="22"/>
          <w:highlight w:val="none"/>
        </w:rPr>
        <w:t>、培训方案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76"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、售后服务方案</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1"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spacing w:line="400" w:lineRule="atLeast"/>
        <w:rPr>
          <w:rFonts w:hint="eastAsia" w:ascii="宋体" w:hAnsi="宋体" w:eastAsia="宋体" w:cs="宋体"/>
          <w:color w:val="auto"/>
          <w:sz w:val="22"/>
          <w:highlight w:val="none"/>
        </w:rPr>
      </w:pPr>
    </w:p>
    <w:p>
      <w:pPr>
        <w:pStyle w:val="29"/>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2"/>
        <w:ind w:left="0" w:leftChars="0" w:firstLine="0" w:firstLineChars="0"/>
        <w:rPr>
          <w:rFonts w:hint="eastAsia"/>
          <w:color w:val="auto"/>
          <w:highlight w:val="none"/>
          <w:lang w:val="en-US" w:eastAsia="zh-CN"/>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9、项目实施人员情况</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29"/>
        <w:spacing w:line="400" w:lineRule="atLeast"/>
        <w:rPr>
          <w:rFonts w:hint="eastAsia" w:ascii="宋体" w:hAnsi="宋体" w:eastAsia="宋体" w:cs="宋体"/>
          <w:color w:val="auto"/>
          <w:sz w:val="22"/>
          <w:highlight w:val="none"/>
        </w:rPr>
      </w:pPr>
    </w:p>
    <w:p>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pPr>
        <w:pStyle w:val="4"/>
        <w:numPr>
          <w:ilvl w:val="0"/>
          <w:numId w:val="8"/>
        </w:numPr>
        <w:bidi w:val="0"/>
        <w:rPr>
          <w:rFonts w:hint="eastAsia" w:ascii="宋体" w:hAnsi="宋体" w:eastAsia="宋体" w:cs="宋体"/>
          <w:b/>
          <w:color w:val="auto"/>
          <w:highlight w:val="none"/>
        </w:rPr>
      </w:pPr>
      <w:r>
        <w:rPr>
          <w:rFonts w:hint="eastAsia" w:ascii="宋体" w:hAnsi="宋体" w:eastAsia="宋体" w:cs="宋体"/>
          <w:color w:val="auto"/>
          <w:highlight w:val="none"/>
        </w:rPr>
        <w:t xml:space="preserve">  </w:t>
      </w:r>
      <w:bookmarkStart w:id="41" w:name="_Toc3381"/>
      <w:bookmarkStart w:id="42" w:name="_Toc10142"/>
      <w:bookmarkStart w:id="43" w:name="_Toc221356958"/>
      <w:bookmarkStart w:id="44" w:name="_Toc221356895"/>
      <w:r>
        <w:rPr>
          <w:rFonts w:hint="eastAsia" w:ascii="宋体" w:hAnsi="宋体" w:eastAsia="宋体" w:cs="宋体"/>
          <w:color w:val="auto"/>
          <w:highlight w:val="none"/>
        </w:rPr>
        <w:t>项目技术规范和服务要求</w:t>
      </w:r>
      <w:bookmarkEnd w:id="41"/>
      <w:bookmarkEnd w:id="42"/>
    </w:p>
    <w:bookmarkEnd w:id="43"/>
    <w:bookmarkEnd w:id="44"/>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asciiTheme="minorEastAsia" w:hAnsiTheme="minorEastAsia" w:eastAsiaTheme="minorEastAsia" w:cstheme="minorEastAsia"/>
          <w:b/>
          <w:color w:val="auto"/>
          <w:sz w:val="22"/>
          <w:szCs w:val="22"/>
          <w:highlight w:val="none"/>
        </w:rPr>
      </w:pPr>
      <w:bookmarkStart w:id="45" w:name="_Toc30323"/>
      <w:bookmarkStart w:id="46" w:name="_Toc18194"/>
      <w:r>
        <w:rPr>
          <w:rFonts w:hint="eastAsia" w:asciiTheme="minorEastAsia" w:hAnsiTheme="minorEastAsia" w:eastAsiaTheme="minorEastAsia" w:cstheme="minorEastAsia"/>
          <w:b/>
          <w:color w:val="auto"/>
          <w:sz w:val="22"/>
          <w:szCs w:val="22"/>
          <w:highlight w:val="none"/>
        </w:rPr>
        <w:t>一、采购清单</w:t>
      </w:r>
    </w:p>
    <w:tbl>
      <w:tblPr>
        <w:tblStyle w:val="53"/>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4114"/>
        <w:gridCol w:w="199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46" w:type="dxa"/>
            <w:tcBorders>
              <w:bottom w:val="single" w:color="000000" w:sz="4" w:space="0"/>
            </w:tcBorders>
            <w:shd w:val="clear" w:color="auto" w:fill="auto"/>
            <w:vAlign w:val="center"/>
          </w:tcPr>
          <w:p>
            <w:pPr>
              <w:spacing w:line="460" w:lineRule="exact"/>
              <w:jc w:val="center"/>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4114" w:type="dxa"/>
            <w:tcBorders>
              <w:bottom w:val="single" w:color="000000" w:sz="4" w:space="0"/>
            </w:tcBorders>
            <w:shd w:val="clear" w:color="auto" w:fill="auto"/>
            <w:vAlign w:val="center"/>
          </w:tcPr>
          <w:p>
            <w:pPr>
              <w:spacing w:line="460" w:lineRule="exact"/>
              <w:jc w:val="center"/>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系统名称</w:t>
            </w:r>
          </w:p>
        </w:tc>
        <w:tc>
          <w:tcPr>
            <w:tcW w:w="1995" w:type="dxa"/>
            <w:tcBorders>
              <w:bottom w:val="single" w:color="000000" w:sz="4" w:space="0"/>
            </w:tcBorders>
            <w:shd w:val="clear" w:color="auto" w:fill="auto"/>
            <w:vAlign w:val="center"/>
          </w:tcPr>
          <w:p>
            <w:pPr>
              <w:spacing w:line="460" w:lineRule="exact"/>
              <w:jc w:val="center"/>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数量</w:t>
            </w:r>
          </w:p>
        </w:tc>
        <w:tc>
          <w:tcPr>
            <w:tcW w:w="2060" w:type="dxa"/>
            <w:tcBorders>
              <w:bottom w:val="single" w:color="000000" w:sz="4" w:space="0"/>
            </w:tcBorders>
            <w:shd w:val="clear" w:color="auto" w:fill="auto"/>
            <w:vAlign w:val="center"/>
          </w:tcPr>
          <w:p>
            <w:pPr>
              <w:spacing w:line="460" w:lineRule="exact"/>
              <w:jc w:val="center"/>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46" w:type="dxa"/>
            <w:shd w:val="clear" w:color="auto" w:fill="auto"/>
            <w:vAlign w:val="center"/>
          </w:tcPr>
          <w:p>
            <w:pPr>
              <w:spacing w:line="460" w:lineRule="exact"/>
              <w:jc w:val="center"/>
              <w:rPr>
                <w:rFonts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w:t>
            </w:r>
          </w:p>
        </w:tc>
        <w:tc>
          <w:tcPr>
            <w:tcW w:w="4114" w:type="dxa"/>
            <w:shd w:val="clear" w:color="auto" w:fill="auto"/>
            <w:vAlign w:val="center"/>
          </w:tcPr>
          <w:p>
            <w:pPr>
              <w:spacing w:line="460" w:lineRule="exact"/>
              <w:jc w:val="center"/>
              <w:rPr>
                <w:rFonts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用血管理软件优化升级</w:t>
            </w:r>
          </w:p>
        </w:tc>
        <w:tc>
          <w:tcPr>
            <w:tcW w:w="1995" w:type="dxa"/>
            <w:shd w:val="clear" w:color="auto" w:fill="auto"/>
            <w:vAlign w:val="center"/>
          </w:tcPr>
          <w:p>
            <w:pPr>
              <w:spacing w:line="460" w:lineRule="exact"/>
              <w:ind w:firstLine="110" w:firstLineChars="50"/>
              <w:jc w:val="center"/>
              <w:rPr>
                <w:rFonts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w:t>
            </w:r>
          </w:p>
        </w:tc>
        <w:tc>
          <w:tcPr>
            <w:tcW w:w="2060" w:type="dxa"/>
            <w:shd w:val="clear" w:color="auto" w:fill="auto"/>
            <w:vAlign w:val="center"/>
          </w:tcPr>
          <w:p>
            <w:pPr>
              <w:spacing w:line="460" w:lineRule="exact"/>
              <w:jc w:val="center"/>
              <w:rPr>
                <w:rFonts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套</w:t>
            </w:r>
          </w:p>
        </w:tc>
      </w:tr>
    </w:tbl>
    <w:p>
      <w:pPr>
        <w:spacing w:line="460" w:lineRule="exact"/>
        <w:ind w:firstLine="442" w:firstLineChars="200"/>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投标人需要提供承诺书（加盖公章），承诺内容：所提供投标产品可以和温州市中心血站血液信息管理系统实现无缝对接，本次报价包含投标产品与温州市血液信息管理系统对接费用，采购人不再另外支付其他费用（本项目中标之日起五年内，温州市中心血站血液信息管理系统如有更换，中标单位也需要免费提供对与温州市中心血站血液信息管理系统的对接服务，采购人无需支付相关对接费用）。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二、软件产品标准、功能、技术指标要求</w:t>
      </w:r>
    </w:p>
    <w:p>
      <w:pPr>
        <w:spacing w:line="460" w:lineRule="exact"/>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1、系统功能要求</w:t>
      </w:r>
    </w:p>
    <w:p>
      <w:pPr>
        <w:keepNext/>
        <w:spacing w:line="460" w:lineRule="exact"/>
        <w:rPr>
          <w:rFonts w:asciiTheme="minorEastAsia" w:hAnsiTheme="minorEastAsia" w:eastAsiaTheme="minorEastAsia" w:cstheme="minorEastAsia"/>
          <w:color w:val="auto"/>
          <w:sz w:val="22"/>
          <w:szCs w:val="22"/>
          <w:highlight w:val="none"/>
        </w:rPr>
      </w:pPr>
      <w:bookmarkStart w:id="47" w:name="_Toc529220197"/>
      <w:r>
        <w:rPr>
          <w:rFonts w:hint="eastAsia" w:asciiTheme="minorEastAsia" w:hAnsiTheme="minorEastAsia" w:eastAsiaTheme="minorEastAsia" w:cstheme="minorEastAsia"/>
          <w:color w:val="auto"/>
          <w:sz w:val="22"/>
          <w:szCs w:val="22"/>
          <w:highlight w:val="none"/>
        </w:rPr>
        <w:t>①、医生站</w:t>
      </w:r>
      <w:bookmarkEnd w:id="47"/>
    </w:p>
    <w:tbl>
      <w:tblPr>
        <w:tblStyle w:val="53"/>
        <w:tblW w:w="1003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18"/>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gridSpan w:val="3"/>
          </w:tcPr>
          <w:p>
            <w:pPr>
              <w:widowControl/>
              <w:spacing w:line="460" w:lineRule="exact"/>
              <w:jc w:val="center"/>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软件功能清单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医生站</w:t>
            </w:r>
          </w:p>
        </w:tc>
        <w:tc>
          <w:tcPr>
            <w:tcW w:w="1318" w:type="dxa"/>
            <w:vMerge w:val="restart"/>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用血申请</w:t>
            </w: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在工作时间和非工作时间开单时给予特殊提示。在指定特殊申请类型开单时给予警示。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318"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申请单保存时，根据申请血液品种数量生成多张申请单。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大量用血审批：申请超1600ml时，增加提醒内容。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根据患者特殊情况（如：存在疑难配血、特殊血型、抗筛阳性、存在输血反应等），给予特殊提醒警示。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针对于指定特殊血液品种进行特殊同意书签署，并提前收费。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用血申请时，根据患者自身情况，满足自体血条件时提示医生采取自体血输血方式。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配血报告</w:t>
            </w: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患者交叉配型试验报告等与临床共享。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Align w:val="center"/>
          </w:tcPr>
          <w:p>
            <w:pPr>
              <w:widowControl/>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输血病历</w:t>
            </w:r>
          </w:p>
        </w:tc>
        <w:tc>
          <w:tcPr>
            <w:tcW w:w="7705" w:type="dxa"/>
          </w:tcPr>
          <w:p>
            <w:pPr>
              <w:widowControl/>
              <w:tabs>
                <w:tab w:val="left" w:pos="1665"/>
              </w:tabs>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查看患者的输血病程记录信息，包括患者信息、申请血液信息、输前评估信息、大量用血审批信息、血液输注过程信息、输血不良反应信息、输后评价信息等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输血后评价</w:t>
            </w: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临床医生记录输血后评价信息。包括输血明细、体征改善、输血疗效、不良反应及处理措施、合理性医生评价、输血科反馈等。</w:t>
            </w:r>
          </w:p>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支持生成输血病历。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widowControl/>
              <w:spacing w:line="460" w:lineRule="exact"/>
              <w:jc w:val="left"/>
              <w:rPr>
                <w:rFonts w:asciiTheme="minorEastAsia" w:hAnsiTheme="minorEastAsia" w:eastAsiaTheme="minorEastAsia" w:cstheme="minorEastAsia"/>
                <w:bCs/>
                <w:color w:val="auto"/>
                <w:sz w:val="22"/>
                <w:szCs w:val="22"/>
                <w:highlight w:val="none"/>
              </w:rPr>
            </w:pPr>
          </w:p>
        </w:tc>
        <w:tc>
          <w:tcPr>
            <w:tcW w:w="1318" w:type="dxa"/>
            <w:vAlign w:val="center"/>
          </w:tcPr>
          <w:p>
            <w:pPr>
              <w:widowControl/>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输血病历首页</w:t>
            </w:r>
          </w:p>
        </w:tc>
        <w:tc>
          <w:tcPr>
            <w:tcW w:w="7705"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展示患者住院区期间全部用血相关信息。</w:t>
            </w:r>
          </w:p>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包含所有检验结果、用血、评价、评估、输血反应等。</w:t>
            </w:r>
          </w:p>
        </w:tc>
      </w:tr>
    </w:tbl>
    <w:p>
      <w:pPr>
        <w:keepNext/>
        <w:spacing w:line="460" w:lineRule="exact"/>
        <w:rPr>
          <w:rFonts w:asciiTheme="minorEastAsia" w:hAnsiTheme="minorEastAsia" w:eastAsiaTheme="minorEastAsia" w:cstheme="minorEastAsia"/>
          <w:color w:val="auto"/>
          <w:sz w:val="22"/>
          <w:szCs w:val="22"/>
          <w:highlight w:val="none"/>
        </w:rPr>
      </w:pPr>
      <w:bookmarkStart w:id="48" w:name="_Toc529220198"/>
      <w:r>
        <w:rPr>
          <w:rFonts w:hint="eastAsia" w:asciiTheme="minorEastAsia" w:hAnsiTheme="minorEastAsia" w:eastAsiaTheme="minorEastAsia" w:cstheme="minorEastAsia"/>
          <w:color w:val="auto"/>
          <w:sz w:val="22"/>
          <w:szCs w:val="22"/>
          <w:highlight w:val="none"/>
        </w:rPr>
        <w:t>②、护士站</w:t>
      </w:r>
      <w:bookmarkEnd w:id="48"/>
    </w:p>
    <w:tbl>
      <w:tblPr>
        <w:tblStyle w:val="53"/>
        <w:tblW w:w="96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1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4"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护士</w:t>
            </w:r>
          </w:p>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站</w:t>
            </w:r>
          </w:p>
        </w:tc>
        <w:tc>
          <w:tcPr>
            <w:tcW w:w="1614"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领血凭证(按发血)</w:t>
            </w:r>
          </w:p>
        </w:tc>
        <w:tc>
          <w:tcPr>
            <w:tcW w:w="7379" w:type="dxa"/>
            <w:vAlign w:val="center"/>
          </w:tcPr>
          <w:p>
            <w:pPr>
              <w:widowControl/>
              <w:spacing w:line="460" w:lineRule="exact"/>
              <w:jc w:val="both"/>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护士根据发血情况，在系统上进行领血凭证登记。</w:t>
            </w:r>
          </w:p>
        </w:tc>
      </w:tr>
    </w:tbl>
    <w:p>
      <w:pPr>
        <w:keepNext/>
        <w:spacing w:line="460" w:lineRule="exact"/>
        <w:rPr>
          <w:rFonts w:asciiTheme="minorEastAsia" w:hAnsiTheme="minorEastAsia" w:eastAsiaTheme="minorEastAsia" w:cstheme="minorEastAsia"/>
          <w:color w:val="auto"/>
          <w:sz w:val="22"/>
          <w:szCs w:val="22"/>
          <w:highlight w:val="none"/>
        </w:rPr>
      </w:pPr>
      <w:bookmarkStart w:id="49" w:name="_Toc529220199"/>
      <w:r>
        <w:rPr>
          <w:rFonts w:hint="eastAsia" w:asciiTheme="minorEastAsia" w:hAnsiTheme="minorEastAsia" w:eastAsiaTheme="minorEastAsia" w:cstheme="minorEastAsia"/>
          <w:color w:val="auto"/>
          <w:sz w:val="22"/>
          <w:szCs w:val="22"/>
          <w:highlight w:val="none"/>
        </w:rPr>
        <w:t>③、</w:t>
      </w:r>
      <w:bookmarkEnd w:id="49"/>
      <w:r>
        <w:rPr>
          <w:rFonts w:hint="eastAsia" w:asciiTheme="minorEastAsia" w:hAnsiTheme="minorEastAsia" w:eastAsiaTheme="minorEastAsia" w:cstheme="minorEastAsia"/>
          <w:bCs/>
          <w:color w:val="auto"/>
          <w:sz w:val="22"/>
          <w:szCs w:val="22"/>
          <w:highlight w:val="none"/>
        </w:rPr>
        <w:t>系统管理</w:t>
      </w:r>
    </w:p>
    <w:tbl>
      <w:tblPr>
        <w:tblStyle w:val="53"/>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03"/>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5" w:type="dxa"/>
            <w:vMerge w:val="restart"/>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系统管理</w:t>
            </w:r>
          </w:p>
        </w:tc>
        <w:tc>
          <w:tcPr>
            <w:tcW w:w="1603"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预警提醒</w:t>
            </w:r>
          </w:p>
        </w:tc>
        <w:tc>
          <w:tcPr>
            <w:tcW w:w="7364" w:type="dxa"/>
          </w:tcPr>
          <w:p>
            <w:pPr>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输血科针对特殊患者、特殊操作进行预警提醒。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5"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603"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血液需求预警</w:t>
            </w:r>
          </w:p>
        </w:tc>
        <w:tc>
          <w:tcPr>
            <w:tcW w:w="7364" w:type="dxa"/>
          </w:tcPr>
          <w:p>
            <w:pPr>
              <w:spacing w:line="460" w:lineRule="exac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根据设置的基础库存，各科室基础使用量，各科室实际使用量等多项参数后自动计算预警血液需求预警。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05"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603"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临床预警提醒</w:t>
            </w:r>
          </w:p>
        </w:tc>
        <w:tc>
          <w:tcPr>
            <w:tcW w:w="7364" w:type="dxa"/>
          </w:tcPr>
          <w:p>
            <w:pPr>
              <w:widowControl/>
              <w:spacing w:line="460" w:lineRule="exact"/>
              <w:jc w:val="lef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支持与临床系统对接，将预警信息发送到临床。</w:t>
            </w:r>
          </w:p>
        </w:tc>
      </w:tr>
    </w:tbl>
    <w:p>
      <w:pPr>
        <w:keepNext/>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④、统计分析</w:t>
      </w:r>
    </w:p>
    <w:tbl>
      <w:tblPr>
        <w:tblStyle w:val="53"/>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91"/>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7" w:type="dxa"/>
            <w:vMerge w:val="restart"/>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统计分析</w:t>
            </w:r>
          </w:p>
        </w:tc>
        <w:tc>
          <w:tcPr>
            <w:tcW w:w="1591"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统计分析-患者分析</w:t>
            </w:r>
          </w:p>
        </w:tc>
        <w:tc>
          <w:tcPr>
            <w:tcW w:w="7364" w:type="dxa"/>
            <w:vAlign w:val="center"/>
          </w:tcPr>
          <w:p>
            <w:pPr>
              <w:spacing w:line="460" w:lineRule="exact"/>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患者血型分布：根据住院患者血型，统计各血型的患者数量。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7"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91" w:type="dxa"/>
            <w:vMerge w:val="restart"/>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统计分析-病种用血分析</w:t>
            </w:r>
          </w:p>
        </w:tc>
        <w:tc>
          <w:tcPr>
            <w:tcW w:w="7364" w:type="dxa"/>
            <w:vAlign w:val="center"/>
          </w:tcPr>
          <w:p>
            <w:pPr>
              <w:spacing w:line="460" w:lineRule="exact"/>
              <w:jc w:val="both"/>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病种用血汇总：按用血申请单病种，统计一段发血时间内的用血人次、用血量和平均用血量。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17"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91" w:type="dxa"/>
            <w:vMerge w:val="continue"/>
            <w:vAlign w:val="center"/>
          </w:tcPr>
          <w:p>
            <w:pPr>
              <w:widowControl/>
              <w:spacing w:line="460" w:lineRule="exact"/>
              <w:jc w:val="center"/>
              <w:rPr>
                <w:rFonts w:asciiTheme="minorEastAsia" w:hAnsiTheme="minorEastAsia" w:eastAsiaTheme="minorEastAsia" w:cstheme="minorEastAsia"/>
                <w:color w:val="auto"/>
                <w:sz w:val="22"/>
                <w:szCs w:val="22"/>
                <w:highlight w:val="none"/>
              </w:rPr>
            </w:pPr>
          </w:p>
        </w:tc>
        <w:tc>
          <w:tcPr>
            <w:tcW w:w="7364" w:type="dxa"/>
            <w:vAlign w:val="center"/>
          </w:tcPr>
          <w:p>
            <w:pPr>
              <w:spacing w:line="460" w:lineRule="exact"/>
              <w:jc w:val="both"/>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病种用血趋势：按用血申请单病种，分析每月的用血量的趋势。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7"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91"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7364" w:type="dxa"/>
            <w:vAlign w:val="center"/>
          </w:tcPr>
          <w:p>
            <w:pPr>
              <w:spacing w:line="460" w:lineRule="exact"/>
              <w:jc w:val="both"/>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单病种用血统计：按照单病种、申请医师、血液品种，统计申请血量和发血量。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7"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91" w:type="dxa"/>
            <w:vAlign w:val="center"/>
          </w:tcPr>
          <w:p>
            <w:pPr>
              <w:widowControl/>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医院临床用血情况</w:t>
            </w:r>
          </w:p>
        </w:tc>
        <w:tc>
          <w:tcPr>
            <w:tcW w:w="7364" w:type="dxa"/>
            <w:vAlign w:val="center"/>
          </w:tcPr>
          <w:p>
            <w:pPr>
              <w:spacing w:line="460" w:lineRule="exact"/>
              <w:jc w:val="both"/>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rPr>
              <w:t>统计出院患者用血量和一二、三四级手术台次用血量</w:t>
            </w:r>
            <w:r>
              <w:rPr>
                <w:rFonts w:hint="eastAsia" w:asciiTheme="minorEastAsia" w:hAnsiTheme="minorEastAsia" w:eastAsiaTheme="minorEastAsia" w:cstheme="minorEastAsia"/>
                <w:bCs/>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7"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91" w:type="dxa"/>
            <w:vAlign w:val="center"/>
          </w:tcPr>
          <w:p>
            <w:pPr>
              <w:widowControl/>
              <w:spacing w:line="460" w:lineRule="exact"/>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后期数据统计分析的需求</w:t>
            </w:r>
          </w:p>
        </w:tc>
        <w:tc>
          <w:tcPr>
            <w:tcW w:w="7364" w:type="dxa"/>
            <w:vAlign w:val="center"/>
          </w:tcPr>
          <w:p>
            <w:pPr>
              <w:spacing w:line="460" w:lineRule="exact"/>
              <w:jc w:val="both"/>
              <w:rPr>
                <w:rFonts w:hint="default"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可满足后期医院的各类临床用血统计分析报表的需求。</w:t>
            </w:r>
          </w:p>
        </w:tc>
      </w:tr>
    </w:tbl>
    <w:p>
      <w:pPr>
        <w:keepNext/>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⑤、合理用血</w:t>
      </w:r>
    </w:p>
    <w:tbl>
      <w:tblPr>
        <w:tblStyle w:val="53"/>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68"/>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05"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合理用血</w:t>
            </w:r>
          </w:p>
        </w:tc>
        <w:tc>
          <w:tcPr>
            <w:tcW w:w="1568"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输血后评价反馈</w:t>
            </w:r>
          </w:p>
        </w:tc>
        <w:tc>
          <w:tcPr>
            <w:tcW w:w="7399" w:type="dxa"/>
            <w:vAlign w:val="center"/>
          </w:tcPr>
          <w:p>
            <w:pPr>
              <w:spacing w:line="460" w:lineRule="exact"/>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输血科针对临床输血后评价内容进行反馈，并回传至电子病历中。</w:t>
            </w:r>
          </w:p>
        </w:tc>
      </w:tr>
    </w:tbl>
    <w:p>
      <w:pPr>
        <w:keepNext/>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⑥、自体输血</w:t>
      </w:r>
    </w:p>
    <w:tbl>
      <w:tblPr>
        <w:tblStyle w:val="53"/>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57"/>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94"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自体输血</w:t>
            </w:r>
          </w:p>
        </w:tc>
        <w:tc>
          <w:tcPr>
            <w:tcW w:w="1557"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自体输血入库</w:t>
            </w:r>
          </w:p>
        </w:tc>
        <w:tc>
          <w:tcPr>
            <w:tcW w:w="7421" w:type="dxa"/>
            <w:vAlign w:val="center"/>
          </w:tcPr>
          <w:p>
            <w:pPr>
              <w:spacing w:line="460" w:lineRule="exact"/>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患者自体血采血时，支持自体血标签信息录入、打印。</w:t>
            </w:r>
          </w:p>
        </w:tc>
      </w:tr>
    </w:tbl>
    <w:p>
      <w:pPr>
        <w:keepNext/>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⑦、异体输血</w:t>
      </w:r>
    </w:p>
    <w:tbl>
      <w:tblPr>
        <w:tblStyle w:val="53"/>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45"/>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4" w:type="dxa"/>
            <w:vMerge w:val="restart"/>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异体输血</w:t>
            </w:r>
          </w:p>
        </w:tc>
        <w:tc>
          <w:tcPr>
            <w:tcW w:w="1545"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用血申请审核</w:t>
            </w:r>
          </w:p>
        </w:tc>
        <w:tc>
          <w:tcPr>
            <w:tcW w:w="7433" w:type="dxa"/>
          </w:tcPr>
          <w:p>
            <w:pPr>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增加输血科接收驳回功能，根据输血指征、库存等情况，核查医生申请信息。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94"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45"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输血安全护理</w:t>
            </w:r>
          </w:p>
        </w:tc>
        <w:tc>
          <w:tcPr>
            <w:tcW w:w="7433" w:type="dxa"/>
          </w:tcPr>
          <w:p>
            <w:pPr>
              <w:spacing w:line="460" w:lineRule="exac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登记输前核对信息、护理措施、输血巡视等信息。输注过程时一袋血液可以分多次记录输血执行情况，并记录每次输血观察体征，打印输血记录表。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94"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45" w:type="dxa"/>
            <w:vAlign w:val="center"/>
          </w:tcPr>
          <w:p>
            <w:pPr>
              <w:widowControl/>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输血反应反馈</w:t>
            </w:r>
          </w:p>
        </w:tc>
        <w:tc>
          <w:tcPr>
            <w:tcW w:w="7433" w:type="dxa"/>
          </w:tcPr>
          <w:p>
            <w:pPr>
              <w:spacing w:line="460" w:lineRule="exac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输血科针对临床不良反应登记指导性建议与实验反馈。</w:t>
            </w:r>
          </w:p>
        </w:tc>
      </w:tr>
    </w:tbl>
    <w:p>
      <w:pPr>
        <w:keepNext/>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⑧、</w:t>
      </w:r>
      <w:r>
        <w:rPr>
          <w:rFonts w:hint="eastAsia" w:asciiTheme="minorEastAsia" w:hAnsiTheme="minorEastAsia" w:eastAsiaTheme="minorEastAsia" w:cstheme="minorEastAsia"/>
          <w:bCs/>
          <w:color w:val="auto"/>
          <w:sz w:val="22"/>
          <w:szCs w:val="22"/>
          <w:highlight w:val="none"/>
        </w:rPr>
        <w:t>库存管理</w:t>
      </w:r>
    </w:p>
    <w:tbl>
      <w:tblPr>
        <w:tblStyle w:val="53"/>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79"/>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3" w:type="dxa"/>
            <w:vMerge w:val="restart"/>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库存管理</w:t>
            </w:r>
          </w:p>
        </w:tc>
        <w:tc>
          <w:tcPr>
            <w:tcW w:w="1579" w:type="dxa"/>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库存盘点</w:t>
            </w:r>
          </w:p>
        </w:tc>
        <w:tc>
          <w:tcPr>
            <w:tcW w:w="7410" w:type="dxa"/>
          </w:tcPr>
          <w:p>
            <w:pPr>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库存盘点功能增加盘点总结录入，并支持在盘点单报表体现。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3" w:type="dxa"/>
            <w:vMerge w:val="continue"/>
            <w:vAlign w:val="center"/>
          </w:tcPr>
          <w:p>
            <w:pPr>
              <w:widowControl/>
              <w:spacing w:line="460" w:lineRule="exact"/>
              <w:jc w:val="center"/>
              <w:rPr>
                <w:rFonts w:asciiTheme="minorEastAsia" w:hAnsiTheme="minorEastAsia" w:eastAsiaTheme="minorEastAsia" w:cstheme="minorEastAsia"/>
                <w:bCs/>
                <w:color w:val="auto"/>
                <w:sz w:val="22"/>
                <w:szCs w:val="22"/>
                <w:highlight w:val="none"/>
              </w:rPr>
            </w:pPr>
          </w:p>
        </w:tc>
        <w:tc>
          <w:tcPr>
            <w:tcW w:w="1579" w:type="dxa"/>
            <w:vAlign w:val="center"/>
          </w:tcPr>
          <w:p>
            <w:pPr>
              <w:widowControl/>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血液效期预警</w:t>
            </w:r>
          </w:p>
        </w:tc>
        <w:tc>
          <w:tcPr>
            <w:tcW w:w="7410" w:type="dxa"/>
          </w:tcPr>
          <w:p>
            <w:pPr>
              <w:spacing w:line="460" w:lineRule="exact"/>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库存根据效期阶段进行颜色区分。</w:t>
            </w:r>
          </w:p>
        </w:tc>
      </w:tr>
    </w:tbl>
    <w:p>
      <w:pPr>
        <w:keepNext/>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⑨、其他要求：本次升级改造需满足院内互联互通四甲及电子病历五级评审要求。</w:t>
      </w:r>
    </w:p>
    <w:p>
      <w:pPr>
        <w:spacing w:line="460" w:lineRule="exact"/>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2、接口改造范围</w:t>
      </w:r>
    </w:p>
    <w:p>
      <w:pPr>
        <w:pStyle w:val="329"/>
        <w:keepNext/>
        <w:numPr>
          <w:ilvl w:val="0"/>
          <w:numId w:val="9"/>
        </w:numPr>
        <w:spacing w:line="460" w:lineRule="exact"/>
        <w:ind w:firstLineChars="0"/>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、系统对接接口</w:t>
      </w:r>
    </w:p>
    <w:tbl>
      <w:tblPr>
        <w:tblStyle w:val="53"/>
        <w:tblW w:w="964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91"/>
        <w:gridCol w:w="607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7"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w:t>
            </w:r>
          </w:p>
        </w:tc>
        <w:tc>
          <w:tcPr>
            <w:tcW w:w="1591"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接口范围</w:t>
            </w:r>
          </w:p>
        </w:tc>
        <w:tc>
          <w:tcPr>
            <w:tcW w:w="6079"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接口用途（包括对接输血科仪器）</w:t>
            </w:r>
          </w:p>
        </w:tc>
        <w:tc>
          <w:tcPr>
            <w:tcW w:w="1275"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7" w:type="dxa"/>
            <w:vMerge w:val="restart"/>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asciiTheme="minorEastAsia" w:hAnsiTheme="minorEastAsia" w:eastAsiaTheme="minorEastAsia" w:cstheme="minorEastAsia"/>
                <w:color w:val="auto"/>
                <w:sz w:val="22"/>
                <w:szCs w:val="22"/>
                <w:highlight w:val="none"/>
              </w:rPr>
              <w:t>HIS</w:t>
            </w:r>
          </w:p>
        </w:tc>
        <w:tc>
          <w:tcPr>
            <w:tcW w:w="1591" w:type="dxa"/>
            <w:vMerge w:val="restart"/>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患者信息</w:t>
            </w:r>
          </w:p>
        </w:tc>
        <w:tc>
          <w:tcPr>
            <w:tcW w:w="6079"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查询患者就诊信息</w:t>
            </w:r>
          </w:p>
        </w:tc>
        <w:tc>
          <w:tcPr>
            <w:tcW w:w="1275"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获取出院人次</w:t>
            </w:r>
          </w:p>
        </w:tc>
        <w:tc>
          <w:tcPr>
            <w:tcW w:w="1275"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消息提醒</w:t>
            </w:r>
          </w:p>
        </w:tc>
        <w:tc>
          <w:tcPr>
            <w:tcW w:w="6079" w:type="dxa"/>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配发血提醒</w:t>
            </w:r>
          </w:p>
        </w:tc>
        <w:tc>
          <w:tcPr>
            <w:tcW w:w="1275"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restart"/>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电子病历</w:t>
            </w:r>
          </w:p>
        </w:tc>
        <w:tc>
          <w:tcPr>
            <w:tcW w:w="1591" w:type="dxa"/>
            <w:vMerge w:val="restart"/>
            <w:tcBorders>
              <w:top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传输PDF文件</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输血病历PDF传输</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知情同意书PDF传输</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申请单PDF传输</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配血单PDF传输</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发血单PDF传输</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tcBorders>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输血反应PDF传输</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restart"/>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护理系统</w:t>
            </w:r>
          </w:p>
        </w:tc>
        <w:tc>
          <w:tcPr>
            <w:tcW w:w="1591" w:type="dxa"/>
            <w:vMerge w:val="restart"/>
            <w:tcBorders>
              <w:top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血液输注</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血液接收信息回传</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tcBorders>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输血安全护理信息回传</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手麻系统</w:t>
            </w:r>
          </w:p>
        </w:tc>
        <w:tc>
          <w:tcPr>
            <w:tcW w:w="1591"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患者信息</w:t>
            </w:r>
          </w:p>
        </w:tc>
        <w:tc>
          <w:tcPr>
            <w:tcW w:w="6079"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获取手术人次</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restart"/>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医院数据平台</w:t>
            </w:r>
          </w:p>
        </w:tc>
        <w:tc>
          <w:tcPr>
            <w:tcW w:w="1591" w:type="dxa"/>
            <w:vMerge w:val="restart"/>
            <w:tcBorders>
              <w:top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注册类</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注册信息-注册输血申请单新增</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注册信息-注册输血申请单更新</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注册信息-注册输血申请单查询</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注册信息-注册患者信息查询</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restart"/>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asciiTheme="minorEastAsia" w:hAnsiTheme="minorEastAsia" w:eastAsiaTheme="minorEastAsia" w:cstheme="minorEastAsia"/>
                <w:color w:val="auto"/>
                <w:sz w:val="22"/>
                <w:szCs w:val="22"/>
                <w:highlight w:val="none"/>
              </w:rPr>
              <w:t>CA</w:t>
            </w:r>
          </w:p>
        </w:tc>
        <w:tc>
          <w:tcPr>
            <w:tcW w:w="1591"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认证接口</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证书签名认证</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restart"/>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签名接口</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医嘱签名</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科室审批签名</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院级审批签名</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配血签名</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Merge w:val="continue"/>
            <w:vAlign w:val="center"/>
          </w:tcPr>
          <w:p>
            <w:pPr>
              <w:spacing w:line="460" w:lineRule="exact"/>
              <w:jc w:val="center"/>
              <w:rPr>
                <w:rFonts w:asciiTheme="minorEastAsia" w:hAnsiTheme="minorEastAsia" w:eastAsiaTheme="minorEastAsia" w:cstheme="minorEastAsia"/>
                <w:color w:val="auto"/>
                <w:sz w:val="22"/>
                <w:szCs w:val="22"/>
                <w:highlight w:val="none"/>
              </w:rPr>
            </w:pP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发血签名</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restart"/>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其他</w:t>
            </w:r>
          </w:p>
        </w:tc>
        <w:tc>
          <w:tcPr>
            <w:tcW w:w="1591"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患者血型分布</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获取患者血型分布</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360全息视图</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360全息视图嵌入</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7" w:type="dxa"/>
            <w:vMerge w:val="continue"/>
          </w:tcPr>
          <w:p>
            <w:pPr>
              <w:spacing w:line="460" w:lineRule="exact"/>
              <w:jc w:val="center"/>
              <w:rPr>
                <w:rFonts w:asciiTheme="minorEastAsia" w:hAnsiTheme="minorEastAsia" w:eastAsiaTheme="minorEastAsia" w:cstheme="minorEastAsia"/>
                <w:color w:val="auto"/>
                <w:sz w:val="22"/>
                <w:szCs w:val="22"/>
                <w:highlight w:val="none"/>
              </w:rPr>
            </w:pPr>
          </w:p>
        </w:tc>
        <w:tc>
          <w:tcPr>
            <w:tcW w:w="1591" w:type="dxa"/>
            <w:tcBorders>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手写板</w:t>
            </w:r>
          </w:p>
        </w:tc>
        <w:tc>
          <w:tcPr>
            <w:tcW w:w="6079" w:type="dxa"/>
            <w:tcBorders>
              <w:top w:val="single" w:color="000000" w:sz="4" w:space="0"/>
              <w:bottom w:val="single" w:color="000000" w:sz="4" w:space="0"/>
            </w:tcBorders>
          </w:tcPr>
          <w:p>
            <w:pPr>
              <w:spacing w:line="460" w:lineRule="exact"/>
              <w:jc w:val="center"/>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患者知情同意书签署</w:t>
            </w:r>
          </w:p>
        </w:tc>
        <w:tc>
          <w:tcPr>
            <w:tcW w:w="1275" w:type="dxa"/>
            <w:tcBorders>
              <w:top w:val="single" w:color="000000" w:sz="4" w:space="0"/>
              <w:bottom w:val="single" w:color="000000" w:sz="4" w:space="0"/>
            </w:tcBorders>
            <w:vAlign w:val="center"/>
          </w:tcPr>
          <w:p>
            <w:pPr>
              <w:spacing w:line="460" w:lineRule="exact"/>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基础</w:t>
            </w:r>
          </w:p>
        </w:tc>
      </w:tr>
    </w:tbl>
    <w:p>
      <w:pPr>
        <w:keepNext/>
        <w:spacing w:line="46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②、其他要求：本次升级改造需满足院内互联互通四甲及电子病历五级评审要求。</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Theme="minorEastAsia" w:hAnsiTheme="minorEastAsia" w:eastAsiaTheme="minorEastAsia" w:cstheme="minorEastAsia"/>
          <w:b/>
          <w:bCs/>
          <w:color w:val="auto"/>
          <w:sz w:val="22"/>
          <w:szCs w:val="22"/>
          <w:highlight w:val="none"/>
          <w:lang w:val="zh-CN"/>
        </w:rPr>
      </w:pPr>
      <w:r>
        <w:rPr>
          <w:rFonts w:hint="eastAsia" w:asciiTheme="minorEastAsia" w:hAnsiTheme="minorEastAsia" w:eastAsiaTheme="minorEastAsia" w:cstheme="minorEastAsia"/>
          <w:b/>
          <w:color w:val="auto"/>
          <w:sz w:val="22"/>
          <w:szCs w:val="22"/>
          <w:highlight w:val="none"/>
        </w:rPr>
        <w:t>三、</w:t>
      </w:r>
      <w:r>
        <w:rPr>
          <w:rFonts w:hint="eastAsia" w:asciiTheme="minorEastAsia" w:hAnsiTheme="minorEastAsia" w:eastAsiaTheme="minorEastAsia" w:cstheme="minorEastAsia"/>
          <w:b/>
          <w:color w:val="auto"/>
          <w:sz w:val="22"/>
          <w:szCs w:val="22"/>
          <w:highlight w:val="none"/>
          <w:lang w:val="zh-CN"/>
        </w:rPr>
        <w:t>交货期</w:t>
      </w:r>
    </w:p>
    <w:p>
      <w:pPr>
        <w:spacing w:line="460" w:lineRule="exact"/>
        <w:ind w:firstLine="442" w:firstLineChars="200"/>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bCs/>
          <w:color w:val="auto"/>
          <w:sz w:val="22"/>
          <w:szCs w:val="22"/>
          <w:highlight w:val="none"/>
        </w:rPr>
        <w:t>一</w:t>
      </w:r>
      <w:r>
        <w:rPr>
          <w:rFonts w:hint="eastAsia" w:asciiTheme="minorEastAsia" w:hAnsiTheme="minorEastAsia" w:eastAsiaTheme="minorEastAsia" w:cstheme="minorEastAsia"/>
          <w:color w:val="auto"/>
          <w:sz w:val="22"/>
          <w:szCs w:val="22"/>
          <w:highlight w:val="none"/>
        </w:rPr>
        <w:t>个月</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付款方式</w:t>
      </w:r>
    </w:p>
    <w:p>
      <w:pPr>
        <w:spacing w:line="460" w:lineRule="exact"/>
        <w:ind w:firstLine="440" w:firstLineChars="200"/>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项目中期验收（系统主要功能完成，使用科室确认）后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采购人</w:t>
      </w:r>
      <w:r>
        <w:rPr>
          <w:rFonts w:hint="eastAsia" w:asciiTheme="minorEastAsia" w:hAnsiTheme="minorEastAsia" w:eastAsiaTheme="minorEastAsia" w:cstheme="minorEastAsia"/>
          <w:color w:val="auto"/>
          <w:sz w:val="22"/>
          <w:szCs w:val="22"/>
          <w:highlight w:val="none"/>
          <w:lang w:eastAsia="zh-CN"/>
        </w:rPr>
        <w:t>在收到发票后</w:t>
      </w:r>
      <w:r>
        <w:rPr>
          <w:rFonts w:hint="eastAsia" w:asciiTheme="minorEastAsia" w:hAnsiTheme="minorEastAsia" w:eastAsiaTheme="minorEastAsia" w:cstheme="minorEastAsia"/>
          <w:color w:val="auto"/>
          <w:sz w:val="22"/>
          <w:szCs w:val="22"/>
          <w:highlight w:val="none"/>
          <w:lang w:val="en-US" w:eastAsia="zh-CN"/>
        </w:rPr>
        <w:t>一</w:t>
      </w:r>
      <w:r>
        <w:rPr>
          <w:rFonts w:hint="eastAsia" w:asciiTheme="minorEastAsia" w:hAnsiTheme="minorEastAsia" w:eastAsiaTheme="minorEastAsia" w:cstheme="minorEastAsia"/>
          <w:color w:val="auto"/>
          <w:sz w:val="22"/>
          <w:szCs w:val="22"/>
          <w:highlight w:val="none"/>
          <w:lang w:eastAsia="zh-CN"/>
        </w:rPr>
        <w:t>个月内</w:t>
      </w:r>
      <w:r>
        <w:rPr>
          <w:rFonts w:hint="eastAsia" w:asciiTheme="minorEastAsia" w:hAnsiTheme="minorEastAsia" w:eastAsiaTheme="minorEastAsia" w:cstheme="minorEastAsia"/>
          <w:color w:val="auto"/>
          <w:sz w:val="22"/>
          <w:szCs w:val="22"/>
          <w:highlight w:val="none"/>
        </w:rPr>
        <w:t>支付合同金额的50%，项目最终验收合格后一个月内付40%，验收合格满一年后无质量问题，一个月内支付合同金额的10%。</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五、售后及服务</w:t>
      </w:r>
    </w:p>
    <w:p>
      <w:pPr>
        <w:spacing w:line="460" w:lineRule="exact"/>
        <w:ind w:firstLine="440" w:firstLineChars="200"/>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zh-CN"/>
        </w:rPr>
        <w:t>技术支持和服务：</w:t>
      </w:r>
    </w:p>
    <w:p>
      <w:pPr>
        <w:spacing w:line="460" w:lineRule="exact"/>
        <w:ind w:firstLine="440" w:firstLineChars="200"/>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zh-CN"/>
        </w:rPr>
        <w:t>技术支持：中标商</w:t>
      </w:r>
      <w:r>
        <w:rPr>
          <w:rFonts w:hint="eastAsia" w:asciiTheme="minorEastAsia" w:hAnsiTheme="minorEastAsia" w:eastAsiaTheme="minorEastAsia" w:cstheme="minorEastAsia"/>
          <w:color w:val="auto"/>
          <w:sz w:val="22"/>
          <w:szCs w:val="22"/>
          <w:highlight w:val="none"/>
        </w:rPr>
        <w:t>在软件生命周期内</w:t>
      </w:r>
      <w:r>
        <w:rPr>
          <w:rFonts w:hint="eastAsia" w:asciiTheme="minorEastAsia" w:hAnsiTheme="minorEastAsia" w:eastAsiaTheme="minorEastAsia" w:cstheme="minorEastAsia"/>
          <w:color w:val="auto"/>
          <w:sz w:val="22"/>
          <w:szCs w:val="22"/>
          <w:highlight w:val="none"/>
          <w:lang w:val="zh-CN"/>
        </w:rPr>
        <w:t>提供本地化和</w:t>
      </w:r>
      <w:r>
        <w:rPr>
          <w:rFonts w:hint="eastAsia" w:asciiTheme="minorEastAsia" w:hAnsiTheme="minorEastAsia" w:eastAsiaTheme="minorEastAsia" w:cstheme="minorEastAsia"/>
          <w:color w:val="auto"/>
          <w:sz w:val="22"/>
          <w:szCs w:val="22"/>
          <w:highlight w:val="none"/>
        </w:rPr>
        <w:t>远程</w:t>
      </w:r>
      <w:r>
        <w:rPr>
          <w:rFonts w:hint="eastAsia" w:asciiTheme="minorEastAsia" w:hAnsiTheme="minorEastAsia" w:eastAsiaTheme="minorEastAsia" w:cstheme="minorEastAsia"/>
          <w:color w:val="auto"/>
          <w:sz w:val="22"/>
          <w:szCs w:val="22"/>
          <w:highlight w:val="none"/>
          <w:lang w:val="zh-CN"/>
        </w:rPr>
        <w:t>技术支持，包括各种软</w:t>
      </w:r>
      <w:r>
        <w:rPr>
          <w:rFonts w:hint="eastAsia" w:asciiTheme="minorEastAsia" w:hAnsiTheme="minorEastAsia" w:eastAsiaTheme="minorEastAsia" w:cstheme="minorEastAsia"/>
          <w:color w:val="auto"/>
          <w:sz w:val="22"/>
          <w:szCs w:val="22"/>
          <w:highlight w:val="none"/>
        </w:rPr>
        <w:t>件</w:t>
      </w:r>
      <w:r>
        <w:rPr>
          <w:rFonts w:hint="eastAsia" w:asciiTheme="minorEastAsia" w:hAnsiTheme="minorEastAsia" w:eastAsiaTheme="minorEastAsia" w:cstheme="minorEastAsia"/>
          <w:color w:val="auto"/>
          <w:sz w:val="22"/>
          <w:szCs w:val="22"/>
          <w:highlight w:val="none"/>
          <w:lang w:val="zh-CN"/>
        </w:rPr>
        <w:t>故障及对各种突发事件采取应急措施等。</w:t>
      </w:r>
    </w:p>
    <w:p>
      <w:pPr>
        <w:spacing w:line="460" w:lineRule="exact"/>
        <w:ind w:firstLine="440" w:firstLineChars="200"/>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zh-CN"/>
        </w:rPr>
        <w:t>培训：培训分为对普通业务人员的应用培训和系统维护人员的专业技术培训等。培训内容分别包括：系统设计思想和结构、开发工具、数据交换技术、信息发布和后台管理平台操作等。系统正式运行前，要制订详细的培训计划，分别提供对领导、各部门领导、各部门工作人员、系统管理员的不同层面的培训。</w:t>
      </w:r>
    </w:p>
    <w:p>
      <w:pPr>
        <w:spacing w:line="460" w:lineRule="exact"/>
        <w:ind w:firstLine="440" w:firstLineChars="200"/>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2、售后服务： </w:t>
      </w:r>
    </w:p>
    <w:p>
      <w:pPr>
        <w:spacing w:line="460" w:lineRule="exact"/>
        <w:ind w:firstLine="440" w:firstLineChars="200"/>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软件供应商必须承诺提供自验收合格之日起1年内7×24小时的免费服务。</w:t>
      </w:r>
    </w:p>
    <w:p>
      <w:pPr>
        <w:spacing w:line="460" w:lineRule="exact"/>
        <w:ind w:firstLine="440" w:firstLineChars="200"/>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zh-CN"/>
        </w:rPr>
        <w:t>维护响应时间在1小时以内。</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45"/>
      <w:bookmarkEnd w:id="46"/>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15713"/>
      <w:bookmarkStart w:id="51" w:name="_Toc4407"/>
      <w:r>
        <w:rPr>
          <w:rFonts w:hint="eastAsia" w:ascii="宋体" w:hAnsi="宋体" w:eastAsia="宋体" w:cs="宋体"/>
          <w:b/>
          <w:color w:val="auto"/>
          <w:sz w:val="22"/>
          <w:szCs w:val="22"/>
          <w:highlight w:val="none"/>
        </w:rPr>
        <w:t>一、总 则</w:t>
      </w:r>
      <w:bookmarkEnd w:id="50"/>
      <w:bookmarkEnd w:id="51"/>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24468"/>
      <w:bookmarkStart w:id="53" w:name="_Toc23152"/>
      <w:r>
        <w:rPr>
          <w:rFonts w:hint="eastAsia" w:ascii="宋体" w:hAnsi="宋体" w:eastAsia="宋体" w:cs="宋体"/>
          <w:b/>
          <w:color w:val="auto"/>
          <w:sz w:val="22"/>
          <w:szCs w:val="22"/>
          <w:highlight w:val="none"/>
        </w:rPr>
        <w:t>二、评标组织</w:t>
      </w:r>
      <w:bookmarkEnd w:id="52"/>
      <w:bookmarkEnd w:id="5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67"/>
      <w:bookmarkStart w:id="55" w:name="_Toc15153"/>
      <w:r>
        <w:rPr>
          <w:rFonts w:hint="eastAsia" w:ascii="宋体" w:hAnsi="宋体" w:eastAsia="宋体" w:cs="宋体"/>
          <w:b/>
          <w:color w:val="auto"/>
          <w:sz w:val="22"/>
          <w:szCs w:val="22"/>
          <w:highlight w:val="none"/>
        </w:rPr>
        <w:t>三、评标程序</w:t>
      </w:r>
      <w:bookmarkEnd w:id="54"/>
      <w:bookmarkEnd w:id="55"/>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41" w:firstLineChars="245"/>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41" w:firstLineChars="245"/>
        <w:rPr>
          <w:rFonts w:hint="eastAsia" w:ascii="宋体" w:hAnsi="宋体" w:eastAsia="宋体" w:cs="宋体"/>
          <w:color w:val="auto"/>
          <w:sz w:val="22"/>
          <w:szCs w:val="22"/>
          <w:highlight w:val="none"/>
          <w:u w:val="none"/>
        </w:rPr>
      </w:pPr>
      <w:r>
        <w:rPr>
          <w:rFonts w:hint="eastAsia" w:ascii="宋体" w:hAnsi="宋体" w:eastAsia="宋体" w:cs="宋体"/>
          <w:b/>
          <w:bCs/>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24825"/>
      <w:bookmarkStart w:id="57" w:name="_Toc11306"/>
      <w:r>
        <w:rPr>
          <w:rFonts w:hint="eastAsia" w:ascii="宋体" w:hAnsi="宋体" w:eastAsia="宋体" w:cs="宋体"/>
          <w:b/>
          <w:color w:val="auto"/>
          <w:sz w:val="22"/>
          <w:szCs w:val="22"/>
          <w:highlight w:val="none"/>
        </w:rPr>
        <w:t>四、评标办法</w:t>
      </w:r>
      <w:bookmarkEnd w:id="56"/>
      <w:bookmarkEnd w:id="57"/>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8" w:name="_Toc1535"/>
      <w:bookmarkStart w:id="59" w:name="_Toc11450"/>
      <w:r>
        <w:rPr>
          <w:rFonts w:hint="eastAsia" w:ascii="宋体" w:hAnsi="宋体" w:eastAsia="宋体" w:cs="宋体"/>
          <w:b/>
          <w:color w:val="auto"/>
          <w:sz w:val="22"/>
          <w:szCs w:val="22"/>
          <w:highlight w:val="none"/>
        </w:rPr>
        <w:t>评分细则</w:t>
      </w:r>
      <w:bookmarkEnd w:id="58"/>
      <w:bookmarkEnd w:id="5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89"/>
        <w:gridCol w:w="699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389"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评分内容</w:t>
            </w:r>
          </w:p>
        </w:tc>
        <w:tc>
          <w:tcPr>
            <w:tcW w:w="6997"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评分标准说明</w:t>
            </w:r>
          </w:p>
        </w:tc>
        <w:tc>
          <w:tcPr>
            <w:tcW w:w="803"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1389" w:type="dxa"/>
            <w:vMerge w:val="restart"/>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投标人企业情况</w:t>
            </w:r>
          </w:p>
        </w:tc>
        <w:tc>
          <w:tcPr>
            <w:tcW w:w="6997" w:type="dxa"/>
            <w:vAlign w:val="center"/>
          </w:tcPr>
          <w:p>
            <w:pPr>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投标人具备中国信息安全测评中心颁发的信息系统安全服务资质，具备得3分。（以提供证书复印件加盖公章为准，没有不得分）</w:t>
            </w:r>
          </w:p>
        </w:tc>
        <w:tc>
          <w:tcPr>
            <w:tcW w:w="803" w:type="dxa"/>
            <w:vAlign w:val="center"/>
          </w:tcPr>
          <w:p>
            <w:pPr>
              <w:keepLines w:val="0"/>
              <w:pageBreakBefore w:val="0"/>
              <w:widowControl w:val="0"/>
              <w:kinsoku/>
              <w:wordWrap/>
              <w:overflowPunct/>
              <w:topLinePunct w:val="0"/>
              <w:autoSpaceDE/>
              <w:autoSpaceDN/>
              <w:bidi w:val="0"/>
              <w:adjustRightInd/>
              <w:snapToGrid/>
              <w:spacing w:line="460" w:lineRule="exact"/>
              <w:ind w:left="-99" w:leftChars="-47" w:right="-78" w:rightChars="-37"/>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p>
        </w:tc>
        <w:tc>
          <w:tcPr>
            <w:tcW w:w="1389" w:type="dxa"/>
            <w:vMerge w:val="continue"/>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p>
        </w:tc>
        <w:tc>
          <w:tcPr>
            <w:tcW w:w="6997" w:type="dxa"/>
            <w:vAlign w:val="center"/>
          </w:tcPr>
          <w:p>
            <w:pPr>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投标人具备ITSS信息技术服务运行维护标准符合性证书得3分。（以提供证书复印件加盖公章为准，没有不得分）</w:t>
            </w:r>
          </w:p>
        </w:tc>
        <w:tc>
          <w:tcPr>
            <w:tcW w:w="803" w:type="dxa"/>
            <w:vAlign w:val="center"/>
          </w:tcPr>
          <w:p>
            <w:pPr>
              <w:keepLines w:val="0"/>
              <w:pageBreakBefore w:val="0"/>
              <w:widowControl w:val="0"/>
              <w:kinsoku/>
              <w:wordWrap/>
              <w:overflowPunct/>
              <w:topLinePunct w:val="0"/>
              <w:autoSpaceDE/>
              <w:autoSpaceDN/>
              <w:bidi w:val="0"/>
              <w:adjustRightInd/>
              <w:snapToGrid/>
              <w:spacing w:line="460" w:lineRule="exact"/>
              <w:ind w:left="-99" w:leftChars="-47" w:right="-78" w:rightChars="-37"/>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690"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1389" w:type="dxa"/>
            <w:vAlign w:val="center"/>
          </w:tcPr>
          <w:p>
            <w:pPr>
              <w:keepLines w:val="0"/>
              <w:pageBreakBefore w:val="0"/>
              <w:widowControl w:val="0"/>
              <w:tabs>
                <w:tab w:val="left" w:pos="2041"/>
                <w:tab w:val="left" w:pos="5907"/>
                <w:tab w:val="left" w:pos="9344"/>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功能满足情况</w:t>
            </w:r>
          </w:p>
        </w:tc>
        <w:tc>
          <w:tcPr>
            <w:tcW w:w="6997" w:type="dxa"/>
            <w:vAlign w:val="center"/>
          </w:tcPr>
          <w:p>
            <w:pPr>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根据投标人提供的系统软件产品技术指标对采购文件要求的响应情况进行评分，每项不满足或负偏离扣2分，扣完为止。注：投标人须按照本文件所列的所有技术要求在《偏离表》中完整体现，因编排错乱或响应不完整而导致的不利评审由投标人自行承担</w:t>
            </w:r>
          </w:p>
        </w:tc>
        <w:tc>
          <w:tcPr>
            <w:tcW w:w="803" w:type="dxa"/>
            <w:vAlign w:val="center"/>
          </w:tcPr>
          <w:p>
            <w:pPr>
              <w:pStyle w:val="4"/>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lang w:val="en-US" w:eastAsia="zh-CN"/>
              </w:rPr>
              <w:t>10</w:t>
            </w:r>
            <w:r>
              <w:rPr>
                <w:rFonts w:hint="eastAsia" w:ascii="宋体" w:hAnsi="宋体" w:eastAsia="宋体" w:cs="宋体"/>
                <w:b w:val="0"/>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90"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1389" w:type="dxa"/>
            <w:vAlign w:val="center"/>
          </w:tcPr>
          <w:p>
            <w:pPr>
              <w:keepLines w:val="0"/>
              <w:pageBreakBefore w:val="0"/>
              <w:widowControl w:val="0"/>
              <w:tabs>
                <w:tab w:val="left" w:pos="2041"/>
                <w:tab w:val="left" w:pos="5907"/>
                <w:tab w:val="left" w:pos="9344"/>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设计方案</w:t>
            </w:r>
          </w:p>
        </w:tc>
        <w:tc>
          <w:tcPr>
            <w:tcW w:w="6997" w:type="dxa"/>
            <w:vAlign w:val="center"/>
          </w:tcPr>
          <w:p>
            <w:pPr>
              <w:keepLines w:val="0"/>
              <w:pageBreakBefore w:val="0"/>
              <w:widowControl w:val="0"/>
              <w:tabs>
                <w:tab w:val="left" w:pos="2041"/>
                <w:tab w:val="left" w:pos="5907"/>
                <w:tab w:val="left" w:pos="9344"/>
              </w:tabs>
              <w:kinsoku/>
              <w:wordWrap/>
              <w:overflowPunct/>
              <w:topLinePunct w:val="0"/>
              <w:autoSpaceDE/>
              <w:autoSpaceDN/>
              <w:bidi w:val="0"/>
              <w:adjustRightInd/>
              <w:snapToGrid/>
              <w:spacing w:line="4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根据投标人对项目整体设计方案的合理性、完整性，具有总体设计框架和设计思路等方面进行综合比较打分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0-15分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803" w:type="dxa"/>
            <w:vAlign w:val="center"/>
          </w:tcPr>
          <w:p>
            <w:pPr>
              <w:pStyle w:val="19"/>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1389" w:type="dxa"/>
            <w:vAlign w:val="center"/>
          </w:tcPr>
          <w:p>
            <w:pPr>
              <w:keepLines w:val="0"/>
              <w:pageBreakBefore w:val="0"/>
              <w:widowControl w:val="0"/>
              <w:tabs>
                <w:tab w:val="left" w:pos="2041"/>
                <w:tab w:val="left" w:pos="5907"/>
                <w:tab w:val="left" w:pos="9344"/>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实施方案</w:t>
            </w:r>
          </w:p>
        </w:tc>
        <w:tc>
          <w:tcPr>
            <w:tcW w:w="6997" w:type="dxa"/>
            <w:vAlign w:val="center"/>
          </w:tcPr>
          <w:p>
            <w:pPr>
              <w:keepLines w:val="0"/>
              <w:pageBreakBefore w:val="0"/>
              <w:widowControl w:val="0"/>
              <w:tabs>
                <w:tab w:val="left" w:pos="2041"/>
                <w:tab w:val="left" w:pos="5907"/>
                <w:tab w:val="left" w:pos="9344"/>
              </w:tabs>
              <w:kinsoku/>
              <w:wordWrap/>
              <w:overflowPunct/>
              <w:topLinePunct w:val="0"/>
              <w:autoSpaceDE/>
              <w:autoSpaceDN/>
              <w:bidi w:val="0"/>
              <w:adjustRightInd/>
              <w:snapToGrid/>
              <w:spacing w:line="4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根据投标人对项目实施管理规范、实施计划安排合理可行、测试方案安全稳定等方面进行综合比较打分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0-15分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803" w:type="dxa"/>
            <w:vAlign w:val="center"/>
          </w:tcPr>
          <w:p>
            <w:pPr>
              <w:pStyle w:val="19"/>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1389"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培训方案</w:t>
            </w:r>
          </w:p>
        </w:tc>
        <w:tc>
          <w:tcPr>
            <w:tcW w:w="6997" w:type="dxa"/>
            <w:vAlign w:val="center"/>
          </w:tcPr>
          <w:p>
            <w:pPr>
              <w:keepLines w:val="0"/>
              <w:pageBreakBefore w:val="0"/>
              <w:widowControl w:val="0"/>
              <w:tabs>
                <w:tab w:val="left" w:pos="2041"/>
                <w:tab w:val="left" w:pos="5907"/>
                <w:tab w:val="left" w:pos="9344"/>
              </w:tabs>
              <w:kinsoku/>
              <w:wordWrap/>
              <w:overflowPunct/>
              <w:topLinePunct w:val="0"/>
              <w:autoSpaceDE/>
              <w:autoSpaceDN/>
              <w:bidi w:val="0"/>
              <w:adjustRightInd/>
              <w:snapToGrid/>
              <w:spacing w:line="4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根据投标人对项目培训课程和时间设置合理性、培训资料、按用户类别开展培训的符合性情况进行综合比较打分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803" w:type="dxa"/>
            <w:vAlign w:val="center"/>
          </w:tcPr>
          <w:p>
            <w:pPr>
              <w:pStyle w:val="19"/>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1389"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售后服务方案</w:t>
            </w:r>
          </w:p>
        </w:tc>
        <w:tc>
          <w:tcPr>
            <w:tcW w:w="6997" w:type="dxa"/>
            <w:vAlign w:val="center"/>
          </w:tcPr>
          <w:p>
            <w:pPr>
              <w:keepLines w:val="0"/>
              <w:pageBreakBefore w:val="0"/>
              <w:widowControl w:val="0"/>
              <w:tabs>
                <w:tab w:val="left" w:pos="2041"/>
                <w:tab w:val="left" w:pos="5907"/>
                <w:tab w:val="left" w:pos="9344"/>
              </w:tabs>
              <w:kinsoku/>
              <w:wordWrap/>
              <w:overflowPunct/>
              <w:topLinePunct w:val="0"/>
              <w:autoSpaceDE/>
              <w:autoSpaceDN/>
              <w:bidi w:val="0"/>
              <w:adjustRightInd/>
              <w:snapToGrid/>
              <w:spacing w:line="4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根据投标人系统运行维护方案，包括售后服务保障，升级方案，响应时间和问题解决时限，现场巡检次数进行综合比较打分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803" w:type="dxa"/>
            <w:vAlign w:val="center"/>
          </w:tcPr>
          <w:p>
            <w:pPr>
              <w:pStyle w:val="19"/>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p>
        </w:tc>
        <w:tc>
          <w:tcPr>
            <w:tcW w:w="1389" w:type="dxa"/>
            <w:vAlign w:val="center"/>
          </w:tcPr>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项目实施人员情况</w:t>
            </w:r>
          </w:p>
          <w:p>
            <w:pPr>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2"/>
                <w:szCs w:val="22"/>
                <w:highlight w:val="none"/>
              </w:rPr>
            </w:pPr>
          </w:p>
        </w:tc>
        <w:tc>
          <w:tcPr>
            <w:tcW w:w="6997" w:type="dxa"/>
            <w:vAlign w:val="center"/>
          </w:tcPr>
          <w:p>
            <w:pPr>
              <w:pStyle w:val="4"/>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拟安排项目团队成员中有一人具备《CISP（注册信息安全专业人员）认证证书》的得1分，两人或以上人员具备《CISP（注册信息安全专业人员）认证证书》的得2分。</w:t>
            </w:r>
          </w:p>
          <w:p>
            <w:pPr>
              <w:pStyle w:val="4"/>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拟安排项目团队成员中有一人具备《网络工程师》证书的得2分。</w:t>
            </w:r>
          </w:p>
          <w:p>
            <w:pPr>
              <w:pStyle w:val="4"/>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拟安排项目团队成员中有一人具备高级《信息系统项目管理师》证书得1分。</w:t>
            </w:r>
          </w:p>
          <w:p>
            <w:pPr>
              <w:pStyle w:val="4"/>
              <w:keepLines w:val="0"/>
              <w:pageBreakBefore w:val="0"/>
              <w:widowControl w:val="0"/>
              <w:kinsoku/>
              <w:wordWrap/>
              <w:overflowPunct/>
              <w:topLinePunct w:val="0"/>
              <w:autoSpaceDE/>
              <w:autoSpaceDN/>
              <w:bidi w:val="0"/>
              <w:adjustRightInd/>
              <w:snapToGrid/>
              <w:spacing w:line="460" w:lineRule="exact"/>
              <w:jc w:val="both"/>
              <w:textAlignment w:val="auto"/>
              <w:rPr>
                <w:rFonts w:hint="default" w:eastAsia="宋体"/>
                <w:color w:val="auto"/>
                <w:highlight w:val="none"/>
                <w:lang w:val="en-US" w:eastAsia="zh-CN"/>
              </w:rPr>
            </w:pPr>
            <w:r>
              <w:rPr>
                <w:rFonts w:hint="eastAsia" w:ascii="宋体" w:hAnsi="宋体" w:eastAsia="宋体" w:cs="宋体"/>
                <w:b w:val="0"/>
                <w:color w:val="auto"/>
                <w:kern w:val="2"/>
                <w:sz w:val="22"/>
                <w:szCs w:val="22"/>
                <w:highlight w:val="none"/>
                <w:lang w:val="en-US" w:eastAsia="zh-CN" w:bidi="ar-SA"/>
              </w:rPr>
              <w:t>注：须提供相关认证证书，否则不得分。</w:t>
            </w:r>
          </w:p>
        </w:tc>
        <w:tc>
          <w:tcPr>
            <w:tcW w:w="803" w:type="dxa"/>
            <w:vAlign w:val="center"/>
          </w:tcPr>
          <w:p>
            <w:pPr>
              <w:keepLines w:val="0"/>
              <w:pageBreakBefore w:val="0"/>
              <w:widowControl w:val="0"/>
              <w:kinsoku/>
              <w:wordWrap/>
              <w:overflowPunct/>
              <w:topLinePunct w:val="0"/>
              <w:autoSpaceDE/>
              <w:autoSpaceDN/>
              <w:bidi w:val="0"/>
              <w:adjustRightInd/>
              <w:snapToGrid/>
              <w:spacing w:line="460" w:lineRule="exact"/>
              <w:ind w:left="-99" w:leftChars="-47" w:right="-78" w:rightChars="-37"/>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bl>
    <w:p>
      <w:pPr>
        <w:pStyle w:val="23"/>
        <w:spacing w:line="460" w:lineRule="exact"/>
        <w:ind w:left="0" w:leftChars="0"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60" w:name="_Toc2482"/>
      <w:bookmarkStart w:id="61" w:name="_Toc4727"/>
      <w:r>
        <w:rPr>
          <w:rFonts w:hint="eastAsia" w:ascii="宋体" w:hAnsi="宋体" w:eastAsia="宋体" w:cs="宋体"/>
          <w:b/>
          <w:bCs/>
          <w:color w:val="auto"/>
          <w:sz w:val="22"/>
          <w:szCs w:val="22"/>
          <w:highlight w:val="none"/>
        </w:rPr>
        <w:t>六、定标办法</w:t>
      </w:r>
      <w:bookmarkEnd w:id="60"/>
      <w:bookmarkEnd w:id="61"/>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62" w:name="_Toc17587"/>
      <w:bookmarkStart w:id="63" w:name="_Toc3629"/>
      <w:r>
        <w:rPr>
          <w:rFonts w:hint="eastAsia" w:ascii="宋体" w:hAnsi="宋体" w:eastAsia="宋体" w:cs="宋体"/>
          <w:b/>
          <w:color w:val="auto"/>
          <w:sz w:val="22"/>
          <w:szCs w:val="22"/>
          <w:highlight w:val="none"/>
        </w:rPr>
        <w:t>七、投标人义务</w:t>
      </w:r>
      <w:bookmarkEnd w:id="62"/>
      <w:bookmarkEnd w:id="63"/>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WZLCZB（W）-2022-08403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WZLCZB（W）-2022-08403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A21D3404"/>
    <w:multiLevelType w:val="singleLevel"/>
    <w:tmpl w:val="A21D3404"/>
    <w:lvl w:ilvl="0" w:tentative="0">
      <w:start w:val="4"/>
      <w:numFmt w:val="chineseCounting"/>
      <w:suff w:val="nothing"/>
      <w:lvlText w:val="%1、"/>
      <w:lvlJc w:val="left"/>
      <w:rPr>
        <w:rFonts w:hint="eastAsia"/>
      </w:rPr>
    </w:lvl>
  </w:abstractNum>
  <w:abstractNum w:abstractNumId="3">
    <w:nsid w:val="B1C0EE6B"/>
    <w:multiLevelType w:val="singleLevel"/>
    <w:tmpl w:val="B1C0EE6B"/>
    <w:lvl w:ilvl="0" w:tentative="0">
      <w:start w:val="5"/>
      <w:numFmt w:val="chineseCounting"/>
      <w:suff w:val="nothing"/>
      <w:lvlText w:val="%1、"/>
      <w:lvlJc w:val="left"/>
      <w:rPr>
        <w:rFonts w:hint="eastAsia"/>
      </w:rPr>
    </w:lvl>
  </w:abstractNum>
  <w:abstractNum w:abstractNumId="4">
    <w:nsid w:val="BAF9EC89"/>
    <w:multiLevelType w:val="singleLevel"/>
    <w:tmpl w:val="BAF9EC89"/>
    <w:lvl w:ilvl="0" w:tentative="0">
      <w:start w:val="1"/>
      <w:numFmt w:val="chineseCounting"/>
      <w:suff w:val="nothing"/>
      <w:lvlText w:val="（%1）"/>
      <w:lvlJc w:val="left"/>
      <w:rPr>
        <w:rFonts w:hint="eastAsia"/>
      </w:rPr>
    </w:lvl>
  </w:abstractNum>
  <w:abstractNum w:abstractNumId="5">
    <w:nsid w:val="CD31F181"/>
    <w:multiLevelType w:val="singleLevel"/>
    <w:tmpl w:val="CD31F181"/>
    <w:lvl w:ilvl="0" w:tentative="0">
      <w:start w:val="1"/>
      <w:numFmt w:val="decimal"/>
      <w:suff w:val="nothing"/>
      <w:lvlText w:val="%1、"/>
      <w:lvlJc w:val="left"/>
    </w:lvl>
  </w:abstractNum>
  <w:abstractNum w:abstractNumId="6">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8">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52D7A3B6"/>
    <w:multiLevelType w:val="singleLevel"/>
    <w:tmpl w:val="52D7A3B6"/>
    <w:lvl w:ilvl="0" w:tentative="0">
      <w:start w:val="1"/>
      <w:numFmt w:val="decimal"/>
      <w:suff w:val="nothing"/>
      <w:lvlText w:val="（%1）"/>
      <w:lvlJc w:val="left"/>
    </w:lvl>
  </w:abstractNum>
  <w:abstractNum w:abstractNumId="10">
    <w:nsid w:val="79D77B1C"/>
    <w:multiLevelType w:val="multilevel"/>
    <w:tmpl w:val="79D77B1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8"/>
  </w:num>
  <w:num w:numId="4">
    <w:abstractNumId w:val="0"/>
  </w:num>
  <w:num w:numId="5">
    <w:abstractNumId w:val="9"/>
  </w:num>
  <w:num w:numId="6">
    <w:abstractNumId w:val="5"/>
  </w:num>
  <w:num w:numId="7">
    <w:abstractNumId w:val="4"/>
  </w:num>
  <w:num w:numId="8">
    <w:abstractNumId w:val="1"/>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DA4A74"/>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992721"/>
    <w:rsid w:val="05D76F02"/>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805332"/>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AC1F4C"/>
    <w:rsid w:val="0BBE4F63"/>
    <w:rsid w:val="0BDA530A"/>
    <w:rsid w:val="0C0247C0"/>
    <w:rsid w:val="0C353302"/>
    <w:rsid w:val="0C49629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412EDF"/>
    <w:rsid w:val="196E2C37"/>
    <w:rsid w:val="1974690A"/>
    <w:rsid w:val="1A510684"/>
    <w:rsid w:val="1A6171B2"/>
    <w:rsid w:val="1AA65F2A"/>
    <w:rsid w:val="1AA666F2"/>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3F3652"/>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4B7BA3"/>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7A33A1"/>
    <w:rsid w:val="21872636"/>
    <w:rsid w:val="218F2648"/>
    <w:rsid w:val="21AB5C9B"/>
    <w:rsid w:val="21B427AB"/>
    <w:rsid w:val="21BD46E0"/>
    <w:rsid w:val="227C0C68"/>
    <w:rsid w:val="227D1F07"/>
    <w:rsid w:val="22AE5DFE"/>
    <w:rsid w:val="23025E80"/>
    <w:rsid w:val="235C31B0"/>
    <w:rsid w:val="23957A8C"/>
    <w:rsid w:val="23C16FD2"/>
    <w:rsid w:val="242C445B"/>
    <w:rsid w:val="248B6BF0"/>
    <w:rsid w:val="24975A35"/>
    <w:rsid w:val="24A451C8"/>
    <w:rsid w:val="24B0777F"/>
    <w:rsid w:val="24B80E3D"/>
    <w:rsid w:val="24BA3A6C"/>
    <w:rsid w:val="24C14262"/>
    <w:rsid w:val="24DB11B1"/>
    <w:rsid w:val="24DB1DC1"/>
    <w:rsid w:val="254579AD"/>
    <w:rsid w:val="25550995"/>
    <w:rsid w:val="25916749"/>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0363B"/>
    <w:rsid w:val="2B766889"/>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407F4E"/>
    <w:rsid w:val="2F92082D"/>
    <w:rsid w:val="2FAF734F"/>
    <w:rsid w:val="2FB74538"/>
    <w:rsid w:val="2FF16930"/>
    <w:rsid w:val="30255652"/>
    <w:rsid w:val="302A5959"/>
    <w:rsid w:val="305B0C4B"/>
    <w:rsid w:val="306F34C7"/>
    <w:rsid w:val="30B02C3C"/>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58526AE"/>
    <w:rsid w:val="35B54B22"/>
    <w:rsid w:val="35C7537D"/>
    <w:rsid w:val="35DF0F8E"/>
    <w:rsid w:val="35E83CBD"/>
    <w:rsid w:val="35EF293B"/>
    <w:rsid w:val="35F13A2A"/>
    <w:rsid w:val="35FD564E"/>
    <w:rsid w:val="360453EB"/>
    <w:rsid w:val="36187604"/>
    <w:rsid w:val="362C0965"/>
    <w:rsid w:val="36495F37"/>
    <w:rsid w:val="36523501"/>
    <w:rsid w:val="366A6E58"/>
    <w:rsid w:val="37366041"/>
    <w:rsid w:val="373D0F4E"/>
    <w:rsid w:val="37625DAE"/>
    <w:rsid w:val="377717B0"/>
    <w:rsid w:val="379D7A74"/>
    <w:rsid w:val="37A03DDA"/>
    <w:rsid w:val="37DC389E"/>
    <w:rsid w:val="37E41DF1"/>
    <w:rsid w:val="37FC364E"/>
    <w:rsid w:val="38463090"/>
    <w:rsid w:val="387549E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00415"/>
    <w:rsid w:val="3FAC6CE4"/>
    <w:rsid w:val="3FDA48AC"/>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111AA6"/>
    <w:rsid w:val="4246080B"/>
    <w:rsid w:val="42CE24FD"/>
    <w:rsid w:val="42F302DD"/>
    <w:rsid w:val="43260C43"/>
    <w:rsid w:val="438034F8"/>
    <w:rsid w:val="4388321A"/>
    <w:rsid w:val="441A31FF"/>
    <w:rsid w:val="446A3759"/>
    <w:rsid w:val="446B4961"/>
    <w:rsid w:val="449428DA"/>
    <w:rsid w:val="45132E7E"/>
    <w:rsid w:val="456F7A14"/>
    <w:rsid w:val="45B725A0"/>
    <w:rsid w:val="461C441F"/>
    <w:rsid w:val="462E25CA"/>
    <w:rsid w:val="46303A17"/>
    <w:rsid w:val="465A58CC"/>
    <w:rsid w:val="46620428"/>
    <w:rsid w:val="46946398"/>
    <w:rsid w:val="46D637ED"/>
    <w:rsid w:val="46DD3F38"/>
    <w:rsid w:val="46F16F1D"/>
    <w:rsid w:val="46FD2CBF"/>
    <w:rsid w:val="472910BD"/>
    <w:rsid w:val="47553E8E"/>
    <w:rsid w:val="477C293C"/>
    <w:rsid w:val="47CA2F97"/>
    <w:rsid w:val="47D84675"/>
    <w:rsid w:val="47E17B3A"/>
    <w:rsid w:val="47FF4104"/>
    <w:rsid w:val="48034310"/>
    <w:rsid w:val="481379C4"/>
    <w:rsid w:val="4816651B"/>
    <w:rsid w:val="481947FE"/>
    <w:rsid w:val="483B043E"/>
    <w:rsid w:val="486B0826"/>
    <w:rsid w:val="486B1D8E"/>
    <w:rsid w:val="48A93D74"/>
    <w:rsid w:val="48D139F6"/>
    <w:rsid w:val="48F56DD6"/>
    <w:rsid w:val="491916C6"/>
    <w:rsid w:val="49573AC8"/>
    <w:rsid w:val="49AA7971"/>
    <w:rsid w:val="49FE240E"/>
    <w:rsid w:val="4A141151"/>
    <w:rsid w:val="4A316318"/>
    <w:rsid w:val="4A643B84"/>
    <w:rsid w:val="4A777A6A"/>
    <w:rsid w:val="4A791AFA"/>
    <w:rsid w:val="4AC9062D"/>
    <w:rsid w:val="4AE52C42"/>
    <w:rsid w:val="4AF2187D"/>
    <w:rsid w:val="4AFC3953"/>
    <w:rsid w:val="4B103205"/>
    <w:rsid w:val="4B1E385E"/>
    <w:rsid w:val="4B425A6C"/>
    <w:rsid w:val="4B6870F9"/>
    <w:rsid w:val="4B6C2969"/>
    <w:rsid w:val="4BCF6DCB"/>
    <w:rsid w:val="4BD06B38"/>
    <w:rsid w:val="4BDF321A"/>
    <w:rsid w:val="4C0065CE"/>
    <w:rsid w:val="4C18241E"/>
    <w:rsid w:val="4C227943"/>
    <w:rsid w:val="4C472142"/>
    <w:rsid w:val="4C5F22C4"/>
    <w:rsid w:val="4C9463A6"/>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33826"/>
    <w:rsid w:val="51E71C22"/>
    <w:rsid w:val="520C6B50"/>
    <w:rsid w:val="522E62F3"/>
    <w:rsid w:val="52A33960"/>
    <w:rsid w:val="52B476CE"/>
    <w:rsid w:val="52F47A95"/>
    <w:rsid w:val="531645CA"/>
    <w:rsid w:val="531B3F31"/>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AB5944"/>
    <w:rsid w:val="56F645A2"/>
    <w:rsid w:val="57214861"/>
    <w:rsid w:val="572B4616"/>
    <w:rsid w:val="57541EAD"/>
    <w:rsid w:val="577465D8"/>
    <w:rsid w:val="57AE5029"/>
    <w:rsid w:val="57C23486"/>
    <w:rsid w:val="57D123D3"/>
    <w:rsid w:val="58117CC1"/>
    <w:rsid w:val="581B6D8F"/>
    <w:rsid w:val="582C3384"/>
    <w:rsid w:val="58580AAD"/>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51758"/>
    <w:rsid w:val="5B0D5524"/>
    <w:rsid w:val="5B581F93"/>
    <w:rsid w:val="5B6B529B"/>
    <w:rsid w:val="5BB250E2"/>
    <w:rsid w:val="5BB3320D"/>
    <w:rsid w:val="5BC31A45"/>
    <w:rsid w:val="5BC772C9"/>
    <w:rsid w:val="5C465FA2"/>
    <w:rsid w:val="5C544090"/>
    <w:rsid w:val="5C726BB6"/>
    <w:rsid w:val="5C7322D1"/>
    <w:rsid w:val="5CEF4070"/>
    <w:rsid w:val="5CFC28A8"/>
    <w:rsid w:val="5D246FFC"/>
    <w:rsid w:val="5D36426B"/>
    <w:rsid w:val="5DDA696A"/>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9166C0"/>
    <w:rsid w:val="62AE4BDA"/>
    <w:rsid w:val="62C97640"/>
    <w:rsid w:val="62D27C48"/>
    <w:rsid w:val="63032948"/>
    <w:rsid w:val="6307315E"/>
    <w:rsid w:val="63184211"/>
    <w:rsid w:val="631B5AD9"/>
    <w:rsid w:val="63512CC8"/>
    <w:rsid w:val="635C575B"/>
    <w:rsid w:val="636863CF"/>
    <w:rsid w:val="63752C12"/>
    <w:rsid w:val="638C1080"/>
    <w:rsid w:val="63B413CF"/>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6E048BA"/>
    <w:rsid w:val="67144976"/>
    <w:rsid w:val="67202357"/>
    <w:rsid w:val="67603F26"/>
    <w:rsid w:val="67D3264E"/>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1C66C3"/>
    <w:rsid w:val="713927A1"/>
    <w:rsid w:val="71426CAF"/>
    <w:rsid w:val="719525E5"/>
    <w:rsid w:val="71C43EDF"/>
    <w:rsid w:val="71D12B7B"/>
    <w:rsid w:val="72047D57"/>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F651E3"/>
    <w:rsid w:val="7A041962"/>
    <w:rsid w:val="7A4A0DFD"/>
    <w:rsid w:val="7A552236"/>
    <w:rsid w:val="7A735659"/>
    <w:rsid w:val="7A7E0068"/>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2"/>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2"/>
    <w:link w:val="70"/>
    <w:qFormat/>
    <w:uiPriority w:val="0"/>
    <w:pPr>
      <w:keepNext/>
      <w:keepLines/>
      <w:spacing w:before="240" w:after="64" w:line="317" w:lineRule="auto"/>
      <w:outlineLvl w:val="6"/>
    </w:pPr>
    <w:rPr>
      <w:b/>
      <w:sz w:val="24"/>
      <w:szCs w:val="20"/>
    </w:rPr>
  </w:style>
  <w:style w:type="paragraph" w:styleId="11">
    <w:name w:val="heading 8"/>
    <w:basedOn w:val="1"/>
    <w:next w:val="2"/>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2"/>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1"/>
    <w:link w:val="164"/>
    <w:qFormat/>
    <w:uiPriority w:val="0"/>
    <w:pPr>
      <w:spacing w:after="120"/>
    </w:pPr>
    <w:rPr>
      <w:rFonts w:ascii="仿宋_GB2312"/>
      <w:b/>
    </w:rPr>
  </w:style>
  <w:style w:type="paragraph" w:styleId="23">
    <w:name w:val="Body Text Indent"/>
    <w:basedOn w:val="1"/>
    <w:link w:val="144"/>
    <w:qFormat/>
    <w:uiPriority w:val="0"/>
    <w:pPr>
      <w:ind w:left="480" w:hanging="480" w:hangingChars="200"/>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qFormat/>
    <w:uiPriority w:val="0"/>
    <w:pPr>
      <w:ind w:left="100" w:leftChars="2500"/>
    </w:pPr>
  </w:style>
  <w:style w:type="paragraph" w:styleId="33">
    <w:name w:val="Body Text Indent 2"/>
    <w:basedOn w:val="1"/>
    <w:link w:val="178"/>
    <w:qFormat/>
    <w:uiPriority w:val="0"/>
    <w:pPr>
      <w:spacing w:line="500" w:lineRule="exact"/>
      <w:ind w:firstLine="511" w:firstLineChars="213"/>
    </w:pPr>
    <w:rPr>
      <w:sz w:val="24"/>
    </w:rPr>
  </w:style>
  <w:style w:type="paragraph" w:styleId="34">
    <w:name w:val="Balloon Text"/>
    <w:basedOn w:val="1"/>
    <w:link w:val="151"/>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sz w:val="18"/>
      <w:szCs w:val="18"/>
    </w:rPr>
  </w:style>
  <w:style w:type="paragraph" w:styleId="36">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8"/>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qFormat/>
    <w:uiPriority w:val="0"/>
    <w:rPr>
      <w:b/>
      <w:bCs/>
    </w:rPr>
  </w:style>
  <w:style w:type="paragraph" w:styleId="51">
    <w:name w:val="Body Text First Indent"/>
    <w:basedOn w:val="22"/>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3"/>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2"/>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5"/>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8"/>
    <w:qFormat/>
    <w:uiPriority w:val="0"/>
    <w:rPr>
      <w:rFonts w:eastAsia="宋体"/>
      <w:b/>
      <w:bCs/>
      <w:sz w:val="28"/>
      <w:szCs w:val="28"/>
      <w:lang w:bidi="ar-SA"/>
    </w:rPr>
  </w:style>
  <w:style w:type="character" w:customStyle="1" w:styleId="133">
    <w:name w:val="日期 Char"/>
    <w:link w:val="32"/>
    <w:qFormat/>
    <w:uiPriority w:val="0"/>
    <w:rPr>
      <w:rFonts w:eastAsia="宋体"/>
      <w:kern w:val="2"/>
      <w:sz w:val="21"/>
      <w:szCs w:val="24"/>
      <w:lang w:val="en-US" w:eastAsia="zh-CN" w:bidi="ar-SA"/>
    </w:rPr>
  </w:style>
  <w:style w:type="character" w:customStyle="1" w:styleId="134">
    <w:name w:val="副标题 Char"/>
    <w:link w:val="40"/>
    <w:qFormat/>
    <w:uiPriority w:val="0"/>
    <w:rPr>
      <w:rFonts w:ascii="Cambria" w:hAnsi="Cambria" w:eastAsia="宋体"/>
      <w:b/>
      <w:bCs/>
      <w:kern w:val="28"/>
      <w:sz w:val="32"/>
      <w:szCs w:val="32"/>
      <w:lang w:val="en-US" w:eastAsia="zh-CN" w:bidi="ar-SA"/>
    </w:rPr>
  </w:style>
  <w:style w:type="character" w:customStyle="1" w:styleId="135">
    <w:name w:val="页眉 Char"/>
    <w:link w:val="36"/>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3"/>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4"/>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4"/>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7"/>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3"/>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9"/>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7"/>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2"/>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2"/>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2"/>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2"/>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52</Pages>
  <Words>25947</Words>
  <Characters>27052</Characters>
  <Lines>322</Lines>
  <Paragraphs>90</Paragraphs>
  <TotalTime>0</TotalTime>
  <ScaleCrop>false</ScaleCrop>
  <LinksUpToDate>false</LinksUpToDate>
  <CharactersWithSpaces>29538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2021-03-22T07:00:00Z</cp:lastPrinted>
  <dcterms:modified xsi:type="dcterms:W3CDTF">2022-09-02T08:32:41Z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BC1BA64C697642BF92F420CC9F67FF35</vt:lpwstr>
  </property>
</Properties>
</file>