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both"/>
        <w:rPr>
          <w:rFonts w:hint="eastAsia" w:ascii="宋体" w:hAnsi="宋体" w:eastAsia="宋体" w:cs="宋体"/>
          <w:b/>
          <w:bCs/>
          <w:color w:val="auto"/>
          <w:sz w:val="52"/>
          <w:szCs w:val="52"/>
          <w:highlight w:val="none"/>
        </w:rPr>
      </w:pPr>
      <w:r>
        <w:rPr>
          <w:rFonts w:hint="eastAsia" w:ascii="宋体" w:hAnsi="宋体" w:eastAsia="宋体" w:cs="宋体"/>
          <w:color w:val="auto"/>
          <w:spacing w:val="20"/>
          <w:sz w:val="84"/>
          <w:highlight w:val="none"/>
        </w:rPr>
        <w:t>温州市政府（分散）采购</w:t>
      </w:r>
    </w:p>
    <w:p>
      <w:pPr>
        <w:jc w:val="center"/>
        <w:rPr>
          <w:rFonts w:hint="eastAsia" w:ascii="宋体" w:hAnsi="宋体" w:eastAsia="宋体" w:cs="宋体"/>
          <w:b/>
          <w:bCs/>
          <w:color w:val="auto"/>
          <w:spacing w:val="26"/>
          <w:sz w:val="52"/>
          <w:highlight w:val="none"/>
        </w:rPr>
      </w:pPr>
    </w:p>
    <w:p>
      <w:pPr>
        <w:keepNext/>
        <w:keepLines w:val="0"/>
        <w:pageBreakBefore w:val="0"/>
        <w:widowControl w:val="0"/>
        <w:kinsoku/>
        <w:wordWrap/>
        <w:overflowPunct/>
        <w:topLinePunct w:val="0"/>
        <w:autoSpaceDE/>
        <w:autoSpaceDN/>
        <w:bidi w:val="0"/>
        <w:adjustRightInd/>
        <w:snapToGrid/>
        <w:textAlignment w:val="auto"/>
        <w:outlineLvl w:val="9"/>
        <w:rPr>
          <w:rFonts w:hint="eastAsia"/>
          <w:color w:val="auto"/>
          <w:highlight w:val="none"/>
        </w:rPr>
      </w:pPr>
    </w:p>
    <w:p>
      <w:pPr>
        <w:ind w:firstLine="2357" w:firstLineChars="235"/>
        <w:rPr>
          <w:rFonts w:hint="eastAsia" w:ascii="宋体" w:hAnsi="宋体" w:eastAsia="宋体" w:cs="宋体"/>
          <w:b/>
          <w:bCs/>
          <w:color w:val="auto"/>
          <w:spacing w:val="140"/>
          <w:sz w:val="72"/>
          <w:highlight w:val="none"/>
        </w:rPr>
      </w:pPr>
    </w:p>
    <w:p>
      <w:pPr>
        <w:adjustRightInd w:val="0"/>
        <w:snapToGrid w:val="0"/>
        <w:spacing w:line="480" w:lineRule="auto"/>
        <w:ind w:right="361"/>
        <w:jc w:val="center"/>
        <w:rPr>
          <w:rFonts w:hint="eastAsia" w:ascii="宋体" w:hAnsi="宋体" w:eastAsia="宋体" w:cs="宋体"/>
          <w:b w:val="0"/>
          <w:bCs w:val="0"/>
          <w:color w:val="auto"/>
          <w:sz w:val="72"/>
          <w:szCs w:val="72"/>
          <w:highlight w:val="none"/>
        </w:rPr>
      </w:pPr>
      <w:r>
        <w:rPr>
          <w:rFonts w:hint="eastAsia" w:ascii="宋体" w:hAnsi="宋体" w:eastAsia="宋体" w:cs="宋体"/>
          <w:b w:val="0"/>
          <w:bCs w:val="0"/>
          <w:color w:val="auto"/>
          <w:sz w:val="72"/>
          <w:szCs w:val="72"/>
          <w:highlight w:val="none"/>
        </w:rPr>
        <w:t>招 标 文 件</w:t>
      </w:r>
    </w:p>
    <w:tbl>
      <w:tblPr>
        <w:tblStyle w:val="53"/>
        <w:tblW w:w="0" w:type="auto"/>
        <w:tblInd w:w="9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80"/>
        <w:gridCol w:w="5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编 号</w:t>
            </w:r>
            <w:r>
              <w:rPr>
                <w:rFonts w:hint="eastAsia" w:ascii="宋体" w:hAnsi="宋体" w:eastAsia="宋体" w:cs="宋体"/>
                <w:b w:val="0"/>
                <w:bCs w:val="0"/>
                <w:color w:val="auto"/>
                <w:spacing w:val="40"/>
                <w:sz w:val="28"/>
                <w:highlight w:val="none"/>
              </w:rPr>
              <w:t>：</w:t>
            </w:r>
          </w:p>
        </w:tc>
        <w:tc>
          <w:tcPr>
            <w:tcW w:w="5730" w:type="dxa"/>
            <w:vAlign w:val="center"/>
          </w:tcPr>
          <w:p>
            <w:pPr>
              <w:spacing w:line="700" w:lineRule="exact"/>
              <w:jc w:val="center"/>
              <w:rPr>
                <w:rFonts w:hint="eastAsia" w:ascii="宋体" w:hAnsi="宋体" w:eastAsia="宋体" w:cs="宋体"/>
                <w:b w:val="0"/>
                <w:bCs w:val="0"/>
                <w:color w:val="auto"/>
                <w:sz w:val="24"/>
                <w:highlight w:val="none"/>
                <w:vertAlign w:val="baseline"/>
                <w:lang w:eastAsia="zh-CN"/>
              </w:rPr>
            </w:pPr>
            <w:r>
              <w:rPr>
                <w:rFonts w:hint="eastAsia" w:ascii="宋体" w:hAnsi="宋体" w:cs="宋体"/>
                <w:b w:val="0"/>
                <w:bCs w:val="0"/>
                <w:color w:val="auto"/>
                <w:spacing w:val="40"/>
                <w:sz w:val="28"/>
                <w:highlight w:val="none"/>
                <w:lang w:eastAsia="zh-CN"/>
              </w:rPr>
              <w:t>WZLCZB（W）-2022-07353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名 称：</w:t>
            </w:r>
          </w:p>
        </w:tc>
        <w:tc>
          <w:tcPr>
            <w:tcW w:w="573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cs="宋体"/>
                <w:b w:val="0"/>
                <w:bCs w:val="0"/>
                <w:color w:val="auto"/>
                <w:sz w:val="30"/>
                <w:szCs w:val="30"/>
                <w:highlight w:val="none"/>
                <w:lang w:eastAsia="zh-CN"/>
              </w:rPr>
              <w:t>东瓯大桥日常维养（3年）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采 购 方 式：</w:t>
            </w:r>
          </w:p>
        </w:tc>
        <w:tc>
          <w:tcPr>
            <w:tcW w:w="573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评 审 方 式：</w:t>
            </w:r>
          </w:p>
        </w:tc>
        <w:tc>
          <w:tcPr>
            <w:tcW w:w="573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线上电子招投标</w:t>
            </w:r>
          </w:p>
        </w:tc>
      </w:tr>
    </w:tbl>
    <w:p>
      <w:pPr>
        <w:spacing w:line="700" w:lineRule="exact"/>
        <w:ind w:firstLine="723" w:firstLineChars="300"/>
        <w:jc w:val="left"/>
        <w:rPr>
          <w:rFonts w:hint="eastAsia" w:ascii="宋体" w:hAnsi="宋体" w:eastAsia="宋体" w:cs="宋体"/>
          <w:b/>
          <w:bCs/>
          <w:color w:val="auto"/>
          <w:sz w:val="24"/>
          <w:highlight w:val="none"/>
        </w:rPr>
      </w:pPr>
    </w:p>
    <w:p>
      <w:pPr>
        <w:spacing w:line="700" w:lineRule="exact"/>
        <w:ind w:firstLine="904" w:firstLineChars="300"/>
        <w:jc w:val="left"/>
        <w:rPr>
          <w:rFonts w:hint="eastAsia" w:ascii="宋体" w:hAnsi="宋体" w:eastAsia="宋体" w:cs="宋体"/>
          <w:b/>
          <w:color w:val="auto"/>
          <w:spacing w:val="40"/>
          <w:sz w:val="30"/>
          <w:szCs w:val="30"/>
          <w:highlight w:val="none"/>
        </w:rPr>
      </w:pP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rPr>
        <w:t xml:space="preserve">  </w:t>
      </w:r>
    </w:p>
    <w:p>
      <w:pPr>
        <w:spacing w:line="700" w:lineRule="exact"/>
        <w:ind w:left="3802" w:leftChars="540" w:hanging="2668" w:hangingChars="700"/>
        <w:rPr>
          <w:rFonts w:hint="eastAsia" w:ascii="宋体" w:hAnsi="宋体" w:eastAsia="宋体" w:cs="宋体"/>
          <w:b/>
          <w:color w:val="auto"/>
          <w:spacing w:val="40"/>
          <w:sz w:val="30"/>
          <w:szCs w:val="30"/>
          <w:highlight w:val="none"/>
        </w:rPr>
      </w:pPr>
    </w:p>
    <w:p>
      <w:pPr>
        <w:keepNext/>
        <w:spacing w:line="700" w:lineRule="exact"/>
        <w:rPr>
          <w:rFonts w:hint="eastAsia" w:ascii="宋体" w:hAnsi="宋体" w:eastAsia="宋体" w:cs="宋体"/>
          <w:b/>
          <w:color w:val="auto"/>
          <w:spacing w:val="40"/>
          <w:sz w:val="30"/>
          <w:szCs w:val="30"/>
          <w:highlight w:val="none"/>
        </w:rPr>
      </w:pPr>
      <w:r>
        <w:rPr>
          <w:rFonts w:hint="eastAsia" w:ascii="宋体" w:hAnsi="宋体" w:eastAsia="宋体" w:cs="宋体"/>
          <w:b/>
          <w:color w:val="auto"/>
          <w:spacing w:val="40"/>
          <w:sz w:val="30"/>
          <w:szCs w:val="30"/>
          <w:highlight w:val="none"/>
        </w:rPr>
        <w:t xml:space="preserve">    </w:t>
      </w:r>
    </w:p>
    <w:p>
      <w:pPr>
        <w:keepNext/>
        <w:keepLines w:val="0"/>
        <w:pageBreakBefore w:val="0"/>
        <w:widowControl w:val="0"/>
        <w:kinsoku/>
        <w:wordWrap/>
        <w:overflowPunct/>
        <w:topLinePunct w:val="0"/>
        <w:autoSpaceDE/>
        <w:autoSpaceDN/>
        <w:bidi w:val="0"/>
        <w:adjustRightInd/>
        <w:snapToGrid/>
        <w:textAlignment w:val="auto"/>
        <w:outlineLvl w:val="9"/>
        <w:rPr>
          <w:rFonts w:hint="eastAsia"/>
          <w:color w:val="auto"/>
          <w:highlight w:val="none"/>
        </w:rPr>
      </w:pPr>
    </w:p>
    <w:p>
      <w:pPr>
        <w:spacing w:line="600" w:lineRule="exact"/>
        <w:jc w:val="center"/>
        <w:rPr>
          <w:rFonts w:hint="eastAsia" w:ascii="宋体" w:hAnsi="宋体" w:eastAsia="宋体" w:cs="宋体"/>
          <w:color w:val="auto"/>
          <w:spacing w:val="30"/>
          <w:sz w:val="30"/>
          <w:highlight w:val="none"/>
          <w:lang w:eastAsia="zh-CN"/>
        </w:rPr>
      </w:pPr>
      <w:r>
        <w:rPr>
          <w:rFonts w:hint="eastAsia" w:ascii="宋体" w:hAnsi="宋体" w:eastAsia="宋体" w:cs="宋体"/>
          <w:color w:val="auto"/>
          <w:spacing w:val="30"/>
          <w:sz w:val="30"/>
          <w:highlight w:val="none"/>
        </w:rPr>
        <w:t>招 标 人:</w:t>
      </w:r>
      <w:r>
        <w:rPr>
          <w:rFonts w:hint="eastAsia" w:ascii="宋体" w:hAnsi="宋体" w:cs="宋体"/>
          <w:color w:val="auto"/>
          <w:spacing w:val="30"/>
          <w:sz w:val="30"/>
          <w:highlight w:val="none"/>
          <w:lang w:eastAsia="zh-CN"/>
        </w:rPr>
        <w:t>温州市市政管理中心</w:t>
      </w:r>
    </w:p>
    <w:p>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招标代理机构：温州历程招标有限公司</w:t>
      </w:r>
    </w:p>
    <w:p>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二0二</w:t>
      </w:r>
      <w:r>
        <w:rPr>
          <w:rFonts w:hint="eastAsia" w:ascii="宋体" w:hAnsi="宋体" w:cs="宋体"/>
          <w:color w:val="auto"/>
          <w:spacing w:val="30"/>
          <w:sz w:val="30"/>
          <w:highlight w:val="none"/>
          <w:lang w:val="en-US" w:eastAsia="zh-CN"/>
        </w:rPr>
        <w:t>二</w:t>
      </w:r>
      <w:r>
        <w:rPr>
          <w:rFonts w:hint="eastAsia" w:ascii="宋体" w:hAnsi="宋体" w:eastAsia="宋体" w:cs="宋体"/>
          <w:color w:val="auto"/>
          <w:spacing w:val="30"/>
          <w:sz w:val="30"/>
          <w:highlight w:val="none"/>
        </w:rPr>
        <w:t>年</w:t>
      </w:r>
      <w:r>
        <w:rPr>
          <w:rFonts w:hint="eastAsia" w:ascii="宋体" w:hAnsi="宋体" w:cs="宋体"/>
          <w:color w:val="auto"/>
          <w:spacing w:val="30"/>
          <w:sz w:val="30"/>
          <w:highlight w:val="none"/>
          <w:lang w:val="en-US" w:eastAsia="zh-CN"/>
        </w:rPr>
        <w:t>七</w:t>
      </w:r>
      <w:r>
        <w:rPr>
          <w:rFonts w:hint="eastAsia" w:ascii="宋体" w:hAnsi="宋体" w:eastAsia="宋体" w:cs="宋体"/>
          <w:color w:val="auto"/>
          <w:spacing w:val="30"/>
          <w:sz w:val="30"/>
          <w:highlight w:val="none"/>
        </w:rPr>
        <w:t>月</w:t>
      </w:r>
    </w:p>
    <w:p>
      <w:pPr>
        <w:rPr>
          <w:rFonts w:hint="eastAsia"/>
          <w:color w:val="auto"/>
          <w:highlight w:val="none"/>
        </w:rPr>
      </w:pPr>
      <w:r>
        <w:rPr>
          <w:rFonts w:hint="eastAsia" w:ascii="宋体" w:hAnsi="宋体" w:eastAsia="宋体" w:cs="宋体"/>
          <w:b/>
          <w:color w:val="auto"/>
          <w:sz w:val="36"/>
          <w:szCs w:val="36"/>
          <w:highlight w:val="none"/>
        </w:rPr>
        <w:br w:type="page"/>
      </w:r>
    </w:p>
    <w:sdt>
      <w:sdtPr>
        <w:rPr>
          <w:rFonts w:hint="eastAsia" w:ascii="宋体" w:hAnsi="宋体" w:eastAsia="宋体" w:cs="宋体"/>
          <w:color w:val="auto"/>
          <w:kern w:val="2"/>
          <w:sz w:val="21"/>
          <w:szCs w:val="24"/>
          <w:highlight w:val="none"/>
          <w:lang w:val="en-US" w:eastAsia="zh-CN" w:bidi="ar-SA"/>
        </w:rPr>
        <w:id w:val="147459729"/>
        <w15:color w:val="DBDBDB"/>
        <w:docPartObj>
          <w:docPartGallery w:val="Table of Contents"/>
          <w:docPartUnique/>
        </w:docPartObj>
      </w:sdtPr>
      <w:sdtEndPr>
        <w:rPr>
          <w:rFonts w:hint="eastAsia" w:ascii="宋体" w:hAnsi="宋体" w:eastAsia="宋体" w:cs="宋体"/>
          <w:color w:val="auto"/>
          <w:kern w:val="2"/>
          <w:sz w:val="21"/>
          <w:szCs w:val="36"/>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color w:val="auto"/>
              <w:highlight w:val="none"/>
            </w:rPr>
          </w:pPr>
        </w:p>
        <w:p>
          <w:pPr>
            <w:pStyle w:val="37"/>
            <w:tabs>
              <w:tab w:val="right" w:leader="dot" w:pos="9638"/>
            </w:tabs>
            <w:spacing w:line="360" w:lineRule="auto"/>
            <w:jc w:val="cente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目  录</w:t>
          </w:r>
        </w:p>
        <w:p>
          <w:pPr>
            <w:pStyle w:val="37"/>
            <w:tabs>
              <w:tab w:val="right" w:leader="dot" w:pos="9638"/>
            </w:tabs>
            <w:spacing w:line="360" w:lineRule="auto"/>
            <w:rPr>
              <w:color w:val="auto"/>
              <w:sz w:val="22"/>
              <w:szCs w:val="28"/>
              <w:highlight w:val="none"/>
            </w:rPr>
          </w:pPr>
          <w:r>
            <w:rPr>
              <w:rFonts w:hint="eastAsia" w:ascii="宋体" w:hAnsi="宋体" w:eastAsia="宋体" w:cs="宋体"/>
              <w:b/>
              <w:color w:val="auto"/>
              <w:sz w:val="40"/>
              <w:szCs w:val="40"/>
              <w:highlight w:val="none"/>
            </w:rPr>
            <w:fldChar w:fldCharType="begin"/>
          </w:r>
          <w:r>
            <w:rPr>
              <w:rFonts w:hint="eastAsia" w:ascii="宋体" w:hAnsi="宋体" w:eastAsia="宋体" w:cs="宋体"/>
              <w:b/>
              <w:color w:val="auto"/>
              <w:sz w:val="40"/>
              <w:szCs w:val="40"/>
              <w:highlight w:val="none"/>
            </w:rPr>
            <w:instrText xml:space="preserve">TOC \o "1-3" \h \u </w:instrText>
          </w:r>
          <w:r>
            <w:rPr>
              <w:rFonts w:hint="eastAsia" w:ascii="宋体" w:hAnsi="宋体" w:eastAsia="宋体" w:cs="宋体"/>
              <w:b/>
              <w:color w:val="auto"/>
              <w:sz w:val="40"/>
              <w:szCs w:val="40"/>
              <w:highlight w:val="none"/>
            </w:rPr>
            <w:fldChar w:fldCharType="separate"/>
          </w: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_Toc6599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招</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标</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公</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告</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_Toc6599 \h </w:instrText>
          </w:r>
          <w:r>
            <w:rPr>
              <w:color w:val="auto"/>
              <w:sz w:val="22"/>
              <w:szCs w:val="28"/>
              <w:highlight w:val="none"/>
            </w:rPr>
            <w:fldChar w:fldCharType="separate"/>
          </w:r>
          <w:r>
            <w:rPr>
              <w:color w:val="auto"/>
              <w:sz w:val="22"/>
              <w:szCs w:val="28"/>
              <w:highlight w:val="none"/>
            </w:rPr>
            <w:t>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37"/>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_Toc10401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第一部分    投标人须知</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_Toc10401 \h </w:instrText>
          </w:r>
          <w:r>
            <w:rPr>
              <w:color w:val="auto"/>
              <w:sz w:val="22"/>
              <w:szCs w:val="28"/>
              <w:highlight w:val="none"/>
            </w:rPr>
            <w:fldChar w:fldCharType="separate"/>
          </w:r>
          <w:r>
            <w:rPr>
              <w:color w:val="auto"/>
              <w:sz w:val="22"/>
              <w:szCs w:val="28"/>
              <w:highlight w:val="none"/>
            </w:rPr>
            <w:t>7</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4"/>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_Toc6224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前 附 表</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_Toc6224 \h </w:instrText>
          </w:r>
          <w:r>
            <w:rPr>
              <w:color w:val="auto"/>
              <w:sz w:val="22"/>
              <w:szCs w:val="28"/>
              <w:highlight w:val="none"/>
            </w:rPr>
            <w:fldChar w:fldCharType="separate"/>
          </w:r>
          <w:r>
            <w:rPr>
              <w:color w:val="auto"/>
              <w:sz w:val="22"/>
              <w:szCs w:val="28"/>
              <w:highlight w:val="none"/>
            </w:rPr>
            <w:t>7</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4"/>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_Toc19070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一、 说   明</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_Toc19070 \h </w:instrText>
          </w:r>
          <w:r>
            <w:rPr>
              <w:color w:val="auto"/>
              <w:sz w:val="22"/>
              <w:szCs w:val="28"/>
              <w:highlight w:val="none"/>
            </w:rPr>
            <w:fldChar w:fldCharType="separate"/>
          </w:r>
          <w:r>
            <w:rPr>
              <w:color w:val="auto"/>
              <w:sz w:val="22"/>
              <w:szCs w:val="28"/>
              <w:highlight w:val="none"/>
            </w:rPr>
            <w:t>11</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4"/>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_Toc28278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二、 招标文件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_Toc28278 \h </w:instrText>
          </w:r>
          <w:r>
            <w:rPr>
              <w:color w:val="auto"/>
              <w:sz w:val="22"/>
              <w:szCs w:val="28"/>
              <w:highlight w:val="none"/>
            </w:rPr>
            <w:fldChar w:fldCharType="separate"/>
          </w:r>
          <w:r>
            <w:rPr>
              <w:color w:val="auto"/>
              <w:sz w:val="22"/>
              <w:szCs w:val="28"/>
              <w:highlight w:val="none"/>
            </w:rPr>
            <w:t>11</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4"/>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_Toc22646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三、 投标文件的编制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_Toc22646 \h </w:instrText>
          </w:r>
          <w:r>
            <w:rPr>
              <w:color w:val="auto"/>
              <w:sz w:val="22"/>
              <w:szCs w:val="28"/>
              <w:highlight w:val="none"/>
            </w:rPr>
            <w:fldChar w:fldCharType="separate"/>
          </w:r>
          <w:r>
            <w:rPr>
              <w:color w:val="auto"/>
              <w:sz w:val="22"/>
              <w:szCs w:val="28"/>
              <w:highlight w:val="none"/>
            </w:rPr>
            <w:t>12</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4"/>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_Toc18542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四、 投标文件的递交</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_Toc18542 \h </w:instrText>
          </w:r>
          <w:r>
            <w:rPr>
              <w:color w:val="auto"/>
              <w:sz w:val="22"/>
              <w:szCs w:val="28"/>
              <w:highlight w:val="none"/>
            </w:rPr>
            <w:fldChar w:fldCharType="separate"/>
          </w:r>
          <w:r>
            <w:rPr>
              <w:color w:val="auto"/>
              <w:sz w:val="22"/>
              <w:szCs w:val="28"/>
              <w:highlight w:val="none"/>
            </w:rPr>
            <w:t>16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4"/>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_Toc8079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五、 开标和评标</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_Toc8079 \h </w:instrText>
          </w:r>
          <w:r>
            <w:rPr>
              <w:color w:val="auto"/>
              <w:sz w:val="22"/>
              <w:szCs w:val="28"/>
              <w:highlight w:val="none"/>
            </w:rPr>
            <w:fldChar w:fldCharType="separate"/>
          </w:r>
          <w:r>
            <w:rPr>
              <w:color w:val="auto"/>
              <w:sz w:val="22"/>
              <w:szCs w:val="28"/>
              <w:highlight w:val="none"/>
            </w:rPr>
            <w:t>16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4"/>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_Toc21056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六、 授予合同</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_Toc21056 \h </w:instrText>
          </w:r>
          <w:r>
            <w:rPr>
              <w:color w:val="auto"/>
              <w:sz w:val="22"/>
              <w:szCs w:val="28"/>
              <w:highlight w:val="none"/>
            </w:rPr>
            <w:fldChar w:fldCharType="separate"/>
          </w:r>
          <w:r>
            <w:rPr>
              <w:color w:val="auto"/>
              <w:sz w:val="22"/>
              <w:szCs w:val="28"/>
              <w:highlight w:val="none"/>
            </w:rPr>
            <w:t>20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37"/>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_Toc19043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第二部分    合同主要条款</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_Toc19043 \h </w:instrText>
          </w:r>
          <w:r>
            <w:rPr>
              <w:color w:val="auto"/>
              <w:sz w:val="22"/>
              <w:szCs w:val="28"/>
              <w:highlight w:val="none"/>
            </w:rPr>
            <w:fldChar w:fldCharType="separate"/>
          </w:r>
          <w:r>
            <w:rPr>
              <w:color w:val="auto"/>
              <w:sz w:val="22"/>
              <w:szCs w:val="28"/>
              <w:highlight w:val="none"/>
            </w:rPr>
            <w:t>22</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37"/>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_Toc18439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第三部分    附件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_Toc18439 \h </w:instrText>
          </w:r>
          <w:r>
            <w:rPr>
              <w:color w:val="auto"/>
              <w:sz w:val="22"/>
              <w:szCs w:val="28"/>
              <w:highlight w:val="none"/>
            </w:rPr>
            <w:fldChar w:fldCharType="separate"/>
          </w:r>
          <w:r>
            <w:rPr>
              <w:color w:val="auto"/>
              <w:sz w:val="22"/>
              <w:szCs w:val="28"/>
              <w:highlight w:val="none"/>
            </w:rPr>
            <w:t>31</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4"/>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_Toc6368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附件一</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_Toc6368 \h </w:instrText>
          </w:r>
          <w:r>
            <w:rPr>
              <w:color w:val="auto"/>
              <w:sz w:val="22"/>
              <w:szCs w:val="28"/>
              <w:highlight w:val="none"/>
            </w:rPr>
            <w:fldChar w:fldCharType="separate"/>
          </w:r>
          <w:r>
            <w:rPr>
              <w:color w:val="auto"/>
              <w:sz w:val="22"/>
              <w:szCs w:val="28"/>
              <w:highlight w:val="none"/>
            </w:rPr>
            <w:t>31</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27"/>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_Toc5430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rPr>
            <w:t>报价文件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_Toc5430 \h </w:instrText>
          </w:r>
          <w:r>
            <w:rPr>
              <w:color w:val="auto"/>
              <w:sz w:val="22"/>
              <w:szCs w:val="28"/>
              <w:highlight w:val="none"/>
            </w:rPr>
            <w:fldChar w:fldCharType="separate"/>
          </w:r>
          <w:r>
            <w:rPr>
              <w:color w:val="auto"/>
              <w:sz w:val="22"/>
              <w:szCs w:val="28"/>
              <w:highlight w:val="none"/>
            </w:rPr>
            <w:t>31</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4"/>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_Toc12035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附件二</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_Toc12035 \h </w:instrText>
          </w:r>
          <w:r>
            <w:rPr>
              <w:color w:val="auto"/>
              <w:sz w:val="22"/>
              <w:szCs w:val="28"/>
              <w:highlight w:val="none"/>
            </w:rPr>
            <w:fldChar w:fldCharType="separate"/>
          </w:r>
          <w:r>
            <w:rPr>
              <w:color w:val="auto"/>
              <w:sz w:val="22"/>
              <w:szCs w:val="28"/>
              <w:highlight w:val="none"/>
            </w:rPr>
            <w:t>41</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27"/>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_Toc25309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rPr>
            <w:t>资格证明文件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_Toc25309 \h </w:instrText>
          </w:r>
          <w:r>
            <w:rPr>
              <w:color w:val="auto"/>
              <w:sz w:val="22"/>
              <w:szCs w:val="28"/>
              <w:highlight w:val="none"/>
            </w:rPr>
            <w:fldChar w:fldCharType="separate"/>
          </w:r>
          <w:r>
            <w:rPr>
              <w:color w:val="auto"/>
              <w:sz w:val="22"/>
              <w:szCs w:val="28"/>
              <w:highlight w:val="none"/>
            </w:rPr>
            <w:t>41</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4"/>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_Toc31356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附件三</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_Toc31356 \h </w:instrText>
          </w:r>
          <w:r>
            <w:rPr>
              <w:color w:val="auto"/>
              <w:sz w:val="22"/>
              <w:szCs w:val="28"/>
              <w:highlight w:val="none"/>
            </w:rPr>
            <w:fldChar w:fldCharType="separate"/>
          </w:r>
          <w:r>
            <w:rPr>
              <w:color w:val="auto"/>
              <w:sz w:val="22"/>
              <w:szCs w:val="28"/>
              <w:highlight w:val="none"/>
            </w:rPr>
            <w:t>45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27"/>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_Toc13639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lang w:val="zh-CN"/>
            </w:rPr>
            <w:t>商务技术文件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_Toc13639 \h </w:instrText>
          </w:r>
          <w:r>
            <w:rPr>
              <w:color w:val="auto"/>
              <w:sz w:val="22"/>
              <w:szCs w:val="28"/>
              <w:highlight w:val="none"/>
            </w:rPr>
            <w:fldChar w:fldCharType="separate"/>
          </w:r>
          <w:r>
            <w:rPr>
              <w:color w:val="auto"/>
              <w:sz w:val="22"/>
              <w:szCs w:val="28"/>
              <w:highlight w:val="none"/>
            </w:rPr>
            <w:t>46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37"/>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_Toc3381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第四部分 项目技术规范和服务要求</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_Toc3381 \h </w:instrText>
          </w:r>
          <w:r>
            <w:rPr>
              <w:color w:val="auto"/>
              <w:sz w:val="22"/>
              <w:szCs w:val="28"/>
              <w:highlight w:val="none"/>
            </w:rPr>
            <w:fldChar w:fldCharType="separate"/>
          </w:r>
          <w:r>
            <w:rPr>
              <w:color w:val="auto"/>
              <w:sz w:val="22"/>
              <w:szCs w:val="28"/>
              <w:highlight w:val="none"/>
            </w:rPr>
            <w:t>62</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37"/>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_Toc18194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第五部分 评标原则及方法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_Toc18194 \h </w:instrText>
          </w:r>
          <w:r>
            <w:rPr>
              <w:color w:val="auto"/>
              <w:sz w:val="22"/>
              <w:szCs w:val="28"/>
              <w:highlight w:val="none"/>
            </w:rPr>
            <w:fldChar w:fldCharType="separate"/>
          </w:r>
          <w:r>
            <w:rPr>
              <w:color w:val="auto"/>
              <w:sz w:val="22"/>
              <w:szCs w:val="28"/>
              <w:highlight w:val="none"/>
            </w:rPr>
            <w:t>75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4"/>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_Toc15713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一、总 则</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_Toc15713 \h </w:instrText>
          </w:r>
          <w:r>
            <w:rPr>
              <w:color w:val="auto"/>
              <w:sz w:val="22"/>
              <w:szCs w:val="28"/>
              <w:highlight w:val="none"/>
            </w:rPr>
            <w:fldChar w:fldCharType="separate"/>
          </w:r>
          <w:r>
            <w:rPr>
              <w:color w:val="auto"/>
              <w:sz w:val="22"/>
              <w:szCs w:val="28"/>
              <w:highlight w:val="none"/>
            </w:rPr>
            <w:t>75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4"/>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_Toc23152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二、评标组织</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_Toc23152 \h </w:instrText>
          </w:r>
          <w:r>
            <w:rPr>
              <w:color w:val="auto"/>
              <w:sz w:val="22"/>
              <w:szCs w:val="28"/>
              <w:highlight w:val="none"/>
            </w:rPr>
            <w:fldChar w:fldCharType="separate"/>
          </w:r>
          <w:r>
            <w:rPr>
              <w:color w:val="auto"/>
              <w:sz w:val="22"/>
              <w:szCs w:val="28"/>
              <w:highlight w:val="none"/>
            </w:rPr>
            <w:t>75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4"/>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_Toc67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三、评标程序</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_Toc67 \h </w:instrText>
          </w:r>
          <w:r>
            <w:rPr>
              <w:color w:val="auto"/>
              <w:sz w:val="22"/>
              <w:szCs w:val="28"/>
              <w:highlight w:val="none"/>
            </w:rPr>
            <w:fldChar w:fldCharType="separate"/>
          </w:r>
          <w:r>
            <w:rPr>
              <w:color w:val="auto"/>
              <w:sz w:val="22"/>
              <w:szCs w:val="28"/>
              <w:highlight w:val="none"/>
            </w:rPr>
            <w:t>75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4"/>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_Toc24825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四、评标办法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_Toc24825 \h </w:instrText>
          </w:r>
          <w:r>
            <w:rPr>
              <w:color w:val="auto"/>
              <w:sz w:val="22"/>
              <w:szCs w:val="28"/>
              <w:highlight w:val="none"/>
            </w:rPr>
            <w:fldChar w:fldCharType="separate"/>
          </w:r>
          <w:r>
            <w:rPr>
              <w:color w:val="auto"/>
              <w:sz w:val="22"/>
              <w:szCs w:val="28"/>
              <w:highlight w:val="none"/>
            </w:rPr>
            <w:t>75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4"/>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_Toc11450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五、 评分细则</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_Toc11450 \h </w:instrText>
          </w:r>
          <w:r>
            <w:rPr>
              <w:color w:val="auto"/>
              <w:sz w:val="22"/>
              <w:szCs w:val="28"/>
              <w:highlight w:val="none"/>
            </w:rPr>
            <w:fldChar w:fldCharType="separate"/>
          </w:r>
          <w:r>
            <w:rPr>
              <w:color w:val="auto"/>
              <w:sz w:val="22"/>
              <w:szCs w:val="28"/>
              <w:highlight w:val="none"/>
            </w:rPr>
            <w:t>75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4"/>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_Toc4727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六、定标办法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_Toc4727 \h </w:instrText>
          </w:r>
          <w:r>
            <w:rPr>
              <w:color w:val="auto"/>
              <w:sz w:val="22"/>
              <w:szCs w:val="28"/>
              <w:highlight w:val="none"/>
            </w:rPr>
            <w:fldChar w:fldCharType="separate"/>
          </w:r>
          <w:r>
            <w:rPr>
              <w:color w:val="auto"/>
              <w:sz w:val="22"/>
              <w:szCs w:val="28"/>
              <w:highlight w:val="none"/>
            </w:rPr>
            <w:t>78</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4"/>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_Toc3629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七、投标人义务</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_Toc3629 \h </w:instrText>
          </w:r>
          <w:r>
            <w:rPr>
              <w:color w:val="auto"/>
              <w:sz w:val="22"/>
              <w:szCs w:val="28"/>
              <w:highlight w:val="none"/>
            </w:rPr>
            <w:fldChar w:fldCharType="separate"/>
          </w:r>
          <w:r>
            <w:rPr>
              <w:color w:val="auto"/>
              <w:sz w:val="22"/>
              <w:szCs w:val="28"/>
              <w:highlight w:val="none"/>
            </w:rPr>
            <w:t>78</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spacing w:line="360" w:lineRule="auto"/>
            <w:ind w:firstLine="1870" w:firstLineChars="850"/>
            <w:rPr>
              <w:rFonts w:hint="eastAsia" w:ascii="宋体" w:hAnsi="宋体" w:eastAsia="宋体" w:cs="宋体"/>
              <w:b/>
              <w:color w:val="auto"/>
              <w:sz w:val="22"/>
              <w:szCs w:val="22"/>
              <w:highlight w:val="none"/>
            </w:rPr>
          </w:pPr>
          <w:r>
            <w:rPr>
              <w:rFonts w:hint="eastAsia" w:ascii="宋体" w:hAnsi="宋体" w:eastAsia="宋体" w:cs="宋体"/>
              <w:color w:val="auto"/>
              <w:sz w:val="22"/>
              <w:szCs w:val="40"/>
              <w:highlight w:val="none"/>
            </w:rPr>
            <w:fldChar w:fldCharType="end"/>
          </w:r>
        </w:p>
      </w:sdtContent>
    </w:sdt>
    <w:p>
      <w:pPr>
        <w:pStyle w:val="4"/>
        <w:bidi w:val="0"/>
        <w:rPr>
          <w:rFonts w:hint="eastAsia" w:ascii="宋体" w:hAnsi="宋体" w:eastAsia="宋体" w:cs="宋体"/>
          <w:b/>
          <w:color w:val="auto"/>
          <w:highlight w:val="none"/>
        </w:rPr>
      </w:pPr>
      <w:bookmarkStart w:id="0" w:name="_Toc6599"/>
      <w:bookmarkStart w:id="1" w:name="_Toc32649"/>
      <w:r>
        <w:rPr>
          <w:rFonts w:hint="eastAsia" w:ascii="宋体" w:hAnsi="宋体" w:eastAsia="宋体" w:cs="宋体"/>
          <w:color w:val="auto"/>
          <w:highlight w:val="none"/>
        </w:rPr>
        <w:t>招</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标</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公</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告</w:t>
      </w:r>
      <w:bookmarkEnd w:id="0"/>
      <w:bookmarkEnd w:id="1"/>
    </w:p>
    <w:p>
      <w:pPr>
        <w:tabs>
          <w:tab w:val="left" w:pos="360"/>
        </w:tabs>
        <w:spacing w:line="460" w:lineRule="exact"/>
        <w:ind w:firstLine="552" w:firstLineChars="250"/>
        <w:rPr>
          <w:rFonts w:hint="eastAsia" w:ascii="宋体" w:hAnsi="宋体" w:eastAsia="宋体" w:cs="宋体"/>
          <w:b/>
          <w:bCs/>
          <w:color w:val="auto"/>
          <w:sz w:val="22"/>
          <w:highlight w:val="none"/>
        </w:rPr>
      </w:pPr>
      <w:r>
        <w:rPr>
          <w:b/>
          <w:bCs/>
          <w:color w:val="auto"/>
          <w:sz w:val="22"/>
          <w:highlight w:val="none"/>
        </w:rPr>
        <mc:AlternateContent>
          <mc:Choice Requires="wps">
            <w:drawing>
              <wp:anchor distT="0" distB="0" distL="114300" distR="114300" simplePos="0" relativeHeight="251661312" behindDoc="0" locked="0" layoutInCell="1" allowOverlap="1">
                <wp:simplePos x="0" y="0"/>
                <wp:positionH relativeFrom="column">
                  <wp:posOffset>-196850</wp:posOffset>
                </wp:positionH>
                <wp:positionV relativeFrom="paragraph">
                  <wp:posOffset>3810</wp:posOffset>
                </wp:positionV>
                <wp:extent cx="6499225" cy="953135"/>
                <wp:effectExtent l="6350" t="6350" r="9525" b="12065"/>
                <wp:wrapNone/>
                <wp:docPr id="1" name="矩形 1"/>
                <wp:cNvGraphicFramePr/>
                <a:graphic xmlns:a="http://schemas.openxmlformats.org/drawingml/2006/main">
                  <a:graphicData uri="http://schemas.microsoft.com/office/word/2010/wordprocessingShape">
                    <wps:wsp>
                      <wps:cNvSpPr/>
                      <wps:spPr>
                        <a:xfrm>
                          <a:off x="0" y="0"/>
                          <a:ext cx="6499225" cy="953135"/>
                        </a:xfrm>
                        <a:prstGeom prst="rect">
                          <a:avLst/>
                        </a:prstGeom>
                        <a:noFill/>
                        <a:ln w="12700" cap="flat" cmpd="sng">
                          <a:solidFill>
                            <a:srgbClr val="000000"/>
                          </a:solidFill>
                          <a:prstDash val="solid"/>
                          <a:round/>
                          <a:headEnd type="none" w="med" len="med"/>
                          <a:tailEnd type="none" w="med" len="med"/>
                        </a:ln>
                      </wps:spPr>
                      <wps:bodyPr anchor="ctr" anchorCtr="0" upright="1"/>
                    </wps:wsp>
                  </a:graphicData>
                </a:graphic>
              </wp:anchor>
            </w:drawing>
          </mc:Choice>
          <mc:Fallback>
            <w:pict>
              <v:rect id="_x0000_s1026" o:spid="_x0000_s1026" o:spt="1" style="position:absolute;left:0pt;margin-left:-15.5pt;margin-top:0.3pt;height:75.05pt;width:511.75pt;z-index:251661312;v-text-anchor:middle;mso-width-relative:page;mso-height-relative:page;" filled="f" stroked="t" coordsize="21600,21600" o:gfxdata="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X666Q2AAAAAgBAAAPAAAAAAAAAAEAIAAAACIAAABkcnMv&#10;ZG93bnJldi54bWxQSwECFAAUAAAACACHTuJA2yveaAMCAAARBAAADgAAAAAAAAABACAAAAAnAQAA&#10;ZHJzL2Uyb0RvYy54bWxQSwUGAAAAAAYABgBZAQAAnAUAAAAA&#10;">
                <v:fill on="f" focussize="0,0"/>
                <v:stroke weight="1pt" color="#000000" joinstyle="round"/>
                <v:imagedata o:title=""/>
                <o:lock v:ext="edit" aspectratio="f"/>
              </v:rect>
            </w:pict>
          </mc:Fallback>
        </mc:AlternateContent>
      </w:r>
      <w:r>
        <w:rPr>
          <w:rFonts w:hint="eastAsia" w:ascii="宋体" w:hAnsi="宋体" w:eastAsia="宋体" w:cs="宋体"/>
          <w:b/>
          <w:bCs/>
          <w:color w:val="auto"/>
          <w:sz w:val="22"/>
          <w:highlight w:val="none"/>
        </w:rPr>
        <w:t>项目概况</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cs="宋体"/>
          <w:color w:val="auto"/>
          <w:sz w:val="22"/>
          <w:highlight w:val="none"/>
          <w:lang w:eastAsia="zh-CN"/>
        </w:rPr>
        <w:t>东瓯大桥日常维养（3年）</w:t>
      </w:r>
      <w:r>
        <w:rPr>
          <w:rFonts w:hint="eastAsia" w:ascii="宋体" w:hAnsi="宋体" w:eastAsia="宋体" w:cs="宋体"/>
          <w:color w:val="auto"/>
          <w:sz w:val="22"/>
          <w:highlight w:val="none"/>
        </w:rPr>
        <w:t>招标项目的潜在投标人应在浙江政府采购网获取（下载）招标文件，并于</w:t>
      </w:r>
      <w:r>
        <w:rPr>
          <w:rFonts w:hint="eastAsia" w:ascii="宋体" w:hAnsi="宋体" w:cs="宋体"/>
          <w:color w:val="auto"/>
          <w:sz w:val="22"/>
          <w:highlight w:val="none"/>
          <w:lang w:eastAsia="zh-CN"/>
        </w:rPr>
        <w:t>2022年</w:t>
      </w:r>
      <w:r>
        <w:rPr>
          <w:rFonts w:hint="eastAsia" w:ascii="宋体" w:hAnsi="宋体" w:cs="宋体"/>
          <w:color w:val="auto"/>
          <w:sz w:val="22"/>
          <w:highlight w:val="none"/>
          <w:lang w:val="en-US" w:eastAsia="zh-CN"/>
        </w:rPr>
        <w:t>08</w:t>
      </w:r>
      <w:r>
        <w:rPr>
          <w:rFonts w:hint="eastAsia" w:ascii="宋体" w:hAnsi="宋体" w:eastAsia="宋体" w:cs="宋体"/>
          <w:color w:val="auto"/>
          <w:sz w:val="22"/>
          <w:highlight w:val="none"/>
        </w:rPr>
        <w:t>月</w:t>
      </w:r>
      <w:r>
        <w:rPr>
          <w:rFonts w:hint="eastAsia" w:ascii="宋体" w:hAnsi="宋体" w:cs="宋体"/>
          <w:color w:val="auto"/>
          <w:sz w:val="22"/>
          <w:highlight w:val="none"/>
          <w:lang w:val="en-US" w:eastAsia="zh-CN"/>
        </w:rPr>
        <w:t>19</w:t>
      </w:r>
      <w:r>
        <w:rPr>
          <w:rFonts w:hint="eastAsia" w:ascii="宋体" w:hAnsi="宋体" w:eastAsia="宋体" w:cs="宋体"/>
          <w:color w:val="auto"/>
          <w:sz w:val="22"/>
          <w:highlight w:val="none"/>
        </w:rPr>
        <w:t xml:space="preserve">日 </w:t>
      </w:r>
      <w:r>
        <w:rPr>
          <w:rFonts w:hint="eastAsia" w:ascii="宋体" w:hAnsi="宋体" w:eastAsia="宋体" w:cs="宋体"/>
          <w:color w:val="auto"/>
          <w:sz w:val="22"/>
          <w:highlight w:val="none"/>
          <w:lang w:val="en-US" w:eastAsia="zh-CN"/>
        </w:rPr>
        <w:t>09</w:t>
      </w:r>
      <w:r>
        <w:rPr>
          <w:rFonts w:hint="eastAsia" w:ascii="宋体" w:hAnsi="宋体" w:eastAsia="宋体" w:cs="宋体"/>
          <w:color w:val="auto"/>
          <w:sz w:val="22"/>
          <w:highlight w:val="none"/>
        </w:rPr>
        <w:t>:30 （北京时间）前递交（上传）投标文件。</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lang w:val="en-US" w:eastAsia="zh-CN"/>
        </w:rPr>
      </w:pPr>
      <w:r>
        <w:rPr>
          <w:rFonts w:hint="eastAsia"/>
          <w:b/>
          <w:bCs/>
          <w:color w:val="auto"/>
          <w:sz w:val="22"/>
          <w:szCs w:val="22"/>
          <w:highlight w:val="none"/>
          <w:u w:val="none"/>
        </w:rPr>
        <w:t>一、项目基本情况</w:t>
      </w:r>
      <w:r>
        <w:rPr>
          <w:rFonts w:hint="eastAsia"/>
          <w:color w:val="auto"/>
          <w:sz w:val="22"/>
          <w:szCs w:val="22"/>
          <w:highlight w:val="none"/>
          <w:u w:val="none"/>
          <w:lang w:val="en-US" w:eastAsia="zh-CN"/>
        </w:rPr>
        <w:t>                                           </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项目编号：</w:t>
      </w:r>
      <w:r>
        <w:rPr>
          <w:rFonts w:hint="eastAsia"/>
          <w:color w:val="auto"/>
          <w:sz w:val="22"/>
          <w:szCs w:val="22"/>
          <w:highlight w:val="none"/>
          <w:u w:val="none"/>
          <w:lang w:eastAsia="zh-CN"/>
        </w:rPr>
        <w:t>WZLCZB（W）-2022-07353</w:t>
      </w:r>
      <w:r>
        <w:rPr>
          <w:rFonts w:hint="eastAsia"/>
          <w:color w:val="auto"/>
          <w:sz w:val="22"/>
          <w:szCs w:val="22"/>
          <w:highlight w:val="none"/>
          <w:u w:val="none"/>
          <w:lang w:val="en-US" w:eastAsia="zh-CN"/>
        </w:rPr>
        <w:t> </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项目名称：</w:t>
      </w:r>
      <w:r>
        <w:rPr>
          <w:rFonts w:hint="eastAsia"/>
          <w:color w:val="auto"/>
          <w:sz w:val="22"/>
          <w:szCs w:val="22"/>
          <w:highlight w:val="none"/>
          <w:u w:val="none"/>
          <w:lang w:eastAsia="zh-CN"/>
        </w:rPr>
        <w:t>东瓯大桥日常维养（3年）</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预算金额（元）：11720000 </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最高限价（元）：11719176.25 </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采购需求：</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    </w:t>
      </w:r>
      <w:r>
        <w:rPr>
          <w:rFonts w:hint="eastAsia"/>
          <w:color w:val="auto"/>
          <w:sz w:val="22"/>
          <w:szCs w:val="22"/>
          <w:highlight w:val="none"/>
          <w:u w:val="none"/>
          <w:lang w:val="en-US" w:eastAsia="zh-CN"/>
        </w:rPr>
        <w:br w:type="textWrapping"/>
      </w:r>
      <w:r>
        <w:rPr>
          <w:rFonts w:hint="eastAsia"/>
          <w:color w:val="auto"/>
          <w:sz w:val="22"/>
          <w:szCs w:val="22"/>
          <w:highlight w:val="none"/>
          <w:u w:val="none"/>
          <w:lang w:val="en-US" w:eastAsia="zh-CN"/>
        </w:rPr>
        <w:t>    标项名称:</w:t>
      </w:r>
      <w:r>
        <w:rPr>
          <w:rFonts w:hint="eastAsia"/>
          <w:color w:val="auto"/>
          <w:sz w:val="22"/>
          <w:szCs w:val="22"/>
          <w:highlight w:val="none"/>
          <w:u w:val="none"/>
          <w:lang w:eastAsia="zh-CN"/>
        </w:rPr>
        <w:t>东瓯大桥日常维养（3年）</w:t>
      </w:r>
      <w:r>
        <w:rPr>
          <w:rFonts w:hint="eastAsia"/>
          <w:color w:val="auto"/>
          <w:sz w:val="22"/>
          <w:szCs w:val="22"/>
          <w:highlight w:val="none"/>
          <w:u w:val="none"/>
          <w:lang w:val="en-US" w:eastAsia="zh-CN"/>
        </w:rPr>
        <w:t> </w:t>
      </w:r>
      <w:r>
        <w:rPr>
          <w:rFonts w:hint="eastAsia"/>
          <w:color w:val="auto"/>
          <w:sz w:val="22"/>
          <w:szCs w:val="22"/>
          <w:highlight w:val="none"/>
          <w:u w:val="none"/>
          <w:lang w:val="en-US" w:eastAsia="zh-CN"/>
        </w:rPr>
        <w:br w:type="textWrapping"/>
      </w:r>
      <w:r>
        <w:rPr>
          <w:rFonts w:hint="eastAsia"/>
          <w:color w:val="auto"/>
          <w:sz w:val="22"/>
          <w:szCs w:val="22"/>
          <w:highlight w:val="none"/>
          <w:u w:val="none"/>
          <w:lang w:val="en-US" w:eastAsia="zh-CN"/>
        </w:rPr>
        <w:t>    数量:3年  </w:t>
      </w:r>
      <w:r>
        <w:rPr>
          <w:rFonts w:hint="eastAsia"/>
          <w:color w:val="auto"/>
          <w:sz w:val="22"/>
          <w:szCs w:val="22"/>
          <w:highlight w:val="none"/>
          <w:u w:val="none"/>
          <w:lang w:val="en-US" w:eastAsia="zh-CN"/>
        </w:rPr>
        <w:br w:type="textWrapping"/>
      </w:r>
      <w:r>
        <w:rPr>
          <w:rFonts w:hint="eastAsia"/>
          <w:color w:val="auto"/>
          <w:sz w:val="22"/>
          <w:szCs w:val="22"/>
          <w:highlight w:val="none"/>
          <w:u w:val="none"/>
          <w:lang w:val="en-US" w:eastAsia="zh-CN"/>
        </w:rPr>
        <w:t>    预算金额（元）:11720000</w:t>
      </w:r>
      <w:r>
        <w:rPr>
          <w:rFonts w:hint="eastAsia"/>
          <w:color w:val="auto"/>
          <w:sz w:val="22"/>
          <w:szCs w:val="22"/>
          <w:highlight w:val="none"/>
          <w:u w:val="none"/>
          <w:lang w:val="en-US" w:eastAsia="zh-CN"/>
        </w:rPr>
        <w:br w:type="textWrapping"/>
      </w:r>
      <w:r>
        <w:rPr>
          <w:rFonts w:hint="eastAsia"/>
          <w:color w:val="auto"/>
          <w:sz w:val="22"/>
          <w:szCs w:val="22"/>
          <w:highlight w:val="none"/>
          <w:u w:val="none"/>
          <w:lang w:val="en-US" w:eastAsia="zh-CN"/>
        </w:rPr>
        <w:t>    简要规格描述或项目基本概况介绍、用途：具体详见招标文件 </w:t>
      </w:r>
      <w:r>
        <w:rPr>
          <w:rFonts w:hint="eastAsia"/>
          <w:color w:val="auto"/>
          <w:sz w:val="22"/>
          <w:szCs w:val="22"/>
          <w:highlight w:val="none"/>
          <w:u w:val="none"/>
          <w:lang w:val="en-US" w:eastAsia="zh-CN"/>
        </w:rPr>
        <w:br w:type="textWrapping"/>
      </w:r>
      <w:r>
        <w:rPr>
          <w:rFonts w:hint="eastAsia"/>
          <w:color w:val="auto"/>
          <w:sz w:val="22"/>
          <w:szCs w:val="22"/>
          <w:highlight w:val="none"/>
          <w:u w:val="none"/>
          <w:lang w:val="en-US" w:eastAsia="zh-CN"/>
        </w:rPr>
        <w:t>    备注： </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 合同履约期限：标项 1，具体详见招标文件</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lang w:val="en-US" w:eastAsia="zh-CN"/>
        </w:rPr>
        <w:t> 本项目（否）接受联合体投标。</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lang w:val="en-US" w:eastAsia="zh-CN"/>
        </w:rPr>
      </w:pPr>
      <w:r>
        <w:rPr>
          <w:rFonts w:hint="eastAsia"/>
          <w:b/>
          <w:bCs/>
          <w:color w:val="auto"/>
          <w:sz w:val="22"/>
          <w:szCs w:val="22"/>
          <w:highlight w:val="none"/>
          <w:u w:val="none"/>
          <w:lang w:val="en-US" w:eastAsia="zh-CN"/>
        </w:rPr>
        <w:t>二、申请人的资格要求：</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2.落实政府采购政策需满足的资格要求：无 </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3.本项目的特定资格要求：具备市政公用工程施工总承包资质壹级及以上或桥梁工程专业承包资质贰级及以上。  </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三、获取招标文件 </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时间：</w:t>
      </w:r>
      <w:r>
        <w:rPr>
          <w:rFonts w:hint="eastAsia"/>
          <w:color w:val="auto"/>
          <w:sz w:val="22"/>
          <w:szCs w:val="22"/>
          <w:highlight w:val="none"/>
          <w:u w:val="none"/>
          <w:lang w:val="en-US" w:eastAsia="zh-CN"/>
        </w:rPr>
        <w:t>2022年7月29日</w:t>
      </w:r>
      <w:r>
        <w:rPr>
          <w:rFonts w:hint="eastAsia"/>
          <w:color w:val="auto"/>
          <w:sz w:val="22"/>
          <w:szCs w:val="22"/>
          <w:highlight w:val="none"/>
          <w:u w:val="none"/>
        </w:rPr>
        <w:t>至</w:t>
      </w:r>
      <w:r>
        <w:rPr>
          <w:rFonts w:hint="eastAsia"/>
          <w:color w:val="auto"/>
          <w:sz w:val="22"/>
          <w:szCs w:val="22"/>
          <w:highlight w:val="none"/>
          <w:u w:val="none"/>
          <w:lang w:eastAsia="zh-CN"/>
        </w:rPr>
        <w:t>2022年</w:t>
      </w:r>
      <w:r>
        <w:rPr>
          <w:rFonts w:hint="eastAsia"/>
          <w:color w:val="auto"/>
          <w:sz w:val="22"/>
          <w:szCs w:val="22"/>
          <w:highlight w:val="none"/>
          <w:u w:val="none"/>
          <w:lang w:val="en-US" w:eastAsia="zh-CN"/>
        </w:rPr>
        <w:t>08</w:t>
      </w:r>
      <w:r>
        <w:rPr>
          <w:rFonts w:hint="eastAsia"/>
          <w:color w:val="auto"/>
          <w:sz w:val="22"/>
          <w:szCs w:val="22"/>
          <w:highlight w:val="none"/>
          <w:u w:val="none"/>
        </w:rPr>
        <w:t>月</w:t>
      </w:r>
      <w:r>
        <w:rPr>
          <w:rFonts w:hint="eastAsia"/>
          <w:color w:val="auto"/>
          <w:sz w:val="22"/>
          <w:szCs w:val="22"/>
          <w:highlight w:val="none"/>
          <w:u w:val="none"/>
          <w:lang w:val="en-US" w:eastAsia="zh-CN"/>
        </w:rPr>
        <w:t>19</w:t>
      </w:r>
      <w:r>
        <w:rPr>
          <w:rFonts w:hint="eastAsia"/>
          <w:color w:val="auto"/>
          <w:sz w:val="22"/>
          <w:szCs w:val="22"/>
          <w:highlight w:val="none"/>
          <w:u w:val="none"/>
        </w:rPr>
        <w:t>日，每天上午00:00至12:00，下午12:00至23:59（北京时间，线上获取法定节假日均可，线下获取文件法定节假日除外）</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地点（网址）：浙江政府采购网（https://zfcg.czt.zj.gov.cn/） </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方式：供应商登录政采云平台https://www.zcygov.cn/在线申请获取采购文件（进入“项目采购”应用，在获取采购文件菜单中选择项目，申请获取采购文件）</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售价（元）：0 </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四、提交投标文件截止时间、开标时间和地点</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提交投标文件截止时间：</w:t>
      </w:r>
      <w:r>
        <w:rPr>
          <w:rFonts w:hint="eastAsia"/>
          <w:color w:val="auto"/>
          <w:sz w:val="22"/>
          <w:szCs w:val="22"/>
          <w:highlight w:val="none"/>
          <w:u w:val="none"/>
          <w:lang w:eastAsia="zh-CN"/>
        </w:rPr>
        <w:t>2022年</w:t>
      </w:r>
      <w:r>
        <w:rPr>
          <w:rFonts w:hint="eastAsia"/>
          <w:color w:val="auto"/>
          <w:sz w:val="22"/>
          <w:szCs w:val="22"/>
          <w:highlight w:val="none"/>
          <w:u w:val="none"/>
          <w:lang w:val="en-US" w:eastAsia="zh-CN"/>
        </w:rPr>
        <w:t>08</w:t>
      </w:r>
      <w:r>
        <w:rPr>
          <w:rFonts w:hint="eastAsia"/>
          <w:color w:val="auto"/>
          <w:sz w:val="22"/>
          <w:szCs w:val="22"/>
          <w:highlight w:val="none"/>
          <w:u w:val="none"/>
        </w:rPr>
        <w:t>月</w:t>
      </w:r>
      <w:r>
        <w:rPr>
          <w:rFonts w:hint="eastAsia"/>
          <w:color w:val="auto"/>
          <w:sz w:val="22"/>
          <w:szCs w:val="22"/>
          <w:highlight w:val="none"/>
          <w:u w:val="none"/>
          <w:lang w:val="en-US" w:eastAsia="zh-CN"/>
        </w:rPr>
        <w:t>19</w:t>
      </w:r>
      <w:r>
        <w:rPr>
          <w:rFonts w:hint="eastAsia"/>
          <w:color w:val="auto"/>
          <w:sz w:val="22"/>
          <w:szCs w:val="22"/>
          <w:highlight w:val="none"/>
          <w:u w:val="none"/>
        </w:rPr>
        <w:t xml:space="preserve">日 </w:t>
      </w:r>
      <w:r>
        <w:rPr>
          <w:rFonts w:hint="eastAsia"/>
          <w:color w:val="auto"/>
          <w:sz w:val="22"/>
          <w:szCs w:val="22"/>
          <w:highlight w:val="none"/>
          <w:u w:val="none"/>
          <w:lang w:val="en-US" w:eastAsia="zh-CN"/>
        </w:rPr>
        <w:t>09</w:t>
      </w:r>
      <w:r>
        <w:rPr>
          <w:rFonts w:hint="eastAsia"/>
          <w:color w:val="auto"/>
          <w:sz w:val="22"/>
          <w:szCs w:val="22"/>
          <w:highlight w:val="none"/>
          <w:u w:val="none"/>
        </w:rPr>
        <w:t>:30（北京时间）</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投标地点（网址）：</w:t>
      </w:r>
      <w:r>
        <w:rPr>
          <w:rFonts w:hint="eastAsia" w:ascii="宋体" w:hAnsi="宋体" w:eastAsia="宋体" w:cs="宋体"/>
          <w:i w:val="0"/>
          <w:iCs w:val="0"/>
          <w:caps w:val="0"/>
          <w:color w:val="auto"/>
          <w:spacing w:val="0"/>
          <w:sz w:val="22"/>
          <w:szCs w:val="22"/>
          <w:highlight w:val="none"/>
          <w:shd w:val="clear" w:fill="FFFFFF"/>
        </w:rPr>
        <w:t>温州市政务服务管理中心温州市会展路1268号A座3楼</w:t>
      </w:r>
      <w:r>
        <w:rPr>
          <w:rFonts w:hint="eastAsia" w:ascii="宋体" w:hAnsi="宋体" w:eastAsia="宋体" w:cs="宋体"/>
          <w:color w:val="auto"/>
          <w:sz w:val="22"/>
          <w:highlight w:val="none"/>
          <w:lang w:val="en-US" w:eastAsia="zh-CN"/>
        </w:rPr>
        <w:t>（政采云平台：http://zfcg.czt.zj.gov.cn）</w:t>
      </w:r>
      <w:r>
        <w:rPr>
          <w:rFonts w:hint="eastAsia"/>
          <w:color w:val="auto"/>
          <w:sz w:val="22"/>
          <w:szCs w:val="22"/>
          <w:highlight w:val="none"/>
          <w:u w:val="none"/>
        </w:rPr>
        <w:t> </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开标时间：</w:t>
      </w:r>
      <w:r>
        <w:rPr>
          <w:rFonts w:hint="eastAsia"/>
          <w:color w:val="auto"/>
          <w:sz w:val="22"/>
          <w:szCs w:val="22"/>
          <w:highlight w:val="none"/>
          <w:u w:val="none"/>
          <w:lang w:eastAsia="zh-CN"/>
        </w:rPr>
        <w:t>2022年</w:t>
      </w:r>
      <w:r>
        <w:rPr>
          <w:rFonts w:hint="eastAsia"/>
          <w:color w:val="auto"/>
          <w:sz w:val="22"/>
          <w:szCs w:val="22"/>
          <w:highlight w:val="none"/>
          <w:u w:val="none"/>
          <w:lang w:val="en-US" w:eastAsia="zh-CN"/>
        </w:rPr>
        <w:t>08</w:t>
      </w:r>
      <w:r>
        <w:rPr>
          <w:rFonts w:hint="eastAsia"/>
          <w:color w:val="auto"/>
          <w:sz w:val="22"/>
          <w:szCs w:val="22"/>
          <w:highlight w:val="none"/>
          <w:u w:val="none"/>
        </w:rPr>
        <w:t>月</w:t>
      </w:r>
      <w:r>
        <w:rPr>
          <w:rFonts w:hint="eastAsia"/>
          <w:color w:val="auto"/>
          <w:sz w:val="22"/>
          <w:szCs w:val="22"/>
          <w:highlight w:val="none"/>
          <w:u w:val="none"/>
          <w:lang w:val="en-US" w:eastAsia="zh-CN"/>
        </w:rPr>
        <w:t>19</w:t>
      </w:r>
      <w:r>
        <w:rPr>
          <w:rFonts w:hint="eastAsia"/>
          <w:color w:val="auto"/>
          <w:sz w:val="22"/>
          <w:szCs w:val="22"/>
          <w:highlight w:val="none"/>
          <w:u w:val="none"/>
        </w:rPr>
        <w:t xml:space="preserve">日 </w:t>
      </w:r>
      <w:r>
        <w:rPr>
          <w:rFonts w:hint="eastAsia"/>
          <w:color w:val="auto"/>
          <w:sz w:val="22"/>
          <w:szCs w:val="22"/>
          <w:highlight w:val="none"/>
          <w:u w:val="none"/>
          <w:lang w:val="en-US" w:eastAsia="zh-CN"/>
        </w:rPr>
        <w:t>09</w:t>
      </w:r>
      <w:r>
        <w:rPr>
          <w:rFonts w:hint="eastAsia"/>
          <w:color w:val="auto"/>
          <w:sz w:val="22"/>
          <w:szCs w:val="22"/>
          <w:highlight w:val="none"/>
          <w:u w:val="none"/>
        </w:rPr>
        <w:t>:30（北京时间） </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开标地点（网址）：</w:t>
      </w:r>
      <w:r>
        <w:rPr>
          <w:rFonts w:hint="eastAsia" w:ascii="宋体" w:hAnsi="宋体" w:eastAsia="宋体" w:cs="宋体"/>
          <w:i w:val="0"/>
          <w:iCs w:val="0"/>
          <w:caps w:val="0"/>
          <w:color w:val="auto"/>
          <w:spacing w:val="0"/>
          <w:sz w:val="22"/>
          <w:szCs w:val="22"/>
          <w:highlight w:val="none"/>
          <w:shd w:val="clear" w:fill="FFFFFF"/>
        </w:rPr>
        <w:t>温州市政务服务管理中心温州市会展路1268号A座3楼</w:t>
      </w:r>
      <w:r>
        <w:rPr>
          <w:rFonts w:hint="eastAsia" w:ascii="宋体" w:hAnsi="宋体" w:eastAsia="宋体" w:cs="宋体"/>
          <w:color w:val="auto"/>
          <w:sz w:val="22"/>
          <w:highlight w:val="none"/>
          <w:lang w:val="en-US" w:eastAsia="zh-CN"/>
        </w:rPr>
        <w:t>（政采云平台：http://zfcg.czt.zj.gov.cn）</w:t>
      </w:r>
      <w:r>
        <w:rPr>
          <w:rFonts w:hint="eastAsia"/>
          <w:color w:val="auto"/>
          <w:sz w:val="22"/>
          <w:szCs w:val="22"/>
          <w:highlight w:val="none"/>
          <w:u w:val="none"/>
        </w:rPr>
        <w:t>  </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rPr>
      </w:pPr>
      <w:r>
        <w:rPr>
          <w:rFonts w:hint="eastAsia"/>
          <w:b/>
          <w:bCs/>
          <w:color w:val="auto"/>
          <w:sz w:val="22"/>
          <w:szCs w:val="22"/>
          <w:highlight w:val="none"/>
          <w:u w:val="none"/>
        </w:rPr>
        <w:t>五、公告期限</w:t>
      </w:r>
      <w:r>
        <w:rPr>
          <w:rFonts w:hint="eastAsia"/>
          <w:color w:val="auto"/>
          <w:sz w:val="22"/>
          <w:szCs w:val="22"/>
          <w:highlight w:val="none"/>
          <w:u w:val="none"/>
        </w:rPr>
        <w:t> </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自本公告发布之日起5个工作日。</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六、其他补充事宜</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color w:val="auto"/>
          <w:sz w:val="22"/>
          <w:szCs w:val="22"/>
          <w:highlight w:val="none"/>
          <w:u w:val="none"/>
          <w:lang w:val="en-US" w:eastAsia="zh-CN"/>
        </w:rPr>
      </w:pPr>
      <w:r>
        <w:rPr>
          <w:rFonts w:hint="eastAsia" w:ascii="宋体" w:hAnsi="宋体" w:eastAsia="宋体" w:cs="宋体"/>
          <w:color w:val="auto"/>
          <w:sz w:val="22"/>
          <w:highlight w:val="none"/>
          <w:lang w:val="en-US" w:eastAsia="zh-CN"/>
        </w:rPr>
        <w:t>3.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  </w:t>
      </w:r>
    </w:p>
    <w:p>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七、对本次招标提出询问，请按以下方式联系</w:t>
      </w:r>
      <w:r>
        <w:rPr>
          <w:rFonts w:hint="eastAsia" w:ascii="宋体" w:hAnsi="宋体" w:eastAsia="宋体" w:cs="宋体"/>
          <w:color w:val="auto"/>
          <w:sz w:val="22"/>
          <w:szCs w:val="22"/>
          <w:highlight w:val="none"/>
        </w:rPr>
        <w:t>　　　　　　　　　　　　</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1.采购人信息</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color w:val="auto"/>
          <w:sz w:val="22"/>
          <w:szCs w:val="22"/>
          <w:highlight w:val="none"/>
          <w:u w:val="none"/>
          <w:lang w:eastAsia="zh-CN"/>
        </w:rPr>
      </w:pPr>
      <w:r>
        <w:rPr>
          <w:rFonts w:hint="eastAsia"/>
          <w:color w:val="auto"/>
          <w:sz w:val="22"/>
          <w:szCs w:val="22"/>
          <w:highlight w:val="none"/>
          <w:u w:val="none"/>
        </w:rPr>
        <w:t>名  称：</w:t>
      </w:r>
      <w:r>
        <w:rPr>
          <w:rFonts w:hint="eastAsia"/>
          <w:color w:val="auto"/>
          <w:sz w:val="22"/>
          <w:szCs w:val="22"/>
          <w:highlight w:val="none"/>
          <w:u w:val="none"/>
          <w:lang w:eastAsia="zh-CN"/>
        </w:rPr>
        <w:t>温州市市政管理中心</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  址：</w:t>
      </w:r>
      <w:r>
        <w:rPr>
          <w:rFonts w:hint="eastAsia"/>
          <w:color w:val="auto"/>
          <w:sz w:val="22"/>
          <w:szCs w:val="22"/>
          <w:highlight w:val="none"/>
          <w:u w:val="none"/>
          <w:lang w:val="en-US" w:eastAsia="zh-CN"/>
        </w:rPr>
        <w:t>温州市鹿城区前东小区正大公寓D幢</w:t>
      </w:r>
      <w:r>
        <w:rPr>
          <w:rFonts w:hint="eastAsia"/>
          <w:color w:val="auto"/>
          <w:sz w:val="22"/>
          <w:szCs w:val="22"/>
          <w:highlight w:val="none"/>
          <w:u w:val="none"/>
        </w:rPr>
        <w:t xml:space="preserve">  </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传  真：   　　</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联系人（询问人）：季先生</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联系方式：0577-88352744</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质疑联系人：项先生</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质疑联系方式：0577-88150812　　　　　　　　　</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rPr>
      </w:pPr>
      <w:r>
        <w:rPr>
          <w:rFonts w:hint="eastAsia"/>
          <w:color w:val="auto"/>
          <w:sz w:val="22"/>
          <w:szCs w:val="22"/>
          <w:highlight w:val="none"/>
          <w:u w:val="none"/>
        </w:rPr>
        <w:t>  2.采购代理机构信息</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名  称：</w:t>
      </w:r>
      <w:r>
        <w:rPr>
          <w:rFonts w:hint="eastAsia"/>
          <w:color w:val="auto"/>
          <w:sz w:val="22"/>
          <w:szCs w:val="22"/>
          <w:highlight w:val="none"/>
          <w:u w:val="none"/>
          <w:lang w:val="en-US" w:eastAsia="zh-CN"/>
        </w:rPr>
        <w:t>温州历程招标有限公司</w:t>
      </w:r>
      <w:r>
        <w:rPr>
          <w:rFonts w:hint="eastAsia"/>
          <w:color w:val="auto"/>
          <w:sz w:val="22"/>
          <w:szCs w:val="22"/>
          <w:highlight w:val="none"/>
          <w:u w:val="none"/>
        </w:rPr>
        <w:t> </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  址：</w:t>
      </w:r>
      <w:r>
        <w:rPr>
          <w:rFonts w:hint="eastAsia"/>
          <w:color w:val="auto"/>
          <w:sz w:val="22"/>
          <w:szCs w:val="22"/>
          <w:highlight w:val="none"/>
          <w:lang w:eastAsia="zh-CN"/>
        </w:rPr>
        <w:t>温州市鹿城区学院中路229号三想集团5楼</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 xml:space="preserve">传  真：0577-89887255   </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项目联系人（询问）： 郑永强、温碧霞 </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项目联系方式（询问）：0577-89887322、13757727199</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eastAsia="宋体"/>
          <w:color w:val="auto"/>
          <w:sz w:val="22"/>
          <w:szCs w:val="22"/>
          <w:highlight w:val="none"/>
          <w:u w:val="none"/>
          <w:lang w:val="en-US" w:eastAsia="zh-CN"/>
        </w:rPr>
      </w:pPr>
      <w:r>
        <w:rPr>
          <w:rFonts w:hint="eastAsia"/>
          <w:color w:val="auto"/>
          <w:sz w:val="22"/>
          <w:szCs w:val="22"/>
          <w:highlight w:val="none"/>
          <w:u w:val="none"/>
        </w:rPr>
        <w:t>质疑联系人：</w:t>
      </w:r>
      <w:r>
        <w:rPr>
          <w:rFonts w:hint="eastAsia"/>
          <w:color w:val="auto"/>
          <w:sz w:val="22"/>
          <w:szCs w:val="22"/>
          <w:highlight w:val="none"/>
          <w:u w:val="none"/>
          <w:lang w:val="en-US" w:eastAsia="zh-CN"/>
        </w:rPr>
        <w:t>肖忠文</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质疑联系方式：13757727199 </w:t>
      </w:r>
    </w:p>
    <w:p>
      <w:pPr>
        <w:tabs>
          <w:tab w:val="left" w:pos="360"/>
        </w:tabs>
        <w:spacing w:line="460" w:lineRule="exact"/>
        <w:ind w:firstLine="550" w:firstLineChars="25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3.同级政府采购监督管理部门</w:t>
      </w:r>
    </w:p>
    <w:p>
      <w:pPr>
        <w:tabs>
          <w:tab w:val="left" w:pos="360"/>
        </w:tabs>
        <w:spacing w:line="460" w:lineRule="exact"/>
        <w:ind w:firstLine="550" w:firstLineChars="25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名    称：温州市财政局政府采购监管处 </w:t>
      </w:r>
    </w:p>
    <w:p>
      <w:pPr>
        <w:tabs>
          <w:tab w:val="left" w:pos="360"/>
        </w:tabs>
        <w:spacing w:line="460" w:lineRule="exact"/>
        <w:ind w:firstLine="550" w:firstLineChars="25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地    址：温州市鹿城区绣山路299号 </w:t>
      </w:r>
    </w:p>
    <w:p>
      <w:pPr>
        <w:tabs>
          <w:tab w:val="left" w:pos="360"/>
        </w:tabs>
        <w:spacing w:line="460" w:lineRule="exact"/>
        <w:ind w:firstLine="550" w:firstLineChars="25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 xml:space="preserve">传    </w:t>
      </w:r>
      <w:r>
        <w:rPr>
          <w:rFonts w:hint="eastAsia" w:ascii="宋体" w:hAnsi="宋体" w:cs="宋体"/>
          <w:color w:val="auto"/>
          <w:sz w:val="22"/>
          <w:highlight w:val="none"/>
          <w:lang w:val="en-US" w:eastAsia="zh-CN"/>
        </w:rPr>
        <w:t xml:space="preserve"> </w:t>
      </w:r>
      <w:r>
        <w:rPr>
          <w:rFonts w:hint="eastAsia" w:ascii="宋体" w:hAnsi="宋体" w:eastAsia="宋体" w:cs="宋体"/>
          <w:color w:val="auto"/>
          <w:sz w:val="22"/>
          <w:highlight w:val="none"/>
          <w:lang w:val="en-US" w:eastAsia="zh-CN"/>
        </w:rPr>
        <w:t>真：/ </w:t>
      </w:r>
    </w:p>
    <w:p>
      <w:pPr>
        <w:tabs>
          <w:tab w:val="left" w:pos="360"/>
        </w:tabs>
        <w:spacing w:line="460" w:lineRule="exact"/>
        <w:ind w:firstLine="550" w:firstLineChars="25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联</w:t>
      </w:r>
      <w:r>
        <w:rPr>
          <w:rFonts w:hint="eastAsia" w:ascii="宋体" w:hAnsi="宋体" w:cs="宋体"/>
          <w:color w:val="auto"/>
          <w:sz w:val="22"/>
          <w:highlight w:val="none"/>
          <w:lang w:val="en-US" w:eastAsia="zh-CN"/>
        </w:rPr>
        <w:t xml:space="preserve">  </w:t>
      </w:r>
      <w:r>
        <w:rPr>
          <w:rFonts w:hint="eastAsia" w:ascii="宋体" w:hAnsi="宋体" w:eastAsia="宋体" w:cs="宋体"/>
          <w:color w:val="auto"/>
          <w:sz w:val="22"/>
          <w:highlight w:val="none"/>
          <w:lang w:val="en-US" w:eastAsia="zh-CN"/>
        </w:rPr>
        <w:t>系</w:t>
      </w:r>
      <w:r>
        <w:rPr>
          <w:rFonts w:hint="eastAsia" w:ascii="宋体" w:hAnsi="宋体" w:cs="宋体"/>
          <w:color w:val="auto"/>
          <w:sz w:val="22"/>
          <w:highlight w:val="none"/>
          <w:lang w:val="en-US" w:eastAsia="zh-CN"/>
        </w:rPr>
        <w:t xml:space="preserve">  </w:t>
      </w:r>
      <w:r>
        <w:rPr>
          <w:rFonts w:hint="eastAsia" w:ascii="宋体" w:hAnsi="宋体" w:eastAsia="宋体" w:cs="宋体"/>
          <w:color w:val="auto"/>
          <w:sz w:val="22"/>
          <w:highlight w:val="none"/>
          <w:lang w:val="en-US" w:eastAsia="zh-CN"/>
        </w:rPr>
        <w:t>人 ：项先生、蔡女士 </w:t>
      </w:r>
    </w:p>
    <w:p>
      <w:pPr>
        <w:tabs>
          <w:tab w:val="left" w:pos="360"/>
        </w:tabs>
        <w:spacing w:line="460" w:lineRule="exact"/>
        <w:ind w:firstLine="550" w:firstLineChars="25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监督投诉电话：0577-88532725、88521948</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rPr>
      </w:pPr>
      <w:r>
        <w:rPr>
          <w:rFonts w:hint="eastAsia"/>
          <w:color w:val="auto"/>
          <w:sz w:val="22"/>
          <w:szCs w:val="22"/>
          <w:highlight w:val="none"/>
          <w:u w:val="none"/>
        </w:rPr>
        <w:t>　</w:t>
      </w:r>
    </w:p>
    <w:p>
      <w:pPr>
        <w:rPr>
          <w:rFonts w:hint="eastAsia" w:ascii="宋体" w:hAnsi="宋体" w:eastAsia="宋体" w:cs="宋体"/>
          <w:color w:val="auto"/>
          <w:highlight w:val="none"/>
        </w:rPr>
      </w:pPr>
      <w:bookmarkStart w:id="2" w:name="_Toc10401"/>
      <w:bookmarkStart w:id="3" w:name="_Toc5772"/>
      <w:r>
        <w:rPr>
          <w:rFonts w:hint="eastAsia" w:ascii="宋体" w:hAnsi="宋体" w:eastAsia="宋体" w:cs="宋体"/>
          <w:color w:val="auto"/>
          <w:highlight w:val="none"/>
        </w:rPr>
        <w:br w:type="page"/>
      </w:r>
    </w:p>
    <w:p>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第一部分    投标人须知</w:t>
      </w:r>
      <w:bookmarkEnd w:id="2"/>
      <w:bookmarkEnd w:id="3"/>
    </w:p>
    <w:p>
      <w:pPr>
        <w:keepNext/>
        <w:keepLines/>
        <w:shd w:val="clear" w:color="auto" w:fill="FFFFFF"/>
        <w:tabs>
          <w:tab w:val="left" w:pos="706"/>
        </w:tabs>
        <w:snapToGrid w:val="0"/>
        <w:spacing w:line="360" w:lineRule="auto"/>
        <w:jc w:val="center"/>
        <w:outlineLvl w:val="1"/>
        <w:rPr>
          <w:rFonts w:hint="eastAsia" w:ascii="宋体" w:hAnsi="宋体" w:eastAsia="宋体" w:cs="宋体"/>
          <w:b/>
          <w:bCs/>
          <w:color w:val="auto"/>
          <w:sz w:val="24"/>
          <w:highlight w:val="none"/>
        </w:rPr>
      </w:pPr>
      <w:bookmarkStart w:id="4" w:name="_Toc33194387"/>
      <w:bookmarkStart w:id="5" w:name="_Toc233618971"/>
      <w:bookmarkStart w:id="6" w:name="_Toc1839"/>
      <w:bookmarkStart w:id="7" w:name="_Toc354996695"/>
      <w:bookmarkStart w:id="8" w:name="_Toc6224"/>
      <w:r>
        <w:rPr>
          <w:rFonts w:hint="eastAsia" w:ascii="宋体" w:hAnsi="宋体" w:eastAsia="宋体" w:cs="宋体"/>
          <w:b/>
          <w:bCs/>
          <w:color w:val="auto"/>
          <w:sz w:val="24"/>
          <w:highlight w:val="none"/>
        </w:rPr>
        <w:t>前 附 表</w:t>
      </w:r>
      <w:bookmarkEnd w:id="4"/>
      <w:bookmarkEnd w:id="5"/>
      <w:bookmarkEnd w:id="6"/>
      <w:bookmarkEnd w:id="7"/>
      <w:bookmarkEnd w:id="8"/>
    </w:p>
    <w:tbl>
      <w:tblPr>
        <w:tblStyle w:val="52"/>
        <w:tblW w:w="10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5"/>
        <w:gridCol w:w="95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8"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条款</w:t>
            </w:r>
          </w:p>
        </w:tc>
        <w:tc>
          <w:tcPr>
            <w:tcW w:w="9590" w:type="dxa"/>
            <w:tcBorders>
              <w:top w:val="single" w:color="000000" w:sz="8" w:space="0"/>
              <w:left w:val="single" w:color="000000" w:sz="2" w:space="0"/>
              <w:bottom w:val="single" w:color="000000" w:sz="2" w:space="0"/>
              <w:right w:val="single" w:color="000000" w:sz="8"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w:t>
            </w:r>
          </w:p>
        </w:tc>
        <w:tc>
          <w:tcPr>
            <w:tcW w:w="9590" w:type="dxa"/>
            <w:tcBorders>
              <w:top w:val="single" w:color="000000" w:sz="2" w:space="0"/>
              <w:left w:val="single" w:color="000000" w:sz="2" w:space="0"/>
              <w:bottom w:val="single" w:color="000000" w:sz="2" w:space="0"/>
              <w:right w:val="single" w:color="000000" w:sz="8" w:space="0"/>
            </w:tcBorders>
          </w:tcPr>
          <w:p>
            <w:pPr>
              <w:tabs>
                <w:tab w:val="left" w:pos="3780"/>
              </w:tabs>
              <w:snapToGrid w:val="0"/>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一、项目名称</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东瓯大桥日常维养（3年）</w:t>
            </w:r>
          </w:p>
          <w:p>
            <w:pPr>
              <w:spacing w:line="460" w:lineRule="exact"/>
              <w:rPr>
                <w:rFonts w:hint="eastAsia" w:ascii="宋体" w:hAnsi="宋体" w:eastAsia="宋体" w:cs="宋体"/>
                <w:b/>
                <w:bCs/>
                <w:color w:val="auto"/>
                <w:sz w:val="22"/>
                <w:szCs w:val="22"/>
                <w:highlight w:val="none"/>
              </w:rPr>
            </w:pPr>
            <w:bookmarkStart w:id="9" w:name="_Hlt75139851"/>
            <w:bookmarkEnd w:id="9"/>
            <w:r>
              <w:rPr>
                <w:rFonts w:hint="eastAsia" w:ascii="宋体" w:hAnsi="宋体" w:eastAsia="宋体" w:cs="宋体"/>
                <w:b/>
                <w:bCs/>
                <w:color w:val="auto"/>
                <w:sz w:val="22"/>
                <w:szCs w:val="22"/>
                <w:highlight w:val="none"/>
              </w:rPr>
              <w:t>二、采购内容：</w:t>
            </w:r>
          </w:p>
          <w:tbl>
            <w:tblPr>
              <w:tblStyle w:val="52"/>
              <w:tblW w:w="92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2"/>
              <w:gridCol w:w="1955"/>
              <w:gridCol w:w="772"/>
              <w:gridCol w:w="1659"/>
              <w:gridCol w:w="1936"/>
              <w:gridCol w:w="21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rPr>
                    <w:t>序号</w:t>
                  </w:r>
                </w:p>
              </w:tc>
              <w:tc>
                <w:tcPr>
                  <w:tcW w:w="1955"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72"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rPr>
                    <w:t>单位</w:t>
                  </w:r>
                </w:p>
              </w:tc>
              <w:tc>
                <w:tcPr>
                  <w:tcW w:w="16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60"/>
                    </w:tabs>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预算金额</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元</w:t>
                  </w:r>
                  <w:r>
                    <w:rPr>
                      <w:rFonts w:hint="eastAsia" w:ascii="宋体" w:hAnsi="宋体" w:eastAsia="宋体" w:cs="宋体"/>
                      <w:color w:val="auto"/>
                      <w:sz w:val="22"/>
                      <w:szCs w:val="22"/>
                      <w:highlight w:val="none"/>
                      <w:lang w:eastAsia="zh-CN"/>
                    </w:rPr>
                    <w:t>）</w:t>
                  </w:r>
                </w:p>
              </w:tc>
              <w:tc>
                <w:tcPr>
                  <w:tcW w:w="1936"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最高限价（元）</w:t>
                  </w:r>
                </w:p>
              </w:tc>
              <w:tc>
                <w:tcPr>
                  <w:tcW w:w="2136"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简要技术要求、用途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8" w:hRule="atLeast"/>
                <w:jc w:val="center"/>
              </w:trPr>
              <w:tc>
                <w:tcPr>
                  <w:tcW w:w="742" w:type="dxa"/>
                  <w:tcBorders>
                    <w:top w:val="single" w:color="auto" w:sz="4" w:space="0"/>
                    <w:left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955" w:type="dxa"/>
                  <w:tcBorders>
                    <w:top w:val="single" w:color="auto" w:sz="4" w:space="0"/>
                    <w:left w:val="single" w:color="auto" w:sz="4" w:space="0"/>
                    <w:right w:val="single" w:color="auto" w:sz="4" w:space="0"/>
                  </w:tcBorders>
                  <w:vAlign w:val="center"/>
                </w:tcPr>
                <w:p>
                  <w:pPr>
                    <w:spacing w:line="460" w:lineRule="exact"/>
                    <w:jc w:val="center"/>
                    <w:rPr>
                      <w:rFonts w:hint="eastAsia" w:ascii="宋体" w:hAnsi="宋体" w:eastAsia="宋体" w:cs="宋体"/>
                      <w:color w:val="auto"/>
                      <w:sz w:val="22"/>
                      <w:highlight w:val="none"/>
                    </w:rPr>
                  </w:pPr>
                  <w:r>
                    <w:rPr>
                      <w:rFonts w:hint="eastAsia" w:ascii="宋体" w:hAnsi="宋体" w:cs="宋体"/>
                      <w:color w:val="auto"/>
                      <w:sz w:val="22"/>
                      <w:highlight w:val="none"/>
                      <w:lang w:eastAsia="zh-CN"/>
                    </w:rPr>
                    <w:t>东瓯大桥日常维养（3年）</w:t>
                  </w:r>
                </w:p>
              </w:tc>
              <w:tc>
                <w:tcPr>
                  <w:tcW w:w="772"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cs="宋体"/>
                      <w:color w:val="auto"/>
                      <w:sz w:val="22"/>
                      <w:szCs w:val="22"/>
                      <w:highlight w:val="none"/>
                      <w:shd w:val="clear" w:color="auto" w:fill="FFFFFF"/>
                      <w:lang w:val="en-US" w:eastAsia="zh-CN"/>
                    </w:rPr>
                    <w:t>3年</w:t>
                  </w:r>
                </w:p>
              </w:tc>
              <w:tc>
                <w:tcPr>
                  <w:tcW w:w="1659" w:type="dxa"/>
                  <w:tcBorders>
                    <w:top w:val="single" w:color="auto" w:sz="4" w:space="0"/>
                    <w:left w:val="single" w:color="auto" w:sz="4" w:space="0"/>
                    <w:right w:val="single" w:color="auto" w:sz="4" w:space="0"/>
                  </w:tcBorders>
                  <w:shd w:val="clear" w:color="auto" w:fill="auto"/>
                  <w:vAlign w:val="center"/>
                </w:tcPr>
                <w:p>
                  <w:pPr>
                    <w:tabs>
                      <w:tab w:val="left" w:pos="360"/>
                    </w:tabs>
                    <w:spacing w:line="460" w:lineRule="exact"/>
                    <w:jc w:val="center"/>
                    <w:rPr>
                      <w:rFonts w:hint="default" w:ascii="宋体" w:hAnsi="宋体" w:eastAsia="宋体" w:cs="宋体"/>
                      <w:color w:val="auto"/>
                      <w:sz w:val="22"/>
                      <w:szCs w:val="22"/>
                      <w:highlight w:val="none"/>
                      <w:shd w:val="clear" w:color="auto" w:fill="FFFFFF"/>
                      <w:lang w:val="en-US" w:eastAsia="zh-CN"/>
                    </w:rPr>
                  </w:pPr>
                  <w:r>
                    <w:rPr>
                      <w:rFonts w:hint="default" w:ascii="宋体" w:hAnsi="宋体" w:eastAsia="宋体" w:cs="宋体"/>
                      <w:color w:val="auto"/>
                      <w:sz w:val="22"/>
                      <w:szCs w:val="22"/>
                      <w:highlight w:val="none"/>
                      <w:shd w:val="clear" w:color="auto" w:fill="FFFFFF"/>
                      <w:lang w:val="en-US" w:eastAsia="zh-CN"/>
                    </w:rPr>
                    <w:t>11720000</w:t>
                  </w:r>
                </w:p>
              </w:tc>
              <w:tc>
                <w:tcPr>
                  <w:tcW w:w="1936" w:type="dxa"/>
                  <w:tcBorders>
                    <w:top w:val="single" w:color="auto" w:sz="4" w:space="0"/>
                    <w:left w:val="single" w:color="auto" w:sz="4" w:space="0"/>
                    <w:right w:val="single" w:color="auto" w:sz="4" w:space="0"/>
                  </w:tcBorders>
                  <w:vAlign w:val="center"/>
                </w:tcPr>
                <w:p>
                  <w:pPr>
                    <w:tabs>
                      <w:tab w:val="left" w:pos="360"/>
                    </w:tabs>
                    <w:spacing w:line="460" w:lineRule="exact"/>
                    <w:jc w:val="center"/>
                    <w:rPr>
                      <w:rFonts w:hint="default" w:ascii="宋体" w:hAnsi="宋体" w:eastAsia="宋体" w:cs="宋体"/>
                      <w:color w:val="auto"/>
                      <w:sz w:val="22"/>
                      <w:szCs w:val="22"/>
                      <w:highlight w:val="none"/>
                      <w:shd w:val="clear" w:color="auto" w:fill="FFFFFF"/>
                      <w:lang w:val="en-US" w:eastAsia="zh-CN"/>
                    </w:rPr>
                  </w:pPr>
                  <w:r>
                    <w:rPr>
                      <w:rFonts w:hint="default" w:ascii="宋体" w:hAnsi="宋体" w:eastAsia="宋体" w:cs="宋体"/>
                      <w:color w:val="auto"/>
                      <w:sz w:val="22"/>
                      <w:szCs w:val="22"/>
                      <w:highlight w:val="none"/>
                      <w:shd w:val="clear" w:color="auto" w:fill="FFFFFF"/>
                      <w:lang w:val="en-US" w:eastAsia="zh-CN"/>
                    </w:rPr>
                    <w:t>11719176.25</w:t>
                  </w:r>
                </w:p>
              </w:tc>
              <w:tc>
                <w:tcPr>
                  <w:tcW w:w="2136" w:type="dxa"/>
                  <w:tcBorders>
                    <w:top w:val="single" w:color="auto" w:sz="4" w:space="0"/>
                    <w:left w:val="single" w:color="auto" w:sz="4" w:space="0"/>
                    <w:right w:val="single" w:color="auto" w:sz="4" w:space="0"/>
                  </w:tcBorders>
                  <w:vAlign w:val="center"/>
                </w:tcPr>
                <w:p>
                  <w:pPr>
                    <w:shd w:val="clear" w:color="auto" w:fill="FFFFFF"/>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详见招标文件第</w:t>
                  </w:r>
                  <w:r>
                    <w:rPr>
                      <w:rFonts w:hint="eastAsia" w:ascii="宋体" w:hAnsi="宋体" w:eastAsia="宋体" w:cs="宋体"/>
                      <w:color w:val="auto"/>
                      <w:sz w:val="22"/>
                      <w:szCs w:val="22"/>
                      <w:highlight w:val="none"/>
                      <w:lang w:val="en-US" w:eastAsia="zh-CN"/>
                    </w:rPr>
                    <w:t>四</w:t>
                  </w:r>
                  <w:r>
                    <w:rPr>
                      <w:rFonts w:hint="eastAsia" w:ascii="宋体" w:hAnsi="宋体" w:eastAsia="宋体" w:cs="宋体"/>
                      <w:color w:val="auto"/>
                      <w:sz w:val="22"/>
                      <w:szCs w:val="22"/>
                      <w:highlight w:val="none"/>
                    </w:rPr>
                    <w:t>部分“项目技术规范和服务要求”</w:t>
                  </w:r>
                </w:p>
              </w:tc>
            </w:tr>
          </w:tbl>
          <w:p>
            <w:pPr>
              <w:tabs>
                <w:tab w:val="left" w:pos="360"/>
              </w:tabs>
              <w:spacing w:line="460" w:lineRule="exact"/>
              <w:ind w:firstLine="552" w:firstLineChars="250"/>
              <w:rPr>
                <w:rFonts w:hint="eastAsia" w:ascii="宋体" w:hAnsi="宋体" w:eastAsia="宋体" w:cs="宋体"/>
                <w:color w:val="auto"/>
                <w:highlight w:val="none"/>
              </w:rPr>
            </w:pPr>
            <w:r>
              <w:rPr>
                <w:rFonts w:hint="eastAsia" w:ascii="宋体" w:hAnsi="宋体" w:eastAsia="宋体" w:cs="宋体"/>
                <w:b/>
                <w:color w:val="auto"/>
                <w:sz w:val="22"/>
                <w:szCs w:val="22"/>
                <w:highlight w:val="none"/>
              </w:rPr>
              <w:t>如投标人报价超过预算金额</w:t>
            </w:r>
            <w:r>
              <w:rPr>
                <w:rFonts w:hint="eastAsia" w:ascii="宋体" w:hAnsi="宋体" w:cs="宋体"/>
                <w:b/>
                <w:color w:val="auto"/>
                <w:sz w:val="22"/>
                <w:szCs w:val="22"/>
                <w:highlight w:val="none"/>
                <w:lang w:val="en-US" w:eastAsia="zh-CN"/>
              </w:rPr>
              <w:t>或最高限价</w:t>
            </w:r>
            <w:r>
              <w:rPr>
                <w:rFonts w:hint="eastAsia" w:ascii="宋体" w:hAnsi="宋体" w:eastAsia="宋体" w:cs="宋体"/>
                <w:b/>
                <w:color w:val="auto"/>
                <w:sz w:val="22"/>
                <w:szCs w:val="22"/>
                <w:highlight w:val="none"/>
              </w:rPr>
              <w:t>按无效标处理。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zh-CN"/>
              </w:rPr>
              <w:t>投标</w:t>
            </w:r>
            <w:r>
              <w:rPr>
                <w:rFonts w:hint="eastAsia" w:ascii="宋体" w:hAnsi="宋体" w:eastAsia="宋体" w:cs="宋体"/>
                <w:b/>
                <w:bCs/>
                <w:color w:val="auto"/>
                <w:sz w:val="22"/>
                <w:szCs w:val="22"/>
                <w:highlight w:val="none"/>
              </w:rPr>
              <w:t>有效期：</w:t>
            </w:r>
            <w:r>
              <w:rPr>
                <w:rFonts w:hint="eastAsia" w:ascii="宋体" w:hAnsi="宋体" w:eastAsia="宋体" w:cs="宋体"/>
                <w:color w:val="auto"/>
                <w:sz w:val="22"/>
                <w:szCs w:val="22"/>
                <w:highlight w:val="none"/>
              </w:rPr>
              <w:t>自投标截止日起120天。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投标保证金数额：无</w:t>
            </w:r>
            <w:r>
              <w:rPr>
                <w:rFonts w:hint="eastAsia" w:ascii="宋体" w:hAnsi="宋体" w:eastAsia="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招标服务费：根据国家计委计价格【2002】1980号《招标代理服务收费管理暂行办法》规定</w:t>
            </w:r>
            <w:r>
              <w:rPr>
                <w:rFonts w:hint="eastAsia" w:ascii="宋体" w:hAnsi="宋体" w:eastAsia="宋体" w:cs="宋体"/>
                <w:b/>
                <w:bCs/>
                <w:color w:val="auto"/>
                <w:sz w:val="22"/>
                <w:szCs w:val="22"/>
                <w:highlight w:val="none"/>
                <w:lang w:val="en-US" w:eastAsia="zh-CN"/>
              </w:rPr>
              <w:t>标准</w:t>
            </w:r>
            <w:r>
              <w:rPr>
                <w:rFonts w:hint="eastAsia" w:ascii="宋体" w:hAnsi="宋体" w:cs="宋体"/>
                <w:b/>
                <w:bCs/>
                <w:color w:val="auto"/>
                <w:sz w:val="22"/>
                <w:szCs w:val="22"/>
                <w:highlight w:val="none"/>
                <w:lang w:val="en-US" w:eastAsia="zh-CN"/>
              </w:rPr>
              <w:t>下浮30%</w:t>
            </w:r>
            <w:r>
              <w:rPr>
                <w:rFonts w:hint="eastAsia" w:ascii="宋体" w:hAnsi="宋体" w:eastAsia="宋体" w:cs="宋体"/>
                <w:b/>
                <w:bCs/>
                <w:color w:val="auto"/>
                <w:sz w:val="22"/>
                <w:szCs w:val="22"/>
                <w:highlight w:val="none"/>
              </w:rPr>
              <w:t>收取,由中标人在领取中标通知书时支付。</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户   名：温州历程招标有限公司</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   号：33050162870409101001</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color w:val="auto"/>
                <w:sz w:val="22"/>
                <w:szCs w:val="22"/>
                <w:highlight w:val="none"/>
              </w:rPr>
              <w:t>开户行：中国建设银行温州黎明支行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投标文件的组成：</w:t>
            </w:r>
            <w:r>
              <w:rPr>
                <w:rFonts w:hint="eastAsia" w:ascii="宋体" w:hAnsi="宋体" w:eastAsia="宋体" w:cs="宋体"/>
                <w:color w:val="auto"/>
                <w:sz w:val="22"/>
                <w:szCs w:val="22"/>
                <w:highlight w:val="none"/>
              </w:rPr>
              <w:t>完整的《投标文件》由“资格文件”、“报价文件”和“商务技术文件”三个部分组成。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投标文件的编制：</w:t>
            </w:r>
            <w:r>
              <w:rPr>
                <w:rFonts w:hint="eastAsia" w:ascii="宋体" w:hAnsi="宋体" w:eastAsia="宋体" w:cs="宋体"/>
                <w:color w:val="auto"/>
                <w:sz w:val="22"/>
                <w:szCs w:val="22"/>
                <w:highlight w:val="none"/>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投标文件的签章：</w:t>
            </w:r>
            <w:r>
              <w:rPr>
                <w:rFonts w:hint="eastAsia" w:ascii="宋体" w:hAnsi="宋体" w:eastAsia="宋体" w:cs="宋体"/>
                <w:color w:val="auto"/>
                <w:sz w:val="22"/>
                <w:szCs w:val="22"/>
                <w:highlight w:val="none"/>
              </w:rPr>
              <w:t>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投标文件的形式：</w:t>
            </w:r>
            <w:r>
              <w:rPr>
                <w:rFonts w:hint="eastAsia" w:ascii="宋体" w:hAnsi="宋体" w:eastAsia="宋体" w:cs="宋体"/>
                <w:color w:val="auto"/>
                <w:sz w:val="22"/>
                <w:szCs w:val="22"/>
                <w:highlight w:val="none"/>
              </w:rPr>
              <w:t>☑电子投标文件（包括“电子加密投标文件”和“备份投标文件”，在投标文件编制完成后同时生成）；</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（1）“电子加密投标文件”是指通过“政采云电子交易客户端”完成投标文件编制后生成并加密的数据电文形式的投标文件。</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color w:val="auto"/>
                <w:sz w:val="22"/>
                <w:szCs w:val="28"/>
                <w:highlight w:val="none"/>
              </w:rPr>
            </w:pPr>
            <w:r>
              <w:rPr>
                <w:rFonts w:hint="eastAsia"/>
                <w:color w:val="auto"/>
                <w:sz w:val="22"/>
                <w:szCs w:val="28"/>
                <w:highlight w:val="none"/>
              </w:rPr>
              <w:t>投标文件份数：</w:t>
            </w:r>
          </w:p>
          <w:p>
            <w:pPr>
              <w:numPr>
                <w:ilvl w:val="0"/>
                <w:numId w:val="1"/>
              </w:numPr>
              <w:spacing w:line="460" w:lineRule="exact"/>
              <w:rPr>
                <w:rFonts w:hint="eastAsia"/>
                <w:color w:val="auto"/>
                <w:sz w:val="22"/>
                <w:szCs w:val="28"/>
                <w:highlight w:val="none"/>
              </w:rPr>
            </w:pPr>
            <w:r>
              <w:rPr>
                <w:rFonts w:hint="eastAsia"/>
                <w:color w:val="auto"/>
                <w:sz w:val="22"/>
                <w:szCs w:val="28"/>
                <w:highlight w:val="none"/>
              </w:rPr>
              <w:t>“电子加密投标文件”：在线上传递交、一份。</w:t>
            </w:r>
          </w:p>
          <w:p>
            <w:pPr>
              <w:numPr>
                <w:ilvl w:val="0"/>
                <w:numId w:val="1"/>
              </w:numPr>
              <w:spacing w:line="460" w:lineRule="exact"/>
              <w:rPr>
                <w:rFonts w:hint="eastAsia"/>
                <w:color w:val="auto"/>
                <w:sz w:val="22"/>
                <w:szCs w:val="28"/>
                <w:highlight w:val="none"/>
              </w:rPr>
            </w:pPr>
            <w:r>
              <w:rPr>
                <w:rFonts w:hint="eastAsia"/>
                <w:color w:val="auto"/>
                <w:sz w:val="22"/>
                <w:szCs w:val="28"/>
                <w:highlight w:val="none"/>
              </w:rPr>
              <w:t>“备份投标文件”：密封包装后投标截止时间前递交、一份</w:t>
            </w:r>
          </w:p>
          <w:p>
            <w:pPr>
              <w:spacing w:line="460" w:lineRule="exact"/>
              <w:rPr>
                <w:rFonts w:hint="eastAsia"/>
                <w:color w:val="auto"/>
                <w:sz w:val="22"/>
                <w:szCs w:val="28"/>
                <w:highlight w:val="none"/>
              </w:rPr>
            </w:pPr>
            <w:r>
              <w:rPr>
                <w:rFonts w:hint="eastAsia"/>
                <w:color w:val="auto"/>
                <w:sz w:val="22"/>
                <w:szCs w:val="28"/>
                <w:highlight w:val="none"/>
              </w:rPr>
              <w:t>（若不提供备份投标文件，开标当天电子加密投标文件解密失败，投标人自行负责。）</w:t>
            </w:r>
          </w:p>
          <w:p>
            <w:pPr>
              <w:tabs>
                <w:tab w:val="left" w:pos="360"/>
              </w:tabs>
              <w:spacing w:line="460" w:lineRule="exact"/>
              <w:rPr>
                <w:rFonts w:hint="eastAsia"/>
                <w:color w:val="auto"/>
                <w:sz w:val="22"/>
                <w:szCs w:val="28"/>
                <w:highlight w:val="none"/>
              </w:rPr>
            </w:pPr>
            <w:r>
              <w:rPr>
                <w:rFonts w:hint="eastAsia"/>
                <w:color w:val="auto"/>
                <w:sz w:val="22"/>
                <w:szCs w:val="28"/>
                <w:highlight w:val="none"/>
              </w:rPr>
              <w:t>可以（邮寄形式，建议顺丰）在投标截止时间前递交，并需采购代理机构确认是否收到，</w:t>
            </w:r>
          </w:p>
          <w:p>
            <w:pPr>
              <w:spacing w:line="460" w:lineRule="exact"/>
              <w:rPr>
                <w:rFonts w:hint="eastAsia"/>
                <w:color w:val="auto"/>
                <w:sz w:val="22"/>
                <w:szCs w:val="28"/>
                <w:highlight w:val="none"/>
                <w:lang w:eastAsia="zh-CN"/>
              </w:rPr>
            </w:pPr>
            <w:r>
              <w:rPr>
                <w:rFonts w:hint="eastAsia"/>
                <w:color w:val="auto"/>
                <w:sz w:val="22"/>
                <w:szCs w:val="28"/>
                <w:highlight w:val="none"/>
              </w:rPr>
              <w:t>邮寄地址：</w:t>
            </w:r>
            <w:r>
              <w:rPr>
                <w:rFonts w:hint="eastAsia"/>
                <w:color w:val="auto"/>
                <w:sz w:val="22"/>
                <w:szCs w:val="28"/>
                <w:highlight w:val="none"/>
                <w:lang w:eastAsia="zh-CN"/>
              </w:rPr>
              <w:t>温州市鹿城区学院中路229号三想集团5楼</w:t>
            </w:r>
          </w:p>
          <w:p>
            <w:pPr>
              <w:spacing w:line="460" w:lineRule="exact"/>
              <w:rPr>
                <w:rFonts w:hint="default" w:eastAsia="宋体"/>
                <w:color w:val="auto"/>
                <w:highlight w:val="none"/>
                <w:lang w:val="en-US" w:eastAsia="zh-CN"/>
              </w:rPr>
            </w:pPr>
            <w:r>
              <w:rPr>
                <w:rFonts w:hint="eastAsia"/>
                <w:color w:val="auto"/>
                <w:sz w:val="22"/>
                <w:szCs w:val="28"/>
                <w:highlight w:val="none"/>
                <w:lang w:val="en-US" w:eastAsia="zh-CN"/>
              </w:rPr>
              <w:t>联系人：温端赏    联系电话</w:t>
            </w:r>
            <w:r>
              <w:rPr>
                <w:rFonts w:hint="eastAsia"/>
                <w:b w:val="0"/>
                <w:bCs w:val="0"/>
                <w:color w:val="auto"/>
                <w:sz w:val="22"/>
                <w:szCs w:val="28"/>
                <w:highlight w:val="none"/>
                <w:lang w:val="en-US" w:eastAsia="zh-CN"/>
              </w:rPr>
              <w:t>：13868508737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投标文件的上传和递交：</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（1）“电子加密投标文件”的上传、递交：</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a.投标人应在投标截止时间前将“电子加密投标文件”成功上传递交至“政府采购云平台”，否则投标无效。</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b.“电子加密投标文件”成功上传递交后，供应商可自行打印投标文件接收回执。</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（2）“备份投标文件”的密封包装、递交：</w:t>
            </w:r>
          </w:p>
          <w:p>
            <w:pPr>
              <w:tabs>
                <w:tab w:val="left" w:pos="360"/>
              </w:tabs>
              <w:spacing w:line="460" w:lineRule="exact"/>
              <w:ind w:firstLine="550" w:firstLineChars="25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a.投标人在“政府采购云平台”完成“电子加密投标文件”的上传递交后，</w:t>
            </w:r>
            <w:r>
              <w:rPr>
                <w:rFonts w:hint="eastAsia" w:ascii="宋体" w:hAnsi="宋体" w:eastAsia="宋体" w:cs="宋体"/>
                <w:b/>
                <w:bCs/>
                <w:color w:val="auto"/>
                <w:sz w:val="22"/>
                <w:szCs w:val="22"/>
                <w:highlight w:val="none"/>
              </w:rPr>
              <w:t>还可以在投标截止时间前递交以介质（U盘）存储的数据电文形式的“备份投标文件”，（可以</w:t>
            </w:r>
            <w:r>
              <w:rPr>
                <w:rFonts w:hint="eastAsia" w:ascii="宋体" w:hAnsi="宋体" w:eastAsia="宋体" w:cs="宋体"/>
                <w:b/>
                <w:color w:val="auto"/>
                <w:sz w:val="22"/>
                <w:szCs w:val="22"/>
                <w:highlight w:val="none"/>
                <w:u w:val="single"/>
              </w:rPr>
              <w:t>（邮寄形式，建议顺丰）在投标截止时间前递交，并需采购代理机构确认是否收到</w:t>
            </w:r>
            <w:r>
              <w:rPr>
                <w:rFonts w:hint="eastAsia" w:ascii="宋体" w:hAnsi="宋体" w:eastAsia="宋体" w:cs="宋体"/>
                <w:b/>
                <w:bCs/>
                <w:color w:val="auto"/>
                <w:sz w:val="22"/>
                <w:szCs w:val="22"/>
                <w:highlight w:val="none"/>
              </w:rPr>
              <w:t>）</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11</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电子加密投标文件的解密和异常情况处理：</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（1）开标后，采购组织机构将向各投标人发出“电子加密投标文件”的解密通知，各投标人代表应当在接到解密通知后在系统规定的时间自行完成“电子加密投标文件”的在线解密。</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（3）投标截止时间前，投标人仅递交了“备份投标文件”而未将电子加密投标文件上传至“政府采购云平台”的，投标无效。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12</w:t>
            </w:r>
          </w:p>
        </w:tc>
        <w:tc>
          <w:tcPr>
            <w:tcW w:w="9590" w:type="dxa"/>
            <w:tcBorders>
              <w:top w:val="single" w:color="000000" w:sz="2" w:space="0"/>
              <w:left w:val="single" w:color="000000" w:sz="2" w:space="0"/>
              <w:bottom w:val="single" w:color="000000" w:sz="2" w:space="0"/>
              <w:right w:val="single" w:color="000000" w:sz="8" w:space="0"/>
            </w:tcBorders>
            <w:vAlign w:val="center"/>
          </w:tcPr>
          <w:p>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提交投标文件截止时间：</w:t>
            </w:r>
            <w:r>
              <w:rPr>
                <w:rFonts w:hint="eastAsia" w:ascii="宋体" w:hAnsi="宋体" w:eastAsia="宋体" w:cs="宋体"/>
                <w:color w:val="auto"/>
                <w:sz w:val="22"/>
                <w:szCs w:val="22"/>
                <w:highlight w:val="none"/>
                <w:lang w:eastAsia="zh-CN"/>
              </w:rPr>
              <w:t>2022年</w:t>
            </w:r>
            <w:r>
              <w:rPr>
                <w:rFonts w:hint="eastAsia" w:ascii="宋体" w:hAnsi="宋体" w:eastAsia="宋体" w:cs="宋体"/>
                <w:color w:val="auto"/>
                <w:sz w:val="22"/>
                <w:szCs w:val="22"/>
                <w:highlight w:val="none"/>
                <w:lang w:val="en-US" w:eastAsia="zh-CN"/>
              </w:rPr>
              <w:t>08</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lang w:val="en-US" w:eastAsia="zh-CN"/>
              </w:rPr>
              <w:t>19</w:t>
            </w:r>
            <w:r>
              <w:rPr>
                <w:rFonts w:hint="eastAsia" w:ascii="宋体" w:hAnsi="宋体" w:eastAsia="宋体" w:cs="宋体"/>
                <w:color w:val="auto"/>
                <w:sz w:val="22"/>
                <w:szCs w:val="22"/>
                <w:highlight w:val="none"/>
              </w:rPr>
              <w:t xml:space="preserve">日 </w:t>
            </w:r>
            <w:r>
              <w:rPr>
                <w:rFonts w:hint="eastAsia" w:ascii="宋体" w:hAnsi="宋体" w:eastAsia="宋体" w:cs="宋体"/>
                <w:color w:val="auto"/>
                <w:sz w:val="22"/>
                <w:szCs w:val="22"/>
                <w:highlight w:val="none"/>
                <w:lang w:val="en-US" w:eastAsia="zh-CN"/>
              </w:rPr>
              <w:t>09</w:t>
            </w:r>
            <w:r>
              <w:rPr>
                <w:rFonts w:hint="eastAsia" w:ascii="宋体" w:hAnsi="宋体" w:eastAsia="宋体" w:cs="宋体"/>
                <w:color w:val="auto"/>
                <w:sz w:val="22"/>
                <w:szCs w:val="22"/>
                <w:highlight w:val="none"/>
              </w:rPr>
              <w:t>:30（北京时间） </w:t>
            </w:r>
          </w:p>
          <w:p>
            <w:pPr>
              <w:widowControl/>
              <w:snapToGrid w:val="0"/>
              <w:spacing w:line="460" w:lineRule="exact"/>
              <w:jc w:val="left"/>
              <w:rPr>
                <w:rFonts w:hint="eastAsia"/>
                <w:color w:val="auto"/>
                <w:highlight w:val="none"/>
              </w:rPr>
            </w:pPr>
            <w:r>
              <w:rPr>
                <w:rFonts w:hint="eastAsia" w:ascii="宋体" w:hAnsi="宋体" w:eastAsia="宋体" w:cs="宋体"/>
                <w:color w:val="auto"/>
                <w:sz w:val="22"/>
                <w:szCs w:val="22"/>
                <w:highlight w:val="none"/>
              </w:rPr>
              <w:t>投标地点（网址）：温州市政务服务管理中心温州市会展路1268号A座3楼</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政采云</w:t>
            </w:r>
            <w:r>
              <w:rPr>
                <w:rFonts w:hint="eastAsia" w:ascii="宋体" w:hAnsi="宋体" w:eastAsia="宋体" w:cs="宋体"/>
                <w:color w:val="auto"/>
                <w:sz w:val="21"/>
                <w:szCs w:val="21"/>
                <w:highlight w:val="none"/>
              </w:rPr>
              <w:t>http://zfcg.czt.zj.gov.cn</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auto" w:sz="4"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1</w:t>
            </w:r>
            <w:r>
              <w:rPr>
                <w:rFonts w:hint="eastAsia" w:ascii="宋体" w:hAnsi="宋体" w:eastAsia="宋体" w:cs="宋体"/>
                <w:b/>
                <w:bCs/>
                <w:color w:val="auto"/>
                <w:sz w:val="22"/>
                <w:szCs w:val="22"/>
                <w:highlight w:val="none"/>
                <w:lang w:val="en-US" w:eastAsia="zh-CN"/>
              </w:rPr>
              <w:t>3</w:t>
            </w:r>
          </w:p>
        </w:tc>
        <w:tc>
          <w:tcPr>
            <w:tcW w:w="9590" w:type="dxa"/>
            <w:tcBorders>
              <w:top w:val="single" w:color="000000" w:sz="2" w:space="0"/>
              <w:left w:val="single" w:color="000000" w:sz="2" w:space="0"/>
              <w:bottom w:val="single" w:color="auto" w:sz="4" w:space="0"/>
              <w:right w:val="single" w:color="000000" w:sz="8" w:space="0"/>
            </w:tcBorders>
            <w:vAlign w:val="center"/>
          </w:tcPr>
          <w:p>
            <w:pPr>
              <w:widowControl/>
              <w:snapToGrid w:val="0"/>
              <w:spacing w:line="460" w:lineRule="exact"/>
              <w:jc w:val="left"/>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开标时间</w:t>
            </w:r>
            <w:r>
              <w:rPr>
                <w:rFonts w:hint="eastAsia" w:ascii="宋体" w:hAnsi="宋体" w:eastAsia="宋体" w:cs="宋体"/>
                <w:b w:val="0"/>
                <w:bCs w:val="0"/>
                <w:color w:val="auto"/>
                <w:sz w:val="22"/>
                <w:szCs w:val="22"/>
                <w:highlight w:val="none"/>
                <w:lang w:eastAsia="zh-CN"/>
              </w:rPr>
              <w:t>：2022年</w:t>
            </w:r>
            <w:r>
              <w:rPr>
                <w:rFonts w:hint="eastAsia" w:ascii="宋体" w:hAnsi="宋体" w:eastAsia="宋体" w:cs="宋体"/>
                <w:b w:val="0"/>
                <w:bCs w:val="0"/>
                <w:color w:val="auto"/>
                <w:sz w:val="22"/>
                <w:szCs w:val="22"/>
                <w:highlight w:val="none"/>
                <w:lang w:val="en-US" w:eastAsia="zh-CN"/>
              </w:rPr>
              <w:t>08</w:t>
            </w:r>
            <w:r>
              <w:rPr>
                <w:rFonts w:hint="eastAsia" w:ascii="宋体" w:hAnsi="宋体" w:eastAsia="宋体" w:cs="宋体"/>
                <w:b w:val="0"/>
                <w:bCs w:val="0"/>
                <w:color w:val="auto"/>
                <w:sz w:val="22"/>
                <w:szCs w:val="22"/>
                <w:highlight w:val="none"/>
                <w:lang w:eastAsia="zh-CN"/>
              </w:rPr>
              <w:t>月</w:t>
            </w:r>
            <w:r>
              <w:rPr>
                <w:rFonts w:hint="eastAsia" w:ascii="宋体" w:hAnsi="宋体" w:eastAsia="宋体" w:cs="宋体"/>
                <w:b w:val="0"/>
                <w:bCs w:val="0"/>
                <w:color w:val="auto"/>
                <w:sz w:val="22"/>
                <w:szCs w:val="22"/>
                <w:highlight w:val="none"/>
                <w:lang w:val="en-US" w:eastAsia="zh-CN"/>
              </w:rPr>
              <w:t>19</w:t>
            </w:r>
            <w:r>
              <w:rPr>
                <w:rFonts w:hint="eastAsia" w:ascii="宋体" w:hAnsi="宋体" w:eastAsia="宋体" w:cs="宋体"/>
                <w:b w:val="0"/>
                <w:bCs w:val="0"/>
                <w:color w:val="auto"/>
                <w:sz w:val="22"/>
                <w:szCs w:val="22"/>
                <w:highlight w:val="none"/>
                <w:lang w:eastAsia="zh-CN"/>
              </w:rPr>
              <w:t xml:space="preserve">日 </w:t>
            </w:r>
            <w:r>
              <w:rPr>
                <w:rFonts w:hint="eastAsia" w:ascii="宋体" w:hAnsi="宋体" w:eastAsia="宋体" w:cs="宋体"/>
                <w:b w:val="0"/>
                <w:bCs w:val="0"/>
                <w:color w:val="auto"/>
                <w:sz w:val="22"/>
                <w:szCs w:val="22"/>
                <w:highlight w:val="none"/>
                <w:lang w:val="en-US" w:eastAsia="zh-CN"/>
              </w:rPr>
              <w:t>09</w:t>
            </w:r>
            <w:r>
              <w:rPr>
                <w:rFonts w:hint="eastAsia" w:ascii="宋体" w:hAnsi="宋体" w:eastAsia="宋体" w:cs="宋体"/>
                <w:b w:val="0"/>
                <w:bCs w:val="0"/>
                <w:color w:val="auto"/>
                <w:sz w:val="22"/>
                <w:szCs w:val="22"/>
                <w:highlight w:val="none"/>
                <w:lang w:eastAsia="zh-CN"/>
              </w:rPr>
              <w:t>:30（北京时间）</w:t>
            </w:r>
          </w:p>
          <w:p>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val="en-US" w:eastAsia="zh-CN"/>
              </w:rPr>
              <w:t>开标地点（网址）：</w:t>
            </w:r>
            <w:r>
              <w:rPr>
                <w:rFonts w:hint="eastAsia" w:ascii="宋体" w:hAnsi="宋体" w:eastAsia="宋体" w:cs="宋体"/>
                <w:i w:val="0"/>
                <w:iCs w:val="0"/>
                <w:caps w:val="0"/>
                <w:color w:val="auto"/>
                <w:spacing w:val="0"/>
                <w:sz w:val="22"/>
                <w:szCs w:val="22"/>
                <w:highlight w:val="none"/>
                <w:shd w:val="clear" w:fill="FFFFFF"/>
              </w:rPr>
              <w:t>温州市政务服务管理中心温州市会展路1268号A座3楼</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政采云</w:t>
            </w:r>
            <w:r>
              <w:rPr>
                <w:rFonts w:hint="eastAsia" w:ascii="宋体" w:hAnsi="宋体" w:eastAsia="宋体" w:cs="宋体"/>
                <w:color w:val="auto"/>
                <w:sz w:val="21"/>
                <w:szCs w:val="22"/>
                <w:highlight w:val="none"/>
              </w:rPr>
              <w:t>http://zfcg.czt.zj.gov.cn</w:t>
            </w:r>
            <w:r>
              <w:rPr>
                <w:rFonts w:hint="eastAsia" w:ascii="宋体" w:hAnsi="宋体" w:eastAsia="宋体" w:cs="宋体"/>
                <w:color w:val="auto"/>
                <w:sz w:val="22"/>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1</w:t>
            </w:r>
            <w:r>
              <w:rPr>
                <w:rFonts w:hint="eastAsia" w:ascii="宋体" w:hAnsi="宋体" w:eastAsia="宋体" w:cs="宋体"/>
                <w:b/>
                <w:bCs/>
                <w:color w:val="auto"/>
                <w:sz w:val="22"/>
                <w:szCs w:val="22"/>
                <w:highlight w:val="none"/>
                <w:lang w:val="en-US" w:eastAsia="zh-CN"/>
              </w:rPr>
              <w:t>4</w:t>
            </w:r>
          </w:p>
        </w:tc>
        <w:tc>
          <w:tcPr>
            <w:tcW w:w="9590" w:type="dxa"/>
            <w:tcBorders>
              <w:top w:val="single" w:color="auto" w:sz="4" w:space="0"/>
              <w:left w:val="single" w:color="000000" w:sz="2" w:space="0"/>
              <w:bottom w:val="single" w:color="auto" w:sz="4"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带“▲”条款系指实质性要求条款。“★”是关键技术参数及要求。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eastAsia="宋体" w:cs="宋体"/>
                <w:b/>
                <w:bCs/>
                <w:color w:val="auto"/>
                <w:kern w:val="0"/>
                <w:sz w:val="22"/>
                <w:szCs w:val="22"/>
                <w:highlight w:val="none"/>
                <w:lang w:val="en-US" w:eastAsia="zh-CN"/>
              </w:rPr>
              <w:t>5</w:t>
            </w:r>
          </w:p>
        </w:tc>
        <w:tc>
          <w:tcPr>
            <w:tcW w:w="9590" w:type="dxa"/>
            <w:tcBorders>
              <w:top w:val="single" w:color="auto" w:sz="4" w:space="0"/>
              <w:left w:val="single" w:color="000000" w:sz="2" w:space="0"/>
              <w:bottom w:val="single" w:color="auto" w:sz="4" w:space="0"/>
              <w:right w:val="single" w:color="000000" w:sz="8" w:space="0"/>
            </w:tcBorders>
            <w:vAlign w:val="center"/>
          </w:tcPr>
          <w:p>
            <w:pPr>
              <w:widowControl/>
              <w:snapToGrid w:val="0"/>
              <w:spacing w:line="460" w:lineRule="exact"/>
              <w:jc w:val="lef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eastAsia="宋体" w:cs="宋体"/>
                <w:b/>
                <w:bCs/>
                <w:color w:val="auto"/>
                <w:kern w:val="0"/>
                <w:sz w:val="22"/>
                <w:szCs w:val="22"/>
                <w:highlight w:val="none"/>
                <w:lang w:val="en-US" w:eastAsia="zh-CN"/>
              </w:rPr>
              <w:t>6</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color w:val="auto"/>
                <w:kern w:val="10"/>
                <w:sz w:val="22"/>
                <w:szCs w:val="22"/>
                <w:highlight w:val="none"/>
              </w:rPr>
              <w:t>潜在供应商需在浙江政府采购网http://http://zfcg.czt.zj.gov.cn/进行免费注册，具体详见浙江政府采购网供应商注册要求。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eastAsia="宋体" w:cs="宋体"/>
                <w:b/>
                <w:bCs/>
                <w:color w:val="auto"/>
                <w:kern w:val="0"/>
                <w:sz w:val="22"/>
                <w:szCs w:val="22"/>
                <w:highlight w:val="none"/>
                <w:lang w:val="en-US" w:eastAsia="zh-CN"/>
              </w:rPr>
              <w:t>7</w:t>
            </w:r>
          </w:p>
        </w:tc>
        <w:tc>
          <w:tcPr>
            <w:tcW w:w="9590" w:type="dxa"/>
            <w:tcBorders>
              <w:top w:val="single" w:color="000000" w:sz="2" w:space="0"/>
              <w:left w:val="single" w:color="000000" w:sz="2" w:space="0"/>
              <w:bottom w:val="single" w:color="000000" w:sz="2" w:space="0"/>
              <w:right w:val="single" w:color="000000" w:sz="8" w:space="0"/>
            </w:tcBorders>
            <w:vAlign w:val="center"/>
          </w:tcPr>
          <w:p>
            <w:pPr>
              <w:shd w:val="clear"/>
              <w:adjustRightInd w:val="0"/>
              <w:snapToGrid w:val="0"/>
              <w:spacing w:line="460" w:lineRule="exact"/>
              <w:ind w:firstLine="442" w:firstLineChars="200"/>
              <w:rPr>
                <w:rFonts w:hint="eastAsia" w:ascii="新宋体" w:hAnsi="新宋体" w:eastAsia="新宋体" w:cs="新宋体"/>
                <w:b/>
                <w:bCs/>
                <w:color w:val="auto"/>
                <w:sz w:val="22"/>
                <w:szCs w:val="28"/>
                <w:highlight w:val="none"/>
              </w:rPr>
            </w:pPr>
            <w:r>
              <w:rPr>
                <w:rFonts w:hint="eastAsia" w:ascii="新宋体" w:hAnsi="新宋体" w:eastAsia="新宋体" w:cs="新宋体"/>
                <w:b/>
                <w:bCs/>
                <w:color w:val="auto"/>
                <w:sz w:val="22"/>
                <w:szCs w:val="28"/>
                <w:highlight w:val="none"/>
              </w:rPr>
              <w:t>1、扶持中小企业（监狱企业、残疾人福利性单位）：</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1</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项目预算：</w:t>
            </w:r>
            <w:r>
              <w:rPr>
                <w:rFonts w:hint="eastAsia" w:ascii="新宋体" w:hAnsi="新宋体" w:eastAsia="新宋体" w:cs="新宋体"/>
                <w:color w:val="auto"/>
                <w:sz w:val="22"/>
                <w:szCs w:val="28"/>
                <w:highlight w:val="none"/>
                <w:u w:val="single"/>
              </w:rPr>
              <w:t xml:space="preserve"> 1171</w:t>
            </w:r>
            <w:r>
              <w:rPr>
                <w:rFonts w:hint="eastAsia" w:ascii="新宋体" w:hAnsi="新宋体" w:eastAsia="新宋体" w:cs="新宋体"/>
                <w:color w:val="auto"/>
                <w:sz w:val="22"/>
                <w:szCs w:val="28"/>
                <w:highlight w:val="none"/>
                <w:u w:val="single"/>
                <w:lang w:val="en-US" w:eastAsia="zh-CN"/>
              </w:rPr>
              <w:t>.</w:t>
            </w:r>
            <w:r>
              <w:rPr>
                <w:rFonts w:hint="eastAsia" w:ascii="新宋体" w:hAnsi="新宋体" w:eastAsia="新宋体" w:cs="新宋体"/>
                <w:color w:val="auto"/>
                <w:sz w:val="22"/>
                <w:szCs w:val="28"/>
                <w:highlight w:val="none"/>
                <w:u w:val="single"/>
              </w:rPr>
              <w:t xml:space="preserve">917625 </w:t>
            </w:r>
            <w:r>
              <w:rPr>
                <w:rFonts w:hint="eastAsia" w:ascii="新宋体" w:hAnsi="新宋体" w:eastAsia="新宋体" w:cs="新宋体"/>
                <w:color w:val="auto"/>
                <w:sz w:val="22"/>
                <w:szCs w:val="28"/>
                <w:highlight w:val="none"/>
              </w:rPr>
              <w:t>万元</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2</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项目属性：</w:t>
            </w:r>
            <w:r>
              <w:rPr>
                <w:rFonts w:hint="eastAsia" w:ascii="新宋体" w:hAnsi="新宋体" w:eastAsia="新宋体" w:cs="新宋体"/>
                <w:color w:val="auto"/>
                <w:sz w:val="22"/>
                <w:szCs w:val="28"/>
                <w:highlight w:val="none"/>
                <w:u w:val="single"/>
              </w:rPr>
              <w:t xml:space="preserve"> ②服务类 </w:t>
            </w:r>
            <w:r>
              <w:rPr>
                <w:rFonts w:hint="eastAsia" w:ascii="新宋体" w:hAnsi="新宋体" w:eastAsia="新宋体" w:cs="新宋体"/>
                <w:color w:val="auto"/>
                <w:sz w:val="22"/>
                <w:szCs w:val="28"/>
                <w:highlight w:val="none"/>
              </w:rPr>
              <w:t xml:space="preserve"> （①货物类/②服务类/③工程类）</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3</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项目对应的中小企业划分标准所属行业：</w:t>
            </w:r>
            <w:r>
              <w:rPr>
                <w:rFonts w:hint="eastAsia" w:ascii="新宋体" w:hAnsi="新宋体" w:eastAsia="新宋体" w:cs="新宋体"/>
                <w:color w:val="auto"/>
                <w:sz w:val="22"/>
                <w:szCs w:val="28"/>
                <w:highlight w:val="none"/>
                <w:u w:val="single"/>
              </w:rPr>
              <w:t xml:space="preserve"> 其他未列明行业 </w:t>
            </w:r>
            <w:r>
              <w:rPr>
                <w:rFonts w:hint="eastAsia" w:ascii="新宋体" w:hAnsi="新宋体" w:eastAsia="新宋体" w:cs="新宋体"/>
                <w:color w:val="auto"/>
                <w:sz w:val="22"/>
                <w:szCs w:val="28"/>
                <w:highlight w:val="none"/>
              </w:rPr>
              <w:t>（具体根据《中小企业划型标准规定》执行）</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4</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本项目</w:t>
            </w:r>
            <w:r>
              <w:rPr>
                <w:rFonts w:hint="eastAsia" w:ascii="新宋体" w:hAnsi="新宋体" w:eastAsia="新宋体" w:cs="新宋体"/>
                <w:color w:val="auto"/>
                <w:sz w:val="22"/>
                <w:szCs w:val="28"/>
                <w:highlight w:val="none"/>
                <w:u w:val="single"/>
                <w:lang w:val="en-US" w:eastAsia="zh-CN"/>
              </w:rPr>
              <w:t xml:space="preserve"> </w:t>
            </w:r>
            <w:r>
              <w:rPr>
                <w:rFonts w:hint="eastAsia" w:ascii="新宋体" w:hAnsi="新宋体" w:eastAsia="新宋体" w:cs="新宋体"/>
                <w:color w:val="auto"/>
                <w:sz w:val="22"/>
                <w:szCs w:val="28"/>
                <w:highlight w:val="none"/>
                <w:u w:val="single"/>
              </w:rPr>
              <w:t>（</w:t>
            </w:r>
            <w:r>
              <w:rPr>
                <w:rFonts w:hint="eastAsia" w:ascii="新宋体" w:hAnsi="新宋体" w:eastAsia="新宋体" w:cs="新宋体"/>
                <w:color w:val="auto"/>
                <w:sz w:val="22"/>
                <w:szCs w:val="28"/>
                <w:highlight w:val="none"/>
                <w:u w:val="single"/>
                <w:lang w:val="en-US" w:eastAsia="zh-CN"/>
              </w:rPr>
              <w:t>否</w:t>
            </w:r>
            <w:r>
              <w:rPr>
                <w:rFonts w:hint="eastAsia" w:ascii="新宋体" w:hAnsi="新宋体" w:eastAsia="新宋体" w:cs="新宋体"/>
                <w:color w:val="auto"/>
                <w:sz w:val="22"/>
                <w:szCs w:val="28"/>
                <w:highlight w:val="none"/>
                <w:u w:val="single"/>
              </w:rPr>
              <w:t>）</w:t>
            </w:r>
            <w:r>
              <w:rPr>
                <w:rFonts w:hint="eastAsia" w:ascii="新宋体" w:hAnsi="新宋体" w:eastAsia="新宋体" w:cs="新宋体"/>
                <w:color w:val="auto"/>
                <w:sz w:val="22"/>
                <w:szCs w:val="28"/>
                <w:highlight w:val="none"/>
                <w:u w:val="single"/>
                <w:lang w:val="en-US" w:eastAsia="zh-CN"/>
              </w:rPr>
              <w:t xml:space="preserve"> </w:t>
            </w:r>
            <w:r>
              <w:rPr>
                <w:rFonts w:hint="eastAsia" w:ascii="新宋体" w:hAnsi="新宋体" w:eastAsia="新宋体" w:cs="新宋体"/>
                <w:color w:val="auto"/>
                <w:sz w:val="22"/>
                <w:szCs w:val="28"/>
                <w:highlight w:val="none"/>
              </w:rPr>
              <w:t>属于预留份额专门面向中小企业采购的项目。</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5</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上述第4项中确定为“是”的采购项目，预留份额通过（</w:t>
            </w:r>
            <w:r>
              <w:rPr>
                <w:rFonts w:hint="eastAsia" w:ascii="新宋体" w:hAnsi="新宋体" w:eastAsia="新宋体" w:cs="新宋体"/>
                <w:color w:val="auto"/>
                <w:sz w:val="22"/>
                <w:szCs w:val="28"/>
                <w:highlight w:val="none"/>
                <w:lang w:val="en-US" w:eastAsia="zh-CN"/>
              </w:rPr>
              <w:t>/</w:t>
            </w:r>
            <w:r>
              <w:rPr>
                <w:rFonts w:hint="eastAsia" w:ascii="新宋体" w:hAnsi="新宋体" w:eastAsia="新宋体" w:cs="新宋体"/>
                <w:color w:val="auto"/>
                <w:sz w:val="22"/>
                <w:szCs w:val="28"/>
                <w:highlight w:val="none"/>
              </w:rPr>
              <w:t>）措施进行：</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①将采购项目整体或者设置采购包专门面向中小企业采购； </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②要求供应商以联合体形式参加采购活动，且联合体中中小企业承担的部分达到</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none"/>
                <w:lang w:val="en-US" w:eastAsia="zh-CN"/>
              </w:rPr>
              <w:t>以上</w:t>
            </w:r>
            <w:r>
              <w:rPr>
                <w:rFonts w:hint="eastAsia" w:ascii="新宋体" w:hAnsi="新宋体" w:eastAsia="新宋体" w:cs="新宋体"/>
                <w:color w:val="auto"/>
                <w:sz w:val="22"/>
                <w:szCs w:val="28"/>
                <w:highlight w:val="none"/>
                <w:u w:val="none"/>
              </w:rPr>
              <w:t xml:space="preserve"> </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lang w:val="en-US" w:eastAsia="zh-CN"/>
              </w:rPr>
              <w:t>小微企业承担的比例不低于</w:t>
            </w:r>
            <w:r>
              <w:rPr>
                <w:rFonts w:hint="eastAsia" w:ascii="新宋体" w:hAnsi="新宋体" w:eastAsia="新宋体" w:cs="新宋体"/>
                <w:color w:val="auto"/>
                <w:sz w:val="22"/>
                <w:szCs w:val="28"/>
                <w:highlight w:val="none"/>
                <w:u w:val="single"/>
                <w:lang w:val="en-US" w:eastAsia="zh-CN"/>
              </w:rPr>
              <w:t xml:space="preserve"> / </w:t>
            </w:r>
            <w:r>
              <w:rPr>
                <w:rFonts w:hint="eastAsia" w:ascii="新宋体" w:hAnsi="新宋体" w:eastAsia="新宋体" w:cs="新宋体"/>
                <w:color w:val="auto"/>
                <w:sz w:val="22"/>
                <w:szCs w:val="28"/>
                <w:highlight w:val="none"/>
              </w:rPr>
              <w:t xml:space="preserve">； </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③要求获得采购合同的供应商将采购项目中的 </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lang w:val="en-US" w:eastAsia="zh-CN"/>
              </w:rPr>
              <w:t>以上</w:t>
            </w:r>
            <w:r>
              <w:rPr>
                <w:rFonts w:hint="eastAsia" w:ascii="新宋体" w:hAnsi="新宋体" w:eastAsia="新宋体" w:cs="新宋体"/>
                <w:color w:val="auto"/>
                <w:sz w:val="22"/>
                <w:szCs w:val="28"/>
                <w:highlight w:val="none"/>
              </w:rPr>
              <w:t>分包给一家或者多家中小企业。</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6</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对于经主管预算单位统筹后未预留份额专门面向中小企业采购的采购项目，以及预留份额项目中的非预留部分采购包，请贵单位明确对符合本办法规定的小微企业报价给予</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20%</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 xml:space="preserve">（工程项目为 5%）的扣除，用扣除后的价格参加评审。 </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6</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（工程项目为2%）的扣除，用扣除后的价格参加评审。</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专门面向中小企业采购的项目或者标项，不再执行价格评审优惠的扶持政策。</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、节能产品、环境标志产品的强制采购政策</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、节能产品、环境标志产品的优先采购政策</w:t>
            </w:r>
          </w:p>
          <w:p>
            <w:pPr>
              <w:widowControl/>
              <w:snapToGrid w:val="0"/>
              <w:spacing w:line="460" w:lineRule="exact"/>
              <w:ind w:firstLine="440" w:firstLineChars="200"/>
              <w:jc w:val="lef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eastAsia="宋体" w:cs="宋体"/>
                <w:b/>
                <w:bCs/>
                <w:color w:val="auto"/>
                <w:kern w:val="0"/>
                <w:sz w:val="22"/>
                <w:szCs w:val="22"/>
                <w:highlight w:val="none"/>
                <w:lang w:val="en-US" w:eastAsia="zh-CN"/>
              </w:rPr>
              <w:t>8</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根据《关于在政府采购活动中查询及使用信用记录有关问题的通知》财库[2016]125号的规定：</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1）招标人或采购代理机构将对本项目供应商的信用记录进行查询。查询渠道为信用中国网站（www.creditchina.gov.cn）、中国政府采购网（www.ccgp.gov.cn）；</w:t>
            </w:r>
          </w:p>
          <w:p>
            <w:pPr>
              <w:snapToGrid w:val="0"/>
              <w:spacing w:line="460" w:lineRule="exact"/>
              <w:ind w:firstLine="110" w:firstLine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2）截止时点：提交投标文件（响应文件）截止时间前3年内；</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3）查询记录和证据的留存：信用信息查询记录和证据以网页截图等方式留存。</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460" w:lineRule="exac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default" w:ascii="宋体" w:hAnsi="宋体" w:eastAsia="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19</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jc w:val="both"/>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本项目不允许分包。</w:t>
            </w:r>
          </w:p>
        </w:tc>
      </w:tr>
    </w:tbl>
    <w:p>
      <w:pPr>
        <w:rPr>
          <w:rFonts w:hint="eastAsia" w:ascii="宋体" w:hAnsi="宋体" w:eastAsia="宋体" w:cs="宋体"/>
          <w:b/>
          <w:bCs/>
          <w:color w:val="auto"/>
          <w:sz w:val="26"/>
          <w:szCs w:val="26"/>
          <w:highlight w:val="none"/>
        </w:rPr>
      </w:pPr>
      <w:r>
        <w:rPr>
          <w:rFonts w:hint="eastAsia" w:ascii="宋体" w:hAnsi="宋体" w:eastAsia="宋体" w:cs="宋体"/>
          <w:b/>
          <w:bCs/>
          <w:color w:val="auto"/>
          <w:sz w:val="26"/>
          <w:szCs w:val="26"/>
          <w:highlight w:val="none"/>
        </w:rPr>
        <w:br w:type="page"/>
      </w:r>
    </w:p>
    <w:p>
      <w:pPr>
        <w:spacing w:before="100" w:beforeAutospacing="1" w:after="100" w:afterAutospacing="1" w:line="460" w:lineRule="exact"/>
        <w:jc w:val="center"/>
        <w:outlineLvl w:val="1"/>
        <w:rPr>
          <w:rFonts w:hint="eastAsia" w:ascii="宋体" w:hAnsi="宋体" w:eastAsia="宋体" w:cs="宋体"/>
          <w:b/>
          <w:bCs/>
          <w:color w:val="auto"/>
          <w:sz w:val="32"/>
          <w:szCs w:val="32"/>
          <w:highlight w:val="none"/>
        </w:rPr>
      </w:pPr>
      <w:bookmarkStart w:id="10" w:name="_Toc20846"/>
      <w:bookmarkStart w:id="11" w:name="_Toc19070"/>
      <w:r>
        <w:rPr>
          <w:rFonts w:hint="eastAsia" w:ascii="宋体" w:hAnsi="宋体" w:eastAsia="宋体" w:cs="宋体"/>
          <w:b/>
          <w:bCs/>
          <w:color w:val="auto"/>
          <w:sz w:val="26"/>
          <w:szCs w:val="26"/>
          <w:highlight w:val="none"/>
        </w:rPr>
        <w:t>一、 说   明</w:t>
      </w:r>
      <w:bookmarkEnd w:id="10"/>
      <w:bookmarkEnd w:id="11"/>
    </w:p>
    <w:p>
      <w:pPr>
        <w:tabs>
          <w:tab w:val="left" w:pos="360"/>
        </w:tabs>
        <w:spacing w:line="460" w:lineRule="exact"/>
        <w:ind w:firstLine="550" w:firstLineChars="2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pPr>
        <w:tabs>
          <w:tab w:val="left" w:pos="360"/>
        </w:tabs>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2、定义</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招标人：是指依法进行政府采购的国家机关、事业单位、团体组织</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招标代理机构：受招标人委托，在委托的范围内办理政府采购事宜的机构；</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投标人：是指参加本政府采购项目投标的供应商；</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投标人代表：是指参加本项目投标活动的供应商法定代表人或法定代表人授权代表；</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投标联合体：是指两个以上供应商组成联合体，以一个供应商的身份参加投标；</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甲方：是指合同签订的一方，一般与招标人、用户相同；</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乙方：是指合同签订的另一方，与中标人相同；</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制造商：是指拥有投标产品自主知识产权的单位；</w:t>
      </w:r>
    </w:p>
    <w:p>
      <w:pPr>
        <w:tabs>
          <w:tab w:val="left" w:pos="360"/>
        </w:tabs>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pPr>
        <w:tabs>
          <w:tab w:val="left" w:pos="360"/>
        </w:tabs>
        <w:spacing w:line="460" w:lineRule="exact"/>
        <w:ind w:firstLine="552" w:firstLineChars="25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带“▲”条款系指实质性要求条款。“★”是关键技术参数及要求。</w:t>
      </w:r>
    </w:p>
    <w:p>
      <w:pPr>
        <w:tabs>
          <w:tab w:val="left" w:pos="360"/>
        </w:tabs>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3、投标人代表</w:t>
      </w:r>
    </w:p>
    <w:p>
      <w:pPr>
        <w:tabs>
          <w:tab w:val="left" w:pos="360"/>
        </w:tabs>
        <w:spacing w:line="46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szCs w:val="22"/>
          <w:highlight w:val="none"/>
        </w:rPr>
        <w:t>3.1</w:t>
      </w:r>
      <w:r>
        <w:rPr>
          <w:rFonts w:hint="eastAsia" w:ascii="宋体" w:hAnsi="宋体" w:eastAsia="宋体" w:cs="宋体"/>
          <w:b/>
          <w:color w:val="auto"/>
          <w:sz w:val="22"/>
          <w:highlight w:val="none"/>
        </w:rPr>
        <w:t>指全权代表投标人参加投标活动并签署投标文件的人。如果投标人代表不是法定代表人，须持有《法定代表人授权书》（见附件）</w:t>
      </w:r>
    </w:p>
    <w:p>
      <w:pPr>
        <w:tabs>
          <w:tab w:val="left" w:pos="360"/>
        </w:tabs>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宋体" w:hAnsi="宋体" w:eastAsia="宋体" w:cs="宋体"/>
          <w:b/>
          <w:color w:val="auto"/>
          <w:sz w:val="22"/>
          <w:szCs w:val="22"/>
          <w:highlight w:val="none"/>
        </w:rPr>
        <w:t>。</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4、投标费用</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4.1</w:t>
      </w:r>
      <w:r>
        <w:rPr>
          <w:rFonts w:hint="eastAsia" w:ascii="宋体" w:hAnsi="宋体" w:eastAsia="宋体" w:cs="宋体"/>
          <w:color w:val="auto"/>
          <w:sz w:val="22"/>
          <w:szCs w:val="22"/>
          <w:highlight w:val="none"/>
        </w:rPr>
        <w:t>投标人应承担所有与准备和参加投标有关费用，不论投标的结果如何，招标人或招标代理机构均无义务和责任承担这些费用。</w:t>
      </w:r>
    </w:p>
    <w:p>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2" w:name="_Toc28278"/>
      <w:bookmarkStart w:id="13" w:name="_Toc9899"/>
      <w:r>
        <w:rPr>
          <w:rFonts w:hint="eastAsia" w:ascii="宋体" w:hAnsi="宋体" w:eastAsia="宋体" w:cs="宋体"/>
          <w:b/>
          <w:bCs/>
          <w:color w:val="auto"/>
          <w:sz w:val="26"/>
          <w:szCs w:val="26"/>
          <w:highlight w:val="none"/>
        </w:rPr>
        <w:t>二、 招标文件</w:t>
      </w:r>
      <w:bookmarkEnd w:id="12"/>
      <w:bookmarkEnd w:id="13"/>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1、招标文件由招标文件目录所列内容及相关资料组成。</w:t>
      </w:r>
    </w:p>
    <w:p>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2、招标文件的澄清</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3、招标文件的修改</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3.1招标人或招标代理机构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3.2招标人、招标代理机构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hint="eastAsia" w:ascii="宋体" w:hAnsi="宋体" w:eastAsia="宋体" w:cs="宋体"/>
          <w:color w:val="auto"/>
          <w:sz w:val="22"/>
          <w:szCs w:val="22"/>
          <w:highlight w:val="none"/>
        </w:rPr>
        <w:t>。</w:t>
      </w:r>
    </w:p>
    <w:p>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4" w:name="_Toc22646"/>
      <w:bookmarkStart w:id="15" w:name="_Toc12726"/>
      <w:r>
        <w:rPr>
          <w:rFonts w:hint="eastAsia" w:ascii="宋体" w:hAnsi="宋体" w:eastAsia="宋体" w:cs="宋体"/>
          <w:b/>
          <w:bCs/>
          <w:color w:val="auto"/>
          <w:sz w:val="26"/>
          <w:szCs w:val="26"/>
          <w:highlight w:val="none"/>
        </w:rPr>
        <w:t>三、 投标文件的编制</w:t>
      </w:r>
      <w:bookmarkEnd w:id="14"/>
      <w:bookmarkEnd w:id="15"/>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1、投标人应认真阅读招标文件中所有事项、格式、条款和技术规范等。</w:t>
      </w:r>
      <w:r>
        <w:rPr>
          <w:rFonts w:hint="eastAsia" w:ascii="宋体" w:hAnsi="宋体" w:eastAsia="宋体" w:cs="宋体"/>
          <w:b/>
          <w:color w:val="auto"/>
          <w:sz w:val="22"/>
          <w:highlight w:val="none"/>
        </w:rPr>
        <w:t>投标人没有按照招标文件要求提交全部资料，或者没有对招标文件各个方面做出实质性响应，导致投标被否决的风险由投标人自行承担。</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2、投标人应保证所提供文件资料的真实性，所有文件资料必须是针对本次投标的。如发现投标人提供了虚假文件资料，其投标将被否决，并自行承担相应的法律责任。</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r>
        <w:rPr>
          <w:rFonts w:hint="eastAsia" w:ascii="宋体" w:hAnsi="宋体" w:eastAsia="宋体" w:cs="宋体"/>
          <w:b/>
          <w:bCs/>
          <w:color w:val="auto"/>
          <w:sz w:val="22"/>
          <w:szCs w:val="22"/>
          <w:highlight w:val="none"/>
        </w:rPr>
        <w:t>投标文件的构成：</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rPr>
        <w:t>投标</w:t>
      </w:r>
      <w:r>
        <w:rPr>
          <w:rFonts w:hint="eastAsia" w:ascii="宋体" w:hAnsi="宋体" w:eastAsia="宋体" w:cs="宋体"/>
          <w:b/>
          <w:bCs/>
          <w:color w:val="auto"/>
          <w:kern w:val="0"/>
          <w:sz w:val="22"/>
          <w:szCs w:val="22"/>
          <w:highlight w:val="none"/>
          <w:lang w:val="zh-CN"/>
        </w:rPr>
        <w:t>文件应当包括以下主要内容：资格文件、报价文件、商务技术文件。</w:t>
      </w:r>
    </w:p>
    <w:p>
      <w:pPr>
        <w:spacing w:line="460" w:lineRule="exact"/>
        <w:ind w:firstLine="541" w:firstLineChars="245"/>
        <w:rPr>
          <w:rFonts w:hint="eastAsia" w:ascii="宋体" w:hAnsi="宋体" w:eastAsia="宋体" w:cs="宋体"/>
          <w:b/>
          <w:bCs/>
          <w:color w:val="auto"/>
          <w:kern w:val="0"/>
          <w:sz w:val="22"/>
          <w:szCs w:val="22"/>
          <w:highlight w:val="none"/>
          <w:u w:val="none"/>
          <w:lang w:val="zh-CN"/>
        </w:rPr>
      </w:pPr>
      <w:r>
        <w:rPr>
          <w:rFonts w:hint="eastAsia" w:ascii="宋体" w:hAnsi="宋体" w:eastAsia="宋体" w:cs="宋体"/>
          <w:b/>
          <w:bCs/>
          <w:color w:val="auto"/>
          <w:kern w:val="0"/>
          <w:sz w:val="22"/>
          <w:szCs w:val="22"/>
          <w:highlight w:val="none"/>
          <w:u w:val="none"/>
        </w:rPr>
        <w:t>3.1</w:t>
      </w:r>
      <w:r>
        <w:rPr>
          <w:rFonts w:hint="eastAsia" w:ascii="宋体" w:hAnsi="宋体" w:eastAsia="宋体" w:cs="宋体"/>
          <w:b/>
          <w:bCs/>
          <w:color w:val="auto"/>
          <w:kern w:val="0"/>
          <w:sz w:val="22"/>
          <w:szCs w:val="22"/>
          <w:highlight w:val="none"/>
          <w:u w:val="none"/>
          <w:lang w:val="zh-CN"/>
        </w:rPr>
        <w:t xml:space="preserve">投标人的资格文件至少应包括以下内容： </w:t>
      </w:r>
    </w:p>
    <w:p>
      <w:pPr>
        <w:spacing w:line="460" w:lineRule="exact"/>
        <w:ind w:firstLine="539" w:firstLineChars="245"/>
        <w:rPr>
          <w:rFonts w:hint="eastAsia" w:ascii="宋体" w:hAnsi="宋体" w:eastAsia="宋体" w:cs="宋体"/>
          <w:color w:val="auto"/>
          <w:kern w:val="0"/>
          <w:sz w:val="22"/>
          <w:szCs w:val="22"/>
          <w:highlight w:val="none"/>
          <w:u w:val="none"/>
          <w:lang w:val="zh-CN"/>
        </w:rPr>
      </w:pPr>
      <w:r>
        <w:rPr>
          <w:rFonts w:hint="eastAsia" w:ascii="宋体" w:hAnsi="宋体" w:eastAsia="宋体" w:cs="宋体"/>
          <w:color w:val="auto"/>
          <w:kern w:val="0"/>
          <w:sz w:val="22"/>
          <w:szCs w:val="22"/>
          <w:highlight w:val="none"/>
          <w:u w:val="none"/>
          <w:lang w:val="zh-CN"/>
        </w:rPr>
        <w:t>基本资格条件审查材料：即证明其符合《中华人民共和国政府采购法》规定的供应商基本条件的有关资格证明文件。</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包括：</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w:t>
      </w:r>
      <w:r>
        <w:rPr>
          <w:rFonts w:hint="eastAsia" w:ascii="宋体" w:hAnsi="宋体" w:eastAsia="宋体" w:cs="宋体"/>
          <w:bCs/>
          <w:color w:val="auto"/>
          <w:sz w:val="22"/>
          <w:szCs w:val="22"/>
          <w:highlight w:val="none"/>
          <w:u w:val="none"/>
        </w:rPr>
        <w:t>营业执照</w:t>
      </w:r>
      <w:r>
        <w:rPr>
          <w:rFonts w:hint="eastAsia" w:ascii="宋体" w:hAnsi="宋体" w:eastAsia="宋体" w:cs="宋体"/>
          <w:color w:val="auto"/>
          <w:sz w:val="22"/>
          <w:szCs w:val="22"/>
          <w:highlight w:val="none"/>
          <w:u w:val="none"/>
        </w:rPr>
        <w:t xml:space="preserve">(或事业法人登记证书或其它工商等登记证明材料；自然人参与政府采购，提供身份证)复印件； </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（2）最近一年财务报表(复印件，新成立的公司提供情况说明)；</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（3）具有履行合同所必需的场地、设备和专业技术能力的承诺函；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（4）依法缴纳税收和社会保障资金的承诺函；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（5）参加政府采购活动前3年内在经营活动中没有重大违法记录的声明函；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（6）单位负责人为同一人或者存在直接控股、管理关系的不同供应商，不得参加同一合同项下的政府采购活动承诺函；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（7）供应商不属于公益一类事业单位承诺函。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（8）未被“信用中国”（www.creditchina.gov.cn）、中国政府采购网（www.ccgp.gov.cn）列入失信被执行人、重大税收违法案件当事人名单、政府采购严重违法失信行为记录名单.</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lang w:eastAsia="zh-CN"/>
        </w:rPr>
        <w:t>信用信息查询记录和证据以项目公告发出日期后的网页截图为准；</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lang w:val="en-US" w:eastAsia="zh-CN"/>
        </w:rPr>
        <w:t>9</w:t>
      </w:r>
      <w:r>
        <w:rPr>
          <w:rFonts w:hint="eastAsia" w:ascii="宋体" w:hAnsi="宋体" w:eastAsia="宋体" w:cs="宋体"/>
          <w:color w:val="auto"/>
          <w:sz w:val="22"/>
          <w:szCs w:val="22"/>
          <w:highlight w:val="none"/>
          <w:u w:val="none"/>
          <w:lang w:eastAsia="zh-CN"/>
        </w:rPr>
        <w:t>）政府采购活动确认声明书</w:t>
      </w:r>
    </w:p>
    <w:p>
      <w:pPr>
        <w:snapToGrid w:val="0"/>
        <w:spacing w:line="460" w:lineRule="exact"/>
        <w:ind w:left="105" w:leftChars="50" w:firstLine="440" w:firstLineChars="200"/>
        <w:rPr>
          <w:rFonts w:hint="eastAsia"/>
          <w:color w:val="auto"/>
          <w:sz w:val="22"/>
          <w:szCs w:val="22"/>
          <w:highlight w:val="none"/>
          <w:u w:val="none"/>
          <w:lang w:val="en-US" w:eastAsia="zh-CN"/>
        </w:rPr>
      </w:pPr>
      <w:r>
        <w:rPr>
          <w:rFonts w:hint="eastAsia"/>
          <w:color w:val="auto"/>
          <w:sz w:val="22"/>
          <w:szCs w:val="22"/>
          <w:highlight w:val="none"/>
          <w:u w:val="none"/>
          <w:lang w:val="en-US" w:eastAsia="zh-CN"/>
        </w:rPr>
        <w:t>（10）具备市政公用工程施工总承包资质壹级及以上或桥梁工程专业承包资质贰级及以上。  </w:t>
      </w:r>
    </w:p>
    <w:p>
      <w:p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上述资格条件审查材料有一项不提供的，视为资格审查不通过。</w:t>
      </w:r>
    </w:p>
    <w:p>
      <w:pPr>
        <w:snapToGrid w:val="0"/>
        <w:spacing w:line="460" w:lineRule="exact"/>
        <w:ind w:left="105" w:leftChars="50" w:firstLine="442" w:firstLineChars="200"/>
        <w:rPr>
          <w:rFonts w:hint="eastAsia" w:ascii="宋体" w:hAnsi="宋体" w:eastAsia="宋体" w:cs="宋体"/>
          <w:color w:val="auto"/>
          <w:sz w:val="22"/>
          <w:szCs w:val="22"/>
          <w:highlight w:val="none"/>
          <w:u w:val="single"/>
          <w:lang w:val="zh-CN"/>
        </w:rPr>
      </w:pPr>
      <w:r>
        <w:rPr>
          <w:rFonts w:hint="eastAsia" w:ascii="宋体" w:hAnsi="宋体" w:eastAsia="宋体" w:cs="宋体"/>
          <w:b/>
          <w:bCs/>
          <w:color w:val="auto"/>
          <w:sz w:val="22"/>
          <w:szCs w:val="22"/>
          <w:highlight w:val="none"/>
        </w:rPr>
        <w:t xml:space="preserve">3.2投标人的报价文件至少应包括以下内容： </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（1）投标函；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（2）投标报价一览表；</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（3）投标分项报价表</w:t>
      </w:r>
    </w:p>
    <w:p>
      <w:pPr>
        <w:snapToGrid w:val="0"/>
        <w:spacing w:line="460" w:lineRule="exact"/>
        <w:ind w:left="105" w:leftChars="5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none"/>
        </w:rPr>
        <w:t>（4）中小企业声明函、监狱企业、残疾人福利性单位及其他相关的充分的证明材料。（如有）</w:t>
      </w:r>
      <w:r>
        <w:rPr>
          <w:rFonts w:hint="eastAsia" w:ascii="宋体" w:hAnsi="宋体" w:eastAsia="宋体" w:cs="宋体"/>
          <w:color w:val="auto"/>
          <w:sz w:val="22"/>
          <w:szCs w:val="22"/>
          <w:highlight w:val="none"/>
        </w:rPr>
        <w:t xml:space="preserve"> </w:t>
      </w:r>
    </w:p>
    <w:p>
      <w:pPr>
        <w:snapToGrid w:val="0"/>
        <w:spacing w:line="460" w:lineRule="exact"/>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3.3</w:t>
      </w:r>
      <w:r>
        <w:rPr>
          <w:rFonts w:hint="eastAsia" w:ascii="宋体" w:hAnsi="宋体" w:eastAsia="宋体" w:cs="宋体"/>
          <w:color w:val="auto"/>
          <w:kern w:val="0"/>
          <w:sz w:val="22"/>
          <w:szCs w:val="22"/>
          <w:highlight w:val="none"/>
          <w:lang w:val="zh-CN"/>
        </w:rPr>
        <w:t>投标人的</w:t>
      </w:r>
      <w:r>
        <w:rPr>
          <w:rFonts w:hint="eastAsia" w:ascii="宋体" w:hAnsi="宋体" w:eastAsia="宋体" w:cs="宋体"/>
          <w:b/>
          <w:bCs/>
          <w:color w:val="auto"/>
          <w:kern w:val="0"/>
          <w:sz w:val="22"/>
          <w:szCs w:val="22"/>
          <w:highlight w:val="none"/>
          <w:lang w:val="zh-CN"/>
        </w:rPr>
        <w:t>商务技术文件</w:t>
      </w:r>
      <w:r>
        <w:rPr>
          <w:rFonts w:hint="eastAsia" w:ascii="宋体" w:hAnsi="宋体" w:eastAsia="宋体" w:cs="宋体"/>
          <w:color w:val="auto"/>
          <w:kern w:val="0"/>
          <w:sz w:val="22"/>
          <w:szCs w:val="22"/>
          <w:highlight w:val="none"/>
          <w:lang w:val="zh-CN"/>
        </w:rPr>
        <w:t xml:space="preserve">应包括以下内容： </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（1）法定代表人授权委托书（需提供法定代表人及授权委托人的身份证复印件加盖公章）；</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（2）投标人情况表</w:t>
      </w:r>
    </w:p>
    <w:p>
      <w:pPr>
        <w:snapToGrid w:val="0"/>
        <w:spacing w:line="46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偏离表（</w:t>
      </w:r>
      <w:r>
        <w:rPr>
          <w:rFonts w:hint="eastAsia" w:ascii="宋体" w:hAnsi="宋体" w:eastAsia="宋体" w:cs="宋体"/>
          <w:color w:val="auto"/>
          <w:sz w:val="22"/>
          <w:szCs w:val="22"/>
          <w:highlight w:val="none"/>
        </w:rPr>
        <w:t>商务、技术偏离</w:t>
      </w:r>
      <w:r>
        <w:rPr>
          <w:rFonts w:hint="eastAsia" w:ascii="宋体" w:hAnsi="宋体" w:eastAsia="宋体" w:cs="宋体"/>
          <w:color w:val="auto"/>
          <w:sz w:val="22"/>
          <w:szCs w:val="22"/>
          <w:highlight w:val="none"/>
          <w:lang w:val="zh-CN"/>
        </w:rPr>
        <w:t>）</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投标人企业综合情况</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养护方案</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安全文明养护方案</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养护重难点分析及解决方案</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投入本项目的技术力量情况</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主要设备投入情况</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10</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主要设施、物料投入情况</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11</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内部管理方案</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12</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应急响应方案</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13</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优惠承诺</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14</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类似业绩</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）其他必要提供的资料。</w:t>
      </w:r>
    </w:p>
    <w:p>
      <w:pPr>
        <w:spacing w:line="460" w:lineRule="exact"/>
        <w:ind w:firstLine="442" w:firstLineChars="200"/>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投标文件中所需的各种证书、证件、证明资料如是复印件，须在复印件上加盖有效公章。</w:t>
      </w:r>
    </w:p>
    <w:p>
      <w:pPr>
        <w:pStyle w:val="28"/>
        <w:snapToGrid w:val="0"/>
        <w:spacing w:line="460" w:lineRule="exact"/>
        <w:ind w:firstLine="442" w:firstLineChars="200"/>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zh-CN"/>
        </w:rPr>
        <w:t>投标人的</w:t>
      </w:r>
      <w:r>
        <w:rPr>
          <w:rFonts w:hint="eastAsia" w:ascii="宋体" w:hAnsi="宋体" w:eastAsia="宋体" w:cs="宋体"/>
          <w:color w:val="auto"/>
          <w:sz w:val="22"/>
          <w:szCs w:val="22"/>
          <w:highlight w:val="none"/>
        </w:rPr>
        <w:t>投标文件必须按照招标文件要求制作</w:t>
      </w:r>
      <w:r>
        <w:rPr>
          <w:rFonts w:hint="eastAsia" w:ascii="宋体" w:hAnsi="宋体" w:eastAsia="宋体" w:cs="宋体"/>
          <w:bCs/>
          <w:color w:val="auto"/>
          <w:sz w:val="22"/>
          <w:szCs w:val="22"/>
          <w:highlight w:val="none"/>
        </w:rPr>
        <w:t>。</w:t>
      </w:r>
    </w:p>
    <w:p>
      <w:pPr>
        <w:pStyle w:val="28"/>
        <w:snapToGrid w:val="0"/>
        <w:spacing w:line="460" w:lineRule="exact"/>
        <w:ind w:firstLine="442" w:firstLineChars="200"/>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投标人可在招标文件中对招标货物的技术规格和要求选用替代标准，但这些替代标准必须相当于或优于招标文件中提出的相应要求，并使招标人满意，同时在技术偏离表中作出详细说明。</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4、投标报价</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highlight w:val="none"/>
        </w:rPr>
        <w:t>4.1投标人应根据国家的有关规定和招标文件要求并结合企业的实际情况进行投标报价。投标报价以人民币为结算货币，承包报价必须包括</w:t>
      </w:r>
      <w:r>
        <w:rPr>
          <w:rFonts w:hint="eastAsia" w:ascii="宋体" w:hAnsi="宋体" w:cs="宋体"/>
          <w:b/>
          <w:color w:val="auto"/>
          <w:sz w:val="22"/>
          <w:highlight w:val="none"/>
          <w:lang w:val="en-US" w:eastAsia="zh-CN"/>
        </w:rPr>
        <w:t>完成本项目</w:t>
      </w:r>
      <w:r>
        <w:rPr>
          <w:rFonts w:hint="eastAsia" w:ascii="宋体" w:hAnsi="宋体" w:eastAsia="宋体" w:cs="宋体"/>
          <w:b/>
          <w:color w:val="auto"/>
          <w:sz w:val="22"/>
          <w:highlight w:val="none"/>
        </w:rPr>
        <w:t>所提供相关服务所需的一切人员工资、奖金、各种加班费、高温补贴费、各种社会保险、食宿与交通、设备及工具、器材、消耗材料、管理费用、税费、利润、完成合同所需的一切本身和不可或缺的所有工作开支、政策性文件规定及合同包含的所有风险、责任等各项全部费用并承担一切风险责任。在合同服务期间内不得违反国家相关政策规定。</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4.2投标人必须按附件中的投标报价一览表、投标分项报价表内容填写价格，并由投标人代表签署。</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4.3</w:t>
      </w:r>
      <w:r>
        <w:rPr>
          <w:rFonts w:hint="eastAsia" w:ascii="宋体" w:hAnsi="宋体" w:eastAsia="宋体" w:cs="宋体"/>
          <w:b/>
          <w:color w:val="auto"/>
          <w:sz w:val="22"/>
          <w:highlight w:val="none"/>
        </w:rPr>
        <w:t>投标货币以人民币进行投标</w:t>
      </w:r>
      <w:r>
        <w:rPr>
          <w:rFonts w:hint="eastAsia" w:ascii="宋体" w:hAnsi="宋体" w:eastAsia="宋体" w:cs="宋体"/>
          <w:b/>
          <w:color w:val="auto"/>
          <w:sz w:val="22"/>
          <w:szCs w:val="22"/>
          <w:highlight w:val="none"/>
        </w:rPr>
        <w:t>。</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4.4</w:t>
      </w:r>
      <w:r>
        <w:rPr>
          <w:rFonts w:hint="eastAsia" w:ascii="宋体" w:hAnsi="宋体" w:eastAsia="宋体" w:cs="宋体"/>
          <w:b/>
          <w:color w:val="auto"/>
          <w:sz w:val="22"/>
          <w:highlight w:val="none"/>
        </w:rPr>
        <w:t>招标人和招标代理机构不接受任何选择投标，对任何服务只允许一个价格。</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4.5招标人和</w:t>
      </w:r>
      <w:r>
        <w:rPr>
          <w:rFonts w:hint="eastAsia" w:ascii="宋体" w:hAnsi="宋体" w:eastAsia="宋体" w:cs="宋体"/>
          <w:color w:val="auto"/>
          <w:sz w:val="22"/>
          <w:highlight w:val="none"/>
        </w:rPr>
        <w:t>招标代理机构</w:t>
      </w:r>
      <w:r>
        <w:rPr>
          <w:rFonts w:hint="eastAsia" w:ascii="宋体" w:hAnsi="宋体" w:eastAsia="宋体" w:cs="宋体"/>
          <w:color w:val="auto"/>
          <w:sz w:val="22"/>
          <w:szCs w:val="22"/>
          <w:highlight w:val="none"/>
        </w:rPr>
        <w:t>要求分类报价是为了方便评标，但在任何情况下不限制招标人以其认为最合适的条款、条件签订合同的权利。</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4.6投标报价报出后，投标人不得以任何理由予以变更。任何包含价格调整的要求，将被认为是非实质性响应投标而予以否决。</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4.7最低报价不能作为中标的保证。</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5、投标有效期</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5.1自开标之日起</w:t>
      </w:r>
      <w:r>
        <w:rPr>
          <w:rFonts w:hint="eastAsia" w:ascii="宋体" w:hAnsi="宋体" w:eastAsia="宋体" w:cs="宋体"/>
          <w:b/>
          <w:bCs/>
          <w:color w:val="auto"/>
          <w:sz w:val="22"/>
          <w:szCs w:val="22"/>
          <w:highlight w:val="none"/>
        </w:rPr>
        <w:t xml:space="preserve"> 120 </w:t>
      </w:r>
      <w:r>
        <w:rPr>
          <w:rFonts w:hint="eastAsia" w:ascii="宋体" w:hAnsi="宋体" w:eastAsia="宋体" w:cs="宋体"/>
          <w:b/>
          <w:color w:val="auto"/>
          <w:sz w:val="22"/>
          <w:szCs w:val="22"/>
          <w:highlight w:val="none"/>
        </w:rPr>
        <w:t>天内投标应保持有效。</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6、投标保证金</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7、投标文件编制</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7.1本项目通过“政府采购云平台（http://zfcg.czt.zj.gov.cn）”实行在线投标响应（电子投标）。供应商应通过“政采云电子交易客户端”，并按照本招标文件和“政府采购云平台”的要求编制并加密投标文件。</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7.2投标人应当按照本章节 “投标文件的构成”规定的内容及顺序在“政采云电子交易客户端”编制投标文件。其中《资格文件》和《商务技术文件》中不得出现本项目投标报价。</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7.4《投标文件》内容不完整、编排混乱导致《投标文件》被误读、漏读或者查找不到相关内容的，投标人自行负责。</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7.5《投标文件》因字迹潦草或表达不清所引起的后果由投标人负责。</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7.6投标人没有按照本章节 “投标文件的构成”要求提供全部资料，或者没有仔细阅读招标文件，或者没有对招标文件在各方面的要求作出实质性响应是投标人的风险，由此造成的一切后果由投标人自行承担。</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8、投标文件的签章</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8.1《投标文件》的签章：见《前附表》；</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8.2《投标文件》应由投标人法定代表人或其授权代表签字（或盖章），并时加盖投标人公章。</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8.3电子签章操作指南详见采购公告附件《供应商项目采购-电子招投标操作指南》。</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9、投标文件的形式</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9.1投标文件的形式：见《前附表》；</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9.2“电子加密投标文件”：“电子加密投标文件”是指通过“政采云电子交易客户端”完成投标文件编制后生成并加密的数据电文形式的投标文件。</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10、投标文件的份数</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10.1投标文件的份数：见《前附表》。</w:t>
      </w:r>
    </w:p>
    <w:p>
      <w:pPr>
        <w:spacing w:before="100" w:beforeAutospacing="1" w:after="100" w:afterAutospacing="1" w:line="440" w:lineRule="exact"/>
        <w:jc w:val="center"/>
        <w:outlineLvl w:val="1"/>
        <w:rPr>
          <w:rFonts w:hint="eastAsia" w:ascii="宋体" w:hAnsi="宋体" w:eastAsia="宋体" w:cs="宋体"/>
          <w:b/>
          <w:bCs/>
          <w:color w:val="auto"/>
          <w:sz w:val="22"/>
          <w:szCs w:val="22"/>
          <w:highlight w:val="none"/>
        </w:rPr>
      </w:pPr>
      <w:bookmarkStart w:id="16" w:name="_Toc15422"/>
      <w:bookmarkStart w:id="17" w:name="_Toc18542"/>
      <w:r>
        <w:rPr>
          <w:rFonts w:hint="eastAsia" w:ascii="宋体" w:hAnsi="宋体" w:eastAsia="宋体" w:cs="宋体"/>
          <w:b/>
          <w:bCs/>
          <w:color w:val="auto"/>
          <w:sz w:val="22"/>
          <w:szCs w:val="22"/>
          <w:highlight w:val="none"/>
        </w:rPr>
        <w:t>四、 投标文件的递交</w:t>
      </w:r>
      <w:bookmarkEnd w:id="16"/>
      <w:bookmarkEnd w:id="17"/>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1、投标文件的上传和递交</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1.1“投标文件”的上传、递交：见《前附表》。</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2、“电子加密投标文件”解密和异常情况处理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2.1“电子加密投标文件”解密：见《前附表》。</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3、投标文件的补充、修改或撤回</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3.2投标截止时间后，投标人不得撤回、修改《投标文件》。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4、投标文件的备选方案</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4.1投标人不得递交任何的投标备选（替代）方案，否则其投标文件将作无效标处理。与“电子加密投标文件”同时生成的“备份投标文件”不是投标备选（替代）方案。</w:t>
      </w:r>
    </w:p>
    <w:p>
      <w:pPr>
        <w:spacing w:before="100" w:beforeAutospacing="1" w:after="100" w:afterAutospacing="1" w:line="460" w:lineRule="exact"/>
        <w:jc w:val="center"/>
        <w:outlineLvl w:val="1"/>
        <w:rPr>
          <w:rFonts w:hint="eastAsia" w:ascii="宋体" w:hAnsi="宋体" w:eastAsia="宋体" w:cs="宋体"/>
          <w:b/>
          <w:bCs/>
          <w:color w:val="auto"/>
          <w:sz w:val="22"/>
          <w:szCs w:val="22"/>
          <w:highlight w:val="none"/>
        </w:rPr>
      </w:pPr>
      <w:bookmarkStart w:id="18" w:name="_Toc30172"/>
      <w:bookmarkStart w:id="19" w:name="_Toc8079"/>
      <w:r>
        <w:rPr>
          <w:rFonts w:hint="eastAsia" w:ascii="宋体" w:hAnsi="宋体" w:eastAsia="宋体" w:cs="宋体"/>
          <w:b/>
          <w:bCs/>
          <w:color w:val="auto"/>
          <w:sz w:val="22"/>
          <w:szCs w:val="22"/>
          <w:highlight w:val="none"/>
        </w:rPr>
        <w:t>五、 开标和评标</w:t>
      </w:r>
      <w:bookmarkEnd w:id="18"/>
      <w:bookmarkEnd w:id="19"/>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1、评标委员会</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招标人和招标代理机构组建评标委员会。评标委员会的成员在评标过程中必须严格遵守《政府采购法》等有关法律、法规的规定。</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2、评标过程的保密性</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开标后直至向中标人授予合同时止，凡与评审有关的资料均不得向投标人及与评标无关人员透露。如果投标人在评标过程中试图向招标人和招标代理机构施加影响，其投标将被拒绝。</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3、开标形式</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 采购组织机构将按照招标文件规定的时间通过“政府采购云平台”组织开标、开启投标文件，所有供应商均应当准时(在线)参加。</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4、开标准备</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4.1开标的准备工作由采购组织机构负责落实；</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4.2</w:t>
      </w:r>
      <w:r>
        <w:rPr>
          <w:rFonts w:hint="eastAsia" w:ascii="宋体" w:hAnsi="宋体" w:eastAsia="宋体" w:cs="宋体"/>
          <w:b/>
          <w:color w:val="auto"/>
          <w:sz w:val="22"/>
          <w:szCs w:val="22"/>
          <w:highlight w:val="none"/>
        </w:rPr>
        <w:t>采购组织机构将按照招标文件规定的时间通过“政府采购云平台”组织开标、开启投标文件，所有供应商均应当准时(在线)参加。</w:t>
      </w:r>
      <w:r>
        <w:rPr>
          <w:rFonts w:hint="eastAsia" w:ascii="宋体" w:hAnsi="宋体" w:eastAsia="宋体" w:cs="宋体"/>
          <w:b/>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5、开标流程</w:t>
      </w:r>
    </w:p>
    <w:p>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5.1开标、评标</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投标人不足3家的，不得开标。</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（2）解密成功后，开启投标人的《报价文件》，由供应商对自己报价文件相关内容进行签字确认，（不予确认的应说明理由，否则视为无异议）。</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（3）开启《投标文件》，进入资格审查；</w:t>
      </w:r>
      <w:r>
        <w:rPr>
          <w:rFonts w:hint="eastAsia" w:ascii="宋体" w:hAnsi="宋体" w:eastAsia="宋体" w:cs="宋体"/>
          <w:bCs/>
          <w:color w:val="auto"/>
          <w:sz w:val="22"/>
          <w:szCs w:val="22"/>
          <w:highlight w:val="none"/>
        </w:rPr>
        <w:t>合格投标人不足3家的，不得评标。</w:t>
      </w:r>
    </w:p>
    <w:p>
      <w:pPr>
        <w:spacing w:line="460" w:lineRule="exact"/>
        <w:ind w:firstLine="541" w:firstLineChars="245"/>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备注：开标大会的结束后，招标人或采购代理机构将对依法对投标人的资格进行审查，资格审查结束后进入符合性审查和商务技术的评审工作，具体见本章节“投标人资格审查”相关规定。</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color w:val="auto"/>
          <w:kern w:val="0"/>
          <w:sz w:val="22"/>
          <w:szCs w:val="22"/>
          <w:highlight w:val="none"/>
        </w:rPr>
        <w:t>（4）开启资格审查通过的投标人的商务技术文件进入符合性审查，</w:t>
      </w:r>
      <w:r>
        <w:rPr>
          <w:rFonts w:hint="eastAsia" w:ascii="宋体" w:hAnsi="宋体" w:eastAsia="宋体" w:cs="宋体"/>
          <w:bCs/>
          <w:color w:val="auto"/>
          <w:sz w:val="22"/>
          <w:szCs w:val="22"/>
          <w:highlight w:val="none"/>
        </w:rPr>
        <w:t>以确定其是否满足招标文件的实质性要求，合格投标人不足3家的，不得评标。</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（5）对通过资格审查、符合性审查的合格供应商进行商务技术部分的评审。</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（6）评标委员会对报价的合理性、准确性等进行审查核实。</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（7）评审结束后，公布中标（成交）候选供应商名单及招标人最终确定中标或成交供应商名单的时间和公告方式等，未在场的投标人通过发送邮件形式通知。</w:t>
      </w:r>
    </w:p>
    <w:p>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特别说明：如遇“政府采购云平台”电子化开标或评审程序调整的，按调整后程序执行。</w:t>
      </w:r>
    </w:p>
    <w:p>
      <w:pPr>
        <w:spacing w:line="460" w:lineRule="exact"/>
        <w:ind w:firstLine="539" w:firstLineChars="245"/>
        <w:rPr>
          <w:rFonts w:hint="eastAsia" w:ascii="宋体" w:hAnsi="宋体" w:eastAsia="宋体" w:cs="宋体"/>
          <w:color w:val="auto"/>
          <w:sz w:val="22"/>
          <w:szCs w:val="22"/>
          <w:highlight w:val="none"/>
        </w:rPr>
      </w:pPr>
      <w:bookmarkStart w:id="20" w:name="_Toc33194393"/>
      <w:bookmarkStart w:id="21" w:name="_Toc24550037"/>
      <w:r>
        <w:rPr>
          <w:rFonts w:hint="eastAsia" w:ascii="宋体" w:hAnsi="宋体" w:eastAsia="宋体" w:cs="宋体"/>
          <w:color w:val="auto"/>
          <w:sz w:val="22"/>
          <w:szCs w:val="22"/>
          <w:highlight w:val="none"/>
        </w:rPr>
        <w:t>6、投标人资格审查</w:t>
      </w:r>
      <w:bookmarkEnd w:id="20"/>
      <w:bookmarkEnd w:id="21"/>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6.1开标大会结束后，招标人或采购代理机构首先依法对各投标人的资格进行审查，审查各投标人的资格是否满足招标文件的要求。</w:t>
      </w:r>
      <w:r>
        <w:rPr>
          <w:rFonts w:hint="eastAsia" w:ascii="宋体" w:hAnsi="宋体" w:eastAsia="宋体" w:cs="宋体"/>
          <w:color w:val="auto"/>
          <w:sz w:val="22"/>
          <w:szCs w:val="22"/>
          <w:highlight w:val="none"/>
        </w:rPr>
        <w:t>招标人或采购代理机构对投标人所提交的资格证明材料仅负审核的责任。如发现投标人所提交的资格证明材料不合法或与事实不符，招标人可取消其中标资格并追究投标人的法律责任。</w:t>
      </w:r>
    </w:p>
    <w:p>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sz w:val="22"/>
          <w:szCs w:val="22"/>
          <w:highlight w:val="none"/>
        </w:rPr>
        <w:t>6.2投标人提交的资格证明材料无法证明其符合招标文件规定的“投标人资格要求”的，招标人或采购代理机构</w:t>
      </w:r>
      <w:r>
        <w:rPr>
          <w:rFonts w:hint="eastAsia" w:ascii="宋体" w:hAnsi="宋体" w:eastAsia="宋体" w:cs="宋体"/>
          <w:b/>
          <w:color w:val="auto"/>
          <w:kern w:val="0"/>
          <w:sz w:val="22"/>
          <w:szCs w:val="22"/>
          <w:highlight w:val="none"/>
        </w:rPr>
        <w:t>将对其作资格审查不通过处理（无效投标），并不再将其投标提交评标委员会进行后续评审。</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6</w:t>
      </w:r>
      <w:r>
        <w:rPr>
          <w:rFonts w:hint="eastAsia" w:ascii="宋体" w:hAnsi="宋体" w:eastAsia="宋体" w:cs="宋体"/>
          <w:b/>
          <w:color w:val="auto"/>
          <w:kern w:val="0"/>
          <w:sz w:val="22"/>
          <w:szCs w:val="22"/>
          <w:highlight w:val="none"/>
        </w:rPr>
        <w:t>.3单位负责人为同一人或者存在直接控股、管理关系的不同供应商参加同一合同项下的政府采购活动的，相关投标人均作资格无效处理。</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7、评标委员按照招标文件中规定的评标方法和标准，对投标文件进行商务和技术评估，综合比较与评价。</w:t>
      </w:r>
    </w:p>
    <w:p>
      <w:pPr>
        <w:spacing w:line="460" w:lineRule="exact"/>
        <w:ind w:firstLine="541" w:firstLineChars="245"/>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8、投标人存在下列情况之一的，投标无效：</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（1）投标文件未按招标文件要求签署、盖章的；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（2）不具备招标文件中规定的资格要求的； </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（3）明显不符合招标文件中主要技术规格、技术标准的；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（4）投标文件内容不全或关键字迹模糊无法辨认的；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（5）报价超过招标文件中规定的预算金额的；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（6）投标人代表没有法定代表人合法、有效委托的；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（7）投标文件存在一个或一个以上备选（替代）投标方案的；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（8）仅提交“备份投标文件”的；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（9）投标文件含有招标人不能接受的附加条件的；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（10）法律、法规和招标文件规定的其他无效情形。</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9、有下列情形之一的，视为投标人串通投标，其投标无效</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（1）不同投标人的投标文件由同一单位或者个人编制；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（2）不同投标人委托同一单位或者个人办理投标事宜；</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（3）不同投标人的投标文件载明的项目管理成员或者联系人员为同一人；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（4）不同投标人的投标文件异常一致或者投标报价呈规律性差异；</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（5）不同投标人的投标文件相互混装。</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10、投标文件报价出现前后不一致的，按照下列规定修正：</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（1）系统上传的投标文件中开标一览表（报价表）（加盖公章）内容与投标文件中相应内容不一致的，以系统上传的投标文件中开标一览表（报价表）（加盖公章）为准；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（2）大写金额和小写金额不一致的，以大写金额为准；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（3）单价金额小数点或者百分比有明显错位的，以开标一览表的总价为准，并修改单价；</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（4）总价金额与按单价汇总金额不一致的，以单价金额计算结果为准。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12、投标文件的澄清</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拒不按要求对其投标文件进行澄清，说明或补正的投标人，评标委员会可以否决其投标。</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12.2</w:t>
      </w:r>
      <w:r>
        <w:rPr>
          <w:rFonts w:hint="eastAsia" w:ascii="宋体" w:hAnsi="宋体" w:eastAsia="宋体" w:cs="宋体"/>
          <w:b/>
          <w:color w:val="auto"/>
          <w:sz w:val="22"/>
          <w:szCs w:val="22"/>
          <w:highlight w:val="none"/>
        </w:rPr>
        <w:t>经澄清后，若偏差仍存在，且不可接受，投标人则被认为是“没有实质性响应招标文件要求”，其投标将被拒绝。</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13、评审结果的修改</w:t>
      </w:r>
    </w:p>
    <w:p>
      <w:pPr>
        <w:spacing w:line="460" w:lineRule="exact"/>
        <w:ind w:firstLine="762" w:firstLineChars="3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13.1评标结果汇总完成后，除下列情形外，任何人不得修改评标结果：</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（1）分值汇总计算错误的；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（2）分项评分超出评分标准范围的；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（3）评标委员会成员对客观评审因素评分不一致的；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（4）经评标委员会认定评分畸高、畸低的。</w:t>
      </w:r>
    </w:p>
    <w:p>
      <w:pPr>
        <w:spacing w:line="460" w:lineRule="exact"/>
        <w:ind w:firstLine="759" w:firstLineChars="3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13.2书面评标报告签署前，经复核发现存在以上情形之一的，评标委员会将当场修改评标结果，并在</w:t>
      </w:r>
      <w:r>
        <w:rPr>
          <w:rFonts w:hint="eastAsia" w:ascii="宋体" w:hAnsi="宋体" w:eastAsia="宋体" w:cs="宋体"/>
          <w:b/>
          <w:color w:val="auto"/>
          <w:sz w:val="22"/>
          <w:szCs w:val="22"/>
          <w:highlight w:val="none"/>
        </w:rPr>
        <w:t>评标报告中记载。</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14</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14.1由评标委员会确定中标候选人。</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762" w:firstLineChars="345"/>
        <w:rPr>
          <w:rFonts w:hint="eastAsia" w:ascii="宋体" w:hAnsi="宋体" w:eastAsia="宋体" w:cs="宋体"/>
          <w:bCs/>
          <w:color w:val="auto"/>
          <w:sz w:val="22"/>
          <w:szCs w:val="22"/>
          <w:highlight w:val="none"/>
        </w:rPr>
      </w:pPr>
      <w:r>
        <w:rPr>
          <w:rFonts w:hint="eastAsia" w:ascii="宋体" w:hAnsi="宋体" w:eastAsia="宋体" w:cs="宋体"/>
          <w:b/>
          <w:bCs/>
          <w:color w:val="auto"/>
          <w:sz w:val="22"/>
          <w:szCs w:val="22"/>
          <w:highlight w:val="none"/>
        </w:rPr>
        <w:t>15、确定中标人</w:t>
      </w:r>
    </w:p>
    <w:p>
      <w:pPr>
        <w:spacing w:line="460" w:lineRule="exact"/>
        <w:ind w:firstLine="762" w:firstLineChars="345"/>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15</w:t>
      </w:r>
      <w:r>
        <w:rPr>
          <w:rFonts w:hint="eastAsia" w:ascii="宋体" w:hAnsi="宋体" w:eastAsia="宋体" w:cs="宋体"/>
          <w:b/>
          <w:bCs/>
          <w:color w:val="auto"/>
          <w:sz w:val="22"/>
          <w:szCs w:val="22"/>
          <w:highlight w:val="none"/>
        </w:rPr>
        <w:t>.1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16、起草、签署评审报告</w:t>
      </w:r>
    </w:p>
    <w:p>
      <w:pPr>
        <w:spacing w:line="460" w:lineRule="exact"/>
        <w:ind w:firstLine="759" w:firstLineChars="3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中标人确定后，招标人将在政府指定媒体公告中标结果，招标人向中标人发出中标通知书。</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18、</w:t>
      </w:r>
      <w:r>
        <w:rPr>
          <w:rFonts w:hint="eastAsia" w:ascii="宋体" w:hAnsi="宋体" w:eastAsia="宋体" w:cs="宋体"/>
          <w:b/>
          <w:color w:val="auto"/>
          <w:sz w:val="22"/>
          <w:szCs w:val="22"/>
          <w:highlight w:val="none"/>
        </w:rPr>
        <w:t>招标人对决标结果不做任何解释，也不保证最低价中标。</w:t>
      </w:r>
    </w:p>
    <w:p>
      <w:pPr>
        <w:spacing w:line="460" w:lineRule="exact"/>
        <w:ind w:firstLine="762" w:firstLineChars="3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19、评标细则详见“评标原则及方法”。</w:t>
      </w:r>
    </w:p>
    <w:p>
      <w:pPr>
        <w:spacing w:before="100" w:beforeAutospacing="1" w:after="100" w:afterAutospacing="1" w:line="440" w:lineRule="exact"/>
        <w:jc w:val="center"/>
        <w:outlineLvl w:val="1"/>
        <w:rPr>
          <w:rFonts w:hint="eastAsia" w:ascii="宋体" w:hAnsi="宋体" w:eastAsia="宋体" w:cs="宋体"/>
          <w:b/>
          <w:bCs/>
          <w:color w:val="auto"/>
          <w:sz w:val="26"/>
          <w:szCs w:val="26"/>
          <w:highlight w:val="none"/>
        </w:rPr>
      </w:pPr>
      <w:bookmarkStart w:id="22" w:name="_Toc26836"/>
      <w:bookmarkStart w:id="23" w:name="_Toc21056"/>
      <w:r>
        <w:rPr>
          <w:rFonts w:hint="eastAsia" w:ascii="宋体" w:hAnsi="宋体" w:eastAsia="宋体" w:cs="宋体"/>
          <w:b/>
          <w:bCs/>
          <w:color w:val="auto"/>
          <w:sz w:val="26"/>
          <w:szCs w:val="26"/>
          <w:highlight w:val="none"/>
        </w:rPr>
        <w:t>六、 授予合同</w:t>
      </w:r>
      <w:bookmarkEnd w:id="22"/>
      <w:bookmarkEnd w:id="23"/>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1、中标通知书</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1.1</w:t>
      </w:r>
      <w:r>
        <w:rPr>
          <w:rFonts w:hint="eastAsia" w:ascii="宋体" w:hAnsi="宋体" w:eastAsia="宋体" w:cs="宋体"/>
          <w:color w:val="auto"/>
          <w:sz w:val="22"/>
          <w:szCs w:val="22"/>
          <w:highlight w:val="none"/>
        </w:rPr>
        <w:t xml:space="preserve">中标人确定后，招标人将向中标人发出中标通知书。 </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1.2</w:t>
      </w:r>
      <w:r>
        <w:rPr>
          <w:rFonts w:hint="eastAsia" w:ascii="宋体" w:hAnsi="宋体" w:eastAsia="宋体" w:cs="宋体"/>
          <w:color w:val="auto"/>
          <w:sz w:val="22"/>
          <w:szCs w:val="22"/>
          <w:highlight w:val="none"/>
        </w:rPr>
        <w:t>中标通知书是合同的一个组成部分,对招标人和中标人均具有同等法律效力。</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2、授标时更改采购货物数量的权力</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2.1招标人在授予合同时有权对采购货物的数量和服务在一定幅度范围内予以增加或减少,但不得对单价和其他的条款和条件作任何改变。</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3、签订合同</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3.1中标人应按中标通知书规定的时间、地点与招标人签订合同。</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3.2</w:t>
      </w:r>
      <w:r>
        <w:rPr>
          <w:rFonts w:hint="eastAsia" w:ascii="宋体" w:hAnsi="宋体" w:eastAsia="宋体" w:cs="宋体"/>
          <w:b/>
          <w:color w:val="auto"/>
          <w:spacing w:val="6"/>
          <w:sz w:val="22"/>
          <w:szCs w:val="22"/>
          <w:highlight w:val="none"/>
        </w:rPr>
        <w:t>在签订合同前，招标人有权在中标总价不变的前提下要求中标人对商务报价中的不平衡报价和缺漏项进行调整，如果中标人无合理理由拒绝调整，其中投标资格将被取消，保证金将不予退还，且将导致其它进一步的赔偿和处罚。</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3.3招标文件、中标人的投标文件、投标修改文件、评标过程中有关澄清文件及经投标人和评委双方签字的询标纪要和中标通知书均作为合同附件。</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3.4拒签合同的违约责任</w:t>
      </w:r>
    </w:p>
    <w:p>
      <w:pPr>
        <w:spacing w:line="460" w:lineRule="exact"/>
        <w:ind w:firstLine="571" w:firstLineChars="245"/>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中标人接到中标通知书后，在规定时间内借故否认已经承诺的条件而拒签合同的，以违约处理。</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4、履约保证金</w:t>
      </w:r>
    </w:p>
    <w:p>
      <w:pPr>
        <w:spacing w:line="460" w:lineRule="exact"/>
        <w:ind w:firstLine="539" w:firstLineChars="24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履约保证金用于补偿招标人因中标人不能履行其合同义务而蒙受的损失。</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5、质疑与投诉</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5.1投标人认为招标文件、采购过程、中标和成交结果使自己的合法权益受到损害的，可以在知道或应知道其权益受到损害之日起七个工作日内以书面形式向招标人或招标代理机构提出质疑。</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5.2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pPr>
        <w:spacing w:line="460" w:lineRule="exact"/>
        <w:ind w:firstLine="539" w:firstLineChars="245"/>
        <w:rPr>
          <w:rFonts w:hint="eastAsia" w:ascii="宋体" w:hAnsi="宋体" w:eastAsia="宋体" w:cs="宋体"/>
          <w:color w:val="auto"/>
          <w:sz w:val="22"/>
          <w:highlight w:val="none"/>
        </w:rPr>
      </w:pPr>
      <w:r>
        <w:rPr>
          <w:rFonts w:hint="eastAsia" w:ascii="宋体" w:hAnsi="宋体" w:eastAsia="宋体" w:cs="宋体"/>
          <w:color w:val="auto"/>
          <w:sz w:val="22"/>
          <w:highlight w:val="none"/>
        </w:rPr>
        <w:t>5.3投诉人投诉时，应提交投诉书，投诉书应当由本人并由法定代表人签字盖公章，投诉书应说明具体的投诉事项及事实依据。投诉人对投诉书的真实性负责，恶意投诉将承当相应的法律和民事责任。</w:t>
      </w:r>
    </w:p>
    <w:p>
      <w:pPr>
        <w:rPr>
          <w:rFonts w:hint="eastAsia" w:ascii="宋体" w:hAnsi="宋体" w:eastAsia="宋体" w:cs="宋体"/>
          <w:color w:val="auto"/>
          <w:highlight w:val="none"/>
        </w:rPr>
      </w:pPr>
      <w:bookmarkStart w:id="24" w:name="_Toc28194"/>
      <w:bookmarkStart w:id="25" w:name="_Toc19043"/>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第二部分    合同主要条款</w:t>
      </w:r>
      <w:bookmarkEnd w:id="24"/>
      <w:bookmarkEnd w:id="25"/>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注：如甲、乙双方同意，合同格式也可以按照其他形式, 具体条款以甲方为主协商确定。但合同条款的基本内容应与以下要求的内容相一致。</w:t>
      </w:r>
    </w:p>
    <w:p>
      <w:pPr>
        <w:keepNext/>
        <w:keepLines/>
        <w:pageBreakBefore w:val="0"/>
        <w:widowControl w:val="0"/>
        <w:kinsoku/>
        <w:wordWrap/>
        <w:overflowPunct/>
        <w:topLinePunct w:val="0"/>
        <w:autoSpaceDE/>
        <w:autoSpaceDN/>
        <w:bidi w:val="0"/>
        <w:adjustRightInd/>
        <w:snapToGrid/>
        <w:spacing w:line="360" w:lineRule="auto"/>
        <w:textAlignment w:val="auto"/>
        <w:outlineLvl w:val="9"/>
        <w:rPr>
          <w:rFonts w:hint="eastAsia" w:ascii="新宋体" w:hAnsi="新宋体" w:eastAsia="新宋体" w:cs="新宋体"/>
          <w:bCs/>
          <w:color w:val="auto"/>
          <w:kern w:val="2"/>
          <w:sz w:val="22"/>
          <w:szCs w:val="22"/>
          <w:highlight w:val="none"/>
          <w:lang w:val="en-US" w:eastAsia="zh-CN" w:bidi="ar-SA"/>
        </w:rPr>
      </w:pPr>
    </w:p>
    <w:p>
      <w:pPr>
        <w:keepNext/>
        <w:keepLines/>
        <w:pageBreakBefore w:val="0"/>
        <w:widowControl w:val="0"/>
        <w:kinsoku/>
        <w:wordWrap/>
        <w:overflowPunct/>
        <w:topLinePunct w:val="0"/>
        <w:autoSpaceDE/>
        <w:autoSpaceDN/>
        <w:bidi w:val="0"/>
        <w:adjustRightInd/>
        <w:snapToGrid/>
        <w:spacing w:line="360" w:lineRule="auto"/>
        <w:textAlignment w:val="auto"/>
        <w:outlineLvl w:val="9"/>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kern w:val="2"/>
          <w:sz w:val="22"/>
          <w:szCs w:val="22"/>
          <w:highlight w:val="none"/>
          <w:lang w:val="en-US" w:eastAsia="zh-CN" w:bidi="ar-SA"/>
        </w:rPr>
        <w:t>甲方：</w:t>
      </w:r>
      <w:r>
        <w:rPr>
          <w:rFonts w:hint="eastAsia" w:ascii="新宋体" w:hAnsi="新宋体" w:eastAsia="新宋体" w:cs="新宋体"/>
          <w:bCs/>
          <w:color w:val="auto"/>
          <w:kern w:val="2"/>
          <w:sz w:val="22"/>
          <w:szCs w:val="22"/>
          <w:highlight w:val="none"/>
          <w:u w:val="single"/>
          <w:lang w:val="en-US" w:eastAsia="zh-CN" w:bidi="ar-SA"/>
        </w:rPr>
        <w:t>温州市市政管理中心</w:t>
      </w:r>
      <w:r>
        <w:rPr>
          <w:rFonts w:hint="eastAsia" w:ascii="新宋体" w:hAnsi="新宋体" w:eastAsia="新宋体" w:cs="新宋体"/>
          <w:bCs/>
          <w:color w:val="auto"/>
          <w:kern w:val="2"/>
          <w:sz w:val="22"/>
          <w:szCs w:val="22"/>
          <w:highlight w:val="none"/>
          <w:lang w:val="en-US" w:eastAsia="zh-CN" w:bidi="ar-SA"/>
        </w:rPr>
        <w:t>（招标人）</w:t>
      </w:r>
    </w:p>
    <w:p>
      <w:pPr>
        <w:spacing w:line="360" w:lineRule="auto"/>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kern w:val="2"/>
          <w:sz w:val="22"/>
          <w:szCs w:val="22"/>
          <w:highlight w:val="none"/>
          <w:lang w:val="en-US" w:eastAsia="zh-CN" w:bidi="ar-SA"/>
        </w:rPr>
        <w:t>乙方：</w:t>
      </w:r>
      <w:r>
        <w:rPr>
          <w:rFonts w:hint="eastAsia" w:ascii="新宋体" w:hAnsi="新宋体" w:eastAsia="新宋体" w:cs="新宋体"/>
          <w:bCs/>
          <w:color w:val="auto"/>
          <w:kern w:val="2"/>
          <w:sz w:val="22"/>
          <w:szCs w:val="22"/>
          <w:highlight w:val="none"/>
          <w:u w:val="single"/>
          <w:lang w:val="en-US" w:eastAsia="zh-CN" w:bidi="ar-SA"/>
        </w:rPr>
        <w:t xml:space="preserve">                  </w:t>
      </w:r>
      <w:r>
        <w:rPr>
          <w:rFonts w:hint="eastAsia" w:ascii="新宋体" w:hAnsi="新宋体" w:eastAsia="新宋体" w:cs="新宋体"/>
          <w:bCs/>
          <w:color w:val="auto"/>
          <w:kern w:val="2"/>
          <w:sz w:val="22"/>
          <w:szCs w:val="22"/>
          <w:highlight w:val="none"/>
          <w:lang w:val="en-US" w:eastAsia="zh-CN" w:bidi="ar-SA"/>
        </w:rPr>
        <w:t>（中标人）</w:t>
      </w:r>
    </w:p>
    <w:p>
      <w:pPr>
        <w:keepNext w:val="0"/>
        <w:keepLines w:val="0"/>
        <w:pageBreakBefore w:val="0"/>
        <w:widowControl w:val="0"/>
        <w:kinsoku/>
        <w:wordWrap/>
        <w:overflowPunct/>
        <w:topLinePunct w:val="0"/>
        <w:autoSpaceDE/>
        <w:autoSpaceDN/>
        <w:bidi w:val="0"/>
        <w:adjustRightInd/>
        <w:spacing w:line="460" w:lineRule="exact"/>
        <w:ind w:firstLine="539" w:firstLineChars="245"/>
        <w:jc w:val="lef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eastAsia="zh-CN"/>
        </w:rPr>
        <w:t>温州市市政管理中心</w:t>
      </w:r>
      <w:r>
        <w:rPr>
          <w:rFonts w:hint="eastAsia" w:ascii="新宋体" w:hAnsi="新宋体" w:eastAsia="新宋体" w:cs="新宋体"/>
          <w:bCs/>
          <w:color w:val="auto"/>
          <w:sz w:val="22"/>
          <w:szCs w:val="22"/>
          <w:highlight w:val="none"/>
        </w:rPr>
        <w:t>的</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rPr>
        <w:t>（项目名称、编号）在国内以公开招标方式进行招标，经评标委员会评定</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rPr>
        <w:t>（中标人名称）为中标人。双方本着诚信及互利互惠的原则，同意按照下面条款和条件，签署本合同。</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一、本合同签订依据</w:t>
      </w:r>
    </w:p>
    <w:p>
      <w:pPr>
        <w:keepNext w:val="0"/>
        <w:keepLines w:val="0"/>
        <w:pageBreakBefore w:val="0"/>
        <w:widowControl w:val="0"/>
        <w:kinsoku/>
        <w:wordWrap/>
        <w:overflowPunct/>
        <w:topLinePunct w:val="0"/>
        <w:autoSpaceDE/>
        <w:autoSpaceDN/>
        <w:bidi w:val="0"/>
        <w:adjustRightIn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《中华人民共和国</w:t>
      </w:r>
      <w:r>
        <w:rPr>
          <w:rFonts w:hint="eastAsia" w:ascii="新宋体" w:hAnsi="新宋体" w:eastAsia="新宋体" w:cs="新宋体"/>
          <w:bCs/>
          <w:color w:val="auto"/>
          <w:sz w:val="22"/>
          <w:szCs w:val="22"/>
          <w:highlight w:val="none"/>
          <w:lang w:val="en-US" w:eastAsia="zh-CN"/>
        </w:rPr>
        <w:t>民法典</w:t>
      </w:r>
      <w:r>
        <w:rPr>
          <w:rFonts w:hint="eastAsia" w:ascii="新宋体" w:hAnsi="新宋体" w:eastAsia="新宋体" w:cs="新宋体"/>
          <w:bCs/>
          <w:color w:val="auto"/>
          <w:sz w:val="22"/>
          <w:szCs w:val="22"/>
          <w:highlight w:val="non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二、合同文件的优先次序</w:t>
      </w:r>
    </w:p>
    <w:p>
      <w:pPr>
        <w:keepNext w:val="0"/>
        <w:keepLines w:val="0"/>
        <w:pageBreakBefore w:val="0"/>
        <w:widowControl w:val="0"/>
        <w:kinsoku/>
        <w:wordWrap/>
        <w:overflowPunct/>
        <w:topLinePunct w:val="0"/>
        <w:autoSpaceDE/>
        <w:autoSpaceDN/>
        <w:bidi w:val="0"/>
        <w:adjustRightIn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合同文件如存在歧义或不一致则根据以下优先次序来判断：</w:t>
      </w:r>
    </w:p>
    <w:p>
      <w:pPr>
        <w:keepNext w:val="0"/>
        <w:keepLines w:val="0"/>
        <w:pageBreakBefore w:val="0"/>
        <w:widowControl w:val="0"/>
        <w:kinsoku/>
        <w:wordWrap/>
        <w:overflowPunct/>
        <w:topLinePunct w:val="0"/>
        <w:autoSpaceDE/>
        <w:autoSpaceDN/>
        <w:bidi w:val="0"/>
        <w:adjustRightIn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1、合同书及合同补充条款或说明 </w:t>
      </w:r>
    </w:p>
    <w:p>
      <w:pPr>
        <w:keepNext w:val="0"/>
        <w:keepLines w:val="0"/>
        <w:pageBreakBefore w:val="0"/>
        <w:widowControl w:val="0"/>
        <w:kinsoku/>
        <w:wordWrap/>
        <w:overflowPunct/>
        <w:topLinePunct w:val="0"/>
        <w:autoSpaceDE/>
        <w:autoSpaceDN/>
        <w:bidi w:val="0"/>
        <w:adjustRightIn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2、中标通知书</w:t>
      </w:r>
    </w:p>
    <w:p>
      <w:pPr>
        <w:keepNext w:val="0"/>
        <w:keepLines w:val="0"/>
        <w:pageBreakBefore w:val="0"/>
        <w:widowControl w:val="0"/>
        <w:kinsoku/>
        <w:wordWrap/>
        <w:overflowPunct/>
        <w:topLinePunct w:val="0"/>
        <w:autoSpaceDE/>
        <w:autoSpaceDN/>
        <w:bidi w:val="0"/>
        <w:adjustRightIn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3、承诺书（含询标记录和优惠条款）</w:t>
      </w:r>
    </w:p>
    <w:p>
      <w:pPr>
        <w:keepNext w:val="0"/>
        <w:keepLines w:val="0"/>
        <w:pageBreakBefore w:val="0"/>
        <w:widowControl w:val="0"/>
        <w:kinsoku/>
        <w:wordWrap/>
        <w:overflowPunct/>
        <w:topLinePunct w:val="0"/>
        <w:autoSpaceDE/>
        <w:autoSpaceDN/>
        <w:bidi w:val="0"/>
        <w:adjustRightIn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4、投标文件</w:t>
      </w:r>
    </w:p>
    <w:p>
      <w:pPr>
        <w:keepNext w:val="0"/>
        <w:keepLines w:val="0"/>
        <w:pageBreakBefore w:val="0"/>
        <w:widowControl w:val="0"/>
        <w:kinsoku/>
        <w:wordWrap/>
        <w:overflowPunct/>
        <w:topLinePunct w:val="0"/>
        <w:autoSpaceDE/>
        <w:autoSpaceDN/>
        <w:bidi w:val="0"/>
        <w:adjustRightInd/>
        <w:spacing w:line="460" w:lineRule="exact"/>
        <w:ind w:firstLine="539" w:firstLineChars="245"/>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rPr>
        <w:t>5、招标文件</w:t>
      </w:r>
      <w:r>
        <w:rPr>
          <w:rFonts w:hint="eastAsia" w:ascii="新宋体" w:hAnsi="新宋体" w:eastAsia="新宋体" w:cs="新宋体"/>
          <w:bCs/>
          <w:color w:val="auto"/>
          <w:sz w:val="22"/>
          <w:szCs w:val="22"/>
          <w:highlight w:val="none"/>
          <w:lang w:eastAsia="zh-CN"/>
        </w:rPr>
        <w:t>及相关附件</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三、服务范围</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outlineLvl w:val="9"/>
        <w:rPr>
          <w:rFonts w:hint="eastAsia" w:ascii="新宋体" w:hAnsi="新宋体" w:eastAsia="新宋体" w:cs="新宋体"/>
          <w:b w:val="0"/>
          <w:bCs/>
          <w:color w:val="auto"/>
          <w:kern w:val="0"/>
          <w:sz w:val="22"/>
          <w:szCs w:val="22"/>
          <w:highlight w:val="none"/>
          <w:lang w:val="en-US" w:eastAsia="zh-CN"/>
        </w:rPr>
      </w:pPr>
      <w:r>
        <w:rPr>
          <w:rFonts w:hint="eastAsia" w:ascii="宋体" w:hAnsi="宋体"/>
          <w:color w:val="auto"/>
          <w:sz w:val="22"/>
          <w:szCs w:val="22"/>
          <w:highlight w:val="none"/>
        </w:rPr>
        <w:t>范围内设施的日常维养（维养内容详见招标内容及清单，附后）。日常维养包括设施经常性检查、常规定期检测、保养小修、中修工程、指定维修、应急保障（如防汛、抗台、抗雪等灾害天气，火灾、交通事故等突发事件）、重大活动及节日保障、</w:t>
      </w:r>
      <w:r>
        <w:rPr>
          <w:rFonts w:hint="eastAsia" w:ascii="新宋体" w:hAnsi="新宋体" w:eastAsia="新宋体" w:cs="新宋体"/>
          <w:color w:val="auto"/>
          <w:sz w:val="22"/>
          <w:szCs w:val="22"/>
          <w:highlight w:val="none"/>
          <w:lang w:val="en-US" w:eastAsia="zh-CN"/>
        </w:rPr>
        <w:t>设施管理房及动态监测系统值守</w:t>
      </w:r>
      <w:r>
        <w:rPr>
          <w:rFonts w:hint="eastAsia" w:ascii="宋体" w:hAnsi="宋体"/>
          <w:color w:val="auto"/>
          <w:sz w:val="22"/>
          <w:szCs w:val="22"/>
          <w:highlight w:val="none"/>
          <w:lang w:val="en-US" w:eastAsia="zh-CN"/>
        </w:rPr>
        <w:t>、</w:t>
      </w:r>
      <w:r>
        <w:rPr>
          <w:rFonts w:hint="eastAsia" w:ascii="宋体" w:hAnsi="宋体"/>
          <w:color w:val="auto"/>
          <w:sz w:val="22"/>
          <w:szCs w:val="22"/>
          <w:highlight w:val="none"/>
        </w:rPr>
        <w:t>设施档案建立及管理单位要求的指定养护维修任务等。</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color w:val="auto"/>
          <w:sz w:val="22"/>
          <w:szCs w:val="22"/>
          <w:highlight w:val="none"/>
          <w:lang w:val="en-US" w:eastAsia="zh-CN"/>
        </w:rPr>
      </w:pPr>
      <w:bookmarkStart w:id="26" w:name="_Toc16161"/>
      <w:r>
        <w:rPr>
          <w:rFonts w:hint="eastAsia" w:ascii="新宋体" w:hAnsi="新宋体" w:eastAsia="新宋体" w:cs="新宋体"/>
          <w:b/>
          <w:color w:val="auto"/>
          <w:sz w:val="22"/>
          <w:szCs w:val="22"/>
          <w:highlight w:val="none"/>
          <w:lang w:val="en-US" w:eastAsia="zh-CN"/>
        </w:rPr>
        <w:t>四、设施交接</w:t>
      </w:r>
      <w:bookmarkEnd w:id="26"/>
    </w:p>
    <w:p>
      <w:pPr>
        <w:keepNext w:val="0"/>
        <w:keepLines w:val="0"/>
        <w:pageBreakBefore w:val="0"/>
        <w:widowControl w:val="0"/>
        <w:kinsoku/>
        <w:wordWrap/>
        <w:overflowPunct/>
        <w:topLinePunct w:val="0"/>
        <w:autoSpaceDE/>
        <w:autoSpaceDN/>
        <w:bidi w:val="0"/>
        <w:adjustRightInd/>
        <w:spacing w:line="460" w:lineRule="exact"/>
        <w:ind w:firstLine="440" w:firstLineChars="200"/>
        <w:textAlignment w:val="auto"/>
        <w:outlineLvl w:val="9"/>
        <w:rPr>
          <w:rFonts w:hint="eastAsia" w:ascii="新宋体" w:hAnsi="新宋体" w:eastAsia="新宋体" w:cs="新宋体"/>
          <w:b/>
          <w:color w:val="auto"/>
          <w:sz w:val="22"/>
          <w:szCs w:val="22"/>
          <w:highlight w:val="none"/>
          <w:lang w:val="en-US" w:eastAsia="zh-CN"/>
        </w:rPr>
      </w:pPr>
      <w:r>
        <w:rPr>
          <w:rFonts w:hint="eastAsia" w:ascii="宋体" w:hAnsi="宋体" w:cs="宋体"/>
          <w:color w:val="auto"/>
          <w:sz w:val="22"/>
          <w:szCs w:val="22"/>
          <w:highlight w:val="none"/>
        </w:rPr>
        <w:t>甲乙双方需在合同签订之日起7个工作日内完成维养范围内的设施维养工作交接。乙方需在维养合同期满前一个月，委托第三方完成设施交接前检测，检测内容参照常规定期检测要求，并与甲方办理履约验收及设施交接手续。</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五、维养内容及技术要求</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（一）维养范围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东瓯大桥为养护承包范围，其中包括东瓯大桥主桥、鹿城互通段主桥、翠微山体间高填土道路、鹿城路匝道、江滨路匝道、江心屿匝道、翠微山间人行天桥、鹿城路至翠微大道间地面道路、阳光大道至双塔路间地面道路。养护设施量具体详见设施界限图和设施量清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维养范围包括设施主体及其附属设施，具体以《设施界线图》为准。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巡查范围包括设施界限范围（含桥下附于桥体的设施）、桥梁投影面及设施安全保护区域。</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color w:val="auto"/>
          <w:highlight w:val="none"/>
          <w:lang w:val="en-US" w:eastAsia="zh-CN"/>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维养内容包括设施经常性检查、常规定期检测、保养小修、中修工程、指定维修、应急保障（如防汛、抗台、抗雪等灾害天气，火灾、交通事故等突发事件）、重大活动及节日保障、</w:t>
      </w:r>
      <w:r>
        <w:rPr>
          <w:rFonts w:hint="eastAsia" w:ascii="新宋体" w:hAnsi="新宋体" w:eastAsia="新宋体" w:cs="新宋体"/>
          <w:color w:val="auto"/>
          <w:sz w:val="22"/>
          <w:szCs w:val="22"/>
          <w:highlight w:val="none"/>
          <w:lang w:val="en-US" w:eastAsia="zh-CN"/>
        </w:rPr>
        <w:t>设施管理房及动态监测系统值守、</w:t>
      </w:r>
      <w:r>
        <w:rPr>
          <w:rFonts w:hint="eastAsia" w:ascii="新宋体" w:hAnsi="新宋体" w:eastAsia="新宋体" w:cs="新宋体"/>
          <w:color w:val="auto"/>
          <w:sz w:val="22"/>
          <w:szCs w:val="22"/>
          <w:highlight w:val="none"/>
        </w:rPr>
        <w:t>设施档案建立及管理单位要求的指定养护维修任务等。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outlineLvl w:val="1"/>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（二）维养工作内容及要求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经常性检查：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 经常性检查是承包单位所有工作的前提，必须由经过培训的专职桥梁管理人员按照相关规定对巡查范围内的设施进行经常性检查，并填写巡查记录。经常性检查内容包括主体设施及附属设施情况；设施及设施安全保护区域内施工作业情况。</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 承包单位发现问题应及时向管理单位汇报，并采取有效措施进行处理。本次招标范围内所有设施要求实施一日一巡，其中水中桩基需一周巡检一次，特殊情况需加密巡查；且必须定人定岗。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 每月定期向管理单位上报当月维养工作总结（含病害汇总和处置情况、相关报表的填报），每年末上报年度工作总结、设施运行报告和下一年度工作计划。</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常规定期检测：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 承包单位应按照相关规范和标准，建立定期检测部门，配备检测车、登高车、望远镜、水准仪、全站仪、裂缝观测仪等仪器设备，编制检测计划，对主体及附属设施进行常规定期检测、评价，更新设施量、资料卡，编制检测评价报告，以全面掌握设施安全状况。对于没有能力实施检测的，应外包有资质的单位实施，并经管理单位认可。本次招标范围内的所有设施要求每年进行一次常规定期检测，半年进行一次沉降观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日常维养：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 承包单位应根据日常巡查和检测结果，结合相关技术规范、设施实际情况安排保养小修、中修工程、应急性养护，日常维养作业内容详见清单。在正常情况下（无天气不利条件等影响）日常病害的维养需在24小时内完成，并做维养、自验收记录；工程量较大、工序较多的维养工作可在48小时内完成，如遇到特殊原因（如天气原因等）可临时采取其他应急处理方式进行警示或简单处理，确保道路畅通安全的情况下可待条件满足后进行彻底的处置。对未能在24小时内修复完成的日常病害，承包单位需于病害发现24小时内向管理单位书面说明原因。需进行日常保养的设施，根据相关规范及本招标文件要求定期实施。</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 ▲应管理单位要求需进行应急抢修的，养护单位维修队伍、设备及物料需在2小时内到场，并于48小时内完成抢修作业。</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3.3 日常维修保养作业可能影响道路交通的，承包单位需做好与公安交警部门的协调工作，在尽可能减少影响的情况下，保质保量的完成日常维修保养作业。</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安全生产：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4.1 承包单位有责任发现并及时制止本次招标范围内所有设施遭意外事故或人为等因素导致的损坏和侵害，做好调查、赔偿、修复等工作，并通知管理单位和相关部门。对在养护范围内，本次招标范围外的设施（如随桥（路）管线、井盖、标志标线等），有巡查、告知的责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4.2 养护单位应为实施现场养护施工作业的人员购买人身意外伤害险。养护单位在保证日常维养工作的质量与进度的同时，还应做好安全管理。如因自身人员出现伤亡事故、或因施工作业围挡或警示不到位造成过往车辆或行人伤亡的，由养护单位承担全部责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应急保障、节日保障：</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5.1 应急保障、节日保障：承包单位除了承担经常性检查、常规定期检测、日常维养的工作职责外，还承担本次招标范围内设施的应急抢险和节日保障工作。承包单位需建立应急抢险及服务保障机制，成立应急抢险及服务保障领导小组和队伍；常备人员、车辆、机械设备以及应急物资；在台风、汛期、暴雪、火灾、地震及其他应急抢险情况下严格服从甲方的统一指挥和安排，排除险情；做好数据、图片和台帐的记录、存档工作；每年至少组织一次应急预案演练。节假日或大型公共活动期间，承包单位需合理安排人员完成值班、巡查、维修及安全保障工作。</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桥梁监控中心值守：</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6.1 承包单位需根据监控中心值守工作量配备相应数量的值守人员，对桥梁监控中心监控室实施24小时定岗定点值守，监控室值守人员按规程对东瓯大桥动态监测系统实时操作和情况记录（包含东瓯大桥视频的实时监控），如有突发情况及时报告。</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6.2 监控中心应定期维修或更换监控中心范围内破损设施（地面、屋面、墙体、门窗、灯具、空调、绿化等）。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6.3 承包单位需负责监控中心及桥梁动态监测系统外部设备安全。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6.4 承包单位需保证监控中心消防安全。监控中心内的灭火器应按技术规程、规范定期每月进行压力检查、日常保养，及时进行失压灌装、更换、破损维修、维修冲灌。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6.5 如发生监控中心内部监控系统设备及附属设施被盗的，承包单位需照价赔偿；监控中心外设备及电缆被盗，承包单位应及时向业主单位汇报情况，并报相关部门报案，因承包单位未采取适当措施，造成的经济损失，由承包单位予以赔偿。</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6.6 承包单位需对值守的监测系统及监控视频进行保密，并严格执行签订的保密协议。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6.7 承包单位需自行承担值守人员的住宿、餐饮及值守室产生的水费等其他生活所需费用、值守室电费由采购人承担。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rPr>
        <w:t>桥梁动态监测系统维护：</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7.1 东瓯大桥设有桥梁健康动态监测系统，监测内容包括风荷载、环境温度、结构应力和温度、结构变形、吊杆索力、车辆动态称重、船撞监测等，另设有结构数据采集分析、结构健康评估系统对东瓯大桥结构运行情况进行动态监测，如有异常及时报警。动态监测系统包括传感器、数据采集站、服务器、计算机、交换机、路由器以及相关电气设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7.2 承包单位应按相关技术规程、规范、操作维养手册对动态监测系统相关的所有电器、电路和传感器等进行经常性检查保养、配件小修更换，确保桥梁监测系统正常运行。如发现系统故障，应及时报告业主单位，并采取适当措施。</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color w:val="auto"/>
          <w:highlight w:val="none"/>
          <w:lang w:val="en-US" w:eastAsia="zh-CN"/>
        </w:rPr>
      </w:pP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rPr>
        <w:t>建立档案资料：以单座设施为单位建立养护档案，健全日常养护、巡查等作业的文字和影像记录，做好台帐的整理和归档工作，建立养护活动“追溯机制”，以备检查。每年底对日常维养、特殊情况、突发事件、服务保障、定期检测、指定维修、应急保障等工作进行总结，形成年度养护报告和设施运行报告并存档。（详见《台账资料整理规定》）</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0" w:firstLineChars="0"/>
        <w:textAlignment w:val="auto"/>
        <w:outlineLvl w:val="1"/>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维养质量标准及评定</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维养质量标准：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根据《城市道路管理条例》（国务院令198号）、《城市桥梁检测和养护维修管理办法》（建设部118号令）、</w:t>
      </w:r>
      <w:r>
        <w:rPr>
          <w:rFonts w:hint="eastAsia" w:ascii="新宋体" w:hAnsi="新宋体" w:eastAsia="新宋体" w:cs="新宋体"/>
          <w:color w:val="auto"/>
          <w:sz w:val="22"/>
          <w:szCs w:val="22"/>
          <w:highlight w:val="none"/>
          <w:lang w:eastAsia="zh-CN"/>
        </w:rPr>
        <w:t>《城镇道路养护技术规范》</w:t>
      </w:r>
      <w:r>
        <w:rPr>
          <w:rFonts w:hint="eastAsia" w:ascii="新宋体" w:hAnsi="新宋体" w:eastAsia="新宋体" w:cs="新宋体"/>
          <w:color w:val="auto"/>
          <w:sz w:val="22"/>
          <w:szCs w:val="22"/>
          <w:highlight w:val="none"/>
        </w:rPr>
        <w:t>（CJJ36-2016）、</w:t>
      </w:r>
      <w:r>
        <w:rPr>
          <w:rFonts w:hint="eastAsia" w:ascii="新宋体" w:hAnsi="新宋体" w:eastAsia="新宋体" w:cs="新宋体"/>
          <w:color w:val="auto"/>
          <w:sz w:val="22"/>
          <w:szCs w:val="22"/>
          <w:highlight w:val="none"/>
          <w:lang w:eastAsia="zh-CN"/>
        </w:rPr>
        <w:t>《城市桥梁养护技术规范》</w:t>
      </w:r>
      <w:r>
        <w:rPr>
          <w:rFonts w:hint="eastAsia" w:ascii="新宋体" w:hAnsi="新宋体" w:eastAsia="新宋体" w:cs="新宋体"/>
          <w:color w:val="auto"/>
          <w:sz w:val="22"/>
          <w:szCs w:val="22"/>
          <w:highlight w:val="none"/>
        </w:rPr>
        <w:t>（CJJ99-2017）、《城镇道路工程施工与质量验收规范》（CJJ1-2008）、《浙江省城市道路管理办法》（省政府令第145号）、浙江省工程建设标准《城市道路养护管理评价标准》、《城镇道路养护作业规程》</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温州市突发公共事件总体应急预案》、《温州市城区防汛防台应急预案》、《温州市区城市桥梁管理养护实施办法》等以及新颁布的相关规程、规范和国家有关强制性标准的规定执行。同时，应满足招标文件、《东瓯大桥设施维养考核办法》及管理单位要求。</w:t>
      </w:r>
    </w:p>
    <w:p>
      <w:pPr>
        <w:keepNext w:val="0"/>
        <w:keepLines w:val="0"/>
        <w:pageBreakBefore w:val="0"/>
        <w:widowControl w:val="0"/>
        <w:kinsoku/>
        <w:wordWrap/>
        <w:overflowPunct/>
        <w:topLinePunct w:val="0"/>
        <w:autoSpaceDE/>
        <w:autoSpaceDN/>
        <w:bidi w:val="0"/>
        <w:adjustRightInd/>
        <w:snapToGrid/>
        <w:spacing w:line="460" w:lineRule="exact"/>
        <w:ind w:firstLine="220" w:firstLineChars="1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维养质量评定：</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 每月进行一次月度考核，由管理单位通过定期检查和不定期抽查的方式对设施养护情况进行考核。</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 xml:space="preserve"> 维养质量评定按《东瓯大桥设施维养考核办法》执行，评定结果与维养经费拨付挂钩。</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color w:val="auto"/>
          <w:sz w:val="22"/>
          <w:szCs w:val="22"/>
          <w:highlight w:val="none"/>
        </w:rPr>
        <w:t>维养质量争议处理办法：双方对养护维修服务质量评定结果有争议，由双方同意的质量检测机构鉴定，所需费用及因此造成的损失，由责任方承担。双方均有责任，由双方根据其责任分别承担。</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六、养护承包方式</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519" w:firstLineChars="236"/>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（一）乙方在确定的范围内以包工包料的方式实施固定总价承包（设施量调整及暂估价、暂列金除外）。</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519" w:firstLineChars="236"/>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（二）乙方应当按照本合同约定完成养护任务。乙方因设备或技术等原因无法实施的部分工作，在报请甲方同意后，委托他人实施的，乙方对分包人的所有行为负全责。</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519" w:firstLineChars="236"/>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（三）养护所需一般材料、成品、设备等，均由乙方自行解决，必须符合有关养护及施工技术规程、规范要求，但特殊材料及新工艺、新材料需报甲方认可外。</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519" w:firstLineChars="236"/>
        <w:textAlignment w:val="auto"/>
        <w:rPr>
          <w:rFonts w:hint="eastAsia" w:ascii="新宋体" w:hAnsi="新宋体" w:eastAsia="新宋体" w:cs="新宋体"/>
          <w:b w:val="0"/>
          <w:bCs/>
          <w:color w:val="auto"/>
          <w:kern w:val="1"/>
          <w:sz w:val="22"/>
          <w:szCs w:val="22"/>
          <w:highlight w:val="none"/>
        </w:rPr>
      </w:pPr>
      <w:r>
        <w:rPr>
          <w:rFonts w:hint="eastAsia" w:ascii="新宋体" w:hAnsi="新宋体" w:eastAsia="新宋体" w:cs="新宋体"/>
          <w:b w:val="0"/>
          <w:bCs/>
          <w:color w:val="auto"/>
          <w:sz w:val="22"/>
          <w:szCs w:val="22"/>
          <w:highlight w:val="none"/>
        </w:rPr>
        <w:t>（四）</w:t>
      </w:r>
      <w:r>
        <w:rPr>
          <w:rFonts w:hint="eastAsia" w:ascii="新宋体" w:hAnsi="新宋体" w:eastAsia="新宋体" w:cs="新宋体"/>
          <w:b w:val="0"/>
          <w:bCs/>
          <w:color w:val="auto"/>
          <w:kern w:val="1"/>
          <w:sz w:val="22"/>
          <w:szCs w:val="22"/>
          <w:highlight w:val="none"/>
        </w:rPr>
        <w:t>生产、管理人员表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911"/>
        <w:gridCol w:w="1208"/>
        <w:gridCol w:w="1028"/>
        <w:gridCol w:w="1542"/>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32"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1911" w:type="dxa"/>
            <w:noWrap w:val="0"/>
            <w:vAlign w:val="top"/>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本项目职务</w:t>
            </w:r>
          </w:p>
        </w:tc>
        <w:tc>
          <w:tcPr>
            <w:tcW w:w="1208"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姓名</w:t>
            </w:r>
          </w:p>
        </w:tc>
        <w:tc>
          <w:tcPr>
            <w:tcW w:w="1028"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年龄</w:t>
            </w:r>
          </w:p>
        </w:tc>
        <w:tc>
          <w:tcPr>
            <w:tcW w:w="1542"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职称</w:t>
            </w:r>
          </w:p>
        </w:tc>
        <w:tc>
          <w:tcPr>
            <w:tcW w:w="2056" w:type="dxa"/>
            <w:noWrap w:val="0"/>
            <w:vAlign w:val="top"/>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32"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color w:val="auto"/>
                <w:sz w:val="22"/>
                <w:szCs w:val="22"/>
                <w:highlight w:val="none"/>
              </w:rPr>
            </w:pPr>
          </w:p>
        </w:tc>
        <w:tc>
          <w:tcPr>
            <w:tcW w:w="1911" w:type="dxa"/>
            <w:noWrap w:val="0"/>
            <w:vAlign w:val="top"/>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color w:val="auto"/>
                <w:sz w:val="22"/>
                <w:szCs w:val="22"/>
                <w:highlight w:val="none"/>
              </w:rPr>
            </w:pPr>
          </w:p>
        </w:tc>
        <w:tc>
          <w:tcPr>
            <w:tcW w:w="1208" w:type="dxa"/>
            <w:noWrap w:val="0"/>
            <w:vAlign w:val="top"/>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color w:val="auto"/>
                <w:sz w:val="22"/>
                <w:szCs w:val="22"/>
                <w:highlight w:val="none"/>
              </w:rPr>
            </w:pPr>
          </w:p>
        </w:tc>
        <w:tc>
          <w:tcPr>
            <w:tcW w:w="1028" w:type="dxa"/>
            <w:noWrap w:val="0"/>
            <w:vAlign w:val="top"/>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color w:val="auto"/>
                <w:sz w:val="22"/>
                <w:szCs w:val="22"/>
                <w:highlight w:val="none"/>
              </w:rPr>
            </w:pPr>
          </w:p>
        </w:tc>
        <w:tc>
          <w:tcPr>
            <w:tcW w:w="1542" w:type="dxa"/>
            <w:noWrap w:val="0"/>
            <w:vAlign w:val="top"/>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color w:val="auto"/>
                <w:sz w:val="22"/>
                <w:szCs w:val="22"/>
                <w:highlight w:val="none"/>
              </w:rPr>
            </w:pPr>
          </w:p>
        </w:tc>
        <w:tc>
          <w:tcPr>
            <w:tcW w:w="2056" w:type="dxa"/>
            <w:noWrap w:val="0"/>
            <w:vAlign w:val="top"/>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32"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color w:val="auto"/>
                <w:sz w:val="22"/>
                <w:szCs w:val="22"/>
                <w:highlight w:val="none"/>
              </w:rPr>
            </w:pPr>
          </w:p>
        </w:tc>
        <w:tc>
          <w:tcPr>
            <w:tcW w:w="1911" w:type="dxa"/>
            <w:noWrap w:val="0"/>
            <w:vAlign w:val="top"/>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color w:val="auto"/>
                <w:sz w:val="22"/>
                <w:szCs w:val="22"/>
                <w:highlight w:val="none"/>
              </w:rPr>
            </w:pPr>
          </w:p>
        </w:tc>
        <w:tc>
          <w:tcPr>
            <w:tcW w:w="1208" w:type="dxa"/>
            <w:noWrap w:val="0"/>
            <w:vAlign w:val="top"/>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color w:val="auto"/>
                <w:sz w:val="22"/>
                <w:szCs w:val="22"/>
                <w:highlight w:val="none"/>
              </w:rPr>
            </w:pPr>
          </w:p>
        </w:tc>
        <w:tc>
          <w:tcPr>
            <w:tcW w:w="1028" w:type="dxa"/>
            <w:noWrap w:val="0"/>
            <w:vAlign w:val="top"/>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color w:val="auto"/>
                <w:sz w:val="22"/>
                <w:szCs w:val="22"/>
                <w:highlight w:val="none"/>
              </w:rPr>
            </w:pPr>
          </w:p>
        </w:tc>
        <w:tc>
          <w:tcPr>
            <w:tcW w:w="1542" w:type="dxa"/>
            <w:noWrap w:val="0"/>
            <w:vAlign w:val="top"/>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color w:val="auto"/>
                <w:sz w:val="22"/>
                <w:szCs w:val="22"/>
                <w:highlight w:val="none"/>
              </w:rPr>
            </w:pPr>
          </w:p>
        </w:tc>
        <w:tc>
          <w:tcPr>
            <w:tcW w:w="2056" w:type="dxa"/>
            <w:noWrap w:val="0"/>
            <w:vAlign w:val="top"/>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32"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color w:val="auto"/>
                <w:sz w:val="22"/>
                <w:szCs w:val="22"/>
                <w:highlight w:val="none"/>
              </w:rPr>
            </w:pPr>
          </w:p>
        </w:tc>
        <w:tc>
          <w:tcPr>
            <w:tcW w:w="1911" w:type="dxa"/>
            <w:noWrap w:val="0"/>
            <w:vAlign w:val="top"/>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color w:val="auto"/>
                <w:sz w:val="22"/>
                <w:szCs w:val="22"/>
                <w:highlight w:val="none"/>
              </w:rPr>
            </w:pPr>
          </w:p>
        </w:tc>
        <w:tc>
          <w:tcPr>
            <w:tcW w:w="1208" w:type="dxa"/>
            <w:noWrap w:val="0"/>
            <w:vAlign w:val="top"/>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color w:val="auto"/>
                <w:sz w:val="22"/>
                <w:szCs w:val="22"/>
                <w:highlight w:val="none"/>
              </w:rPr>
            </w:pPr>
          </w:p>
        </w:tc>
        <w:tc>
          <w:tcPr>
            <w:tcW w:w="1028" w:type="dxa"/>
            <w:noWrap w:val="0"/>
            <w:vAlign w:val="top"/>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color w:val="auto"/>
                <w:sz w:val="22"/>
                <w:szCs w:val="22"/>
                <w:highlight w:val="none"/>
              </w:rPr>
            </w:pPr>
          </w:p>
        </w:tc>
        <w:tc>
          <w:tcPr>
            <w:tcW w:w="1542" w:type="dxa"/>
            <w:noWrap w:val="0"/>
            <w:vAlign w:val="top"/>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color w:val="auto"/>
                <w:sz w:val="22"/>
                <w:szCs w:val="22"/>
                <w:highlight w:val="none"/>
              </w:rPr>
            </w:pPr>
          </w:p>
        </w:tc>
        <w:tc>
          <w:tcPr>
            <w:tcW w:w="2056" w:type="dxa"/>
            <w:noWrap w:val="0"/>
            <w:vAlign w:val="top"/>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32" w:type="dxa"/>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color w:val="auto"/>
                <w:sz w:val="22"/>
                <w:szCs w:val="22"/>
                <w:highlight w:val="none"/>
              </w:rPr>
            </w:pPr>
          </w:p>
        </w:tc>
        <w:tc>
          <w:tcPr>
            <w:tcW w:w="1911" w:type="dxa"/>
            <w:noWrap w:val="0"/>
            <w:vAlign w:val="top"/>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color w:val="auto"/>
                <w:sz w:val="22"/>
                <w:szCs w:val="22"/>
                <w:highlight w:val="none"/>
              </w:rPr>
            </w:pPr>
          </w:p>
        </w:tc>
        <w:tc>
          <w:tcPr>
            <w:tcW w:w="1208" w:type="dxa"/>
            <w:noWrap w:val="0"/>
            <w:vAlign w:val="top"/>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color w:val="auto"/>
                <w:sz w:val="22"/>
                <w:szCs w:val="22"/>
                <w:highlight w:val="none"/>
              </w:rPr>
            </w:pPr>
          </w:p>
        </w:tc>
        <w:tc>
          <w:tcPr>
            <w:tcW w:w="1028" w:type="dxa"/>
            <w:noWrap w:val="0"/>
            <w:vAlign w:val="top"/>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color w:val="auto"/>
                <w:sz w:val="22"/>
                <w:szCs w:val="22"/>
                <w:highlight w:val="none"/>
              </w:rPr>
            </w:pPr>
          </w:p>
        </w:tc>
        <w:tc>
          <w:tcPr>
            <w:tcW w:w="1542" w:type="dxa"/>
            <w:noWrap w:val="0"/>
            <w:vAlign w:val="top"/>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color w:val="auto"/>
                <w:sz w:val="22"/>
                <w:szCs w:val="22"/>
                <w:highlight w:val="none"/>
              </w:rPr>
            </w:pPr>
          </w:p>
        </w:tc>
        <w:tc>
          <w:tcPr>
            <w:tcW w:w="2056" w:type="dxa"/>
            <w:noWrap w:val="0"/>
            <w:vAlign w:val="top"/>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color w:val="auto"/>
                <w:sz w:val="22"/>
                <w:szCs w:val="22"/>
                <w:highlight w:val="none"/>
              </w:rPr>
            </w:pPr>
          </w:p>
        </w:tc>
      </w:tr>
    </w:tbl>
    <w:p>
      <w:pPr>
        <w:pStyle w:val="28"/>
        <w:keepNext w:val="0"/>
        <w:keepLines w:val="0"/>
        <w:pageBreakBefore w:val="0"/>
        <w:widowControl w:val="0"/>
        <w:kinsoku/>
        <w:wordWrap/>
        <w:overflowPunct/>
        <w:topLinePunct w:val="0"/>
        <w:autoSpaceDE/>
        <w:autoSpaceDN/>
        <w:bidi w:val="0"/>
        <w:adjustRightInd/>
        <w:snapToGrid w:val="0"/>
        <w:spacing w:line="460" w:lineRule="exact"/>
        <w:ind w:firstLine="519" w:firstLineChars="236"/>
        <w:textAlignment w:val="auto"/>
        <w:rPr>
          <w:rFonts w:hint="eastAsia" w:ascii="新宋体" w:hAnsi="新宋体" w:eastAsia="新宋体" w:cs="新宋体"/>
          <w:b w:val="0"/>
          <w:bCs/>
          <w:color w:val="auto"/>
          <w:kern w:val="1"/>
          <w:sz w:val="22"/>
          <w:szCs w:val="22"/>
          <w:highlight w:val="none"/>
          <w:lang w:eastAsia="zh-CN"/>
        </w:rPr>
      </w:pPr>
      <w:r>
        <w:rPr>
          <w:rFonts w:hint="eastAsia" w:ascii="新宋体" w:hAnsi="新宋体" w:eastAsia="新宋体" w:cs="新宋体"/>
          <w:b w:val="0"/>
          <w:bCs/>
          <w:color w:val="auto"/>
          <w:sz w:val="22"/>
          <w:szCs w:val="22"/>
          <w:highlight w:val="none"/>
        </w:rPr>
        <w:t>（</w:t>
      </w:r>
      <w:r>
        <w:rPr>
          <w:rFonts w:hint="eastAsia" w:ascii="新宋体" w:hAnsi="新宋体" w:eastAsia="新宋体" w:cs="新宋体"/>
          <w:b w:val="0"/>
          <w:bCs/>
          <w:color w:val="auto"/>
          <w:sz w:val="22"/>
          <w:szCs w:val="22"/>
          <w:highlight w:val="none"/>
          <w:lang w:eastAsia="zh-CN"/>
        </w:rPr>
        <w:t>五</w:t>
      </w:r>
      <w:r>
        <w:rPr>
          <w:rFonts w:hint="eastAsia" w:ascii="新宋体" w:hAnsi="新宋体" w:eastAsia="新宋体" w:cs="新宋体"/>
          <w:b w:val="0"/>
          <w:bCs/>
          <w:color w:val="auto"/>
          <w:sz w:val="22"/>
          <w:szCs w:val="22"/>
          <w:highlight w:val="none"/>
        </w:rPr>
        <w:t>）</w:t>
      </w:r>
      <w:r>
        <w:rPr>
          <w:rFonts w:hint="eastAsia" w:ascii="新宋体" w:hAnsi="新宋体" w:eastAsia="新宋体" w:cs="新宋体"/>
          <w:b w:val="0"/>
          <w:bCs/>
          <w:color w:val="auto"/>
          <w:kern w:val="1"/>
          <w:sz w:val="22"/>
          <w:szCs w:val="22"/>
          <w:highlight w:val="none"/>
          <w:lang w:eastAsia="zh-CN"/>
        </w:rPr>
        <w:t>本项目配备生产设备清单</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519" w:firstLineChars="236"/>
        <w:textAlignment w:val="auto"/>
        <w:rPr>
          <w:rFonts w:hint="eastAsia" w:ascii="新宋体" w:hAnsi="新宋体" w:eastAsia="新宋体" w:cs="新宋体"/>
          <w:b w:val="0"/>
          <w:bCs/>
          <w:color w:val="auto"/>
          <w:kern w:val="1"/>
          <w:sz w:val="22"/>
          <w:szCs w:val="22"/>
          <w:highlight w:val="none"/>
          <w:lang w:eastAsia="zh-CN"/>
        </w:rPr>
      </w:pPr>
      <w:r>
        <w:rPr>
          <w:rFonts w:hint="eastAsia" w:ascii="新宋体" w:hAnsi="新宋体" w:eastAsia="新宋体" w:cs="新宋体"/>
          <w:b w:val="0"/>
          <w:bCs/>
          <w:color w:val="auto"/>
          <w:kern w:val="1"/>
          <w:sz w:val="22"/>
          <w:szCs w:val="22"/>
          <w:highlight w:val="none"/>
          <w:lang w:eastAsia="zh-CN"/>
        </w:rPr>
        <w:t>（六）本项目配备生产设施、物资清单</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七、维养费用及支付方式</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519" w:firstLineChars="236"/>
        <w:textAlignment w:val="auto"/>
        <w:rPr>
          <w:rFonts w:hint="eastAsia" w:ascii="新宋体" w:hAnsi="新宋体" w:eastAsia="新宋体" w:cs="新宋体"/>
          <w:b w:val="0"/>
          <w:bCs/>
          <w:color w:val="auto"/>
          <w:sz w:val="22"/>
          <w:szCs w:val="22"/>
          <w:highlight w:val="none"/>
          <w:u w:val="single"/>
          <w:lang w:eastAsia="zh-CN"/>
        </w:rPr>
      </w:pPr>
      <w:r>
        <w:rPr>
          <w:rFonts w:hint="eastAsia" w:ascii="新宋体" w:hAnsi="新宋体" w:eastAsia="新宋体" w:cs="新宋体"/>
          <w:b w:val="0"/>
          <w:bCs/>
          <w:color w:val="auto"/>
          <w:sz w:val="22"/>
          <w:szCs w:val="22"/>
          <w:highlight w:val="none"/>
        </w:rPr>
        <w:t>1</w:t>
      </w:r>
      <w:r>
        <w:rPr>
          <w:rFonts w:hint="eastAsia" w:ascii="新宋体" w:hAnsi="新宋体" w:eastAsia="新宋体" w:cs="新宋体"/>
          <w:b w:val="0"/>
          <w:bCs/>
          <w:color w:val="auto"/>
          <w:sz w:val="22"/>
          <w:szCs w:val="22"/>
          <w:highlight w:val="none"/>
          <w:lang w:eastAsia="zh-CN"/>
        </w:rPr>
        <w:t>、</w:t>
      </w:r>
      <w:r>
        <w:rPr>
          <w:rFonts w:hint="eastAsia" w:ascii="新宋体" w:hAnsi="新宋体" w:eastAsia="新宋体" w:cs="新宋体"/>
          <w:b w:val="0"/>
          <w:bCs/>
          <w:color w:val="auto"/>
          <w:sz w:val="22"/>
          <w:szCs w:val="22"/>
          <w:highlight w:val="none"/>
        </w:rPr>
        <w:t>合同总价：</w:t>
      </w:r>
      <w:r>
        <w:rPr>
          <w:rFonts w:hint="eastAsia" w:ascii="新宋体" w:hAnsi="新宋体" w:eastAsia="新宋体" w:cs="新宋体"/>
          <w:b w:val="0"/>
          <w:bCs/>
          <w:color w:val="auto"/>
          <w:sz w:val="22"/>
          <w:szCs w:val="22"/>
          <w:highlight w:val="none"/>
          <w:u w:val="single"/>
        </w:rPr>
        <w:t xml:space="preserve">大写：        元整，小写：￥       </w:t>
      </w:r>
      <w:r>
        <w:rPr>
          <w:rFonts w:hint="eastAsia" w:ascii="新宋体" w:hAnsi="新宋体" w:eastAsia="新宋体" w:cs="新宋体"/>
          <w:b w:val="0"/>
          <w:bCs/>
          <w:color w:val="auto"/>
          <w:sz w:val="22"/>
          <w:szCs w:val="22"/>
          <w:highlight w:val="none"/>
          <w:u w:val="single"/>
          <w:lang w:eastAsia="zh-CN"/>
        </w:rPr>
        <w:t>。</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737" w:firstLineChars="335"/>
        <w:textAlignment w:val="auto"/>
        <w:rPr>
          <w:rFonts w:hint="eastAsia" w:ascii="新宋体" w:hAnsi="新宋体" w:eastAsia="新宋体" w:cs="新宋体"/>
          <w:b w:val="0"/>
          <w:bCs/>
          <w:color w:val="auto"/>
          <w:sz w:val="22"/>
          <w:szCs w:val="22"/>
          <w:highlight w:val="none"/>
          <w:u w:val="single"/>
        </w:rPr>
      </w:pPr>
      <w:r>
        <w:rPr>
          <w:rFonts w:hint="eastAsia" w:ascii="新宋体" w:hAnsi="新宋体" w:eastAsia="新宋体" w:cs="新宋体"/>
          <w:b w:val="0"/>
          <w:bCs/>
          <w:color w:val="auto"/>
          <w:sz w:val="22"/>
          <w:szCs w:val="22"/>
          <w:highlight w:val="none"/>
          <w:lang w:eastAsia="zh-CN"/>
        </w:rPr>
        <w:t>（其中，</w:t>
      </w:r>
      <w:r>
        <w:rPr>
          <w:rFonts w:hint="eastAsia" w:ascii="新宋体" w:hAnsi="新宋体" w:eastAsia="新宋体" w:cs="新宋体"/>
          <w:b w:val="0"/>
          <w:bCs/>
          <w:color w:val="auto"/>
          <w:sz w:val="22"/>
          <w:szCs w:val="22"/>
          <w:highlight w:val="none"/>
        </w:rPr>
        <w:t>每年日常维养费用：</w:t>
      </w:r>
      <w:r>
        <w:rPr>
          <w:rFonts w:hint="eastAsia" w:ascii="新宋体" w:hAnsi="新宋体" w:eastAsia="新宋体" w:cs="新宋体"/>
          <w:b w:val="0"/>
          <w:bCs/>
          <w:color w:val="auto"/>
          <w:sz w:val="22"/>
          <w:szCs w:val="22"/>
          <w:highlight w:val="none"/>
          <w:u w:val="single"/>
        </w:rPr>
        <w:t>大写：        元整，小写：￥     ；</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737" w:firstLineChars="335"/>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暂估价：</w:t>
      </w:r>
      <w:r>
        <w:rPr>
          <w:rFonts w:hint="eastAsia" w:ascii="新宋体" w:hAnsi="新宋体" w:eastAsia="新宋体" w:cs="新宋体"/>
          <w:b w:val="0"/>
          <w:bCs/>
          <w:color w:val="auto"/>
          <w:sz w:val="22"/>
          <w:szCs w:val="22"/>
          <w:highlight w:val="none"/>
          <w:u w:val="single"/>
        </w:rPr>
        <w:t xml:space="preserve">大写：         ，小写：￥       </w:t>
      </w:r>
      <w:r>
        <w:rPr>
          <w:rFonts w:hint="eastAsia" w:ascii="新宋体" w:hAnsi="新宋体" w:eastAsia="新宋体" w:cs="新宋体"/>
          <w:b w:val="0"/>
          <w:bCs/>
          <w:color w:val="auto"/>
          <w:sz w:val="22"/>
          <w:szCs w:val="22"/>
          <w:highlight w:val="none"/>
        </w:rPr>
        <w:t>。</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737" w:firstLineChars="335"/>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暂列金：</w:t>
      </w:r>
      <w:r>
        <w:rPr>
          <w:rFonts w:hint="eastAsia" w:ascii="新宋体" w:hAnsi="新宋体" w:eastAsia="新宋体" w:cs="新宋体"/>
          <w:b w:val="0"/>
          <w:bCs/>
          <w:color w:val="auto"/>
          <w:sz w:val="22"/>
          <w:szCs w:val="22"/>
          <w:highlight w:val="none"/>
          <w:u w:val="single"/>
        </w:rPr>
        <w:t xml:space="preserve">大写：         ，小写：￥       </w:t>
      </w:r>
      <w:r>
        <w:rPr>
          <w:rFonts w:hint="eastAsia" w:ascii="新宋体" w:hAnsi="新宋体" w:eastAsia="新宋体" w:cs="新宋体"/>
          <w:b w:val="0"/>
          <w:bCs/>
          <w:color w:val="auto"/>
          <w:sz w:val="22"/>
          <w:szCs w:val="22"/>
          <w:highlight w:val="none"/>
        </w:rPr>
        <w:t>。</w:t>
      </w:r>
      <w:r>
        <w:rPr>
          <w:rFonts w:hint="eastAsia" w:ascii="新宋体" w:hAnsi="新宋体" w:eastAsia="新宋体" w:cs="新宋体"/>
          <w:b w:val="0"/>
          <w:bCs/>
          <w:color w:val="auto"/>
          <w:sz w:val="22"/>
          <w:szCs w:val="22"/>
          <w:highlight w:val="none"/>
          <w:lang w:eastAsia="zh-CN"/>
        </w:rPr>
        <w:t>）</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737" w:firstLineChars="335"/>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除本合同或补充协议明确约定可以另行收取的费用外，所有维养费用均包括在内，乙方不得另行向甲方收取任何费用。</w:t>
      </w:r>
    </w:p>
    <w:p>
      <w:pPr>
        <w:keepNext w:val="0"/>
        <w:keepLines w:val="0"/>
        <w:pageBreakBefore w:val="0"/>
        <w:widowControl w:val="0"/>
        <w:kinsoku/>
        <w:wordWrap/>
        <w:overflowPunct/>
        <w:topLinePunct w:val="0"/>
        <w:autoSpaceDE/>
        <w:autoSpaceDN/>
        <w:bidi w:val="0"/>
        <w:adjustRightInd/>
        <w:snapToGrid/>
        <w:spacing w:beforeAutospacing="0" w:line="460" w:lineRule="exact"/>
        <w:ind w:right="0" w:rightChars="0" w:firstLine="440" w:firstLineChars="200"/>
        <w:jc w:val="both"/>
        <w:textAlignment w:val="auto"/>
        <w:outlineLvl w:val="9"/>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服务费按月支付。甲方每月按照《东瓯大桥设施维养考核办法》对乙方工作进行考核，甲方根据考核结果按月向乙方支付当月服务费用。</w:t>
      </w:r>
    </w:p>
    <w:p>
      <w:pPr>
        <w:pStyle w:val="28"/>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left="0" w:leftChars="0"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合同周期末甲方根据《温州市级政府采购项目履约验收管理暂行办法》对乙方的合同履行情况进行验收。</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519" w:firstLineChars="236"/>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lang w:val="en-US" w:eastAsia="zh-CN"/>
        </w:rPr>
        <w:t>3</w:t>
      </w:r>
      <w:r>
        <w:rPr>
          <w:rFonts w:hint="eastAsia" w:ascii="新宋体" w:hAnsi="新宋体" w:eastAsia="新宋体" w:cs="新宋体"/>
          <w:b w:val="0"/>
          <w:bCs/>
          <w:color w:val="auto"/>
          <w:sz w:val="22"/>
          <w:szCs w:val="22"/>
          <w:highlight w:val="none"/>
          <w:lang w:eastAsia="zh-CN"/>
        </w:rPr>
        <w:t>、下列内容不包括在本合同日常维养费用内，在暂估价或暂列金中支出，乙方应在发生费用当月向甲方提出申请，甲方应将经审核的费用与当年年终设施日常维护费用一并支付。</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519" w:firstLineChars="236"/>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lang w:val="en-US" w:eastAsia="zh-CN"/>
        </w:rPr>
        <w:t>3</w:t>
      </w:r>
      <w:r>
        <w:rPr>
          <w:rFonts w:hint="eastAsia" w:ascii="新宋体" w:hAnsi="新宋体" w:eastAsia="新宋体" w:cs="新宋体"/>
          <w:b w:val="0"/>
          <w:bCs/>
          <w:color w:val="auto"/>
          <w:sz w:val="22"/>
          <w:szCs w:val="22"/>
          <w:highlight w:val="none"/>
        </w:rPr>
        <w:t>.1不可抗力或非乙方人为因素造成设施损坏需抢修、动态监测系统维修，经甲方核实同意发生的费用。</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519" w:firstLineChars="236"/>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lang w:val="en-US" w:eastAsia="zh-CN"/>
        </w:rPr>
        <w:t>3.2配合甲方完成本合同约定养护内容以外工作所发生的费用。</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519" w:firstLineChars="236"/>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注：以上所列内容所产生的费用，由乙方按照合理的成本与利润构成原则，参考现行计价依据和当时当地市场价格按实</w:t>
      </w:r>
      <w:r>
        <w:rPr>
          <w:rFonts w:hint="eastAsia" w:ascii="新宋体" w:hAnsi="新宋体" w:eastAsia="新宋体" w:cs="新宋体"/>
          <w:b w:val="0"/>
          <w:bCs/>
          <w:color w:val="auto"/>
          <w:sz w:val="22"/>
          <w:szCs w:val="22"/>
          <w:highlight w:val="none"/>
          <w:lang w:eastAsia="zh-CN"/>
        </w:rPr>
        <w:t>办理</w:t>
      </w:r>
      <w:r>
        <w:rPr>
          <w:rFonts w:hint="eastAsia" w:ascii="新宋体" w:hAnsi="新宋体" w:eastAsia="新宋体" w:cs="新宋体"/>
          <w:b w:val="0"/>
          <w:bCs/>
          <w:color w:val="auto"/>
          <w:sz w:val="22"/>
          <w:szCs w:val="22"/>
          <w:highlight w:val="none"/>
        </w:rPr>
        <w:t>结算，可套定额部分费用按照中标价等比例下浮，市场价不予下浮，提出适当的单价，经甲方及审价部门审定后，作为价格结算依据，并进行结算。</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519" w:firstLineChars="236"/>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lang w:eastAsia="zh-CN"/>
        </w:rPr>
        <w:t>4、</w:t>
      </w:r>
      <w:r>
        <w:rPr>
          <w:rFonts w:hint="eastAsia" w:ascii="新宋体" w:hAnsi="新宋体" w:eastAsia="新宋体" w:cs="新宋体"/>
          <w:b w:val="0"/>
          <w:bCs/>
          <w:color w:val="auto"/>
          <w:sz w:val="22"/>
          <w:szCs w:val="22"/>
          <w:highlight w:val="none"/>
        </w:rPr>
        <w:t>若设施量发生变化，则甲乙</w:t>
      </w:r>
      <w:r>
        <w:rPr>
          <w:rFonts w:hint="eastAsia" w:ascii="新宋体" w:hAnsi="新宋体" w:eastAsia="新宋体" w:cs="新宋体"/>
          <w:b w:val="0"/>
          <w:bCs/>
          <w:color w:val="auto"/>
          <w:sz w:val="22"/>
          <w:szCs w:val="22"/>
          <w:highlight w:val="none"/>
          <w:lang w:eastAsia="zh-CN"/>
        </w:rPr>
        <w:t>双</w:t>
      </w:r>
      <w:r>
        <w:rPr>
          <w:rFonts w:hint="eastAsia" w:ascii="新宋体" w:hAnsi="新宋体" w:eastAsia="新宋体" w:cs="新宋体"/>
          <w:b w:val="0"/>
          <w:bCs/>
          <w:color w:val="auto"/>
          <w:sz w:val="22"/>
          <w:szCs w:val="22"/>
          <w:highlight w:val="none"/>
        </w:rPr>
        <w:t>方应签订</w:t>
      </w:r>
      <w:r>
        <w:rPr>
          <w:rFonts w:hint="eastAsia" w:ascii="新宋体" w:hAnsi="新宋体" w:eastAsia="新宋体" w:cs="新宋体"/>
          <w:b w:val="0"/>
          <w:bCs/>
          <w:color w:val="auto"/>
          <w:sz w:val="22"/>
          <w:szCs w:val="22"/>
          <w:highlight w:val="none"/>
          <w:lang w:eastAsia="zh-CN"/>
        </w:rPr>
        <w:t>补充合同</w:t>
      </w:r>
      <w:r>
        <w:rPr>
          <w:rFonts w:hint="eastAsia" w:ascii="新宋体" w:hAnsi="新宋体" w:eastAsia="新宋体" w:cs="新宋体"/>
          <w:b w:val="0"/>
          <w:bCs/>
          <w:color w:val="auto"/>
          <w:sz w:val="22"/>
          <w:szCs w:val="22"/>
          <w:highlight w:val="none"/>
        </w:rPr>
        <w:t>，相应调整合同养护费用；增加养护费用不得超过合同金额的10%。</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519" w:firstLineChars="236"/>
        <w:textAlignment w:val="auto"/>
        <w:rPr>
          <w:rFonts w:hint="default"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5</w:t>
      </w:r>
      <w:r>
        <w:rPr>
          <w:rFonts w:hint="eastAsia" w:ascii="新宋体" w:hAnsi="新宋体" w:eastAsia="新宋体" w:cs="新宋体"/>
          <w:b w:val="0"/>
          <w:bCs/>
          <w:color w:val="auto"/>
          <w:sz w:val="22"/>
          <w:szCs w:val="22"/>
          <w:highlight w:val="none"/>
          <w:lang w:eastAsia="zh-CN"/>
        </w:rPr>
        <w:t>、</w:t>
      </w:r>
      <w:r>
        <w:rPr>
          <w:rFonts w:hint="eastAsia" w:ascii="新宋体" w:hAnsi="新宋体" w:eastAsia="新宋体" w:cs="新宋体"/>
          <w:b w:val="0"/>
          <w:bCs/>
          <w:color w:val="auto"/>
          <w:sz w:val="22"/>
          <w:szCs w:val="22"/>
          <w:highlight w:val="none"/>
        </w:rPr>
        <w:t>合同价格除按本合同规定外，不能作任何调整，任何计算错误皆视为已获</w:t>
      </w:r>
      <w:r>
        <w:rPr>
          <w:rFonts w:hint="eastAsia" w:ascii="新宋体" w:hAnsi="新宋体" w:eastAsia="新宋体" w:cs="新宋体"/>
          <w:b w:val="0"/>
          <w:bCs/>
          <w:color w:val="auto"/>
          <w:sz w:val="22"/>
          <w:szCs w:val="22"/>
          <w:highlight w:val="none"/>
          <w:lang w:eastAsia="zh-CN"/>
        </w:rPr>
        <w:t>双</w:t>
      </w:r>
      <w:r>
        <w:rPr>
          <w:rFonts w:hint="eastAsia" w:ascii="新宋体" w:hAnsi="新宋体" w:eastAsia="新宋体" w:cs="新宋体"/>
          <w:b w:val="0"/>
          <w:bCs/>
          <w:color w:val="auto"/>
          <w:sz w:val="22"/>
          <w:szCs w:val="22"/>
          <w:highlight w:val="none"/>
        </w:rPr>
        <w:t>方接受：合同价亦不会因人工、物价或汇率等的变动而作任何调整。</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八、维养期限</w:t>
      </w:r>
    </w:p>
    <w:p>
      <w:pPr>
        <w:keepNext w:val="0"/>
        <w:keepLines w:val="0"/>
        <w:pageBreakBefore w:val="0"/>
        <w:widowControl w:val="0"/>
        <w:kinsoku/>
        <w:wordWrap/>
        <w:overflowPunct/>
        <w:topLinePunct w:val="0"/>
        <w:autoSpaceDE/>
        <w:autoSpaceDN/>
        <w:bidi w:val="0"/>
        <w:adjustRightInd/>
        <w:snapToGrid w:val="0"/>
        <w:spacing w:line="460" w:lineRule="exact"/>
        <w:ind w:left="124" w:leftChars="59" w:firstLine="538" w:firstLineChars="236"/>
        <w:jc w:val="left"/>
        <w:textAlignment w:val="auto"/>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pacing w:val="4"/>
          <w:kern w:val="0"/>
          <w:sz w:val="22"/>
          <w:szCs w:val="22"/>
          <w:highlight w:val="none"/>
        </w:rPr>
        <w:t>合同期为</w:t>
      </w:r>
      <w:r>
        <w:rPr>
          <w:rFonts w:hint="eastAsia" w:ascii="新宋体" w:hAnsi="新宋体" w:eastAsia="新宋体" w:cs="新宋体"/>
          <w:color w:val="auto"/>
          <w:spacing w:val="4"/>
          <w:kern w:val="0"/>
          <w:sz w:val="22"/>
          <w:szCs w:val="22"/>
          <w:highlight w:val="none"/>
          <w:u w:val="single"/>
        </w:rPr>
        <w:t xml:space="preserve"> </w:t>
      </w:r>
      <w:r>
        <w:rPr>
          <w:rFonts w:hint="eastAsia" w:ascii="新宋体" w:hAnsi="新宋体" w:eastAsia="新宋体" w:cs="新宋体"/>
          <w:color w:val="auto"/>
          <w:spacing w:val="4"/>
          <w:kern w:val="0"/>
          <w:sz w:val="22"/>
          <w:szCs w:val="22"/>
          <w:highlight w:val="none"/>
          <w:u w:val="single"/>
          <w:lang w:val="en-US" w:eastAsia="zh-CN"/>
        </w:rPr>
        <w:t>3</w:t>
      </w:r>
      <w:r>
        <w:rPr>
          <w:rFonts w:hint="eastAsia" w:ascii="新宋体" w:hAnsi="新宋体" w:eastAsia="新宋体" w:cs="新宋体"/>
          <w:color w:val="auto"/>
          <w:spacing w:val="4"/>
          <w:kern w:val="0"/>
          <w:sz w:val="22"/>
          <w:szCs w:val="22"/>
          <w:highlight w:val="none"/>
          <w:u w:val="single"/>
        </w:rPr>
        <w:t xml:space="preserve"> </w:t>
      </w:r>
      <w:r>
        <w:rPr>
          <w:rFonts w:hint="eastAsia" w:ascii="新宋体" w:hAnsi="新宋体" w:eastAsia="新宋体" w:cs="新宋体"/>
          <w:color w:val="auto"/>
          <w:spacing w:val="4"/>
          <w:kern w:val="0"/>
          <w:sz w:val="22"/>
          <w:szCs w:val="22"/>
          <w:highlight w:val="none"/>
        </w:rPr>
        <w:t>年，自</w:t>
      </w:r>
      <w:r>
        <w:rPr>
          <w:rFonts w:hint="eastAsia" w:ascii="新宋体" w:hAnsi="新宋体" w:eastAsia="新宋体" w:cs="新宋体"/>
          <w:color w:val="auto"/>
          <w:spacing w:val="4"/>
          <w:kern w:val="0"/>
          <w:sz w:val="22"/>
          <w:szCs w:val="22"/>
          <w:highlight w:val="none"/>
          <w:u w:val="single"/>
        </w:rPr>
        <w:t xml:space="preserve">     </w:t>
      </w:r>
      <w:r>
        <w:rPr>
          <w:rFonts w:hint="eastAsia" w:ascii="新宋体" w:hAnsi="新宋体" w:eastAsia="新宋体" w:cs="新宋体"/>
          <w:color w:val="auto"/>
          <w:spacing w:val="4"/>
          <w:kern w:val="0"/>
          <w:sz w:val="22"/>
          <w:szCs w:val="22"/>
          <w:highlight w:val="none"/>
        </w:rPr>
        <w:t>年</w:t>
      </w:r>
      <w:r>
        <w:rPr>
          <w:rFonts w:hint="eastAsia" w:ascii="新宋体" w:hAnsi="新宋体" w:eastAsia="新宋体" w:cs="新宋体"/>
          <w:color w:val="auto"/>
          <w:spacing w:val="4"/>
          <w:kern w:val="0"/>
          <w:sz w:val="22"/>
          <w:szCs w:val="22"/>
          <w:highlight w:val="none"/>
          <w:u w:val="single"/>
        </w:rPr>
        <w:t xml:space="preserve">    </w:t>
      </w:r>
      <w:r>
        <w:rPr>
          <w:rFonts w:hint="eastAsia" w:ascii="新宋体" w:hAnsi="新宋体" w:eastAsia="新宋体" w:cs="新宋体"/>
          <w:color w:val="auto"/>
          <w:spacing w:val="4"/>
          <w:kern w:val="0"/>
          <w:sz w:val="22"/>
          <w:szCs w:val="22"/>
          <w:highlight w:val="none"/>
        </w:rPr>
        <w:t>月</w:t>
      </w:r>
      <w:r>
        <w:rPr>
          <w:rFonts w:hint="eastAsia" w:ascii="新宋体" w:hAnsi="新宋体" w:eastAsia="新宋体" w:cs="新宋体"/>
          <w:color w:val="auto"/>
          <w:spacing w:val="4"/>
          <w:kern w:val="0"/>
          <w:sz w:val="22"/>
          <w:szCs w:val="22"/>
          <w:highlight w:val="none"/>
          <w:u w:val="single"/>
        </w:rPr>
        <w:t xml:space="preserve">   </w:t>
      </w:r>
      <w:r>
        <w:rPr>
          <w:rFonts w:hint="eastAsia" w:ascii="新宋体" w:hAnsi="新宋体" w:eastAsia="新宋体" w:cs="新宋体"/>
          <w:color w:val="auto"/>
          <w:spacing w:val="4"/>
          <w:kern w:val="0"/>
          <w:sz w:val="22"/>
          <w:szCs w:val="22"/>
          <w:highlight w:val="none"/>
        </w:rPr>
        <w:t>日0时至</w:t>
      </w:r>
      <w:r>
        <w:rPr>
          <w:rFonts w:hint="eastAsia" w:ascii="新宋体" w:hAnsi="新宋体" w:eastAsia="新宋体" w:cs="新宋体"/>
          <w:color w:val="auto"/>
          <w:spacing w:val="4"/>
          <w:kern w:val="0"/>
          <w:sz w:val="22"/>
          <w:szCs w:val="22"/>
          <w:highlight w:val="none"/>
          <w:u w:val="single"/>
        </w:rPr>
        <w:t xml:space="preserve">     </w:t>
      </w:r>
      <w:r>
        <w:rPr>
          <w:rFonts w:hint="eastAsia" w:ascii="新宋体" w:hAnsi="新宋体" w:eastAsia="新宋体" w:cs="新宋体"/>
          <w:color w:val="auto"/>
          <w:spacing w:val="4"/>
          <w:kern w:val="0"/>
          <w:sz w:val="22"/>
          <w:szCs w:val="22"/>
          <w:highlight w:val="none"/>
        </w:rPr>
        <w:t xml:space="preserve"> 年</w:t>
      </w:r>
      <w:r>
        <w:rPr>
          <w:rFonts w:hint="eastAsia" w:ascii="新宋体" w:hAnsi="新宋体" w:eastAsia="新宋体" w:cs="新宋体"/>
          <w:color w:val="auto"/>
          <w:spacing w:val="4"/>
          <w:kern w:val="0"/>
          <w:sz w:val="22"/>
          <w:szCs w:val="22"/>
          <w:highlight w:val="none"/>
          <w:u w:val="single"/>
        </w:rPr>
        <w:t xml:space="preserve">   </w:t>
      </w:r>
      <w:r>
        <w:rPr>
          <w:rFonts w:hint="eastAsia" w:ascii="新宋体" w:hAnsi="新宋体" w:eastAsia="新宋体" w:cs="新宋体"/>
          <w:color w:val="auto"/>
          <w:spacing w:val="4"/>
          <w:kern w:val="0"/>
          <w:sz w:val="22"/>
          <w:szCs w:val="22"/>
          <w:highlight w:val="none"/>
        </w:rPr>
        <w:t>月</w:t>
      </w:r>
      <w:r>
        <w:rPr>
          <w:rFonts w:hint="eastAsia" w:ascii="新宋体" w:hAnsi="新宋体" w:eastAsia="新宋体" w:cs="新宋体"/>
          <w:color w:val="auto"/>
          <w:spacing w:val="4"/>
          <w:kern w:val="0"/>
          <w:sz w:val="22"/>
          <w:szCs w:val="22"/>
          <w:highlight w:val="none"/>
          <w:u w:val="single"/>
        </w:rPr>
        <w:t xml:space="preserve">    </w:t>
      </w:r>
      <w:r>
        <w:rPr>
          <w:rFonts w:hint="eastAsia" w:ascii="新宋体" w:hAnsi="新宋体" w:eastAsia="新宋体" w:cs="新宋体"/>
          <w:color w:val="auto"/>
          <w:spacing w:val="4"/>
          <w:kern w:val="0"/>
          <w:sz w:val="22"/>
          <w:szCs w:val="22"/>
          <w:highlight w:val="none"/>
        </w:rPr>
        <w:t>日24时止。</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default"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 xml:space="preserve">九、甲方的权利与义务 </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519" w:firstLineChars="236"/>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一）对乙方日常维养的质量、安全工作及资料台帐进行定期或不定期的检查，并对设施现场状况和日常管理工作情况进行月度考核；发现乙方未按规范要求进行养护或设施处于不良状况时，应立即要求乙方限期整改。</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519" w:firstLineChars="236"/>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（二）审核乙方编制的相关管理制度</w:t>
      </w:r>
      <w:r>
        <w:rPr>
          <w:rFonts w:hint="eastAsia" w:ascii="新宋体" w:hAnsi="新宋体" w:eastAsia="新宋体" w:cs="新宋体"/>
          <w:b w:val="0"/>
          <w:bCs/>
          <w:color w:val="auto"/>
          <w:sz w:val="22"/>
          <w:szCs w:val="22"/>
          <w:highlight w:val="none"/>
          <w:lang w:eastAsia="zh-CN"/>
        </w:rPr>
        <w:t>、</w:t>
      </w:r>
      <w:r>
        <w:rPr>
          <w:rFonts w:hint="eastAsia" w:ascii="新宋体" w:hAnsi="新宋体" w:eastAsia="新宋体" w:cs="新宋体"/>
          <w:b w:val="0"/>
          <w:bCs/>
          <w:color w:val="auto"/>
          <w:sz w:val="22"/>
          <w:szCs w:val="22"/>
          <w:highlight w:val="none"/>
        </w:rPr>
        <w:t>养护维修作业施工组织设计及交通组织设计、</w:t>
      </w:r>
      <w:r>
        <w:rPr>
          <w:rFonts w:hint="eastAsia" w:ascii="新宋体" w:hAnsi="新宋体" w:eastAsia="新宋体" w:cs="新宋体"/>
          <w:b w:val="0"/>
          <w:bCs/>
          <w:color w:val="auto"/>
          <w:sz w:val="22"/>
          <w:szCs w:val="22"/>
          <w:highlight w:val="none"/>
          <w:lang w:eastAsia="zh-CN"/>
        </w:rPr>
        <w:t>东瓯</w:t>
      </w:r>
      <w:r>
        <w:rPr>
          <w:rFonts w:hint="eastAsia" w:ascii="新宋体" w:hAnsi="新宋体" w:eastAsia="新宋体" w:cs="新宋体"/>
          <w:b w:val="0"/>
          <w:bCs/>
          <w:color w:val="auto"/>
          <w:sz w:val="22"/>
          <w:szCs w:val="22"/>
          <w:highlight w:val="none"/>
        </w:rPr>
        <w:t>大桥及其附属设施养护手册、应急预案、年度和月度维养计划等，检查维养计划执行情况。</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519" w:firstLineChars="236"/>
        <w:textAlignment w:val="auto"/>
        <w:rPr>
          <w:rFonts w:hint="eastAsia" w:ascii="新宋体" w:hAnsi="新宋体" w:eastAsia="新宋体" w:cs="新宋体"/>
          <w:b w:val="0"/>
          <w:bCs/>
          <w:color w:val="auto"/>
          <w:sz w:val="22"/>
          <w:szCs w:val="22"/>
          <w:highlight w:val="none"/>
          <w:lang w:eastAsia="zh-CN"/>
        </w:rPr>
      </w:pPr>
      <w:r>
        <w:rPr>
          <w:rFonts w:hint="eastAsia" w:ascii="新宋体" w:hAnsi="新宋体" w:eastAsia="新宋体" w:cs="新宋体"/>
          <w:b w:val="0"/>
          <w:bCs/>
          <w:color w:val="auto"/>
          <w:sz w:val="22"/>
          <w:szCs w:val="22"/>
          <w:highlight w:val="none"/>
        </w:rPr>
        <w:t>（三）在有必要的情况下，可出具的有效联系单要求乙方开展针对维养范围内设施开展日常维养工作内容范围外维修任务</w:t>
      </w:r>
      <w:r>
        <w:rPr>
          <w:rFonts w:hint="eastAsia" w:ascii="新宋体" w:hAnsi="新宋体" w:eastAsia="新宋体" w:cs="新宋体"/>
          <w:b w:val="0"/>
          <w:bCs/>
          <w:color w:val="auto"/>
          <w:sz w:val="22"/>
          <w:szCs w:val="22"/>
          <w:highlight w:val="none"/>
          <w:lang w:eastAsia="zh-CN"/>
        </w:rPr>
        <w:t>。</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519" w:firstLineChars="236"/>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（四）向乙方提供有关设施养护所需的竣工资料、规范性文件和考核办法，下发各类报表样式，指导乙方健全内业资料。</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519" w:firstLineChars="236"/>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（五）帮助协调处理养护工作中与相关单位的协调配合，以及人为因素、自然因素造成的设施损坏和侵害事件。</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519" w:firstLineChars="236"/>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（六）对养护工作中采用新工艺、新材料、新方法的适用性、安全性进行审查。</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519" w:firstLineChars="236"/>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（七）有权要求乙方撤换不能胜任工作或玩忽职守、不负责的工作人员。</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519" w:firstLineChars="236"/>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w:t>
      </w:r>
      <w:r>
        <w:rPr>
          <w:rFonts w:hint="eastAsia" w:ascii="新宋体" w:hAnsi="新宋体" w:eastAsia="新宋体" w:cs="新宋体"/>
          <w:b w:val="0"/>
          <w:bCs/>
          <w:color w:val="auto"/>
          <w:sz w:val="22"/>
          <w:szCs w:val="22"/>
          <w:highlight w:val="none"/>
          <w:lang w:val="en-US" w:eastAsia="zh-CN"/>
        </w:rPr>
        <w:t>八</w:t>
      </w:r>
      <w:r>
        <w:rPr>
          <w:rFonts w:hint="eastAsia" w:ascii="新宋体" w:hAnsi="新宋体" w:eastAsia="新宋体" w:cs="新宋体"/>
          <w:b w:val="0"/>
          <w:bCs/>
          <w:color w:val="auto"/>
          <w:sz w:val="22"/>
          <w:szCs w:val="22"/>
          <w:highlight w:val="none"/>
        </w:rPr>
        <w:t>）应根据考核结果</w:t>
      </w:r>
      <w:r>
        <w:rPr>
          <w:rFonts w:hint="eastAsia" w:ascii="新宋体" w:hAnsi="新宋体" w:eastAsia="新宋体" w:cs="新宋体"/>
          <w:b w:val="0"/>
          <w:bCs/>
          <w:color w:val="auto"/>
          <w:sz w:val="22"/>
          <w:szCs w:val="22"/>
          <w:highlight w:val="none"/>
          <w:lang w:eastAsia="zh-CN"/>
        </w:rPr>
        <w:t>及合同约定</w:t>
      </w:r>
      <w:r>
        <w:rPr>
          <w:rFonts w:hint="eastAsia" w:ascii="新宋体" w:hAnsi="新宋体" w:eastAsia="新宋体" w:cs="新宋体"/>
          <w:b w:val="0"/>
          <w:bCs/>
          <w:color w:val="auto"/>
          <w:sz w:val="22"/>
          <w:szCs w:val="22"/>
          <w:highlight w:val="none"/>
        </w:rPr>
        <w:t>，向乙方支付维养费用。</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十、乙方的权利、职责与义务</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519" w:firstLineChars="236"/>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（一）维养费用。按照本合同确定的维养范围，根据考核情况取得相应的维养费用。</w:t>
      </w:r>
      <w:r>
        <w:rPr>
          <w:rFonts w:hint="eastAsia" w:ascii="新宋体" w:hAnsi="新宋体" w:eastAsia="新宋体" w:cs="新宋体"/>
          <w:b w:val="0"/>
          <w:bCs/>
          <w:color w:val="auto"/>
          <w:sz w:val="22"/>
          <w:szCs w:val="22"/>
          <w:highlight w:val="none"/>
          <w:lang w:eastAsia="zh-CN"/>
        </w:rPr>
        <w:t>按</w:t>
      </w:r>
      <w:r>
        <w:rPr>
          <w:rFonts w:hint="eastAsia" w:ascii="新宋体" w:hAnsi="新宋体" w:eastAsia="新宋体" w:cs="新宋体"/>
          <w:b w:val="0"/>
          <w:bCs/>
          <w:color w:val="auto"/>
          <w:sz w:val="22"/>
          <w:szCs w:val="22"/>
          <w:highlight w:val="none"/>
        </w:rPr>
        <w:t>甲方要求开展应急抢修</w:t>
      </w:r>
      <w:r>
        <w:rPr>
          <w:rFonts w:hint="eastAsia" w:ascii="新宋体" w:hAnsi="新宋体" w:eastAsia="新宋体" w:cs="新宋体"/>
          <w:b w:val="0"/>
          <w:bCs/>
          <w:color w:val="auto"/>
          <w:sz w:val="22"/>
          <w:szCs w:val="22"/>
          <w:highlight w:val="none"/>
          <w:lang w:eastAsia="zh-CN"/>
        </w:rPr>
        <w:t>及指定维修任务</w:t>
      </w:r>
      <w:r>
        <w:rPr>
          <w:rFonts w:hint="eastAsia" w:ascii="新宋体" w:hAnsi="新宋体" w:eastAsia="新宋体" w:cs="新宋体"/>
          <w:b w:val="0"/>
          <w:bCs/>
          <w:color w:val="auto"/>
          <w:sz w:val="22"/>
          <w:szCs w:val="22"/>
          <w:highlight w:val="none"/>
        </w:rPr>
        <w:t>，并获得相应的费用。</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519" w:firstLineChars="236"/>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二）维养配备。按招标文件等要求配备技术熟练、经验丰富的项目负责人、技术负责人、各类专业技术人员和技工，并保持稳定；如果需要更换项目负责人或项目技术负责人，应事先报请甲方同意。合同期间应保证与合同要求相匹配的生产设备、生产设施、维修物料、应急物资，在规定时限内完成维养任务，并建立使用台账。</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519" w:firstLineChars="236"/>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（三）维养计划与总结。编制年度、月度维养计划，经甲方审定后安排日常维养工作，在每月月底前报送当月完成的工作量和下月的计划。每年末上报年度工作总结、设施运行报告和下一年度工作计划。</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519" w:firstLineChars="236"/>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（四）日常维养。按照本合同的各项规定，精心组织维养，掌握合同维养范围内设施状况，及时发现、防止和处理设施缺陷，确保设施完好和安全运行。</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519" w:firstLineChars="236"/>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（五）投诉处理。及时处理各类投诉、媒体曝光、上级督查、12345、数字城管等交办事项，保证办结率和回复率达到100%，满意率98%以上。</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519" w:firstLineChars="236"/>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（六）维养技术。维养作业中，力求采用成熟的工艺、材料和方法，对全部现场作业和施工方法的适应、稳妥和安全性承担全部责任。</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519" w:firstLineChars="236"/>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七）在实施和完成本合同的养护作业过程中，遵守国家、省、市颁布的法律、法令、条例以及有关规定，遵守有关部门的规章细则等，养护操作中涉及的有关审批及协调手续由乙方办理，由于乙方违反上述有关规定而导致各种罚款和责任，由乙方自行负责。</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519" w:firstLineChars="236"/>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（八）乙方须在合同签订后一个月内向</w:t>
      </w:r>
      <w:r>
        <w:rPr>
          <w:rFonts w:hint="eastAsia" w:ascii="新宋体" w:hAnsi="新宋体" w:eastAsia="新宋体" w:cs="新宋体"/>
          <w:b w:val="0"/>
          <w:bCs/>
          <w:color w:val="auto"/>
          <w:sz w:val="22"/>
          <w:szCs w:val="22"/>
          <w:highlight w:val="none"/>
          <w:lang w:eastAsia="zh-CN"/>
        </w:rPr>
        <w:t>甲方</w:t>
      </w:r>
      <w:r>
        <w:rPr>
          <w:rFonts w:hint="eastAsia" w:ascii="新宋体" w:hAnsi="新宋体" w:eastAsia="新宋体" w:cs="新宋体"/>
          <w:b w:val="0"/>
          <w:bCs/>
          <w:color w:val="auto"/>
          <w:sz w:val="22"/>
          <w:szCs w:val="22"/>
          <w:highlight w:val="none"/>
        </w:rPr>
        <w:t>提交符合</w:t>
      </w:r>
      <w:r>
        <w:rPr>
          <w:rFonts w:hint="eastAsia" w:ascii="新宋体" w:hAnsi="新宋体" w:eastAsia="新宋体" w:cs="新宋体"/>
          <w:b w:val="0"/>
          <w:bCs/>
          <w:color w:val="auto"/>
          <w:sz w:val="22"/>
          <w:szCs w:val="22"/>
          <w:highlight w:val="none"/>
          <w:lang w:eastAsia="zh-CN"/>
        </w:rPr>
        <w:t>《</w:t>
      </w:r>
      <w:r>
        <w:rPr>
          <w:rFonts w:hint="eastAsia" w:ascii="新宋体" w:hAnsi="新宋体" w:eastAsia="新宋体" w:cs="新宋体"/>
          <w:b w:val="0"/>
          <w:bCs/>
          <w:color w:val="auto"/>
          <w:sz w:val="22"/>
          <w:szCs w:val="22"/>
          <w:highlight w:val="none"/>
        </w:rPr>
        <w:t>台账资料整理规定</w:t>
      </w:r>
      <w:r>
        <w:rPr>
          <w:rFonts w:hint="eastAsia" w:ascii="新宋体" w:hAnsi="新宋体" w:eastAsia="新宋体" w:cs="新宋体"/>
          <w:b w:val="0"/>
          <w:bCs/>
          <w:color w:val="auto"/>
          <w:sz w:val="22"/>
          <w:szCs w:val="22"/>
          <w:highlight w:val="none"/>
          <w:lang w:eastAsia="zh-CN"/>
        </w:rPr>
        <w:t>》</w:t>
      </w:r>
      <w:r>
        <w:rPr>
          <w:rFonts w:hint="eastAsia" w:ascii="新宋体" w:hAnsi="新宋体" w:eastAsia="新宋体" w:cs="新宋体"/>
          <w:b w:val="0"/>
          <w:bCs/>
          <w:color w:val="auto"/>
          <w:sz w:val="22"/>
          <w:szCs w:val="22"/>
          <w:highlight w:val="none"/>
        </w:rPr>
        <w:t>要求的管理制度</w:t>
      </w:r>
      <w:r>
        <w:rPr>
          <w:rFonts w:hint="eastAsia" w:ascii="新宋体" w:hAnsi="新宋体" w:eastAsia="新宋体" w:cs="新宋体"/>
          <w:b w:val="0"/>
          <w:bCs/>
          <w:color w:val="auto"/>
          <w:sz w:val="22"/>
          <w:szCs w:val="22"/>
          <w:highlight w:val="none"/>
          <w:lang w:eastAsia="zh-CN"/>
        </w:rPr>
        <w:t>、</w:t>
      </w:r>
      <w:r>
        <w:rPr>
          <w:rFonts w:hint="eastAsia" w:ascii="新宋体" w:hAnsi="新宋体" w:eastAsia="新宋体" w:cs="新宋体"/>
          <w:b w:val="0"/>
          <w:bCs/>
          <w:color w:val="auto"/>
          <w:sz w:val="22"/>
          <w:szCs w:val="22"/>
          <w:highlight w:val="none"/>
        </w:rPr>
        <w:t>养护维修作业施工组织设计</w:t>
      </w:r>
      <w:r>
        <w:rPr>
          <w:rFonts w:hint="eastAsia" w:ascii="新宋体" w:hAnsi="新宋体" w:eastAsia="新宋体" w:cs="新宋体"/>
          <w:b w:val="0"/>
          <w:bCs/>
          <w:color w:val="auto"/>
          <w:sz w:val="22"/>
          <w:szCs w:val="22"/>
          <w:highlight w:val="none"/>
          <w:lang w:eastAsia="zh-CN"/>
        </w:rPr>
        <w:t>及交通组织设计</w:t>
      </w:r>
      <w:r>
        <w:rPr>
          <w:rFonts w:hint="eastAsia" w:ascii="新宋体" w:hAnsi="新宋体" w:eastAsia="新宋体" w:cs="新宋体"/>
          <w:b w:val="0"/>
          <w:bCs/>
          <w:color w:val="auto"/>
          <w:sz w:val="22"/>
          <w:szCs w:val="22"/>
          <w:highlight w:val="none"/>
        </w:rPr>
        <w:t>、</w:t>
      </w:r>
      <w:r>
        <w:rPr>
          <w:rFonts w:hint="eastAsia" w:ascii="新宋体" w:hAnsi="新宋体" w:eastAsia="新宋体" w:cs="新宋体"/>
          <w:b w:val="0"/>
          <w:bCs/>
          <w:color w:val="auto"/>
          <w:sz w:val="22"/>
          <w:szCs w:val="22"/>
          <w:highlight w:val="none"/>
          <w:lang w:eastAsia="zh-CN"/>
        </w:rPr>
        <w:t>东瓯大桥及其附属设施养护手册</w:t>
      </w:r>
      <w:r>
        <w:rPr>
          <w:rFonts w:hint="eastAsia" w:ascii="新宋体" w:hAnsi="新宋体" w:eastAsia="新宋体" w:cs="新宋体"/>
          <w:b w:val="0"/>
          <w:bCs/>
          <w:color w:val="auto"/>
          <w:sz w:val="22"/>
          <w:szCs w:val="22"/>
          <w:highlight w:val="none"/>
        </w:rPr>
        <w:t>等。</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519" w:firstLineChars="236"/>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（九）乙方应运用甲方指定的信息系统开展</w:t>
      </w:r>
      <w:r>
        <w:rPr>
          <w:rFonts w:hint="eastAsia" w:ascii="新宋体" w:hAnsi="新宋体" w:eastAsia="新宋体" w:cs="新宋体"/>
          <w:b w:val="0"/>
          <w:bCs/>
          <w:color w:val="auto"/>
          <w:sz w:val="22"/>
          <w:szCs w:val="22"/>
          <w:highlight w:val="none"/>
          <w:lang w:eastAsia="zh-CN"/>
        </w:rPr>
        <w:t>东瓯</w:t>
      </w:r>
      <w:r>
        <w:rPr>
          <w:rFonts w:hint="eastAsia" w:ascii="新宋体" w:hAnsi="新宋体" w:eastAsia="新宋体" w:cs="新宋体"/>
          <w:b w:val="0"/>
          <w:bCs/>
          <w:color w:val="auto"/>
          <w:sz w:val="22"/>
          <w:szCs w:val="22"/>
          <w:highlight w:val="none"/>
        </w:rPr>
        <w:t>大桥日常维养工作。</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519" w:firstLineChars="236"/>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w:t>
      </w:r>
      <w:r>
        <w:rPr>
          <w:rFonts w:hint="eastAsia" w:ascii="新宋体" w:hAnsi="新宋体" w:eastAsia="新宋体" w:cs="新宋体"/>
          <w:b w:val="0"/>
          <w:bCs/>
          <w:color w:val="auto"/>
          <w:sz w:val="22"/>
          <w:szCs w:val="22"/>
          <w:highlight w:val="none"/>
          <w:lang w:eastAsia="zh-CN"/>
        </w:rPr>
        <w:t>十</w:t>
      </w:r>
      <w:r>
        <w:rPr>
          <w:rFonts w:hint="eastAsia" w:ascii="新宋体" w:hAnsi="新宋体" w:eastAsia="新宋体" w:cs="新宋体"/>
          <w:b w:val="0"/>
          <w:bCs/>
          <w:color w:val="auto"/>
          <w:sz w:val="22"/>
          <w:szCs w:val="22"/>
          <w:highlight w:val="none"/>
        </w:rPr>
        <w:t>）现场维养作业用电、用水由乙方自行解决、承担费用。</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519" w:firstLineChars="236"/>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w:t>
      </w:r>
      <w:r>
        <w:rPr>
          <w:rFonts w:hint="eastAsia" w:ascii="新宋体" w:hAnsi="新宋体" w:eastAsia="新宋体" w:cs="新宋体"/>
          <w:b w:val="0"/>
          <w:bCs/>
          <w:color w:val="auto"/>
          <w:sz w:val="22"/>
          <w:szCs w:val="22"/>
          <w:highlight w:val="none"/>
          <w:lang w:eastAsia="zh-CN"/>
        </w:rPr>
        <w:t>十一</w:t>
      </w:r>
      <w:r>
        <w:rPr>
          <w:rFonts w:hint="eastAsia" w:ascii="新宋体" w:hAnsi="新宋体" w:eastAsia="新宋体" w:cs="新宋体"/>
          <w:b w:val="0"/>
          <w:bCs/>
          <w:color w:val="auto"/>
          <w:sz w:val="22"/>
          <w:szCs w:val="22"/>
          <w:highlight w:val="none"/>
        </w:rPr>
        <w:t>）乙方有责任发现并及时制止本次招标范围内所有设施遭意外事故或人为等因素导致的损坏和侵害，做好调查、赔偿、修复等工作，并通知管理单位和相关部门。对在养护范围内，本次招标范围外的设施（如随桥（路）管线、井盖、标志标线等），有巡查、告知的责任。</w:t>
      </w:r>
      <w:r>
        <w:rPr>
          <w:rFonts w:hint="eastAsia" w:ascii="新宋体" w:hAnsi="新宋体" w:eastAsia="新宋体" w:cs="新宋体"/>
          <w:b w:val="0"/>
          <w:bCs/>
          <w:color w:val="auto"/>
          <w:sz w:val="22"/>
          <w:szCs w:val="22"/>
          <w:highlight w:val="none"/>
          <w:lang w:eastAsia="zh-CN"/>
        </w:rPr>
        <w:t>乙方</w:t>
      </w:r>
      <w:r>
        <w:rPr>
          <w:rFonts w:hint="eastAsia" w:ascii="新宋体" w:hAnsi="新宋体" w:eastAsia="新宋体" w:cs="新宋体"/>
          <w:b w:val="0"/>
          <w:bCs/>
          <w:color w:val="auto"/>
          <w:sz w:val="22"/>
          <w:szCs w:val="22"/>
          <w:highlight w:val="none"/>
        </w:rPr>
        <w:t>应加强路灯电缆防盗工作，如发生电缆被盗，由</w:t>
      </w:r>
      <w:r>
        <w:rPr>
          <w:rFonts w:hint="eastAsia" w:ascii="新宋体" w:hAnsi="新宋体" w:eastAsia="新宋体" w:cs="新宋体"/>
          <w:b w:val="0"/>
          <w:bCs/>
          <w:color w:val="auto"/>
          <w:sz w:val="22"/>
          <w:szCs w:val="22"/>
          <w:highlight w:val="none"/>
          <w:lang w:eastAsia="zh-CN"/>
        </w:rPr>
        <w:t>乙方</w:t>
      </w:r>
      <w:r>
        <w:rPr>
          <w:rFonts w:hint="eastAsia" w:ascii="新宋体" w:hAnsi="新宋体" w:eastAsia="新宋体" w:cs="新宋体"/>
          <w:b w:val="0"/>
          <w:bCs/>
          <w:color w:val="auto"/>
          <w:sz w:val="22"/>
          <w:szCs w:val="22"/>
          <w:highlight w:val="none"/>
        </w:rPr>
        <w:t>原样恢复，相关费用包干。</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519" w:firstLineChars="236"/>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w:t>
      </w:r>
      <w:r>
        <w:rPr>
          <w:rFonts w:hint="eastAsia" w:ascii="新宋体" w:hAnsi="新宋体" w:eastAsia="新宋体" w:cs="新宋体"/>
          <w:b w:val="0"/>
          <w:bCs/>
          <w:color w:val="auto"/>
          <w:sz w:val="22"/>
          <w:szCs w:val="22"/>
          <w:highlight w:val="none"/>
          <w:lang w:eastAsia="zh-CN"/>
        </w:rPr>
        <w:t>十二</w:t>
      </w:r>
      <w:r>
        <w:rPr>
          <w:rFonts w:hint="eastAsia" w:ascii="新宋体" w:hAnsi="新宋体" w:eastAsia="新宋体" w:cs="新宋体"/>
          <w:b w:val="0"/>
          <w:bCs/>
          <w:color w:val="auto"/>
          <w:sz w:val="22"/>
          <w:szCs w:val="22"/>
          <w:highlight w:val="none"/>
        </w:rPr>
        <w:t>）合同期间，甲乙</w:t>
      </w:r>
      <w:r>
        <w:rPr>
          <w:rFonts w:hint="eastAsia" w:ascii="新宋体" w:hAnsi="新宋体" w:eastAsia="新宋体" w:cs="新宋体"/>
          <w:b w:val="0"/>
          <w:bCs/>
          <w:color w:val="auto"/>
          <w:sz w:val="22"/>
          <w:szCs w:val="22"/>
          <w:highlight w:val="none"/>
          <w:lang w:eastAsia="zh-CN"/>
        </w:rPr>
        <w:t>双</w:t>
      </w:r>
      <w:r>
        <w:rPr>
          <w:rFonts w:hint="eastAsia" w:ascii="新宋体" w:hAnsi="新宋体" w:eastAsia="新宋体" w:cs="新宋体"/>
          <w:b w:val="0"/>
          <w:bCs/>
          <w:color w:val="auto"/>
          <w:sz w:val="22"/>
          <w:szCs w:val="22"/>
          <w:highlight w:val="none"/>
        </w:rPr>
        <w:t>方签订《</w:t>
      </w:r>
      <w:r>
        <w:rPr>
          <w:rFonts w:hint="eastAsia" w:ascii="新宋体" w:hAnsi="新宋体" w:eastAsia="新宋体" w:cs="新宋体"/>
          <w:b w:val="0"/>
          <w:bCs/>
          <w:color w:val="auto"/>
          <w:sz w:val="22"/>
          <w:szCs w:val="22"/>
          <w:highlight w:val="none"/>
          <w:lang w:eastAsia="zh-CN"/>
        </w:rPr>
        <w:t>东瓯</w:t>
      </w:r>
      <w:r>
        <w:rPr>
          <w:rFonts w:hint="eastAsia" w:ascii="新宋体" w:hAnsi="新宋体" w:eastAsia="新宋体" w:cs="新宋体"/>
          <w:b w:val="0"/>
          <w:bCs/>
          <w:color w:val="auto"/>
          <w:sz w:val="22"/>
          <w:szCs w:val="22"/>
          <w:highlight w:val="none"/>
        </w:rPr>
        <w:t>大桥日常维养安全责任书》。为确保安全、文明施工，乙方应建立安全管理组织体系；严格贯彻国家、省、市和劳动保护、安全生产部门颁发的有关安全生产、消防工作的方针、政策、法规、条例、规定等执行。</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519" w:firstLineChars="236"/>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w:t>
      </w:r>
      <w:r>
        <w:rPr>
          <w:rFonts w:hint="eastAsia" w:ascii="新宋体" w:hAnsi="新宋体" w:eastAsia="新宋体" w:cs="新宋体"/>
          <w:b w:val="0"/>
          <w:bCs/>
          <w:color w:val="auto"/>
          <w:sz w:val="22"/>
          <w:szCs w:val="22"/>
          <w:highlight w:val="none"/>
          <w:lang w:eastAsia="zh-CN"/>
        </w:rPr>
        <w:t>十三</w:t>
      </w:r>
      <w:r>
        <w:rPr>
          <w:rFonts w:hint="eastAsia" w:ascii="新宋体" w:hAnsi="新宋体" w:eastAsia="新宋体" w:cs="新宋体"/>
          <w:b w:val="0"/>
          <w:bCs/>
          <w:color w:val="auto"/>
          <w:sz w:val="22"/>
          <w:szCs w:val="22"/>
          <w:highlight w:val="none"/>
        </w:rPr>
        <w:t>）乙方应为实施现场养护作业人员购买人身意外伤害险。养护作业人员必须穿统一工作服、着反光背心、戴安全帽开展日常维养作业。乙方在保证日常维养工作的质量与进度的同时，还应做好安全管理。如因自身人员出现伤亡事故、或因施工作业围挡或警示不到位造成过往车辆或行人伤亡的，由乙方承担全部责任，甲方保留追究责任的权利。</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519" w:firstLineChars="236"/>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w:t>
      </w:r>
      <w:r>
        <w:rPr>
          <w:rFonts w:hint="eastAsia" w:ascii="新宋体" w:hAnsi="新宋体" w:eastAsia="新宋体" w:cs="新宋体"/>
          <w:b w:val="0"/>
          <w:bCs/>
          <w:color w:val="auto"/>
          <w:sz w:val="22"/>
          <w:szCs w:val="22"/>
          <w:highlight w:val="none"/>
          <w:lang w:eastAsia="zh-CN"/>
        </w:rPr>
        <w:t>十四</w:t>
      </w:r>
      <w:r>
        <w:rPr>
          <w:rFonts w:hint="eastAsia" w:ascii="新宋体" w:hAnsi="新宋体" w:eastAsia="新宋体" w:cs="新宋体"/>
          <w:b w:val="0"/>
          <w:bCs/>
          <w:color w:val="auto"/>
          <w:sz w:val="22"/>
          <w:szCs w:val="22"/>
          <w:highlight w:val="none"/>
        </w:rPr>
        <w:t>）因乙方养护不善或巡查不到位造成的损失由乙方负责赔偿，甲方保留追究责任的权利。</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519" w:firstLineChars="236"/>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w:t>
      </w:r>
      <w:r>
        <w:rPr>
          <w:rFonts w:hint="eastAsia" w:ascii="新宋体" w:hAnsi="新宋体" w:eastAsia="新宋体" w:cs="新宋体"/>
          <w:b w:val="0"/>
          <w:bCs/>
          <w:color w:val="auto"/>
          <w:sz w:val="22"/>
          <w:szCs w:val="22"/>
          <w:highlight w:val="none"/>
          <w:lang w:eastAsia="zh-CN"/>
        </w:rPr>
        <w:t>十五</w:t>
      </w:r>
      <w:r>
        <w:rPr>
          <w:rFonts w:hint="eastAsia" w:ascii="新宋体" w:hAnsi="新宋体" w:eastAsia="新宋体" w:cs="新宋体"/>
          <w:b w:val="0"/>
          <w:bCs/>
          <w:color w:val="auto"/>
          <w:sz w:val="22"/>
          <w:szCs w:val="22"/>
          <w:highlight w:val="none"/>
        </w:rPr>
        <w:t>）因乙方定期检测不准确或不及时，未及时发现或正确处置病害缺陷等过失造成桥梁结构运行不良或发生结构损坏和造成人员伤亡、经济损失的，由乙方承担全部责任、赔偿相应损失，甲方保留追究责任的权利。</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519" w:firstLineChars="236"/>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lang w:eastAsia="zh-CN"/>
        </w:rPr>
        <w:t>（十六）</w:t>
      </w:r>
      <w:r>
        <w:rPr>
          <w:rFonts w:hint="eastAsia" w:ascii="新宋体" w:hAnsi="新宋体" w:eastAsia="新宋体" w:cs="新宋体"/>
          <w:b w:val="0"/>
          <w:bCs/>
          <w:color w:val="auto"/>
          <w:sz w:val="22"/>
          <w:szCs w:val="22"/>
          <w:highlight w:val="none"/>
        </w:rPr>
        <w:t>其它。配合甲方做好合同范围内桥梁管养过程中涉及的相关工作，并为甲方实施的检测、设施改善等工作提供协助。</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十一、验收标准</w:t>
      </w:r>
    </w:p>
    <w:p>
      <w:pPr>
        <w:pStyle w:val="325"/>
        <w:keepNext w:val="0"/>
        <w:keepLines w:val="0"/>
        <w:pageBreakBefore w:val="0"/>
        <w:widowControl w:val="0"/>
        <w:kinsoku/>
        <w:wordWrap/>
        <w:overflowPunct/>
        <w:topLinePunct w:val="0"/>
        <w:autoSpaceDE/>
        <w:autoSpaceDN/>
        <w:bidi w:val="0"/>
        <w:adjustRightInd/>
        <w:spacing w:before="0" w:beforeAutospacing="0" w:after="0" w:afterAutospacing="0" w:line="460" w:lineRule="exact"/>
        <w:ind w:firstLine="519" w:firstLineChars="236"/>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（一）完成全部养护任务，提交符合要求的台账资料后，由甲方组织相关单位对项目履行情况进行验收。验收管理办法按《温州市级政府采购项目履约验收管理暂行办法》执行。</w:t>
      </w:r>
    </w:p>
    <w:p>
      <w:pPr>
        <w:pStyle w:val="325"/>
        <w:keepNext w:val="0"/>
        <w:keepLines w:val="0"/>
        <w:pageBreakBefore w:val="0"/>
        <w:widowControl w:val="0"/>
        <w:tabs>
          <w:tab w:val="left" w:pos="7335"/>
        </w:tabs>
        <w:kinsoku/>
        <w:wordWrap/>
        <w:overflowPunct/>
        <w:topLinePunct w:val="0"/>
        <w:autoSpaceDE/>
        <w:autoSpaceDN/>
        <w:bidi w:val="0"/>
        <w:adjustRightInd/>
        <w:spacing w:before="0" w:beforeAutospacing="0" w:after="0" w:afterAutospacing="0" w:line="460" w:lineRule="exact"/>
        <w:ind w:firstLine="519" w:firstLineChars="236"/>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（二）组织验收时，根据《办法》组织验收小组，验收小组依据验收情况，出具验收报告。</w:t>
      </w:r>
    </w:p>
    <w:p>
      <w:pPr>
        <w:pStyle w:val="325"/>
        <w:keepNext w:val="0"/>
        <w:keepLines w:val="0"/>
        <w:pageBreakBefore w:val="0"/>
        <w:widowControl w:val="0"/>
        <w:tabs>
          <w:tab w:val="left" w:pos="7335"/>
        </w:tabs>
        <w:kinsoku/>
        <w:wordWrap/>
        <w:overflowPunct/>
        <w:topLinePunct w:val="0"/>
        <w:autoSpaceDE/>
        <w:autoSpaceDN/>
        <w:bidi w:val="0"/>
        <w:adjustRightInd/>
        <w:spacing w:before="0" w:beforeAutospacing="0" w:after="0" w:afterAutospacing="0" w:line="460" w:lineRule="exact"/>
        <w:ind w:firstLine="519" w:firstLineChars="236"/>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（三）验收时乙方必须</w:t>
      </w:r>
      <w:r>
        <w:rPr>
          <w:rFonts w:hint="eastAsia" w:ascii="新宋体" w:hAnsi="新宋体" w:eastAsia="新宋体" w:cs="新宋体"/>
          <w:b w:val="0"/>
          <w:bCs/>
          <w:color w:val="auto"/>
          <w:sz w:val="22"/>
          <w:szCs w:val="22"/>
          <w:highlight w:val="none"/>
          <w:lang w:eastAsia="zh-CN"/>
        </w:rPr>
        <w:t>到</w:t>
      </w:r>
      <w:r>
        <w:rPr>
          <w:rFonts w:hint="eastAsia" w:ascii="新宋体" w:hAnsi="新宋体" w:eastAsia="新宋体" w:cs="新宋体"/>
          <w:b w:val="0"/>
          <w:bCs/>
          <w:color w:val="auto"/>
          <w:sz w:val="22"/>
          <w:szCs w:val="22"/>
          <w:highlight w:val="none"/>
        </w:rPr>
        <w:t xml:space="preserve">场。 </w:t>
      </w:r>
    </w:p>
    <w:p>
      <w:pPr>
        <w:pStyle w:val="325"/>
        <w:keepNext w:val="0"/>
        <w:keepLines w:val="0"/>
        <w:pageBreakBefore w:val="0"/>
        <w:widowControl w:val="0"/>
        <w:tabs>
          <w:tab w:val="left" w:pos="7335"/>
        </w:tabs>
        <w:kinsoku/>
        <w:wordWrap/>
        <w:overflowPunct/>
        <w:topLinePunct w:val="0"/>
        <w:autoSpaceDE/>
        <w:autoSpaceDN/>
        <w:bidi w:val="0"/>
        <w:adjustRightInd/>
        <w:spacing w:before="0" w:beforeAutospacing="0" w:after="0" w:afterAutospacing="0" w:line="460" w:lineRule="exact"/>
        <w:ind w:firstLine="519" w:firstLineChars="236"/>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（四）验收标准：达到本合同维养质量标准要求。</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十二、争议处理</w:t>
      </w:r>
    </w:p>
    <w:p>
      <w:pPr>
        <w:pStyle w:val="28"/>
        <w:keepNext w:val="0"/>
        <w:keepLines w:val="0"/>
        <w:pageBreakBefore w:val="0"/>
        <w:widowControl w:val="0"/>
        <w:kinsoku/>
        <w:wordWrap/>
        <w:overflowPunct/>
        <w:topLinePunct w:val="0"/>
        <w:autoSpaceDE/>
        <w:autoSpaceDN/>
        <w:bidi w:val="0"/>
        <w:adjustRightInd/>
        <w:spacing w:line="460" w:lineRule="exact"/>
        <w:ind w:firstLine="519" w:firstLineChars="236"/>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1、 合同在履行过程中发生争议时，甲乙</w:t>
      </w:r>
      <w:r>
        <w:rPr>
          <w:rFonts w:hint="eastAsia" w:ascii="新宋体" w:hAnsi="新宋体" w:eastAsia="新宋体" w:cs="新宋体"/>
          <w:b w:val="0"/>
          <w:bCs/>
          <w:color w:val="auto"/>
          <w:sz w:val="22"/>
          <w:szCs w:val="22"/>
          <w:highlight w:val="none"/>
          <w:lang w:eastAsia="zh-CN"/>
        </w:rPr>
        <w:t>双</w:t>
      </w:r>
      <w:r>
        <w:rPr>
          <w:rFonts w:hint="eastAsia" w:ascii="新宋体" w:hAnsi="新宋体" w:eastAsia="新宋体" w:cs="新宋体"/>
          <w:b w:val="0"/>
          <w:bCs/>
          <w:color w:val="auto"/>
          <w:sz w:val="22"/>
          <w:szCs w:val="22"/>
          <w:highlight w:val="none"/>
        </w:rPr>
        <w:t>方及时协商解决。协商不成时，提请</w:t>
      </w:r>
      <w:r>
        <w:rPr>
          <w:rFonts w:hint="eastAsia" w:ascii="新宋体" w:hAnsi="新宋体" w:eastAsia="新宋体" w:cs="新宋体"/>
          <w:b w:val="0"/>
          <w:bCs/>
          <w:color w:val="auto"/>
          <w:sz w:val="22"/>
          <w:szCs w:val="22"/>
          <w:highlight w:val="none"/>
          <w:lang w:eastAsia="zh-CN"/>
        </w:rPr>
        <w:t>温州</w:t>
      </w:r>
      <w:r>
        <w:rPr>
          <w:rFonts w:hint="eastAsia" w:ascii="新宋体" w:hAnsi="新宋体" w:eastAsia="新宋体" w:cs="新宋体"/>
          <w:b w:val="0"/>
          <w:bCs/>
          <w:color w:val="auto"/>
          <w:sz w:val="22"/>
          <w:szCs w:val="22"/>
          <w:highlight w:val="none"/>
        </w:rPr>
        <w:t>仲裁委员会根据仲裁规则仲裁。</w:t>
      </w:r>
    </w:p>
    <w:p>
      <w:pPr>
        <w:pStyle w:val="28"/>
        <w:keepNext w:val="0"/>
        <w:keepLines w:val="0"/>
        <w:pageBreakBefore w:val="0"/>
        <w:widowControl w:val="0"/>
        <w:kinsoku/>
        <w:wordWrap/>
        <w:overflowPunct/>
        <w:topLinePunct w:val="0"/>
        <w:autoSpaceDE/>
        <w:autoSpaceDN/>
        <w:bidi w:val="0"/>
        <w:adjustRightInd/>
        <w:spacing w:line="460" w:lineRule="exact"/>
        <w:ind w:firstLine="519" w:firstLineChars="236"/>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2、 对于因违反或终止合同而引起的损失、损害的赔偿，由甲乙</w:t>
      </w:r>
      <w:r>
        <w:rPr>
          <w:rFonts w:hint="eastAsia" w:ascii="新宋体" w:hAnsi="新宋体" w:eastAsia="新宋体" w:cs="新宋体"/>
          <w:b w:val="0"/>
          <w:bCs/>
          <w:color w:val="auto"/>
          <w:sz w:val="22"/>
          <w:szCs w:val="22"/>
          <w:highlight w:val="none"/>
          <w:lang w:eastAsia="zh-CN"/>
        </w:rPr>
        <w:t>双</w:t>
      </w:r>
      <w:r>
        <w:rPr>
          <w:rFonts w:hint="eastAsia" w:ascii="新宋体" w:hAnsi="新宋体" w:eastAsia="新宋体" w:cs="新宋体"/>
          <w:b w:val="0"/>
          <w:bCs/>
          <w:color w:val="auto"/>
          <w:sz w:val="22"/>
          <w:szCs w:val="22"/>
          <w:highlight w:val="none"/>
        </w:rPr>
        <w:t>方友好协商解决，经协商仍未能达成一致的，可向当地人民法院提起诉讼。</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十三、其他</w:t>
      </w:r>
    </w:p>
    <w:p>
      <w:pPr>
        <w:pStyle w:val="28"/>
        <w:keepNext w:val="0"/>
        <w:keepLines w:val="0"/>
        <w:pageBreakBefore w:val="0"/>
        <w:widowControl w:val="0"/>
        <w:kinsoku/>
        <w:wordWrap/>
        <w:overflowPunct/>
        <w:topLinePunct w:val="0"/>
        <w:autoSpaceDE/>
        <w:autoSpaceDN/>
        <w:bidi w:val="0"/>
        <w:adjustRightInd/>
        <w:spacing w:line="460" w:lineRule="exact"/>
        <w:ind w:firstLine="519" w:firstLineChars="236"/>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（一）履约保证金</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519" w:firstLineChars="236"/>
        <w:textAlignment w:val="auto"/>
        <w:rPr>
          <w:rFonts w:hint="eastAsia" w:ascii="新宋体" w:hAnsi="新宋体" w:eastAsia="新宋体" w:cs="新宋体"/>
          <w:b w:val="0"/>
          <w:bCs/>
          <w:color w:val="auto"/>
          <w:sz w:val="22"/>
          <w:szCs w:val="22"/>
          <w:highlight w:val="none"/>
          <w:lang w:eastAsia="zh-CN"/>
        </w:rPr>
      </w:pPr>
      <w:r>
        <w:rPr>
          <w:rFonts w:hint="eastAsia" w:ascii="新宋体" w:hAnsi="新宋体" w:eastAsia="新宋体" w:cs="新宋体"/>
          <w:b w:val="0"/>
          <w:bCs/>
          <w:color w:val="auto"/>
          <w:sz w:val="22"/>
          <w:szCs w:val="22"/>
          <w:highlight w:val="none"/>
        </w:rPr>
        <w:t>1</w:t>
      </w:r>
      <w:r>
        <w:rPr>
          <w:rFonts w:hint="eastAsia" w:ascii="新宋体" w:hAnsi="新宋体" w:eastAsia="新宋体" w:cs="新宋体"/>
          <w:b w:val="0"/>
          <w:bCs/>
          <w:color w:val="auto"/>
          <w:sz w:val="22"/>
          <w:szCs w:val="22"/>
          <w:highlight w:val="none"/>
          <w:lang w:eastAsia="zh-CN"/>
        </w:rPr>
        <w:t>、签订合同后5个工作日内，须向甲方提交合同总金额</w:t>
      </w:r>
      <w:r>
        <w:rPr>
          <w:rFonts w:hint="eastAsia" w:ascii="新宋体" w:hAnsi="新宋体" w:eastAsia="新宋体" w:cs="新宋体"/>
          <w:b w:val="0"/>
          <w:bCs/>
          <w:color w:val="auto"/>
          <w:sz w:val="22"/>
          <w:szCs w:val="22"/>
          <w:highlight w:val="none"/>
          <w:lang w:val="en-US" w:eastAsia="zh-CN"/>
        </w:rPr>
        <w:t>1</w:t>
      </w:r>
      <w:r>
        <w:rPr>
          <w:rFonts w:hint="eastAsia" w:ascii="新宋体" w:hAnsi="新宋体" w:eastAsia="新宋体" w:cs="新宋体"/>
          <w:b w:val="0"/>
          <w:bCs/>
          <w:color w:val="auto"/>
          <w:sz w:val="22"/>
          <w:szCs w:val="22"/>
          <w:highlight w:val="none"/>
          <w:lang w:eastAsia="zh-CN"/>
        </w:rPr>
        <w:t>%的履约保证金（可保函形式），履约保证金用于补偿甲方因乙方不能履行其合同义务而蒙受的损失。履约保证金自合同签订之日起至项目结束止有效。如发生履约保证金扣除情形的，由甲方为代表先行执行，待合同期满或合同终止后按出资比例结算。有效期满后，甲方应及时将履约保证金无息退还给乙方。</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519" w:firstLineChars="236"/>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2</w:t>
      </w:r>
      <w:r>
        <w:rPr>
          <w:rFonts w:hint="eastAsia" w:ascii="新宋体" w:hAnsi="新宋体" w:eastAsia="新宋体" w:cs="新宋体"/>
          <w:b w:val="0"/>
          <w:bCs/>
          <w:color w:val="auto"/>
          <w:sz w:val="22"/>
          <w:szCs w:val="22"/>
          <w:highlight w:val="none"/>
          <w:lang w:eastAsia="zh-CN"/>
        </w:rPr>
        <w:t>、</w:t>
      </w:r>
      <w:r>
        <w:rPr>
          <w:rFonts w:hint="eastAsia" w:ascii="新宋体" w:hAnsi="新宋体" w:eastAsia="新宋体" w:cs="新宋体"/>
          <w:b w:val="0"/>
          <w:bCs/>
          <w:color w:val="auto"/>
          <w:sz w:val="22"/>
          <w:szCs w:val="22"/>
          <w:highlight w:val="none"/>
        </w:rPr>
        <w:t>甲方认为乙方在合同期内没有涉及甲方的应付而未付金额或违约行为，甲方在合同期满后或终止合同后（除第4款情形外）一个月内全额退还履约保证金。否则，甲方将在扣除乙方应付金额或违约金后退还履约保证金余额。</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519" w:firstLineChars="236"/>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3</w:t>
      </w:r>
      <w:r>
        <w:rPr>
          <w:rFonts w:hint="eastAsia" w:ascii="新宋体" w:hAnsi="新宋体" w:eastAsia="新宋体" w:cs="新宋体"/>
          <w:b w:val="0"/>
          <w:bCs/>
          <w:color w:val="auto"/>
          <w:sz w:val="22"/>
          <w:szCs w:val="22"/>
          <w:highlight w:val="none"/>
          <w:lang w:eastAsia="zh-CN"/>
        </w:rPr>
        <w:t>、</w:t>
      </w:r>
      <w:r>
        <w:rPr>
          <w:rFonts w:hint="eastAsia" w:ascii="新宋体" w:hAnsi="新宋体" w:eastAsia="新宋体" w:cs="新宋体"/>
          <w:b w:val="0"/>
          <w:bCs/>
          <w:color w:val="auto"/>
          <w:sz w:val="22"/>
          <w:szCs w:val="22"/>
          <w:highlight w:val="none"/>
        </w:rPr>
        <w:t>合同期内，因乙方考核不合格或其他工作内容失误导致的履约保证金扣除，乙方应在15日内向甲方补足原履约保证金金额，否则视为乙方违约。</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519" w:firstLineChars="236"/>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4</w:t>
      </w:r>
      <w:r>
        <w:rPr>
          <w:rFonts w:hint="eastAsia" w:ascii="新宋体" w:hAnsi="新宋体" w:eastAsia="新宋体" w:cs="新宋体"/>
          <w:b w:val="0"/>
          <w:bCs/>
          <w:color w:val="auto"/>
          <w:sz w:val="22"/>
          <w:szCs w:val="22"/>
          <w:highlight w:val="none"/>
          <w:lang w:eastAsia="zh-CN"/>
        </w:rPr>
        <w:t>、</w:t>
      </w:r>
      <w:r>
        <w:rPr>
          <w:rFonts w:hint="eastAsia" w:ascii="新宋体" w:hAnsi="新宋体" w:eastAsia="新宋体" w:cs="新宋体"/>
          <w:b w:val="0"/>
          <w:bCs/>
          <w:color w:val="auto"/>
          <w:sz w:val="22"/>
          <w:szCs w:val="22"/>
          <w:highlight w:val="none"/>
        </w:rPr>
        <w:t>甲方有权在合同生效后，调整履约保证金的金额，且乙方必须按要求将保证金差额缴付甲方。甲方调整履约保证金是考虑以下条款各项之一或全部。</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519" w:firstLineChars="236"/>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4.1乙方承包的工作内容及费用的增减；</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519" w:firstLineChars="236"/>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4.2甲方认为任何有必要调整的原因。</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5</w:t>
      </w:r>
      <w:r>
        <w:rPr>
          <w:rFonts w:hint="eastAsia" w:ascii="新宋体" w:hAnsi="新宋体" w:eastAsia="新宋体" w:cs="新宋体"/>
          <w:b w:val="0"/>
          <w:bCs/>
          <w:color w:val="auto"/>
          <w:sz w:val="22"/>
          <w:szCs w:val="22"/>
          <w:highlight w:val="none"/>
          <w:lang w:eastAsia="zh-CN"/>
        </w:rPr>
        <w:t>、</w:t>
      </w:r>
      <w:r>
        <w:rPr>
          <w:rFonts w:hint="eastAsia" w:ascii="新宋体" w:hAnsi="新宋体" w:eastAsia="新宋体" w:cs="新宋体"/>
          <w:b w:val="0"/>
          <w:bCs/>
          <w:color w:val="auto"/>
          <w:sz w:val="22"/>
          <w:szCs w:val="22"/>
          <w:highlight w:val="none"/>
        </w:rPr>
        <w:t>如发生因《</w:t>
      </w:r>
      <w:r>
        <w:rPr>
          <w:rFonts w:hint="eastAsia" w:ascii="新宋体" w:hAnsi="新宋体" w:eastAsia="新宋体" w:cs="新宋体"/>
          <w:b w:val="0"/>
          <w:bCs/>
          <w:color w:val="auto"/>
          <w:sz w:val="22"/>
          <w:szCs w:val="22"/>
          <w:highlight w:val="none"/>
          <w:lang w:eastAsia="zh-CN"/>
        </w:rPr>
        <w:t>东瓯大桥设施维养考核办法</w:t>
      </w:r>
      <w:r>
        <w:rPr>
          <w:rFonts w:hint="eastAsia" w:ascii="新宋体" w:hAnsi="新宋体" w:eastAsia="新宋体" w:cs="新宋体"/>
          <w:b w:val="0"/>
          <w:bCs/>
          <w:color w:val="auto"/>
          <w:sz w:val="22"/>
          <w:szCs w:val="22"/>
          <w:highlight w:val="none"/>
        </w:rPr>
        <w:t>》规定的警告与退出条款情形，</w:t>
      </w:r>
      <w:r>
        <w:rPr>
          <w:rFonts w:hint="eastAsia" w:ascii="新宋体" w:hAnsi="新宋体" w:eastAsia="新宋体" w:cs="新宋体"/>
          <w:b w:val="0"/>
          <w:bCs/>
          <w:color w:val="auto"/>
          <w:sz w:val="22"/>
          <w:szCs w:val="22"/>
          <w:highlight w:val="none"/>
          <w:lang w:eastAsia="zh-CN"/>
        </w:rPr>
        <w:t>双</w:t>
      </w:r>
      <w:r>
        <w:rPr>
          <w:rFonts w:hint="eastAsia" w:ascii="新宋体" w:hAnsi="新宋体" w:eastAsia="新宋体" w:cs="新宋体"/>
          <w:b w:val="0"/>
          <w:bCs/>
          <w:color w:val="auto"/>
          <w:sz w:val="22"/>
          <w:szCs w:val="22"/>
          <w:highlight w:val="none"/>
        </w:rPr>
        <w:t>方终止合同的，甲方将不予退还履约保证金。</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6</w:t>
      </w:r>
      <w:r>
        <w:rPr>
          <w:rFonts w:hint="eastAsia" w:ascii="新宋体" w:hAnsi="新宋体" w:eastAsia="新宋体" w:cs="新宋体"/>
          <w:b w:val="0"/>
          <w:bCs/>
          <w:color w:val="auto"/>
          <w:sz w:val="22"/>
          <w:szCs w:val="22"/>
          <w:highlight w:val="none"/>
          <w:lang w:eastAsia="zh-CN"/>
        </w:rPr>
        <w:t>、</w:t>
      </w:r>
      <w:r>
        <w:rPr>
          <w:rFonts w:hint="eastAsia" w:ascii="新宋体" w:hAnsi="新宋体" w:eastAsia="新宋体" w:cs="新宋体"/>
          <w:b w:val="0"/>
          <w:bCs/>
          <w:color w:val="auto"/>
          <w:sz w:val="22"/>
          <w:szCs w:val="22"/>
          <w:highlight w:val="none"/>
        </w:rPr>
        <w:t>乙方由于任何原因需更换专业技术人员（即项目负责人、技术负责人），须甲方书面同意，并扣除1万元人民币/人·次；如合同期内出现专业技术人员（即项目负责人、技术负责人）日常巡查缺勤严重、未及时处理桥梁突发事件等工作上存在严重过失而导致甲方不满意并要求乙方更换技术人员的情况，扣除3万元人民币/人·次，从乙方缴付的履约保证金中扣除。</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519" w:firstLineChars="236"/>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（二）本合同在履行过程中如有未尽事宜或需变更合同内容，</w:t>
      </w:r>
      <w:r>
        <w:rPr>
          <w:rFonts w:hint="eastAsia" w:ascii="新宋体" w:hAnsi="新宋体" w:eastAsia="新宋体" w:cs="新宋体"/>
          <w:b w:val="0"/>
          <w:bCs/>
          <w:color w:val="auto"/>
          <w:sz w:val="22"/>
          <w:szCs w:val="22"/>
          <w:highlight w:val="none"/>
          <w:lang w:eastAsia="zh-CN"/>
        </w:rPr>
        <w:t>双</w:t>
      </w:r>
      <w:r>
        <w:rPr>
          <w:rFonts w:hint="eastAsia" w:ascii="新宋体" w:hAnsi="新宋体" w:eastAsia="新宋体" w:cs="新宋体"/>
          <w:b w:val="0"/>
          <w:bCs/>
          <w:color w:val="auto"/>
          <w:sz w:val="22"/>
          <w:szCs w:val="22"/>
          <w:highlight w:val="none"/>
        </w:rPr>
        <w:t>方可另行签定补充协议，与合同具有相同的法律效力。</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519" w:firstLineChars="236"/>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（三）在合同履约过程中，</w:t>
      </w:r>
      <w:r>
        <w:rPr>
          <w:rFonts w:hint="eastAsia" w:ascii="新宋体" w:hAnsi="新宋体" w:eastAsia="新宋体" w:cs="新宋体"/>
          <w:b w:val="0"/>
          <w:bCs/>
          <w:color w:val="auto"/>
          <w:sz w:val="22"/>
          <w:szCs w:val="22"/>
          <w:highlight w:val="none"/>
          <w:lang w:eastAsia="zh-CN"/>
        </w:rPr>
        <w:t>双</w:t>
      </w:r>
      <w:r>
        <w:rPr>
          <w:rFonts w:hint="eastAsia" w:ascii="新宋体" w:hAnsi="新宋体" w:eastAsia="新宋体" w:cs="新宋体"/>
          <w:b w:val="0"/>
          <w:bCs/>
          <w:color w:val="auto"/>
          <w:sz w:val="22"/>
          <w:szCs w:val="22"/>
          <w:highlight w:val="none"/>
        </w:rPr>
        <w:t>方如发生争议，应当协商解决，协商不成的，提请温州市仲裁委员会仲裁。</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519" w:firstLineChars="236"/>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（四）本合同自</w:t>
      </w:r>
      <w:r>
        <w:rPr>
          <w:rFonts w:hint="eastAsia" w:ascii="新宋体" w:hAnsi="新宋体" w:eastAsia="新宋体" w:cs="新宋体"/>
          <w:b w:val="0"/>
          <w:bCs/>
          <w:color w:val="auto"/>
          <w:sz w:val="22"/>
          <w:szCs w:val="22"/>
          <w:highlight w:val="none"/>
          <w:lang w:eastAsia="zh-CN"/>
        </w:rPr>
        <w:t>双</w:t>
      </w:r>
      <w:r>
        <w:rPr>
          <w:rFonts w:hint="eastAsia" w:ascii="新宋体" w:hAnsi="新宋体" w:eastAsia="新宋体" w:cs="新宋体"/>
          <w:b w:val="0"/>
          <w:bCs/>
          <w:color w:val="auto"/>
          <w:sz w:val="22"/>
          <w:szCs w:val="22"/>
          <w:highlight w:val="none"/>
        </w:rPr>
        <w:t>方法定代表人签字、加盖单位公章后生效，合同期满后失效。</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519" w:firstLineChars="236"/>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（五）合同经</w:t>
      </w:r>
      <w:r>
        <w:rPr>
          <w:rFonts w:hint="eastAsia" w:ascii="新宋体" w:hAnsi="新宋体" w:eastAsia="新宋体" w:cs="新宋体"/>
          <w:b w:val="0"/>
          <w:bCs/>
          <w:color w:val="auto"/>
          <w:sz w:val="22"/>
          <w:szCs w:val="22"/>
          <w:highlight w:val="none"/>
          <w:lang w:eastAsia="zh-CN"/>
        </w:rPr>
        <w:t>双</w:t>
      </w:r>
      <w:r>
        <w:rPr>
          <w:rFonts w:hint="eastAsia" w:ascii="新宋体" w:hAnsi="新宋体" w:eastAsia="新宋体" w:cs="新宋体"/>
          <w:b w:val="0"/>
          <w:bCs/>
          <w:color w:val="auto"/>
          <w:sz w:val="22"/>
          <w:szCs w:val="22"/>
          <w:highlight w:val="none"/>
        </w:rPr>
        <w:t>方法定代表人或授权代表签字并加盖单位公章后生效。</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519" w:firstLineChars="236"/>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（六）具体表单详见附件内容。</w:t>
      </w:r>
    </w:p>
    <w:p>
      <w:pPr>
        <w:pStyle w:val="28"/>
        <w:keepNext w:val="0"/>
        <w:keepLines w:val="0"/>
        <w:pageBreakBefore w:val="0"/>
        <w:widowControl w:val="0"/>
        <w:kinsoku/>
        <w:wordWrap/>
        <w:overflowPunct/>
        <w:topLinePunct w:val="0"/>
        <w:autoSpaceDE/>
        <w:autoSpaceDN/>
        <w:bidi w:val="0"/>
        <w:adjustRightInd/>
        <w:snapToGrid w:val="0"/>
        <w:spacing w:line="460" w:lineRule="exact"/>
        <w:ind w:firstLine="519" w:firstLineChars="236"/>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（七）本合同未尽事宜，遵照《</w:t>
      </w:r>
      <w:r>
        <w:rPr>
          <w:rFonts w:hint="eastAsia" w:ascii="新宋体" w:hAnsi="新宋体" w:eastAsia="新宋体" w:cs="新宋体"/>
          <w:b w:val="0"/>
          <w:bCs/>
          <w:color w:val="auto"/>
          <w:sz w:val="22"/>
          <w:szCs w:val="22"/>
          <w:highlight w:val="none"/>
          <w:lang w:val="en-US" w:eastAsia="zh-CN"/>
        </w:rPr>
        <w:t>民法典</w:t>
      </w:r>
      <w:r>
        <w:rPr>
          <w:rFonts w:hint="eastAsia" w:ascii="新宋体" w:hAnsi="新宋体" w:eastAsia="新宋体" w:cs="新宋体"/>
          <w:b w:val="0"/>
          <w:bCs/>
          <w:color w:val="auto"/>
          <w:sz w:val="22"/>
          <w:szCs w:val="22"/>
          <w:highlight w:val="none"/>
        </w:rPr>
        <w:t>》有关条文执行。</w:t>
      </w:r>
    </w:p>
    <w:p>
      <w:pPr>
        <w:keepNext w:val="0"/>
        <w:keepLines w:val="0"/>
        <w:pageBreakBefore w:val="0"/>
        <w:widowControl w:val="0"/>
        <w:kinsoku/>
        <w:wordWrap/>
        <w:overflowPunct/>
        <w:topLinePunct w:val="0"/>
        <w:autoSpaceDE/>
        <w:autoSpaceDN/>
        <w:bidi w:val="0"/>
        <w:adjustRightInd/>
        <w:spacing w:line="460" w:lineRule="exact"/>
        <w:ind w:firstLine="519" w:firstLineChars="236"/>
        <w:textAlignment w:val="auto"/>
        <w:rPr>
          <w:rFonts w:hint="eastAsia" w:ascii="新宋体" w:hAnsi="新宋体" w:eastAsia="新宋体" w:cs="新宋体"/>
          <w:b w:val="0"/>
          <w:bCs/>
          <w:color w:val="auto"/>
          <w:spacing w:val="4"/>
          <w:kern w:val="0"/>
          <w:sz w:val="22"/>
          <w:szCs w:val="22"/>
          <w:highlight w:val="none"/>
        </w:rPr>
      </w:pPr>
      <w:r>
        <w:rPr>
          <w:rFonts w:hint="eastAsia" w:ascii="新宋体" w:hAnsi="新宋体" w:eastAsia="新宋体" w:cs="新宋体"/>
          <w:b w:val="0"/>
          <w:bCs/>
          <w:color w:val="auto"/>
          <w:sz w:val="22"/>
          <w:szCs w:val="22"/>
          <w:highlight w:val="none"/>
        </w:rPr>
        <w:t>（八）</w:t>
      </w:r>
      <w:r>
        <w:rPr>
          <w:rFonts w:hint="eastAsia" w:ascii="新宋体" w:hAnsi="新宋体" w:eastAsia="新宋体" w:cs="新宋体"/>
          <w:b w:val="0"/>
          <w:bCs/>
          <w:color w:val="auto"/>
          <w:spacing w:val="4"/>
          <w:kern w:val="0"/>
          <w:sz w:val="22"/>
          <w:szCs w:val="22"/>
          <w:highlight w:val="none"/>
        </w:rPr>
        <w:t>本合同一式</w:t>
      </w:r>
      <w:r>
        <w:rPr>
          <w:rFonts w:hint="eastAsia" w:ascii="新宋体" w:hAnsi="新宋体" w:eastAsia="新宋体" w:cs="新宋体"/>
          <w:b w:val="0"/>
          <w:bCs/>
          <w:color w:val="auto"/>
          <w:spacing w:val="4"/>
          <w:kern w:val="0"/>
          <w:sz w:val="22"/>
          <w:szCs w:val="22"/>
          <w:highlight w:val="none"/>
          <w:lang w:eastAsia="zh-CN"/>
        </w:rPr>
        <w:t>玖</w:t>
      </w:r>
      <w:r>
        <w:rPr>
          <w:rFonts w:hint="eastAsia" w:ascii="新宋体" w:hAnsi="新宋体" w:eastAsia="新宋体" w:cs="新宋体"/>
          <w:b w:val="0"/>
          <w:bCs/>
          <w:color w:val="auto"/>
          <w:spacing w:val="4"/>
          <w:kern w:val="0"/>
          <w:sz w:val="22"/>
          <w:szCs w:val="22"/>
          <w:highlight w:val="none"/>
        </w:rPr>
        <w:t>份，具同等法律效力，甲乙</w:t>
      </w:r>
      <w:r>
        <w:rPr>
          <w:rFonts w:hint="eastAsia" w:ascii="新宋体" w:hAnsi="新宋体" w:eastAsia="新宋体" w:cs="新宋体"/>
          <w:b w:val="0"/>
          <w:bCs/>
          <w:color w:val="auto"/>
          <w:spacing w:val="4"/>
          <w:kern w:val="0"/>
          <w:sz w:val="22"/>
          <w:szCs w:val="22"/>
          <w:highlight w:val="none"/>
          <w:lang w:eastAsia="zh-CN"/>
        </w:rPr>
        <w:t>双</w:t>
      </w:r>
      <w:r>
        <w:rPr>
          <w:rFonts w:hint="eastAsia" w:ascii="新宋体" w:hAnsi="新宋体" w:eastAsia="新宋体" w:cs="新宋体"/>
          <w:b w:val="0"/>
          <w:bCs/>
          <w:color w:val="auto"/>
          <w:spacing w:val="4"/>
          <w:kern w:val="0"/>
          <w:sz w:val="22"/>
          <w:szCs w:val="22"/>
          <w:highlight w:val="none"/>
        </w:rPr>
        <w:t>方各执肆份，另交一份给采购代理机构备案。</w:t>
      </w:r>
    </w:p>
    <w:p>
      <w:pPr>
        <w:pStyle w:val="22"/>
        <w:rPr>
          <w:rFonts w:hint="eastAsia" w:ascii="新宋体" w:hAnsi="新宋体" w:eastAsia="新宋体" w:cs="新宋体"/>
          <w:b w:val="0"/>
          <w:bCs/>
          <w:color w:val="auto"/>
          <w:spacing w:val="4"/>
          <w:kern w:val="0"/>
          <w:sz w:val="22"/>
          <w:szCs w:val="22"/>
          <w:highlight w:val="none"/>
        </w:rPr>
      </w:pPr>
    </w:p>
    <w:p>
      <w:pPr>
        <w:pStyle w:val="22"/>
        <w:rPr>
          <w:rFonts w:hint="eastAsia" w:ascii="新宋体" w:hAnsi="新宋体" w:eastAsia="新宋体" w:cs="新宋体"/>
          <w:b w:val="0"/>
          <w:bCs/>
          <w:color w:val="auto"/>
          <w:spacing w:val="4"/>
          <w:kern w:val="0"/>
          <w:sz w:val="22"/>
          <w:szCs w:val="22"/>
          <w:highlight w:val="none"/>
        </w:rPr>
      </w:pPr>
    </w:p>
    <w:p>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甲方名称：</w:t>
      </w:r>
      <w:r>
        <w:rPr>
          <w:rFonts w:hint="eastAsia" w:ascii="新宋体" w:hAnsi="新宋体" w:eastAsia="新宋体" w:cs="新宋体"/>
          <w:b w:val="0"/>
          <w:bCs/>
          <w:color w:val="auto"/>
          <w:kern w:val="2"/>
          <w:sz w:val="22"/>
          <w:szCs w:val="22"/>
          <w:highlight w:val="none"/>
          <w:lang w:val="en-US" w:eastAsia="zh-CN" w:bidi="ar-SA"/>
        </w:rPr>
        <w:t>温州市市政管理中心（盖章）</w:t>
      </w:r>
      <w:r>
        <w:rPr>
          <w:rFonts w:hint="eastAsia" w:ascii="新宋体" w:hAnsi="新宋体" w:eastAsia="新宋体" w:cs="新宋体"/>
          <w:color w:val="auto"/>
          <w:sz w:val="22"/>
          <w:szCs w:val="22"/>
          <w:highlight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授权代表：（签字）                </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 xml:space="preserve"> </w:t>
      </w:r>
    </w:p>
    <w:p>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地址：                            </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 xml:space="preserve"> </w:t>
      </w:r>
    </w:p>
    <w:p>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邮政编码：                        </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 xml:space="preserve"> </w:t>
      </w:r>
    </w:p>
    <w:p>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电话：                            </w:t>
      </w:r>
      <w:r>
        <w:rPr>
          <w:rFonts w:hint="eastAsia" w:ascii="新宋体" w:hAnsi="新宋体" w:eastAsia="新宋体" w:cs="新宋体"/>
          <w:color w:val="auto"/>
          <w:sz w:val="22"/>
          <w:szCs w:val="22"/>
          <w:highlight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传真：                            </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lang w:val="en-US" w:eastAsia="zh-CN"/>
        </w:rPr>
        <w:t xml:space="preserve">  </w:t>
      </w:r>
    </w:p>
    <w:p>
      <w:pPr>
        <w:spacing w:line="460" w:lineRule="exact"/>
        <w:rPr>
          <w:rFonts w:hint="eastAsia"/>
          <w:color w:val="auto"/>
          <w:highlight w:val="none"/>
        </w:rPr>
      </w:pPr>
      <w:r>
        <w:rPr>
          <w:rFonts w:hint="eastAsia" w:ascii="新宋体" w:hAnsi="新宋体" w:eastAsia="新宋体" w:cs="新宋体"/>
          <w:color w:val="auto"/>
          <w:sz w:val="22"/>
          <w:szCs w:val="22"/>
          <w:highlight w:val="none"/>
        </w:rPr>
        <w:t xml:space="preserve">日期：                            </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 xml:space="preserve"> </w:t>
      </w:r>
    </w:p>
    <w:p>
      <w:pPr>
        <w:spacing w:line="380" w:lineRule="exact"/>
        <w:rPr>
          <w:rFonts w:hint="eastAsia" w:ascii="新宋体" w:hAnsi="新宋体" w:eastAsia="新宋体" w:cs="新宋体"/>
          <w:color w:val="auto"/>
          <w:sz w:val="22"/>
          <w:szCs w:val="22"/>
          <w:highlight w:val="none"/>
          <w:lang w:val="en-US" w:eastAsia="zh-CN"/>
        </w:rPr>
      </w:pPr>
    </w:p>
    <w:p>
      <w:pPr>
        <w:pStyle w:val="22"/>
        <w:rPr>
          <w:rFonts w:hint="eastAsia" w:ascii="新宋体" w:hAnsi="新宋体" w:eastAsia="新宋体" w:cs="新宋体"/>
          <w:color w:val="auto"/>
          <w:sz w:val="22"/>
          <w:szCs w:val="22"/>
          <w:highlight w:val="none"/>
          <w:lang w:val="en-US" w:eastAsia="zh-CN"/>
        </w:rPr>
      </w:pPr>
    </w:p>
    <w:p>
      <w:pPr>
        <w:pStyle w:val="22"/>
        <w:rPr>
          <w:rFonts w:hint="eastAsia" w:ascii="新宋体" w:hAnsi="新宋体" w:eastAsia="新宋体" w:cs="新宋体"/>
          <w:color w:val="auto"/>
          <w:sz w:val="22"/>
          <w:szCs w:val="22"/>
          <w:highlight w:val="none"/>
          <w:lang w:val="en-US" w:eastAsia="zh-CN"/>
        </w:rPr>
      </w:pPr>
    </w:p>
    <w:p>
      <w:pPr>
        <w:spacing w:line="380" w:lineRule="exact"/>
        <w:rPr>
          <w:rFonts w:hint="eastAsia" w:ascii="宋体" w:hAnsi="宋体" w:cs="宋体"/>
          <w:color w:val="auto"/>
          <w:sz w:val="22"/>
          <w:szCs w:val="22"/>
          <w:highlight w:val="none"/>
        </w:rPr>
      </w:pPr>
      <w:r>
        <w:rPr>
          <w:rFonts w:hint="eastAsia" w:ascii="新宋体" w:hAnsi="新宋体" w:eastAsia="新宋体" w:cs="新宋体"/>
          <w:color w:val="auto"/>
          <w:sz w:val="22"/>
          <w:szCs w:val="22"/>
          <w:highlight w:val="none"/>
          <w:lang w:val="en-US" w:eastAsia="zh-CN"/>
        </w:rPr>
        <w:t>乙</w:t>
      </w:r>
      <w:r>
        <w:rPr>
          <w:rFonts w:hint="eastAsia" w:ascii="新宋体" w:hAnsi="新宋体" w:eastAsia="新宋体" w:cs="新宋体"/>
          <w:color w:val="auto"/>
          <w:sz w:val="22"/>
          <w:szCs w:val="22"/>
          <w:highlight w:val="none"/>
        </w:rPr>
        <w:t>方名称：（盖章）</w:t>
      </w:r>
    </w:p>
    <w:p>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授权代表：（签字）</w:t>
      </w:r>
    </w:p>
    <w:p>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w:t>
      </w:r>
    </w:p>
    <w:p>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w:t>
      </w:r>
    </w:p>
    <w:p>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w:t>
      </w:r>
    </w:p>
    <w:p>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传真：</w:t>
      </w:r>
    </w:p>
    <w:p>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日期：</w:t>
      </w:r>
    </w:p>
    <w:p>
      <w:pPr>
        <w:spacing w:line="460" w:lineRule="exact"/>
        <w:ind w:firstLine="539" w:firstLineChars="245"/>
        <w:rPr>
          <w:rFonts w:hint="eastAsia" w:ascii="宋体" w:hAnsi="宋体" w:eastAsia="宋体" w:cs="宋体"/>
          <w:color w:val="auto"/>
          <w:sz w:val="22"/>
          <w:szCs w:val="22"/>
          <w:highlight w:val="none"/>
        </w:rPr>
      </w:pPr>
    </w:p>
    <w:p>
      <w:pPr>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p>
    <w:p>
      <w:pPr>
        <w:pStyle w:val="4"/>
        <w:bidi w:val="0"/>
        <w:rPr>
          <w:rFonts w:hint="eastAsia" w:ascii="宋体" w:hAnsi="宋体" w:eastAsia="宋体" w:cs="宋体"/>
          <w:color w:val="auto"/>
          <w:highlight w:val="none"/>
        </w:rPr>
      </w:pPr>
      <w:bookmarkStart w:id="27" w:name="_Toc18439"/>
      <w:bookmarkStart w:id="28" w:name="_Toc19081"/>
      <w:r>
        <w:rPr>
          <w:rFonts w:hint="eastAsia" w:ascii="宋体" w:hAnsi="宋体" w:eastAsia="宋体" w:cs="宋体"/>
          <w:color w:val="auto"/>
          <w:highlight w:val="none"/>
        </w:rPr>
        <w:t>第三部分    附件</w:t>
      </w:r>
      <w:bookmarkEnd w:id="27"/>
      <w:bookmarkEnd w:id="28"/>
    </w:p>
    <w:p>
      <w:pPr>
        <w:pStyle w:val="22"/>
        <w:spacing w:line="460" w:lineRule="exact"/>
        <w:ind w:left="433" w:hanging="433" w:hangingChars="196"/>
        <w:outlineLvl w:val="1"/>
        <w:rPr>
          <w:rFonts w:hint="eastAsia" w:ascii="宋体" w:hAnsi="宋体" w:eastAsia="宋体" w:cs="宋体"/>
          <w:b/>
          <w:color w:val="auto"/>
          <w:sz w:val="22"/>
          <w:highlight w:val="none"/>
        </w:rPr>
      </w:pPr>
      <w:bookmarkStart w:id="29" w:name="_Toc6368"/>
      <w:bookmarkStart w:id="30" w:name="_Toc7056"/>
      <w:r>
        <w:rPr>
          <w:rFonts w:hint="eastAsia" w:ascii="宋体" w:hAnsi="宋体" w:eastAsia="宋体" w:cs="宋体"/>
          <w:b/>
          <w:color w:val="auto"/>
          <w:sz w:val="22"/>
          <w:highlight w:val="none"/>
        </w:rPr>
        <w:t>附件一</w:t>
      </w:r>
      <w:bookmarkEnd w:id="29"/>
      <w:bookmarkEnd w:id="30"/>
    </w:p>
    <w:p>
      <w:pPr>
        <w:spacing w:line="400" w:lineRule="exact"/>
        <w:jc w:val="center"/>
        <w:outlineLvl w:val="2"/>
        <w:rPr>
          <w:rFonts w:hint="eastAsia" w:ascii="宋体" w:hAnsi="宋体" w:eastAsia="宋体" w:cs="宋体"/>
          <w:b/>
          <w:bCs/>
          <w:color w:val="auto"/>
          <w:sz w:val="28"/>
          <w:szCs w:val="28"/>
          <w:highlight w:val="none"/>
        </w:rPr>
      </w:pPr>
      <w:bookmarkStart w:id="31" w:name="_Toc13365"/>
      <w:bookmarkStart w:id="32" w:name="_Toc5430"/>
      <w:r>
        <w:rPr>
          <w:rFonts w:hint="eastAsia" w:ascii="宋体" w:hAnsi="宋体" w:eastAsia="宋体" w:cs="宋体"/>
          <w:b/>
          <w:bCs/>
          <w:color w:val="auto"/>
          <w:sz w:val="28"/>
          <w:szCs w:val="28"/>
          <w:highlight w:val="none"/>
        </w:rPr>
        <w:t>报价文件</w:t>
      </w:r>
      <w:bookmarkEnd w:id="31"/>
      <w:bookmarkEnd w:id="32"/>
    </w:p>
    <w:p>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1、</w:t>
      </w:r>
      <w:r>
        <w:rPr>
          <w:rFonts w:hint="eastAsia" w:ascii="宋体" w:hAnsi="宋体" w:eastAsia="宋体" w:cs="宋体"/>
          <w:b/>
          <w:color w:val="auto"/>
          <w:sz w:val="22"/>
          <w:szCs w:val="22"/>
          <w:highlight w:val="none"/>
          <w:lang w:val="zh-CN"/>
        </w:rPr>
        <w:t>投标函</w:t>
      </w:r>
    </w:p>
    <w:p>
      <w:pPr>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致：</w:t>
      </w:r>
      <w:r>
        <w:rPr>
          <w:rFonts w:hint="eastAsia" w:ascii="宋体" w:hAnsi="宋体" w:cs="宋体"/>
          <w:color w:val="auto"/>
          <w:sz w:val="22"/>
          <w:szCs w:val="22"/>
          <w:highlight w:val="none"/>
          <w:lang w:eastAsia="zh-CN"/>
        </w:rPr>
        <w:t>温州市市政管理中心</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根据贵方为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项目（招标编号：</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 xml:space="preserve"> </w:t>
      </w:r>
      <w:r>
        <w:rPr>
          <w:rFonts w:hint="eastAsia" w:ascii="宋体" w:hAnsi="宋体" w:eastAsia="宋体" w:cs="宋体"/>
          <w:color w:val="auto"/>
          <w:sz w:val="22"/>
          <w:szCs w:val="22"/>
          <w:highlight w:val="none"/>
        </w:rPr>
        <w:t>）的投标邀请，我方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（投标人名称）作为投标人正式授权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（授权代表全名，职务）代表我方处理有关本投标的一切事宜。为此：</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1、我方同意在投标人</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规定的开标日期起遵守本投标书中的承诺且在投标有效期满之前均具有约束力。</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2、我方承诺已经具备《中华人民共和国政府采购法》中规定的参加政府采购活动的供应商应当具备的条件：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(1)具有独立承担民事责任的能力；</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(2)遵守国家法律、行政法规，具有良好的信誉和商业道德；</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(3)具有履行合同的能力和良好的履行合同记录；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(4)良好的资金、财务状况；</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(5)提供的产品和服务符合中国政府规定的相应标准和环保标准；</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(6)没有违反政府采购法规、政策的记录；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(7)没有发生重大经济纠纷和走私犯罪记录。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3、提供</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规定的全部投标文件，包括资格文件、报价文件、商务技术文件。具体内容为：</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(1)资格文件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(2)报价文件；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商务</w:t>
      </w:r>
      <w:r>
        <w:rPr>
          <w:rFonts w:hint="eastAsia" w:ascii="宋体" w:hAnsi="宋体" w:eastAsia="宋体" w:cs="宋体"/>
          <w:color w:val="auto"/>
          <w:kern w:val="0"/>
          <w:sz w:val="22"/>
          <w:szCs w:val="22"/>
          <w:highlight w:val="none"/>
          <w:lang w:val="zh-CN"/>
        </w:rPr>
        <w:t>技术文件</w:t>
      </w:r>
      <w:r>
        <w:rPr>
          <w:rFonts w:hint="eastAsia" w:ascii="宋体" w:hAnsi="宋体" w:eastAsia="宋体" w:cs="宋体"/>
          <w:color w:val="auto"/>
          <w:sz w:val="22"/>
          <w:szCs w:val="22"/>
          <w:highlight w:val="none"/>
        </w:rPr>
        <w:t>；</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要求投标人提交的全部文件；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(5)按招标文件要求提供和交付的货物和服务的投标报价详见开标一览表；</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(6)保证忠实地执行双方所签订的合同，并承担合同规定的责任和义务；</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(7)保证遵守招标文件中的其他有关规定。</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4、投标有效期内不撤销投标文件，如中标，有效期将延至合同终止日为止。</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5、我方完全理解贵方不一定要接受最低价的投标。</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7、如中标，按招标文件规定的招标代理服务费标准，在领取中标通知书时向招标代理机构支付招标代理服务费。</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(1)提供虚假材料谋取中标、成交的；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(2)采取不正当手段诋毁、排挤其他供应商的；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(3)与招标人、其它供应商或者招标代理机构恶意串通的；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(4)向招标人、招标代理机构行贿或者提供其他不正当利益的；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(5)在招标采购过程中与招标人进行协商谈判的；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(6)拒绝有关部门监督检查或提供虚假情况的。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供应商有前款第(1)至(5)项情形之一的，中标、成交无效。</w:t>
      </w:r>
    </w:p>
    <w:p>
      <w:pPr>
        <w:shd w:val="clear" w:color="auto" w:fill="FFFFFF"/>
        <w:snapToGrid w:val="0"/>
        <w:spacing w:line="360" w:lineRule="auto"/>
        <w:rPr>
          <w:rFonts w:hint="eastAsia" w:ascii="宋体" w:hAnsi="宋体" w:eastAsia="宋体" w:cs="宋体"/>
          <w:color w:val="auto"/>
          <w:kern w:val="0"/>
          <w:sz w:val="22"/>
          <w:szCs w:val="22"/>
          <w:highlight w:val="none"/>
          <w:lang w:val="zh-CN"/>
        </w:rPr>
      </w:pP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法定（授权）代表人（签字）：</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lang w:val="zh-CN"/>
        </w:rPr>
      </w:pPr>
      <w:r>
        <w:rPr>
          <w:rFonts w:hint="eastAsia" w:ascii="宋体" w:hAnsi="宋体" w:eastAsia="宋体" w:cs="宋体"/>
          <w:color w:val="auto"/>
          <w:kern w:val="0"/>
          <w:sz w:val="22"/>
          <w:szCs w:val="22"/>
          <w:highlight w:val="none"/>
          <w:lang w:val="zh-CN"/>
        </w:rPr>
        <w:t>投标人盖 章：</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 xml:space="preserve">联系电话：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传真：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电子邮件：  </w:t>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联系地址：</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邮政编码：</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传真号码：</w:t>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lang w:val="zh-CN"/>
        </w:rPr>
        <w:t>日</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期</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val="zh-CN"/>
        </w:rPr>
        <w:t>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rPr>
        <w:tab/>
      </w:r>
      <w:r>
        <w:rPr>
          <w:rFonts w:hint="eastAsia" w:ascii="宋体" w:hAnsi="宋体" w:eastAsia="宋体" w:cs="宋体"/>
          <w:color w:val="auto"/>
          <w:kern w:val="0"/>
          <w:sz w:val="22"/>
          <w:szCs w:val="22"/>
          <w:highlight w:val="none"/>
          <w:lang w:val="zh-CN"/>
        </w:rPr>
        <w:t>月</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日</w:t>
      </w:r>
    </w:p>
    <w:p>
      <w:pPr>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val="zh-CN"/>
        </w:rPr>
        <w:t>注：未按照本投标响应函要求填报的将被视为非实质性响应，从而可能导致该投标文件被拒绝。</w:t>
      </w:r>
    </w:p>
    <w:p>
      <w:pPr>
        <w:pStyle w:val="22"/>
        <w:ind w:left="442" w:hanging="442"/>
        <w:rPr>
          <w:rFonts w:hint="eastAsia" w:ascii="宋体" w:hAnsi="宋体" w:eastAsia="宋体" w:cs="宋体"/>
          <w:b/>
          <w:bCs/>
          <w:color w:val="auto"/>
          <w:sz w:val="22"/>
          <w:szCs w:val="22"/>
          <w:highlight w:val="none"/>
        </w:rPr>
      </w:pPr>
    </w:p>
    <w:p>
      <w:pPr>
        <w:pStyle w:val="22"/>
        <w:ind w:left="442" w:hanging="442"/>
        <w:rPr>
          <w:rFonts w:hint="eastAsia" w:ascii="宋体" w:hAnsi="宋体" w:eastAsia="宋体" w:cs="宋体"/>
          <w:b/>
          <w:bCs/>
          <w:color w:val="auto"/>
          <w:sz w:val="22"/>
          <w:szCs w:val="22"/>
          <w:highlight w:val="none"/>
        </w:rPr>
      </w:pPr>
    </w:p>
    <w:p>
      <w:pPr>
        <w:pStyle w:val="22"/>
        <w:ind w:left="442" w:hanging="442"/>
        <w:rPr>
          <w:rFonts w:hint="eastAsia" w:ascii="宋体" w:hAnsi="宋体" w:eastAsia="宋体" w:cs="宋体"/>
          <w:b/>
          <w:bCs/>
          <w:color w:val="auto"/>
          <w:sz w:val="22"/>
          <w:szCs w:val="22"/>
          <w:highlight w:val="none"/>
        </w:rPr>
      </w:pPr>
    </w:p>
    <w:p>
      <w:pPr>
        <w:pStyle w:val="22"/>
        <w:ind w:left="442" w:hanging="442"/>
        <w:rPr>
          <w:rFonts w:hint="eastAsia" w:ascii="宋体" w:hAnsi="宋体" w:eastAsia="宋体" w:cs="宋体"/>
          <w:b/>
          <w:bCs/>
          <w:color w:val="auto"/>
          <w:sz w:val="22"/>
          <w:szCs w:val="22"/>
          <w:highlight w:val="none"/>
        </w:rPr>
      </w:pPr>
    </w:p>
    <w:p>
      <w:pPr>
        <w:pStyle w:val="22"/>
        <w:ind w:left="442" w:hanging="442"/>
        <w:rPr>
          <w:rFonts w:hint="eastAsia" w:ascii="宋体" w:hAnsi="宋体" w:eastAsia="宋体" w:cs="宋体"/>
          <w:b/>
          <w:bCs/>
          <w:color w:val="auto"/>
          <w:sz w:val="22"/>
          <w:szCs w:val="22"/>
          <w:highlight w:val="none"/>
        </w:rPr>
      </w:pPr>
    </w:p>
    <w:p>
      <w:pPr>
        <w:pStyle w:val="22"/>
        <w:ind w:left="442" w:hanging="442"/>
        <w:rPr>
          <w:rFonts w:hint="eastAsia" w:ascii="宋体" w:hAnsi="宋体" w:eastAsia="宋体" w:cs="宋体"/>
          <w:b/>
          <w:bCs/>
          <w:color w:val="auto"/>
          <w:sz w:val="22"/>
          <w:szCs w:val="22"/>
          <w:highlight w:val="none"/>
        </w:rPr>
      </w:pPr>
    </w:p>
    <w:p>
      <w:pPr>
        <w:pStyle w:val="22"/>
        <w:ind w:left="442" w:hanging="442"/>
        <w:rPr>
          <w:rFonts w:hint="eastAsia" w:ascii="宋体" w:hAnsi="宋体" w:eastAsia="宋体" w:cs="宋体"/>
          <w:b/>
          <w:bCs/>
          <w:color w:val="auto"/>
          <w:sz w:val="22"/>
          <w:szCs w:val="22"/>
          <w:highlight w:val="none"/>
        </w:rPr>
      </w:pPr>
    </w:p>
    <w:p>
      <w:pPr>
        <w:pStyle w:val="22"/>
        <w:ind w:left="442" w:hanging="442"/>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pPr>
        <w:pStyle w:val="22"/>
        <w:ind w:left="0" w:firstLine="0" w:firstLineChars="0"/>
        <w:rPr>
          <w:rFonts w:hint="eastAsia" w:ascii="宋体" w:hAnsi="宋体" w:eastAsia="宋体" w:cs="宋体"/>
          <w:b/>
          <w:bCs/>
          <w:color w:val="auto"/>
          <w:sz w:val="22"/>
          <w:szCs w:val="22"/>
          <w:highlight w:val="none"/>
        </w:rPr>
      </w:pPr>
    </w:p>
    <w:p>
      <w:pPr>
        <w:pStyle w:val="22"/>
        <w:ind w:left="0" w:firstLine="0" w:firstLineChars="0"/>
        <w:rPr>
          <w:rFonts w:hint="eastAsia" w:ascii="宋体" w:hAnsi="宋体" w:eastAsia="宋体" w:cs="宋体"/>
          <w:b/>
          <w:bCs/>
          <w:color w:val="auto"/>
          <w:sz w:val="22"/>
          <w:szCs w:val="22"/>
          <w:highlight w:val="none"/>
        </w:rPr>
      </w:pPr>
    </w:p>
    <w:p>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2、</w:t>
      </w:r>
      <w:r>
        <w:rPr>
          <w:rFonts w:hint="eastAsia" w:ascii="宋体" w:hAnsi="宋体" w:eastAsia="宋体" w:cs="宋体"/>
          <w:b/>
          <w:color w:val="auto"/>
          <w:sz w:val="22"/>
          <w:szCs w:val="22"/>
          <w:highlight w:val="none"/>
          <w:lang w:val="zh-CN"/>
        </w:rPr>
        <w:t>投标报价一览表</w:t>
      </w:r>
    </w:p>
    <w:p>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pPr>
        <w:spacing w:line="38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WZLCZB（W）-2022-07353</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eastAsia="宋体"/>
          <w:color w:val="auto"/>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东瓯大桥日常维养（3年）</w:t>
      </w:r>
    </w:p>
    <w:tbl>
      <w:tblPr>
        <w:tblStyle w:val="52"/>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914"/>
        <w:gridCol w:w="6021"/>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1914"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bCs/>
                <w:color w:val="auto"/>
                <w:sz w:val="22"/>
                <w:szCs w:val="22"/>
                <w:highlight w:val="none"/>
              </w:rPr>
              <w:t>项目名称</w:t>
            </w:r>
          </w:p>
        </w:tc>
        <w:tc>
          <w:tcPr>
            <w:tcW w:w="6021"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报价（人民币）</w:t>
            </w:r>
          </w:p>
        </w:tc>
        <w:tc>
          <w:tcPr>
            <w:tcW w:w="868"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815" w:type="dxa"/>
            <w:vMerge w:val="restart"/>
            <w:vAlign w:val="center"/>
          </w:tcPr>
          <w:p>
            <w:pPr>
              <w:spacing w:line="380" w:lineRule="exact"/>
              <w:jc w:val="center"/>
              <w:rPr>
                <w:rFonts w:hint="eastAsia"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1</w:t>
            </w:r>
          </w:p>
        </w:tc>
        <w:tc>
          <w:tcPr>
            <w:tcW w:w="1914" w:type="dxa"/>
            <w:vMerge w:val="restart"/>
            <w:vAlign w:val="center"/>
          </w:tcPr>
          <w:p>
            <w:pPr>
              <w:spacing w:line="380" w:lineRule="exact"/>
              <w:jc w:val="center"/>
              <w:rPr>
                <w:rFonts w:hint="eastAsia" w:ascii="宋体" w:hAnsi="宋体" w:eastAsia="宋体" w:cs="宋体"/>
                <w:color w:val="auto"/>
                <w:sz w:val="22"/>
                <w:highlight w:val="none"/>
              </w:rPr>
            </w:pPr>
            <w:r>
              <w:rPr>
                <w:rFonts w:hint="eastAsia" w:ascii="宋体" w:hAnsi="宋体" w:cs="宋体"/>
                <w:b w:val="0"/>
                <w:bCs w:val="0"/>
                <w:color w:val="auto"/>
                <w:sz w:val="22"/>
                <w:szCs w:val="22"/>
                <w:highlight w:val="none"/>
                <w:lang w:eastAsia="zh-CN"/>
              </w:rPr>
              <w:t>东瓯大桥日常维养（3年）</w:t>
            </w:r>
          </w:p>
        </w:tc>
        <w:tc>
          <w:tcPr>
            <w:tcW w:w="6021"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b/>
                <w:bCs w:val="0"/>
                <w:color w:val="auto"/>
                <w:sz w:val="22"/>
                <w:szCs w:val="22"/>
                <w:highlight w:val="none"/>
              </w:rPr>
            </w:pPr>
            <w:r>
              <w:rPr>
                <w:rFonts w:hint="eastAsia" w:ascii="宋体" w:hAnsi="宋体"/>
                <w:b/>
                <w:bCs w:val="0"/>
                <w:color w:val="auto"/>
                <w:sz w:val="22"/>
                <w:szCs w:val="22"/>
                <w:highlight w:val="none"/>
              </w:rPr>
              <w:t>壹年服务期总报价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b w:val="0"/>
                <w:bCs/>
                <w:color w:val="auto"/>
                <w:sz w:val="22"/>
                <w:szCs w:val="22"/>
                <w:highlight w:val="none"/>
              </w:rPr>
            </w:pPr>
            <w:r>
              <w:rPr>
                <w:rFonts w:hint="eastAsia" w:ascii="宋体" w:hAnsi="宋体"/>
                <w:b w:val="0"/>
                <w:bCs/>
                <w:color w:val="auto"/>
                <w:sz w:val="22"/>
                <w:szCs w:val="22"/>
                <w:highlight w:val="none"/>
              </w:rPr>
              <w:t>大写：</w:t>
            </w:r>
            <w:r>
              <w:rPr>
                <w:rFonts w:hint="eastAsia" w:ascii="宋体" w:hAnsi="宋体"/>
                <w:b w:val="0"/>
                <w:bCs/>
                <w:color w:val="auto"/>
                <w:sz w:val="22"/>
                <w:szCs w:val="22"/>
                <w:highlight w:val="none"/>
                <w:u w:val="none"/>
              </w:rPr>
              <w:t xml:space="preserve">人民币   </w:t>
            </w:r>
            <w:r>
              <w:rPr>
                <w:rFonts w:hint="eastAsia" w:ascii="宋体" w:hAnsi="宋体"/>
                <w:b w:val="0"/>
                <w:bCs/>
                <w:color w:val="auto"/>
                <w:sz w:val="22"/>
                <w:szCs w:val="22"/>
                <w:highlight w:val="none"/>
                <w:u w:val="none"/>
                <w:lang w:val="en-US" w:eastAsia="zh-CN"/>
              </w:rPr>
              <w:t xml:space="preserve">  </w:t>
            </w:r>
            <w:r>
              <w:rPr>
                <w:rFonts w:hint="eastAsia" w:ascii="宋体" w:hAnsi="宋体"/>
                <w:b w:val="0"/>
                <w:bCs/>
                <w:color w:val="auto"/>
                <w:sz w:val="22"/>
                <w:szCs w:val="22"/>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color w:val="auto"/>
                <w:sz w:val="22"/>
                <w:highlight w:val="none"/>
              </w:rPr>
            </w:pPr>
            <w:r>
              <w:rPr>
                <w:rFonts w:hint="eastAsia" w:ascii="宋体" w:hAnsi="宋体"/>
                <w:b w:val="0"/>
                <w:bCs/>
                <w:color w:val="auto"/>
                <w:sz w:val="22"/>
                <w:szCs w:val="22"/>
                <w:highlight w:val="none"/>
              </w:rPr>
              <w:t>小写：</w:t>
            </w:r>
            <w:r>
              <w:rPr>
                <w:rFonts w:hint="eastAsia" w:ascii="宋体" w:hAnsi="宋体"/>
                <w:b w:val="0"/>
                <w:bCs/>
                <w:color w:val="auto"/>
                <w:sz w:val="22"/>
                <w:szCs w:val="22"/>
                <w:highlight w:val="none"/>
                <w:u w:val="none"/>
              </w:rPr>
              <w:t xml:space="preserve">￥                                  </w:t>
            </w:r>
          </w:p>
        </w:tc>
        <w:tc>
          <w:tcPr>
            <w:tcW w:w="868" w:type="dxa"/>
            <w:vMerge w:val="restart"/>
            <w:vAlign w:val="center"/>
          </w:tcPr>
          <w:p>
            <w:pPr>
              <w:spacing w:line="380" w:lineRule="exact"/>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15" w:type="dxa"/>
            <w:vMerge w:val="continue"/>
            <w:vAlign w:val="center"/>
          </w:tcPr>
          <w:p>
            <w:pPr>
              <w:spacing w:line="380" w:lineRule="exact"/>
              <w:jc w:val="center"/>
              <w:rPr>
                <w:rFonts w:hint="eastAsia" w:ascii="宋体" w:hAnsi="宋体" w:eastAsia="宋体" w:cs="宋体"/>
                <w:color w:val="auto"/>
                <w:sz w:val="22"/>
                <w:highlight w:val="none"/>
              </w:rPr>
            </w:pPr>
          </w:p>
        </w:tc>
        <w:tc>
          <w:tcPr>
            <w:tcW w:w="1914" w:type="dxa"/>
            <w:vMerge w:val="continue"/>
            <w:vAlign w:val="center"/>
          </w:tcPr>
          <w:p>
            <w:pPr>
              <w:spacing w:line="380" w:lineRule="exact"/>
              <w:jc w:val="center"/>
              <w:rPr>
                <w:rFonts w:hint="eastAsia" w:ascii="宋体" w:hAnsi="宋体" w:eastAsia="宋体" w:cs="宋体"/>
                <w:color w:val="auto"/>
                <w:sz w:val="22"/>
                <w:highlight w:val="none"/>
              </w:rPr>
            </w:pPr>
          </w:p>
        </w:tc>
        <w:tc>
          <w:tcPr>
            <w:tcW w:w="6021"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b/>
                <w:bCs w:val="0"/>
                <w:color w:val="auto"/>
                <w:sz w:val="22"/>
                <w:szCs w:val="22"/>
                <w:highlight w:val="none"/>
              </w:rPr>
            </w:pPr>
            <w:r>
              <w:rPr>
                <w:rFonts w:hint="eastAsia" w:ascii="宋体" w:hAnsi="宋体"/>
                <w:b/>
                <w:bCs w:val="0"/>
                <w:color w:val="auto"/>
                <w:sz w:val="22"/>
                <w:szCs w:val="22"/>
                <w:highlight w:val="none"/>
              </w:rPr>
              <w:t>叁年服务期总报价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b w:val="0"/>
                <w:bCs/>
                <w:color w:val="auto"/>
                <w:sz w:val="22"/>
                <w:szCs w:val="22"/>
                <w:highlight w:val="none"/>
              </w:rPr>
            </w:pPr>
            <w:r>
              <w:rPr>
                <w:rFonts w:hint="eastAsia" w:ascii="宋体" w:hAnsi="宋体"/>
                <w:b w:val="0"/>
                <w:bCs/>
                <w:color w:val="auto"/>
                <w:sz w:val="22"/>
                <w:szCs w:val="22"/>
                <w:highlight w:val="none"/>
              </w:rPr>
              <w:t>大写：</w:t>
            </w:r>
            <w:r>
              <w:rPr>
                <w:rFonts w:hint="eastAsia" w:ascii="宋体" w:hAnsi="宋体"/>
                <w:b w:val="0"/>
                <w:bCs/>
                <w:color w:val="auto"/>
                <w:sz w:val="22"/>
                <w:szCs w:val="22"/>
                <w:highlight w:val="none"/>
                <w:u w:val="none"/>
              </w:rPr>
              <w:t xml:space="preserve">人民币   </w:t>
            </w:r>
            <w:r>
              <w:rPr>
                <w:rFonts w:hint="eastAsia" w:ascii="宋体" w:hAnsi="宋体"/>
                <w:b w:val="0"/>
                <w:bCs/>
                <w:color w:val="auto"/>
                <w:sz w:val="22"/>
                <w:szCs w:val="22"/>
                <w:highlight w:val="none"/>
                <w:u w:val="none"/>
                <w:lang w:val="en-US" w:eastAsia="zh-CN"/>
              </w:rPr>
              <w:t xml:space="preserve">  </w:t>
            </w:r>
            <w:r>
              <w:rPr>
                <w:rFonts w:hint="eastAsia" w:ascii="宋体" w:hAnsi="宋体"/>
                <w:b w:val="0"/>
                <w:bCs/>
                <w:color w:val="auto"/>
                <w:sz w:val="22"/>
                <w:szCs w:val="22"/>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color w:val="auto"/>
                <w:sz w:val="22"/>
                <w:highlight w:val="none"/>
              </w:rPr>
            </w:pPr>
            <w:r>
              <w:rPr>
                <w:rFonts w:hint="eastAsia" w:ascii="宋体" w:hAnsi="宋体"/>
                <w:b w:val="0"/>
                <w:bCs/>
                <w:color w:val="auto"/>
                <w:sz w:val="22"/>
                <w:szCs w:val="22"/>
                <w:highlight w:val="none"/>
              </w:rPr>
              <w:t>小写：</w:t>
            </w:r>
            <w:r>
              <w:rPr>
                <w:rFonts w:hint="eastAsia" w:ascii="宋体" w:hAnsi="宋体"/>
                <w:b w:val="0"/>
                <w:bCs/>
                <w:color w:val="auto"/>
                <w:sz w:val="22"/>
                <w:szCs w:val="22"/>
                <w:highlight w:val="none"/>
                <w:u w:val="none"/>
              </w:rPr>
              <w:t xml:space="preserve">￥ </w:t>
            </w:r>
          </w:p>
        </w:tc>
        <w:tc>
          <w:tcPr>
            <w:tcW w:w="868" w:type="dxa"/>
            <w:vMerge w:val="continue"/>
            <w:vAlign w:val="center"/>
          </w:tcPr>
          <w:p>
            <w:pPr>
              <w:spacing w:line="380" w:lineRule="exact"/>
              <w:jc w:val="center"/>
              <w:rPr>
                <w:rFonts w:hint="eastAsia" w:ascii="宋体" w:hAnsi="宋体" w:eastAsia="宋体" w:cs="宋体"/>
                <w:color w:val="auto"/>
                <w:sz w:val="22"/>
                <w:highlight w:val="none"/>
              </w:rPr>
            </w:pPr>
          </w:p>
        </w:tc>
      </w:tr>
    </w:tbl>
    <w:p>
      <w:pPr>
        <w:spacing w:line="40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w:t>
      </w:r>
    </w:p>
    <w:p>
      <w:pPr>
        <w:numPr>
          <w:ilvl w:val="0"/>
          <w:numId w:val="4"/>
        </w:numPr>
        <w:spacing w:line="45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此栏投标报价应与“3、投标分项报价表”中的总计价相一致。</w:t>
      </w:r>
    </w:p>
    <w:p>
      <w:pPr>
        <w:numPr>
          <w:ilvl w:val="0"/>
          <w:numId w:val="4"/>
        </w:numPr>
        <w:spacing w:line="45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不提供此表格将被视为没有实质性响应招标文件</w:t>
      </w:r>
    </w:p>
    <w:p>
      <w:pPr>
        <w:spacing w:line="360" w:lineRule="auto"/>
        <w:jc w:val="center"/>
        <w:rPr>
          <w:rFonts w:hint="eastAsia" w:ascii="宋体" w:hAnsi="宋体" w:eastAsia="宋体" w:cs="宋体"/>
          <w:color w:val="auto"/>
          <w:sz w:val="22"/>
          <w:szCs w:val="22"/>
          <w:highlight w:val="none"/>
        </w:rPr>
      </w:pPr>
    </w:p>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pPr>
        <w:pStyle w:val="51"/>
        <w:ind w:left="860" w:hanging="440"/>
        <w:rPr>
          <w:rFonts w:hint="eastAsia" w:ascii="宋体" w:hAnsi="宋体" w:eastAsia="宋体" w:cs="宋体"/>
          <w:color w:val="auto"/>
          <w:sz w:val="22"/>
          <w:szCs w:val="22"/>
          <w:highlight w:val="none"/>
        </w:rPr>
      </w:pPr>
    </w:p>
    <w:p>
      <w:pPr>
        <w:pStyle w:val="51"/>
        <w:ind w:left="860" w:hanging="440"/>
        <w:rPr>
          <w:rFonts w:hint="eastAsia" w:ascii="宋体" w:hAnsi="宋体" w:eastAsia="宋体" w:cs="宋体"/>
          <w:color w:val="auto"/>
          <w:sz w:val="22"/>
          <w:szCs w:val="22"/>
          <w:highlight w:val="none"/>
        </w:rPr>
      </w:pPr>
    </w:p>
    <w:p>
      <w:pPr>
        <w:pStyle w:val="51"/>
        <w:ind w:left="860" w:hanging="440"/>
        <w:rPr>
          <w:rFonts w:hint="eastAsia" w:ascii="宋体" w:hAnsi="宋体" w:eastAsia="宋体" w:cs="宋体"/>
          <w:color w:val="auto"/>
          <w:sz w:val="22"/>
          <w:szCs w:val="22"/>
          <w:highlight w:val="none"/>
        </w:rPr>
      </w:pPr>
    </w:p>
    <w:p>
      <w:pPr>
        <w:pStyle w:val="51"/>
        <w:ind w:left="860" w:hanging="440"/>
        <w:rPr>
          <w:rFonts w:hint="eastAsia" w:ascii="宋体" w:hAnsi="宋体" w:eastAsia="宋体" w:cs="宋体"/>
          <w:color w:val="auto"/>
          <w:sz w:val="22"/>
          <w:szCs w:val="22"/>
          <w:highlight w:val="none"/>
        </w:rPr>
      </w:pPr>
    </w:p>
    <w:p>
      <w:pPr>
        <w:pStyle w:val="51"/>
        <w:ind w:left="860" w:hanging="440"/>
        <w:rPr>
          <w:rFonts w:hint="eastAsia" w:ascii="宋体" w:hAnsi="宋体" w:eastAsia="宋体" w:cs="宋体"/>
          <w:color w:val="auto"/>
          <w:sz w:val="22"/>
          <w:szCs w:val="22"/>
          <w:highlight w:val="none"/>
        </w:rPr>
      </w:pPr>
    </w:p>
    <w:p>
      <w:pPr>
        <w:pStyle w:val="51"/>
        <w:ind w:left="860" w:hanging="440"/>
        <w:rPr>
          <w:rFonts w:hint="eastAsia" w:ascii="宋体" w:hAnsi="宋体" w:eastAsia="宋体" w:cs="宋体"/>
          <w:color w:val="auto"/>
          <w:sz w:val="22"/>
          <w:szCs w:val="22"/>
          <w:highlight w:val="none"/>
        </w:rPr>
      </w:pPr>
    </w:p>
    <w:p>
      <w:pPr>
        <w:pStyle w:val="51"/>
        <w:ind w:left="860" w:hanging="440"/>
        <w:rPr>
          <w:rFonts w:hint="eastAsia" w:ascii="宋体" w:hAnsi="宋体" w:eastAsia="宋体" w:cs="宋体"/>
          <w:color w:val="auto"/>
          <w:sz w:val="22"/>
          <w:szCs w:val="22"/>
          <w:highlight w:val="none"/>
        </w:rPr>
      </w:pPr>
    </w:p>
    <w:p>
      <w:pPr>
        <w:pStyle w:val="51"/>
        <w:ind w:left="860" w:hanging="440"/>
        <w:rPr>
          <w:rFonts w:hint="eastAsia" w:ascii="宋体" w:hAnsi="宋体" w:eastAsia="宋体" w:cs="宋体"/>
          <w:color w:val="auto"/>
          <w:sz w:val="22"/>
          <w:szCs w:val="22"/>
          <w:highlight w:val="none"/>
        </w:rPr>
      </w:pPr>
    </w:p>
    <w:p>
      <w:pPr>
        <w:pStyle w:val="51"/>
        <w:ind w:left="860" w:hanging="440"/>
        <w:rPr>
          <w:rFonts w:hint="eastAsia" w:ascii="宋体" w:hAnsi="宋体" w:eastAsia="宋体" w:cs="宋体"/>
          <w:color w:val="auto"/>
          <w:sz w:val="22"/>
          <w:szCs w:val="22"/>
          <w:highlight w:val="none"/>
        </w:rPr>
      </w:pPr>
    </w:p>
    <w:p>
      <w:pPr>
        <w:pStyle w:val="51"/>
        <w:ind w:left="860" w:hanging="440"/>
        <w:rPr>
          <w:rFonts w:hint="eastAsia" w:ascii="宋体" w:hAnsi="宋体" w:eastAsia="宋体" w:cs="宋体"/>
          <w:color w:val="auto"/>
          <w:sz w:val="22"/>
          <w:szCs w:val="22"/>
          <w:highlight w:val="none"/>
        </w:rPr>
      </w:pPr>
    </w:p>
    <w:p>
      <w:pPr>
        <w:pStyle w:val="51"/>
        <w:ind w:left="860" w:hanging="440"/>
        <w:rPr>
          <w:rFonts w:hint="eastAsia" w:ascii="宋体" w:hAnsi="宋体" w:eastAsia="宋体" w:cs="宋体"/>
          <w:color w:val="auto"/>
          <w:sz w:val="22"/>
          <w:szCs w:val="22"/>
          <w:highlight w:val="none"/>
        </w:rPr>
      </w:pPr>
    </w:p>
    <w:p>
      <w:pPr>
        <w:pStyle w:val="51"/>
        <w:ind w:left="860" w:hanging="440"/>
        <w:rPr>
          <w:rFonts w:hint="eastAsia" w:ascii="宋体" w:hAnsi="宋体" w:eastAsia="宋体" w:cs="宋体"/>
          <w:color w:val="auto"/>
          <w:sz w:val="22"/>
          <w:szCs w:val="22"/>
          <w:highlight w:val="none"/>
        </w:rPr>
      </w:pPr>
    </w:p>
    <w:p>
      <w:pPr>
        <w:pStyle w:val="51"/>
        <w:ind w:left="860" w:hanging="440"/>
        <w:rPr>
          <w:rFonts w:hint="eastAsia" w:ascii="宋体" w:hAnsi="宋体" w:eastAsia="宋体" w:cs="宋体"/>
          <w:color w:val="auto"/>
          <w:sz w:val="22"/>
          <w:szCs w:val="22"/>
          <w:highlight w:val="none"/>
        </w:rPr>
      </w:pPr>
    </w:p>
    <w:p>
      <w:pPr>
        <w:pStyle w:val="51"/>
        <w:ind w:left="860" w:hanging="440"/>
        <w:rPr>
          <w:rFonts w:hint="eastAsia" w:ascii="宋体" w:hAnsi="宋体" w:eastAsia="宋体" w:cs="宋体"/>
          <w:color w:val="auto"/>
          <w:sz w:val="22"/>
          <w:szCs w:val="22"/>
          <w:highlight w:val="none"/>
        </w:rPr>
      </w:pPr>
    </w:p>
    <w:p>
      <w:pPr>
        <w:rPr>
          <w:rFonts w:hint="eastAsia" w:ascii="宋体" w:hAnsi="宋体" w:eastAsia="宋体" w:cs="宋体"/>
          <w:b/>
          <w:color w:val="auto"/>
          <w:sz w:val="22"/>
          <w:szCs w:val="22"/>
          <w:highlight w:val="none"/>
          <w:lang w:val="zh-CN"/>
        </w:rPr>
      </w:pPr>
    </w:p>
    <w:p>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3、分项报价表</w:t>
      </w:r>
    </w:p>
    <w:p>
      <w:pPr>
        <w:spacing w:line="360" w:lineRule="auto"/>
        <w:rPr>
          <w:rFonts w:hint="eastAsia" w:ascii="宋体" w:hAnsi="宋体" w:eastAsia="宋体" w:cs="宋体"/>
          <w:b w:val="0"/>
          <w:bCs w:val="0"/>
          <w:color w:val="auto"/>
          <w:sz w:val="22"/>
          <w:szCs w:val="22"/>
          <w:highlight w:val="none"/>
        </w:rPr>
      </w:pP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WZLCZB（W）-2022-07353</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东瓯大桥日常维养（3年）</w:t>
      </w:r>
    </w:p>
    <w:tbl>
      <w:tblPr>
        <w:tblStyle w:val="52"/>
        <w:tblW w:w="10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6"/>
        <w:gridCol w:w="710"/>
        <w:gridCol w:w="350"/>
        <w:gridCol w:w="2056"/>
        <w:gridCol w:w="1409"/>
        <w:gridCol w:w="978"/>
        <w:gridCol w:w="1295"/>
        <w:gridCol w:w="1159"/>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3116"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项目名称</w:t>
            </w:r>
          </w:p>
        </w:tc>
        <w:tc>
          <w:tcPr>
            <w:tcW w:w="14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设施量</w:t>
            </w:r>
          </w:p>
        </w:tc>
        <w:tc>
          <w:tcPr>
            <w:tcW w:w="9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单位</w:t>
            </w:r>
          </w:p>
        </w:tc>
        <w:tc>
          <w:tcPr>
            <w:tcW w:w="12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单价（元）</w:t>
            </w:r>
          </w:p>
        </w:tc>
        <w:tc>
          <w:tcPr>
            <w:tcW w:w="11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合价（元）</w:t>
            </w:r>
          </w:p>
        </w:tc>
        <w:tc>
          <w:tcPr>
            <w:tcW w:w="21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color w:val="auto"/>
                <w:sz w:val="22"/>
                <w:szCs w:val="22"/>
                <w:highlight w:val="none"/>
              </w:rPr>
            </w:pPr>
            <w:r>
              <w:rPr>
                <w:rFonts w:hint="eastAsia" w:ascii="宋体" w:hAnsi="宋体" w:cs="宋体"/>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一</w:t>
            </w:r>
          </w:p>
        </w:tc>
        <w:tc>
          <w:tcPr>
            <w:tcW w:w="10068" w:type="dxa"/>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ind w:firstLine="220" w:firstLineChars="100"/>
              <w:jc w:val="left"/>
              <w:textAlignment w:val="auto"/>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1</w:t>
            </w:r>
          </w:p>
        </w:tc>
        <w:tc>
          <w:tcPr>
            <w:tcW w:w="10068" w:type="dxa"/>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巡视检查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4"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1.1</w:t>
            </w:r>
          </w:p>
        </w:tc>
        <w:tc>
          <w:tcPr>
            <w:tcW w:w="3116"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日常巡查</w:t>
            </w:r>
          </w:p>
        </w:tc>
        <w:tc>
          <w:tcPr>
            <w:tcW w:w="14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5378.84</w:t>
            </w:r>
          </w:p>
        </w:tc>
        <w:tc>
          <w:tcPr>
            <w:tcW w:w="9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m/次</w:t>
            </w:r>
          </w:p>
        </w:tc>
        <w:tc>
          <w:tcPr>
            <w:tcW w:w="12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val="0"/>
                <w:bCs/>
                <w:color w:val="auto"/>
                <w:sz w:val="22"/>
                <w:szCs w:val="22"/>
                <w:highlight w:val="none"/>
              </w:rPr>
            </w:pPr>
          </w:p>
        </w:tc>
        <w:tc>
          <w:tcPr>
            <w:tcW w:w="11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21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巡查频率：一日一次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76" w:type="dxa"/>
            <w:tcBorders>
              <w:top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1.2</w:t>
            </w:r>
          </w:p>
        </w:tc>
        <w:tc>
          <w:tcPr>
            <w:tcW w:w="3116" w:type="dxa"/>
            <w:gridSpan w:val="3"/>
            <w:tcBorders>
              <w:top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常规定期检测</w:t>
            </w:r>
          </w:p>
        </w:tc>
        <w:tc>
          <w:tcPr>
            <w:tcW w:w="1409" w:type="dxa"/>
            <w:tcBorders>
              <w:top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1</w:t>
            </w:r>
          </w:p>
        </w:tc>
        <w:tc>
          <w:tcPr>
            <w:tcW w:w="978" w:type="dxa"/>
            <w:tcBorders>
              <w:top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项</w:t>
            </w:r>
          </w:p>
        </w:tc>
        <w:tc>
          <w:tcPr>
            <w:tcW w:w="1295" w:type="dxa"/>
            <w:tcBorders>
              <w:top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val="0"/>
                <w:bCs/>
                <w:color w:val="auto"/>
                <w:sz w:val="22"/>
                <w:szCs w:val="22"/>
                <w:highlight w:val="none"/>
              </w:rPr>
            </w:pPr>
          </w:p>
        </w:tc>
        <w:tc>
          <w:tcPr>
            <w:tcW w:w="1159" w:type="dxa"/>
            <w:tcBorders>
              <w:top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2111" w:type="dxa"/>
            <w:tcBorders>
              <w:top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jc w:val="center"/>
        </w:trPr>
        <w:tc>
          <w:tcPr>
            <w:tcW w:w="6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2</w:t>
            </w:r>
          </w:p>
        </w:tc>
        <w:tc>
          <w:tcPr>
            <w:tcW w:w="6798" w:type="dxa"/>
            <w:gridSpan w:val="6"/>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日常维养</w:t>
            </w:r>
          </w:p>
        </w:tc>
        <w:tc>
          <w:tcPr>
            <w:tcW w:w="115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color w:val="auto"/>
                <w:sz w:val="22"/>
                <w:szCs w:val="22"/>
                <w:highlight w:val="none"/>
              </w:rPr>
            </w:pPr>
          </w:p>
        </w:tc>
        <w:tc>
          <w:tcPr>
            <w:tcW w:w="211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8" w:hRule="atLeast"/>
          <w:jc w:val="center"/>
        </w:trPr>
        <w:tc>
          <w:tcPr>
            <w:tcW w:w="6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2.1</w:t>
            </w:r>
          </w:p>
        </w:tc>
        <w:tc>
          <w:tcPr>
            <w:tcW w:w="710" w:type="dxa"/>
            <w:vMerge w:val="restart"/>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车行道</w:t>
            </w:r>
          </w:p>
        </w:tc>
        <w:tc>
          <w:tcPr>
            <w:tcW w:w="2406" w:type="dxa"/>
            <w:gridSpan w:val="2"/>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沥青混凝土路面</w:t>
            </w:r>
          </w:p>
        </w:tc>
        <w:tc>
          <w:tcPr>
            <w:tcW w:w="1409" w:type="dxa"/>
            <w:tcBorders>
              <w:top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37282</w:t>
            </w:r>
          </w:p>
        </w:tc>
        <w:tc>
          <w:tcPr>
            <w:tcW w:w="978" w:type="dxa"/>
            <w:tcBorders>
              <w:top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w:t>
            </w:r>
          </w:p>
        </w:tc>
        <w:tc>
          <w:tcPr>
            <w:tcW w:w="1295" w:type="dxa"/>
            <w:tcBorders>
              <w:top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1159" w:type="dxa"/>
            <w:tcBorders>
              <w:top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2111" w:type="dxa"/>
            <w:tcBorders>
              <w:top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6" w:hRule="atLeast"/>
          <w:jc w:val="center"/>
        </w:trPr>
        <w:tc>
          <w:tcPr>
            <w:tcW w:w="6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2.2</w:t>
            </w:r>
          </w:p>
        </w:tc>
        <w:tc>
          <w:tcPr>
            <w:tcW w:w="71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2406" w:type="dxa"/>
            <w:gridSpan w:val="2"/>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水泥混凝土路面</w:t>
            </w:r>
          </w:p>
        </w:tc>
        <w:tc>
          <w:tcPr>
            <w:tcW w:w="14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宋体" w:hAnsi="宋体" w:cs="宋体"/>
                <w:color w:val="auto"/>
                <w:sz w:val="22"/>
                <w:szCs w:val="22"/>
                <w:highlight w:val="none"/>
                <w:lang w:val="en"/>
              </w:rPr>
            </w:pPr>
            <w:r>
              <w:rPr>
                <w:rFonts w:hint="default" w:ascii="宋体" w:hAnsi="宋体" w:cs="宋体"/>
                <w:color w:val="auto"/>
                <w:sz w:val="22"/>
                <w:szCs w:val="22"/>
                <w:highlight w:val="none"/>
                <w:lang w:val="en"/>
              </w:rPr>
              <w:t>18393</w:t>
            </w:r>
          </w:p>
        </w:tc>
        <w:tc>
          <w:tcPr>
            <w:tcW w:w="978"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w:t>
            </w:r>
          </w:p>
        </w:tc>
        <w:tc>
          <w:tcPr>
            <w:tcW w:w="129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115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211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2.3</w:t>
            </w:r>
          </w:p>
        </w:tc>
        <w:tc>
          <w:tcPr>
            <w:tcW w:w="710" w:type="dxa"/>
            <w:vMerge w:val="restart"/>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人行道</w:t>
            </w:r>
          </w:p>
        </w:tc>
        <w:tc>
          <w:tcPr>
            <w:tcW w:w="2406" w:type="dxa"/>
            <w:gridSpan w:val="2"/>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普通预制水泥混凝土人行道砖</w:t>
            </w:r>
          </w:p>
        </w:tc>
        <w:tc>
          <w:tcPr>
            <w:tcW w:w="140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2"/>
                <w:sz w:val="22"/>
                <w:szCs w:val="22"/>
                <w:highlight w:val="none"/>
                <w:lang w:val="en" w:eastAsia="zh-CN" w:bidi="ar-SA"/>
              </w:rPr>
            </w:pPr>
            <w:r>
              <w:rPr>
                <w:rFonts w:hint="eastAsia" w:ascii="宋体" w:hAnsi="宋体" w:cs="宋体"/>
                <w:color w:val="auto"/>
                <w:sz w:val="22"/>
                <w:szCs w:val="22"/>
                <w:highlight w:val="none"/>
              </w:rPr>
              <w:t>4620</w:t>
            </w:r>
          </w:p>
        </w:tc>
        <w:tc>
          <w:tcPr>
            <w:tcW w:w="97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w:t>
            </w:r>
          </w:p>
        </w:tc>
        <w:tc>
          <w:tcPr>
            <w:tcW w:w="129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115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211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9" w:hRule="atLeast"/>
          <w:jc w:val="center"/>
        </w:trPr>
        <w:tc>
          <w:tcPr>
            <w:tcW w:w="6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2.4</w:t>
            </w:r>
          </w:p>
        </w:tc>
        <w:tc>
          <w:tcPr>
            <w:tcW w:w="71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2406" w:type="dxa"/>
            <w:gridSpan w:val="2"/>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花岗岩人行道</w:t>
            </w:r>
          </w:p>
        </w:tc>
        <w:tc>
          <w:tcPr>
            <w:tcW w:w="140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4886</w:t>
            </w:r>
          </w:p>
        </w:tc>
        <w:tc>
          <w:tcPr>
            <w:tcW w:w="97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w:t>
            </w:r>
          </w:p>
        </w:tc>
        <w:tc>
          <w:tcPr>
            <w:tcW w:w="129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115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211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atLeast"/>
          <w:jc w:val="center"/>
        </w:trPr>
        <w:tc>
          <w:tcPr>
            <w:tcW w:w="6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2.5</w:t>
            </w:r>
          </w:p>
        </w:tc>
        <w:tc>
          <w:tcPr>
            <w:tcW w:w="71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2406" w:type="dxa"/>
            <w:gridSpan w:val="2"/>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花岗岩平石</w:t>
            </w:r>
          </w:p>
        </w:tc>
        <w:tc>
          <w:tcPr>
            <w:tcW w:w="140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3252</w:t>
            </w:r>
          </w:p>
        </w:tc>
        <w:tc>
          <w:tcPr>
            <w:tcW w:w="97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m</w:t>
            </w:r>
          </w:p>
        </w:tc>
        <w:tc>
          <w:tcPr>
            <w:tcW w:w="129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115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211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jc w:val="center"/>
        </w:trPr>
        <w:tc>
          <w:tcPr>
            <w:tcW w:w="6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2.6</w:t>
            </w:r>
          </w:p>
        </w:tc>
        <w:tc>
          <w:tcPr>
            <w:tcW w:w="71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2406" w:type="dxa"/>
            <w:gridSpan w:val="2"/>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花岗岩侧石</w:t>
            </w:r>
          </w:p>
        </w:tc>
        <w:tc>
          <w:tcPr>
            <w:tcW w:w="140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3252</w:t>
            </w:r>
          </w:p>
        </w:tc>
        <w:tc>
          <w:tcPr>
            <w:tcW w:w="97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m</w:t>
            </w:r>
          </w:p>
        </w:tc>
        <w:tc>
          <w:tcPr>
            <w:tcW w:w="129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115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211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jc w:val="center"/>
        </w:trPr>
        <w:tc>
          <w:tcPr>
            <w:tcW w:w="6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二</w:t>
            </w:r>
          </w:p>
        </w:tc>
        <w:tc>
          <w:tcPr>
            <w:tcW w:w="10068" w:type="dxa"/>
            <w:gridSpan w:val="8"/>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ind w:firstLine="220" w:firstLineChars="100"/>
              <w:jc w:val="left"/>
              <w:textAlignment w:val="auto"/>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桥梁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jc w:val="center"/>
        </w:trPr>
        <w:tc>
          <w:tcPr>
            <w:tcW w:w="6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1</w:t>
            </w:r>
          </w:p>
        </w:tc>
        <w:tc>
          <w:tcPr>
            <w:tcW w:w="10068" w:type="dxa"/>
            <w:gridSpan w:val="8"/>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巡视检查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1.1</w:t>
            </w:r>
          </w:p>
        </w:tc>
        <w:tc>
          <w:tcPr>
            <w:tcW w:w="3116" w:type="dxa"/>
            <w:gridSpan w:val="3"/>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日常巡查</w:t>
            </w:r>
          </w:p>
        </w:tc>
        <w:tc>
          <w:tcPr>
            <w:tcW w:w="14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7356.7</w:t>
            </w:r>
          </w:p>
        </w:tc>
        <w:tc>
          <w:tcPr>
            <w:tcW w:w="978"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m/次</w:t>
            </w:r>
          </w:p>
        </w:tc>
        <w:tc>
          <w:tcPr>
            <w:tcW w:w="129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115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211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巡查频率：一日一次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8" w:hRule="atLeast"/>
          <w:jc w:val="center"/>
        </w:trPr>
        <w:tc>
          <w:tcPr>
            <w:tcW w:w="6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1.2</w:t>
            </w:r>
          </w:p>
        </w:tc>
        <w:tc>
          <w:tcPr>
            <w:tcW w:w="3116" w:type="dxa"/>
            <w:gridSpan w:val="3"/>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常规定期检测</w:t>
            </w:r>
          </w:p>
        </w:tc>
        <w:tc>
          <w:tcPr>
            <w:tcW w:w="14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1</w:t>
            </w:r>
          </w:p>
        </w:tc>
        <w:tc>
          <w:tcPr>
            <w:tcW w:w="978"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项</w:t>
            </w:r>
          </w:p>
        </w:tc>
        <w:tc>
          <w:tcPr>
            <w:tcW w:w="129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val="0"/>
                <w:bCs w:val="0"/>
                <w:color w:val="auto"/>
                <w:sz w:val="22"/>
                <w:szCs w:val="22"/>
                <w:highlight w:val="none"/>
              </w:rPr>
            </w:pPr>
          </w:p>
        </w:tc>
        <w:tc>
          <w:tcPr>
            <w:tcW w:w="115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val="0"/>
                <w:bCs w:val="0"/>
                <w:color w:val="auto"/>
                <w:sz w:val="22"/>
                <w:szCs w:val="22"/>
                <w:highlight w:val="none"/>
              </w:rPr>
            </w:pPr>
          </w:p>
        </w:tc>
        <w:tc>
          <w:tcPr>
            <w:tcW w:w="211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jc w:val="center"/>
        </w:trPr>
        <w:tc>
          <w:tcPr>
            <w:tcW w:w="6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2</w:t>
            </w:r>
          </w:p>
        </w:tc>
        <w:tc>
          <w:tcPr>
            <w:tcW w:w="6798" w:type="dxa"/>
            <w:gridSpan w:val="6"/>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基础设施</w:t>
            </w:r>
          </w:p>
        </w:tc>
        <w:tc>
          <w:tcPr>
            <w:tcW w:w="115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color w:val="auto"/>
                <w:sz w:val="22"/>
                <w:szCs w:val="22"/>
                <w:highlight w:val="none"/>
              </w:rPr>
            </w:pPr>
          </w:p>
        </w:tc>
        <w:tc>
          <w:tcPr>
            <w:tcW w:w="211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82" w:hRule="atLeast"/>
          <w:jc w:val="center"/>
        </w:trPr>
        <w:tc>
          <w:tcPr>
            <w:tcW w:w="6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2.1</w:t>
            </w:r>
          </w:p>
        </w:tc>
        <w:tc>
          <w:tcPr>
            <w:tcW w:w="71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车行道</w:t>
            </w:r>
          </w:p>
        </w:tc>
        <w:tc>
          <w:tcPr>
            <w:tcW w:w="2406" w:type="dxa"/>
            <w:gridSpan w:val="2"/>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水泥混凝土桥面</w:t>
            </w:r>
          </w:p>
        </w:tc>
        <w:tc>
          <w:tcPr>
            <w:tcW w:w="14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宋体" w:hAnsi="宋体" w:cs="宋体"/>
                <w:color w:val="auto"/>
                <w:sz w:val="22"/>
                <w:szCs w:val="22"/>
                <w:highlight w:val="none"/>
                <w:lang w:val="en"/>
              </w:rPr>
            </w:pPr>
            <w:r>
              <w:rPr>
                <w:rFonts w:hint="default" w:ascii="宋体" w:hAnsi="宋体" w:cs="宋体"/>
                <w:color w:val="auto"/>
                <w:sz w:val="22"/>
                <w:szCs w:val="22"/>
                <w:highlight w:val="none"/>
                <w:lang w:val="en"/>
              </w:rPr>
              <w:t>64824</w:t>
            </w:r>
          </w:p>
        </w:tc>
        <w:tc>
          <w:tcPr>
            <w:tcW w:w="978"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w:t>
            </w:r>
          </w:p>
        </w:tc>
        <w:tc>
          <w:tcPr>
            <w:tcW w:w="129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115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211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宋体" w:hAnsi="宋体" w:cs="宋体"/>
                <w:color w:val="auto"/>
                <w:sz w:val="22"/>
                <w:szCs w:val="22"/>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0" w:hRule="atLeast"/>
          <w:jc w:val="center"/>
        </w:trPr>
        <w:tc>
          <w:tcPr>
            <w:tcW w:w="6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2.2</w:t>
            </w:r>
          </w:p>
        </w:tc>
        <w:tc>
          <w:tcPr>
            <w:tcW w:w="710" w:type="dxa"/>
            <w:vMerge w:val="restart"/>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栏杆</w:t>
            </w:r>
          </w:p>
        </w:tc>
        <w:tc>
          <w:tcPr>
            <w:tcW w:w="2406" w:type="dxa"/>
            <w:gridSpan w:val="2"/>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钢筋混凝土栏杆</w:t>
            </w:r>
          </w:p>
        </w:tc>
        <w:tc>
          <w:tcPr>
            <w:tcW w:w="140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9719.3</w:t>
            </w:r>
          </w:p>
        </w:tc>
        <w:tc>
          <w:tcPr>
            <w:tcW w:w="9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m</w:t>
            </w:r>
          </w:p>
        </w:tc>
        <w:tc>
          <w:tcPr>
            <w:tcW w:w="12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11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21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1" w:hRule="atLeast"/>
          <w:jc w:val="center"/>
        </w:trPr>
        <w:tc>
          <w:tcPr>
            <w:tcW w:w="6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2.3</w:t>
            </w:r>
          </w:p>
        </w:tc>
        <w:tc>
          <w:tcPr>
            <w:tcW w:w="710" w:type="dxa"/>
            <w:vMerge w:val="continue"/>
            <w:tcBorders>
              <w:left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2406" w:type="dxa"/>
            <w:gridSpan w:val="2"/>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防撞护栏钢管扶手</w:t>
            </w:r>
          </w:p>
        </w:tc>
        <w:tc>
          <w:tcPr>
            <w:tcW w:w="140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9372.7</w:t>
            </w:r>
          </w:p>
        </w:tc>
        <w:tc>
          <w:tcPr>
            <w:tcW w:w="9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m</w:t>
            </w:r>
          </w:p>
        </w:tc>
        <w:tc>
          <w:tcPr>
            <w:tcW w:w="12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11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21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jc w:val="center"/>
        </w:trPr>
        <w:tc>
          <w:tcPr>
            <w:tcW w:w="6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2.4</w:t>
            </w:r>
          </w:p>
        </w:tc>
        <w:tc>
          <w:tcPr>
            <w:tcW w:w="710" w:type="dxa"/>
            <w:vMerge w:val="restart"/>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伸缩缝</w:t>
            </w:r>
          </w:p>
        </w:tc>
        <w:tc>
          <w:tcPr>
            <w:tcW w:w="2406" w:type="dxa"/>
            <w:gridSpan w:val="2"/>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型钢</w:t>
            </w:r>
            <w:r>
              <w:rPr>
                <w:rFonts w:hint="eastAsia" w:ascii="宋体" w:hAnsi="宋体" w:cs="宋体"/>
                <w:color w:val="auto"/>
                <w:sz w:val="22"/>
                <w:szCs w:val="22"/>
                <w:highlight w:val="none"/>
              </w:rPr>
              <w:t>伸缩缝</w:t>
            </w:r>
          </w:p>
        </w:tc>
        <w:tc>
          <w:tcPr>
            <w:tcW w:w="14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1268.75</w:t>
            </w:r>
          </w:p>
        </w:tc>
        <w:tc>
          <w:tcPr>
            <w:tcW w:w="978"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m</w:t>
            </w:r>
          </w:p>
        </w:tc>
        <w:tc>
          <w:tcPr>
            <w:tcW w:w="129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115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211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3" w:hRule="atLeast"/>
          <w:jc w:val="center"/>
        </w:trPr>
        <w:tc>
          <w:tcPr>
            <w:tcW w:w="6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2.6</w:t>
            </w:r>
          </w:p>
        </w:tc>
        <w:tc>
          <w:tcPr>
            <w:tcW w:w="71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2406" w:type="dxa"/>
            <w:gridSpan w:val="2"/>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bCs/>
                <w:color w:val="auto"/>
                <w:sz w:val="22"/>
                <w:szCs w:val="22"/>
                <w:highlight w:val="none"/>
              </w:rPr>
            </w:pPr>
            <w:r>
              <w:rPr>
                <w:rFonts w:hint="eastAsia" w:ascii="宋体" w:hAnsi="宋体" w:cs="宋体"/>
                <w:color w:val="auto"/>
                <w:sz w:val="22"/>
                <w:szCs w:val="22"/>
                <w:highlight w:val="none"/>
              </w:rPr>
              <w:t>梳齿板伸缩缝日常保养</w:t>
            </w:r>
          </w:p>
        </w:tc>
        <w:tc>
          <w:tcPr>
            <w:tcW w:w="14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42</w:t>
            </w:r>
          </w:p>
        </w:tc>
        <w:tc>
          <w:tcPr>
            <w:tcW w:w="978"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m</w:t>
            </w:r>
          </w:p>
        </w:tc>
        <w:tc>
          <w:tcPr>
            <w:tcW w:w="129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115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211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1" w:hRule="atLeast"/>
          <w:jc w:val="center"/>
        </w:trPr>
        <w:tc>
          <w:tcPr>
            <w:tcW w:w="6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6</w:t>
            </w:r>
          </w:p>
        </w:tc>
        <w:tc>
          <w:tcPr>
            <w:tcW w:w="71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2406" w:type="dxa"/>
            <w:gridSpan w:val="2"/>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型钢伸缩缝</w:t>
            </w:r>
          </w:p>
        </w:tc>
        <w:tc>
          <w:tcPr>
            <w:tcW w:w="14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1268.75</w:t>
            </w:r>
          </w:p>
        </w:tc>
        <w:tc>
          <w:tcPr>
            <w:tcW w:w="978"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m</w:t>
            </w:r>
          </w:p>
        </w:tc>
        <w:tc>
          <w:tcPr>
            <w:tcW w:w="129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115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211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2" w:hRule="atLeast"/>
          <w:jc w:val="center"/>
        </w:trPr>
        <w:tc>
          <w:tcPr>
            <w:tcW w:w="6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7</w:t>
            </w:r>
          </w:p>
        </w:tc>
        <w:tc>
          <w:tcPr>
            <w:tcW w:w="71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2406" w:type="dxa"/>
            <w:gridSpan w:val="2"/>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梳齿板伸缩缝</w:t>
            </w:r>
          </w:p>
        </w:tc>
        <w:tc>
          <w:tcPr>
            <w:tcW w:w="14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42</w:t>
            </w:r>
          </w:p>
        </w:tc>
        <w:tc>
          <w:tcPr>
            <w:tcW w:w="978"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m</w:t>
            </w:r>
          </w:p>
        </w:tc>
        <w:tc>
          <w:tcPr>
            <w:tcW w:w="129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115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211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jc w:val="center"/>
        </w:trPr>
        <w:tc>
          <w:tcPr>
            <w:tcW w:w="6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8</w:t>
            </w:r>
          </w:p>
        </w:tc>
        <w:tc>
          <w:tcPr>
            <w:tcW w:w="710" w:type="dxa"/>
            <w:vMerge w:val="restart"/>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拱肋和吊杆</w:t>
            </w:r>
          </w:p>
        </w:tc>
        <w:tc>
          <w:tcPr>
            <w:tcW w:w="2406" w:type="dxa"/>
            <w:gridSpan w:val="2"/>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系杆、吊杆</w:t>
            </w:r>
          </w:p>
        </w:tc>
        <w:tc>
          <w:tcPr>
            <w:tcW w:w="14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22</w:t>
            </w:r>
          </w:p>
        </w:tc>
        <w:tc>
          <w:tcPr>
            <w:tcW w:w="978"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根</w:t>
            </w:r>
          </w:p>
        </w:tc>
        <w:tc>
          <w:tcPr>
            <w:tcW w:w="129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115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211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7" w:hRule="atLeast"/>
          <w:jc w:val="center"/>
        </w:trPr>
        <w:tc>
          <w:tcPr>
            <w:tcW w:w="6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9</w:t>
            </w:r>
          </w:p>
        </w:tc>
        <w:tc>
          <w:tcPr>
            <w:tcW w:w="71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2406" w:type="dxa"/>
            <w:gridSpan w:val="2"/>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拱肋</w:t>
            </w:r>
          </w:p>
        </w:tc>
        <w:tc>
          <w:tcPr>
            <w:tcW w:w="14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978"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项</w:t>
            </w:r>
          </w:p>
        </w:tc>
        <w:tc>
          <w:tcPr>
            <w:tcW w:w="129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115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211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7" w:hRule="atLeast"/>
          <w:jc w:val="center"/>
        </w:trPr>
        <w:tc>
          <w:tcPr>
            <w:tcW w:w="6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10</w:t>
            </w:r>
          </w:p>
        </w:tc>
        <w:tc>
          <w:tcPr>
            <w:tcW w:w="710" w:type="dxa"/>
            <w:vMerge w:val="restart"/>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支座</w:t>
            </w:r>
          </w:p>
        </w:tc>
        <w:tc>
          <w:tcPr>
            <w:tcW w:w="2406" w:type="dxa"/>
            <w:gridSpan w:val="2"/>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支座日常检查</w:t>
            </w:r>
          </w:p>
        </w:tc>
        <w:tc>
          <w:tcPr>
            <w:tcW w:w="14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978"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项</w:t>
            </w:r>
          </w:p>
        </w:tc>
        <w:tc>
          <w:tcPr>
            <w:tcW w:w="12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11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21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检查内容参照</w:t>
            </w:r>
            <w:r>
              <w:rPr>
                <w:rFonts w:hint="eastAsia" w:ascii="宋体" w:hAnsi="宋体" w:cs="宋体"/>
                <w:color w:val="auto"/>
                <w:sz w:val="22"/>
                <w:szCs w:val="22"/>
                <w:highlight w:val="none"/>
                <w:lang w:eastAsia="zh-CN"/>
              </w:rPr>
              <w:t>《城市桥梁养护技术规范》</w:t>
            </w:r>
            <w:r>
              <w:rPr>
                <w:rFonts w:hint="eastAsia" w:ascii="宋体" w:hAnsi="宋体" w:cs="宋体"/>
                <w:color w:val="auto"/>
                <w:sz w:val="22"/>
                <w:szCs w:val="22"/>
                <w:highlight w:val="none"/>
              </w:rPr>
              <w:t>（CJJ99-2017）6.1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jc w:val="center"/>
        </w:trPr>
        <w:tc>
          <w:tcPr>
            <w:tcW w:w="6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2.1</w:t>
            </w:r>
            <w:r>
              <w:rPr>
                <w:rFonts w:hint="eastAsia" w:ascii="宋体" w:hAnsi="宋体" w:cs="宋体"/>
                <w:color w:val="auto"/>
                <w:sz w:val="22"/>
                <w:szCs w:val="22"/>
                <w:highlight w:val="none"/>
                <w:lang w:val="en-US" w:eastAsia="zh-CN"/>
              </w:rPr>
              <w:t>1</w:t>
            </w:r>
          </w:p>
        </w:tc>
        <w:tc>
          <w:tcPr>
            <w:tcW w:w="71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2406" w:type="dxa"/>
            <w:gridSpan w:val="2"/>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lang w:val="en" w:eastAsia="zh-CN"/>
              </w:rPr>
            </w:pPr>
            <w:r>
              <w:rPr>
                <w:rFonts w:hint="eastAsia" w:ascii="宋体" w:hAnsi="宋体" w:cs="宋体"/>
                <w:color w:val="auto"/>
                <w:sz w:val="22"/>
                <w:szCs w:val="22"/>
                <w:highlight w:val="none"/>
              </w:rPr>
              <w:t>盆式支座</w:t>
            </w:r>
          </w:p>
        </w:tc>
        <w:tc>
          <w:tcPr>
            <w:tcW w:w="14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270</w:t>
            </w:r>
          </w:p>
        </w:tc>
        <w:tc>
          <w:tcPr>
            <w:tcW w:w="9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只</w:t>
            </w:r>
          </w:p>
        </w:tc>
        <w:tc>
          <w:tcPr>
            <w:tcW w:w="1295"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1159"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2111" w:type="dxa"/>
            <w:vMerge w:val="restart"/>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宋体" w:hAnsi="宋体" w:cs="宋体"/>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 w:hRule="atLeast"/>
          <w:jc w:val="center"/>
        </w:trPr>
        <w:tc>
          <w:tcPr>
            <w:tcW w:w="6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2.1</w:t>
            </w:r>
            <w:r>
              <w:rPr>
                <w:rFonts w:hint="eastAsia" w:ascii="宋体" w:hAnsi="宋体" w:cs="宋体"/>
                <w:color w:val="auto"/>
                <w:sz w:val="22"/>
                <w:szCs w:val="22"/>
                <w:highlight w:val="none"/>
                <w:lang w:val="en-US" w:eastAsia="zh-CN"/>
              </w:rPr>
              <w:t>2</w:t>
            </w:r>
          </w:p>
        </w:tc>
        <w:tc>
          <w:tcPr>
            <w:tcW w:w="71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2406" w:type="dxa"/>
            <w:gridSpan w:val="2"/>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橡胶支座（大型桥梁）</w:t>
            </w:r>
          </w:p>
        </w:tc>
        <w:tc>
          <w:tcPr>
            <w:tcW w:w="14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3876</w:t>
            </w:r>
          </w:p>
        </w:tc>
        <w:tc>
          <w:tcPr>
            <w:tcW w:w="9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只</w:t>
            </w:r>
          </w:p>
        </w:tc>
        <w:tc>
          <w:tcPr>
            <w:tcW w:w="1295" w:type="dxa"/>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1159" w:type="dxa"/>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2111" w:type="dxa"/>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 w:hRule="atLeast"/>
          <w:jc w:val="center"/>
        </w:trPr>
        <w:tc>
          <w:tcPr>
            <w:tcW w:w="6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2.1</w:t>
            </w:r>
            <w:r>
              <w:rPr>
                <w:rFonts w:hint="eastAsia" w:ascii="宋体" w:hAnsi="宋体" w:cs="宋体"/>
                <w:color w:val="auto"/>
                <w:sz w:val="22"/>
                <w:szCs w:val="22"/>
                <w:highlight w:val="none"/>
                <w:lang w:val="en-US" w:eastAsia="zh-CN"/>
              </w:rPr>
              <w:t>3</w:t>
            </w:r>
          </w:p>
        </w:tc>
        <w:tc>
          <w:tcPr>
            <w:tcW w:w="71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墩台</w:t>
            </w:r>
          </w:p>
        </w:tc>
        <w:tc>
          <w:tcPr>
            <w:tcW w:w="2406" w:type="dxa"/>
            <w:gridSpan w:val="2"/>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墩台日常保养</w:t>
            </w:r>
          </w:p>
        </w:tc>
        <w:tc>
          <w:tcPr>
            <w:tcW w:w="14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9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项</w:t>
            </w:r>
          </w:p>
        </w:tc>
        <w:tc>
          <w:tcPr>
            <w:tcW w:w="1295" w:type="dxa"/>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1159" w:type="dxa"/>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2111" w:type="dxa"/>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3" w:hRule="atLeast"/>
          <w:jc w:val="center"/>
        </w:trPr>
        <w:tc>
          <w:tcPr>
            <w:tcW w:w="6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2.14</w:t>
            </w:r>
          </w:p>
        </w:tc>
        <w:tc>
          <w:tcPr>
            <w:tcW w:w="71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梁体</w:t>
            </w:r>
          </w:p>
        </w:tc>
        <w:tc>
          <w:tcPr>
            <w:tcW w:w="2406" w:type="dxa"/>
            <w:gridSpan w:val="2"/>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梁体</w:t>
            </w:r>
            <w:r>
              <w:rPr>
                <w:rFonts w:hint="eastAsia" w:ascii="宋体" w:hAnsi="宋体" w:cs="宋体"/>
                <w:color w:val="auto"/>
                <w:sz w:val="22"/>
                <w:szCs w:val="22"/>
                <w:highlight w:val="none"/>
              </w:rPr>
              <w:t>日常保养</w:t>
            </w:r>
          </w:p>
        </w:tc>
        <w:tc>
          <w:tcPr>
            <w:tcW w:w="14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1</w:t>
            </w:r>
          </w:p>
        </w:tc>
        <w:tc>
          <w:tcPr>
            <w:tcW w:w="9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项</w:t>
            </w:r>
          </w:p>
        </w:tc>
        <w:tc>
          <w:tcPr>
            <w:tcW w:w="1295" w:type="dxa"/>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1159" w:type="dxa"/>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2111" w:type="dxa"/>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6" w:hRule="atLeast"/>
          <w:jc w:val="center"/>
        </w:trPr>
        <w:tc>
          <w:tcPr>
            <w:tcW w:w="6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6798" w:type="dxa"/>
            <w:gridSpan w:val="6"/>
            <w:tcBorders>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附属设施</w:t>
            </w:r>
          </w:p>
        </w:tc>
        <w:tc>
          <w:tcPr>
            <w:tcW w:w="1159" w:type="dxa"/>
            <w:tcBorders>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2111" w:type="dxa"/>
            <w:tcBorders>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3.1</w:t>
            </w:r>
          </w:p>
        </w:tc>
        <w:tc>
          <w:tcPr>
            <w:tcW w:w="3116" w:type="dxa"/>
            <w:gridSpan w:val="3"/>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隔音屏</w:t>
            </w:r>
          </w:p>
        </w:tc>
        <w:tc>
          <w:tcPr>
            <w:tcW w:w="14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1641.39</w:t>
            </w:r>
          </w:p>
        </w:tc>
        <w:tc>
          <w:tcPr>
            <w:tcW w:w="978"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w:t>
            </w:r>
          </w:p>
        </w:tc>
        <w:tc>
          <w:tcPr>
            <w:tcW w:w="129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115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211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3.2</w:t>
            </w:r>
          </w:p>
        </w:tc>
        <w:tc>
          <w:tcPr>
            <w:tcW w:w="3116" w:type="dxa"/>
            <w:gridSpan w:val="3"/>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桥名牌、限载牌、限高牌、桥墩编号牌</w:t>
            </w:r>
            <w:r>
              <w:rPr>
                <w:rFonts w:hint="eastAsia" w:ascii="宋体" w:hAnsi="宋体" w:cs="宋体"/>
                <w:color w:val="auto"/>
                <w:sz w:val="22"/>
                <w:szCs w:val="22"/>
                <w:highlight w:val="none"/>
                <w:lang w:eastAsia="zh-CN"/>
              </w:rPr>
              <w:t>、伸缩缝编号牌</w:t>
            </w:r>
          </w:p>
        </w:tc>
        <w:tc>
          <w:tcPr>
            <w:tcW w:w="14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978"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项</w:t>
            </w:r>
          </w:p>
        </w:tc>
        <w:tc>
          <w:tcPr>
            <w:tcW w:w="129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115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211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3.3</w:t>
            </w:r>
          </w:p>
        </w:tc>
        <w:tc>
          <w:tcPr>
            <w:tcW w:w="3116" w:type="dxa"/>
            <w:gridSpan w:val="3"/>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限高门架</w:t>
            </w:r>
          </w:p>
        </w:tc>
        <w:tc>
          <w:tcPr>
            <w:tcW w:w="14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978"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项</w:t>
            </w:r>
          </w:p>
        </w:tc>
        <w:tc>
          <w:tcPr>
            <w:tcW w:w="129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115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211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三</w:t>
            </w:r>
          </w:p>
        </w:tc>
        <w:tc>
          <w:tcPr>
            <w:tcW w:w="6798" w:type="dxa"/>
            <w:gridSpan w:val="6"/>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其他</w:t>
            </w:r>
          </w:p>
        </w:tc>
        <w:tc>
          <w:tcPr>
            <w:tcW w:w="115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211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6"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1</w:t>
            </w:r>
          </w:p>
        </w:tc>
        <w:tc>
          <w:tcPr>
            <w:tcW w:w="3116" w:type="dxa"/>
            <w:gridSpan w:val="3"/>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b w:val="0"/>
                <w:bCs/>
                <w:color w:val="auto"/>
                <w:sz w:val="22"/>
                <w:szCs w:val="22"/>
                <w:highlight w:val="none"/>
              </w:rPr>
              <w:t>桥梁监控中心</w:t>
            </w:r>
          </w:p>
        </w:tc>
        <w:tc>
          <w:tcPr>
            <w:tcW w:w="14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9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项</w:t>
            </w:r>
          </w:p>
        </w:tc>
        <w:tc>
          <w:tcPr>
            <w:tcW w:w="12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11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21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2</w:t>
            </w:r>
          </w:p>
        </w:tc>
        <w:tc>
          <w:tcPr>
            <w:tcW w:w="3116" w:type="dxa"/>
            <w:gridSpan w:val="3"/>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b w:val="0"/>
                <w:bCs/>
                <w:color w:val="auto"/>
                <w:sz w:val="22"/>
                <w:szCs w:val="22"/>
                <w:highlight w:val="none"/>
              </w:rPr>
              <w:t>动态监测系统</w:t>
            </w:r>
          </w:p>
        </w:tc>
        <w:tc>
          <w:tcPr>
            <w:tcW w:w="14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978"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项</w:t>
            </w:r>
          </w:p>
        </w:tc>
        <w:tc>
          <w:tcPr>
            <w:tcW w:w="129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115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211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76" w:type="dxa"/>
            <w:vMerge w:val="restart"/>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3</w:t>
            </w:r>
          </w:p>
        </w:tc>
        <w:tc>
          <w:tcPr>
            <w:tcW w:w="1060" w:type="dxa"/>
            <w:gridSpan w:val="2"/>
            <w:vMerge w:val="restart"/>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应急保障、节日保障</w:t>
            </w:r>
          </w:p>
        </w:tc>
        <w:tc>
          <w:tcPr>
            <w:tcW w:w="205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cs="宋体"/>
                <w:b w:val="0"/>
                <w:bCs/>
                <w:color w:val="auto"/>
                <w:sz w:val="22"/>
                <w:szCs w:val="22"/>
                <w:highlight w:val="none"/>
              </w:rPr>
              <w:t>应急保障、节日保障</w:t>
            </w:r>
            <w:r>
              <w:rPr>
                <w:rFonts w:hint="eastAsia" w:ascii="宋体" w:hAnsi="宋体" w:cs="宋体"/>
                <w:b w:val="0"/>
                <w:bCs/>
                <w:color w:val="auto"/>
                <w:sz w:val="22"/>
                <w:szCs w:val="22"/>
                <w:highlight w:val="none"/>
                <w:lang w:eastAsia="zh-CN"/>
              </w:rPr>
              <w:t>（</w:t>
            </w:r>
            <w:r>
              <w:rPr>
                <w:rFonts w:hint="eastAsia" w:ascii="宋体" w:hAnsi="宋体" w:cs="宋体"/>
                <w:color w:val="auto"/>
                <w:sz w:val="22"/>
                <w:szCs w:val="22"/>
                <w:highlight w:val="none"/>
              </w:rPr>
              <w:t>常备应急物资</w:t>
            </w:r>
            <w:r>
              <w:rPr>
                <w:rFonts w:hint="eastAsia" w:ascii="宋体" w:hAnsi="宋体" w:cs="宋体"/>
                <w:b w:val="0"/>
                <w:bCs/>
                <w:color w:val="auto"/>
                <w:sz w:val="22"/>
                <w:szCs w:val="22"/>
                <w:highlight w:val="none"/>
                <w:lang w:eastAsia="zh-CN"/>
              </w:rPr>
              <w:t>）</w:t>
            </w:r>
          </w:p>
        </w:tc>
        <w:tc>
          <w:tcPr>
            <w:tcW w:w="14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978"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项</w:t>
            </w:r>
          </w:p>
        </w:tc>
        <w:tc>
          <w:tcPr>
            <w:tcW w:w="129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115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211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常备应急物资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676"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color w:val="auto"/>
                <w:sz w:val="22"/>
                <w:szCs w:val="22"/>
                <w:highlight w:val="none"/>
              </w:rPr>
            </w:pPr>
          </w:p>
        </w:tc>
        <w:tc>
          <w:tcPr>
            <w:tcW w:w="1060" w:type="dxa"/>
            <w:gridSpan w:val="2"/>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color w:val="auto"/>
                <w:sz w:val="22"/>
                <w:szCs w:val="22"/>
                <w:highlight w:val="none"/>
              </w:rPr>
            </w:pPr>
          </w:p>
        </w:tc>
        <w:tc>
          <w:tcPr>
            <w:tcW w:w="205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b w:val="0"/>
                <w:bCs/>
                <w:color w:val="auto"/>
                <w:sz w:val="22"/>
                <w:szCs w:val="22"/>
                <w:highlight w:val="none"/>
              </w:rPr>
              <w:t>应急保障、节日保障</w:t>
            </w:r>
            <w:r>
              <w:rPr>
                <w:rFonts w:hint="eastAsia" w:ascii="宋体" w:hAnsi="宋体" w:cs="宋体"/>
                <w:b w:val="0"/>
                <w:bCs/>
                <w:color w:val="auto"/>
                <w:sz w:val="22"/>
                <w:szCs w:val="22"/>
                <w:highlight w:val="none"/>
                <w:lang w:eastAsia="zh-CN"/>
              </w:rPr>
              <w:t>（</w:t>
            </w:r>
            <w:r>
              <w:rPr>
                <w:rFonts w:hint="eastAsia" w:ascii="宋体" w:hAnsi="宋体" w:cs="宋体"/>
                <w:color w:val="auto"/>
                <w:sz w:val="22"/>
                <w:szCs w:val="22"/>
                <w:highlight w:val="none"/>
              </w:rPr>
              <w:t>保障工作</w:t>
            </w:r>
            <w:r>
              <w:rPr>
                <w:rFonts w:hint="eastAsia" w:ascii="宋体" w:hAnsi="宋体" w:cs="宋体"/>
                <w:b w:val="0"/>
                <w:bCs/>
                <w:color w:val="auto"/>
                <w:sz w:val="22"/>
                <w:szCs w:val="22"/>
                <w:highlight w:val="none"/>
                <w:lang w:eastAsia="zh-CN"/>
              </w:rPr>
              <w:t>）</w:t>
            </w:r>
          </w:p>
        </w:tc>
        <w:tc>
          <w:tcPr>
            <w:tcW w:w="14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978"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项</w:t>
            </w:r>
          </w:p>
        </w:tc>
        <w:tc>
          <w:tcPr>
            <w:tcW w:w="129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115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211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四</w:t>
            </w:r>
          </w:p>
        </w:tc>
        <w:tc>
          <w:tcPr>
            <w:tcW w:w="3116" w:type="dxa"/>
            <w:gridSpan w:val="3"/>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bCs w:val="0"/>
                <w:color w:val="auto"/>
                <w:sz w:val="22"/>
                <w:szCs w:val="22"/>
                <w:highlight w:val="none"/>
              </w:rPr>
            </w:pPr>
            <w:r>
              <w:rPr>
                <w:rFonts w:hint="eastAsia" w:ascii="宋体" w:hAnsi="宋体" w:cs="宋体"/>
                <w:b/>
                <w:bCs w:val="0"/>
                <w:color w:val="auto"/>
                <w:sz w:val="22"/>
                <w:szCs w:val="22"/>
                <w:highlight w:val="none"/>
                <w:lang w:val="en-US" w:eastAsia="zh-CN"/>
              </w:rPr>
              <w:t>暂估价</w:t>
            </w:r>
          </w:p>
        </w:tc>
        <w:tc>
          <w:tcPr>
            <w:tcW w:w="14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978"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项</w:t>
            </w:r>
          </w:p>
        </w:tc>
        <w:tc>
          <w:tcPr>
            <w:tcW w:w="129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115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350000</w:t>
            </w:r>
          </w:p>
        </w:tc>
        <w:tc>
          <w:tcPr>
            <w:tcW w:w="211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eastAsia="宋体" w:cs="宋体"/>
                <w:color w:val="auto"/>
                <w:kern w:val="0"/>
                <w:sz w:val="22"/>
                <w:szCs w:val="22"/>
                <w:highlight w:val="none"/>
                <w:lang w:bidi="ar"/>
              </w:rPr>
              <w:t>（不可竞争费用）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6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五</w:t>
            </w:r>
          </w:p>
        </w:tc>
        <w:tc>
          <w:tcPr>
            <w:tcW w:w="3116" w:type="dxa"/>
            <w:gridSpan w:val="3"/>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暂列金</w:t>
            </w:r>
          </w:p>
        </w:tc>
        <w:tc>
          <w:tcPr>
            <w:tcW w:w="14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978"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项</w:t>
            </w:r>
          </w:p>
        </w:tc>
        <w:tc>
          <w:tcPr>
            <w:tcW w:w="129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115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500000</w:t>
            </w:r>
          </w:p>
        </w:tc>
        <w:tc>
          <w:tcPr>
            <w:tcW w:w="211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eastAsia="宋体" w:cs="宋体"/>
                <w:color w:val="auto"/>
                <w:kern w:val="0"/>
                <w:sz w:val="22"/>
                <w:szCs w:val="22"/>
                <w:highlight w:val="none"/>
                <w:lang w:bidi="ar"/>
              </w:rPr>
              <w:t>（不可竞争费用）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179" w:type="dxa"/>
            <w:gridSpan w:val="6"/>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总计价</w:t>
            </w:r>
          </w:p>
        </w:tc>
        <w:tc>
          <w:tcPr>
            <w:tcW w:w="4565" w:type="dxa"/>
            <w:gridSpan w:val="3"/>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r>
    </w:tbl>
    <w:p>
      <w:pPr>
        <w:spacing w:line="380" w:lineRule="exact"/>
        <w:rPr>
          <w:rFonts w:hint="eastAsia" w:ascii="宋体" w:hAnsi="宋体" w:eastAsia="宋体" w:cs="宋体"/>
          <w:b/>
          <w:color w:val="auto"/>
          <w:sz w:val="22"/>
          <w:szCs w:val="22"/>
          <w:highlight w:val="none"/>
        </w:rPr>
      </w:pPr>
    </w:p>
    <w:p>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 xml:space="preserve">说明： </w:t>
      </w:r>
      <w:r>
        <w:rPr>
          <w:rFonts w:hint="eastAsia" w:ascii="宋体" w:hAnsi="宋体" w:eastAsia="宋体" w:cs="宋体"/>
          <w:b/>
          <w:bCs/>
          <w:color w:val="auto"/>
          <w:sz w:val="22"/>
          <w:szCs w:val="22"/>
          <w:highlight w:val="none"/>
        </w:rPr>
        <w:t>1、此表总计价应与附件一中“2、报价一览表”中报价相一致。</w:t>
      </w:r>
    </w:p>
    <w:p>
      <w:pPr>
        <w:spacing w:line="380" w:lineRule="exact"/>
        <w:ind w:firstLine="755" w:firstLineChars="34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2、不提供详细分项报价将视为没有实质性响应</w:t>
      </w:r>
      <w:r>
        <w:rPr>
          <w:rFonts w:hint="eastAsia" w:ascii="宋体" w:hAnsi="宋体" w:eastAsia="宋体" w:cs="宋体"/>
          <w:b/>
          <w:bCs/>
          <w:color w:val="auto"/>
          <w:sz w:val="22"/>
          <w:szCs w:val="22"/>
          <w:highlight w:val="none"/>
          <w:lang w:val="en-US" w:eastAsia="zh-CN"/>
        </w:rPr>
        <w:t>招标</w:t>
      </w:r>
      <w:r>
        <w:rPr>
          <w:rFonts w:hint="eastAsia" w:ascii="宋体" w:hAnsi="宋体" w:eastAsia="宋体" w:cs="宋体"/>
          <w:b/>
          <w:bCs/>
          <w:color w:val="auto"/>
          <w:sz w:val="22"/>
          <w:szCs w:val="22"/>
          <w:highlight w:val="none"/>
        </w:rPr>
        <w:t>文件。</w:t>
      </w:r>
    </w:p>
    <w:p>
      <w:pPr>
        <w:spacing w:line="380" w:lineRule="exact"/>
        <w:ind w:firstLine="720"/>
        <w:rPr>
          <w:rFonts w:hint="eastAsia" w:ascii="宋体" w:hAnsi="宋体" w:eastAsia="宋体" w:cs="宋体"/>
          <w:color w:val="auto"/>
          <w:sz w:val="20"/>
          <w:szCs w:val="22"/>
          <w:highlight w:val="none"/>
        </w:rPr>
      </w:pPr>
      <w:r>
        <w:rPr>
          <w:rFonts w:hint="eastAsia" w:ascii="宋体" w:hAnsi="宋体" w:eastAsia="宋体" w:cs="宋体"/>
          <w:b/>
          <w:bCs/>
          <w:color w:val="auto"/>
          <w:sz w:val="22"/>
          <w:szCs w:val="22"/>
          <w:highlight w:val="none"/>
        </w:rPr>
        <w:t>3、如果免费请在该项内容栏内注明“免”，如果含在产品价格中则填“含”，如无此项内容则填“无”。</w:t>
      </w:r>
    </w:p>
    <w:p>
      <w:pPr>
        <w:spacing w:line="400" w:lineRule="exact"/>
        <w:ind w:firstLine="5500" w:firstLineChars="25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00" w:lineRule="exact"/>
        <w:ind w:firstLine="5500" w:firstLineChars="25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380" w:lineRule="exact"/>
        <w:ind w:firstLine="5500" w:firstLineChars="25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outlineLvl w:val="9"/>
        <w:rPr>
          <w:rFonts w:hint="eastAsia" w:ascii="宋体" w:hAnsi="宋体" w:eastAsia="宋体" w:cs="宋体"/>
          <w:color w:val="auto"/>
          <w:sz w:val="22"/>
          <w:szCs w:val="22"/>
          <w:highlight w:val="none"/>
        </w:rPr>
      </w:pPr>
    </w:p>
    <w:p>
      <w:pPr>
        <w:rPr>
          <w:rFonts w:hint="eastAsia" w:ascii="宋体" w:hAnsi="宋体" w:eastAsia="宋体" w:cs="宋体"/>
          <w:b/>
          <w:bCs/>
          <w:color w:val="auto"/>
          <w:sz w:val="28"/>
          <w:szCs w:val="28"/>
          <w:highlight w:val="none"/>
        </w:rPr>
      </w:pP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spacing w:line="420" w:lineRule="exact"/>
        <w:ind w:left="514" w:leftChars="245"/>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4、监狱企业的相关证明材料</w:t>
      </w:r>
    </w:p>
    <w:p>
      <w:pPr>
        <w:spacing w:line="460" w:lineRule="exact"/>
        <w:ind w:firstLine="571" w:firstLineChars="245"/>
        <w:rPr>
          <w:rFonts w:hint="eastAsia" w:ascii="宋体" w:hAnsi="宋体" w:eastAsia="宋体" w:cs="宋体"/>
          <w:b/>
          <w:bCs/>
          <w:color w:val="auto"/>
          <w:sz w:val="22"/>
          <w:szCs w:val="22"/>
          <w:highlight w:val="none"/>
          <w:u w:val="single"/>
          <w:lang w:val="zh-CN"/>
        </w:rPr>
      </w:pPr>
      <w:r>
        <w:rPr>
          <w:rFonts w:hint="eastAsia" w:ascii="宋体" w:hAnsi="宋体" w:eastAsia="宋体" w:cs="宋体"/>
          <w:b/>
          <w:color w:val="auto"/>
          <w:spacing w:val="6"/>
          <w:sz w:val="22"/>
          <w:szCs w:val="22"/>
          <w:highlight w:val="none"/>
        </w:rPr>
        <w:t>需提供相关证明材料，</w:t>
      </w:r>
      <w:r>
        <w:rPr>
          <w:rFonts w:hint="eastAsia" w:ascii="宋体" w:hAnsi="宋体" w:eastAsia="宋体" w:cs="宋体"/>
          <w:b/>
          <w:bCs/>
          <w:color w:val="auto"/>
          <w:sz w:val="22"/>
          <w:szCs w:val="22"/>
          <w:highlight w:val="none"/>
          <w:u w:val="single"/>
          <w:lang w:val="zh-CN"/>
        </w:rPr>
        <w:t>未提供证明材料或不能清楚辨析</w:t>
      </w:r>
      <w:r>
        <w:rPr>
          <w:rFonts w:hint="eastAsia" w:ascii="宋体" w:hAnsi="宋体" w:eastAsia="宋体" w:cs="宋体"/>
          <w:b/>
          <w:bCs/>
          <w:color w:val="auto"/>
          <w:sz w:val="22"/>
          <w:szCs w:val="22"/>
          <w:highlight w:val="none"/>
          <w:u w:val="single"/>
        </w:rPr>
        <w:t>是监狱企业的按非监狱企业处理，所提供的证明材料应为最新的最近的</w:t>
      </w:r>
      <w:r>
        <w:rPr>
          <w:rFonts w:hint="eastAsia" w:ascii="宋体" w:hAnsi="宋体" w:eastAsia="宋体" w:cs="宋体"/>
          <w:b/>
          <w:bCs/>
          <w:color w:val="auto"/>
          <w:sz w:val="22"/>
          <w:szCs w:val="22"/>
          <w:highlight w:val="none"/>
          <w:u w:val="single"/>
          <w:lang w:val="zh-CN"/>
        </w:rPr>
        <w:t>。</w:t>
      </w:r>
    </w:p>
    <w:p>
      <w:pPr>
        <w:adjustRightInd w:val="0"/>
        <w:snapToGrid w:val="0"/>
        <w:spacing w:line="300" w:lineRule="auto"/>
        <w:jc w:val="center"/>
        <w:rPr>
          <w:rFonts w:hint="eastAsia" w:ascii="宋体" w:hAnsi="宋体" w:eastAsia="宋体" w:cs="宋体"/>
          <w:b/>
          <w:color w:val="auto"/>
          <w:spacing w:val="6"/>
          <w:sz w:val="22"/>
          <w:szCs w:val="22"/>
          <w:highlight w:val="none"/>
        </w:rPr>
      </w:pPr>
    </w:p>
    <w:p>
      <w:pPr>
        <w:adjustRightInd w:val="0"/>
        <w:snapToGrid w:val="0"/>
        <w:spacing w:line="300" w:lineRule="auto"/>
        <w:jc w:val="center"/>
        <w:rPr>
          <w:rFonts w:hint="eastAsia" w:ascii="宋体" w:hAnsi="宋体" w:eastAsia="宋体" w:cs="宋体"/>
          <w:b/>
          <w:color w:val="auto"/>
          <w:spacing w:val="6"/>
          <w:sz w:val="22"/>
          <w:szCs w:val="22"/>
          <w:highlight w:val="none"/>
        </w:rPr>
      </w:pPr>
    </w:p>
    <w:p>
      <w:pPr>
        <w:adjustRightInd w:val="0"/>
        <w:snapToGrid w:val="0"/>
        <w:spacing w:line="300" w:lineRule="auto"/>
        <w:jc w:val="center"/>
        <w:rPr>
          <w:rFonts w:hint="eastAsia" w:ascii="宋体" w:hAnsi="宋体" w:eastAsia="宋体" w:cs="宋体"/>
          <w:b/>
          <w:color w:val="auto"/>
          <w:spacing w:val="6"/>
          <w:sz w:val="22"/>
          <w:szCs w:val="22"/>
          <w:highlight w:val="none"/>
        </w:rPr>
      </w:pPr>
    </w:p>
    <w:p>
      <w:pPr>
        <w:adjustRightInd w:val="0"/>
        <w:snapToGrid w:val="0"/>
        <w:spacing w:line="300" w:lineRule="auto"/>
        <w:jc w:val="center"/>
        <w:rPr>
          <w:rFonts w:hint="eastAsia" w:ascii="宋体" w:hAnsi="宋体" w:eastAsia="宋体" w:cs="宋体"/>
          <w:color w:val="auto"/>
          <w:kern w:val="0"/>
          <w:sz w:val="22"/>
          <w:szCs w:val="22"/>
          <w:highlight w:val="none"/>
        </w:rPr>
      </w:pPr>
      <w:r>
        <w:rPr>
          <w:rFonts w:hint="eastAsia" w:ascii="宋体" w:hAnsi="宋体" w:eastAsia="宋体" w:cs="宋体"/>
          <w:b/>
          <w:color w:val="auto"/>
          <w:spacing w:val="6"/>
          <w:sz w:val="22"/>
          <w:szCs w:val="22"/>
          <w:highlight w:val="none"/>
        </w:rPr>
        <w:t>监狱企业声明函</w:t>
      </w:r>
    </w:p>
    <w:p>
      <w:pPr>
        <w:snapToGrid w:val="0"/>
        <w:spacing w:line="460" w:lineRule="exact"/>
        <w:ind w:firstLine="464" w:firstLineChars="20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【非监狱企业不用提供】</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本企业郑重声明，根据《关于政府采购支持监狱企业发展有关问题的通知》（财库[2014]68号）的规定，本企业为监狱企业。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根据上述标准，我企业属于监狱企业的理由为：</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本企业为参加（招标项目名称</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）（招标编号</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）采购活动并承担本工程。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本企业对上述声明的真实性负责。如有虚假，将依法承担相应责任。  </w:t>
      </w:r>
    </w:p>
    <w:p>
      <w:pPr>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投标人全称（盖章）：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 xml:space="preserve">                   </w:t>
      </w:r>
    </w:p>
    <w:p>
      <w:pPr>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日期：    年    月   日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pPr>
        <w:adjustRightInd w:val="0"/>
        <w:snapToGrid w:val="0"/>
        <w:spacing w:line="460" w:lineRule="exact"/>
        <w:ind w:firstLine="464"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pStyle w:val="22"/>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tabs>
          <w:tab w:val="left" w:pos="1620"/>
        </w:tabs>
        <w:spacing w:line="460" w:lineRule="exact"/>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5、中小企业的相关证明材料</w:t>
      </w:r>
    </w:p>
    <w:p>
      <w:pPr>
        <w:snapToGrid w:val="0"/>
        <w:spacing w:line="460" w:lineRule="exact"/>
        <w:ind w:firstLine="464" w:firstLineChars="20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【非</w:t>
      </w:r>
      <w:r>
        <w:rPr>
          <w:rFonts w:hint="eastAsia" w:ascii="宋体" w:hAnsi="宋体" w:eastAsia="宋体" w:cs="宋体"/>
          <w:color w:val="auto"/>
          <w:spacing w:val="6"/>
          <w:sz w:val="22"/>
          <w:szCs w:val="22"/>
          <w:highlight w:val="none"/>
          <w:lang w:val="zh-CN"/>
        </w:rPr>
        <w:t>小型、微型</w:t>
      </w:r>
      <w:r>
        <w:rPr>
          <w:rFonts w:hint="eastAsia" w:ascii="宋体" w:hAnsi="宋体" w:eastAsia="宋体" w:cs="宋体"/>
          <w:color w:val="auto"/>
          <w:spacing w:val="6"/>
          <w:sz w:val="22"/>
          <w:szCs w:val="22"/>
          <w:highlight w:val="none"/>
        </w:rPr>
        <w:t>企业不用提供】</w:t>
      </w:r>
    </w:p>
    <w:p>
      <w:pPr>
        <w:spacing w:line="380" w:lineRule="exact"/>
        <w:rPr>
          <w:rFonts w:hint="eastAsia" w:ascii="宋体" w:hAnsi="宋体" w:eastAsia="宋体" w:cs="宋体"/>
          <w:color w:val="auto"/>
          <w:sz w:val="22"/>
          <w:szCs w:val="22"/>
          <w:highlight w:val="none"/>
        </w:rPr>
      </w:pPr>
    </w:p>
    <w:p>
      <w:pPr>
        <w:spacing w:line="460" w:lineRule="exact"/>
        <w:ind w:firstLine="539" w:firstLineChars="245"/>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根据《政府采购促进中小企业发展管理办法》（财库﹝2020﹞46号），对投标产品为小型或微型企业生产的，</w:t>
      </w:r>
      <w:r>
        <w:rPr>
          <w:rFonts w:hint="eastAsia" w:ascii="宋体" w:hAnsi="宋体" w:eastAsia="宋体" w:cs="宋体"/>
          <w:b/>
          <w:bCs/>
          <w:color w:val="auto"/>
          <w:sz w:val="22"/>
          <w:szCs w:val="22"/>
          <w:highlight w:val="none"/>
          <w:u w:val="single"/>
          <w:lang w:val="zh-CN"/>
        </w:rPr>
        <w:t>价格给予</w:t>
      </w:r>
      <w:r>
        <w:rPr>
          <w:rFonts w:hint="eastAsia" w:ascii="宋体" w:hAnsi="宋体" w:cs="宋体"/>
          <w:b/>
          <w:bCs/>
          <w:color w:val="auto"/>
          <w:sz w:val="22"/>
          <w:szCs w:val="22"/>
          <w:highlight w:val="none"/>
          <w:u w:val="single"/>
          <w:lang w:val="en-US" w:eastAsia="zh-CN"/>
        </w:rPr>
        <w:t>20</w:t>
      </w:r>
      <w:r>
        <w:rPr>
          <w:rFonts w:hint="eastAsia" w:ascii="宋体" w:hAnsi="宋体" w:eastAsia="宋体" w:cs="宋体"/>
          <w:b/>
          <w:bCs/>
          <w:color w:val="auto"/>
          <w:sz w:val="22"/>
          <w:szCs w:val="22"/>
          <w:highlight w:val="none"/>
          <w:u w:val="single"/>
          <w:lang w:val="zh-CN"/>
        </w:rPr>
        <w:t>%的扣除</w:t>
      </w:r>
      <w:r>
        <w:rPr>
          <w:rFonts w:hint="eastAsia" w:ascii="宋体" w:hAnsi="宋体" w:eastAsia="宋体" w:cs="宋体"/>
          <w:color w:val="auto"/>
          <w:sz w:val="22"/>
          <w:szCs w:val="22"/>
          <w:highlight w:val="none"/>
          <w:lang w:val="zh-CN"/>
        </w:rPr>
        <w:t>，用扣除后的价格参与价格评分。</w:t>
      </w:r>
    </w:p>
    <w:p>
      <w:pPr>
        <w:spacing w:line="460" w:lineRule="exact"/>
        <w:ind w:firstLine="541" w:firstLineChars="245"/>
        <w:rPr>
          <w:rFonts w:hint="eastAsia" w:ascii="宋体" w:hAnsi="宋体" w:eastAsia="宋体" w:cs="宋体"/>
          <w:color w:val="auto"/>
          <w:sz w:val="22"/>
          <w:szCs w:val="22"/>
          <w:highlight w:val="none"/>
          <w:lang w:val="zh-CN"/>
        </w:rPr>
      </w:pPr>
      <w:r>
        <w:rPr>
          <w:rFonts w:hint="eastAsia" w:ascii="宋体" w:hAnsi="宋体" w:eastAsia="宋体" w:cs="宋体"/>
          <w:b/>
          <w:bCs/>
          <w:color w:val="auto"/>
          <w:sz w:val="22"/>
          <w:szCs w:val="22"/>
          <w:highlight w:val="none"/>
          <w:u w:val="single"/>
          <w:lang w:val="en-US" w:eastAsia="zh-CN"/>
        </w:rPr>
        <w:t>同时</w:t>
      </w:r>
      <w:r>
        <w:rPr>
          <w:rFonts w:hint="eastAsia" w:ascii="宋体" w:hAnsi="宋体" w:eastAsia="宋体" w:cs="宋体"/>
          <w:b/>
          <w:bCs/>
          <w:color w:val="auto"/>
          <w:sz w:val="22"/>
          <w:szCs w:val="22"/>
          <w:highlight w:val="none"/>
          <w:u w:val="single"/>
          <w:lang w:val="zh-CN"/>
        </w:rPr>
        <w:t>符合以下所有要求的投标人被认定为小型、微型企业：</w:t>
      </w:r>
    </w:p>
    <w:p>
      <w:pPr>
        <w:spacing w:line="460" w:lineRule="exact"/>
        <w:ind w:firstLine="541" w:firstLineChars="245"/>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①投标产品生产企业按照《关于印发中小企业划型标准规定的通知》（工信部联企业〔2011〕300号）的所属行业规定为小型、微型企业。</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u w:val="single"/>
          <w:lang w:val="en-US" w:eastAsia="zh-CN"/>
        </w:rPr>
        <w:t>②</w:t>
      </w:r>
      <w:r>
        <w:rPr>
          <w:rFonts w:hint="eastAsia" w:ascii="宋体" w:hAnsi="宋体" w:eastAsia="宋体" w:cs="宋体"/>
          <w:b/>
          <w:bCs/>
          <w:color w:val="auto"/>
          <w:sz w:val="22"/>
          <w:szCs w:val="22"/>
          <w:highlight w:val="none"/>
          <w:u w:val="single"/>
          <w:lang w:val="zh-CN"/>
        </w:rPr>
        <w:t>投标文件中必须提供《中小企业声明函》。</w:t>
      </w:r>
    </w:p>
    <w:p>
      <w:pPr>
        <w:spacing w:line="460" w:lineRule="exact"/>
        <w:jc w:val="center"/>
        <w:rPr>
          <w:rFonts w:hint="eastAsia" w:ascii="宋体" w:hAnsi="宋体" w:eastAsia="宋体" w:cs="宋体"/>
          <w:b/>
          <w:bCs/>
          <w:color w:val="auto"/>
          <w:sz w:val="22"/>
          <w:szCs w:val="22"/>
          <w:highlight w:val="none"/>
        </w:rPr>
      </w:pPr>
    </w:p>
    <w:p>
      <w:pPr>
        <w:spacing w:line="460" w:lineRule="exact"/>
        <w:ind w:firstLine="420" w:firstLineChars="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w:t>
      </w:r>
      <w:r>
        <w:rPr>
          <w:rFonts w:hint="eastAsia" w:ascii="宋体" w:hAnsi="宋体" w:eastAsia="宋体" w:cs="宋体"/>
          <w:b/>
          <w:bCs/>
          <w:color w:val="auto"/>
          <w:spacing w:val="20"/>
          <w:sz w:val="22"/>
          <w:szCs w:val="22"/>
          <w:highlight w:val="none"/>
        </w:rPr>
        <w:t>中小企业声明函（货物</w:t>
      </w:r>
      <w:r>
        <w:rPr>
          <w:rFonts w:hint="eastAsia" w:ascii="宋体" w:hAnsi="宋体" w:eastAsia="宋体" w:cs="宋体"/>
          <w:b/>
          <w:bCs/>
          <w:color w:val="auto"/>
          <w:spacing w:val="20"/>
          <w:sz w:val="22"/>
          <w:szCs w:val="22"/>
          <w:highlight w:val="none"/>
          <w:lang w:eastAsia="zh-CN"/>
        </w:rPr>
        <w:t>）</w:t>
      </w:r>
      <w:r>
        <w:rPr>
          <w:rFonts w:hint="eastAsia" w:ascii="宋体" w:hAnsi="宋体" w:eastAsia="宋体" w:cs="宋体"/>
          <w:b/>
          <w:bCs/>
          <w:color w:val="auto"/>
          <w:sz w:val="22"/>
          <w:szCs w:val="22"/>
          <w:highlight w:val="none"/>
        </w:rPr>
        <w:t>》</w:t>
      </w:r>
    </w:p>
    <w:p>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【不属于中小企业单位的无需填写、递交】</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pacing w:val="20"/>
          <w:sz w:val="22"/>
          <w:szCs w:val="22"/>
          <w:highlight w:val="none"/>
          <w:u w:val="single"/>
        </w:rPr>
        <w:t>（单位名称）</w:t>
      </w:r>
      <w:r>
        <w:rPr>
          <w:rFonts w:hint="eastAsia" w:ascii="宋体" w:hAnsi="宋体" w:eastAsia="宋体" w:cs="宋体"/>
          <w:color w:val="auto"/>
          <w:spacing w:val="20"/>
          <w:sz w:val="22"/>
          <w:szCs w:val="22"/>
          <w:highlight w:val="none"/>
        </w:rPr>
        <w:t>的</w:t>
      </w:r>
      <w:r>
        <w:rPr>
          <w:rFonts w:hint="eastAsia" w:ascii="宋体" w:hAnsi="宋体" w:eastAsia="宋体" w:cs="宋体"/>
          <w:color w:val="auto"/>
          <w:spacing w:val="20"/>
          <w:sz w:val="22"/>
          <w:szCs w:val="22"/>
          <w:highlight w:val="none"/>
          <w:u w:val="single"/>
        </w:rPr>
        <w:t>（项目名称）</w:t>
      </w:r>
      <w:r>
        <w:rPr>
          <w:rFonts w:hint="eastAsia" w:ascii="宋体" w:hAnsi="宋体" w:eastAsia="宋体" w:cs="宋体"/>
          <w:color w:val="auto"/>
          <w:spacing w:val="20"/>
          <w:sz w:val="22"/>
          <w:szCs w:val="22"/>
          <w:highlight w:val="none"/>
        </w:rPr>
        <w:t>采购活动，提供的货物全部由符合政策要求的中小企业制造。相关企业（含联合体中的中小企业、签订分包意向协议的中小企业）的具体情况如下：</w:t>
      </w:r>
    </w:p>
    <w:p>
      <w:pPr>
        <w:spacing w:line="460" w:lineRule="exact"/>
        <w:ind w:firstLine="539" w:firstLineChars="245"/>
        <w:rPr>
          <w:rFonts w:hint="eastAsia" w:ascii="宋体" w:hAnsi="宋体" w:eastAsia="宋体" w:cs="宋体"/>
          <w:color w:val="auto"/>
          <w:spacing w:val="20"/>
          <w:sz w:val="22"/>
          <w:szCs w:val="22"/>
          <w:highlight w:val="none"/>
        </w:rPr>
      </w:pPr>
      <w:r>
        <w:rPr>
          <w:rFonts w:hint="eastAsia" w:ascii="宋体" w:hAnsi="宋体" w:eastAsia="宋体" w:cs="宋体"/>
          <w:b w:val="0"/>
          <w:bCs w:val="0"/>
          <w:color w:val="auto"/>
          <w:sz w:val="22"/>
          <w:szCs w:val="22"/>
          <w:highlight w:val="none"/>
          <w:lang w:val="zh-CN"/>
        </w:rPr>
        <w:t>1.</w:t>
      </w:r>
      <w:r>
        <w:rPr>
          <w:rFonts w:hint="eastAsia" w:ascii="宋体" w:hAnsi="宋体" w:eastAsia="宋体" w:cs="宋体"/>
          <w:b w:val="0"/>
          <w:bCs w:val="0"/>
          <w:color w:val="auto"/>
          <w:sz w:val="22"/>
          <w:szCs w:val="22"/>
          <w:highlight w:val="none"/>
          <w:u w:val="single"/>
          <w:lang w:val="zh-CN"/>
        </w:rPr>
        <w:t>（标的名称）</w:t>
      </w:r>
      <w:r>
        <w:rPr>
          <w:rFonts w:hint="eastAsia" w:ascii="宋体" w:hAnsi="宋体" w:eastAsia="宋体" w:cs="宋体"/>
          <w:b w:val="0"/>
          <w:bCs w:val="0"/>
          <w:color w:val="auto"/>
          <w:sz w:val="22"/>
          <w:szCs w:val="22"/>
          <w:highlight w:val="none"/>
          <w:lang w:val="zh-CN"/>
        </w:rPr>
        <w:t xml:space="preserve"> ，属于</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行业；制造商为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u w:val="single"/>
          <w:lang w:eastAsia="zh-CN"/>
        </w:rPr>
        <w:t>，</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rPr>
        <w:t xml:space="preserve"> </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（中型企业、小型企业、微型企业）</w:t>
      </w:r>
      <w:r>
        <w:rPr>
          <w:rFonts w:hint="eastAsia" w:ascii="宋体" w:hAnsi="宋体" w:eastAsia="宋体" w:cs="宋体"/>
          <w:color w:val="auto"/>
          <w:spacing w:val="20"/>
          <w:sz w:val="22"/>
          <w:szCs w:val="22"/>
          <w:highlight w:val="none"/>
        </w:rPr>
        <w:t>；</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2.</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 xml:space="preserve"> ，属于</w:t>
      </w:r>
      <w:r>
        <w:rPr>
          <w:rFonts w:hint="eastAsia" w:ascii="宋体" w:hAnsi="宋体" w:eastAsia="宋体" w:cs="宋体"/>
          <w:color w:val="auto"/>
          <w:spacing w:val="20"/>
          <w:sz w:val="22"/>
          <w:szCs w:val="22"/>
          <w:highlight w:val="none"/>
          <w:u w:val="single"/>
        </w:rPr>
        <w:t>（采购文件中明确的所属行业）</w:t>
      </w:r>
      <w:r>
        <w:rPr>
          <w:rFonts w:hint="eastAsia" w:ascii="宋体" w:hAnsi="宋体" w:eastAsia="宋体" w:cs="宋体"/>
          <w:color w:val="auto"/>
          <w:spacing w:val="20"/>
          <w:sz w:val="22"/>
          <w:szCs w:val="22"/>
          <w:highlight w:val="none"/>
        </w:rPr>
        <w:t>行业；制造商为（企业名称），从业人员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万元，属于（中型企业、小型企业、微型企业）；</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以上企业，不属于大企业的分支机构，不存在控股股东为大企业的情形，也不存在与大企业的负责人为同一人的情形。</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本企业对上述声明内容的真实性负责。如有虚假，将依法承担相应责任。</w:t>
      </w:r>
    </w:p>
    <w:p>
      <w:pPr>
        <w:spacing w:line="460" w:lineRule="exact"/>
        <w:rPr>
          <w:rFonts w:hint="eastAsia" w:ascii="宋体" w:hAnsi="宋体" w:eastAsia="宋体" w:cs="宋体"/>
          <w:color w:val="auto"/>
          <w:spacing w:val="20"/>
          <w:sz w:val="22"/>
          <w:szCs w:val="22"/>
          <w:highlight w:val="none"/>
        </w:rPr>
      </w:pPr>
    </w:p>
    <w:p>
      <w:pPr>
        <w:pStyle w:val="9"/>
        <w:rPr>
          <w:rFonts w:hint="eastAsia" w:ascii="宋体" w:hAnsi="宋体" w:eastAsia="宋体" w:cs="宋体"/>
          <w:color w:val="auto"/>
          <w:sz w:val="22"/>
          <w:szCs w:val="22"/>
          <w:highlight w:val="none"/>
        </w:rPr>
      </w:pPr>
    </w:p>
    <w:p>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w:t>
      </w:r>
      <w:r>
        <w:rPr>
          <w:rFonts w:hint="eastAsia" w:ascii="宋体" w:hAnsi="宋体" w:eastAsia="宋体" w:cs="宋体"/>
          <w:color w:val="auto"/>
          <w:spacing w:val="20"/>
          <w:sz w:val="22"/>
          <w:szCs w:val="22"/>
          <w:highlight w:val="none"/>
        </w:rPr>
        <w:t>企业名称（盖章）：</w:t>
      </w:r>
    </w:p>
    <w:p>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w:t>
      </w:r>
      <w:r>
        <w:rPr>
          <w:rFonts w:hint="eastAsia" w:ascii="宋体" w:hAnsi="宋体" w:eastAsia="宋体" w:cs="宋体"/>
          <w:color w:val="auto"/>
          <w:spacing w:val="20"/>
          <w:sz w:val="22"/>
          <w:szCs w:val="22"/>
          <w:highlight w:val="none"/>
        </w:rPr>
        <w:t>日 期：</w:t>
      </w:r>
    </w:p>
    <w:p>
      <w:pPr>
        <w:pStyle w:val="9"/>
        <w:rPr>
          <w:rFonts w:hint="eastAsia" w:ascii="宋体" w:hAnsi="宋体" w:eastAsia="宋体" w:cs="宋体"/>
          <w:color w:val="auto"/>
          <w:spacing w:val="20"/>
          <w:sz w:val="22"/>
          <w:szCs w:val="22"/>
          <w:highlight w:val="none"/>
        </w:rPr>
      </w:pPr>
    </w:p>
    <w:p>
      <w:pPr>
        <w:rPr>
          <w:rFonts w:hint="eastAsia" w:ascii="宋体" w:hAnsi="宋体" w:eastAsia="宋体" w:cs="宋体"/>
          <w:color w:val="auto"/>
          <w:spacing w:val="20"/>
          <w:sz w:val="22"/>
          <w:szCs w:val="22"/>
          <w:highlight w:val="none"/>
        </w:rPr>
      </w:pPr>
    </w:p>
    <w:p>
      <w:pPr>
        <w:pStyle w:val="9"/>
        <w:rPr>
          <w:rFonts w:hint="eastAsia" w:ascii="宋体" w:hAnsi="宋体" w:eastAsia="宋体" w:cs="宋体"/>
          <w:color w:val="auto"/>
          <w:spacing w:val="20"/>
          <w:sz w:val="22"/>
          <w:szCs w:val="22"/>
          <w:highlight w:val="none"/>
        </w:rPr>
      </w:pPr>
    </w:p>
    <w:p>
      <w:pPr>
        <w:rPr>
          <w:rFonts w:hint="eastAsia" w:ascii="宋体" w:hAnsi="宋体" w:eastAsia="宋体" w:cs="宋体"/>
          <w:color w:val="auto"/>
          <w:spacing w:val="20"/>
          <w:sz w:val="22"/>
          <w:szCs w:val="22"/>
          <w:highlight w:val="none"/>
        </w:rPr>
      </w:pPr>
    </w:p>
    <w:p>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中小企业声明函（工程、服务）</w:t>
      </w:r>
      <w:r>
        <w:rPr>
          <w:rFonts w:hint="eastAsia" w:ascii="宋体" w:hAnsi="宋体" w:eastAsia="宋体" w:cs="宋体"/>
          <w:b/>
          <w:bCs/>
          <w:color w:val="auto"/>
          <w:sz w:val="24"/>
          <w:szCs w:val="24"/>
          <w:highlight w:val="none"/>
          <w:lang w:eastAsia="zh-CN"/>
        </w:rPr>
        <w:t>》</w:t>
      </w:r>
    </w:p>
    <w:p>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【不属于中小企业单位的无需填写、递交】</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pacing w:val="20"/>
          <w:sz w:val="22"/>
          <w:szCs w:val="22"/>
          <w:highlight w:val="none"/>
          <w:u w:val="single"/>
        </w:rPr>
        <w:t>（单位名称）</w:t>
      </w:r>
      <w:r>
        <w:rPr>
          <w:rFonts w:hint="eastAsia" w:ascii="宋体" w:hAnsi="宋体" w:eastAsia="宋体" w:cs="宋体"/>
          <w:color w:val="auto"/>
          <w:spacing w:val="20"/>
          <w:sz w:val="22"/>
          <w:szCs w:val="22"/>
          <w:highlight w:val="none"/>
        </w:rPr>
        <w:t>的</w:t>
      </w:r>
      <w:r>
        <w:rPr>
          <w:rFonts w:hint="eastAsia" w:ascii="宋体" w:hAnsi="宋体" w:eastAsia="宋体" w:cs="宋体"/>
          <w:color w:val="auto"/>
          <w:spacing w:val="20"/>
          <w:sz w:val="22"/>
          <w:szCs w:val="22"/>
          <w:highlight w:val="none"/>
          <w:u w:val="single"/>
        </w:rPr>
        <w:t>（项目名称）</w:t>
      </w:r>
      <w:r>
        <w:rPr>
          <w:rFonts w:hint="eastAsia" w:ascii="宋体" w:hAnsi="宋体" w:eastAsia="宋体" w:cs="宋体"/>
          <w:color w:val="auto"/>
          <w:spacing w:val="20"/>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1.</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u w:val="none"/>
          <w:lang w:val="en-US" w:eastAsia="zh-CN"/>
        </w:rPr>
        <w:t>行业</w:t>
      </w:r>
      <w:r>
        <w:rPr>
          <w:rFonts w:hint="eastAsia" w:ascii="宋体" w:hAnsi="宋体" w:eastAsia="宋体" w:cs="宋体"/>
          <w:color w:val="auto"/>
          <w:spacing w:val="20"/>
          <w:sz w:val="22"/>
          <w:szCs w:val="22"/>
          <w:highlight w:val="none"/>
        </w:rPr>
        <w:t>； 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 xml:space="preserve">； </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2.</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u w:val="none"/>
          <w:lang w:val="en-US" w:eastAsia="zh-CN"/>
        </w:rPr>
        <w:t>行业</w:t>
      </w:r>
      <w:r>
        <w:rPr>
          <w:rFonts w:hint="eastAsia" w:ascii="宋体" w:hAnsi="宋体" w:eastAsia="宋体" w:cs="宋体"/>
          <w:color w:val="auto"/>
          <w:spacing w:val="20"/>
          <w:sz w:val="22"/>
          <w:szCs w:val="22"/>
          <w:highlight w:val="none"/>
        </w:rPr>
        <w:t>；承建（承接）企业为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w:t>
      </w:r>
    </w:p>
    <w:p>
      <w:pPr>
        <w:spacing w:line="460" w:lineRule="exact"/>
        <w:ind w:firstLine="639" w:firstLineChars="245"/>
        <w:rPr>
          <w:rFonts w:hint="eastAsia" w:ascii="宋体" w:hAnsi="宋体" w:eastAsia="宋体" w:cs="宋体"/>
          <w:b/>
          <w:bCs/>
          <w:color w:val="auto"/>
          <w:spacing w:val="20"/>
          <w:sz w:val="22"/>
          <w:szCs w:val="22"/>
          <w:highlight w:val="none"/>
        </w:rPr>
      </w:pPr>
      <w:r>
        <w:rPr>
          <w:rFonts w:hint="eastAsia" w:ascii="宋体" w:hAnsi="宋体" w:eastAsia="宋体" w:cs="宋体"/>
          <w:b/>
          <w:bCs/>
          <w:color w:val="auto"/>
          <w:spacing w:val="20"/>
          <w:sz w:val="22"/>
          <w:szCs w:val="22"/>
          <w:highlight w:val="none"/>
        </w:rPr>
        <w:t>……</w:t>
      </w:r>
    </w:p>
    <w:p>
      <w:pPr>
        <w:spacing w:line="460" w:lineRule="exact"/>
        <w:ind w:firstLine="637" w:firstLineChars="245"/>
        <w:rPr>
          <w:rFonts w:hint="eastAsia" w:ascii="宋体" w:hAnsi="宋体" w:eastAsia="宋体" w:cs="宋体"/>
          <w:color w:val="auto"/>
          <w:spacing w:val="20"/>
          <w:sz w:val="22"/>
          <w:szCs w:val="22"/>
          <w:highlight w:val="none"/>
          <w:lang w:val="en-US" w:eastAsia="zh-CN"/>
        </w:rPr>
      </w:pPr>
      <w:r>
        <w:rPr>
          <w:rFonts w:hint="eastAsia" w:ascii="宋体" w:hAnsi="宋体" w:eastAsia="宋体" w:cs="宋体"/>
          <w:color w:val="auto"/>
          <w:spacing w:val="20"/>
          <w:sz w:val="22"/>
          <w:szCs w:val="22"/>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pPr>
        <w:spacing w:line="460" w:lineRule="exact"/>
        <w:jc w:val="center"/>
        <w:rPr>
          <w:rFonts w:hint="eastAsia" w:ascii="宋体" w:hAnsi="宋体" w:eastAsia="宋体" w:cs="宋体"/>
          <w:color w:val="auto"/>
          <w:spacing w:val="20"/>
          <w:sz w:val="22"/>
          <w:szCs w:val="22"/>
          <w:highlight w:val="none"/>
          <w:lang w:val="en-US" w:eastAsia="zh-CN"/>
        </w:rPr>
      </w:pPr>
      <w:r>
        <w:rPr>
          <w:rFonts w:hint="eastAsia" w:ascii="宋体" w:hAnsi="宋体" w:eastAsia="宋体" w:cs="宋体"/>
          <w:color w:val="auto"/>
          <w:spacing w:val="20"/>
          <w:sz w:val="22"/>
          <w:szCs w:val="22"/>
          <w:highlight w:val="none"/>
          <w:lang w:val="en-US" w:eastAsia="zh-CN"/>
        </w:rPr>
        <w:t xml:space="preserve">           企业</w:t>
      </w:r>
      <w:r>
        <w:rPr>
          <w:rFonts w:hint="eastAsia" w:ascii="宋体" w:hAnsi="宋体" w:eastAsia="宋体" w:cs="宋体"/>
          <w:color w:val="auto"/>
          <w:spacing w:val="20"/>
          <w:sz w:val="22"/>
          <w:szCs w:val="22"/>
          <w:highlight w:val="none"/>
        </w:rPr>
        <w:t>名称（盖章）：</w:t>
      </w:r>
    </w:p>
    <w:p>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日</w:t>
      </w:r>
      <w:r>
        <w:rPr>
          <w:rFonts w:hint="eastAsia" w:ascii="宋体" w:hAnsi="宋体" w:eastAsia="宋体" w:cs="宋体"/>
          <w:color w:val="auto"/>
          <w:spacing w:val="20"/>
          <w:sz w:val="22"/>
          <w:szCs w:val="22"/>
          <w:highlight w:val="none"/>
        </w:rPr>
        <w:t xml:space="preserve"> 期：</w:t>
      </w: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20" w:lineRule="exact"/>
        <w:ind w:left="514" w:leftChars="245"/>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6、残疾人福利性单位的相关证明材料</w:t>
      </w:r>
    </w:p>
    <w:p>
      <w:pPr>
        <w:spacing w:line="460" w:lineRule="exact"/>
        <w:ind w:firstLine="699" w:firstLineChars="300"/>
        <w:rPr>
          <w:rFonts w:hint="eastAsia" w:ascii="宋体" w:hAnsi="宋体" w:eastAsia="宋体" w:cs="宋体"/>
          <w:color w:val="auto"/>
          <w:spacing w:val="20"/>
          <w:sz w:val="22"/>
          <w:szCs w:val="22"/>
          <w:highlight w:val="none"/>
        </w:rPr>
      </w:pPr>
      <w:r>
        <w:rPr>
          <w:rFonts w:hint="eastAsia" w:ascii="宋体" w:hAnsi="宋体" w:eastAsia="宋体" w:cs="宋体"/>
          <w:b/>
          <w:color w:val="auto"/>
          <w:spacing w:val="6"/>
          <w:sz w:val="22"/>
          <w:szCs w:val="22"/>
          <w:highlight w:val="none"/>
        </w:rPr>
        <w:t>需提供相关证明材料，</w:t>
      </w:r>
      <w:r>
        <w:rPr>
          <w:rFonts w:hint="eastAsia" w:ascii="宋体" w:hAnsi="宋体" w:eastAsia="宋体" w:cs="宋体"/>
          <w:b/>
          <w:bCs/>
          <w:color w:val="auto"/>
          <w:sz w:val="22"/>
          <w:szCs w:val="22"/>
          <w:highlight w:val="none"/>
          <w:u w:val="single"/>
          <w:lang w:val="zh-CN"/>
        </w:rPr>
        <w:t>未提供证明材料或不能清楚辨析</w:t>
      </w:r>
      <w:r>
        <w:rPr>
          <w:rFonts w:hint="eastAsia" w:ascii="宋体" w:hAnsi="宋体" w:eastAsia="宋体" w:cs="宋体"/>
          <w:b/>
          <w:bCs/>
          <w:color w:val="auto"/>
          <w:sz w:val="22"/>
          <w:szCs w:val="22"/>
          <w:highlight w:val="none"/>
          <w:u w:val="single"/>
        </w:rPr>
        <w:t>是残疾人福利性单位的按非残疾人福利性单位处理，所提供的证明材料应为最新的最近的</w:t>
      </w:r>
      <w:r>
        <w:rPr>
          <w:rFonts w:hint="eastAsia" w:ascii="宋体" w:hAnsi="宋体" w:eastAsia="宋体" w:cs="宋体"/>
          <w:b/>
          <w:bCs/>
          <w:color w:val="auto"/>
          <w:sz w:val="22"/>
          <w:szCs w:val="22"/>
          <w:highlight w:val="none"/>
          <w:u w:val="single"/>
          <w:lang w:val="zh-CN"/>
        </w:rPr>
        <w:t>。</w:t>
      </w: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jc w:val="center"/>
        <w:rPr>
          <w:rFonts w:hint="eastAsia" w:ascii="宋体" w:hAnsi="宋体" w:eastAsia="宋体" w:cs="宋体"/>
          <w:color w:val="auto"/>
          <w:spacing w:val="6"/>
          <w:sz w:val="22"/>
          <w:szCs w:val="22"/>
          <w:highlight w:val="none"/>
        </w:rPr>
      </w:pPr>
      <w:r>
        <w:rPr>
          <w:rFonts w:hint="eastAsia" w:ascii="宋体" w:hAnsi="宋体" w:eastAsia="宋体" w:cs="宋体"/>
          <w:b/>
          <w:color w:val="auto"/>
          <w:spacing w:val="6"/>
          <w:sz w:val="22"/>
          <w:szCs w:val="22"/>
          <w:highlight w:val="none"/>
        </w:rPr>
        <w:t>残疾人福利性单位声明函</w:t>
      </w:r>
    </w:p>
    <w:p>
      <w:pPr>
        <w:widowControl/>
        <w:adjustRightInd w:val="0"/>
        <w:snapToGrid w:val="0"/>
        <w:spacing w:line="460" w:lineRule="exact"/>
        <w:ind w:firstLine="440" w:firstLineChars="20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【不属于残疾人福利性单位的无需填写、递交】</w:t>
      </w:r>
    </w:p>
    <w:p>
      <w:pPr>
        <w:snapToGrid w:val="0"/>
        <w:spacing w:line="460" w:lineRule="exact"/>
        <w:jc w:val="center"/>
        <w:rPr>
          <w:rFonts w:hint="eastAsia" w:ascii="宋体" w:hAnsi="宋体" w:eastAsia="宋体" w:cs="宋体"/>
          <w:b/>
          <w:bCs/>
          <w:color w:val="auto"/>
          <w:sz w:val="22"/>
          <w:szCs w:val="22"/>
          <w:highlight w:val="none"/>
        </w:rPr>
      </w:pP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本单位郑重声明，根据《财政部民政部中国残疾人联合会关于促进残疾人就业政府采购政策的通知》（财库</w:t>
      </w:r>
      <w:r>
        <w:rPr>
          <w:rFonts w:hint="eastAsia" w:ascii="宋体" w:hAnsi="宋体" w:eastAsia="宋体" w:cs="宋体"/>
          <w:color w:val="auto"/>
          <w:sz w:val="22"/>
          <w:szCs w:val="22"/>
          <w:highlight w:val="none"/>
        </w:rPr>
        <w:t>〔2017〕141</w:t>
      </w:r>
      <w:r>
        <w:rPr>
          <w:rFonts w:hint="eastAsia" w:ascii="宋体" w:hAnsi="宋体" w:eastAsia="宋体" w:cs="宋体"/>
          <w:color w:val="auto"/>
          <w:spacing w:val="6"/>
          <w:sz w:val="22"/>
          <w:szCs w:val="22"/>
          <w:highlight w:val="none"/>
        </w:rPr>
        <w:t>号）的规定，本单位为符合条件的残疾人福利性单位，且本单位参加</w:t>
      </w:r>
      <w:r>
        <w:rPr>
          <w:rFonts w:hint="eastAsia" w:ascii="宋体" w:hAnsi="宋体" w:eastAsia="宋体" w:cs="宋体"/>
          <w:color w:val="auto"/>
          <w:spacing w:val="6"/>
          <w:sz w:val="22"/>
          <w:szCs w:val="22"/>
          <w:highlight w:val="none"/>
          <w:u w:val="single"/>
        </w:rPr>
        <w:t>（招标人名称）</w:t>
      </w:r>
      <w:r>
        <w:rPr>
          <w:rFonts w:hint="eastAsia" w:ascii="宋体" w:hAnsi="宋体" w:eastAsia="宋体" w:cs="宋体"/>
          <w:color w:val="auto"/>
          <w:spacing w:val="6"/>
          <w:sz w:val="22"/>
          <w:szCs w:val="22"/>
          <w:highlight w:val="none"/>
        </w:rPr>
        <w:t>单位的</w:t>
      </w:r>
      <w:r>
        <w:rPr>
          <w:rFonts w:hint="eastAsia" w:ascii="宋体" w:hAnsi="宋体" w:eastAsia="宋体" w:cs="宋体"/>
          <w:color w:val="auto"/>
          <w:spacing w:val="6"/>
          <w:sz w:val="22"/>
          <w:szCs w:val="22"/>
          <w:highlight w:val="none"/>
          <w:u w:val="single"/>
        </w:rPr>
        <w:t>（招标项目名称）</w:t>
      </w:r>
      <w:r>
        <w:rPr>
          <w:rFonts w:hint="eastAsia" w:ascii="宋体" w:hAnsi="宋体" w:eastAsia="宋体" w:cs="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pPr>
        <w:snapToGrid w:val="0"/>
        <w:spacing w:line="460" w:lineRule="exact"/>
        <w:ind w:firstLine="464" w:firstLineChars="200"/>
        <w:rPr>
          <w:rFonts w:hint="eastAsia" w:ascii="宋体" w:hAnsi="宋体" w:eastAsia="宋体" w:cs="宋体"/>
          <w:color w:val="auto"/>
          <w:spacing w:val="6"/>
          <w:sz w:val="22"/>
          <w:szCs w:val="22"/>
          <w:highlight w:val="none"/>
        </w:rPr>
      </w:pPr>
    </w:p>
    <w:p>
      <w:pPr>
        <w:snapToGrid w:val="0"/>
        <w:spacing w:line="460" w:lineRule="exact"/>
        <w:ind w:firstLine="464" w:firstLineChars="200"/>
        <w:rPr>
          <w:rFonts w:hint="eastAsia" w:ascii="宋体" w:hAnsi="宋体" w:eastAsia="宋体" w:cs="宋体"/>
          <w:color w:val="auto"/>
          <w:spacing w:val="6"/>
          <w:sz w:val="22"/>
          <w:szCs w:val="22"/>
          <w:highlight w:val="none"/>
        </w:rPr>
      </w:pPr>
    </w:p>
    <w:p>
      <w:pPr>
        <w:adjustRightInd w:val="0"/>
        <w:snapToGrid w:val="0"/>
        <w:spacing w:line="460" w:lineRule="exact"/>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rPr>
        <w:t>投标人全称（盖章）：</w:t>
      </w:r>
      <w:r>
        <w:rPr>
          <w:rFonts w:hint="eastAsia" w:ascii="宋体" w:hAnsi="宋体" w:eastAsia="宋体" w:cs="宋体"/>
          <w:color w:val="auto"/>
          <w:kern w:val="0"/>
          <w:sz w:val="22"/>
          <w:szCs w:val="22"/>
          <w:highlight w:val="none"/>
          <w:u w:val="single"/>
        </w:rPr>
        <w:t xml:space="preserve">                    </w:t>
      </w:r>
    </w:p>
    <w:p>
      <w:pPr>
        <w:pStyle w:val="22"/>
        <w:spacing w:line="460" w:lineRule="exact"/>
        <w:ind w:left="437" w:leftChars="208"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pStyle w:val="22"/>
        <w:spacing w:line="460" w:lineRule="exact"/>
        <w:ind w:left="440" w:hanging="440"/>
        <w:rPr>
          <w:rFonts w:hint="eastAsia" w:ascii="宋体" w:hAnsi="宋体" w:eastAsia="宋体" w:cs="宋体"/>
          <w:color w:val="auto"/>
          <w:kern w:val="0"/>
          <w:sz w:val="22"/>
          <w:szCs w:val="22"/>
          <w:highlight w:val="none"/>
        </w:rPr>
      </w:pPr>
    </w:p>
    <w:p>
      <w:pPr>
        <w:pStyle w:val="22"/>
        <w:ind w:left="440" w:hanging="440"/>
        <w:rPr>
          <w:rFonts w:hint="eastAsia" w:ascii="宋体" w:hAnsi="宋体" w:eastAsia="宋体" w:cs="宋体"/>
          <w:color w:val="auto"/>
          <w:kern w:val="0"/>
          <w:sz w:val="22"/>
          <w:szCs w:val="22"/>
          <w:highlight w:val="none"/>
        </w:rPr>
      </w:pPr>
    </w:p>
    <w:p>
      <w:pPr>
        <w:pStyle w:val="22"/>
        <w:ind w:left="440" w:hanging="440"/>
        <w:rPr>
          <w:rFonts w:hint="eastAsia" w:ascii="宋体" w:hAnsi="宋体" w:eastAsia="宋体" w:cs="宋体"/>
          <w:color w:val="auto"/>
          <w:kern w:val="0"/>
          <w:sz w:val="22"/>
          <w:szCs w:val="22"/>
          <w:highlight w:val="none"/>
        </w:rPr>
      </w:pPr>
    </w:p>
    <w:p>
      <w:pPr>
        <w:pStyle w:val="22"/>
        <w:ind w:left="440" w:hanging="440"/>
        <w:rPr>
          <w:rFonts w:hint="eastAsia" w:ascii="宋体" w:hAnsi="宋体" w:eastAsia="宋体" w:cs="宋体"/>
          <w:color w:val="auto"/>
          <w:kern w:val="0"/>
          <w:sz w:val="22"/>
          <w:szCs w:val="22"/>
          <w:highlight w:val="none"/>
        </w:rPr>
      </w:pPr>
    </w:p>
    <w:p>
      <w:pPr>
        <w:pStyle w:val="22"/>
        <w:ind w:left="440" w:hanging="440"/>
        <w:rPr>
          <w:rFonts w:hint="eastAsia" w:ascii="宋体" w:hAnsi="宋体" w:eastAsia="宋体" w:cs="宋体"/>
          <w:color w:val="auto"/>
          <w:kern w:val="0"/>
          <w:sz w:val="22"/>
          <w:szCs w:val="22"/>
          <w:highlight w:val="none"/>
        </w:rPr>
      </w:pPr>
    </w:p>
    <w:p>
      <w:pPr>
        <w:pStyle w:val="22"/>
        <w:ind w:left="440" w:hanging="440"/>
        <w:rPr>
          <w:rFonts w:hint="eastAsia" w:ascii="宋体" w:hAnsi="宋体" w:eastAsia="宋体" w:cs="宋体"/>
          <w:color w:val="auto"/>
          <w:kern w:val="0"/>
          <w:sz w:val="22"/>
          <w:szCs w:val="22"/>
          <w:highlight w:val="none"/>
        </w:rPr>
      </w:pPr>
    </w:p>
    <w:p>
      <w:pPr>
        <w:pStyle w:val="22"/>
        <w:ind w:left="440" w:hanging="440"/>
        <w:rPr>
          <w:rFonts w:hint="eastAsia" w:ascii="宋体" w:hAnsi="宋体" w:eastAsia="宋体" w:cs="宋体"/>
          <w:color w:val="auto"/>
          <w:kern w:val="0"/>
          <w:sz w:val="22"/>
          <w:szCs w:val="22"/>
          <w:highlight w:val="none"/>
        </w:rPr>
      </w:pPr>
    </w:p>
    <w:p>
      <w:pPr>
        <w:pStyle w:val="22"/>
        <w:ind w:left="440" w:hanging="440"/>
        <w:rPr>
          <w:rFonts w:hint="eastAsia" w:ascii="宋体" w:hAnsi="宋体" w:eastAsia="宋体" w:cs="宋体"/>
          <w:color w:val="auto"/>
          <w:kern w:val="0"/>
          <w:sz w:val="22"/>
          <w:szCs w:val="22"/>
          <w:highlight w:val="none"/>
        </w:rPr>
      </w:pPr>
    </w:p>
    <w:p>
      <w:pPr>
        <w:pStyle w:val="22"/>
        <w:ind w:left="440" w:hanging="440"/>
        <w:rPr>
          <w:rFonts w:hint="eastAsia" w:ascii="宋体" w:hAnsi="宋体" w:eastAsia="宋体" w:cs="宋体"/>
          <w:color w:val="auto"/>
          <w:kern w:val="0"/>
          <w:sz w:val="22"/>
          <w:szCs w:val="22"/>
          <w:highlight w:val="none"/>
        </w:rPr>
      </w:pPr>
    </w:p>
    <w:p>
      <w:pPr>
        <w:pStyle w:val="22"/>
        <w:ind w:left="440" w:hanging="440"/>
        <w:rPr>
          <w:rFonts w:hint="eastAsia" w:ascii="宋体" w:hAnsi="宋体" w:eastAsia="宋体" w:cs="宋体"/>
          <w:color w:val="auto"/>
          <w:kern w:val="0"/>
          <w:sz w:val="22"/>
          <w:szCs w:val="22"/>
          <w:highlight w:val="none"/>
        </w:rPr>
      </w:pPr>
    </w:p>
    <w:p>
      <w:pPr>
        <w:pStyle w:val="22"/>
        <w:ind w:left="440" w:hanging="440"/>
        <w:rPr>
          <w:rFonts w:hint="eastAsia" w:ascii="宋体" w:hAnsi="宋体" w:eastAsia="宋体" w:cs="宋体"/>
          <w:color w:val="auto"/>
          <w:kern w:val="0"/>
          <w:sz w:val="22"/>
          <w:szCs w:val="22"/>
          <w:highlight w:val="none"/>
        </w:rPr>
      </w:pPr>
    </w:p>
    <w:p>
      <w:pPr>
        <w:pStyle w:val="22"/>
        <w:ind w:left="440" w:hanging="440"/>
        <w:rPr>
          <w:rFonts w:hint="eastAsia" w:ascii="宋体" w:hAnsi="宋体" w:eastAsia="宋体" w:cs="宋体"/>
          <w:color w:val="auto"/>
          <w:kern w:val="0"/>
          <w:sz w:val="22"/>
          <w:szCs w:val="22"/>
          <w:highlight w:val="none"/>
        </w:rPr>
      </w:pPr>
    </w:p>
    <w:p>
      <w:pPr>
        <w:pStyle w:val="22"/>
        <w:ind w:left="440" w:hanging="440"/>
        <w:rPr>
          <w:rFonts w:hint="eastAsia" w:ascii="宋体" w:hAnsi="宋体" w:eastAsia="宋体" w:cs="宋体"/>
          <w:color w:val="auto"/>
          <w:kern w:val="0"/>
          <w:sz w:val="22"/>
          <w:szCs w:val="22"/>
          <w:highlight w:val="none"/>
        </w:rPr>
      </w:pPr>
    </w:p>
    <w:p>
      <w:pPr>
        <w:pStyle w:val="22"/>
        <w:ind w:left="440" w:hanging="440"/>
        <w:rPr>
          <w:rFonts w:hint="eastAsia" w:ascii="宋体" w:hAnsi="宋体" w:eastAsia="宋体" w:cs="宋体"/>
          <w:color w:val="auto"/>
          <w:kern w:val="0"/>
          <w:sz w:val="22"/>
          <w:szCs w:val="22"/>
          <w:highlight w:val="none"/>
        </w:rPr>
      </w:pPr>
    </w:p>
    <w:p>
      <w:pPr>
        <w:pStyle w:val="22"/>
        <w:ind w:left="440" w:hanging="440"/>
        <w:rPr>
          <w:rFonts w:hint="eastAsia" w:ascii="宋体" w:hAnsi="宋体" w:eastAsia="宋体" w:cs="宋体"/>
          <w:color w:val="auto"/>
          <w:kern w:val="0"/>
          <w:sz w:val="22"/>
          <w:szCs w:val="22"/>
          <w:highlight w:val="none"/>
        </w:rPr>
      </w:pPr>
    </w:p>
    <w:p>
      <w:pPr>
        <w:pStyle w:val="22"/>
        <w:ind w:left="440" w:hanging="440"/>
        <w:rPr>
          <w:rFonts w:hint="eastAsia" w:ascii="宋体" w:hAnsi="宋体" w:eastAsia="宋体" w:cs="宋体"/>
          <w:color w:val="auto"/>
          <w:kern w:val="0"/>
          <w:sz w:val="22"/>
          <w:szCs w:val="22"/>
          <w:highlight w:val="none"/>
        </w:rPr>
      </w:pPr>
    </w:p>
    <w:p>
      <w:pP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br w:type="page"/>
      </w:r>
    </w:p>
    <w:p>
      <w:pPr>
        <w:pStyle w:val="22"/>
        <w:spacing w:line="460" w:lineRule="exact"/>
        <w:ind w:left="433" w:hanging="433" w:hangingChars="196"/>
        <w:outlineLvl w:val="1"/>
        <w:rPr>
          <w:rFonts w:hint="eastAsia" w:ascii="宋体" w:hAnsi="宋体" w:eastAsia="宋体" w:cs="宋体"/>
          <w:b/>
          <w:color w:val="auto"/>
          <w:sz w:val="22"/>
          <w:szCs w:val="22"/>
          <w:highlight w:val="none"/>
        </w:rPr>
      </w:pPr>
      <w:bookmarkStart w:id="33" w:name="_Toc12035"/>
      <w:bookmarkStart w:id="34" w:name="_Toc19402"/>
      <w:r>
        <w:rPr>
          <w:rFonts w:hint="eastAsia" w:ascii="宋体" w:hAnsi="宋体" w:eastAsia="宋体" w:cs="宋体"/>
          <w:b/>
          <w:color w:val="auto"/>
          <w:sz w:val="22"/>
          <w:szCs w:val="22"/>
          <w:highlight w:val="none"/>
        </w:rPr>
        <w:t>附件二</w:t>
      </w:r>
      <w:bookmarkEnd w:id="33"/>
      <w:bookmarkEnd w:id="34"/>
    </w:p>
    <w:p>
      <w:pPr>
        <w:spacing w:line="460" w:lineRule="exact"/>
        <w:jc w:val="center"/>
        <w:outlineLvl w:val="2"/>
        <w:rPr>
          <w:rFonts w:hint="eastAsia" w:ascii="宋体" w:hAnsi="宋体" w:eastAsia="宋体" w:cs="宋体"/>
          <w:color w:val="auto"/>
          <w:sz w:val="28"/>
          <w:szCs w:val="28"/>
          <w:highlight w:val="none"/>
        </w:rPr>
      </w:pPr>
      <w:bookmarkStart w:id="35" w:name="_Toc4718"/>
      <w:bookmarkStart w:id="36" w:name="_Toc25309"/>
      <w:r>
        <w:rPr>
          <w:rFonts w:hint="eastAsia" w:ascii="宋体" w:hAnsi="宋体" w:eastAsia="宋体" w:cs="宋体"/>
          <w:b/>
          <w:bCs/>
          <w:color w:val="auto"/>
          <w:sz w:val="28"/>
          <w:szCs w:val="28"/>
          <w:highlight w:val="none"/>
        </w:rPr>
        <w:t>资格证明文件</w:t>
      </w:r>
      <w:bookmarkEnd w:id="35"/>
      <w:bookmarkEnd w:id="36"/>
      <w:r>
        <w:rPr>
          <w:rFonts w:hint="eastAsia" w:ascii="宋体" w:hAnsi="宋体" w:eastAsia="宋体" w:cs="宋体"/>
          <w:color w:val="auto"/>
          <w:sz w:val="28"/>
          <w:szCs w:val="28"/>
          <w:highlight w:val="none"/>
        </w:rPr>
        <w:t xml:space="preserve"> </w:t>
      </w: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1、有效营业执照（复印件盖单位公章）</w:t>
      </w: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2、最近一年财务报表(复印件，新成立的公司提供情况说明)；</w:t>
      </w:r>
    </w:p>
    <w:p>
      <w:pPr>
        <w:spacing w:line="460" w:lineRule="exact"/>
        <w:ind w:left="514" w:leftChars="245"/>
        <w:jc w:val="left"/>
        <w:rPr>
          <w:rFonts w:hint="eastAsia" w:ascii="宋体" w:hAnsi="宋体" w:eastAsia="宋体" w:cs="宋体"/>
          <w:b/>
          <w:bCs/>
          <w:color w:val="auto"/>
          <w:szCs w:val="21"/>
          <w:highlight w:val="none"/>
        </w:rPr>
      </w:pPr>
    </w:p>
    <w:p>
      <w:pPr>
        <w:spacing w:line="460" w:lineRule="exact"/>
        <w:jc w:val="left"/>
        <w:outlineLvl w:val="3"/>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3、具有履行合同所必需的场地、设备和专业技术能力的承诺函；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温州市市政管理中心</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投标人</w:t>
      </w: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rPr>
        <w:t>承诺具有履行合同所必需的场地、设备和专业技术能力。如有虚假，招标人可取消我方任何资格（投标/中标/签订合同），我方对此无任何异议。</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2"/>
        <w:spacing w:line="460" w:lineRule="exact"/>
        <w:ind w:left="479" w:leftChars="228" w:firstLine="5280" w:firstLineChars="24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pStyle w:val="22"/>
        <w:spacing w:line="460" w:lineRule="exact"/>
        <w:ind w:left="0" w:firstLine="0" w:firstLineChars="0"/>
        <w:rPr>
          <w:rFonts w:hint="eastAsia" w:ascii="宋体" w:hAnsi="宋体" w:eastAsia="宋体" w:cs="宋体"/>
          <w:color w:val="auto"/>
          <w:kern w:val="0"/>
          <w:highlight w:val="none"/>
        </w:rPr>
      </w:pPr>
    </w:p>
    <w:p>
      <w:pPr>
        <w:spacing w:line="460" w:lineRule="exact"/>
        <w:jc w:val="left"/>
        <w:outlineLvl w:val="3"/>
        <w:rPr>
          <w:rFonts w:hint="eastAsia" w:ascii="宋体" w:hAnsi="宋体" w:eastAsia="宋体" w:cs="宋体"/>
          <w:color w:val="auto"/>
          <w:sz w:val="20"/>
          <w:szCs w:val="22"/>
          <w:highlight w:val="none"/>
        </w:rPr>
      </w:pPr>
      <w:r>
        <w:rPr>
          <w:rFonts w:hint="eastAsia" w:ascii="宋体" w:hAnsi="宋体" w:eastAsia="宋体" w:cs="宋体"/>
          <w:b/>
          <w:bCs/>
          <w:color w:val="auto"/>
          <w:sz w:val="24"/>
          <w:highlight w:val="none"/>
        </w:rPr>
        <w:t>4、依法缴纳税收和社会保障资金的承诺函；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温州市市政管理中心</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我公司郑重声明，我公司严格依法缴纳税收和社会保障资金，本文件中所提供的相关材料均真实有效，不存在虚假、造假行为。如有违反，愿承担一切责任。</w:t>
      </w:r>
    </w:p>
    <w:p>
      <w:pPr>
        <w:spacing w:line="460" w:lineRule="exact"/>
        <w:ind w:firstLine="440" w:firstLineChars="200"/>
        <w:rPr>
          <w:rFonts w:hint="eastAsia" w:ascii="宋体" w:hAnsi="宋体" w:eastAsia="宋体" w:cs="宋体"/>
          <w:color w:val="auto"/>
          <w:kern w:val="0"/>
          <w:sz w:val="22"/>
          <w:szCs w:val="22"/>
          <w:highlight w:val="none"/>
        </w:rPr>
      </w:pP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2"/>
        <w:spacing w:line="460" w:lineRule="exact"/>
        <w:ind w:left="-420" w:leftChars="-200" w:firstLine="6160" w:firstLineChars="28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pStyle w:val="22"/>
        <w:spacing w:line="460" w:lineRule="exact"/>
        <w:ind w:left="0" w:firstLine="0" w:firstLineChars="0"/>
        <w:rPr>
          <w:rFonts w:hint="eastAsia" w:ascii="宋体" w:hAnsi="宋体" w:eastAsia="宋体" w:cs="宋体"/>
          <w:color w:val="auto"/>
          <w:kern w:val="0"/>
          <w:highlight w:val="none"/>
        </w:rPr>
      </w:pPr>
    </w:p>
    <w:p>
      <w:pPr>
        <w:pStyle w:val="22"/>
        <w:spacing w:line="460" w:lineRule="exact"/>
        <w:ind w:left="0" w:firstLine="0" w:firstLineChars="0"/>
        <w:rPr>
          <w:rFonts w:hint="eastAsia" w:ascii="宋体" w:hAnsi="宋体" w:eastAsia="宋体" w:cs="宋体"/>
          <w:color w:val="auto"/>
          <w:kern w:val="0"/>
          <w:highlight w:val="none"/>
        </w:rPr>
      </w:pPr>
    </w:p>
    <w:p>
      <w:pPr>
        <w:pStyle w:val="22"/>
        <w:spacing w:line="460" w:lineRule="exact"/>
        <w:ind w:left="0" w:firstLine="0" w:firstLineChars="0"/>
        <w:rPr>
          <w:rFonts w:hint="eastAsia" w:ascii="宋体" w:hAnsi="宋体" w:eastAsia="宋体" w:cs="宋体"/>
          <w:color w:val="auto"/>
          <w:kern w:val="0"/>
          <w:highlight w:val="none"/>
        </w:rPr>
      </w:pPr>
    </w:p>
    <w:p>
      <w:pPr>
        <w:pStyle w:val="22"/>
        <w:spacing w:line="460" w:lineRule="exact"/>
        <w:ind w:left="0" w:firstLine="0" w:firstLineChars="0"/>
        <w:rPr>
          <w:rFonts w:hint="eastAsia" w:ascii="宋体" w:hAnsi="宋体" w:eastAsia="宋体" w:cs="宋体"/>
          <w:color w:val="auto"/>
          <w:kern w:val="0"/>
          <w:highlight w:val="none"/>
        </w:rPr>
      </w:pPr>
    </w:p>
    <w:p>
      <w:pPr>
        <w:spacing w:line="460" w:lineRule="exact"/>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4"/>
          <w:highlight w:val="none"/>
        </w:rPr>
        <w:t>5、参加政府采购活动前3年内在经营活动中没有重大违法记录的声明函</w:t>
      </w:r>
      <w:r>
        <w:rPr>
          <w:rFonts w:hint="eastAsia" w:ascii="宋体" w:hAnsi="宋体" w:eastAsia="宋体" w:cs="宋体"/>
          <w:b/>
          <w:bCs/>
          <w:color w:val="auto"/>
          <w:sz w:val="22"/>
          <w:szCs w:val="22"/>
          <w:highlight w:val="none"/>
        </w:rPr>
        <w:t>；</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温州市市政管理中心</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投标人</w:t>
      </w: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招标人可取消我方任何资格（投标/中标/签订合同），我方对此无任何异议。</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2"/>
        <w:spacing w:line="460" w:lineRule="exact"/>
        <w:ind w:left="514" w:leftChars="245" w:firstLine="5720" w:firstLineChars="2600"/>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rPr>
        <w:t>日期：     年  月  日</w:t>
      </w:r>
    </w:p>
    <w:p>
      <w:pPr>
        <w:spacing w:line="460" w:lineRule="exact"/>
        <w:ind w:left="514" w:leftChars="245"/>
        <w:rPr>
          <w:rFonts w:hint="eastAsia" w:ascii="宋体" w:hAnsi="宋体" w:eastAsia="宋体" w:cs="宋体"/>
          <w:b/>
          <w:bCs/>
          <w:color w:val="auto"/>
          <w:sz w:val="22"/>
          <w:szCs w:val="22"/>
          <w:highlight w:val="none"/>
        </w:rPr>
      </w:pPr>
    </w:p>
    <w:p>
      <w:pPr>
        <w:pStyle w:val="22"/>
        <w:ind w:left="0" w:firstLine="0" w:firstLineChars="0"/>
        <w:rPr>
          <w:rFonts w:hint="eastAsia" w:ascii="宋体" w:hAnsi="宋体" w:eastAsia="宋体" w:cs="宋体"/>
          <w:color w:val="auto"/>
          <w:highlight w:val="none"/>
        </w:rPr>
      </w:pPr>
    </w:p>
    <w:p>
      <w:pPr>
        <w:spacing w:line="460" w:lineRule="exact"/>
        <w:outlineLvl w:val="3"/>
        <w:rPr>
          <w:rFonts w:hint="eastAsia" w:ascii="宋体" w:hAnsi="宋体" w:eastAsia="宋体" w:cs="宋体"/>
          <w:b/>
          <w:bCs/>
          <w:color w:val="auto"/>
          <w:szCs w:val="21"/>
          <w:highlight w:val="none"/>
        </w:rPr>
      </w:pPr>
      <w:r>
        <w:rPr>
          <w:rFonts w:hint="eastAsia" w:ascii="宋体" w:hAnsi="宋体" w:eastAsia="宋体" w:cs="宋体"/>
          <w:b/>
          <w:bCs/>
          <w:color w:val="auto"/>
          <w:sz w:val="24"/>
          <w:highlight w:val="none"/>
        </w:rPr>
        <w:t>6、单位负责人为同一人或者存在直接控股、管理关系的不同供应商，不得参加同一合同项下的政府采购活动承诺函；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温州市市政管理中心</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我方郑重承诺，我方此次参加</w:t>
      </w:r>
      <w:r>
        <w:rPr>
          <w:rFonts w:hint="eastAsia" w:ascii="宋体" w:hAnsi="宋体" w:cs="宋体"/>
          <w:color w:val="auto"/>
          <w:sz w:val="22"/>
          <w:szCs w:val="22"/>
          <w:highlight w:val="none"/>
          <w:u w:val="single"/>
          <w:lang w:eastAsia="zh-CN"/>
        </w:rPr>
        <w:t>温州市市政管理中心</w:t>
      </w:r>
      <w:r>
        <w:rPr>
          <w:rFonts w:hint="eastAsia" w:ascii="宋体" w:hAnsi="宋体" w:eastAsia="宋体" w:cs="宋体"/>
          <w:color w:val="auto"/>
          <w:kern w:val="0"/>
          <w:sz w:val="22"/>
          <w:szCs w:val="22"/>
          <w:highlight w:val="none"/>
        </w:rPr>
        <w:t>项目的投标，与参加本次项目同一合同项下政府采购活动的其他供应商不存在单位负责人为同一人或者直接控股、管理关系。如有虚假或隐瞒，愿意承担一切后果。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460" w:lineRule="exact"/>
        <w:jc w:val="center"/>
        <w:rPr>
          <w:rFonts w:hint="eastAsia" w:ascii="宋体" w:hAnsi="宋体" w:eastAsia="宋体" w:cs="宋体"/>
          <w:b/>
          <w:color w:val="auto"/>
          <w:kern w:val="36"/>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adjustRightInd w:val="0"/>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2"/>
        <w:spacing w:line="460" w:lineRule="exact"/>
        <w:ind w:left="514" w:leftChars="245" w:firstLine="5720" w:firstLineChars="2600"/>
        <w:rPr>
          <w:rFonts w:hint="eastAsia" w:ascii="宋体" w:hAnsi="宋体" w:eastAsia="宋体" w:cs="宋体"/>
          <w:color w:val="auto"/>
          <w:kern w:val="0"/>
          <w:highlight w:val="none"/>
        </w:rPr>
      </w:pPr>
      <w:r>
        <w:rPr>
          <w:rFonts w:hint="eastAsia" w:ascii="宋体" w:hAnsi="宋体" w:eastAsia="宋体" w:cs="宋体"/>
          <w:color w:val="auto"/>
          <w:kern w:val="0"/>
          <w:sz w:val="22"/>
          <w:szCs w:val="22"/>
          <w:highlight w:val="none"/>
        </w:rPr>
        <w:t>日期：     年  月  日</w:t>
      </w:r>
    </w:p>
    <w:p>
      <w:pPr>
        <w:pStyle w:val="22"/>
        <w:spacing w:line="460" w:lineRule="exact"/>
        <w:ind w:left="0" w:firstLine="0" w:firstLineChars="0"/>
        <w:rPr>
          <w:rFonts w:hint="eastAsia" w:ascii="宋体" w:hAnsi="宋体" w:eastAsia="宋体" w:cs="宋体"/>
          <w:color w:val="auto"/>
          <w:kern w:val="0"/>
          <w:highlight w:val="none"/>
        </w:rPr>
      </w:pPr>
    </w:p>
    <w:p>
      <w:pPr>
        <w:pStyle w:val="22"/>
        <w:spacing w:line="460" w:lineRule="exact"/>
        <w:ind w:left="0" w:firstLine="0" w:firstLineChars="0"/>
        <w:rPr>
          <w:rFonts w:hint="eastAsia" w:ascii="宋体" w:hAnsi="宋体" w:eastAsia="宋体" w:cs="宋体"/>
          <w:color w:val="auto"/>
          <w:kern w:val="0"/>
          <w:highlight w:val="none"/>
        </w:rPr>
      </w:pP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7、投标人不属于公益一类事业单位承诺函；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温州市市政管理中心</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我方郑重承诺，我单位不属于公益一类事业单位，可承接</w:t>
      </w:r>
      <w:r>
        <w:rPr>
          <w:rFonts w:hint="eastAsia" w:ascii="宋体" w:hAnsi="宋体" w:cs="宋体"/>
          <w:color w:val="auto"/>
          <w:kern w:val="0"/>
          <w:sz w:val="22"/>
          <w:szCs w:val="22"/>
          <w:highlight w:val="none"/>
          <w:u w:val="single"/>
          <w:lang w:eastAsia="zh-CN"/>
        </w:rPr>
        <w:t>温州市市政管理中心</w:t>
      </w:r>
      <w:r>
        <w:rPr>
          <w:rFonts w:hint="eastAsia" w:ascii="宋体" w:hAnsi="宋体" w:eastAsia="宋体" w:cs="宋体"/>
          <w:color w:val="auto"/>
          <w:kern w:val="0"/>
          <w:sz w:val="22"/>
          <w:szCs w:val="22"/>
          <w:highlight w:val="none"/>
        </w:rPr>
        <w:t>项目的相关服务内容。如有虚假或隐瞒，愿意承担一切后果。</w:t>
      </w:r>
    </w:p>
    <w:p>
      <w:pPr>
        <w:shd w:val="clear" w:color="auto" w:fill="FFFFFF"/>
        <w:snapToGrid w:val="0"/>
        <w:spacing w:line="460" w:lineRule="exact"/>
        <w:jc w:val="center"/>
        <w:rPr>
          <w:rFonts w:hint="eastAsia" w:ascii="宋体" w:hAnsi="宋体" w:eastAsia="宋体" w:cs="宋体"/>
          <w:b/>
          <w:color w:val="auto"/>
          <w:kern w:val="36"/>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adjustRightInd w:val="0"/>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adjustRightInd w:val="0"/>
        <w:snapToGrid w:val="0"/>
        <w:spacing w:line="460" w:lineRule="exact"/>
        <w:ind w:firstLine="6160" w:firstLineChars="28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2"/>
          <w:szCs w:val="22"/>
          <w:highlight w:val="none"/>
        </w:rPr>
        <w:t>日期：     年  月  日</w:t>
      </w:r>
    </w:p>
    <w:p>
      <w:pPr>
        <w:pStyle w:val="22"/>
        <w:spacing w:line="460" w:lineRule="exact"/>
        <w:ind w:left="514" w:leftChars="245" w:firstLine="0" w:firstLineChars="0"/>
        <w:rPr>
          <w:rFonts w:hint="eastAsia" w:ascii="宋体" w:hAnsi="宋体" w:eastAsia="宋体" w:cs="宋体"/>
          <w:color w:val="auto"/>
          <w:highlight w:val="none"/>
        </w:rPr>
      </w:pPr>
    </w:p>
    <w:p>
      <w:pPr>
        <w:pStyle w:val="22"/>
        <w:spacing w:line="460" w:lineRule="exact"/>
        <w:ind w:left="514" w:leftChars="245" w:firstLine="0" w:firstLineChars="0"/>
        <w:rPr>
          <w:rFonts w:hint="eastAsia" w:ascii="宋体" w:hAnsi="宋体" w:eastAsia="宋体" w:cs="宋体"/>
          <w:color w:val="auto"/>
          <w:highlight w:val="none"/>
        </w:rPr>
      </w:pPr>
    </w:p>
    <w:p>
      <w:pPr>
        <w:pStyle w:val="22"/>
        <w:spacing w:line="460" w:lineRule="exact"/>
        <w:ind w:left="514" w:leftChars="245" w:firstLine="0" w:firstLineChars="0"/>
        <w:rPr>
          <w:rFonts w:hint="eastAsia" w:ascii="宋体" w:hAnsi="宋体" w:eastAsia="宋体" w:cs="宋体"/>
          <w:color w:val="auto"/>
          <w:highlight w:val="none"/>
        </w:rPr>
      </w:pPr>
    </w:p>
    <w:p>
      <w:pPr>
        <w:pStyle w:val="22"/>
        <w:spacing w:line="460" w:lineRule="exact"/>
        <w:ind w:left="514" w:leftChars="245" w:firstLine="0" w:firstLineChars="0"/>
        <w:rPr>
          <w:rFonts w:hint="eastAsia" w:ascii="宋体" w:hAnsi="宋体" w:eastAsia="宋体" w:cs="宋体"/>
          <w:color w:val="auto"/>
          <w:highlight w:val="none"/>
        </w:rPr>
      </w:pP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8、投标人信用查询：</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1、投标人信用信息查询的查询渠道：“信用中国”(www.creditchina.gov.cn)；“中国政府采购网”（http://www.ccgp.gov.cn/）；</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2、投标人信用信息查询截止时点：招标公告发布之日至投标截止时间前。</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3、投标人信用信息查询记录和证据留存的具体方式：网页截图；</w:t>
      </w:r>
    </w:p>
    <w:p>
      <w:pPr>
        <w:tabs>
          <w:tab w:val="left" w:pos="360"/>
        </w:tabs>
        <w:spacing w:line="460" w:lineRule="exact"/>
        <w:ind w:firstLine="552" w:firstLineChars="25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highlight w:val="none"/>
          <w:u w:val="single"/>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pStyle w:val="9"/>
        <w:rPr>
          <w:rFonts w:hint="eastAsia" w:ascii="宋体" w:hAnsi="宋体" w:eastAsia="宋体" w:cs="宋体"/>
          <w:bCs/>
          <w:color w:val="auto"/>
          <w:sz w:val="22"/>
          <w:szCs w:val="22"/>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460" w:lineRule="exact"/>
        <w:jc w:val="center"/>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9、政府采购活动现场确认声明书</w:t>
      </w: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color w:val="auto"/>
          <w:kern w:val="0"/>
          <w:sz w:val="22"/>
          <w:szCs w:val="22"/>
          <w:highlight w:val="none"/>
        </w:rPr>
        <w:t>温州历程招标有限公司：</w:t>
      </w:r>
    </w:p>
    <w:p>
      <w:pPr>
        <w:spacing w:line="460" w:lineRule="exact"/>
        <w:ind w:firstLine="440" w:firstLineChars="200"/>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rPr>
        <w:t>本人经由</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（供应商名称）负责人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（姓名）合法授权参加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项目（编号：</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）采购活动，经与本单位法人代表（负责人）联系确认，现就有关公平竞争事项郑重声明如下：</w:t>
      </w:r>
    </w:p>
    <w:p>
      <w:pPr>
        <w:numPr>
          <w:ilvl w:val="0"/>
          <w:numId w:val="2"/>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本单位与招标人之间 □不存在利害关系 □存在下列利害关系：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A.投资关系    </w:t>
      </w:r>
    </w:p>
    <w:p>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B.行政隶属关系    </w:t>
      </w:r>
    </w:p>
    <w:p>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C.业务指导关系  </w:t>
      </w:r>
    </w:p>
    <w:p>
      <w:pPr>
        <w:spacing w:line="460" w:lineRule="exact"/>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D.其他可能影响采购公正的利害关系</w:t>
      </w:r>
      <w:r>
        <w:rPr>
          <w:rStyle w:val="332"/>
          <w:rFonts w:hint="eastAsia" w:ascii="宋体" w:hAnsi="宋体" w:eastAsia="宋体" w:cs="宋体"/>
          <w:color w:val="auto"/>
          <w:sz w:val="22"/>
          <w:szCs w:val="22"/>
          <w:highlight w:val="none"/>
        </w:rPr>
        <w:t xml:space="preserve">（如有，请如实说明）                 </w:t>
      </w:r>
      <w:r>
        <w:rPr>
          <w:rFonts w:hint="eastAsia" w:ascii="宋体" w:hAnsi="宋体" w:eastAsia="宋体" w:cs="宋体"/>
          <w:color w:val="auto"/>
          <w:kern w:val="0"/>
          <w:sz w:val="22"/>
          <w:szCs w:val="22"/>
          <w:highlight w:val="none"/>
        </w:rPr>
        <w:t>。</w:t>
      </w:r>
    </w:p>
    <w:p>
      <w:pPr>
        <w:numPr>
          <w:ilvl w:val="0"/>
          <w:numId w:val="2"/>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现已清楚知道参加本项目采购活动的其他所有供应商名称，本单位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□与其他所有供应商之间均不存在利害关系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□与</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供应商名称）之间存在下列利害关系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A.法定代表人或负责人或实际控制人是同一人</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B.法定代表人或负责人或实际控制人是夫妻关系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C.法定代表人或负责人或实际控制人是直系血亲关系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D.法定代表人或负责人或实际控制人存在三代以内旁系血亲关系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E.法定代表人或负责人或实际控制人存在近姻亲关系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F.法定代表人或负责人或实际控制人存在股份控制或实际控制关系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G.存在共同直接或间接投资设立子公司、联营企业和合营企业情况</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H.存在分级代理或代销关系、同一生产制造商关系、管理关系、重要业务（占主营业务收入50%以上）或重要财务往来关系（如融资）等其他实质性控制关系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I.其他利害关系情况</w:t>
      </w:r>
      <w:r>
        <w:rPr>
          <w:rFonts w:hint="eastAsia" w:ascii="宋体" w:hAnsi="宋体" w:eastAsia="宋体" w:cs="宋体"/>
          <w:color w:val="auto"/>
          <w:kern w:val="0"/>
          <w:sz w:val="22"/>
          <w:szCs w:val="22"/>
          <w:highlight w:val="none"/>
          <w:u w:val="single"/>
        </w:rPr>
        <w:t xml:space="preserve">                              。</w:t>
      </w:r>
    </w:p>
    <w:p>
      <w:pPr>
        <w:pStyle w:val="22"/>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（三）现已清楚知道并严格遵守政府采购法律法规和现场纪律</w:t>
      </w:r>
    </w:p>
    <w:p>
      <w:pPr>
        <w:pStyle w:val="22"/>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（四）我发现</w:t>
      </w:r>
      <w:r>
        <w:rPr>
          <w:rStyle w:val="332"/>
          <w:rFonts w:hint="eastAsia" w:ascii="宋体" w:hAnsi="宋体" w:eastAsia="宋体" w:cs="宋体"/>
          <w:color w:val="auto"/>
          <w:sz w:val="22"/>
          <w:szCs w:val="22"/>
          <w:highlight w:val="none"/>
        </w:rPr>
        <w:t xml:space="preserve">                  与                  （供应商名称）</w:t>
      </w:r>
      <w:r>
        <w:rPr>
          <w:rFonts w:hint="eastAsia" w:ascii="宋体" w:hAnsi="宋体" w:eastAsia="宋体" w:cs="宋体"/>
          <w:color w:val="auto"/>
          <w:kern w:val="0"/>
          <w:sz w:val="22"/>
          <w:szCs w:val="22"/>
          <w:highlight w:val="none"/>
        </w:rPr>
        <w:t>之间存在或可能存在上述第二条第</w:t>
      </w:r>
      <w:r>
        <w:rPr>
          <w:rStyle w:val="332"/>
          <w:rFonts w:hint="eastAsia" w:ascii="宋体" w:hAnsi="宋体" w:eastAsia="宋体" w:cs="宋体"/>
          <w:color w:val="auto"/>
          <w:sz w:val="22"/>
          <w:szCs w:val="22"/>
          <w:highlight w:val="none"/>
        </w:rPr>
        <w:t xml:space="preserve">        </w:t>
      </w:r>
      <w:r>
        <w:rPr>
          <w:rFonts w:hint="eastAsia" w:ascii="宋体" w:hAnsi="宋体" w:eastAsia="宋体" w:cs="宋体"/>
          <w:color w:val="auto"/>
          <w:kern w:val="0"/>
          <w:sz w:val="22"/>
          <w:szCs w:val="22"/>
          <w:highlight w:val="none"/>
        </w:rPr>
        <w:t>项利害关系。</w:t>
      </w:r>
    </w:p>
    <w:p>
      <w:pPr>
        <w:pStyle w:val="22"/>
        <w:spacing w:line="460" w:lineRule="exact"/>
        <w:ind w:left="0" w:firstLine="0" w:firstLineChars="0"/>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供应商代表签名:</w:t>
      </w:r>
    </w:p>
    <w:p>
      <w:pPr>
        <w:pStyle w:val="22"/>
        <w:spacing w:line="460" w:lineRule="exact"/>
        <w:ind w:left="0" w:firstLine="0" w:firstLineChars="0"/>
        <w:jc w:val="right"/>
        <w:rPr>
          <w:rFonts w:hint="eastAsia" w:ascii="宋体" w:hAnsi="宋体" w:eastAsia="宋体" w:cs="宋体"/>
          <w:b/>
          <w:color w:val="auto"/>
          <w:kern w:val="0"/>
          <w:sz w:val="22"/>
          <w:szCs w:val="22"/>
          <w:highlight w:val="none"/>
        </w:rPr>
      </w:pPr>
    </w:p>
    <w:p>
      <w:pPr>
        <w:pStyle w:val="22"/>
        <w:spacing w:line="460" w:lineRule="exact"/>
        <w:ind w:left="0" w:firstLine="0" w:firstLineChars="0"/>
        <w:jc w:val="right"/>
        <w:rPr>
          <w:rFonts w:hint="eastAsia" w:ascii="宋体" w:hAnsi="宋体" w:eastAsia="宋体" w:cs="宋体"/>
          <w:b/>
          <w:color w:val="auto"/>
          <w:kern w:val="0"/>
          <w:sz w:val="22"/>
          <w:szCs w:val="22"/>
          <w:highlight w:val="none"/>
        </w:rPr>
      </w:pPr>
    </w:p>
    <w:p>
      <w:pPr>
        <w:pStyle w:val="22"/>
        <w:spacing w:line="460" w:lineRule="exact"/>
        <w:ind w:left="0" w:firstLine="0" w:firstLineChars="0"/>
        <w:jc w:val="right"/>
        <w:rPr>
          <w:rFonts w:hint="eastAsia" w:ascii="宋体" w:hAnsi="宋体" w:eastAsia="宋体" w:cs="宋体"/>
          <w:b/>
          <w:bCs/>
          <w:color w:val="auto"/>
          <w:sz w:val="22"/>
          <w:szCs w:val="22"/>
          <w:highlight w:val="none"/>
        </w:rPr>
      </w:pPr>
      <w:r>
        <w:rPr>
          <w:rFonts w:hint="eastAsia" w:ascii="宋体" w:hAnsi="宋体" w:eastAsia="宋体" w:cs="宋体"/>
          <w:b/>
          <w:color w:val="auto"/>
          <w:kern w:val="0"/>
          <w:sz w:val="22"/>
          <w:szCs w:val="22"/>
          <w:highlight w:val="none"/>
        </w:rPr>
        <w:t>日期:</w:t>
      </w:r>
      <w:r>
        <w:rPr>
          <w:rFonts w:hint="eastAsia" w:ascii="宋体" w:hAnsi="宋体" w:cs="宋体"/>
          <w:b/>
          <w:color w:val="auto"/>
          <w:kern w:val="0"/>
          <w:sz w:val="22"/>
          <w:szCs w:val="22"/>
          <w:highlight w:val="none"/>
          <w:lang w:eastAsia="zh-CN"/>
        </w:rPr>
        <w:t>2022年</w:t>
      </w:r>
      <w:r>
        <w:rPr>
          <w:rFonts w:hint="eastAsia" w:ascii="宋体" w:hAnsi="宋体" w:eastAsia="宋体" w:cs="宋体"/>
          <w:b/>
          <w:color w:val="auto"/>
          <w:kern w:val="0"/>
          <w:sz w:val="22"/>
          <w:szCs w:val="22"/>
          <w:highlight w:val="none"/>
        </w:rPr>
        <w:t xml:space="preserve">    月    日</w:t>
      </w:r>
    </w:p>
    <w:p>
      <w:pPr>
        <w:rPr>
          <w:rFonts w:hint="eastAsia" w:ascii="宋体" w:hAnsi="宋体" w:eastAsia="宋体" w:cs="宋体"/>
          <w:b/>
          <w:bCs/>
          <w:color w:val="auto"/>
          <w:sz w:val="22"/>
          <w:szCs w:val="22"/>
          <w:highlight w:val="none"/>
        </w:rPr>
      </w:pPr>
      <w:bookmarkStart w:id="37" w:name="_Toc31356"/>
      <w:bookmarkStart w:id="38" w:name="_Toc16516"/>
      <w:r>
        <w:rPr>
          <w:rFonts w:hint="eastAsia" w:ascii="宋体" w:hAnsi="宋体" w:eastAsia="宋体" w:cs="宋体"/>
          <w:b/>
          <w:bCs/>
          <w:color w:val="auto"/>
          <w:sz w:val="22"/>
          <w:szCs w:val="22"/>
          <w:highlight w:val="none"/>
        </w:rPr>
        <w:br w:type="page"/>
      </w:r>
    </w:p>
    <w:p>
      <w:pPr>
        <w:keepNext w:val="0"/>
        <w:keepLines w:val="0"/>
        <w:pageBreakBefore w:val="0"/>
        <w:widowControl w:val="0"/>
        <w:kinsoku/>
        <w:wordWrap/>
        <w:overflowPunct/>
        <w:topLinePunct w:val="0"/>
        <w:autoSpaceDE/>
        <w:autoSpaceDN/>
        <w:bidi w:val="0"/>
        <w:adjustRightInd/>
        <w:snapToGrid/>
        <w:textAlignment w:val="auto"/>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10</w:t>
      </w:r>
      <w:r>
        <w:rPr>
          <w:rFonts w:hint="eastAsia" w:ascii="宋体" w:hAnsi="宋体" w:cs="宋体"/>
          <w:b/>
          <w:bCs/>
          <w:color w:val="auto"/>
          <w:sz w:val="28"/>
          <w:szCs w:val="28"/>
          <w:highlight w:val="none"/>
          <w:lang w:val="en-US" w:eastAsia="zh-CN"/>
        </w:rPr>
        <w:t>、具备市政公用工程施工总承包资质壹级及以上或桥梁工程专业承包资质贰级及以上。  </w:t>
      </w:r>
    </w:p>
    <w:p>
      <w:pP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p>
    <w:p>
      <w:pPr>
        <w:outlineLvl w:val="1"/>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附件三</w:t>
      </w:r>
      <w:bookmarkEnd w:id="37"/>
      <w:bookmarkEnd w:id="38"/>
    </w:p>
    <w:p>
      <w:pPr>
        <w:spacing w:line="460" w:lineRule="exact"/>
        <w:jc w:val="center"/>
        <w:outlineLvl w:val="2"/>
        <w:rPr>
          <w:rFonts w:hint="eastAsia" w:ascii="宋体" w:hAnsi="宋体" w:eastAsia="宋体" w:cs="宋体"/>
          <w:b/>
          <w:bCs/>
          <w:color w:val="auto"/>
          <w:sz w:val="28"/>
          <w:szCs w:val="28"/>
          <w:highlight w:val="none"/>
          <w:lang w:val="zh-CN"/>
        </w:rPr>
      </w:pPr>
      <w:bookmarkStart w:id="39" w:name="_Toc29102"/>
      <w:bookmarkStart w:id="40" w:name="_Toc13639"/>
      <w:r>
        <w:rPr>
          <w:rFonts w:hint="eastAsia" w:ascii="宋体" w:hAnsi="宋体" w:eastAsia="宋体" w:cs="宋体"/>
          <w:b/>
          <w:bCs/>
          <w:color w:val="auto"/>
          <w:sz w:val="28"/>
          <w:szCs w:val="28"/>
          <w:highlight w:val="none"/>
          <w:lang w:val="zh-CN"/>
        </w:rPr>
        <w:t>商务技术文件</w:t>
      </w:r>
      <w:bookmarkEnd w:id="39"/>
      <w:bookmarkEnd w:id="40"/>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8"/>
          <w:szCs w:val="28"/>
          <w:highlight w:val="none"/>
          <w:lang w:val="en-US" w:eastAsia="zh-CN"/>
        </w:rPr>
      </w:pPr>
    </w:p>
    <w:p>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1、法定代表人授权书</w:t>
      </w:r>
    </w:p>
    <w:p>
      <w:pPr>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温州市市政管理中心</w:t>
      </w:r>
      <w:r>
        <w:rPr>
          <w:rFonts w:hint="eastAsia" w:ascii="宋体" w:hAnsi="宋体" w:eastAsia="宋体" w:cs="宋体"/>
          <w:color w:val="auto"/>
          <w:sz w:val="22"/>
          <w:szCs w:val="22"/>
          <w:highlight w:val="none"/>
        </w:rPr>
        <w:t>：</w:t>
      </w:r>
    </w:p>
    <w:p>
      <w:pPr>
        <w:spacing w:line="460" w:lineRule="exact"/>
        <w:rPr>
          <w:rFonts w:hint="eastAsia" w:ascii="宋体" w:hAnsi="宋体" w:eastAsia="宋体" w:cs="宋体"/>
          <w:color w:val="auto"/>
          <w:sz w:val="22"/>
          <w:szCs w:val="22"/>
          <w:highlight w:val="none"/>
          <w:u w:val="single"/>
        </w:rPr>
      </w:pPr>
    </w:p>
    <w:p>
      <w:pPr>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（投标人全称）法定代表人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（全权代表姓名）为全权代表，参加贵处组织的（项目名称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）的招标活动，全权代表我方处理招标活动中的一切事宜。</w:t>
      </w:r>
    </w:p>
    <w:p>
      <w:pPr>
        <w:spacing w:line="460" w:lineRule="exact"/>
        <w:ind w:firstLine="2955"/>
        <w:rPr>
          <w:rFonts w:hint="eastAsia" w:ascii="宋体" w:hAnsi="宋体" w:eastAsia="宋体" w:cs="宋体"/>
          <w:color w:val="auto"/>
          <w:sz w:val="22"/>
          <w:szCs w:val="22"/>
          <w:highlight w:val="none"/>
        </w:rPr>
      </w:pP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60" w:lineRule="exact"/>
        <w:ind w:firstLine="4081" w:firstLineChars="18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  (签字或盖章)：</w:t>
      </w: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投标人全称（公章）：</w:t>
      </w: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w:t>
      </w: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 xml:space="preserve">授权代表姓名：                               </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职务：</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详细通讯地址：</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电话：</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传真：</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邮政编码:</w:t>
      </w:r>
    </w:p>
    <w:p>
      <w:pPr>
        <w:spacing w:line="380" w:lineRule="exact"/>
        <w:rPr>
          <w:rFonts w:hint="eastAsia" w:ascii="宋体" w:hAnsi="宋体" w:eastAsia="宋体" w:cs="宋体"/>
          <w:color w:val="auto"/>
          <w:sz w:val="22"/>
          <w:szCs w:val="22"/>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6"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CalZX0BAgAARAQAAA4AAAAAAAAAAQAgAAAAJwEAAGRy&#10;cy9lMm9Eb2MueG1sUEsFBgAAAAAGAAYAWQEAAJoFAAAAAA==&#10;">
                <v:fill on="t" focussize="0,0"/>
                <v:stroke color="#000000" joinstyle="miter"/>
                <v:imagedata o:title=""/>
                <o:lock v:ext="edit" aspectratio="f"/>
                <v:textbox>
                  <w:txbxContent>
                    <w:p>
                      <w:r>
                        <w:rPr>
                          <w:rFonts w:hint="eastAsia" w:ascii="新宋体" w:hAnsi="新宋体" w:eastAsia="新宋体"/>
                          <w:sz w:val="22"/>
                          <w:szCs w:val="22"/>
                        </w:rPr>
                        <w:t xml:space="preserve">  法定代表人身份证（正反面）：</w:t>
                      </w:r>
                    </w:p>
                  </w:txbxContent>
                </v:textbox>
              </v:shape>
            </w:pict>
          </mc:Fallback>
        </mc:AlternateContent>
      </w: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7"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96.35pt;z-index:251660288;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qLXdgAAAAKAQAADwAAAAAA&#10;AAABACAAAAAiAAAAZHJzL2Rvd25yZXYueG1sUEsBAhQAFAAAAAgAh07iQELca5wTAgAARgQAAA4A&#10;AAAAAAAAAQAgAAAAJwEAAGRycy9lMm9Eb2MueG1sUEsFBgAAAAAGAAYAWQEAAKwFAAAAAA==&#10;">
                <v:fill on="t" focussize="0,0"/>
                <v:stroke color="#000000" joinstyle="miter"/>
                <v:imagedata o:title=""/>
                <o:lock v:ext="edit" aspectratio="f"/>
                <v:textbox>
                  <w:txbxContent>
                    <w:p>
                      <w:r>
                        <w:rPr>
                          <w:rFonts w:hint="eastAsia" w:ascii="新宋体" w:hAnsi="新宋体" w:eastAsia="新宋体"/>
                          <w:sz w:val="22"/>
                          <w:szCs w:val="22"/>
                        </w:rPr>
                        <w:t xml:space="preserve">  授权代表身份证（正反面）：</w:t>
                      </w:r>
                    </w:p>
                  </w:txbxContent>
                </v:textbox>
              </v:shape>
            </w:pict>
          </mc:Fallback>
        </mc:AlternateContent>
      </w: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both"/>
        <w:rPr>
          <w:rFonts w:hint="eastAsia" w:ascii="宋体" w:hAnsi="宋体" w:eastAsia="宋体" w:cs="宋体"/>
          <w:b/>
          <w:bCs/>
          <w:color w:val="auto"/>
          <w:sz w:val="28"/>
          <w:szCs w:val="28"/>
          <w:highlight w:val="none"/>
        </w:rPr>
      </w:pPr>
    </w:p>
    <w:p>
      <w:pPr>
        <w:spacing w:line="460" w:lineRule="exact"/>
        <w:jc w:val="center"/>
        <w:outlineLvl w:val="3"/>
        <w:rPr>
          <w:rFonts w:hint="eastAsia" w:ascii="宋体" w:hAnsi="宋体" w:eastAsia="宋体" w:cs="宋体"/>
          <w:b/>
          <w:bCs/>
          <w:color w:val="auto"/>
          <w:sz w:val="22"/>
          <w:szCs w:val="22"/>
          <w:highlight w:val="none"/>
        </w:rPr>
        <w:sectPr>
          <w:headerReference r:id="rId3" w:type="default"/>
          <w:footerReference r:id="rId4" w:type="default"/>
          <w:pgSz w:w="11906" w:h="16838"/>
          <w:pgMar w:top="1134" w:right="1134" w:bottom="1134" w:left="1134" w:header="850" w:footer="992" w:gutter="0"/>
          <w:cols w:space="720" w:num="1"/>
          <w:titlePg/>
          <w:docGrid w:type="lines" w:linePitch="312" w:charSpace="0"/>
        </w:sectPr>
      </w:pPr>
    </w:p>
    <w:p>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2、投标人情况表</w:t>
      </w:r>
    </w:p>
    <w:p>
      <w:pPr>
        <w:tabs>
          <w:tab w:val="left" w:pos="780"/>
        </w:tabs>
        <w:spacing w:line="4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单位名称（盖章）</w:t>
            </w:r>
          </w:p>
        </w:tc>
        <w:tc>
          <w:tcPr>
            <w:tcW w:w="2804" w:type="dxa"/>
            <w:gridSpan w:val="2"/>
          </w:tcPr>
          <w:p>
            <w:pPr>
              <w:spacing w:line="480" w:lineRule="exact"/>
              <w:rPr>
                <w:rFonts w:hint="eastAsia" w:ascii="宋体" w:hAnsi="宋体" w:eastAsia="宋体" w:cs="宋体"/>
                <w:color w:val="auto"/>
                <w:sz w:val="22"/>
                <w:szCs w:val="22"/>
                <w:highlight w:val="none"/>
              </w:rPr>
            </w:pPr>
          </w:p>
        </w:tc>
        <w:tc>
          <w:tcPr>
            <w:tcW w:w="1115"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 话</w:t>
            </w:r>
          </w:p>
        </w:tc>
        <w:tc>
          <w:tcPr>
            <w:tcW w:w="2588" w:type="dxa"/>
            <w:gridSpan w:val="2"/>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主管部门</w:t>
            </w:r>
          </w:p>
        </w:tc>
        <w:tc>
          <w:tcPr>
            <w:tcW w:w="1502" w:type="dxa"/>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企业负责人</w:t>
            </w:r>
          </w:p>
        </w:tc>
        <w:tc>
          <w:tcPr>
            <w:tcW w:w="1115" w:type="dxa"/>
          </w:tcPr>
          <w:p>
            <w:pPr>
              <w:spacing w:line="480" w:lineRule="exact"/>
              <w:rPr>
                <w:rFonts w:hint="eastAsia" w:ascii="宋体" w:hAnsi="宋体" w:eastAsia="宋体" w:cs="宋体"/>
                <w:color w:val="auto"/>
                <w:sz w:val="22"/>
                <w:szCs w:val="22"/>
                <w:highlight w:val="none"/>
              </w:rPr>
            </w:pPr>
          </w:p>
        </w:tc>
        <w:tc>
          <w:tcPr>
            <w:tcW w:w="1461"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p>
        </w:tc>
        <w:tc>
          <w:tcPr>
            <w:tcW w:w="2804" w:type="dxa"/>
            <w:gridSpan w:val="2"/>
          </w:tcPr>
          <w:p>
            <w:pPr>
              <w:spacing w:line="480" w:lineRule="exact"/>
              <w:rPr>
                <w:rFonts w:hint="eastAsia" w:ascii="宋体" w:hAnsi="宋体" w:eastAsia="宋体" w:cs="宋体"/>
                <w:color w:val="auto"/>
                <w:sz w:val="22"/>
                <w:szCs w:val="22"/>
                <w:highlight w:val="none"/>
              </w:rPr>
            </w:pPr>
          </w:p>
        </w:tc>
        <w:tc>
          <w:tcPr>
            <w:tcW w:w="1115"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w:t>
            </w:r>
          </w:p>
        </w:tc>
        <w:tc>
          <w:tcPr>
            <w:tcW w:w="2588" w:type="dxa"/>
            <w:gridSpan w:val="2"/>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企业性质</w:t>
            </w:r>
          </w:p>
        </w:tc>
        <w:tc>
          <w:tcPr>
            <w:tcW w:w="1502" w:type="dxa"/>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w:t>
            </w:r>
          </w:p>
        </w:tc>
        <w:tc>
          <w:tcPr>
            <w:tcW w:w="1115" w:type="dxa"/>
          </w:tcPr>
          <w:p>
            <w:pPr>
              <w:spacing w:line="480" w:lineRule="exact"/>
              <w:rPr>
                <w:rFonts w:hint="eastAsia" w:ascii="宋体" w:hAnsi="宋体" w:eastAsia="宋体" w:cs="宋体"/>
                <w:color w:val="auto"/>
                <w:sz w:val="22"/>
                <w:szCs w:val="22"/>
                <w:highlight w:val="none"/>
              </w:rPr>
            </w:pPr>
          </w:p>
        </w:tc>
        <w:tc>
          <w:tcPr>
            <w:tcW w:w="1461"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单位简介</w:t>
            </w:r>
          </w:p>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及机构</w:t>
            </w:r>
          </w:p>
        </w:tc>
        <w:tc>
          <w:tcPr>
            <w:tcW w:w="6507" w:type="dxa"/>
            <w:gridSpan w:val="6"/>
            <w:vAlign w:val="center"/>
          </w:tcPr>
          <w:p>
            <w:pPr>
              <w:spacing w:line="480" w:lineRule="exact"/>
              <w:jc w:val="center"/>
              <w:rPr>
                <w:rFonts w:hint="eastAsia" w:ascii="宋体" w:hAnsi="宋体" w:eastAsia="宋体" w:cs="宋体"/>
                <w:color w:val="auto"/>
                <w:sz w:val="22"/>
                <w:szCs w:val="22"/>
                <w:highlight w:val="none"/>
              </w:rPr>
            </w:pPr>
          </w:p>
        </w:tc>
        <w:tc>
          <w:tcPr>
            <w:tcW w:w="1488"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单位优势</w:t>
            </w:r>
          </w:p>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及特长</w:t>
            </w:r>
          </w:p>
        </w:tc>
        <w:tc>
          <w:tcPr>
            <w:tcW w:w="5566" w:type="dxa"/>
            <w:gridSpan w:val="5"/>
          </w:tcPr>
          <w:p>
            <w:pPr>
              <w:spacing w:line="48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单位概况</w:t>
            </w: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职工总数</w:t>
            </w:r>
          </w:p>
        </w:tc>
        <w:tc>
          <w:tcPr>
            <w:tcW w:w="1689" w:type="dxa"/>
            <w:vMerge w:val="restart"/>
          </w:tcPr>
          <w:p>
            <w:pPr>
              <w:spacing w:line="480" w:lineRule="exact"/>
              <w:ind w:firstLine="1540" w:firstLineChars="700"/>
              <w:rPr>
                <w:rFonts w:hint="eastAsia" w:ascii="宋体" w:hAnsi="宋体" w:eastAsia="宋体" w:cs="宋体"/>
                <w:color w:val="auto"/>
                <w:sz w:val="22"/>
                <w:szCs w:val="22"/>
                <w:highlight w:val="none"/>
              </w:rPr>
            </w:pPr>
          </w:p>
        </w:tc>
        <w:tc>
          <w:tcPr>
            <w:tcW w:w="3703" w:type="dxa"/>
            <w:gridSpan w:val="4"/>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各人员构成情况</w:t>
            </w:r>
          </w:p>
        </w:tc>
        <w:tc>
          <w:tcPr>
            <w:tcW w:w="1488" w:type="dxa"/>
            <w:vMerge w:val="restart"/>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上一年主要  经济指标</w:t>
            </w: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指标名称</w:t>
            </w:r>
          </w:p>
        </w:tc>
        <w:tc>
          <w:tcPr>
            <w:tcW w:w="1488" w:type="dxa"/>
            <w:tcBorders>
              <w:tr2bl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实际完成</w:t>
            </w:r>
          </w:p>
        </w:tc>
        <w:tc>
          <w:tcPr>
            <w:tcW w:w="1106" w:type="dxa"/>
            <w:tcBorders>
              <w:tr2bl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continue"/>
          </w:tcPr>
          <w:p>
            <w:pPr>
              <w:spacing w:line="480" w:lineRule="exact"/>
              <w:rPr>
                <w:rFonts w:hint="eastAsia" w:ascii="宋体" w:hAnsi="宋体" w:eastAsia="宋体" w:cs="宋体"/>
                <w:color w:val="auto"/>
                <w:sz w:val="22"/>
                <w:szCs w:val="22"/>
                <w:highlight w:val="none"/>
              </w:rPr>
            </w:pPr>
          </w:p>
        </w:tc>
        <w:tc>
          <w:tcPr>
            <w:tcW w:w="1689" w:type="dxa"/>
            <w:vMerge w:val="continue"/>
          </w:tcPr>
          <w:p>
            <w:pPr>
              <w:spacing w:line="480" w:lineRule="exact"/>
              <w:rPr>
                <w:rFonts w:hint="eastAsia" w:ascii="宋体" w:hAnsi="宋体" w:eastAsia="宋体" w:cs="宋体"/>
                <w:color w:val="auto"/>
                <w:sz w:val="22"/>
                <w:szCs w:val="22"/>
                <w:highlight w:val="none"/>
              </w:rPr>
            </w:pPr>
          </w:p>
        </w:tc>
        <w:tc>
          <w:tcPr>
            <w:tcW w:w="3703" w:type="dxa"/>
            <w:gridSpan w:val="4"/>
            <w:vMerge w:val="continue"/>
          </w:tcPr>
          <w:p>
            <w:pPr>
              <w:spacing w:line="480" w:lineRule="exact"/>
              <w:rPr>
                <w:rFonts w:hint="eastAsia" w:ascii="宋体" w:hAnsi="宋体" w:eastAsia="宋体" w:cs="宋体"/>
                <w:color w:val="auto"/>
                <w:sz w:val="22"/>
                <w:szCs w:val="22"/>
                <w:highlight w:val="none"/>
              </w:rPr>
            </w:pP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488" w:type="dxa"/>
            <w:vAlign w:val="center"/>
          </w:tcPr>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106"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流动资金</w:t>
            </w:r>
          </w:p>
        </w:tc>
        <w:tc>
          <w:tcPr>
            <w:tcW w:w="1689" w:type="dxa"/>
            <w:vMerge w:val="restart"/>
          </w:tcPr>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万元 </w:t>
            </w:r>
          </w:p>
        </w:tc>
        <w:tc>
          <w:tcPr>
            <w:tcW w:w="728"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1487" w:type="dxa"/>
            <w:gridSpan w:val="2"/>
            <w:vAlign w:val="center"/>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自有资金</w:t>
            </w:r>
          </w:p>
        </w:tc>
        <w:tc>
          <w:tcPr>
            <w:tcW w:w="1488"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488" w:type="dxa"/>
            <w:vAlign w:val="center"/>
          </w:tcPr>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106"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115"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689"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728"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487" w:type="dxa"/>
            <w:gridSpan w:val="2"/>
            <w:tcBorders>
              <w:bottom w:val="single" w:color="auto" w:sz="4" w:space="0"/>
            </w:tcBorders>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银行贷款</w:t>
            </w:r>
          </w:p>
        </w:tc>
        <w:tc>
          <w:tcPr>
            <w:tcW w:w="1488" w:type="dxa"/>
            <w:tcBorders>
              <w:bottom w:val="single" w:color="auto" w:sz="4" w:space="0"/>
            </w:tcBorders>
          </w:tcPr>
          <w:p>
            <w:pPr>
              <w:spacing w:line="48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88"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502" w:type="dxa"/>
            <w:vMerge w:val="restart"/>
            <w:tcBorders>
              <w:bottom w:val="single" w:color="auto" w:sz="4" w:space="0"/>
            </w:tcBorders>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主要业绩</w:t>
            </w:r>
          </w:p>
        </w:tc>
        <w:tc>
          <w:tcPr>
            <w:tcW w:w="4064" w:type="dxa"/>
            <w:gridSpan w:val="4"/>
            <w:vMerge w:val="restart"/>
            <w:tcBorders>
              <w:bottom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固定资产</w:t>
            </w:r>
          </w:p>
        </w:tc>
        <w:tc>
          <w:tcPr>
            <w:tcW w:w="1689" w:type="dxa"/>
            <w:vMerge w:val="restart"/>
          </w:tcPr>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原值   万元</w:t>
            </w:r>
          </w:p>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净值   万元</w:t>
            </w:r>
          </w:p>
        </w:tc>
        <w:tc>
          <w:tcPr>
            <w:tcW w:w="728"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资金性质</w:t>
            </w:r>
          </w:p>
        </w:tc>
        <w:tc>
          <w:tcPr>
            <w:tcW w:w="1487"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生产性</w:t>
            </w:r>
          </w:p>
        </w:tc>
        <w:tc>
          <w:tcPr>
            <w:tcW w:w="1488" w:type="dxa"/>
          </w:tcPr>
          <w:p>
            <w:pPr>
              <w:spacing w:line="48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Merge w:val="continue"/>
          </w:tcPr>
          <w:p>
            <w:pPr>
              <w:spacing w:line="480" w:lineRule="exact"/>
              <w:rPr>
                <w:rFonts w:hint="eastAsia" w:ascii="宋体" w:hAnsi="宋体" w:eastAsia="宋体" w:cs="宋体"/>
                <w:color w:val="auto"/>
                <w:sz w:val="22"/>
                <w:szCs w:val="22"/>
                <w:highlight w:val="none"/>
              </w:rPr>
            </w:pPr>
          </w:p>
        </w:tc>
        <w:tc>
          <w:tcPr>
            <w:tcW w:w="4064" w:type="dxa"/>
            <w:gridSpan w:val="4"/>
            <w:vMerge w:val="continue"/>
          </w:tcPr>
          <w:p>
            <w:pPr>
              <w:spacing w:line="48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continue"/>
          </w:tcPr>
          <w:p>
            <w:pPr>
              <w:spacing w:line="480" w:lineRule="exact"/>
              <w:rPr>
                <w:rFonts w:hint="eastAsia" w:ascii="宋体" w:hAnsi="宋体" w:eastAsia="宋体" w:cs="宋体"/>
                <w:color w:val="auto"/>
                <w:sz w:val="22"/>
                <w:szCs w:val="22"/>
                <w:highlight w:val="none"/>
              </w:rPr>
            </w:pPr>
          </w:p>
        </w:tc>
        <w:tc>
          <w:tcPr>
            <w:tcW w:w="1689" w:type="dxa"/>
            <w:vMerge w:val="continue"/>
          </w:tcPr>
          <w:p>
            <w:pPr>
              <w:spacing w:line="480" w:lineRule="exact"/>
              <w:rPr>
                <w:rFonts w:hint="eastAsia" w:ascii="宋体" w:hAnsi="宋体" w:eastAsia="宋体" w:cs="宋体"/>
                <w:color w:val="auto"/>
                <w:sz w:val="22"/>
                <w:szCs w:val="22"/>
                <w:highlight w:val="none"/>
              </w:rPr>
            </w:pPr>
          </w:p>
        </w:tc>
        <w:tc>
          <w:tcPr>
            <w:tcW w:w="728" w:type="dxa"/>
            <w:vMerge w:val="continue"/>
          </w:tcPr>
          <w:p>
            <w:pPr>
              <w:spacing w:line="480" w:lineRule="exact"/>
              <w:rPr>
                <w:rFonts w:hint="eastAsia" w:ascii="宋体" w:hAnsi="宋体" w:eastAsia="宋体" w:cs="宋体"/>
                <w:color w:val="auto"/>
                <w:sz w:val="22"/>
                <w:szCs w:val="22"/>
                <w:highlight w:val="none"/>
              </w:rPr>
            </w:pPr>
          </w:p>
        </w:tc>
        <w:tc>
          <w:tcPr>
            <w:tcW w:w="1487"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非生产性</w:t>
            </w:r>
          </w:p>
        </w:tc>
        <w:tc>
          <w:tcPr>
            <w:tcW w:w="1488" w:type="dxa"/>
          </w:tcPr>
          <w:p>
            <w:pPr>
              <w:spacing w:line="48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Merge w:val="continue"/>
          </w:tcPr>
          <w:p>
            <w:pPr>
              <w:spacing w:line="480" w:lineRule="exact"/>
              <w:rPr>
                <w:rFonts w:hint="eastAsia" w:ascii="宋体" w:hAnsi="宋体" w:eastAsia="宋体" w:cs="宋体"/>
                <w:color w:val="auto"/>
                <w:sz w:val="22"/>
                <w:szCs w:val="22"/>
                <w:highlight w:val="none"/>
              </w:rPr>
            </w:pPr>
          </w:p>
        </w:tc>
        <w:tc>
          <w:tcPr>
            <w:tcW w:w="4064" w:type="dxa"/>
            <w:gridSpan w:val="4"/>
            <w:vMerge w:val="continue"/>
          </w:tcPr>
          <w:p>
            <w:pPr>
              <w:spacing w:line="480" w:lineRule="exact"/>
              <w:rPr>
                <w:rFonts w:hint="eastAsia" w:ascii="宋体" w:hAnsi="宋体" w:eastAsia="宋体" w:cs="宋体"/>
                <w:color w:val="auto"/>
                <w:sz w:val="22"/>
                <w:szCs w:val="22"/>
                <w:highlight w:val="none"/>
              </w:rPr>
            </w:pPr>
          </w:p>
        </w:tc>
      </w:tr>
    </w:tbl>
    <w:p>
      <w:pPr>
        <w:spacing w:line="460" w:lineRule="exact"/>
        <w:rPr>
          <w:rFonts w:hint="eastAsia" w:ascii="宋体" w:hAnsi="宋体" w:eastAsia="宋体" w:cs="宋体"/>
          <w:color w:val="auto"/>
          <w:sz w:val="22"/>
          <w:szCs w:val="22"/>
          <w:highlight w:val="none"/>
        </w:rPr>
        <w:sectPr>
          <w:pgSz w:w="16838" w:h="11906" w:orient="landscape"/>
          <w:pgMar w:top="1134" w:right="1134" w:bottom="1134" w:left="1134" w:header="850" w:footer="992" w:gutter="0"/>
          <w:cols w:space="720" w:num="1"/>
          <w:docGrid w:type="lines" w:linePitch="321" w:charSpace="0"/>
        </w:sectPr>
      </w:pPr>
    </w:p>
    <w:p>
      <w:pPr>
        <w:spacing w:line="400" w:lineRule="exact"/>
        <w:jc w:val="center"/>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lang w:val="zh-CN" w:eastAsia="zh-CN"/>
        </w:rPr>
        <w:t>偏离表（</w:t>
      </w:r>
      <w:r>
        <w:rPr>
          <w:rFonts w:hint="eastAsia" w:ascii="宋体" w:hAnsi="宋体" w:eastAsia="宋体" w:cs="宋体"/>
          <w:b/>
          <w:bCs/>
          <w:color w:val="auto"/>
          <w:sz w:val="28"/>
          <w:szCs w:val="28"/>
          <w:highlight w:val="none"/>
          <w:lang w:val="en-US" w:eastAsia="zh-CN"/>
        </w:rPr>
        <w:t>商务、技术偏离</w:t>
      </w:r>
      <w:r>
        <w:rPr>
          <w:rFonts w:hint="eastAsia" w:ascii="宋体" w:hAnsi="宋体" w:eastAsia="宋体" w:cs="宋体"/>
          <w:b/>
          <w:bCs/>
          <w:color w:val="auto"/>
          <w:sz w:val="28"/>
          <w:szCs w:val="28"/>
          <w:highlight w:val="none"/>
          <w:lang w:val="zh-CN" w:eastAsia="zh-CN"/>
        </w:rPr>
        <w:t>）</w:t>
      </w:r>
    </w:p>
    <w:p>
      <w:pPr>
        <w:spacing w:line="360" w:lineRule="auto"/>
        <w:rPr>
          <w:rFonts w:hint="eastAsia" w:ascii="宋体" w:hAnsi="宋体" w:eastAsia="宋体" w:cs="宋体"/>
          <w:b w:val="0"/>
          <w:bCs w:val="0"/>
          <w:color w:val="auto"/>
          <w:sz w:val="22"/>
          <w:szCs w:val="22"/>
          <w:highlight w:val="none"/>
        </w:rPr>
      </w:pP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WZLCZB（W）-2022-07353</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东瓯大桥日常维养（3年）</w:t>
      </w:r>
    </w:p>
    <w:tbl>
      <w:tblPr>
        <w:tblStyle w:val="52"/>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687"/>
        <w:gridCol w:w="3402"/>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91"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  号</w:t>
            </w:r>
          </w:p>
        </w:tc>
        <w:tc>
          <w:tcPr>
            <w:tcW w:w="3687"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招标文件</w:t>
            </w:r>
          </w:p>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规格要求</w:t>
            </w:r>
          </w:p>
        </w:tc>
        <w:tc>
          <w:tcPr>
            <w:tcW w:w="3402"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w:t>
            </w:r>
          </w:p>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对应规格</w:t>
            </w:r>
          </w:p>
        </w:tc>
        <w:tc>
          <w:tcPr>
            <w:tcW w:w="1580"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91" w:type="dxa"/>
            <w:vAlign w:val="center"/>
          </w:tcPr>
          <w:p>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bl>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b/>
          <w:bCs/>
          <w:color w:val="auto"/>
          <w:sz w:val="22"/>
          <w:szCs w:val="22"/>
          <w:highlight w:val="none"/>
        </w:rPr>
        <w:t>注： 如有偏离，必须在偏离表中进行详细对比说明并注明正偏离和负偏离，如不说明偏离情况，视为完全响应采购文件要求无偏离</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rPr>
          <w:rFonts w:hint="eastAsia" w:ascii="宋体" w:hAnsi="宋体" w:eastAsia="宋体" w:cs="宋体"/>
          <w:b/>
          <w:color w:val="auto"/>
          <w:sz w:val="24"/>
          <w:highlight w:val="none"/>
        </w:rPr>
      </w:pPr>
      <w:bookmarkStart w:id="41" w:name="_Toc415152386"/>
      <w:r>
        <w:rPr>
          <w:rFonts w:hint="eastAsia" w:ascii="宋体" w:hAnsi="宋体" w:eastAsia="宋体" w:cs="宋体"/>
          <w:b/>
          <w:color w:val="auto"/>
          <w:sz w:val="24"/>
          <w:highlight w:val="none"/>
        </w:rPr>
        <w:br w:type="page"/>
      </w:r>
    </w:p>
    <w:p>
      <w:pPr>
        <w:spacing w:line="400" w:lineRule="exact"/>
        <w:jc w:val="center"/>
        <w:outlineLvl w:val="3"/>
        <w:rPr>
          <w:rFonts w:hint="eastAsia" w:ascii="宋体" w:hAnsi="宋体" w:eastAsia="宋体" w:cs="宋体"/>
          <w:b/>
          <w:bCs/>
          <w:color w:val="auto"/>
          <w:sz w:val="28"/>
          <w:szCs w:val="28"/>
          <w:highlight w:val="none"/>
          <w:lang w:val="zh-CN" w:eastAsia="zh-CN"/>
        </w:rPr>
      </w:pPr>
      <w:r>
        <w:rPr>
          <w:rFonts w:hint="eastAsia" w:ascii="宋体" w:hAnsi="宋体" w:eastAsia="宋体" w:cs="宋体"/>
          <w:b/>
          <w:bCs/>
          <w:color w:val="auto"/>
          <w:sz w:val="28"/>
          <w:szCs w:val="28"/>
          <w:highlight w:val="none"/>
          <w:lang w:val="en-US" w:eastAsia="zh-CN"/>
        </w:rPr>
        <w:t>4、</w:t>
      </w:r>
      <w:bookmarkEnd w:id="41"/>
      <w:r>
        <w:rPr>
          <w:rFonts w:hint="eastAsia" w:ascii="宋体" w:hAnsi="宋体" w:eastAsia="宋体" w:cs="宋体"/>
          <w:b/>
          <w:bCs/>
          <w:color w:val="auto"/>
          <w:sz w:val="28"/>
          <w:szCs w:val="28"/>
          <w:highlight w:val="none"/>
          <w:lang w:val="en-US" w:eastAsia="zh-CN"/>
        </w:rPr>
        <w:t>投标人企业综合情况</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WZLCZB（W）-2022-07353</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eastAsia="宋体"/>
          <w:color w:val="auto"/>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东瓯大桥日常维养（3年）</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pStyle w:val="28"/>
        <w:spacing w:line="400" w:lineRule="atLeast"/>
        <w:rPr>
          <w:rFonts w:hint="eastAsia" w:ascii="宋体" w:hAnsi="宋体" w:eastAsia="宋体" w:cs="宋体"/>
          <w:color w:val="auto"/>
          <w:sz w:val="22"/>
          <w:szCs w:val="22"/>
          <w:highlight w:val="none"/>
        </w:rPr>
      </w:pP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spacing w:line="460" w:lineRule="exact"/>
        <w:ind w:firstLine="5060" w:firstLineChars="2300"/>
        <w:rPr>
          <w:rFonts w:hint="eastAsia" w:ascii="宋体" w:hAnsi="宋体" w:eastAsia="宋体" w:cs="宋体"/>
          <w:color w:val="auto"/>
          <w:sz w:val="22"/>
          <w:szCs w:val="22"/>
          <w:highlight w:val="none"/>
        </w:rPr>
      </w:pPr>
    </w:p>
    <w:p>
      <w:pPr>
        <w:spacing w:line="460" w:lineRule="exact"/>
        <w:rPr>
          <w:rFonts w:hint="eastAsia" w:ascii="宋体" w:hAnsi="宋体" w:eastAsia="宋体" w:cs="宋体"/>
          <w:color w:val="auto"/>
          <w:sz w:val="22"/>
          <w:szCs w:val="22"/>
          <w:highlight w:val="none"/>
        </w:rPr>
      </w:pP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numPr>
          <w:ilvl w:val="0"/>
          <w:numId w:val="5"/>
        </w:num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养护方案</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WZLCZB（W）-2022-07353</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东瓯大桥日常维养（3年）</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pPr>
              <w:spacing w:line="360" w:lineRule="auto"/>
              <w:rPr>
                <w:rFonts w:hint="eastAsia" w:ascii="宋体" w:hAnsi="宋体" w:eastAsia="宋体" w:cs="宋体"/>
                <w:color w:val="auto"/>
                <w:sz w:val="22"/>
                <w:szCs w:val="22"/>
                <w:highlight w:val="none"/>
              </w:rPr>
            </w:pPr>
          </w:p>
        </w:tc>
      </w:tr>
    </w:tbl>
    <w:p>
      <w:pPr>
        <w:spacing w:line="400" w:lineRule="exact"/>
        <w:ind w:firstLine="4620" w:firstLineChars="2100"/>
        <w:rPr>
          <w:rFonts w:hint="eastAsia" w:ascii="宋体" w:hAnsi="宋体" w:eastAsia="宋体" w:cs="宋体"/>
          <w:color w:val="auto"/>
          <w:sz w:val="22"/>
          <w:szCs w:val="22"/>
          <w:highlight w:val="none"/>
        </w:rPr>
      </w:pPr>
    </w:p>
    <w:p>
      <w:pPr>
        <w:spacing w:line="400" w:lineRule="exact"/>
        <w:ind w:firstLine="5280" w:firstLineChars="2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投标人代表（签字）：</w:t>
      </w:r>
    </w:p>
    <w:p>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pPr>
        <w:rPr>
          <w:rFonts w:hint="eastAsia" w:ascii="宋体" w:hAnsi="宋体" w:eastAsia="宋体" w:cs="宋体"/>
          <w:color w:val="auto"/>
          <w:highlight w:val="none"/>
        </w:rPr>
      </w:pPr>
    </w:p>
    <w:p>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pPr>
        <w:numPr>
          <w:ilvl w:val="0"/>
          <w:numId w:val="5"/>
        </w:num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安全文明养护方案</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WZLCZB（W）-2022-07353</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东瓯大桥日常维养（3年）</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pPr>
              <w:spacing w:line="360" w:lineRule="auto"/>
              <w:rPr>
                <w:rFonts w:hint="eastAsia" w:ascii="宋体" w:hAnsi="宋体" w:eastAsia="宋体" w:cs="宋体"/>
                <w:color w:val="auto"/>
                <w:sz w:val="22"/>
                <w:szCs w:val="22"/>
                <w:highlight w:val="none"/>
              </w:rPr>
            </w:pPr>
          </w:p>
        </w:tc>
      </w:tr>
    </w:tbl>
    <w:p>
      <w:pPr>
        <w:spacing w:line="400" w:lineRule="exact"/>
        <w:ind w:firstLine="4620" w:firstLineChars="2100"/>
        <w:rPr>
          <w:rFonts w:hint="eastAsia" w:ascii="宋体" w:hAnsi="宋体" w:eastAsia="宋体" w:cs="宋体"/>
          <w:color w:val="auto"/>
          <w:sz w:val="22"/>
          <w:szCs w:val="22"/>
          <w:highlight w:val="none"/>
        </w:rPr>
      </w:pPr>
    </w:p>
    <w:p>
      <w:pPr>
        <w:spacing w:line="400" w:lineRule="exact"/>
        <w:ind w:firstLine="5280" w:firstLineChars="2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投标人代表（签字）：</w:t>
      </w:r>
    </w:p>
    <w:p>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pPr>
        <w:rPr>
          <w:rFonts w:hint="eastAsia" w:ascii="宋体" w:hAnsi="宋体" w:eastAsia="宋体" w:cs="宋体"/>
          <w:b/>
          <w:bCs/>
          <w:color w:val="auto"/>
          <w:sz w:val="28"/>
          <w:szCs w:val="28"/>
          <w:highlight w:val="none"/>
          <w:lang w:val="en-US" w:eastAsia="zh-CN"/>
        </w:rPr>
      </w:pPr>
    </w:p>
    <w:p>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pPr>
        <w:numPr>
          <w:ilvl w:val="0"/>
          <w:numId w:val="0"/>
        </w:num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7、</w:t>
      </w:r>
      <w:r>
        <w:rPr>
          <w:rFonts w:hint="eastAsia" w:ascii="宋体" w:hAnsi="宋体" w:eastAsia="宋体" w:cs="宋体"/>
          <w:b/>
          <w:bCs/>
          <w:color w:val="auto"/>
          <w:sz w:val="28"/>
          <w:szCs w:val="28"/>
          <w:highlight w:val="none"/>
          <w:lang w:val="en-US" w:eastAsia="zh-CN"/>
        </w:rPr>
        <w:t>养护重难点分析及解决方案</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WZLCZB（W）-2022-07353</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东瓯大桥日常维养（3年）</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pPr>
              <w:spacing w:line="360" w:lineRule="auto"/>
              <w:rPr>
                <w:rFonts w:hint="eastAsia" w:ascii="宋体" w:hAnsi="宋体" w:eastAsia="宋体" w:cs="宋体"/>
                <w:color w:val="auto"/>
                <w:sz w:val="22"/>
                <w:szCs w:val="22"/>
                <w:highlight w:val="none"/>
              </w:rPr>
            </w:pPr>
          </w:p>
        </w:tc>
      </w:tr>
    </w:tbl>
    <w:p>
      <w:pPr>
        <w:spacing w:line="400" w:lineRule="exact"/>
        <w:ind w:firstLine="4620" w:firstLineChars="2100"/>
        <w:rPr>
          <w:rFonts w:hint="eastAsia" w:ascii="宋体" w:hAnsi="宋体" w:eastAsia="宋体" w:cs="宋体"/>
          <w:color w:val="auto"/>
          <w:sz w:val="22"/>
          <w:szCs w:val="22"/>
          <w:highlight w:val="none"/>
        </w:rPr>
      </w:pPr>
    </w:p>
    <w:p>
      <w:pPr>
        <w:spacing w:line="400" w:lineRule="exact"/>
        <w:ind w:firstLine="5280" w:firstLineChars="2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投标人代表（签字）：</w:t>
      </w:r>
    </w:p>
    <w:p>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pPr>
        <w:rPr>
          <w:rFonts w:hint="eastAsia" w:ascii="宋体" w:hAnsi="宋体" w:eastAsia="宋体" w:cs="宋体"/>
          <w:b/>
          <w:bCs/>
          <w:color w:val="auto"/>
          <w:sz w:val="28"/>
          <w:szCs w:val="28"/>
          <w:highlight w:val="none"/>
          <w:lang w:val="en-US" w:eastAsia="zh-CN"/>
        </w:rPr>
      </w:pPr>
    </w:p>
    <w:p>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pPr>
        <w:spacing w:line="400" w:lineRule="exact"/>
        <w:jc w:val="center"/>
        <w:outlineLvl w:val="3"/>
        <w:rPr>
          <w:rFonts w:hint="eastAsia" w:ascii="宋体" w:hAnsi="宋体" w:eastAsia="宋体" w:cs="宋体"/>
          <w:b/>
          <w:color w:val="auto"/>
          <w:sz w:val="24"/>
          <w:highlight w:val="none"/>
          <w:lang w:val="zh-CN"/>
        </w:rPr>
      </w:pPr>
      <w:r>
        <w:rPr>
          <w:rFonts w:hint="eastAsia" w:ascii="宋体" w:hAnsi="宋体" w:cs="宋体"/>
          <w:b/>
          <w:bCs/>
          <w:color w:val="auto"/>
          <w:sz w:val="28"/>
          <w:szCs w:val="28"/>
          <w:highlight w:val="none"/>
          <w:lang w:val="en-US" w:eastAsia="zh-CN"/>
        </w:rPr>
        <w:t>8</w:t>
      </w:r>
      <w:r>
        <w:rPr>
          <w:rFonts w:hint="eastAsia" w:ascii="宋体" w:hAnsi="宋体" w:eastAsia="宋体" w:cs="宋体"/>
          <w:b/>
          <w:bCs/>
          <w:color w:val="auto"/>
          <w:sz w:val="28"/>
          <w:szCs w:val="28"/>
          <w:highlight w:val="none"/>
          <w:lang w:val="en-US" w:eastAsia="zh-CN"/>
        </w:rPr>
        <w:t>、投入本项目的技术力量情况</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WZLCZB（W）-2022-07353</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东瓯大桥日常维养（3年）</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pPr>
              <w:spacing w:line="360" w:lineRule="auto"/>
              <w:rPr>
                <w:rFonts w:hint="eastAsia" w:ascii="宋体" w:hAnsi="宋体" w:eastAsia="宋体" w:cs="宋体"/>
                <w:color w:val="auto"/>
                <w:sz w:val="22"/>
                <w:szCs w:val="22"/>
                <w:highlight w:val="none"/>
              </w:rPr>
            </w:pPr>
          </w:p>
        </w:tc>
      </w:tr>
    </w:tbl>
    <w:p>
      <w:pPr>
        <w:pStyle w:val="28"/>
        <w:spacing w:line="400" w:lineRule="atLeast"/>
        <w:rPr>
          <w:rFonts w:hint="eastAsia" w:ascii="宋体" w:hAnsi="宋体" w:eastAsia="宋体" w:cs="宋体"/>
          <w:color w:val="auto"/>
          <w:sz w:val="22"/>
          <w:highlight w:val="none"/>
        </w:rPr>
      </w:pPr>
    </w:p>
    <w:p>
      <w:pPr>
        <w:pStyle w:val="28"/>
        <w:spacing w:line="460" w:lineRule="atLeast"/>
        <w:ind w:left="657" w:leftChars="313" w:firstLine="3960" w:firstLineChars="18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投标人名称（盖章）：</w:t>
      </w:r>
    </w:p>
    <w:p>
      <w:pPr>
        <w:pStyle w:val="28"/>
        <w:spacing w:line="460" w:lineRule="atLeast"/>
        <w:ind w:left="660" w:hanging="660" w:hangingChars="3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投标人代表（签字）：   </w:t>
      </w:r>
    </w:p>
    <w:p>
      <w:pPr>
        <w:pStyle w:val="28"/>
        <w:spacing w:line="460" w:lineRule="atLeast"/>
        <w:ind w:left="660" w:hanging="660" w:hangingChars="3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日   期： </w:t>
      </w:r>
    </w:p>
    <w:p>
      <w:pPr>
        <w:jc w:val="both"/>
        <w:rPr>
          <w:rFonts w:hint="eastAsia" w:ascii="宋体" w:hAnsi="宋体" w:eastAsia="宋体" w:cs="宋体"/>
          <w:b/>
          <w:bCs/>
          <w:color w:val="auto"/>
          <w:sz w:val="22"/>
          <w:szCs w:val="22"/>
          <w:highlight w:val="none"/>
        </w:rPr>
      </w:pPr>
    </w:p>
    <w:p>
      <w:pPr>
        <w:pStyle w:val="9"/>
        <w:rPr>
          <w:rFonts w:hint="eastAsia" w:ascii="宋体" w:hAnsi="宋体" w:eastAsia="宋体" w:cs="宋体"/>
          <w:bCs/>
          <w:color w:val="auto"/>
          <w:sz w:val="22"/>
          <w:szCs w:val="22"/>
          <w:highlight w:val="none"/>
        </w:rPr>
      </w:pPr>
    </w:p>
    <w:p>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3"/>
        <w:rPr>
          <w:rFonts w:hint="eastAsia" w:ascii="宋体" w:hAnsi="宋体" w:eastAsia="宋体" w:cs="宋体"/>
          <w:b/>
          <w:bCs/>
          <w:color w:val="auto"/>
          <w:sz w:val="28"/>
          <w:szCs w:val="28"/>
          <w:highlight w:val="none"/>
          <w:lang w:val="zh-CN" w:eastAsia="zh-CN"/>
        </w:rPr>
      </w:pPr>
      <w:r>
        <w:rPr>
          <w:rFonts w:hint="eastAsia" w:ascii="宋体" w:hAnsi="宋体" w:cs="宋体"/>
          <w:b/>
          <w:bCs/>
          <w:color w:val="auto"/>
          <w:sz w:val="28"/>
          <w:szCs w:val="28"/>
          <w:highlight w:val="none"/>
          <w:lang w:val="en-US" w:eastAsia="zh-CN"/>
        </w:rPr>
        <w:t>9</w:t>
      </w:r>
      <w:r>
        <w:rPr>
          <w:rFonts w:hint="eastAsia" w:ascii="宋体" w:hAnsi="宋体" w:eastAsia="宋体" w:cs="宋体"/>
          <w:b/>
          <w:bCs/>
          <w:color w:val="auto"/>
          <w:sz w:val="28"/>
          <w:szCs w:val="28"/>
          <w:highlight w:val="none"/>
          <w:lang w:val="en-US" w:eastAsia="zh-CN"/>
        </w:rPr>
        <w:t>、主要设备投入情况</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WZLCZB（W）-2022-07353</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东瓯大桥日常维养（3年）</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pPr>
              <w:spacing w:line="360" w:lineRule="auto"/>
              <w:rPr>
                <w:rFonts w:hint="eastAsia" w:ascii="宋体" w:hAnsi="宋体" w:eastAsia="宋体" w:cs="宋体"/>
                <w:color w:val="auto"/>
                <w:sz w:val="22"/>
                <w:szCs w:val="22"/>
                <w:highlight w:val="none"/>
              </w:rPr>
            </w:pPr>
          </w:p>
        </w:tc>
      </w:tr>
    </w:tbl>
    <w:p>
      <w:pPr>
        <w:spacing w:line="380" w:lineRule="exact"/>
        <w:rPr>
          <w:rFonts w:hint="eastAsia" w:ascii="宋体" w:hAnsi="宋体" w:eastAsia="宋体" w:cs="宋体"/>
          <w:color w:val="auto"/>
          <w:sz w:val="36"/>
          <w:szCs w:val="36"/>
          <w:highlight w:val="none"/>
        </w:rPr>
      </w:pP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4400" w:firstLineChars="2000"/>
        <w:rPr>
          <w:rFonts w:hint="eastAsia" w:ascii="宋体" w:hAnsi="宋体" w:eastAsia="宋体" w:cs="宋体"/>
          <w:b/>
          <w:color w:val="auto"/>
          <w:sz w:val="36"/>
          <w:szCs w:val="36"/>
          <w:highlight w:val="none"/>
        </w:rPr>
      </w:pPr>
      <w:r>
        <w:rPr>
          <w:rFonts w:hint="eastAsia" w:ascii="宋体" w:hAnsi="宋体" w:eastAsia="宋体" w:cs="宋体"/>
          <w:color w:val="auto"/>
          <w:sz w:val="22"/>
          <w:szCs w:val="22"/>
          <w:highlight w:val="none"/>
        </w:rPr>
        <w:t xml:space="preserve">日  期：   </w:t>
      </w:r>
    </w:p>
    <w:p>
      <w:pPr>
        <w:spacing w:line="380" w:lineRule="exact"/>
        <w:rPr>
          <w:rFonts w:hint="eastAsia" w:ascii="宋体" w:hAnsi="宋体" w:eastAsia="宋体" w:cs="宋体"/>
          <w:b/>
          <w:color w:val="auto"/>
          <w:sz w:val="36"/>
          <w:szCs w:val="36"/>
          <w:highlight w:val="none"/>
        </w:rPr>
      </w:pPr>
    </w:p>
    <w:p>
      <w:pPr>
        <w:spacing w:line="380" w:lineRule="exact"/>
        <w:rPr>
          <w:rFonts w:hint="eastAsia" w:ascii="宋体" w:hAnsi="宋体" w:eastAsia="宋体" w:cs="宋体"/>
          <w:b/>
          <w:color w:val="auto"/>
          <w:sz w:val="36"/>
          <w:szCs w:val="36"/>
          <w:highlight w:val="none"/>
        </w:rPr>
      </w:pPr>
    </w:p>
    <w:p>
      <w:pPr>
        <w:spacing w:line="380" w:lineRule="exact"/>
        <w:rPr>
          <w:rFonts w:hint="eastAsia" w:ascii="宋体" w:hAnsi="宋体" w:eastAsia="宋体" w:cs="宋体"/>
          <w:b/>
          <w:color w:val="auto"/>
          <w:sz w:val="36"/>
          <w:szCs w:val="36"/>
          <w:highlight w:val="none"/>
        </w:rPr>
      </w:pPr>
    </w:p>
    <w:p>
      <w:pPr>
        <w:keepNext w:val="0"/>
        <w:keepLines w:val="0"/>
        <w:pageBreakBefore w:val="0"/>
        <w:widowControl w:val="0"/>
        <w:kinsoku/>
        <w:wordWrap/>
        <w:overflowPunct/>
        <w:topLinePunct w:val="0"/>
        <w:autoSpaceDE/>
        <w:autoSpaceDN/>
        <w:bidi w:val="0"/>
        <w:adjustRightInd/>
        <w:snapToGrid/>
        <w:jc w:val="center"/>
        <w:textAlignment w:val="auto"/>
        <w:outlineLvl w:val="3"/>
        <w:rPr>
          <w:rFonts w:hint="eastAsia" w:ascii="宋体" w:hAnsi="宋体" w:eastAsia="宋体" w:cs="宋体"/>
          <w:b/>
          <w:color w:val="auto"/>
          <w:sz w:val="28"/>
          <w:szCs w:val="28"/>
          <w:highlight w:val="none"/>
          <w:lang w:val="zh-CN"/>
        </w:rPr>
      </w:pPr>
      <w:r>
        <w:rPr>
          <w:rFonts w:hint="eastAsia" w:ascii="宋体" w:hAnsi="宋体" w:cs="宋体"/>
          <w:b/>
          <w:bCs/>
          <w:color w:val="auto"/>
          <w:sz w:val="28"/>
          <w:szCs w:val="28"/>
          <w:highlight w:val="none"/>
          <w:lang w:val="en-US" w:eastAsia="zh-CN"/>
        </w:rPr>
        <w:t>10</w:t>
      </w:r>
      <w:r>
        <w:rPr>
          <w:rFonts w:hint="eastAsia" w:ascii="宋体" w:hAnsi="宋体" w:eastAsia="宋体" w:cs="宋体"/>
          <w:b/>
          <w:bCs/>
          <w:color w:val="auto"/>
          <w:sz w:val="28"/>
          <w:szCs w:val="28"/>
          <w:highlight w:val="none"/>
          <w:lang w:val="en-US" w:eastAsia="zh-CN"/>
        </w:rPr>
        <w:t>、主要设施、物料投入情况</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WZLCZB（W）-2022-07353</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东瓯大桥日常维养（3年）</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pPr>
              <w:spacing w:line="360" w:lineRule="auto"/>
              <w:rPr>
                <w:rFonts w:hint="eastAsia" w:ascii="宋体" w:hAnsi="宋体" w:eastAsia="宋体" w:cs="宋体"/>
                <w:color w:val="auto"/>
                <w:sz w:val="22"/>
                <w:szCs w:val="22"/>
                <w:highlight w:val="none"/>
              </w:rPr>
            </w:pPr>
          </w:p>
        </w:tc>
      </w:tr>
    </w:tbl>
    <w:p>
      <w:pPr>
        <w:spacing w:line="380" w:lineRule="exact"/>
        <w:rPr>
          <w:rFonts w:hint="eastAsia" w:ascii="宋体" w:hAnsi="宋体" w:eastAsia="宋体" w:cs="宋体"/>
          <w:color w:val="auto"/>
          <w:sz w:val="36"/>
          <w:szCs w:val="36"/>
          <w:highlight w:val="none"/>
        </w:rPr>
      </w:pP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4400" w:firstLineChars="2000"/>
        <w:rPr>
          <w:rFonts w:hint="eastAsia" w:ascii="宋体" w:hAnsi="宋体" w:eastAsia="宋体" w:cs="宋体"/>
          <w:color w:val="auto"/>
          <w:highlight w:val="none"/>
        </w:rPr>
      </w:pPr>
      <w:r>
        <w:rPr>
          <w:rFonts w:hint="eastAsia" w:ascii="宋体" w:hAnsi="宋体" w:eastAsia="宋体" w:cs="宋体"/>
          <w:color w:val="auto"/>
          <w:sz w:val="22"/>
          <w:szCs w:val="22"/>
          <w:highlight w:val="none"/>
        </w:rPr>
        <w:t>日  期：</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spacing w:line="400" w:lineRule="exact"/>
        <w:jc w:val="center"/>
        <w:outlineLvl w:val="3"/>
        <w:rPr>
          <w:rFonts w:hint="eastAsia" w:ascii="宋体" w:hAnsi="宋体" w:eastAsia="宋体" w:cs="宋体"/>
          <w:b/>
          <w:bCs/>
          <w:color w:val="auto"/>
          <w:sz w:val="28"/>
          <w:szCs w:val="28"/>
          <w:highlight w:val="none"/>
          <w:lang w:val="zh-CN" w:eastAsia="zh-CN"/>
        </w:rPr>
      </w:pPr>
      <w:r>
        <w:rPr>
          <w:rFonts w:hint="eastAsia" w:ascii="宋体" w:hAnsi="宋体" w:cs="宋体"/>
          <w:b/>
          <w:bCs/>
          <w:color w:val="auto"/>
          <w:sz w:val="28"/>
          <w:szCs w:val="28"/>
          <w:highlight w:val="none"/>
          <w:lang w:val="en-US" w:eastAsia="zh-CN"/>
        </w:rPr>
        <w:t>11</w:t>
      </w:r>
      <w:r>
        <w:rPr>
          <w:rFonts w:hint="eastAsia" w:ascii="宋体" w:hAnsi="宋体" w:eastAsia="宋体" w:cs="宋体"/>
          <w:b/>
          <w:bCs/>
          <w:color w:val="auto"/>
          <w:sz w:val="28"/>
          <w:szCs w:val="28"/>
          <w:highlight w:val="none"/>
          <w:lang w:val="en-US" w:eastAsia="zh-CN"/>
        </w:rPr>
        <w:t>、内部管理方案</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WZLCZB（W）-2022-07353</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东瓯大桥日常维养（3年）</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pPr>
              <w:spacing w:line="360" w:lineRule="auto"/>
              <w:rPr>
                <w:rFonts w:hint="eastAsia" w:ascii="宋体" w:hAnsi="宋体" w:eastAsia="宋体" w:cs="宋体"/>
                <w:color w:val="auto"/>
                <w:sz w:val="22"/>
                <w:szCs w:val="22"/>
                <w:highlight w:val="none"/>
              </w:rPr>
            </w:pPr>
          </w:p>
        </w:tc>
      </w:tr>
    </w:tbl>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pStyle w:val="28"/>
        <w:spacing w:line="460" w:lineRule="atLeast"/>
        <w:ind w:left="659" w:leftChars="314" w:firstLine="3740" w:firstLineChars="1700"/>
        <w:rPr>
          <w:rFonts w:hint="eastAsia" w:ascii="宋体" w:hAnsi="宋体" w:eastAsia="宋体" w:cs="宋体"/>
          <w:b w:val="0"/>
          <w:bCs/>
          <w:color w:val="auto"/>
          <w:sz w:val="22"/>
          <w:highlight w:val="none"/>
        </w:rPr>
      </w:pPr>
      <w:r>
        <w:rPr>
          <w:rFonts w:hint="eastAsia" w:ascii="宋体" w:hAnsi="宋体" w:eastAsia="宋体" w:cs="宋体"/>
          <w:b w:val="0"/>
          <w:color w:val="auto"/>
          <w:kern w:val="2"/>
          <w:sz w:val="22"/>
          <w:szCs w:val="22"/>
          <w:highlight w:val="none"/>
        </w:rPr>
        <w:t>日  期：</w:t>
      </w:r>
      <w:r>
        <w:rPr>
          <w:rFonts w:hint="eastAsia" w:ascii="宋体" w:hAnsi="宋体" w:eastAsia="宋体" w:cs="宋体"/>
          <w:b w:val="0"/>
          <w:bCs/>
          <w:color w:val="auto"/>
          <w:sz w:val="22"/>
          <w:highlight w:val="none"/>
        </w:rPr>
        <w:t xml:space="preserve"> </w:t>
      </w:r>
    </w:p>
    <w:p>
      <w:pPr>
        <w:pStyle w:val="28"/>
        <w:spacing w:line="400" w:lineRule="atLeast"/>
        <w:ind w:left="663" w:hanging="663" w:hangingChars="300"/>
        <w:rPr>
          <w:rFonts w:hint="eastAsia" w:ascii="宋体" w:hAnsi="宋体" w:eastAsia="宋体" w:cs="宋体"/>
          <w:color w:val="auto"/>
          <w:sz w:val="22"/>
          <w:highlight w:val="none"/>
        </w:rPr>
      </w:pPr>
    </w:p>
    <w:p>
      <w:pPr>
        <w:pStyle w:val="28"/>
        <w:spacing w:line="400" w:lineRule="atLeast"/>
        <w:ind w:left="663" w:hanging="663" w:hangingChars="300"/>
        <w:rPr>
          <w:rFonts w:hint="eastAsia" w:ascii="宋体" w:hAnsi="宋体" w:eastAsia="宋体" w:cs="宋体"/>
          <w:color w:val="auto"/>
          <w:sz w:val="22"/>
          <w:highlight w:val="none"/>
        </w:rPr>
      </w:pPr>
    </w:p>
    <w:p>
      <w:pPr>
        <w:pStyle w:val="28"/>
        <w:spacing w:line="400" w:lineRule="atLeast"/>
        <w:rPr>
          <w:rFonts w:hint="eastAsia" w:ascii="宋体" w:hAnsi="宋体" w:eastAsia="宋体" w:cs="宋体"/>
          <w:color w:val="auto"/>
          <w:sz w:val="22"/>
          <w:highlight w:val="none"/>
        </w:rPr>
      </w:pPr>
    </w:p>
    <w:p>
      <w:pPr>
        <w:spacing w:line="400" w:lineRule="exact"/>
        <w:jc w:val="center"/>
        <w:outlineLvl w:val="3"/>
        <w:rPr>
          <w:rFonts w:hint="eastAsia" w:ascii="宋体" w:hAnsi="宋体" w:eastAsia="宋体" w:cs="宋体"/>
          <w:b/>
          <w:bCs/>
          <w:color w:val="auto"/>
          <w:sz w:val="28"/>
          <w:szCs w:val="28"/>
          <w:highlight w:val="none"/>
          <w:lang w:val="zh-CN" w:eastAsia="zh-CN"/>
        </w:rPr>
      </w:pP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2</w:t>
      </w:r>
      <w:r>
        <w:rPr>
          <w:rFonts w:hint="eastAsia" w:ascii="宋体" w:hAnsi="宋体" w:eastAsia="宋体" w:cs="宋体"/>
          <w:b/>
          <w:bCs/>
          <w:color w:val="auto"/>
          <w:sz w:val="28"/>
          <w:szCs w:val="28"/>
          <w:highlight w:val="none"/>
          <w:lang w:val="en-US" w:eastAsia="zh-CN"/>
        </w:rPr>
        <w:t>、应急响应方案</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WZLCZB（W）-2022-07353</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东瓯大桥日常维养（3年）</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pPr>
              <w:spacing w:line="360" w:lineRule="auto"/>
              <w:rPr>
                <w:rFonts w:hint="eastAsia" w:ascii="宋体" w:hAnsi="宋体" w:eastAsia="宋体" w:cs="宋体"/>
                <w:color w:val="auto"/>
                <w:sz w:val="22"/>
                <w:szCs w:val="22"/>
                <w:highlight w:val="none"/>
              </w:rPr>
            </w:pPr>
          </w:p>
        </w:tc>
      </w:tr>
    </w:tbl>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pStyle w:val="28"/>
        <w:spacing w:line="460" w:lineRule="atLeast"/>
        <w:ind w:left="659" w:leftChars="314" w:firstLine="3740" w:firstLineChars="1700"/>
        <w:rPr>
          <w:rFonts w:hint="eastAsia" w:ascii="宋体" w:hAnsi="宋体" w:eastAsia="宋体" w:cs="宋体"/>
          <w:b w:val="0"/>
          <w:bCs/>
          <w:color w:val="auto"/>
          <w:sz w:val="22"/>
          <w:highlight w:val="none"/>
        </w:rPr>
      </w:pPr>
      <w:r>
        <w:rPr>
          <w:rFonts w:hint="eastAsia" w:ascii="宋体" w:hAnsi="宋体" w:eastAsia="宋体" w:cs="宋体"/>
          <w:b w:val="0"/>
          <w:color w:val="auto"/>
          <w:kern w:val="2"/>
          <w:sz w:val="22"/>
          <w:szCs w:val="22"/>
          <w:highlight w:val="none"/>
        </w:rPr>
        <w:t>日  期：</w:t>
      </w:r>
      <w:r>
        <w:rPr>
          <w:rFonts w:hint="eastAsia" w:ascii="宋体" w:hAnsi="宋体" w:eastAsia="宋体" w:cs="宋体"/>
          <w:b w:val="0"/>
          <w:bCs/>
          <w:color w:val="auto"/>
          <w:sz w:val="22"/>
          <w:highlight w:val="none"/>
        </w:rPr>
        <w:t xml:space="preserve"> </w:t>
      </w:r>
    </w:p>
    <w:p>
      <w:pPr>
        <w:spacing w:line="460" w:lineRule="exact"/>
        <w:ind w:firstLine="4400" w:firstLineChars="2000"/>
        <w:rPr>
          <w:rFonts w:hint="eastAsia" w:ascii="宋体" w:hAnsi="宋体" w:eastAsia="宋体" w:cs="宋体"/>
          <w:color w:val="auto"/>
          <w:sz w:val="22"/>
          <w:szCs w:val="22"/>
          <w:highlight w:val="none"/>
        </w:rPr>
      </w:pPr>
    </w:p>
    <w:p>
      <w:pPr>
        <w:spacing w:line="460" w:lineRule="exact"/>
        <w:ind w:firstLine="4400" w:firstLineChars="2000"/>
        <w:rPr>
          <w:rFonts w:hint="eastAsia" w:ascii="宋体" w:hAnsi="宋体" w:eastAsia="宋体" w:cs="宋体"/>
          <w:color w:val="auto"/>
          <w:sz w:val="22"/>
          <w:szCs w:val="22"/>
          <w:highlight w:val="none"/>
        </w:rPr>
      </w:pPr>
    </w:p>
    <w:p>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3</w:t>
      </w:r>
      <w:r>
        <w:rPr>
          <w:rFonts w:hint="eastAsia" w:ascii="宋体" w:hAnsi="宋体" w:eastAsia="宋体" w:cs="宋体"/>
          <w:b/>
          <w:bCs/>
          <w:color w:val="auto"/>
          <w:sz w:val="28"/>
          <w:szCs w:val="28"/>
          <w:highlight w:val="none"/>
          <w:lang w:val="en-US" w:eastAsia="zh-CN"/>
        </w:rPr>
        <w:t>、优惠承诺</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WZLCZB（W）-2022-07353</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东瓯大桥日常维养（3年）</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pPr>
              <w:spacing w:line="360" w:lineRule="auto"/>
              <w:rPr>
                <w:rFonts w:hint="eastAsia" w:ascii="宋体" w:hAnsi="宋体" w:eastAsia="宋体" w:cs="宋体"/>
                <w:color w:val="auto"/>
                <w:sz w:val="22"/>
                <w:szCs w:val="22"/>
                <w:highlight w:val="none"/>
              </w:rPr>
            </w:pPr>
          </w:p>
        </w:tc>
      </w:tr>
    </w:tbl>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4400" w:firstLineChars="2000"/>
        <w:rPr>
          <w:rFonts w:hint="eastAsia" w:ascii="宋体" w:hAnsi="宋体" w:eastAsia="宋体" w:cs="宋体"/>
          <w:color w:val="auto"/>
          <w:highlight w:val="none"/>
        </w:rPr>
      </w:pPr>
      <w:r>
        <w:rPr>
          <w:rFonts w:hint="eastAsia" w:ascii="宋体" w:hAnsi="宋体" w:eastAsia="宋体" w:cs="宋体"/>
          <w:b w:val="0"/>
          <w:color w:val="auto"/>
          <w:kern w:val="2"/>
          <w:sz w:val="22"/>
          <w:szCs w:val="22"/>
          <w:highlight w:val="none"/>
        </w:rPr>
        <w:t>日  期：</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spacing w:line="400" w:lineRule="exact"/>
        <w:jc w:val="center"/>
        <w:outlineLvl w:val="3"/>
        <w:rPr>
          <w:rFonts w:hint="eastAsia" w:ascii="宋体" w:hAnsi="宋体" w:eastAsia="宋体" w:cs="宋体"/>
          <w:b/>
          <w:color w:val="auto"/>
          <w:sz w:val="24"/>
          <w:highlight w:val="none"/>
        </w:rPr>
      </w:pP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4</w:t>
      </w:r>
      <w:r>
        <w:rPr>
          <w:rFonts w:hint="eastAsia" w:ascii="宋体" w:hAnsi="宋体" w:eastAsia="宋体" w:cs="宋体"/>
          <w:b/>
          <w:bCs/>
          <w:color w:val="auto"/>
          <w:sz w:val="28"/>
          <w:szCs w:val="28"/>
          <w:highlight w:val="none"/>
          <w:lang w:val="en-US" w:eastAsia="zh-CN"/>
        </w:rPr>
        <w:t>、类似业绩</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WZLCZB（W）-2022-07353</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highlight w:val="none"/>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东瓯大桥日常维养（3年）</w:t>
      </w:r>
      <w:r>
        <w:rPr>
          <w:rFonts w:hint="eastAsia" w:ascii="宋体" w:hAnsi="宋体" w:eastAsia="宋体" w:cs="宋体"/>
          <w:color w:val="auto"/>
          <w:highlight w:val="none"/>
        </w:rPr>
        <w:t xml:space="preserve">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69"/>
        <w:gridCol w:w="2437"/>
        <w:gridCol w:w="1737"/>
        <w:gridCol w:w="1737"/>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用户名称</w:t>
            </w: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w:t>
            </w: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合同金额</w:t>
            </w: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联系方式</w:t>
            </w: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bl>
    <w:p>
      <w:pPr>
        <w:pStyle w:val="28"/>
        <w:spacing w:line="400" w:lineRule="atLeast"/>
        <w:ind w:left="5360" w:leftChars="2500" w:hanging="110" w:hangingChars="50"/>
        <w:rPr>
          <w:rFonts w:hint="eastAsia" w:ascii="宋体" w:hAnsi="宋体" w:eastAsia="宋体" w:cs="宋体"/>
          <w:color w:val="auto"/>
          <w:sz w:val="22"/>
          <w:szCs w:val="22"/>
          <w:highlight w:val="none"/>
        </w:rPr>
      </w:pPr>
    </w:p>
    <w:p>
      <w:pPr>
        <w:pStyle w:val="28"/>
        <w:spacing w:line="360" w:lineRule="auto"/>
        <w:ind w:left="5360" w:leftChars="2500" w:hanging="110" w:hangingChars="5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投标人全称（盖章）：</w:t>
      </w:r>
    </w:p>
    <w:p>
      <w:pPr>
        <w:spacing w:line="36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投标人代表（签字）：</w:t>
      </w:r>
    </w:p>
    <w:p>
      <w:pPr>
        <w:spacing w:line="360" w:lineRule="auto"/>
        <w:ind w:firstLine="5280" w:firstLineChars="24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日    期：</w:t>
      </w:r>
    </w:p>
    <w:p>
      <w:pPr>
        <w:pStyle w:val="28"/>
        <w:spacing w:line="460" w:lineRule="exact"/>
        <w:ind w:left="663" w:hanging="663" w:hangingChars="300"/>
        <w:rPr>
          <w:rFonts w:hint="eastAsia" w:ascii="宋体" w:hAnsi="宋体" w:eastAsia="宋体" w:cs="宋体"/>
          <w:color w:val="auto"/>
          <w:sz w:val="22"/>
          <w:highlight w:val="none"/>
        </w:rPr>
      </w:pPr>
    </w:p>
    <w:p>
      <w:pPr>
        <w:pStyle w:val="28"/>
        <w:spacing w:line="460" w:lineRule="exact"/>
        <w:ind w:left="663" w:hanging="663" w:hangingChars="300"/>
        <w:rPr>
          <w:rFonts w:hint="eastAsia" w:ascii="宋体" w:hAnsi="宋体" w:eastAsia="宋体" w:cs="宋体"/>
          <w:color w:val="auto"/>
          <w:sz w:val="22"/>
          <w:highlight w:val="none"/>
        </w:rPr>
      </w:pPr>
    </w:p>
    <w:p>
      <w:pPr>
        <w:tabs>
          <w:tab w:val="left" w:pos="1808"/>
        </w:tabs>
        <w:spacing w:line="3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ab/>
      </w:r>
      <w:r>
        <w:rPr>
          <w:rFonts w:hint="eastAsia" w:ascii="宋体" w:hAnsi="宋体" w:eastAsia="宋体" w:cs="宋体"/>
          <w:b/>
          <w:bCs/>
          <w:color w:val="auto"/>
          <w:sz w:val="22"/>
          <w:szCs w:val="22"/>
          <w:highlight w:val="none"/>
        </w:rPr>
        <w:t xml:space="preserve">  </w:t>
      </w:r>
    </w:p>
    <w:p>
      <w:pPr>
        <w:spacing w:line="400" w:lineRule="exact"/>
        <w:jc w:val="center"/>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w:t>
      </w:r>
      <w:r>
        <w:rPr>
          <w:rFonts w:hint="eastAsia" w:ascii="宋体" w:hAnsi="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、其他必要提供的资料</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WZLCZB（W）-2022-07353</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东瓯大桥日常维养（3年）</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pPr>
              <w:spacing w:line="360" w:lineRule="auto"/>
              <w:rPr>
                <w:rFonts w:hint="eastAsia" w:ascii="宋体" w:hAnsi="宋体" w:eastAsia="宋体" w:cs="宋体"/>
                <w:color w:val="auto"/>
                <w:sz w:val="22"/>
                <w:szCs w:val="22"/>
                <w:highlight w:val="none"/>
              </w:rPr>
            </w:pPr>
          </w:p>
        </w:tc>
      </w:tr>
    </w:tbl>
    <w:p>
      <w:pPr>
        <w:spacing w:line="460" w:lineRule="exact"/>
        <w:ind w:firstLine="5060" w:firstLineChars="2300"/>
        <w:rPr>
          <w:rFonts w:hint="eastAsia" w:ascii="宋体" w:hAnsi="宋体" w:eastAsia="宋体" w:cs="宋体"/>
          <w:color w:val="auto"/>
          <w:sz w:val="22"/>
          <w:szCs w:val="22"/>
          <w:highlight w:val="none"/>
        </w:rPr>
      </w:pP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pPr>
        <w:spacing w:line="380" w:lineRule="exact"/>
        <w:ind w:firstLine="4400" w:firstLineChars="2000"/>
        <w:rPr>
          <w:rFonts w:hint="eastAsia" w:ascii="宋体" w:hAnsi="宋体" w:eastAsia="宋体" w:cs="宋体"/>
          <w:color w:val="auto"/>
          <w:sz w:val="22"/>
          <w:szCs w:val="22"/>
          <w:highlight w:val="none"/>
        </w:rPr>
      </w:pPr>
    </w:p>
    <w:p>
      <w:pPr>
        <w:spacing w:line="460" w:lineRule="exact"/>
        <w:ind w:firstLine="4400" w:firstLineChars="2000"/>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pPr>
        <w:rPr>
          <w:rFonts w:ascii="新宋体" w:hAnsi="新宋体" w:eastAsia="新宋体"/>
          <w:color w:val="auto"/>
          <w:sz w:val="22"/>
          <w:szCs w:val="22"/>
          <w:highlight w:val="none"/>
        </w:rPr>
        <w:sectPr>
          <w:pgSz w:w="11906" w:h="16838"/>
          <w:pgMar w:top="1134" w:right="1134" w:bottom="1134" w:left="1134" w:header="850" w:footer="992" w:gutter="0"/>
          <w:cols w:space="720" w:num="1"/>
          <w:docGrid w:type="lines" w:linePitch="321" w:charSpace="0"/>
        </w:sectPr>
      </w:pPr>
    </w:p>
    <w:p>
      <w:pPr>
        <w:pStyle w:val="4"/>
        <w:numPr>
          <w:ilvl w:val="0"/>
          <w:numId w:val="6"/>
        </w:numPr>
        <w:bidi w:val="0"/>
        <w:rPr>
          <w:rFonts w:hint="eastAsia" w:ascii="宋体" w:hAnsi="宋体" w:eastAsia="宋体" w:cs="宋体"/>
          <w:b/>
          <w:color w:val="auto"/>
          <w:highlight w:val="none"/>
        </w:rPr>
      </w:pPr>
      <w:r>
        <w:rPr>
          <w:rFonts w:hint="eastAsia" w:ascii="宋体" w:hAnsi="宋体" w:eastAsia="宋体" w:cs="宋体"/>
          <w:color w:val="auto"/>
          <w:highlight w:val="none"/>
        </w:rPr>
        <w:t xml:space="preserve"> </w:t>
      </w:r>
      <w:bookmarkStart w:id="42" w:name="_Toc3381"/>
      <w:bookmarkStart w:id="43" w:name="_Toc10142"/>
      <w:bookmarkStart w:id="44" w:name="_Toc221356958"/>
      <w:bookmarkStart w:id="45" w:name="_Toc221356895"/>
      <w:r>
        <w:rPr>
          <w:rFonts w:hint="eastAsia" w:ascii="宋体" w:hAnsi="宋体" w:eastAsia="宋体" w:cs="宋体"/>
          <w:color w:val="auto"/>
          <w:highlight w:val="none"/>
        </w:rPr>
        <w:t>项目技术规范和服务要求</w:t>
      </w:r>
      <w:bookmarkEnd w:id="42"/>
      <w:bookmarkEnd w:id="43"/>
    </w:p>
    <w:bookmarkEnd w:id="44"/>
    <w:bookmarkEnd w:id="45"/>
    <w:p>
      <w:pPr>
        <w:keepNext/>
        <w:keepLines w:val="0"/>
        <w:pageBreakBefore w:val="0"/>
        <w:widowControl w:val="0"/>
        <w:kinsoku/>
        <w:wordWrap/>
        <w:overflowPunct/>
        <w:topLinePunct w:val="0"/>
        <w:autoSpaceDE/>
        <w:autoSpaceDN/>
        <w:bidi w:val="0"/>
        <w:adjustRightInd/>
        <w:snapToGrid/>
        <w:spacing w:line="680" w:lineRule="exact"/>
        <w:jc w:val="center"/>
        <w:textAlignment w:val="auto"/>
        <w:outlineLvl w:val="2"/>
        <w:rPr>
          <w:rFonts w:hint="eastAsia" w:ascii="宋体" w:hAnsi="宋体" w:eastAsia="宋体"/>
          <w:color w:val="auto"/>
          <w:sz w:val="28"/>
          <w:szCs w:val="28"/>
          <w:highlight w:val="none"/>
          <w:lang w:eastAsia="zh-CN"/>
        </w:rPr>
      </w:pPr>
      <w:r>
        <w:rPr>
          <w:rFonts w:hint="eastAsia" w:ascii="宋体" w:hAnsi="宋体"/>
          <w:b/>
          <w:bCs/>
          <w:color w:val="auto"/>
          <w:sz w:val="28"/>
          <w:szCs w:val="28"/>
          <w:highlight w:val="none"/>
          <w:lang w:val="en-US" w:eastAsia="zh-CN"/>
        </w:rPr>
        <w:t>总  则</w:t>
      </w:r>
    </w:p>
    <w:p>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本项目资金来源：</w:t>
      </w:r>
      <w:r>
        <w:rPr>
          <w:rFonts w:hint="eastAsia" w:ascii="新宋体" w:hAnsi="新宋体" w:eastAsia="新宋体" w:cs="新宋体"/>
          <w:b w:val="0"/>
          <w:bCs w:val="0"/>
          <w:color w:val="auto"/>
          <w:sz w:val="22"/>
          <w:szCs w:val="22"/>
          <w:highlight w:val="none"/>
          <w:lang w:val="en-US" w:eastAsia="zh-CN"/>
        </w:rPr>
        <w:t>本项目预算金额为壹仟壹佰柒拾贰万元整（¥：</w:t>
      </w:r>
      <w:r>
        <w:rPr>
          <w:rFonts w:hint="default" w:ascii="宋体" w:hAnsi="宋体" w:eastAsia="宋体" w:cs="宋体"/>
          <w:color w:val="auto"/>
          <w:sz w:val="22"/>
          <w:szCs w:val="22"/>
          <w:highlight w:val="none"/>
          <w:shd w:val="clear" w:color="auto" w:fill="FFFFFF"/>
          <w:lang w:val="en-US" w:eastAsia="zh-CN"/>
        </w:rPr>
        <w:t>11720000</w:t>
      </w:r>
      <w:r>
        <w:rPr>
          <w:rFonts w:hint="eastAsia" w:ascii="宋体" w:hAnsi="宋体" w:cs="宋体"/>
          <w:color w:val="auto"/>
          <w:sz w:val="22"/>
          <w:szCs w:val="22"/>
          <w:highlight w:val="none"/>
          <w:shd w:val="clear" w:color="auto" w:fill="FFFFFF"/>
          <w:lang w:val="en-US" w:eastAsia="zh-CN"/>
        </w:rPr>
        <w:t>.</w:t>
      </w:r>
      <w:r>
        <w:rPr>
          <w:rFonts w:hint="eastAsia" w:ascii="新宋体" w:hAnsi="新宋体" w:eastAsia="新宋体" w:cs="新宋体"/>
          <w:b w:val="0"/>
          <w:bCs w:val="0"/>
          <w:color w:val="auto"/>
          <w:sz w:val="22"/>
          <w:szCs w:val="22"/>
          <w:highlight w:val="none"/>
          <w:lang w:val="en-US" w:eastAsia="zh-CN"/>
        </w:rPr>
        <w:t>00）最高限价为人民币壹仟壹佰柒拾壹万玖仟壹佰柒拾陆元贰角伍分（¥：11719176.25元）</w:t>
      </w:r>
      <w:r>
        <w:rPr>
          <w:rFonts w:hint="eastAsia" w:ascii="新宋体" w:hAnsi="新宋体" w:eastAsia="新宋体" w:cs="新宋体"/>
          <w:b w:val="0"/>
          <w:bCs w:val="0"/>
          <w:color w:val="auto"/>
          <w:sz w:val="22"/>
          <w:szCs w:val="2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default"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此份招标内容及技术要求书是招标文件的一部分，包括所有条款的具体说明及技术要求，投标人需在各自技术和商务占优势的基础上对本次招标服务进行投标报价。</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default"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▲现场踏勘：各投标人于投标截止时间前自行到本项目所在桥梁道路勘察，以获取本次投标所需的现场资料及数据，投标人若未到现场踏勘，引起的一切后果均由其自行负责，由此造成投标价的偏差均不予调整。</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default"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投标人必须完成招标内容和合同（基本要求、价格和服务）规定义务，不允许只对部分内容进行投标。</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default"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本次项目服务的标准、规范，应符合国家有关条例及规范。</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bCs/>
          <w:color w:val="auto"/>
          <w:sz w:val="22"/>
          <w:szCs w:val="22"/>
          <w:highlight w:val="none"/>
          <w:lang w:val="en-US" w:eastAsia="zh-CN"/>
        </w:rPr>
      </w:pPr>
      <w:r>
        <w:rPr>
          <w:rFonts w:hint="default"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在投标之前，投标人须仔细阅读招标文件，如发现有任何疑问、冲突或问题，投标人须在答疑截止时间前以书面形式向采购人或采购代理机构提出。逾期招标人不再作答复，有关风险及责任由投标人自行承担。</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bCs/>
          <w:color w:val="auto"/>
          <w:sz w:val="22"/>
          <w:szCs w:val="22"/>
          <w:highlight w:val="none"/>
          <w:lang w:val="en-US" w:eastAsia="zh-CN"/>
        </w:rPr>
      </w:pPr>
      <w:bookmarkStart w:id="46" w:name="_Toc5633"/>
      <w:bookmarkStart w:id="47" w:name="_Toc24735"/>
      <w:r>
        <w:rPr>
          <w:rFonts w:hint="eastAsia" w:ascii="新宋体" w:hAnsi="新宋体" w:eastAsia="新宋体" w:cs="新宋体"/>
          <w:b/>
          <w:bCs/>
          <w:color w:val="auto"/>
          <w:sz w:val="22"/>
          <w:szCs w:val="22"/>
          <w:highlight w:val="none"/>
          <w:lang w:val="en-US" w:eastAsia="zh-CN"/>
        </w:rPr>
        <w:t>一、桥梁概况</w:t>
      </w:r>
      <w:bookmarkEnd w:id="46"/>
      <w:bookmarkEnd w:id="47"/>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东瓯大桥于1998年开工建设，2000年正式建成通车，北起永嘉县瓯北镇104国道，南至温州市鹿城区过境公路，全长3.513km。其中跨瓯江特大桥长2048m，包括为77跨简支梁桥和3跨中承式拱桥，为双向四车道，宽21.8m；另有6座匝道桥和1座人行天桥。匝道桥分别为鹿城路匝道、江滨西路匝道、江心屿匝道，总长2410m，结构形式为连续箱梁；人行天桥位于翠微山，用于连接东瓯大桥两侧的翠微山公园，桥长47m。</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2.下部结构形式为钻孔灌注桩基础、桩柱式桥墩、重力式桥台，支座主要为盆式支座</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板式橡胶支座。</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桥面铺装均为水泥混凝土面层，部分地面道路部分为沥青混凝土面层；桥面共有60条伸缩缝，以型钢伸缩缝为主、拱桥部分采用的梳齿板伸缩缝；桥面两侧设有混凝土防撞护栏，临近小区防撞护栏上设有声屏障。</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4.东瓯大桥管理用房位于江心西园，管理房内设有动态监测系统和监控系统的中控室。</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5、桥梁相关附属设施。</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bCs/>
          <w:color w:val="auto"/>
          <w:sz w:val="22"/>
          <w:szCs w:val="22"/>
          <w:highlight w:val="none"/>
        </w:rPr>
      </w:pPr>
      <w:bookmarkStart w:id="48" w:name="_Toc6938"/>
      <w:bookmarkStart w:id="49" w:name="_Toc29756"/>
      <w:r>
        <w:rPr>
          <w:rFonts w:hint="eastAsia" w:ascii="新宋体" w:hAnsi="新宋体" w:eastAsia="新宋体" w:cs="新宋体"/>
          <w:b/>
          <w:bCs/>
          <w:color w:val="auto"/>
          <w:sz w:val="22"/>
          <w:szCs w:val="22"/>
          <w:highlight w:val="none"/>
          <w:lang w:val="en-US" w:eastAsia="zh-CN"/>
        </w:rPr>
        <w:t>二</w:t>
      </w:r>
      <w:r>
        <w:rPr>
          <w:rFonts w:hint="eastAsia" w:ascii="新宋体" w:hAnsi="新宋体" w:eastAsia="新宋体" w:cs="新宋体"/>
          <w:b/>
          <w:bCs/>
          <w:color w:val="auto"/>
          <w:sz w:val="22"/>
          <w:szCs w:val="22"/>
          <w:highlight w:val="none"/>
        </w:rPr>
        <w:t>、服务范围</w:t>
      </w:r>
      <w:bookmarkEnd w:id="48"/>
      <w:bookmarkEnd w:id="49"/>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outlineLvl w:val="9"/>
        <w:rPr>
          <w:rFonts w:hint="eastAsia" w:ascii="宋体" w:hAnsi="宋体"/>
          <w:color w:val="auto"/>
          <w:sz w:val="22"/>
          <w:szCs w:val="22"/>
          <w:highlight w:val="none"/>
        </w:rPr>
      </w:pPr>
      <w:r>
        <w:rPr>
          <w:rFonts w:hint="eastAsia" w:ascii="宋体" w:hAnsi="宋体"/>
          <w:color w:val="auto"/>
          <w:sz w:val="22"/>
          <w:szCs w:val="22"/>
          <w:highlight w:val="none"/>
        </w:rPr>
        <w:t>范围内设施的日常维养（维养内容详见招标内容及清单，附后）。日常维养包括设施经常性检查、常规定期检测、保养小修、中修工程、指定维修、应急保障（如防汛、抗台、抗雪等灾害天气，火灾、交通事故等突发事件）、重大活动及节日保障、</w:t>
      </w:r>
      <w:r>
        <w:rPr>
          <w:rFonts w:hint="eastAsia" w:ascii="新宋体" w:hAnsi="新宋体" w:eastAsia="新宋体" w:cs="新宋体"/>
          <w:color w:val="auto"/>
          <w:sz w:val="22"/>
          <w:szCs w:val="22"/>
          <w:highlight w:val="none"/>
          <w:lang w:val="en-US" w:eastAsia="zh-CN"/>
        </w:rPr>
        <w:t>设施管理房及动态监测系统值守</w:t>
      </w:r>
      <w:r>
        <w:rPr>
          <w:rFonts w:hint="eastAsia" w:ascii="宋体" w:hAnsi="宋体"/>
          <w:color w:val="auto"/>
          <w:sz w:val="22"/>
          <w:szCs w:val="22"/>
          <w:highlight w:val="none"/>
          <w:lang w:eastAsia="zh-CN"/>
        </w:rPr>
        <w:t>、</w:t>
      </w:r>
      <w:r>
        <w:rPr>
          <w:rFonts w:hint="eastAsia" w:ascii="宋体" w:hAnsi="宋体"/>
          <w:color w:val="auto"/>
          <w:sz w:val="22"/>
          <w:szCs w:val="22"/>
          <w:highlight w:val="none"/>
        </w:rPr>
        <w:t>设施档案建立及管理单位要求的指定养护维修任务等。</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bCs/>
          <w:color w:val="auto"/>
          <w:sz w:val="22"/>
          <w:szCs w:val="22"/>
          <w:highlight w:val="none"/>
        </w:rPr>
      </w:pPr>
      <w:bookmarkStart w:id="50" w:name="_Toc6872"/>
      <w:bookmarkStart w:id="51" w:name="_Toc7986"/>
      <w:r>
        <w:rPr>
          <w:rFonts w:hint="eastAsia" w:ascii="新宋体" w:hAnsi="新宋体" w:eastAsia="新宋体" w:cs="新宋体"/>
          <w:b/>
          <w:bCs/>
          <w:color w:val="auto"/>
          <w:sz w:val="22"/>
          <w:szCs w:val="22"/>
          <w:highlight w:val="none"/>
          <w:lang w:val="en-US" w:eastAsia="zh-CN"/>
        </w:rPr>
        <w:t>三</w:t>
      </w:r>
      <w:r>
        <w:rPr>
          <w:rFonts w:hint="eastAsia" w:ascii="新宋体" w:hAnsi="新宋体" w:eastAsia="新宋体" w:cs="新宋体"/>
          <w:b/>
          <w:bCs/>
          <w:color w:val="auto"/>
          <w:sz w:val="22"/>
          <w:szCs w:val="22"/>
          <w:highlight w:val="none"/>
        </w:rPr>
        <w:t>、对</w:t>
      </w:r>
      <w:r>
        <w:rPr>
          <w:rFonts w:hint="eastAsia" w:ascii="新宋体" w:hAnsi="新宋体" w:eastAsia="新宋体" w:cs="新宋体"/>
          <w:b/>
          <w:bCs/>
          <w:color w:val="auto"/>
          <w:sz w:val="22"/>
          <w:szCs w:val="22"/>
          <w:highlight w:val="none"/>
          <w:lang w:eastAsia="zh-CN"/>
        </w:rPr>
        <w:t>承包单位</w:t>
      </w:r>
      <w:r>
        <w:rPr>
          <w:rFonts w:hint="eastAsia" w:ascii="新宋体" w:hAnsi="新宋体" w:eastAsia="新宋体" w:cs="新宋体"/>
          <w:b/>
          <w:bCs/>
          <w:color w:val="auto"/>
          <w:sz w:val="22"/>
          <w:szCs w:val="22"/>
          <w:highlight w:val="none"/>
        </w:rPr>
        <w:t>的要求</w:t>
      </w:r>
      <w:bookmarkEnd w:id="50"/>
      <w:bookmarkEnd w:id="51"/>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严格按照</w:t>
      </w:r>
      <w:r>
        <w:rPr>
          <w:rFonts w:hint="eastAsia" w:ascii="新宋体" w:hAnsi="新宋体" w:eastAsia="新宋体" w:cs="新宋体"/>
          <w:color w:val="auto"/>
          <w:sz w:val="22"/>
          <w:szCs w:val="22"/>
          <w:highlight w:val="none"/>
          <w:lang w:eastAsia="zh-CN"/>
        </w:rPr>
        <w:t>《城市桥梁养护技术规范》</w:t>
      </w:r>
      <w:r>
        <w:rPr>
          <w:rFonts w:hint="eastAsia" w:ascii="新宋体" w:hAnsi="新宋体" w:eastAsia="新宋体" w:cs="新宋体"/>
          <w:color w:val="auto"/>
          <w:sz w:val="22"/>
          <w:szCs w:val="22"/>
          <w:highlight w:val="none"/>
        </w:rPr>
        <w:t>（CJJ99-2017）、</w:t>
      </w:r>
      <w:r>
        <w:rPr>
          <w:rFonts w:hint="eastAsia" w:ascii="新宋体" w:hAnsi="新宋体" w:eastAsia="新宋体" w:cs="新宋体"/>
          <w:color w:val="auto"/>
          <w:sz w:val="22"/>
          <w:szCs w:val="22"/>
          <w:highlight w:val="none"/>
          <w:lang w:eastAsia="zh-CN"/>
        </w:rPr>
        <w:t>《城镇道路养护技术规范》</w:t>
      </w:r>
      <w:r>
        <w:rPr>
          <w:rFonts w:hint="eastAsia" w:ascii="新宋体" w:hAnsi="新宋体" w:eastAsia="新宋体" w:cs="新宋体"/>
          <w:color w:val="auto"/>
          <w:sz w:val="22"/>
          <w:szCs w:val="22"/>
          <w:highlight w:val="none"/>
        </w:rPr>
        <w:t>（CJJ36-2016）、采购内容、合同以及相关法律、法规、行业标准，在管理单位的监督下对东瓯大桥实施日常维养作业；</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u w:val="single"/>
        </w:rPr>
        <w:t>▲具有较强的本地服务能力，在温州市区范围内常设固定办公场所，另为本项目配备专门的生产设备与物料堆放基地（不小于300平方米）；</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u w:val="none"/>
          <w:lang w:val="en-US" w:eastAsia="zh-CN"/>
        </w:rPr>
      </w:pPr>
      <w:r>
        <w:rPr>
          <w:rFonts w:hint="eastAsia" w:ascii="新宋体" w:hAnsi="新宋体" w:eastAsia="新宋体" w:cs="新宋体"/>
          <w:b w:val="0"/>
          <w:bCs w:val="0"/>
          <w:color w:val="auto"/>
          <w:sz w:val="22"/>
          <w:szCs w:val="22"/>
          <w:highlight w:val="none"/>
          <w:u w:val="none"/>
        </w:rPr>
        <w:t xml:space="preserve">  </w:t>
      </w:r>
      <w:r>
        <w:rPr>
          <w:rFonts w:hint="eastAsia" w:ascii="新宋体" w:hAnsi="新宋体" w:eastAsia="新宋体" w:cs="新宋体"/>
          <w:b/>
          <w:bCs/>
          <w:color w:val="auto"/>
          <w:sz w:val="22"/>
          <w:szCs w:val="22"/>
          <w:highlight w:val="none"/>
          <w:u w:val="none"/>
        </w:rPr>
        <w:t>备注：以上</w:t>
      </w:r>
      <w:r>
        <w:rPr>
          <w:rFonts w:hint="eastAsia" w:ascii="新宋体" w:hAnsi="新宋体" w:eastAsia="新宋体" w:cs="新宋体"/>
          <w:b/>
          <w:bCs/>
          <w:color w:val="auto"/>
          <w:sz w:val="22"/>
          <w:szCs w:val="22"/>
          <w:highlight w:val="none"/>
          <w:u w:val="none"/>
          <w:lang w:val="en-US" w:eastAsia="zh-CN"/>
        </w:rPr>
        <w:t>场地</w:t>
      </w:r>
      <w:r>
        <w:rPr>
          <w:rFonts w:hint="eastAsia" w:ascii="新宋体" w:hAnsi="新宋体" w:eastAsia="新宋体" w:cs="新宋体"/>
          <w:b/>
          <w:bCs/>
          <w:color w:val="auto"/>
          <w:sz w:val="22"/>
          <w:szCs w:val="22"/>
          <w:highlight w:val="none"/>
          <w:u w:val="none"/>
        </w:rPr>
        <w:t>可为投标单位自有或租赁</w:t>
      </w:r>
      <w:r>
        <w:rPr>
          <w:rFonts w:hint="eastAsia" w:ascii="新宋体" w:hAnsi="新宋体" w:eastAsia="新宋体" w:cs="新宋体"/>
          <w:b/>
          <w:bCs/>
          <w:color w:val="auto"/>
          <w:sz w:val="22"/>
          <w:szCs w:val="22"/>
          <w:highlight w:val="none"/>
          <w:u w:val="none"/>
          <w:lang w:eastAsia="zh-CN"/>
        </w:rPr>
        <w:t>。</w:t>
      </w:r>
      <w:r>
        <w:rPr>
          <w:rFonts w:hint="eastAsia" w:ascii="新宋体" w:hAnsi="新宋体" w:eastAsia="新宋体" w:cs="新宋体"/>
          <w:b/>
          <w:bCs/>
          <w:color w:val="auto"/>
          <w:sz w:val="22"/>
          <w:szCs w:val="22"/>
          <w:highlight w:val="none"/>
          <w:u w:val="none"/>
          <w:lang w:val="en-US" w:eastAsia="zh-CN"/>
        </w:rPr>
        <w:t>若投标人未具备以上条件，可承诺中标后30日内在温州市区范围内设立固定办公场所，为本项目配备专门的生产设备与物料堆放基地（不小于300平方米）。</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为本项目配备专用生产人员及设备：</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养护单位投入本项目的生产、管理人员中必须包括但不限于：项目负责人1名（市政公用工程专业二级或以上级别注册建造师资质、安全生产考核合格证B类）、技术负责人1名（5年以上从事工程施工技术管理工作经历，并具有市政道桥相关专业高级或以上职称）。除项目负责人和技术负责人以外，配备不少于：专职安全员1名（安全生产考核合格证书C类）、资料员1名、中控室值守人员每班次不少于1名（中控室实行24小时值守）、专职桥梁管理人员不少于2名（要求具备市政道桥相关专业助理工程师以上职称）和技术工人的维修队伍不少于5名（具有与本工程维修相应工种的养护维修操作上岗证）、电工1名；</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 xml:space="preserve"> 配备必要的生产设备及物料，放置在专门的基地，以便随时调用，并建立使用台账。</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必须配备的生产设备：巡视管理车1辆（不得将该车用于其他项目用途，否则视为养护单位违约）、巡视船（</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9吨交通艇，有船舶检验证书）1辆、路面切割机1台、灌缝机1台、保温车（载重</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4吨）1辆、曲臂登高车（作业高度22米）1辆、桥检车（水平作业范围21米）1辆、自行式铣刨机1台、沥青混凝土摊铺机1台、轻型或重型光轮震动压路机1辆、空压机1台、灰浆搅拌机1台、自卸载重车（载重质量</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8t） 1辆、发电机1台</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≥30千瓦</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r>
        <w:rPr>
          <w:rFonts w:hint="eastAsia" w:ascii="新宋体" w:hAnsi="新宋体" w:eastAsia="新宋体" w:cs="新宋体"/>
          <w:b/>
          <w:bCs/>
          <w:color w:val="auto"/>
          <w:sz w:val="22"/>
          <w:szCs w:val="22"/>
          <w:highlight w:val="none"/>
          <w:lang w:val="en-US" w:eastAsia="zh-CN"/>
        </w:rPr>
        <w:t>以上设备可为投标单位自有或租赁，但必须承诺中标后一个月内配备上述设备</w:t>
      </w:r>
      <w:r>
        <w:rPr>
          <w:rFonts w:hint="eastAsia" w:ascii="新宋体" w:hAnsi="新宋体" w:eastAsia="新宋体" w:cs="新宋体"/>
          <w:b/>
          <w:bCs/>
          <w:color w:val="auto"/>
          <w:sz w:val="22"/>
          <w:szCs w:val="22"/>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必须配备的生产设施：100个标准反光锥、50个标准水码、10个反光作业指示牌、10个标有导向箭头或限速标志的反光交通指示牌、30盏防爆警示灯、6个防撞桶。</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常备维修物料：养护单位必须联系好人行道地砖、侧石以及水泥、砂石、沥青、声屏障、油漆涂料等维修物料供应单位，满足设施病害自发现到维修结束不超过48小时的时限要求。</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常备应急物资：不少于2吨的防冻盐、不少于50个沙袋。</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rPr>
        <w:t>养护单位必须结合管理单位制度和本单位制度特点，建立健全东瓯大桥日常维养管理制度体系。养护单位进场后1个月内向管理单位提交符合要求的日常巡检维养计划、养护维修作业施工组织设计、东瓯大桥专项养护手册、突发事件应急预案等。</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bCs/>
          <w:color w:val="auto"/>
          <w:sz w:val="22"/>
          <w:szCs w:val="22"/>
          <w:highlight w:val="none"/>
          <w:lang w:val="en-US" w:eastAsia="zh-CN"/>
        </w:rPr>
      </w:pPr>
      <w:bookmarkStart w:id="52" w:name="_Toc14603"/>
      <w:bookmarkStart w:id="53" w:name="_Toc26684"/>
      <w:r>
        <w:rPr>
          <w:rFonts w:hint="eastAsia" w:ascii="新宋体" w:hAnsi="新宋体" w:eastAsia="新宋体" w:cs="新宋体"/>
          <w:b/>
          <w:bCs/>
          <w:color w:val="auto"/>
          <w:sz w:val="22"/>
          <w:szCs w:val="22"/>
          <w:highlight w:val="none"/>
          <w:lang w:val="en-US" w:eastAsia="zh-CN"/>
        </w:rPr>
        <w:t>四、维养内容及技术要求</w:t>
      </w:r>
      <w:bookmarkEnd w:id="52"/>
      <w:bookmarkEnd w:id="53"/>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（一）维养范围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东瓯大桥为养护承包范围，其中包括东瓯大桥主桥、鹿城互通段主桥、翠微山体间高填土道路、鹿城路匝道、江滨路匝道、江心屿匝道、翠微山间人行天桥、鹿城路至翠微大道间地面道路、阳光大道至双塔路间地面道路。养护设施量具体详见设施界限图和设施量清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维养范围包括设施主体及其附属设施，具体以《设施界线图》为准。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巡查范围包括设施界限范围（含桥下附于桥体的设施）、桥梁投影面及设施安全保护区域。</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color w:val="auto"/>
          <w:highlight w:val="none"/>
          <w:lang w:val="en-US" w:eastAsia="zh-CN"/>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维养内容包括设施经常性检查、常规定期检测、保养小修、中修工程、指定维修、应急保障（如防汛、抗台、抗雪等灾害天气，火灾、交通事故等突发事件）、重大活动及节日保障、</w:t>
      </w:r>
      <w:r>
        <w:rPr>
          <w:rFonts w:hint="eastAsia" w:ascii="新宋体" w:hAnsi="新宋体" w:eastAsia="新宋体" w:cs="新宋体"/>
          <w:color w:val="auto"/>
          <w:sz w:val="22"/>
          <w:szCs w:val="22"/>
          <w:highlight w:val="none"/>
          <w:lang w:val="en-US" w:eastAsia="zh-CN"/>
        </w:rPr>
        <w:t>设施管理房及动态监测系统值守、</w:t>
      </w:r>
      <w:r>
        <w:rPr>
          <w:rFonts w:hint="eastAsia" w:ascii="新宋体" w:hAnsi="新宋体" w:eastAsia="新宋体" w:cs="新宋体"/>
          <w:color w:val="auto"/>
          <w:sz w:val="22"/>
          <w:szCs w:val="22"/>
          <w:highlight w:val="none"/>
        </w:rPr>
        <w:t>设施档案建立及管理单位要求的指定养护维修任务等。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outlineLvl w:val="1"/>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（二）维养工作内容及要求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经常性检查：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 经常性检查是承包单位所有工作的前提，必须由经过培训的专职桥梁管理人员按照相关规定对巡查范围内的设施进行经常性检查，并填写巡查记录。经常性检查内容包括主体设施及附属设施情况；设施及设施安全保护区域内施工作业情况。</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 承包单位发现问题应及时向管理单位汇报，并采取有效措施进行处理。本次招标范围内所有设施要求实施一日一巡，其中水中桩基需一周巡检一次，特殊情况需加密巡查；且必须定人定岗。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 每月定期向管理单位上报当月维养工作总结（含病害汇总和处置情况、相关报表的填报），每年末上报年度工作总结、设施运行报告和下一年度工作计划。</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常规定期检测：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 承包单位应按照相关规范和标准，建立定期检测部门，配备检测车、登高车、望远镜、水准仪、全站仪、裂缝观测仪等仪器设备，编制检测计划，对主体及附属设施进行常规定期检测、评价，更新设施量、资料卡，编制检测评价报告，以全面掌握设施安全状况。对于没有能力实施检测的，应外包有资质的单位实施，并经管理单位认可。本次招标范围内的所有设施要求每年进行一次常规定期检测，半年进行一次沉降观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日常维养：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 承包单位应根据日常巡查和检测结果，结合相关技术规范、设施实际情况安排保养小修、中修工程、应急性养护，日常维养作业内容详见清单。在正常情况下（无天气不利条件等影响）日常病害的维养需在24小时内完成，并做维养、自验收记录；工程量较大、工序较多的维养工作可在48小时内完成，如遇到特殊原因（如天气原因等）可临时采取其他应急处理方式进行警示或简单处理，确保道路畅通安全的情况下可待条件满足后进行彻底的处置。对未能在24小时内修复完成的日常病害，承包单位需于病害发现24小时内向管理单位书面说明原因。需进行日常保养的设施，根据相关规范及本招标文件要求定期实施。</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 ▲应管理单位要求需进行应急抢修的，养护单位维修队伍、设备及物料需在2小时内到场，并于48小时内完成抢修作业。</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3.3 日常维修保养作业可能影响道路交通的，承包单位需做好与公安交警部门的协调工作，在尽可能减少影响的情况下，保质保量的完成日常维修保养作业。</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安全生产：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4.1 承包单位有责任发现并及时制止本次招标范围内所有设施遭意外事故或人为等因素导致的损坏和侵害，做好调查、赔偿、修复等工作，并通知管理单位和相关部门。对在养护范围内，本次招标范围外的设施（如随桥（路）管线、井盖、标志标线等），有巡查、告知的责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4.2 养护单位应为实施现场养护施工作业的人员购买人身意外伤害险。养护单位在保证日常维养工作的质量与进度的同时，还应做好安全管理。如因自身人员出现伤亡事故、或因施工作业围挡或警示不到位造成过往车辆或行人伤亡的，由养护单位承担全部责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应急保障、节日保障：</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5.1 应急保障、节日保障：承包单位除了承担经常性检查、常规定期检测、日常维养的工作职责外，还承担本次招标范围内设施的应急抢险和节日保障工作。承包单位需建立应急抢险及服务保障机制，成立应急抢险及服务保障领导小组和队伍；常备人员、车辆、机械设备以及应急物资；在台风、汛期、暴雪、火灾、地震及其他应急抢险情况下严格服从甲方的统一指挥和安排，排除险情；做好数据、图片和台帐的记录、存档工作；每年至少组织一次应急预案演练。节假日或大型公共活动期间，承包单位需合理安排人员完成值班、巡查、维修及安全保障工作。</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桥梁监控中心值守：</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6.1 承包单位需根据监控中心值守工作量配备相应数量的值守人员，对桥梁监控中心监控室实施24小时定岗定点值守，监控室值守人员按规程对东瓯大桥动态监测系统实时操作和情况记录（包含东瓯大桥视频的实时监控），如有突发情况及时报告。</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6.2 监控中心应定期清维修或更换监控中心范围内破损设施（地面、屋面、墙体、门窗、灯具、空调、绿化等）。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6.3 承包单位需负责监控中心及桥梁动态监测系统外部设备安全。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6.4 承包单位需保证监控中心消防安全。监控中心内的灭火器应按技术规程、规范定期每月进行压力检查、日常保养，及时进行失压灌装、更换、破损维修、维修冲灌。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6.5 如发生监控中心内部监控系统设备及附属设施被盗的，承包单位需照价赔偿；监控中心外设备及电缆被盗，承包单位应及时向业主单位汇报情况，并报相关部门报案，因承包单位未采取适当措施，造成的经济损失，由承包单位予以赔偿。</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6.6 承包单位需对值守的监测系统及监控视频进行保密，并严格执行签订的保密协议。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6.7 承包单位需自行承担值守人员的住宿、餐饮及值守室产生的水费等其他生活所需费用、值守室电费由采购人承担。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rPr>
        <w:t>桥梁动态监测系统维护：</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7.1 东瓯大桥设有桥梁健康动态监测系统，监测内容包括风荷载、环境温度、结构应力和温度、结构变形、吊杆索力、车辆动态称重、船撞监测等，另设有结构数据采集分析、结构健康评估系统对东瓯大桥结构运行情况进行动态监测，如有异常及时报警。动态监测系统包括传感器、数据采集站、服务器、计算机、交换机、路由器以及相关电气设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7.2 承包单位应按相关技术规程、规范、操作维养手册对动态监测系统相关的所有电器、电路和传感器等进行经常性检查保养、配件小修更换，确保桥梁监测系统正常运行。如发现系统故障，应及时报告业主单位，并采取适当措施。</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color w:val="auto"/>
          <w:highlight w:val="none"/>
          <w:lang w:val="en-US" w:eastAsia="zh-CN"/>
        </w:rPr>
      </w:pP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rPr>
        <w:t>建立档案资料：以单座设施为单位建立养护档案，健全日常养护、巡查等作业的文字和影像记录，做好台帐的整理和归档工作，建立养护活动“追溯机制”，以备检查。每年底对日常维养、特殊情况、突发事件、服务保障、定期检测、指定维修、应急保障等工作进行总结，形成年度养护报告和设施运行报告并存档。（详见《台账资料整理规定》）</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0" w:firstLineChars="0"/>
        <w:textAlignment w:val="auto"/>
        <w:outlineLvl w:val="1"/>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维养质量标准及评定</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20" w:firstLineChars="1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维养质量标准：</w:t>
      </w:r>
      <w:bookmarkStart w:id="54" w:name="_Hlk487189589"/>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根据《城市道路管理条例》（国务院令198号）、《城市桥梁检测和养护维修管理办法》（建设部118号令）、</w:t>
      </w:r>
      <w:r>
        <w:rPr>
          <w:rFonts w:hint="eastAsia" w:ascii="新宋体" w:hAnsi="新宋体" w:eastAsia="新宋体" w:cs="新宋体"/>
          <w:color w:val="auto"/>
          <w:sz w:val="22"/>
          <w:szCs w:val="22"/>
          <w:highlight w:val="none"/>
          <w:lang w:eastAsia="zh-CN"/>
        </w:rPr>
        <w:t>《城镇道路养护技术规范》</w:t>
      </w:r>
      <w:r>
        <w:rPr>
          <w:rFonts w:hint="eastAsia" w:ascii="新宋体" w:hAnsi="新宋体" w:eastAsia="新宋体" w:cs="新宋体"/>
          <w:color w:val="auto"/>
          <w:sz w:val="22"/>
          <w:szCs w:val="22"/>
          <w:highlight w:val="none"/>
        </w:rPr>
        <w:t>（CJJ36-2016）、</w:t>
      </w:r>
      <w:r>
        <w:rPr>
          <w:rFonts w:hint="eastAsia" w:ascii="新宋体" w:hAnsi="新宋体" w:eastAsia="新宋体" w:cs="新宋体"/>
          <w:color w:val="auto"/>
          <w:sz w:val="22"/>
          <w:szCs w:val="22"/>
          <w:highlight w:val="none"/>
          <w:lang w:eastAsia="zh-CN"/>
        </w:rPr>
        <w:t>《城市桥梁养护技术规范》</w:t>
      </w:r>
      <w:r>
        <w:rPr>
          <w:rFonts w:hint="eastAsia" w:ascii="新宋体" w:hAnsi="新宋体" w:eastAsia="新宋体" w:cs="新宋体"/>
          <w:color w:val="auto"/>
          <w:sz w:val="22"/>
          <w:szCs w:val="22"/>
          <w:highlight w:val="none"/>
        </w:rPr>
        <w:t>（CJJ99-2017）、《城镇道路工程施工与质量验收规范》（CJJ1-2008）、《浙江省城市道路管理办法》（省政府令第145号）、浙江省工程建设标准《城市道路养护管理评价标准》、《城镇道路养护作业规程》</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温州市突发公共事件总体应急预案》、《温州市城区防汛防台应急预案》、《温州市区城市桥梁管理养护实施办法》等以及新颁布的相关规程、规范和国家有关强制性标准的规定执行。同时，应满足招标文件、《东瓯大桥设施维养考核办法》及管理单位要求。</w:t>
      </w:r>
      <w:bookmarkEnd w:id="54"/>
    </w:p>
    <w:p>
      <w:pPr>
        <w:keepNext w:val="0"/>
        <w:keepLines w:val="0"/>
        <w:pageBreakBefore w:val="0"/>
        <w:widowControl w:val="0"/>
        <w:kinsoku/>
        <w:wordWrap/>
        <w:overflowPunct/>
        <w:topLinePunct w:val="0"/>
        <w:autoSpaceDE/>
        <w:autoSpaceDN/>
        <w:bidi w:val="0"/>
        <w:adjustRightInd/>
        <w:snapToGrid/>
        <w:spacing w:line="460" w:lineRule="exact"/>
        <w:ind w:firstLine="220" w:firstLineChars="1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维养质量评定：</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 每月进行一次月度考核，由管理单位通过定期检查和不定期抽查的方式对设施养护情况进行考核。</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 xml:space="preserve"> 维养质量评定按《东瓯大桥设施维养考核办法》执行，评定结果与维养经费拨付挂钩。</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维养质量争议处理办法：双方对养护维修服务质量评定结果有争议，由双方同意的质量检测机构鉴定，所需费用及因此造成的损失，由责任方承担。双方均有责任，由双方根据其责任分别承担。</w:t>
      </w:r>
    </w:p>
    <w:p>
      <w:pPr>
        <w:keepNext/>
        <w:keepLines/>
        <w:pageBreakBefore w:val="0"/>
        <w:widowControl w:val="0"/>
        <w:kinsoku/>
        <w:wordWrap/>
        <w:overflowPunct/>
        <w:topLinePunct w:val="0"/>
        <w:autoSpaceDE/>
        <w:autoSpaceDN/>
        <w:bidi w:val="0"/>
        <w:adjustRightInd/>
        <w:snapToGrid/>
        <w:textAlignment w:val="auto"/>
        <w:outlineLvl w:val="9"/>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（五）维养清单</w:t>
      </w:r>
    </w:p>
    <w:tbl>
      <w:tblPr>
        <w:tblStyle w:val="52"/>
        <w:tblW w:w="9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00"/>
        <w:gridCol w:w="600"/>
        <w:gridCol w:w="11"/>
        <w:gridCol w:w="991"/>
        <w:gridCol w:w="4214"/>
        <w:gridCol w:w="1045"/>
        <w:gridCol w:w="784"/>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8" w:hRule="atLeast"/>
          <w:jc w:val="center"/>
        </w:trPr>
        <w:tc>
          <w:tcPr>
            <w:tcW w:w="8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1602"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项目名称</w:t>
            </w:r>
          </w:p>
        </w:tc>
        <w:tc>
          <w:tcPr>
            <w:tcW w:w="421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日常维养作业内容</w:t>
            </w:r>
          </w:p>
        </w:tc>
        <w:tc>
          <w:tcPr>
            <w:tcW w:w="1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设施量</w:t>
            </w:r>
          </w:p>
        </w:tc>
        <w:tc>
          <w:tcPr>
            <w:tcW w:w="78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单位</w:t>
            </w:r>
          </w:p>
        </w:tc>
        <w:tc>
          <w:tcPr>
            <w:tcW w:w="15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color w:val="auto"/>
                <w:sz w:val="22"/>
                <w:szCs w:val="22"/>
                <w:highlight w:val="none"/>
              </w:rPr>
            </w:pPr>
            <w:r>
              <w:rPr>
                <w:rFonts w:hint="eastAsia" w:ascii="宋体" w:hAnsi="宋体" w:cs="宋体"/>
                <w:bCs/>
                <w:color w:val="auto"/>
                <w:sz w:val="22"/>
                <w:szCs w:val="22"/>
                <w:highlight w:val="none"/>
              </w:rPr>
              <w:t xml:space="preserve">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8" w:hRule="atLeast"/>
          <w:jc w:val="center"/>
        </w:trPr>
        <w:tc>
          <w:tcPr>
            <w:tcW w:w="8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color w:val="auto"/>
                <w:sz w:val="22"/>
                <w:szCs w:val="22"/>
                <w:highlight w:val="none"/>
              </w:rPr>
            </w:pPr>
            <w:r>
              <w:rPr>
                <w:rFonts w:hint="eastAsia" w:ascii="宋体" w:hAnsi="宋体" w:cs="宋体"/>
                <w:b/>
                <w:color w:val="auto"/>
                <w:sz w:val="22"/>
                <w:szCs w:val="22"/>
                <w:highlight w:val="none"/>
              </w:rPr>
              <w:t>一</w:t>
            </w:r>
          </w:p>
        </w:tc>
        <w:tc>
          <w:tcPr>
            <w:tcW w:w="9182" w:type="dxa"/>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ind w:firstLine="221" w:firstLineChars="100"/>
              <w:textAlignment w:val="auto"/>
              <w:rPr>
                <w:rFonts w:hint="eastAsia" w:ascii="宋体" w:hAnsi="宋体" w:cs="宋体"/>
                <w:color w:val="auto"/>
                <w:sz w:val="22"/>
                <w:szCs w:val="22"/>
                <w:highlight w:val="none"/>
              </w:rPr>
            </w:pPr>
            <w:r>
              <w:rPr>
                <w:rFonts w:hint="eastAsia" w:ascii="宋体" w:hAnsi="宋体" w:cs="宋体"/>
                <w:b/>
                <w:color w:val="auto"/>
                <w:sz w:val="22"/>
                <w:szCs w:val="22"/>
                <w:highlight w:val="none"/>
              </w:rPr>
              <w:t>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jc w:val="center"/>
        </w:trPr>
        <w:tc>
          <w:tcPr>
            <w:tcW w:w="8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color w:val="auto"/>
                <w:sz w:val="22"/>
                <w:szCs w:val="22"/>
                <w:highlight w:val="none"/>
              </w:rPr>
            </w:pPr>
            <w:r>
              <w:rPr>
                <w:rFonts w:hint="eastAsia" w:ascii="宋体" w:hAnsi="宋体" w:cs="宋体"/>
                <w:b/>
                <w:color w:val="auto"/>
                <w:sz w:val="22"/>
                <w:szCs w:val="22"/>
                <w:highlight w:val="none"/>
              </w:rPr>
              <w:t>1</w:t>
            </w:r>
          </w:p>
        </w:tc>
        <w:tc>
          <w:tcPr>
            <w:tcW w:w="9182" w:type="dxa"/>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r>
              <w:rPr>
                <w:rFonts w:hint="eastAsia" w:ascii="宋体" w:hAnsi="宋体" w:cs="宋体"/>
                <w:b/>
                <w:color w:val="auto"/>
                <w:sz w:val="22"/>
                <w:szCs w:val="22"/>
                <w:highlight w:val="none"/>
              </w:rPr>
              <w:t>巡视检查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0" w:hRule="atLeast"/>
          <w:jc w:val="center"/>
        </w:trPr>
        <w:tc>
          <w:tcPr>
            <w:tcW w:w="8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1.1</w:t>
            </w:r>
          </w:p>
        </w:tc>
        <w:tc>
          <w:tcPr>
            <w:tcW w:w="1602"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日常巡查</w:t>
            </w:r>
          </w:p>
        </w:tc>
        <w:tc>
          <w:tcPr>
            <w:tcW w:w="421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1.根据</w:t>
            </w:r>
            <w:r>
              <w:rPr>
                <w:rFonts w:hint="eastAsia" w:ascii="宋体" w:hAnsi="宋体" w:cs="宋体"/>
                <w:color w:val="auto"/>
                <w:sz w:val="22"/>
                <w:szCs w:val="22"/>
                <w:highlight w:val="none"/>
                <w:lang w:eastAsia="zh-CN"/>
              </w:rPr>
              <w:t>《城镇道路养护技术规范》</w:t>
            </w:r>
            <w:r>
              <w:rPr>
                <w:rFonts w:hint="eastAsia" w:ascii="宋体" w:hAnsi="宋体" w:cs="宋体"/>
                <w:color w:val="auto"/>
                <w:sz w:val="22"/>
                <w:szCs w:val="22"/>
                <w:highlight w:val="none"/>
              </w:rPr>
              <w:t>（CJJ36-2016）要求对巡查范围内的道路设施实施一日一巡，特殊情况需加密巡查频率。</w:t>
            </w:r>
          </w:p>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2.由经过培训的专职道路管理人员按照规范要求，以目测为主的方式对路面外观变化、结构变化、道路施工作业情况及附属设施等状况进行检查，并做好相应记录，清理设施零星障碍</w:t>
            </w:r>
            <w:bookmarkStart w:id="72" w:name="_GoBack"/>
            <w:bookmarkEnd w:id="72"/>
            <w:r>
              <w:rPr>
                <w:rFonts w:hint="eastAsia" w:ascii="宋体" w:hAnsi="宋体" w:cs="宋体"/>
                <w:color w:val="auto"/>
                <w:sz w:val="22"/>
                <w:szCs w:val="22"/>
                <w:highlight w:val="none"/>
              </w:rPr>
              <w:t>物。日常巡查记录应定期整理归档，并提出处理意见。</w:t>
            </w:r>
          </w:p>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3.巡查过程中，对发现设施明显损坏或影响车辆和行人安全的情况，应及时采取相应措施，并及时向管理单位报告。</w:t>
            </w:r>
          </w:p>
        </w:tc>
        <w:tc>
          <w:tcPr>
            <w:tcW w:w="1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5378.84</w:t>
            </w:r>
          </w:p>
        </w:tc>
        <w:tc>
          <w:tcPr>
            <w:tcW w:w="78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m/次</w:t>
            </w:r>
          </w:p>
        </w:tc>
        <w:tc>
          <w:tcPr>
            <w:tcW w:w="15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巡查频率：一日一次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800" w:type="dxa"/>
            <w:tcBorders>
              <w:top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1.2</w:t>
            </w:r>
          </w:p>
        </w:tc>
        <w:tc>
          <w:tcPr>
            <w:tcW w:w="1602" w:type="dxa"/>
            <w:gridSpan w:val="3"/>
            <w:tcBorders>
              <w:top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常规定期检测</w:t>
            </w:r>
          </w:p>
        </w:tc>
        <w:tc>
          <w:tcPr>
            <w:tcW w:w="4214" w:type="dxa"/>
            <w:tcBorders>
              <w:top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r>
              <w:rPr>
                <w:rFonts w:hint="eastAsia" w:ascii="宋体" w:hAnsi="宋体" w:cs="宋体"/>
                <w:b w:val="0"/>
                <w:bCs w:val="0"/>
                <w:color w:val="auto"/>
                <w:sz w:val="22"/>
                <w:szCs w:val="22"/>
                <w:highlight w:val="none"/>
              </w:rPr>
              <w:t>根据</w:t>
            </w:r>
            <w:r>
              <w:rPr>
                <w:rFonts w:hint="eastAsia" w:ascii="宋体" w:hAnsi="宋体" w:cs="宋体"/>
                <w:color w:val="auto"/>
                <w:sz w:val="22"/>
                <w:szCs w:val="22"/>
                <w:highlight w:val="none"/>
              </w:rPr>
              <w:t>《城镇道路养护技术规范》（CJJ36-2016）</w:t>
            </w:r>
            <w:r>
              <w:rPr>
                <w:rFonts w:hint="eastAsia" w:ascii="宋体" w:hAnsi="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eastAsia="zh-CN"/>
              </w:rPr>
              <w:t>《城市桥梁养护技术规范》</w:t>
            </w:r>
            <w:r>
              <w:rPr>
                <w:rFonts w:hint="eastAsia" w:ascii="宋体" w:hAnsi="宋体" w:cs="宋体"/>
                <w:b w:val="0"/>
                <w:bCs w:val="0"/>
                <w:color w:val="auto"/>
                <w:sz w:val="22"/>
                <w:szCs w:val="22"/>
                <w:highlight w:val="none"/>
              </w:rPr>
              <w:t>（CJJ99-2017）要求对维养范围内的桥梁进行一年一次常规检测</w:t>
            </w:r>
            <w:r>
              <w:rPr>
                <w:rFonts w:hint="eastAsia" w:ascii="宋体" w:hAnsi="宋体" w:cs="宋体"/>
                <w:b w:val="0"/>
                <w:bCs w:val="0"/>
                <w:color w:val="auto"/>
                <w:sz w:val="22"/>
                <w:szCs w:val="22"/>
                <w:highlight w:val="none"/>
                <w:lang w:eastAsia="zh-CN"/>
              </w:rPr>
              <w:t>，</w:t>
            </w:r>
            <w:r>
              <w:rPr>
                <w:rFonts w:hint="eastAsia" w:ascii="宋体" w:hAnsi="宋体" w:cs="宋体"/>
                <w:b w:val="0"/>
                <w:bCs w:val="0"/>
                <w:color w:val="auto"/>
                <w:sz w:val="22"/>
                <w:szCs w:val="22"/>
                <w:highlight w:val="none"/>
              </w:rPr>
              <w:t>并出具检测报告。</w:t>
            </w:r>
          </w:p>
        </w:tc>
        <w:tc>
          <w:tcPr>
            <w:tcW w:w="1045" w:type="dxa"/>
            <w:tcBorders>
              <w:top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784" w:type="dxa"/>
            <w:tcBorders>
              <w:top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项</w:t>
            </w:r>
          </w:p>
        </w:tc>
        <w:tc>
          <w:tcPr>
            <w:tcW w:w="1537" w:type="dxa"/>
            <w:tcBorders>
              <w:top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7" w:hRule="atLeast"/>
          <w:jc w:val="center"/>
        </w:trPr>
        <w:tc>
          <w:tcPr>
            <w:tcW w:w="8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color w:val="auto"/>
                <w:sz w:val="22"/>
                <w:szCs w:val="22"/>
                <w:highlight w:val="none"/>
              </w:rPr>
            </w:pPr>
            <w:r>
              <w:rPr>
                <w:rFonts w:hint="eastAsia" w:ascii="宋体" w:hAnsi="宋体" w:cs="宋体"/>
                <w:b/>
                <w:color w:val="auto"/>
                <w:sz w:val="22"/>
                <w:szCs w:val="22"/>
                <w:highlight w:val="none"/>
              </w:rPr>
              <w:t>2</w:t>
            </w:r>
          </w:p>
        </w:tc>
        <w:tc>
          <w:tcPr>
            <w:tcW w:w="9182" w:type="dxa"/>
            <w:gridSpan w:val="7"/>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r>
              <w:rPr>
                <w:rFonts w:hint="eastAsia" w:ascii="宋体" w:hAnsi="宋体" w:cs="宋体"/>
                <w:b/>
                <w:color w:val="auto"/>
                <w:sz w:val="22"/>
                <w:szCs w:val="22"/>
                <w:highlight w:val="none"/>
              </w:rPr>
              <w:t>日常维养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jc w:val="center"/>
        </w:trPr>
        <w:tc>
          <w:tcPr>
            <w:tcW w:w="8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2.1</w:t>
            </w:r>
          </w:p>
        </w:tc>
        <w:tc>
          <w:tcPr>
            <w:tcW w:w="600" w:type="dxa"/>
            <w:vMerge w:val="restart"/>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车行道</w:t>
            </w:r>
          </w:p>
        </w:tc>
        <w:tc>
          <w:tcPr>
            <w:tcW w:w="1002" w:type="dxa"/>
            <w:gridSpan w:val="2"/>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沥青混凝土路面</w:t>
            </w:r>
          </w:p>
        </w:tc>
        <w:tc>
          <w:tcPr>
            <w:tcW w:w="42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r>
              <w:rPr>
                <w:rFonts w:hint="eastAsia" w:ascii="宋体" w:hAnsi="宋体" w:cs="宋体"/>
                <w:b/>
                <w:bCs/>
                <w:color w:val="auto"/>
                <w:sz w:val="22"/>
                <w:szCs w:val="22"/>
                <w:highlight w:val="none"/>
              </w:rPr>
              <w:t>日常保养。</w:t>
            </w:r>
            <w:r>
              <w:rPr>
                <w:rFonts w:hint="eastAsia" w:ascii="宋体" w:hAnsi="宋体" w:cs="宋体"/>
                <w:color w:val="auto"/>
                <w:sz w:val="22"/>
                <w:szCs w:val="22"/>
                <w:highlight w:val="none"/>
              </w:rPr>
              <w:t>工作内容包含：按照</w:t>
            </w:r>
            <w:r>
              <w:rPr>
                <w:rFonts w:hint="eastAsia" w:ascii="宋体" w:hAnsi="宋体" w:cs="宋体"/>
                <w:color w:val="auto"/>
                <w:sz w:val="22"/>
                <w:szCs w:val="22"/>
                <w:highlight w:val="none"/>
                <w:lang w:eastAsia="zh-CN"/>
              </w:rPr>
              <w:t>《城镇道路养护技术规范》</w:t>
            </w:r>
            <w:r>
              <w:rPr>
                <w:rFonts w:hint="eastAsia" w:ascii="宋体" w:hAnsi="宋体" w:cs="宋体"/>
                <w:color w:val="auto"/>
                <w:sz w:val="22"/>
                <w:szCs w:val="22"/>
                <w:highlight w:val="none"/>
              </w:rPr>
              <w:t>（CJJ36-2016）开展预防性养护、裂缝封闭。</w:t>
            </w:r>
          </w:p>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r>
              <w:rPr>
                <w:rFonts w:hint="eastAsia" w:ascii="宋体" w:hAnsi="宋体" w:cs="宋体"/>
                <w:b/>
                <w:bCs/>
                <w:color w:val="auto"/>
                <w:sz w:val="22"/>
                <w:szCs w:val="22"/>
                <w:highlight w:val="none"/>
              </w:rPr>
              <w:t>日常维修。</w:t>
            </w:r>
            <w:r>
              <w:rPr>
                <w:rFonts w:hint="eastAsia" w:ascii="宋体" w:hAnsi="宋体" w:cs="宋体"/>
                <w:color w:val="auto"/>
                <w:sz w:val="22"/>
                <w:szCs w:val="22"/>
                <w:highlight w:val="none"/>
              </w:rPr>
              <w:t>破损路面零星维修（4cmSMA-13），中小修（切割维修4cmSMA-13或4cmSMA-13</w:t>
            </w:r>
            <w:r>
              <w:rPr>
                <w:rFonts w:hint="eastAsia" w:ascii="宋体" w:hAnsi="宋体" w:cs="宋体"/>
                <w:b w:val="0"/>
                <w:bCs w:val="0"/>
                <w:color w:val="auto"/>
                <w:sz w:val="22"/>
                <w:szCs w:val="22"/>
                <w:highlight w:val="none"/>
              </w:rPr>
              <w:t>+4cmAC-</w:t>
            </w:r>
            <w:r>
              <w:rPr>
                <w:rFonts w:hint="eastAsia" w:ascii="宋体" w:hAnsi="宋体" w:cs="宋体"/>
                <w:b w:val="0"/>
                <w:bCs w:val="0"/>
                <w:color w:val="auto"/>
                <w:sz w:val="22"/>
                <w:szCs w:val="22"/>
                <w:highlight w:val="none"/>
                <w:lang w:val="en-US" w:eastAsia="zh-CN"/>
              </w:rPr>
              <w:t>20</w:t>
            </w:r>
            <w:r>
              <w:rPr>
                <w:rFonts w:hint="eastAsia" w:ascii="宋体" w:hAnsi="宋体" w:cs="宋体"/>
                <w:b w:val="0"/>
                <w:bCs w:val="0"/>
                <w:color w:val="auto"/>
                <w:sz w:val="22"/>
                <w:szCs w:val="22"/>
                <w:highlight w:val="none"/>
              </w:rPr>
              <w:t>）</w:t>
            </w:r>
            <w:r>
              <w:rPr>
                <w:rFonts w:hint="eastAsia" w:ascii="宋体" w:hAnsi="宋体" w:cs="宋体"/>
                <w:color w:val="auto"/>
                <w:sz w:val="22"/>
                <w:szCs w:val="22"/>
                <w:highlight w:val="none"/>
              </w:rPr>
              <w:t>。工作内容包含：铣刨路面、清扫铣刨废料、工作面清扫、摊铺沥青、接缝处理、找平、点补、碾压、清理、井盖周边处理、旧料外运。</w:t>
            </w:r>
          </w:p>
        </w:tc>
        <w:tc>
          <w:tcPr>
            <w:tcW w:w="1045" w:type="dxa"/>
            <w:tcBorders>
              <w:top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37282</w:t>
            </w:r>
          </w:p>
        </w:tc>
        <w:tc>
          <w:tcPr>
            <w:tcW w:w="784" w:type="dxa"/>
            <w:tcBorders>
              <w:top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w:t>
            </w:r>
          </w:p>
        </w:tc>
        <w:tc>
          <w:tcPr>
            <w:tcW w:w="1537" w:type="dxa"/>
            <w:tcBorders>
              <w:top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1" w:hRule="atLeast"/>
          <w:jc w:val="center"/>
        </w:trPr>
        <w:tc>
          <w:tcPr>
            <w:tcW w:w="8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2.2</w:t>
            </w:r>
          </w:p>
        </w:tc>
        <w:tc>
          <w:tcPr>
            <w:tcW w:w="60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1002" w:type="dxa"/>
            <w:gridSpan w:val="2"/>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水泥混凝土路面</w:t>
            </w:r>
          </w:p>
        </w:tc>
        <w:tc>
          <w:tcPr>
            <w:tcW w:w="42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r>
              <w:rPr>
                <w:rFonts w:hint="eastAsia" w:ascii="宋体" w:hAnsi="宋体" w:cs="宋体"/>
                <w:b/>
                <w:bCs/>
                <w:color w:val="auto"/>
                <w:sz w:val="22"/>
                <w:szCs w:val="22"/>
                <w:highlight w:val="none"/>
              </w:rPr>
              <w:t>日常保养。</w:t>
            </w:r>
            <w:r>
              <w:rPr>
                <w:rFonts w:hint="eastAsia" w:ascii="宋体" w:hAnsi="宋体" w:cs="宋体"/>
                <w:color w:val="auto"/>
                <w:sz w:val="22"/>
                <w:szCs w:val="22"/>
                <w:highlight w:val="none"/>
              </w:rPr>
              <w:t>工作内容包含：及时清除水泥混凝土路面泥土、石块、砂砾等杂物，不得在路面上拌和砂浆或或凝土，及时清除水泥混凝土路面的化学制剂或油污污染；按照</w:t>
            </w:r>
            <w:r>
              <w:rPr>
                <w:rFonts w:hint="eastAsia" w:ascii="宋体" w:hAnsi="宋体" w:cs="宋体"/>
                <w:color w:val="auto"/>
                <w:sz w:val="22"/>
                <w:szCs w:val="22"/>
                <w:highlight w:val="none"/>
                <w:lang w:eastAsia="zh-CN"/>
              </w:rPr>
              <w:t>《城镇道路养护技术规范》</w:t>
            </w:r>
            <w:r>
              <w:rPr>
                <w:rFonts w:hint="eastAsia" w:ascii="宋体" w:hAnsi="宋体" w:cs="宋体"/>
                <w:color w:val="auto"/>
                <w:sz w:val="22"/>
                <w:szCs w:val="22"/>
                <w:highlight w:val="none"/>
              </w:rPr>
              <w:t>（CJJ36-2016）要求对接缝进行养护，及时清除接缝内杂物。</w:t>
            </w:r>
          </w:p>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r>
              <w:rPr>
                <w:rFonts w:hint="eastAsia" w:ascii="宋体" w:hAnsi="宋体" w:cs="宋体"/>
                <w:b/>
                <w:bCs/>
                <w:color w:val="auto"/>
                <w:sz w:val="22"/>
                <w:szCs w:val="22"/>
                <w:highlight w:val="none"/>
              </w:rPr>
              <w:t>日常维修。</w:t>
            </w:r>
            <w:r>
              <w:rPr>
                <w:rFonts w:hint="eastAsia" w:ascii="宋体" w:hAnsi="宋体" w:cs="宋体"/>
                <w:color w:val="auto"/>
                <w:sz w:val="22"/>
                <w:szCs w:val="22"/>
                <w:highlight w:val="none"/>
              </w:rPr>
              <w:t>破损路面零星维修。工作内容包含：裂缝处置，凿除、清扫，混凝土拌和、铺筑、振捣、抹光、养生、清理，旧料外运。</w:t>
            </w:r>
          </w:p>
        </w:tc>
        <w:tc>
          <w:tcPr>
            <w:tcW w:w="104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宋体" w:hAnsi="宋体" w:cs="宋体"/>
                <w:color w:val="auto"/>
                <w:sz w:val="22"/>
                <w:szCs w:val="22"/>
                <w:highlight w:val="none"/>
                <w:lang w:val="en"/>
              </w:rPr>
            </w:pPr>
            <w:r>
              <w:rPr>
                <w:rFonts w:hint="default" w:ascii="宋体" w:hAnsi="宋体" w:cs="宋体"/>
                <w:color w:val="auto"/>
                <w:sz w:val="22"/>
                <w:szCs w:val="22"/>
                <w:highlight w:val="none"/>
                <w:lang w:val="en"/>
              </w:rPr>
              <w:t>18393</w:t>
            </w:r>
          </w:p>
        </w:tc>
        <w:tc>
          <w:tcPr>
            <w:tcW w:w="78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w:t>
            </w:r>
          </w:p>
        </w:tc>
        <w:tc>
          <w:tcPr>
            <w:tcW w:w="153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09" w:hRule="atLeast"/>
          <w:jc w:val="center"/>
        </w:trPr>
        <w:tc>
          <w:tcPr>
            <w:tcW w:w="8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2.3</w:t>
            </w:r>
          </w:p>
        </w:tc>
        <w:tc>
          <w:tcPr>
            <w:tcW w:w="600" w:type="dxa"/>
            <w:vMerge w:val="restart"/>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人行道</w:t>
            </w:r>
          </w:p>
        </w:tc>
        <w:tc>
          <w:tcPr>
            <w:tcW w:w="1002" w:type="dxa"/>
            <w:gridSpan w:val="2"/>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普通预制水泥混凝土人行道砖</w:t>
            </w:r>
          </w:p>
        </w:tc>
        <w:tc>
          <w:tcPr>
            <w:tcW w:w="42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b/>
                <w:bCs/>
                <w:color w:val="auto"/>
                <w:sz w:val="22"/>
                <w:szCs w:val="22"/>
                <w:highlight w:val="none"/>
              </w:rPr>
              <w:t>日常维修。</w:t>
            </w:r>
            <w:r>
              <w:rPr>
                <w:rFonts w:hint="eastAsia" w:ascii="宋体" w:hAnsi="宋体" w:cs="宋体"/>
                <w:color w:val="auto"/>
                <w:sz w:val="22"/>
                <w:szCs w:val="22"/>
                <w:highlight w:val="none"/>
              </w:rPr>
              <w:t>破损人行道零星维修（6cm人行道砖+10cm基础处理）。工作内容包含：翻挖、清理、放线、运料、铺垫层及人行道板、扫缝、清理，水泥混凝土基础翻修，旧料外运。</w:t>
            </w:r>
          </w:p>
        </w:tc>
        <w:tc>
          <w:tcPr>
            <w:tcW w:w="104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2"/>
                <w:sz w:val="22"/>
                <w:szCs w:val="22"/>
                <w:highlight w:val="none"/>
                <w:lang w:val="en" w:eastAsia="zh-CN" w:bidi="ar-SA"/>
              </w:rPr>
            </w:pPr>
            <w:r>
              <w:rPr>
                <w:rFonts w:hint="eastAsia" w:ascii="宋体" w:hAnsi="宋体" w:cs="宋体"/>
                <w:color w:val="auto"/>
                <w:sz w:val="22"/>
                <w:szCs w:val="22"/>
                <w:highlight w:val="none"/>
              </w:rPr>
              <w:t>4620</w:t>
            </w:r>
          </w:p>
        </w:tc>
        <w:tc>
          <w:tcPr>
            <w:tcW w:w="7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w:t>
            </w:r>
          </w:p>
        </w:tc>
        <w:tc>
          <w:tcPr>
            <w:tcW w:w="153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29" w:hRule="atLeast"/>
          <w:jc w:val="center"/>
        </w:trPr>
        <w:tc>
          <w:tcPr>
            <w:tcW w:w="8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2.4</w:t>
            </w:r>
          </w:p>
        </w:tc>
        <w:tc>
          <w:tcPr>
            <w:tcW w:w="60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1002" w:type="dxa"/>
            <w:gridSpan w:val="2"/>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花岗岩人行道</w:t>
            </w:r>
          </w:p>
        </w:tc>
        <w:tc>
          <w:tcPr>
            <w:tcW w:w="42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b/>
                <w:bCs/>
                <w:color w:val="auto"/>
                <w:sz w:val="22"/>
                <w:szCs w:val="22"/>
                <w:highlight w:val="none"/>
              </w:rPr>
              <w:t>日常维修。</w:t>
            </w:r>
            <w:r>
              <w:rPr>
                <w:rFonts w:hint="eastAsia" w:ascii="宋体" w:hAnsi="宋体" w:cs="宋体"/>
                <w:color w:val="auto"/>
                <w:sz w:val="22"/>
                <w:szCs w:val="22"/>
                <w:highlight w:val="none"/>
              </w:rPr>
              <w:t>破损人行道零星维修（6cm桃花红花岗岩板+10cm基础处理）。工作内容包含：翻挖、清理、放线、运料、铺垫层及人行道板、扫缝、清理，水泥混凝土基础翻修，旧料外运。</w:t>
            </w:r>
          </w:p>
        </w:tc>
        <w:tc>
          <w:tcPr>
            <w:tcW w:w="104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4886</w:t>
            </w:r>
          </w:p>
        </w:tc>
        <w:tc>
          <w:tcPr>
            <w:tcW w:w="7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w:t>
            </w:r>
          </w:p>
        </w:tc>
        <w:tc>
          <w:tcPr>
            <w:tcW w:w="153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9" w:hRule="atLeast"/>
          <w:jc w:val="center"/>
        </w:trPr>
        <w:tc>
          <w:tcPr>
            <w:tcW w:w="8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2.5</w:t>
            </w:r>
          </w:p>
        </w:tc>
        <w:tc>
          <w:tcPr>
            <w:tcW w:w="60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1002" w:type="dxa"/>
            <w:gridSpan w:val="2"/>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花岗岩平石</w:t>
            </w:r>
          </w:p>
        </w:tc>
        <w:tc>
          <w:tcPr>
            <w:tcW w:w="42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b/>
                <w:bCs/>
                <w:color w:val="auto"/>
                <w:sz w:val="22"/>
                <w:szCs w:val="22"/>
                <w:highlight w:val="none"/>
              </w:rPr>
              <w:t>日常维修。</w:t>
            </w:r>
            <w:r>
              <w:rPr>
                <w:rFonts w:hint="eastAsia" w:ascii="宋体" w:hAnsi="宋体" w:cs="宋体"/>
                <w:color w:val="auto"/>
                <w:sz w:val="22"/>
                <w:szCs w:val="22"/>
                <w:highlight w:val="none"/>
              </w:rPr>
              <w:t>翻修或校正破损的平石（12*30*100cm桃花红花岗岩）。工作内容包含：翻挖、整理、夯实垫层、铺砌，灌扫缝、清理，旧料外运。</w:t>
            </w:r>
          </w:p>
        </w:tc>
        <w:tc>
          <w:tcPr>
            <w:tcW w:w="104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3252</w:t>
            </w:r>
          </w:p>
        </w:tc>
        <w:tc>
          <w:tcPr>
            <w:tcW w:w="7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m</w:t>
            </w:r>
          </w:p>
        </w:tc>
        <w:tc>
          <w:tcPr>
            <w:tcW w:w="153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34" w:hRule="atLeast"/>
          <w:jc w:val="center"/>
        </w:trPr>
        <w:tc>
          <w:tcPr>
            <w:tcW w:w="8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2.6</w:t>
            </w:r>
          </w:p>
        </w:tc>
        <w:tc>
          <w:tcPr>
            <w:tcW w:w="60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1002" w:type="dxa"/>
            <w:gridSpan w:val="2"/>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花岗岩侧石</w:t>
            </w:r>
          </w:p>
        </w:tc>
        <w:tc>
          <w:tcPr>
            <w:tcW w:w="42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b/>
                <w:bCs/>
                <w:color w:val="auto"/>
                <w:sz w:val="22"/>
                <w:szCs w:val="22"/>
                <w:highlight w:val="none"/>
              </w:rPr>
              <w:t>日常维修。</w:t>
            </w:r>
            <w:r>
              <w:rPr>
                <w:rFonts w:hint="eastAsia" w:ascii="宋体" w:hAnsi="宋体" w:cs="宋体"/>
                <w:color w:val="auto"/>
                <w:sz w:val="22"/>
                <w:szCs w:val="22"/>
                <w:highlight w:val="none"/>
              </w:rPr>
              <w:t>翻修或校正破损的侧石（30*20*100cm桃花红花岗岩）。工作内容包含：翻挖、整理、夯实垫层、铺砌，灌扫缝、清理，旧料外运。</w:t>
            </w:r>
          </w:p>
        </w:tc>
        <w:tc>
          <w:tcPr>
            <w:tcW w:w="104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3252</w:t>
            </w:r>
          </w:p>
        </w:tc>
        <w:tc>
          <w:tcPr>
            <w:tcW w:w="7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m</w:t>
            </w:r>
          </w:p>
        </w:tc>
        <w:tc>
          <w:tcPr>
            <w:tcW w:w="153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8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color w:val="auto"/>
                <w:sz w:val="22"/>
                <w:szCs w:val="22"/>
                <w:highlight w:val="none"/>
              </w:rPr>
            </w:pPr>
            <w:r>
              <w:rPr>
                <w:rFonts w:hint="eastAsia" w:ascii="宋体" w:hAnsi="宋体" w:cs="宋体"/>
                <w:b/>
                <w:color w:val="auto"/>
                <w:sz w:val="22"/>
                <w:szCs w:val="22"/>
                <w:highlight w:val="none"/>
              </w:rPr>
              <w:t>二</w:t>
            </w:r>
          </w:p>
        </w:tc>
        <w:tc>
          <w:tcPr>
            <w:tcW w:w="9182" w:type="dxa"/>
            <w:gridSpan w:val="7"/>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ind w:firstLine="221" w:firstLineChars="100"/>
              <w:jc w:val="left"/>
              <w:textAlignment w:val="auto"/>
              <w:rPr>
                <w:rFonts w:hint="eastAsia" w:ascii="宋体" w:hAnsi="宋体" w:cs="宋体"/>
                <w:color w:val="auto"/>
                <w:sz w:val="22"/>
                <w:szCs w:val="22"/>
                <w:highlight w:val="none"/>
              </w:rPr>
            </w:pPr>
            <w:r>
              <w:rPr>
                <w:rFonts w:hint="eastAsia" w:ascii="宋体" w:hAnsi="宋体" w:cs="宋体"/>
                <w:b/>
                <w:color w:val="auto"/>
                <w:sz w:val="22"/>
                <w:szCs w:val="22"/>
                <w:highlight w:val="none"/>
              </w:rPr>
              <w:t>桥梁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4" w:hRule="atLeast"/>
          <w:jc w:val="center"/>
        </w:trPr>
        <w:tc>
          <w:tcPr>
            <w:tcW w:w="8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color w:val="auto"/>
                <w:sz w:val="22"/>
                <w:szCs w:val="22"/>
                <w:highlight w:val="none"/>
              </w:rPr>
            </w:pPr>
            <w:r>
              <w:rPr>
                <w:rFonts w:hint="eastAsia" w:ascii="宋体" w:hAnsi="宋体" w:cs="宋体"/>
                <w:b/>
                <w:color w:val="auto"/>
                <w:sz w:val="22"/>
                <w:szCs w:val="22"/>
                <w:highlight w:val="none"/>
              </w:rPr>
              <w:t>1</w:t>
            </w:r>
          </w:p>
        </w:tc>
        <w:tc>
          <w:tcPr>
            <w:tcW w:w="9182" w:type="dxa"/>
            <w:gridSpan w:val="7"/>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宋体" w:hAnsi="宋体" w:cs="宋体"/>
                <w:color w:val="auto"/>
                <w:sz w:val="22"/>
                <w:szCs w:val="22"/>
                <w:highlight w:val="none"/>
              </w:rPr>
            </w:pPr>
            <w:r>
              <w:rPr>
                <w:rFonts w:hint="eastAsia" w:ascii="宋体" w:hAnsi="宋体" w:cs="宋体"/>
                <w:b/>
                <w:color w:val="auto"/>
                <w:sz w:val="22"/>
                <w:szCs w:val="22"/>
                <w:highlight w:val="none"/>
              </w:rPr>
              <w:t>巡视检查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6" w:hRule="atLeast"/>
          <w:jc w:val="center"/>
        </w:trPr>
        <w:tc>
          <w:tcPr>
            <w:tcW w:w="8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1.1</w:t>
            </w:r>
          </w:p>
        </w:tc>
        <w:tc>
          <w:tcPr>
            <w:tcW w:w="1602" w:type="dxa"/>
            <w:gridSpan w:val="3"/>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日常巡查</w:t>
            </w:r>
          </w:p>
        </w:tc>
        <w:tc>
          <w:tcPr>
            <w:tcW w:w="42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1.根据</w:t>
            </w:r>
            <w:r>
              <w:rPr>
                <w:rFonts w:hint="eastAsia" w:ascii="宋体" w:hAnsi="宋体" w:cs="宋体"/>
                <w:color w:val="auto"/>
                <w:sz w:val="22"/>
                <w:szCs w:val="22"/>
                <w:highlight w:val="none"/>
                <w:lang w:eastAsia="zh-CN"/>
              </w:rPr>
              <w:t>《城市桥梁养护技术规范》</w:t>
            </w:r>
            <w:r>
              <w:rPr>
                <w:rFonts w:hint="eastAsia" w:ascii="宋体" w:hAnsi="宋体" w:cs="宋体"/>
                <w:color w:val="auto"/>
                <w:sz w:val="22"/>
                <w:szCs w:val="22"/>
                <w:highlight w:val="none"/>
              </w:rPr>
              <w:t>（CJJ99-2017）要求对巡查范围内的桥梁设施实施一日一巡，水中桩基实行一周一巡，特殊情况需加密巡查频率。</w:t>
            </w:r>
          </w:p>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由经过培训的专职桥梁管理人员按照规范要求，以目测为主的方式对对结构变异、桥梁及桥梁安全保护区域施工作业情况和桥面系、限载标志、限高标志、交通标志及其他附属设施完好情况等进行检查，并做好相应记录，清理设施零星障碍物。日常巡查记录应定期整理归档，并提出处理意见。</w:t>
            </w:r>
          </w:p>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3.巡查过程中，对发现设施明显损坏或影响车辆和行人安全的情况，应及时采取相应措施，并及时向管理单位报告。</w:t>
            </w:r>
          </w:p>
        </w:tc>
        <w:tc>
          <w:tcPr>
            <w:tcW w:w="104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7356.7</w:t>
            </w:r>
          </w:p>
        </w:tc>
        <w:tc>
          <w:tcPr>
            <w:tcW w:w="78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m/次</w:t>
            </w:r>
          </w:p>
        </w:tc>
        <w:tc>
          <w:tcPr>
            <w:tcW w:w="153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巡查频率：一日一次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49" w:hRule="atLeast"/>
          <w:jc w:val="center"/>
        </w:trPr>
        <w:tc>
          <w:tcPr>
            <w:tcW w:w="8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1.2</w:t>
            </w:r>
          </w:p>
        </w:tc>
        <w:tc>
          <w:tcPr>
            <w:tcW w:w="1602" w:type="dxa"/>
            <w:gridSpan w:val="3"/>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常规定期检测</w:t>
            </w:r>
          </w:p>
        </w:tc>
        <w:tc>
          <w:tcPr>
            <w:tcW w:w="42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根据</w:t>
            </w:r>
            <w:r>
              <w:rPr>
                <w:rFonts w:hint="eastAsia" w:ascii="宋体" w:hAnsi="宋体" w:cs="宋体"/>
                <w:b w:val="0"/>
                <w:bCs w:val="0"/>
                <w:color w:val="auto"/>
                <w:sz w:val="22"/>
                <w:szCs w:val="22"/>
                <w:highlight w:val="none"/>
                <w:lang w:eastAsia="zh-CN"/>
              </w:rPr>
              <w:t>《城镇道路养护技术规范》</w:t>
            </w:r>
            <w:r>
              <w:rPr>
                <w:rFonts w:hint="eastAsia" w:ascii="宋体" w:hAnsi="宋体" w:cs="宋体"/>
                <w:b w:val="0"/>
                <w:bCs w:val="0"/>
                <w:color w:val="auto"/>
                <w:sz w:val="22"/>
                <w:szCs w:val="22"/>
                <w:highlight w:val="none"/>
              </w:rPr>
              <w:t>（CJJ</w:t>
            </w:r>
            <w:r>
              <w:rPr>
                <w:rFonts w:hint="eastAsia" w:ascii="宋体" w:hAnsi="宋体" w:cs="宋体"/>
                <w:b w:val="0"/>
                <w:bCs w:val="0"/>
                <w:color w:val="auto"/>
                <w:sz w:val="22"/>
                <w:szCs w:val="22"/>
                <w:highlight w:val="none"/>
                <w:lang w:eastAsia="zh-CN"/>
              </w:rPr>
              <w:t>3</w:t>
            </w:r>
            <w:r>
              <w:rPr>
                <w:rFonts w:hint="eastAsia" w:ascii="宋体" w:hAnsi="宋体" w:cs="宋体"/>
                <w:b w:val="0"/>
                <w:bCs w:val="0"/>
                <w:color w:val="auto"/>
                <w:sz w:val="22"/>
                <w:szCs w:val="22"/>
                <w:highlight w:val="none"/>
                <w:lang w:val="en-US" w:eastAsia="zh-CN"/>
              </w:rPr>
              <w:t>6</w:t>
            </w:r>
            <w:r>
              <w:rPr>
                <w:rFonts w:hint="eastAsia" w:ascii="宋体" w:hAnsi="宋体" w:cs="宋体"/>
                <w:b w:val="0"/>
                <w:bCs w:val="0"/>
                <w:color w:val="auto"/>
                <w:sz w:val="22"/>
                <w:szCs w:val="22"/>
                <w:highlight w:val="none"/>
              </w:rPr>
              <w:t>-201</w:t>
            </w:r>
            <w:r>
              <w:rPr>
                <w:rFonts w:hint="eastAsia" w:ascii="宋体" w:hAnsi="宋体" w:cs="宋体"/>
                <w:b w:val="0"/>
                <w:bCs w:val="0"/>
                <w:color w:val="auto"/>
                <w:sz w:val="22"/>
                <w:szCs w:val="22"/>
                <w:highlight w:val="none"/>
                <w:lang w:eastAsia="zh-CN"/>
              </w:rPr>
              <w:t>6</w:t>
            </w:r>
            <w:r>
              <w:rPr>
                <w:rFonts w:hint="eastAsia" w:ascii="宋体" w:hAnsi="宋体" w:cs="宋体"/>
                <w:b w:val="0"/>
                <w:bCs w:val="0"/>
                <w:color w:val="auto"/>
                <w:sz w:val="22"/>
                <w:szCs w:val="22"/>
                <w:highlight w:val="none"/>
              </w:rPr>
              <w:t>）</w:t>
            </w:r>
            <w:r>
              <w:rPr>
                <w:rFonts w:hint="eastAsia" w:ascii="宋体" w:hAnsi="宋体" w:cs="宋体"/>
                <w:b w:val="0"/>
                <w:bCs w:val="0"/>
                <w:color w:val="auto"/>
                <w:sz w:val="22"/>
                <w:szCs w:val="22"/>
                <w:highlight w:val="none"/>
                <w:lang w:eastAsia="zh-CN"/>
              </w:rPr>
              <w:t>、《城市桥梁养护技术规范》</w:t>
            </w:r>
            <w:r>
              <w:rPr>
                <w:rFonts w:hint="eastAsia" w:ascii="宋体" w:hAnsi="宋体" w:cs="宋体"/>
                <w:b w:val="0"/>
                <w:bCs w:val="0"/>
                <w:color w:val="auto"/>
                <w:sz w:val="22"/>
                <w:szCs w:val="22"/>
                <w:highlight w:val="none"/>
              </w:rPr>
              <w:t>（CJJ99-2017）要求对维养范围内的桥梁进行一年一次常规检测</w:t>
            </w:r>
            <w:r>
              <w:rPr>
                <w:rFonts w:hint="eastAsia" w:ascii="宋体" w:hAnsi="宋体" w:cs="宋体"/>
                <w:b w:val="0"/>
                <w:bCs w:val="0"/>
                <w:color w:val="auto"/>
                <w:sz w:val="22"/>
                <w:szCs w:val="22"/>
                <w:highlight w:val="none"/>
                <w:lang w:eastAsia="zh-CN"/>
              </w:rPr>
              <w:t>，</w:t>
            </w:r>
            <w:r>
              <w:rPr>
                <w:rFonts w:hint="eastAsia" w:ascii="宋体" w:hAnsi="宋体" w:cs="宋体"/>
                <w:b w:val="0"/>
                <w:bCs w:val="0"/>
                <w:color w:val="auto"/>
                <w:sz w:val="22"/>
                <w:szCs w:val="22"/>
                <w:highlight w:val="none"/>
              </w:rPr>
              <w:t>并出具检测报告。</w:t>
            </w:r>
          </w:p>
        </w:tc>
        <w:tc>
          <w:tcPr>
            <w:tcW w:w="104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1</w:t>
            </w:r>
          </w:p>
        </w:tc>
        <w:tc>
          <w:tcPr>
            <w:tcW w:w="78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项</w:t>
            </w:r>
          </w:p>
        </w:tc>
        <w:tc>
          <w:tcPr>
            <w:tcW w:w="153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8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color w:val="auto"/>
                <w:sz w:val="22"/>
                <w:szCs w:val="22"/>
                <w:highlight w:val="none"/>
              </w:rPr>
            </w:pPr>
            <w:r>
              <w:rPr>
                <w:rFonts w:hint="eastAsia" w:ascii="宋体" w:hAnsi="宋体" w:cs="宋体"/>
                <w:b/>
                <w:color w:val="auto"/>
                <w:sz w:val="22"/>
                <w:szCs w:val="22"/>
                <w:highlight w:val="none"/>
              </w:rPr>
              <w:t>2</w:t>
            </w:r>
          </w:p>
        </w:tc>
        <w:tc>
          <w:tcPr>
            <w:tcW w:w="9182" w:type="dxa"/>
            <w:gridSpan w:val="7"/>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宋体" w:hAnsi="宋体" w:cs="宋体"/>
                <w:color w:val="auto"/>
                <w:sz w:val="22"/>
                <w:szCs w:val="22"/>
                <w:highlight w:val="none"/>
              </w:rPr>
            </w:pPr>
            <w:r>
              <w:rPr>
                <w:rFonts w:hint="eastAsia" w:ascii="宋体" w:hAnsi="宋体" w:cs="宋体"/>
                <w:b/>
                <w:color w:val="auto"/>
                <w:sz w:val="22"/>
                <w:szCs w:val="22"/>
                <w:highlight w:val="none"/>
              </w:rPr>
              <w:t>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8" w:hRule="atLeast"/>
          <w:jc w:val="center"/>
        </w:trPr>
        <w:tc>
          <w:tcPr>
            <w:tcW w:w="8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2.1</w:t>
            </w:r>
          </w:p>
        </w:tc>
        <w:tc>
          <w:tcPr>
            <w:tcW w:w="611" w:type="dxa"/>
            <w:gridSpan w:val="2"/>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车行道</w:t>
            </w:r>
          </w:p>
        </w:tc>
        <w:tc>
          <w:tcPr>
            <w:tcW w:w="99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水泥混凝土桥面</w:t>
            </w:r>
          </w:p>
        </w:tc>
        <w:tc>
          <w:tcPr>
            <w:tcW w:w="42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r>
              <w:rPr>
                <w:rFonts w:hint="eastAsia" w:ascii="宋体" w:hAnsi="宋体" w:cs="宋体"/>
                <w:b/>
                <w:bCs/>
                <w:color w:val="auto"/>
                <w:sz w:val="22"/>
                <w:szCs w:val="22"/>
                <w:highlight w:val="none"/>
              </w:rPr>
              <w:t>日常保养。</w:t>
            </w:r>
            <w:r>
              <w:rPr>
                <w:rFonts w:hint="eastAsia" w:ascii="宋体" w:hAnsi="宋体" w:cs="宋体"/>
                <w:color w:val="auto"/>
                <w:sz w:val="22"/>
                <w:szCs w:val="22"/>
                <w:highlight w:val="none"/>
              </w:rPr>
              <w:t>工作内容包含：及时清除水泥混凝土路面泥土、石块、砂砾等杂物，不得在路面上拌和砂浆或或凝土，及时清除水泥混凝土路面的化学制剂或油污污染。</w:t>
            </w:r>
          </w:p>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r>
              <w:rPr>
                <w:rFonts w:hint="eastAsia" w:ascii="宋体" w:hAnsi="宋体" w:cs="宋体"/>
                <w:b/>
                <w:bCs/>
                <w:color w:val="auto"/>
                <w:sz w:val="22"/>
                <w:szCs w:val="22"/>
                <w:highlight w:val="none"/>
              </w:rPr>
              <w:t>日常维修。</w:t>
            </w:r>
            <w:r>
              <w:rPr>
                <w:rFonts w:hint="eastAsia" w:ascii="宋体" w:hAnsi="宋体" w:cs="宋体"/>
                <w:color w:val="auto"/>
                <w:sz w:val="22"/>
                <w:szCs w:val="22"/>
                <w:highlight w:val="none"/>
              </w:rPr>
              <w:t>破损路面零星维修</w:t>
            </w:r>
            <w:r>
              <w:rPr>
                <w:rFonts w:hint="default" w:ascii="宋体" w:hAnsi="宋体" w:cs="宋体"/>
                <w:color w:val="auto"/>
                <w:sz w:val="22"/>
                <w:szCs w:val="22"/>
                <w:highlight w:val="none"/>
                <w:lang w:val="en"/>
              </w:rPr>
              <w:t>,</w:t>
            </w:r>
            <w:r>
              <w:rPr>
                <w:rFonts w:hint="eastAsia" w:ascii="宋体" w:hAnsi="宋体" w:cs="宋体"/>
                <w:color w:val="auto"/>
                <w:sz w:val="22"/>
                <w:szCs w:val="22"/>
                <w:highlight w:val="none"/>
                <w:lang w:val="en" w:eastAsia="zh-CN"/>
              </w:rPr>
              <w:t>破损铰缝维修</w:t>
            </w:r>
            <w:r>
              <w:rPr>
                <w:rFonts w:hint="eastAsia" w:ascii="宋体" w:hAnsi="宋体" w:cs="宋体"/>
                <w:color w:val="auto"/>
                <w:sz w:val="22"/>
                <w:szCs w:val="22"/>
                <w:highlight w:val="none"/>
              </w:rPr>
              <w:t>。工作内容包含：裂缝处置，钢筋制作、安装，</w:t>
            </w:r>
            <w:r>
              <w:rPr>
                <w:rFonts w:hint="eastAsia" w:ascii="宋体" w:hAnsi="宋体" w:cs="宋体"/>
                <w:color w:val="auto"/>
                <w:sz w:val="22"/>
                <w:szCs w:val="22"/>
                <w:highlight w:val="none"/>
                <w:lang w:eastAsia="zh-CN"/>
              </w:rPr>
              <w:t>植筋、</w:t>
            </w:r>
            <w:r>
              <w:rPr>
                <w:rFonts w:hint="eastAsia" w:ascii="宋体" w:hAnsi="宋体" w:cs="宋体"/>
                <w:color w:val="auto"/>
                <w:sz w:val="22"/>
                <w:szCs w:val="22"/>
                <w:highlight w:val="none"/>
              </w:rPr>
              <w:t>凿除破损部分、整理清洗、拌制混凝土、铺筑、养生、清理，旧料外运。</w:t>
            </w:r>
          </w:p>
        </w:tc>
        <w:tc>
          <w:tcPr>
            <w:tcW w:w="104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宋体" w:hAnsi="宋体" w:cs="宋体"/>
                <w:color w:val="auto"/>
                <w:sz w:val="22"/>
                <w:szCs w:val="22"/>
                <w:highlight w:val="none"/>
                <w:lang w:val="en"/>
              </w:rPr>
            </w:pPr>
            <w:r>
              <w:rPr>
                <w:rFonts w:hint="default" w:ascii="宋体" w:hAnsi="宋体" w:cs="宋体"/>
                <w:color w:val="auto"/>
                <w:sz w:val="22"/>
                <w:szCs w:val="22"/>
                <w:highlight w:val="none"/>
                <w:lang w:val="en"/>
              </w:rPr>
              <w:t>64824</w:t>
            </w:r>
          </w:p>
        </w:tc>
        <w:tc>
          <w:tcPr>
            <w:tcW w:w="78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w:t>
            </w:r>
          </w:p>
        </w:tc>
        <w:tc>
          <w:tcPr>
            <w:tcW w:w="153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宋体" w:hAnsi="宋体" w:cs="宋体"/>
                <w:color w:val="auto"/>
                <w:sz w:val="22"/>
                <w:szCs w:val="22"/>
                <w:highlight w:val="none"/>
                <w:lang w:val="en"/>
              </w:rPr>
            </w:pPr>
            <w:r>
              <w:rPr>
                <w:rFonts w:hint="default" w:ascii="宋体" w:hAnsi="宋体" w:cs="宋体"/>
                <w:color w:val="auto"/>
                <w:sz w:val="22"/>
                <w:szCs w:val="22"/>
                <w:highlight w:val="none"/>
                <w:lang w:val="e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26" w:hRule="atLeast"/>
          <w:jc w:val="center"/>
        </w:trPr>
        <w:tc>
          <w:tcPr>
            <w:tcW w:w="8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2.2</w:t>
            </w:r>
          </w:p>
        </w:tc>
        <w:tc>
          <w:tcPr>
            <w:tcW w:w="611" w:type="dxa"/>
            <w:gridSpan w:val="2"/>
            <w:vMerge w:val="restart"/>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栏杆</w:t>
            </w:r>
          </w:p>
        </w:tc>
        <w:tc>
          <w:tcPr>
            <w:tcW w:w="99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钢筋混凝土栏杆</w:t>
            </w:r>
          </w:p>
        </w:tc>
        <w:tc>
          <w:tcPr>
            <w:tcW w:w="42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default" w:ascii="宋体" w:hAnsi="宋体" w:eastAsia="宋体" w:cs="宋体"/>
                <w:color w:val="auto"/>
                <w:sz w:val="22"/>
                <w:szCs w:val="22"/>
                <w:highlight w:val="none"/>
                <w:lang w:val="en-US" w:eastAsia="zh-CN"/>
              </w:rPr>
            </w:pPr>
            <w:r>
              <w:rPr>
                <w:rFonts w:hint="eastAsia" w:ascii="宋体" w:hAnsi="宋体" w:cs="宋体"/>
                <w:b/>
                <w:bCs/>
                <w:color w:val="auto"/>
                <w:sz w:val="22"/>
                <w:szCs w:val="22"/>
                <w:highlight w:val="none"/>
              </w:rPr>
              <w:t>日常保养、维修。</w:t>
            </w:r>
            <w:r>
              <w:rPr>
                <w:rFonts w:hint="eastAsia" w:ascii="宋体" w:hAnsi="宋体" w:cs="宋体"/>
                <w:color w:val="auto"/>
                <w:sz w:val="22"/>
                <w:szCs w:val="22"/>
                <w:highlight w:val="none"/>
              </w:rPr>
              <w:t>工作内容包含：表面露筋除锈处理，表面裂缝封闭，涂料破损修补</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含挡板修复</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合同期始</w:t>
            </w:r>
            <w:r>
              <w:rPr>
                <w:rFonts w:hint="eastAsia" w:ascii="宋体" w:hAnsi="宋体" w:cs="宋体"/>
                <w:color w:val="auto"/>
                <w:sz w:val="22"/>
                <w:szCs w:val="22"/>
                <w:highlight w:val="none"/>
                <w:lang w:val="en-US" w:eastAsia="zh-CN"/>
              </w:rPr>
              <w:t>3个月内，对护栏进行重新油漆，并维护3年。</w:t>
            </w:r>
          </w:p>
        </w:tc>
        <w:tc>
          <w:tcPr>
            <w:tcW w:w="104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9719.3</w:t>
            </w:r>
          </w:p>
        </w:tc>
        <w:tc>
          <w:tcPr>
            <w:tcW w:w="78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m</w:t>
            </w:r>
          </w:p>
        </w:tc>
        <w:tc>
          <w:tcPr>
            <w:tcW w:w="15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宋体" w:hAnsi="宋体" w:eastAsia="宋体" w:cs="宋体"/>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7" w:hRule="atLeast"/>
          <w:jc w:val="center"/>
        </w:trPr>
        <w:tc>
          <w:tcPr>
            <w:tcW w:w="8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2.3</w:t>
            </w:r>
          </w:p>
        </w:tc>
        <w:tc>
          <w:tcPr>
            <w:tcW w:w="611" w:type="dxa"/>
            <w:gridSpan w:val="2"/>
            <w:vMerge w:val="continue"/>
            <w:tcBorders>
              <w:left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99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防撞护栏钢管扶手</w:t>
            </w:r>
          </w:p>
        </w:tc>
        <w:tc>
          <w:tcPr>
            <w:tcW w:w="42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r>
              <w:rPr>
                <w:rFonts w:hint="eastAsia" w:ascii="宋体" w:hAnsi="宋体" w:cs="宋体"/>
                <w:b/>
                <w:bCs/>
                <w:color w:val="auto"/>
                <w:sz w:val="22"/>
                <w:szCs w:val="22"/>
                <w:highlight w:val="none"/>
              </w:rPr>
              <w:t>日常保养、维修。</w:t>
            </w:r>
            <w:r>
              <w:rPr>
                <w:rFonts w:hint="eastAsia" w:ascii="宋体" w:hAnsi="宋体" w:cs="宋体"/>
                <w:color w:val="auto"/>
                <w:sz w:val="22"/>
                <w:szCs w:val="22"/>
                <w:highlight w:val="none"/>
              </w:rPr>
              <w:t>工作内容包含：表面除锈处理，涂料破损修补，破损钢管扶手校正。</w:t>
            </w:r>
            <w:r>
              <w:rPr>
                <w:rFonts w:hint="eastAsia" w:ascii="宋体" w:hAnsi="宋体" w:cs="宋体"/>
                <w:color w:val="auto"/>
                <w:sz w:val="22"/>
                <w:szCs w:val="22"/>
                <w:highlight w:val="none"/>
                <w:lang w:eastAsia="zh-CN"/>
              </w:rPr>
              <w:t>合同期始</w:t>
            </w:r>
            <w:r>
              <w:rPr>
                <w:rFonts w:hint="eastAsia" w:ascii="宋体" w:hAnsi="宋体" w:cs="宋体"/>
                <w:color w:val="auto"/>
                <w:sz w:val="22"/>
                <w:szCs w:val="22"/>
                <w:highlight w:val="none"/>
                <w:lang w:val="en-US" w:eastAsia="zh-CN"/>
              </w:rPr>
              <w:t>3个月内，对护栏进行重新油漆，并维护3年。</w:t>
            </w:r>
          </w:p>
        </w:tc>
        <w:tc>
          <w:tcPr>
            <w:tcW w:w="104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9372.7</w:t>
            </w:r>
          </w:p>
        </w:tc>
        <w:tc>
          <w:tcPr>
            <w:tcW w:w="78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m</w:t>
            </w:r>
          </w:p>
        </w:tc>
        <w:tc>
          <w:tcPr>
            <w:tcW w:w="15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57" w:hRule="atLeast"/>
          <w:jc w:val="center"/>
        </w:trPr>
        <w:tc>
          <w:tcPr>
            <w:tcW w:w="8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2.4</w:t>
            </w:r>
          </w:p>
        </w:tc>
        <w:tc>
          <w:tcPr>
            <w:tcW w:w="611" w:type="dxa"/>
            <w:gridSpan w:val="2"/>
            <w:vMerge w:val="restart"/>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伸缩缝</w:t>
            </w:r>
          </w:p>
        </w:tc>
        <w:tc>
          <w:tcPr>
            <w:tcW w:w="99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型钢</w:t>
            </w:r>
            <w:r>
              <w:rPr>
                <w:rFonts w:hint="eastAsia" w:ascii="宋体" w:hAnsi="宋体" w:cs="宋体"/>
                <w:color w:val="auto"/>
                <w:sz w:val="22"/>
                <w:szCs w:val="22"/>
                <w:highlight w:val="none"/>
              </w:rPr>
              <w:t>伸缩缝</w:t>
            </w:r>
          </w:p>
        </w:tc>
        <w:tc>
          <w:tcPr>
            <w:tcW w:w="42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r>
              <w:rPr>
                <w:rFonts w:hint="eastAsia" w:ascii="宋体" w:hAnsi="宋体" w:cs="宋体"/>
                <w:b/>
                <w:bCs/>
                <w:color w:val="auto"/>
                <w:sz w:val="22"/>
                <w:szCs w:val="22"/>
                <w:highlight w:val="none"/>
              </w:rPr>
              <w:t>日常保养。</w:t>
            </w:r>
            <w:r>
              <w:rPr>
                <w:rFonts w:hint="eastAsia" w:ascii="宋体" w:hAnsi="宋体" w:cs="宋体"/>
                <w:color w:val="auto"/>
                <w:sz w:val="22"/>
                <w:szCs w:val="22"/>
                <w:highlight w:val="none"/>
              </w:rPr>
              <w:t>工作内容包含：每月进行一次清缝</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保养</w:t>
            </w:r>
            <w:r>
              <w:rPr>
                <w:rFonts w:hint="eastAsia" w:ascii="宋体" w:hAnsi="宋体" w:cs="宋体"/>
                <w:color w:val="auto"/>
                <w:sz w:val="22"/>
                <w:szCs w:val="22"/>
                <w:highlight w:val="none"/>
              </w:rPr>
              <w:t>工作；</w:t>
            </w:r>
          </w:p>
        </w:tc>
        <w:tc>
          <w:tcPr>
            <w:tcW w:w="104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1268.75</w:t>
            </w:r>
          </w:p>
        </w:tc>
        <w:tc>
          <w:tcPr>
            <w:tcW w:w="78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m</w:t>
            </w:r>
          </w:p>
        </w:tc>
        <w:tc>
          <w:tcPr>
            <w:tcW w:w="153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29" w:hRule="atLeast"/>
          <w:jc w:val="center"/>
        </w:trPr>
        <w:tc>
          <w:tcPr>
            <w:tcW w:w="8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2.6</w:t>
            </w:r>
          </w:p>
        </w:tc>
        <w:tc>
          <w:tcPr>
            <w:tcW w:w="611" w:type="dxa"/>
            <w:gridSpan w:val="2"/>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99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梳齿板伸缩缝日常保养</w:t>
            </w:r>
          </w:p>
        </w:tc>
        <w:tc>
          <w:tcPr>
            <w:tcW w:w="42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日常保养。</w:t>
            </w:r>
            <w:r>
              <w:rPr>
                <w:rFonts w:hint="eastAsia" w:ascii="宋体" w:hAnsi="宋体" w:cs="宋体"/>
                <w:color w:val="auto"/>
                <w:sz w:val="22"/>
                <w:szCs w:val="22"/>
                <w:highlight w:val="none"/>
              </w:rPr>
              <w:t>工作内容包含：每月进行一次清缝</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保养</w:t>
            </w:r>
            <w:r>
              <w:rPr>
                <w:rFonts w:hint="eastAsia" w:ascii="宋体" w:hAnsi="宋体" w:cs="宋体"/>
                <w:color w:val="auto"/>
                <w:sz w:val="22"/>
                <w:szCs w:val="22"/>
                <w:highlight w:val="none"/>
              </w:rPr>
              <w:t>工作；</w:t>
            </w:r>
          </w:p>
        </w:tc>
        <w:tc>
          <w:tcPr>
            <w:tcW w:w="104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42</w:t>
            </w:r>
          </w:p>
        </w:tc>
        <w:tc>
          <w:tcPr>
            <w:tcW w:w="78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m</w:t>
            </w:r>
          </w:p>
        </w:tc>
        <w:tc>
          <w:tcPr>
            <w:tcW w:w="153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3" w:hRule="atLeast"/>
          <w:jc w:val="center"/>
        </w:trPr>
        <w:tc>
          <w:tcPr>
            <w:tcW w:w="8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6</w:t>
            </w:r>
          </w:p>
        </w:tc>
        <w:tc>
          <w:tcPr>
            <w:tcW w:w="611" w:type="dxa"/>
            <w:gridSpan w:val="2"/>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99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型钢伸缩缝</w:t>
            </w:r>
          </w:p>
        </w:tc>
        <w:tc>
          <w:tcPr>
            <w:tcW w:w="42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r>
              <w:rPr>
                <w:rFonts w:hint="eastAsia" w:ascii="宋体" w:hAnsi="宋体" w:cs="宋体"/>
                <w:b/>
                <w:bCs/>
                <w:color w:val="auto"/>
                <w:sz w:val="22"/>
                <w:szCs w:val="22"/>
                <w:highlight w:val="none"/>
              </w:rPr>
              <w:t>日常维修。</w:t>
            </w:r>
            <w:r>
              <w:rPr>
                <w:rFonts w:hint="eastAsia" w:ascii="宋体" w:hAnsi="宋体" w:cs="宋体"/>
                <w:color w:val="auto"/>
                <w:sz w:val="22"/>
                <w:szCs w:val="22"/>
                <w:highlight w:val="none"/>
              </w:rPr>
              <w:t>工作内容包括：更换破损钢构件，快速混凝土修复混凝土保护带；更换破损鸟型止水带。</w:t>
            </w:r>
          </w:p>
        </w:tc>
        <w:tc>
          <w:tcPr>
            <w:tcW w:w="104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1268.75</w:t>
            </w:r>
          </w:p>
        </w:tc>
        <w:tc>
          <w:tcPr>
            <w:tcW w:w="78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m</w:t>
            </w:r>
          </w:p>
        </w:tc>
        <w:tc>
          <w:tcPr>
            <w:tcW w:w="153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3" w:hRule="atLeast"/>
          <w:jc w:val="center"/>
        </w:trPr>
        <w:tc>
          <w:tcPr>
            <w:tcW w:w="8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7</w:t>
            </w:r>
          </w:p>
        </w:tc>
        <w:tc>
          <w:tcPr>
            <w:tcW w:w="611" w:type="dxa"/>
            <w:gridSpan w:val="2"/>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99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梳齿板伸缩缝</w:t>
            </w:r>
          </w:p>
        </w:tc>
        <w:tc>
          <w:tcPr>
            <w:tcW w:w="42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r>
              <w:rPr>
                <w:rFonts w:hint="eastAsia" w:ascii="宋体" w:hAnsi="宋体" w:cs="宋体"/>
                <w:b/>
                <w:bCs/>
                <w:color w:val="auto"/>
                <w:sz w:val="22"/>
                <w:szCs w:val="22"/>
                <w:highlight w:val="none"/>
              </w:rPr>
              <w:t>日常维修。</w:t>
            </w:r>
            <w:r>
              <w:rPr>
                <w:rFonts w:hint="eastAsia" w:ascii="宋体" w:hAnsi="宋体" w:cs="宋体"/>
                <w:color w:val="auto"/>
                <w:sz w:val="22"/>
                <w:szCs w:val="22"/>
                <w:highlight w:val="none"/>
              </w:rPr>
              <w:t>工作内容包括：更换破损钢构件，快速混凝土修复混凝土保护带。</w:t>
            </w:r>
          </w:p>
        </w:tc>
        <w:tc>
          <w:tcPr>
            <w:tcW w:w="104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42</w:t>
            </w:r>
          </w:p>
        </w:tc>
        <w:tc>
          <w:tcPr>
            <w:tcW w:w="78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m</w:t>
            </w:r>
          </w:p>
        </w:tc>
        <w:tc>
          <w:tcPr>
            <w:tcW w:w="153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30" w:hRule="atLeast"/>
          <w:jc w:val="center"/>
        </w:trPr>
        <w:tc>
          <w:tcPr>
            <w:tcW w:w="8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8</w:t>
            </w:r>
          </w:p>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611" w:type="dxa"/>
            <w:gridSpan w:val="2"/>
            <w:vMerge w:val="restart"/>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拱肋和吊杆</w:t>
            </w:r>
          </w:p>
        </w:tc>
        <w:tc>
          <w:tcPr>
            <w:tcW w:w="99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系杆、吊杆</w:t>
            </w:r>
          </w:p>
        </w:tc>
        <w:tc>
          <w:tcPr>
            <w:tcW w:w="42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r>
              <w:rPr>
                <w:rFonts w:hint="eastAsia" w:ascii="宋体" w:hAnsi="宋体" w:cs="宋体"/>
                <w:b/>
                <w:bCs/>
                <w:color w:val="auto"/>
                <w:sz w:val="22"/>
                <w:szCs w:val="22"/>
                <w:highlight w:val="none"/>
              </w:rPr>
              <w:t>日常保养。</w:t>
            </w:r>
            <w:r>
              <w:rPr>
                <w:rFonts w:hint="eastAsia" w:ascii="宋体" w:hAnsi="宋体" w:cs="宋体"/>
                <w:color w:val="auto"/>
                <w:sz w:val="22"/>
                <w:szCs w:val="22"/>
                <w:highlight w:val="none"/>
              </w:rPr>
              <w:t>工作内容包括：每季度对系杆、系杆锚夹具、吊杆及吊杆锚头进行一次检查，并记录检查结果。酷暑、严寒季节应加强检查和养护。</w:t>
            </w:r>
          </w:p>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r>
              <w:rPr>
                <w:rFonts w:hint="eastAsia" w:ascii="宋体" w:hAnsi="宋体" w:cs="宋体"/>
                <w:b/>
                <w:bCs/>
                <w:color w:val="auto"/>
                <w:sz w:val="22"/>
                <w:szCs w:val="22"/>
                <w:highlight w:val="none"/>
              </w:rPr>
              <w:t>日常维修。</w:t>
            </w:r>
            <w:r>
              <w:rPr>
                <w:rFonts w:hint="eastAsia" w:ascii="宋体" w:hAnsi="宋体" w:cs="宋体"/>
                <w:color w:val="auto"/>
                <w:sz w:val="22"/>
                <w:szCs w:val="22"/>
                <w:highlight w:val="none"/>
              </w:rPr>
              <w:t>工作内容包含：吊杆锚头渗漏水时，应及时将水排出、烘干，并采用防水材料封堵；系杆锚夹具如出现松弛、锈蚀或锚垫板预埋钢管内积水的，应及时维修；表面除锈处理，涂料破损修补。</w:t>
            </w:r>
          </w:p>
        </w:tc>
        <w:tc>
          <w:tcPr>
            <w:tcW w:w="104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22</w:t>
            </w:r>
          </w:p>
        </w:tc>
        <w:tc>
          <w:tcPr>
            <w:tcW w:w="78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根</w:t>
            </w:r>
          </w:p>
        </w:tc>
        <w:tc>
          <w:tcPr>
            <w:tcW w:w="153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5" w:hRule="atLeast"/>
          <w:jc w:val="center"/>
        </w:trPr>
        <w:tc>
          <w:tcPr>
            <w:tcW w:w="8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9</w:t>
            </w:r>
          </w:p>
        </w:tc>
        <w:tc>
          <w:tcPr>
            <w:tcW w:w="611" w:type="dxa"/>
            <w:gridSpan w:val="2"/>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99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拱肋</w:t>
            </w:r>
          </w:p>
        </w:tc>
        <w:tc>
          <w:tcPr>
            <w:tcW w:w="42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r>
              <w:rPr>
                <w:rFonts w:hint="eastAsia" w:ascii="宋体" w:hAnsi="宋体" w:cs="宋体"/>
                <w:b/>
                <w:bCs/>
                <w:color w:val="auto"/>
                <w:sz w:val="22"/>
                <w:szCs w:val="22"/>
                <w:highlight w:val="none"/>
              </w:rPr>
              <w:t>日常保养、维修。</w:t>
            </w:r>
            <w:r>
              <w:rPr>
                <w:rFonts w:hint="eastAsia" w:ascii="宋体" w:hAnsi="宋体" w:cs="宋体"/>
                <w:color w:val="auto"/>
                <w:sz w:val="22"/>
                <w:szCs w:val="22"/>
                <w:highlight w:val="none"/>
              </w:rPr>
              <w:t>工作内容包含：表面露筋除锈处理，表面裂缝封闭，涂料破损修补。</w:t>
            </w:r>
          </w:p>
        </w:tc>
        <w:tc>
          <w:tcPr>
            <w:tcW w:w="104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78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项</w:t>
            </w:r>
          </w:p>
        </w:tc>
        <w:tc>
          <w:tcPr>
            <w:tcW w:w="153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5" w:hRule="atLeast"/>
          <w:jc w:val="center"/>
        </w:trPr>
        <w:tc>
          <w:tcPr>
            <w:tcW w:w="8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10</w:t>
            </w:r>
          </w:p>
        </w:tc>
        <w:tc>
          <w:tcPr>
            <w:tcW w:w="611" w:type="dxa"/>
            <w:gridSpan w:val="2"/>
            <w:vMerge w:val="restart"/>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支座</w:t>
            </w:r>
          </w:p>
        </w:tc>
        <w:tc>
          <w:tcPr>
            <w:tcW w:w="99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支座日常检查</w:t>
            </w:r>
          </w:p>
        </w:tc>
        <w:tc>
          <w:tcPr>
            <w:tcW w:w="42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r>
              <w:rPr>
                <w:rFonts w:hint="eastAsia" w:ascii="宋体" w:hAnsi="宋体" w:cs="宋体"/>
                <w:b/>
                <w:bCs/>
                <w:color w:val="auto"/>
                <w:sz w:val="22"/>
                <w:szCs w:val="22"/>
                <w:highlight w:val="none"/>
              </w:rPr>
              <w:t>日常保养。</w:t>
            </w:r>
            <w:r>
              <w:rPr>
                <w:rFonts w:hint="eastAsia" w:ascii="宋体" w:hAnsi="宋体" w:cs="宋体"/>
                <w:color w:val="auto"/>
                <w:sz w:val="22"/>
                <w:szCs w:val="22"/>
                <w:highlight w:val="none"/>
              </w:rPr>
              <w:t xml:space="preserve">工作内容包含：每半年进行一次支座检查，并记录检查结果 </w:t>
            </w:r>
          </w:p>
        </w:tc>
        <w:tc>
          <w:tcPr>
            <w:tcW w:w="104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78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项</w:t>
            </w:r>
          </w:p>
        </w:tc>
        <w:tc>
          <w:tcPr>
            <w:tcW w:w="15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检查内容参照</w:t>
            </w:r>
            <w:r>
              <w:rPr>
                <w:rFonts w:hint="eastAsia" w:ascii="宋体" w:hAnsi="宋体" w:cs="宋体"/>
                <w:color w:val="auto"/>
                <w:sz w:val="22"/>
                <w:szCs w:val="22"/>
                <w:highlight w:val="none"/>
                <w:lang w:eastAsia="zh-CN"/>
              </w:rPr>
              <w:t>《城市桥梁养护技术规范》</w:t>
            </w:r>
            <w:r>
              <w:rPr>
                <w:rFonts w:hint="eastAsia" w:ascii="宋体" w:hAnsi="宋体" w:cs="宋体"/>
                <w:color w:val="auto"/>
                <w:sz w:val="22"/>
                <w:szCs w:val="22"/>
                <w:highlight w:val="none"/>
              </w:rPr>
              <w:t>（CJJ99-2017）6.1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7" w:hRule="atLeast"/>
          <w:jc w:val="center"/>
        </w:trPr>
        <w:tc>
          <w:tcPr>
            <w:tcW w:w="8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2.1</w:t>
            </w:r>
            <w:r>
              <w:rPr>
                <w:rFonts w:hint="eastAsia" w:ascii="宋体" w:hAnsi="宋体" w:cs="宋体"/>
                <w:color w:val="auto"/>
                <w:sz w:val="22"/>
                <w:szCs w:val="22"/>
                <w:highlight w:val="none"/>
                <w:lang w:val="en-US" w:eastAsia="zh-CN"/>
              </w:rPr>
              <w:t>1</w:t>
            </w:r>
          </w:p>
        </w:tc>
        <w:tc>
          <w:tcPr>
            <w:tcW w:w="611" w:type="dxa"/>
            <w:gridSpan w:val="2"/>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99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盆式支座</w:t>
            </w:r>
          </w:p>
        </w:tc>
        <w:tc>
          <w:tcPr>
            <w:tcW w:w="4214" w:type="dxa"/>
            <w:vMerge w:val="restart"/>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按技术规程、规范进行日常保养（1次/年），工作内容包含：清除支座周围垃圾，清洁支座，除锈，加油。</w:t>
            </w:r>
          </w:p>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2"/>
                <w:szCs w:val="22"/>
                <w:highlight w:val="none"/>
                <w:lang w:val="en" w:eastAsia="zh-CN"/>
              </w:rPr>
            </w:pPr>
            <w:r>
              <w:rPr>
                <w:rFonts w:hint="eastAsia" w:ascii="宋体" w:hAnsi="宋体" w:cs="宋体"/>
                <w:color w:val="auto"/>
                <w:sz w:val="22"/>
                <w:szCs w:val="22"/>
                <w:highlight w:val="none"/>
              </w:rPr>
              <w:t>定期检查聚四氟乙烯滑板支座，保证储油凹坑内专用润滑硅脂饱满。</w:t>
            </w:r>
            <w:r>
              <w:rPr>
                <w:rFonts w:hint="eastAsia" w:ascii="宋体" w:hAnsi="宋体" w:cs="宋体"/>
                <w:color w:val="auto"/>
                <w:sz w:val="22"/>
                <w:szCs w:val="22"/>
                <w:highlight w:val="none"/>
                <w:lang w:eastAsia="zh-CN"/>
              </w:rPr>
              <w:t>脱空、偏位、剪切破坏维修；支座垫石破损维修；</w:t>
            </w:r>
          </w:p>
        </w:tc>
        <w:tc>
          <w:tcPr>
            <w:tcW w:w="104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270</w:t>
            </w:r>
          </w:p>
        </w:tc>
        <w:tc>
          <w:tcPr>
            <w:tcW w:w="78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只</w:t>
            </w:r>
          </w:p>
        </w:tc>
        <w:tc>
          <w:tcPr>
            <w:tcW w:w="1537" w:type="dxa"/>
            <w:vMerge w:val="restart"/>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default" w:ascii="宋体" w:hAnsi="宋体" w:cs="宋体"/>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49" w:hRule="atLeast"/>
          <w:jc w:val="center"/>
        </w:trPr>
        <w:tc>
          <w:tcPr>
            <w:tcW w:w="8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2.1</w:t>
            </w:r>
            <w:r>
              <w:rPr>
                <w:rFonts w:hint="eastAsia" w:ascii="宋体" w:hAnsi="宋体" w:cs="宋体"/>
                <w:color w:val="auto"/>
                <w:sz w:val="22"/>
                <w:szCs w:val="22"/>
                <w:highlight w:val="none"/>
                <w:lang w:val="en-US" w:eastAsia="zh-CN"/>
              </w:rPr>
              <w:t>2</w:t>
            </w:r>
          </w:p>
        </w:tc>
        <w:tc>
          <w:tcPr>
            <w:tcW w:w="611" w:type="dxa"/>
            <w:gridSpan w:val="2"/>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c>
          <w:tcPr>
            <w:tcW w:w="99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w w:val="95"/>
                <w:sz w:val="22"/>
                <w:szCs w:val="22"/>
                <w:highlight w:val="none"/>
              </w:rPr>
            </w:pPr>
            <w:r>
              <w:rPr>
                <w:rFonts w:hint="eastAsia" w:ascii="宋体" w:hAnsi="宋体" w:cs="宋体"/>
                <w:color w:val="auto"/>
                <w:sz w:val="22"/>
                <w:szCs w:val="22"/>
                <w:highlight w:val="none"/>
              </w:rPr>
              <w:t>橡胶支座（大型桥梁）</w:t>
            </w:r>
          </w:p>
        </w:tc>
        <w:tc>
          <w:tcPr>
            <w:tcW w:w="4214"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p>
        </w:tc>
        <w:tc>
          <w:tcPr>
            <w:tcW w:w="104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3876</w:t>
            </w:r>
          </w:p>
        </w:tc>
        <w:tc>
          <w:tcPr>
            <w:tcW w:w="78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只</w:t>
            </w:r>
          </w:p>
        </w:tc>
        <w:tc>
          <w:tcPr>
            <w:tcW w:w="1537" w:type="dxa"/>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0" w:hRule="atLeast"/>
          <w:jc w:val="center"/>
        </w:trPr>
        <w:tc>
          <w:tcPr>
            <w:tcW w:w="8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2.1</w:t>
            </w:r>
            <w:r>
              <w:rPr>
                <w:rFonts w:hint="eastAsia" w:ascii="宋体" w:hAnsi="宋体" w:cs="宋体"/>
                <w:color w:val="auto"/>
                <w:sz w:val="22"/>
                <w:szCs w:val="22"/>
                <w:highlight w:val="none"/>
                <w:lang w:val="en-US" w:eastAsia="zh-CN"/>
              </w:rPr>
              <w:t>3</w:t>
            </w:r>
          </w:p>
        </w:tc>
        <w:tc>
          <w:tcPr>
            <w:tcW w:w="611" w:type="dxa"/>
            <w:gridSpan w:val="2"/>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墩台</w:t>
            </w:r>
          </w:p>
        </w:tc>
        <w:tc>
          <w:tcPr>
            <w:tcW w:w="99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墩台日常保养</w:t>
            </w:r>
          </w:p>
        </w:tc>
        <w:tc>
          <w:tcPr>
            <w:tcW w:w="42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墩台表面保持清洁，及时清除青苔、杂草、荆棘和污秽；及时清理河床上对桥梁安全构成威胁的漂浮物和沉积物</w:t>
            </w:r>
          </w:p>
        </w:tc>
        <w:tc>
          <w:tcPr>
            <w:tcW w:w="104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78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项</w:t>
            </w:r>
          </w:p>
        </w:tc>
        <w:tc>
          <w:tcPr>
            <w:tcW w:w="1537" w:type="dxa"/>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0" w:hRule="atLeast"/>
          <w:jc w:val="center"/>
        </w:trPr>
        <w:tc>
          <w:tcPr>
            <w:tcW w:w="8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2.14</w:t>
            </w:r>
          </w:p>
        </w:tc>
        <w:tc>
          <w:tcPr>
            <w:tcW w:w="611" w:type="dxa"/>
            <w:gridSpan w:val="2"/>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梁体</w:t>
            </w:r>
          </w:p>
        </w:tc>
        <w:tc>
          <w:tcPr>
            <w:tcW w:w="99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梁体</w:t>
            </w:r>
            <w:r>
              <w:rPr>
                <w:rFonts w:hint="eastAsia" w:ascii="宋体" w:hAnsi="宋体" w:cs="宋体"/>
                <w:color w:val="auto"/>
                <w:sz w:val="22"/>
                <w:szCs w:val="22"/>
                <w:highlight w:val="none"/>
              </w:rPr>
              <w:t>日常保养</w:t>
            </w:r>
          </w:p>
        </w:tc>
        <w:tc>
          <w:tcPr>
            <w:tcW w:w="42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1、表面保持清洁，及时清除青苔、杂草、荆棘和污秽；</w:t>
            </w:r>
          </w:p>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2、含梁体裂缝处理；</w:t>
            </w:r>
          </w:p>
        </w:tc>
        <w:tc>
          <w:tcPr>
            <w:tcW w:w="104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1</w:t>
            </w:r>
          </w:p>
        </w:tc>
        <w:tc>
          <w:tcPr>
            <w:tcW w:w="78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项</w:t>
            </w:r>
          </w:p>
        </w:tc>
        <w:tc>
          <w:tcPr>
            <w:tcW w:w="1537" w:type="dxa"/>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9" w:hRule="atLeast"/>
          <w:jc w:val="center"/>
        </w:trPr>
        <w:tc>
          <w:tcPr>
            <w:tcW w:w="8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9182" w:type="dxa"/>
            <w:gridSpan w:val="7"/>
            <w:tcBorders>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9" w:hRule="atLeast"/>
          <w:jc w:val="center"/>
        </w:trPr>
        <w:tc>
          <w:tcPr>
            <w:tcW w:w="8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3.1</w:t>
            </w:r>
          </w:p>
        </w:tc>
        <w:tc>
          <w:tcPr>
            <w:tcW w:w="1602" w:type="dxa"/>
            <w:gridSpan w:val="3"/>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隔音屏</w:t>
            </w:r>
          </w:p>
        </w:tc>
        <w:tc>
          <w:tcPr>
            <w:tcW w:w="42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按技术规程、规范进行</w:t>
            </w:r>
            <w:r>
              <w:rPr>
                <w:rFonts w:hint="eastAsia" w:ascii="宋体" w:hAnsi="宋体" w:cs="宋体"/>
                <w:b/>
                <w:bCs/>
                <w:color w:val="auto"/>
                <w:sz w:val="22"/>
                <w:szCs w:val="22"/>
                <w:highlight w:val="none"/>
              </w:rPr>
              <w:t>日常保养。</w:t>
            </w:r>
            <w:r>
              <w:rPr>
                <w:rFonts w:hint="eastAsia" w:ascii="宋体" w:hAnsi="宋体" w:cs="宋体"/>
                <w:color w:val="auto"/>
                <w:sz w:val="22"/>
                <w:szCs w:val="22"/>
                <w:highlight w:val="none"/>
              </w:rPr>
              <w:t>工作内容包含：每半年对整体安装结构、地脚连接构件和相连接构结构进行一次检查。</w:t>
            </w:r>
          </w:p>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r>
              <w:rPr>
                <w:rFonts w:hint="eastAsia" w:ascii="宋体" w:hAnsi="宋体" w:cs="宋体"/>
                <w:b/>
                <w:bCs/>
                <w:color w:val="auto"/>
                <w:sz w:val="22"/>
                <w:szCs w:val="22"/>
                <w:highlight w:val="none"/>
              </w:rPr>
              <w:t>日常维修。</w:t>
            </w:r>
            <w:r>
              <w:rPr>
                <w:rFonts w:hint="eastAsia" w:ascii="宋体" w:hAnsi="宋体" w:cs="宋体"/>
                <w:color w:val="auto"/>
                <w:sz w:val="22"/>
                <w:szCs w:val="22"/>
                <w:highlight w:val="none"/>
              </w:rPr>
              <w:t>工作内容包含：表面除锈处理，涂料破损修补，破损声屏障骨架与钢化玻璃修复或更换。</w:t>
            </w:r>
          </w:p>
        </w:tc>
        <w:tc>
          <w:tcPr>
            <w:tcW w:w="104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1641.39</w:t>
            </w:r>
          </w:p>
        </w:tc>
        <w:tc>
          <w:tcPr>
            <w:tcW w:w="78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w:t>
            </w:r>
          </w:p>
        </w:tc>
        <w:tc>
          <w:tcPr>
            <w:tcW w:w="153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11" w:hRule="atLeast"/>
          <w:jc w:val="center"/>
        </w:trPr>
        <w:tc>
          <w:tcPr>
            <w:tcW w:w="8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3.2</w:t>
            </w:r>
          </w:p>
        </w:tc>
        <w:tc>
          <w:tcPr>
            <w:tcW w:w="1602" w:type="dxa"/>
            <w:gridSpan w:val="3"/>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桥名牌、限载牌、限高牌、桥墩编号牌</w:t>
            </w:r>
            <w:r>
              <w:rPr>
                <w:rFonts w:hint="eastAsia" w:ascii="宋体" w:hAnsi="宋体" w:cs="宋体"/>
                <w:color w:val="auto"/>
                <w:sz w:val="22"/>
                <w:szCs w:val="22"/>
                <w:highlight w:val="none"/>
                <w:lang w:eastAsia="zh-CN"/>
              </w:rPr>
              <w:t>、伸缩缝编号牌</w:t>
            </w:r>
          </w:p>
        </w:tc>
        <w:tc>
          <w:tcPr>
            <w:tcW w:w="42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r>
              <w:rPr>
                <w:rFonts w:hint="eastAsia" w:ascii="宋体" w:hAnsi="宋体" w:cs="宋体"/>
                <w:b/>
                <w:bCs/>
                <w:color w:val="auto"/>
                <w:sz w:val="22"/>
                <w:szCs w:val="22"/>
                <w:highlight w:val="none"/>
              </w:rPr>
              <w:t>日常保养。</w:t>
            </w:r>
            <w:r>
              <w:rPr>
                <w:rFonts w:hint="eastAsia" w:ascii="宋体" w:hAnsi="宋体" w:cs="宋体"/>
                <w:color w:val="auto"/>
                <w:sz w:val="22"/>
                <w:szCs w:val="22"/>
                <w:highlight w:val="none"/>
              </w:rPr>
              <w:t>确保各类名牌、标志完好清洁。</w:t>
            </w:r>
          </w:p>
        </w:tc>
        <w:tc>
          <w:tcPr>
            <w:tcW w:w="104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78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项</w:t>
            </w:r>
          </w:p>
        </w:tc>
        <w:tc>
          <w:tcPr>
            <w:tcW w:w="153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jc w:val="center"/>
        </w:trPr>
        <w:tc>
          <w:tcPr>
            <w:tcW w:w="8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3.3</w:t>
            </w:r>
          </w:p>
        </w:tc>
        <w:tc>
          <w:tcPr>
            <w:tcW w:w="1602" w:type="dxa"/>
            <w:gridSpan w:val="3"/>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限高门架</w:t>
            </w:r>
          </w:p>
        </w:tc>
        <w:tc>
          <w:tcPr>
            <w:tcW w:w="42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r>
              <w:rPr>
                <w:rFonts w:hint="eastAsia" w:ascii="宋体" w:hAnsi="宋体" w:cs="宋体"/>
                <w:b/>
                <w:bCs/>
                <w:color w:val="auto"/>
                <w:sz w:val="22"/>
                <w:szCs w:val="22"/>
                <w:highlight w:val="none"/>
              </w:rPr>
              <w:t>日常保养。</w:t>
            </w:r>
            <w:r>
              <w:rPr>
                <w:rFonts w:hint="eastAsia" w:ascii="宋体" w:hAnsi="宋体" w:cs="宋体"/>
                <w:color w:val="auto"/>
                <w:sz w:val="22"/>
                <w:szCs w:val="22"/>
                <w:highlight w:val="none"/>
              </w:rPr>
              <w:t>定期检查维护；反光警示标志及时清洗，保持醒目。</w:t>
            </w:r>
          </w:p>
        </w:tc>
        <w:tc>
          <w:tcPr>
            <w:tcW w:w="104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78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项</w:t>
            </w:r>
          </w:p>
        </w:tc>
        <w:tc>
          <w:tcPr>
            <w:tcW w:w="153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jc w:val="center"/>
        </w:trPr>
        <w:tc>
          <w:tcPr>
            <w:tcW w:w="8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三</w:t>
            </w:r>
          </w:p>
        </w:tc>
        <w:tc>
          <w:tcPr>
            <w:tcW w:w="9182" w:type="dxa"/>
            <w:gridSpan w:val="7"/>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49" w:hRule="atLeast"/>
          <w:jc w:val="center"/>
        </w:trPr>
        <w:tc>
          <w:tcPr>
            <w:tcW w:w="800"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1</w:t>
            </w:r>
          </w:p>
        </w:tc>
        <w:tc>
          <w:tcPr>
            <w:tcW w:w="1602" w:type="dxa"/>
            <w:gridSpan w:val="3"/>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桥梁监控中心</w:t>
            </w:r>
          </w:p>
        </w:tc>
        <w:tc>
          <w:tcPr>
            <w:tcW w:w="421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桥梁监控中心监控室实施24小时定岗定点值守，监控室值守人员按规程对东瓯大桥动态监测系统实时操作和情况记录（包含东瓯大桥视频的实时监控），如有突发情况及时报告。</w:t>
            </w:r>
          </w:p>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监控中心应定期维修或更换监控中心范围内破损设施（地面、屋面、墙体、门窗、灯具、空调、绿化等）。</w:t>
            </w:r>
          </w:p>
        </w:tc>
        <w:tc>
          <w:tcPr>
            <w:tcW w:w="1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78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项</w:t>
            </w:r>
          </w:p>
        </w:tc>
        <w:tc>
          <w:tcPr>
            <w:tcW w:w="15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50" w:hRule="atLeast"/>
          <w:jc w:val="center"/>
        </w:trPr>
        <w:tc>
          <w:tcPr>
            <w:tcW w:w="8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2</w:t>
            </w:r>
          </w:p>
        </w:tc>
        <w:tc>
          <w:tcPr>
            <w:tcW w:w="1602" w:type="dxa"/>
            <w:gridSpan w:val="3"/>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动态监测系统</w:t>
            </w:r>
          </w:p>
        </w:tc>
        <w:tc>
          <w:tcPr>
            <w:tcW w:w="42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bookmarkStart w:id="55" w:name="_Hlk532979274"/>
            <w:r>
              <w:rPr>
                <w:rFonts w:hint="eastAsia" w:ascii="宋体" w:hAnsi="宋体" w:cs="宋体"/>
                <w:color w:val="auto"/>
                <w:sz w:val="22"/>
                <w:szCs w:val="22"/>
                <w:highlight w:val="none"/>
              </w:rPr>
              <w:t>按技术规程、规范对动态监测系统相关的所有电器、电路和传感器等进行经常性检查保养（1次/年）。</w:t>
            </w:r>
          </w:p>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工作内容包含：设备维护除尘、保养、设备运行状态现场测评估、各类线路监测检查（1次/月）。</w:t>
            </w:r>
          </w:p>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如发现系统或配件故障及时报告。</w:t>
            </w:r>
            <w:bookmarkEnd w:id="55"/>
          </w:p>
        </w:tc>
        <w:tc>
          <w:tcPr>
            <w:tcW w:w="104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78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项</w:t>
            </w:r>
          </w:p>
        </w:tc>
        <w:tc>
          <w:tcPr>
            <w:tcW w:w="153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4" w:hRule="atLeast"/>
          <w:jc w:val="center"/>
        </w:trPr>
        <w:tc>
          <w:tcPr>
            <w:tcW w:w="800" w:type="dxa"/>
            <w:vMerge w:val="restart"/>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3</w:t>
            </w:r>
          </w:p>
        </w:tc>
        <w:tc>
          <w:tcPr>
            <w:tcW w:w="1602" w:type="dxa"/>
            <w:gridSpan w:val="3"/>
            <w:vMerge w:val="restart"/>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应急保障、节日保障</w:t>
            </w:r>
          </w:p>
        </w:tc>
        <w:tc>
          <w:tcPr>
            <w:tcW w:w="42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承包单位需建立应急抢险及服务保障机制，成立应急抢险及服务保障领导小组和队伍；常备人员、车辆、机械设备以及应急物资；每年至少组织一次应急预案演练。</w:t>
            </w:r>
          </w:p>
        </w:tc>
        <w:tc>
          <w:tcPr>
            <w:tcW w:w="104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78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项</w:t>
            </w:r>
          </w:p>
        </w:tc>
        <w:tc>
          <w:tcPr>
            <w:tcW w:w="153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常备应急物资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0" w:hRule="atLeast"/>
          <w:jc w:val="center"/>
        </w:trPr>
        <w:tc>
          <w:tcPr>
            <w:tcW w:w="80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color w:val="auto"/>
                <w:sz w:val="22"/>
                <w:szCs w:val="22"/>
                <w:highlight w:val="none"/>
              </w:rPr>
            </w:pPr>
          </w:p>
        </w:tc>
        <w:tc>
          <w:tcPr>
            <w:tcW w:w="1602" w:type="dxa"/>
            <w:gridSpan w:val="3"/>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color w:val="auto"/>
                <w:sz w:val="22"/>
                <w:szCs w:val="22"/>
                <w:highlight w:val="none"/>
              </w:rPr>
            </w:pPr>
          </w:p>
        </w:tc>
        <w:tc>
          <w:tcPr>
            <w:tcW w:w="42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在台风、汛期、暴雪、火灾、地震及其他应急抢险情况下严格服从甲方的统一指挥和安排，及时调动人员参与排险工作；做好数据、图片和台帐的记录、存档工作。节假日或大型公共活动期间，承包单位需合理调派人员完成巡查及安全保障工作。</w:t>
            </w:r>
          </w:p>
        </w:tc>
        <w:tc>
          <w:tcPr>
            <w:tcW w:w="104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78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项</w:t>
            </w:r>
          </w:p>
        </w:tc>
        <w:tc>
          <w:tcPr>
            <w:tcW w:w="153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4" w:hRule="atLeast"/>
          <w:jc w:val="center"/>
        </w:trPr>
        <w:tc>
          <w:tcPr>
            <w:tcW w:w="8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cs="宋体"/>
                <w:b w:val="0"/>
                <w:bCs/>
                <w:color w:val="auto"/>
                <w:sz w:val="22"/>
                <w:szCs w:val="22"/>
                <w:highlight w:val="none"/>
                <w:lang w:val="en-US" w:eastAsia="zh-CN"/>
              </w:rPr>
              <w:t>四</w:t>
            </w:r>
          </w:p>
        </w:tc>
        <w:tc>
          <w:tcPr>
            <w:tcW w:w="1602" w:type="dxa"/>
            <w:gridSpan w:val="3"/>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cs="宋体"/>
                <w:b w:val="0"/>
                <w:bCs/>
                <w:color w:val="auto"/>
                <w:sz w:val="22"/>
                <w:szCs w:val="22"/>
                <w:highlight w:val="none"/>
                <w:lang w:val="en-US" w:eastAsia="zh-CN"/>
              </w:rPr>
              <w:t>暂估价</w:t>
            </w:r>
          </w:p>
        </w:tc>
        <w:tc>
          <w:tcPr>
            <w:tcW w:w="42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2"/>
                <w:sz w:val="22"/>
                <w:szCs w:val="22"/>
                <w:highlight w:val="none"/>
                <w:lang w:val="en-US" w:eastAsia="zh-CN" w:bidi="ar-SA"/>
              </w:rPr>
            </w:pPr>
          </w:p>
        </w:tc>
        <w:tc>
          <w:tcPr>
            <w:tcW w:w="104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78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项</w:t>
            </w:r>
          </w:p>
        </w:tc>
        <w:tc>
          <w:tcPr>
            <w:tcW w:w="153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宋体" w:hAnsi="宋体" w:cs="宋体"/>
                <w:color w:val="auto"/>
                <w:sz w:val="22"/>
                <w:szCs w:val="22"/>
                <w:highlight w:val="none"/>
                <w:lang w:val="en-US"/>
              </w:rPr>
            </w:pPr>
            <w:r>
              <w:rPr>
                <w:rFonts w:hint="eastAsia" w:ascii="宋体" w:hAnsi="宋体" w:cs="宋体"/>
                <w:color w:val="auto"/>
                <w:sz w:val="22"/>
                <w:szCs w:val="22"/>
                <w:highlight w:val="none"/>
                <w:lang w:val="en-US" w:eastAsia="zh-CN"/>
              </w:rPr>
              <w:t>350000元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cs="宋体"/>
                <w:b w:val="0"/>
                <w:bCs/>
                <w:color w:val="auto"/>
                <w:sz w:val="22"/>
                <w:szCs w:val="22"/>
                <w:highlight w:val="none"/>
                <w:lang w:val="en-US" w:eastAsia="zh-CN"/>
              </w:rPr>
              <w:t>五</w:t>
            </w:r>
          </w:p>
        </w:tc>
        <w:tc>
          <w:tcPr>
            <w:tcW w:w="0" w:type="auto"/>
            <w:gridSpan w:val="3"/>
            <w:shd w:val="clear" w:color="auto" w:fill="auto"/>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cs="宋体"/>
                <w:b w:val="0"/>
                <w:bCs/>
                <w:color w:val="auto"/>
                <w:sz w:val="22"/>
                <w:szCs w:val="22"/>
                <w:highlight w:val="none"/>
                <w:lang w:val="en-US" w:eastAsia="zh-CN"/>
              </w:rPr>
              <w:t>暂列金</w:t>
            </w: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2"/>
                <w:sz w:val="22"/>
                <w:szCs w:val="22"/>
                <w:highlight w:val="none"/>
                <w:lang w:val="en-US" w:eastAsia="zh-CN" w:bidi="ar-SA"/>
              </w:rPr>
            </w:pPr>
          </w:p>
        </w:tc>
        <w:tc>
          <w:tcPr>
            <w:tcW w:w="0" w:type="auto"/>
            <w:shd w:val="clear" w:color="auto" w:fill="auto"/>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0" w:type="auto"/>
            <w:shd w:val="clear" w:color="auto" w:fill="auto"/>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项</w:t>
            </w:r>
          </w:p>
        </w:tc>
        <w:tc>
          <w:tcPr>
            <w:tcW w:w="0" w:type="auto"/>
            <w:shd w:val="clear" w:color="auto" w:fill="auto"/>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宋体" w:hAnsi="宋体" w:cs="宋体"/>
                <w:color w:val="auto"/>
                <w:sz w:val="22"/>
                <w:szCs w:val="22"/>
                <w:highlight w:val="none"/>
                <w:lang w:val="en-US"/>
              </w:rPr>
            </w:pPr>
            <w:r>
              <w:rPr>
                <w:rFonts w:hint="eastAsia" w:ascii="宋体" w:hAnsi="宋体" w:cs="宋体"/>
                <w:color w:val="auto"/>
                <w:sz w:val="22"/>
                <w:szCs w:val="22"/>
                <w:highlight w:val="none"/>
                <w:lang w:val="en-US" w:eastAsia="zh-CN"/>
              </w:rPr>
              <w:t>500000元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五、其他说明及要求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1、投标人可根据以上内容及要求进行管理机构设置、资源配置、质量管理控制及制订管理方案。</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2、中标人应根据国家、省市的有关法律、法规，按照招标文件、投标文件对本服务实施统一管理、综合服务、自主经营、自负盈亏。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3、未达到管理合同中服务质量标准的，采购人有权提出整改意见和限期改进并通报行政主管部门，当整改期限满后仍无明显改善的，将依据法律法规及政策规定，按法定程序解除承包合同。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4、社会保险（除必须的职工养老保险外，还应包括第三者责任保险和员工人身意外保险）。</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（1）第三者责任保险：中标人应为参与承包工作区域的工作人员（包括人员以及第三方）投保，以保证在承包期间人员和财产意外遭受损失时得到补偿。</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（2）员工人身意外保险：在承包期内，中标人应为其员工投保人身意外险，以保证采购人在中标人工作人员索偿时不受任何责任的约束。</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 xml:space="preserve">5、如遇交通事故造成的桥梁、路面及附属设施损坏的，由中标人向事故责任方寻求索赔。事故发生后，中标人应对损坏部分及时进行维修。采购人应予以配合，监督，协助中标人处理好索赔事宜。各方均已采取相应措施，但仍无法寻求索赔的，该笔维修费用由暂估价中支出。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 《东瓯大桥设施维养考核办法》、《台账资料管理规定》、《东瓯大桥道桥设施日常巡查制度》、《设施界线图》及桥梁结构图纸均以电子档形式提供给各投标人，以上所列文件及图纸均为招标文件一部分，投标人若未自行查看各附件内容所引起的一切后果均由其自行负责，由此造成投标价的偏差均不予调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7、付款方式及其他要求见第二部分“合同主要条款”。</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宋体" w:hAnsi="宋体" w:eastAsia="宋体" w:cs="宋体"/>
          <w:color w:val="auto"/>
          <w:highlight w:val="none"/>
        </w:rPr>
      </w:pPr>
      <w:bookmarkStart w:id="56" w:name="_Toc18194"/>
      <w:bookmarkStart w:id="57" w:name="_Toc30323"/>
    </w:p>
    <w:p>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第五部分   评标原则及方法</w:t>
      </w:r>
      <w:bookmarkEnd w:id="56"/>
      <w:bookmarkEnd w:id="57"/>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58" w:name="_Toc15713"/>
      <w:bookmarkStart w:id="59" w:name="_Toc4407"/>
      <w:r>
        <w:rPr>
          <w:rFonts w:hint="eastAsia" w:ascii="宋体" w:hAnsi="宋体" w:eastAsia="宋体" w:cs="宋体"/>
          <w:b/>
          <w:color w:val="auto"/>
          <w:sz w:val="22"/>
          <w:szCs w:val="22"/>
          <w:highlight w:val="none"/>
        </w:rPr>
        <w:t>一、总 则</w:t>
      </w:r>
      <w:bookmarkEnd w:id="58"/>
      <w:bookmarkEnd w:id="59"/>
    </w:p>
    <w:p>
      <w:pPr>
        <w:spacing w:line="460" w:lineRule="exact"/>
        <w:ind w:firstLine="539" w:firstLineChars="245"/>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60" w:name="_Toc23152"/>
      <w:bookmarkStart w:id="61" w:name="_Toc24468"/>
      <w:r>
        <w:rPr>
          <w:rFonts w:hint="eastAsia" w:ascii="宋体" w:hAnsi="宋体" w:eastAsia="宋体" w:cs="宋体"/>
          <w:b/>
          <w:color w:val="auto"/>
          <w:sz w:val="22"/>
          <w:szCs w:val="22"/>
          <w:highlight w:val="none"/>
        </w:rPr>
        <w:t>二、评标组织</w:t>
      </w:r>
      <w:bookmarkEnd w:id="60"/>
      <w:bookmarkEnd w:id="61"/>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评标工作由招标人组建的评标委员会负责，评标全过程由有关部门指导监督。</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62" w:name="_Toc67"/>
      <w:bookmarkStart w:id="63" w:name="_Toc15153"/>
      <w:r>
        <w:rPr>
          <w:rFonts w:hint="eastAsia" w:ascii="宋体" w:hAnsi="宋体" w:eastAsia="宋体" w:cs="宋体"/>
          <w:b/>
          <w:color w:val="auto"/>
          <w:sz w:val="22"/>
          <w:szCs w:val="22"/>
          <w:highlight w:val="none"/>
        </w:rPr>
        <w:t>三、评标程序</w:t>
      </w:r>
      <w:bookmarkEnd w:id="62"/>
      <w:bookmarkEnd w:id="63"/>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评标委员按照招标文件中规定的评标方法和标准，对投标文件进行商务和技术评估，综合比较与评价</w:t>
      </w:r>
      <w:r>
        <w:rPr>
          <w:rFonts w:hint="eastAsia" w:ascii="宋体" w:hAnsi="宋体" w:eastAsia="宋体" w:cs="宋体"/>
          <w:color w:val="auto"/>
          <w:sz w:val="22"/>
          <w:szCs w:val="22"/>
          <w:highlight w:val="none"/>
        </w:rPr>
        <w:t>，根据综合评审结果，提交评审报告。</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64" w:name="_Toc24825"/>
      <w:bookmarkStart w:id="65" w:name="_Toc11306"/>
      <w:r>
        <w:rPr>
          <w:rFonts w:hint="eastAsia" w:ascii="宋体" w:hAnsi="宋体" w:eastAsia="宋体" w:cs="宋体"/>
          <w:b/>
          <w:color w:val="auto"/>
          <w:sz w:val="22"/>
          <w:szCs w:val="22"/>
          <w:highlight w:val="none"/>
        </w:rPr>
        <w:t>四、评标办法</w:t>
      </w:r>
      <w:bookmarkEnd w:id="64"/>
      <w:bookmarkEnd w:id="65"/>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eastAsia="宋体" w:cs="宋体"/>
          <w:b/>
          <w:color w:val="auto"/>
          <w:sz w:val="22"/>
          <w:szCs w:val="22"/>
          <w:highlight w:val="none"/>
        </w:rPr>
        <w:t>总分设定为100分：技术标</w:t>
      </w:r>
      <w:r>
        <w:rPr>
          <w:rFonts w:hint="eastAsia" w:ascii="宋体" w:hAnsi="宋体" w:cs="宋体"/>
          <w:b/>
          <w:color w:val="auto"/>
          <w:sz w:val="22"/>
          <w:szCs w:val="22"/>
          <w:highlight w:val="none"/>
          <w:lang w:val="en-US" w:eastAsia="zh-CN"/>
        </w:rPr>
        <w:t>8</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8</w:t>
      </w:r>
      <w:r>
        <w:rPr>
          <w:rFonts w:hint="eastAsia" w:ascii="宋体" w:hAnsi="宋体" w:eastAsia="宋体" w:cs="宋体"/>
          <w:b/>
          <w:color w:val="auto"/>
          <w:sz w:val="22"/>
          <w:szCs w:val="22"/>
          <w:highlight w:val="none"/>
        </w:rPr>
        <w:t>0%），商务标（报价）</w:t>
      </w:r>
      <w:r>
        <w:rPr>
          <w:rFonts w:hint="eastAsia" w:ascii="宋体" w:hAnsi="宋体" w:cs="宋体"/>
          <w:b/>
          <w:color w:val="auto"/>
          <w:sz w:val="22"/>
          <w:szCs w:val="22"/>
          <w:highlight w:val="none"/>
          <w:lang w:val="en-US" w:eastAsia="zh-CN"/>
        </w:rPr>
        <w:t>2</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2</w:t>
      </w:r>
      <w:r>
        <w:rPr>
          <w:rFonts w:hint="eastAsia" w:ascii="宋体" w:hAnsi="宋体" w:eastAsia="宋体" w:cs="宋体"/>
          <w:b/>
          <w:color w:val="auto"/>
          <w:sz w:val="22"/>
          <w:szCs w:val="22"/>
          <w:highlight w:val="none"/>
        </w:rPr>
        <w:t>0%）。</w:t>
      </w:r>
    </w:p>
    <w:p>
      <w:pPr>
        <w:keepNext w:val="0"/>
        <w:keepLines w:val="0"/>
        <w:pageBreakBefore w:val="0"/>
        <w:widowControl w:val="0"/>
        <w:numPr>
          <w:ilvl w:val="0"/>
          <w:numId w:val="8"/>
        </w:numPr>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66" w:name="_Toc11450"/>
      <w:bookmarkStart w:id="67" w:name="_Toc1535"/>
      <w:r>
        <w:rPr>
          <w:rFonts w:hint="eastAsia" w:ascii="宋体" w:hAnsi="宋体" w:eastAsia="宋体" w:cs="宋体"/>
          <w:b/>
          <w:color w:val="auto"/>
          <w:sz w:val="22"/>
          <w:szCs w:val="22"/>
          <w:highlight w:val="none"/>
        </w:rPr>
        <w:t>评分细则</w:t>
      </w:r>
      <w:bookmarkEnd w:id="66"/>
      <w:bookmarkEnd w:id="67"/>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1、技术分的评定：技术标</w:t>
      </w:r>
      <w:r>
        <w:rPr>
          <w:rFonts w:hint="eastAsia" w:ascii="宋体" w:hAnsi="宋体" w:cs="宋体"/>
          <w:b/>
          <w:color w:val="auto"/>
          <w:sz w:val="22"/>
          <w:szCs w:val="22"/>
          <w:highlight w:val="none"/>
          <w:lang w:val="en-US" w:eastAsia="zh-CN"/>
        </w:rPr>
        <w:t>8</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8</w:t>
      </w:r>
      <w:r>
        <w:rPr>
          <w:rFonts w:hint="eastAsia" w:ascii="宋体" w:hAnsi="宋体" w:eastAsia="宋体" w:cs="宋体"/>
          <w:b/>
          <w:color w:val="auto"/>
          <w:sz w:val="22"/>
          <w:szCs w:val="22"/>
          <w:highlight w:val="none"/>
        </w:rPr>
        <w:t>0%）</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hAnsi="宋体" w:eastAsia="宋体" w:cs="宋体"/>
          <w:color w:val="auto"/>
          <w:sz w:val="22"/>
          <w:highlight w:val="none"/>
        </w:rPr>
        <w:t>各评标委员会成员对各投标人的各项评分内容评分的算术平均值为各投标人技术分得分</w:t>
      </w:r>
      <w:r>
        <w:rPr>
          <w:rFonts w:hint="eastAsia" w:ascii="宋体" w:hAnsi="宋体" w:eastAsia="宋体" w:cs="宋体"/>
          <w:color w:val="auto"/>
          <w:sz w:val="22"/>
          <w:szCs w:val="22"/>
          <w:highlight w:val="none"/>
        </w:rPr>
        <w:t>（小数点后按四舍五入保留2位）。</w:t>
      </w:r>
    </w:p>
    <w:tbl>
      <w:tblPr>
        <w:tblStyle w:val="53"/>
        <w:tblW w:w="10162"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850"/>
        <w:gridCol w:w="6838"/>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7" w:type="dxa"/>
            <w:noWrap w:val="0"/>
            <w:vAlign w:val="center"/>
          </w:tcPr>
          <w:p>
            <w:pPr>
              <w:pStyle w:val="22"/>
              <w:keepNext w:val="0"/>
              <w:keepLines w:val="0"/>
              <w:pageBreakBefore w:val="0"/>
              <w:kinsoku/>
              <w:wordWrap/>
              <w:overflowPunct/>
              <w:topLinePunct w:val="0"/>
              <w:bidi w:val="0"/>
              <w:snapToGrid/>
              <w:spacing w:line="460" w:lineRule="exact"/>
              <w:ind w:left="0" w:leftChars="0" w:firstLine="0" w:firstLineChars="0"/>
              <w:jc w:val="center"/>
              <w:textAlignment w:val="auto"/>
              <w:rPr>
                <w:rFonts w:hint="eastAsia" w:ascii="宋体" w:hAnsi="宋体" w:eastAsia="宋体" w:cs="宋体"/>
                <w:b/>
                <w:color w:val="auto"/>
                <w:sz w:val="22"/>
                <w:szCs w:val="22"/>
                <w:highlight w:val="none"/>
                <w:vertAlign w:val="baseline"/>
                <w:lang w:val="en-US" w:eastAsia="zh-CN"/>
              </w:rPr>
            </w:pPr>
            <w:r>
              <w:rPr>
                <w:rFonts w:hint="eastAsia" w:ascii="宋体" w:hAnsi="宋体" w:eastAsia="宋体" w:cs="宋体"/>
                <w:b/>
                <w:color w:val="auto"/>
                <w:sz w:val="22"/>
                <w:szCs w:val="22"/>
                <w:highlight w:val="none"/>
                <w:vertAlign w:val="baseline"/>
                <w:lang w:val="en-US" w:eastAsia="zh-CN"/>
              </w:rPr>
              <w:t>序号</w:t>
            </w:r>
          </w:p>
        </w:tc>
        <w:tc>
          <w:tcPr>
            <w:tcW w:w="1850" w:type="dxa"/>
            <w:noWrap w:val="0"/>
            <w:vAlign w:val="center"/>
          </w:tcPr>
          <w:p>
            <w:pPr>
              <w:pStyle w:val="22"/>
              <w:keepNext w:val="0"/>
              <w:keepLines w:val="0"/>
              <w:pageBreakBefore w:val="0"/>
              <w:kinsoku/>
              <w:wordWrap/>
              <w:overflowPunct/>
              <w:topLinePunct w:val="0"/>
              <w:bidi w:val="0"/>
              <w:snapToGrid/>
              <w:spacing w:line="460" w:lineRule="exact"/>
              <w:ind w:left="0" w:leftChars="0" w:firstLine="0" w:firstLineChars="0"/>
              <w:jc w:val="center"/>
              <w:textAlignment w:val="auto"/>
              <w:rPr>
                <w:rFonts w:hint="eastAsia" w:ascii="宋体" w:hAnsi="宋体" w:eastAsia="宋体" w:cs="宋体"/>
                <w:b/>
                <w:color w:val="auto"/>
                <w:sz w:val="22"/>
                <w:szCs w:val="22"/>
                <w:highlight w:val="none"/>
                <w:vertAlign w:val="baseline"/>
                <w:lang w:val="en-US" w:eastAsia="zh-CN"/>
              </w:rPr>
            </w:pPr>
            <w:r>
              <w:rPr>
                <w:rFonts w:hint="eastAsia" w:ascii="宋体" w:hAnsi="宋体" w:eastAsia="宋体" w:cs="宋体"/>
                <w:b/>
                <w:color w:val="auto"/>
                <w:sz w:val="22"/>
                <w:szCs w:val="22"/>
                <w:highlight w:val="none"/>
                <w:vertAlign w:val="baseline"/>
                <w:lang w:val="en-US" w:eastAsia="zh-CN"/>
              </w:rPr>
              <w:t>评分内容</w:t>
            </w:r>
          </w:p>
        </w:tc>
        <w:tc>
          <w:tcPr>
            <w:tcW w:w="6838" w:type="dxa"/>
            <w:noWrap w:val="0"/>
            <w:vAlign w:val="center"/>
          </w:tcPr>
          <w:p>
            <w:pPr>
              <w:pStyle w:val="22"/>
              <w:keepNext w:val="0"/>
              <w:keepLines w:val="0"/>
              <w:pageBreakBefore w:val="0"/>
              <w:kinsoku/>
              <w:wordWrap/>
              <w:overflowPunct/>
              <w:topLinePunct w:val="0"/>
              <w:bidi w:val="0"/>
              <w:snapToGrid/>
              <w:spacing w:line="460" w:lineRule="exact"/>
              <w:ind w:left="0" w:leftChars="0" w:firstLine="0" w:firstLineChars="0"/>
              <w:jc w:val="center"/>
              <w:textAlignment w:val="auto"/>
              <w:rPr>
                <w:rFonts w:hint="eastAsia" w:ascii="宋体" w:hAnsi="宋体" w:eastAsia="宋体" w:cs="宋体"/>
                <w:b/>
                <w:color w:val="auto"/>
                <w:sz w:val="22"/>
                <w:szCs w:val="22"/>
                <w:highlight w:val="none"/>
                <w:vertAlign w:val="baseline"/>
                <w:lang w:val="en-US" w:eastAsia="zh-CN"/>
              </w:rPr>
            </w:pPr>
            <w:r>
              <w:rPr>
                <w:rFonts w:hint="eastAsia" w:ascii="宋体" w:hAnsi="宋体" w:eastAsia="宋体" w:cs="宋体"/>
                <w:b/>
                <w:color w:val="auto"/>
                <w:sz w:val="22"/>
                <w:szCs w:val="22"/>
                <w:highlight w:val="none"/>
                <w:vertAlign w:val="baseline"/>
                <w:lang w:val="en-US" w:eastAsia="zh-CN"/>
              </w:rPr>
              <w:t>评分细则</w:t>
            </w:r>
          </w:p>
        </w:tc>
        <w:tc>
          <w:tcPr>
            <w:tcW w:w="787" w:type="dxa"/>
            <w:noWrap w:val="0"/>
            <w:vAlign w:val="center"/>
          </w:tcPr>
          <w:p>
            <w:pPr>
              <w:pStyle w:val="22"/>
              <w:keepNext w:val="0"/>
              <w:keepLines w:val="0"/>
              <w:pageBreakBefore w:val="0"/>
              <w:kinsoku/>
              <w:wordWrap/>
              <w:overflowPunct/>
              <w:topLinePunct w:val="0"/>
              <w:bidi w:val="0"/>
              <w:snapToGrid/>
              <w:spacing w:line="460" w:lineRule="exact"/>
              <w:ind w:left="0" w:leftChars="0" w:firstLine="0" w:firstLineChars="0"/>
              <w:jc w:val="center"/>
              <w:textAlignment w:val="auto"/>
              <w:rPr>
                <w:rFonts w:hint="eastAsia" w:ascii="宋体" w:hAnsi="宋体" w:eastAsia="宋体" w:cs="宋体"/>
                <w:b/>
                <w:color w:val="auto"/>
                <w:sz w:val="22"/>
                <w:szCs w:val="22"/>
                <w:highlight w:val="none"/>
                <w:vertAlign w:val="baseline"/>
                <w:lang w:val="en-US" w:eastAsia="zh-CN"/>
              </w:rPr>
            </w:pPr>
            <w:r>
              <w:rPr>
                <w:rFonts w:hint="eastAsia" w:ascii="宋体" w:hAnsi="宋体" w:eastAsia="宋体" w:cs="宋体"/>
                <w:b/>
                <w:color w:val="auto"/>
                <w:sz w:val="22"/>
                <w:szCs w:val="22"/>
                <w:highlight w:val="none"/>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87" w:type="dxa"/>
            <w:vMerge w:val="restart"/>
            <w:noWrap w:val="0"/>
            <w:vAlign w:val="center"/>
          </w:tcPr>
          <w:p>
            <w:pPr>
              <w:pStyle w:val="22"/>
              <w:keepNext w:val="0"/>
              <w:keepLines w:val="0"/>
              <w:pageBreakBefore w:val="0"/>
              <w:kinsoku/>
              <w:wordWrap/>
              <w:overflowPunct/>
              <w:topLinePunct w:val="0"/>
              <w:bidi w:val="0"/>
              <w:snapToGrid/>
              <w:spacing w:line="460" w:lineRule="exact"/>
              <w:ind w:left="0" w:leftChars="0" w:firstLine="0" w:firstLineChars="0"/>
              <w:jc w:val="center"/>
              <w:textAlignment w:val="auto"/>
              <w:rPr>
                <w:rFonts w:hint="eastAsia"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color w:val="auto"/>
                <w:sz w:val="22"/>
                <w:szCs w:val="22"/>
                <w:highlight w:val="none"/>
                <w:vertAlign w:val="baseline"/>
                <w:lang w:val="en-US" w:eastAsia="zh-CN"/>
              </w:rPr>
              <w:t>1</w:t>
            </w:r>
          </w:p>
        </w:tc>
        <w:tc>
          <w:tcPr>
            <w:tcW w:w="1850" w:type="dxa"/>
            <w:vMerge w:val="restart"/>
            <w:noWrap w:val="0"/>
            <w:vAlign w:val="center"/>
          </w:tcPr>
          <w:p>
            <w:pPr>
              <w:pStyle w:val="22"/>
              <w:keepNext w:val="0"/>
              <w:keepLines w:val="0"/>
              <w:pageBreakBefore w:val="0"/>
              <w:kinsoku/>
              <w:wordWrap/>
              <w:overflowPunct/>
              <w:topLinePunct w:val="0"/>
              <w:bidi w:val="0"/>
              <w:snapToGrid/>
              <w:spacing w:line="460" w:lineRule="exact"/>
              <w:ind w:left="0" w:leftChars="0" w:firstLine="0" w:firstLineChars="0"/>
              <w:jc w:val="center"/>
              <w:textAlignment w:val="auto"/>
              <w:rPr>
                <w:rFonts w:hint="eastAsia"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color w:val="auto"/>
                <w:sz w:val="22"/>
                <w:szCs w:val="22"/>
                <w:highlight w:val="none"/>
                <w:vertAlign w:val="baseline"/>
                <w:lang w:val="en-US" w:eastAsia="zh-CN"/>
              </w:rPr>
              <w:t>投标人企业综合情况</w:t>
            </w:r>
          </w:p>
        </w:tc>
        <w:tc>
          <w:tcPr>
            <w:tcW w:w="6838" w:type="dxa"/>
            <w:noWrap w:val="0"/>
            <w:vAlign w:val="top"/>
          </w:tcPr>
          <w:p>
            <w:pPr>
              <w:pStyle w:val="22"/>
              <w:keepNext w:val="0"/>
              <w:keepLines w:val="0"/>
              <w:pageBreakBefore w:val="0"/>
              <w:kinsoku/>
              <w:wordWrap/>
              <w:overflowPunct/>
              <w:topLinePunct w:val="0"/>
              <w:bidi w:val="0"/>
              <w:snapToGrid/>
              <w:spacing w:line="460" w:lineRule="exact"/>
              <w:ind w:left="0" w:leftChars="0" w:firstLine="0" w:firstLineChars="0"/>
              <w:jc w:val="left"/>
              <w:textAlignment w:val="auto"/>
              <w:rPr>
                <w:rFonts w:hint="eastAsia"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color w:val="auto"/>
                <w:sz w:val="22"/>
                <w:szCs w:val="22"/>
                <w:highlight w:val="none"/>
                <w:vertAlign w:val="baseline"/>
                <w:lang w:val="en-US" w:eastAsia="zh-CN"/>
              </w:rPr>
              <w:t>根据投标人的企业综合情况进行比较打分（0-2分）。</w:t>
            </w:r>
          </w:p>
        </w:tc>
        <w:tc>
          <w:tcPr>
            <w:tcW w:w="787" w:type="dxa"/>
            <w:noWrap w:val="0"/>
            <w:vAlign w:val="center"/>
          </w:tcPr>
          <w:p>
            <w:pPr>
              <w:pStyle w:val="22"/>
              <w:keepNext w:val="0"/>
              <w:keepLines w:val="0"/>
              <w:pageBreakBefore w:val="0"/>
              <w:kinsoku/>
              <w:wordWrap/>
              <w:overflowPunct/>
              <w:topLinePunct w:val="0"/>
              <w:bidi w:val="0"/>
              <w:snapToGrid/>
              <w:spacing w:line="460" w:lineRule="exact"/>
              <w:ind w:left="0" w:leftChars="0" w:firstLine="0" w:firstLineChars="0"/>
              <w:jc w:val="center"/>
              <w:textAlignment w:val="auto"/>
              <w:rPr>
                <w:rFonts w:hint="eastAsia"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color w:val="auto"/>
                <w:sz w:val="22"/>
                <w:szCs w:val="22"/>
                <w:highlight w:val="none"/>
                <w:vertAlign w:val="baseli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7" w:type="dxa"/>
            <w:vMerge w:val="continue"/>
            <w:noWrap w:val="0"/>
            <w:vAlign w:val="center"/>
          </w:tcPr>
          <w:p>
            <w:pPr>
              <w:pStyle w:val="22"/>
              <w:keepNext w:val="0"/>
              <w:keepLines w:val="0"/>
              <w:pageBreakBefore w:val="0"/>
              <w:kinsoku/>
              <w:wordWrap/>
              <w:overflowPunct/>
              <w:topLinePunct w:val="0"/>
              <w:bidi w:val="0"/>
              <w:snapToGrid/>
              <w:spacing w:line="460" w:lineRule="exact"/>
              <w:jc w:val="center"/>
              <w:textAlignment w:val="auto"/>
              <w:rPr>
                <w:rFonts w:hint="eastAsia" w:ascii="宋体" w:hAnsi="宋体" w:eastAsia="宋体" w:cs="宋体"/>
                <w:b w:val="0"/>
                <w:bCs/>
                <w:color w:val="auto"/>
                <w:sz w:val="22"/>
                <w:szCs w:val="22"/>
                <w:highlight w:val="none"/>
                <w:vertAlign w:val="baseline"/>
              </w:rPr>
            </w:pPr>
          </w:p>
        </w:tc>
        <w:tc>
          <w:tcPr>
            <w:tcW w:w="1850" w:type="dxa"/>
            <w:vMerge w:val="continue"/>
            <w:noWrap w:val="0"/>
            <w:vAlign w:val="center"/>
          </w:tcPr>
          <w:p>
            <w:pPr>
              <w:keepNext w:val="0"/>
              <w:keepLines w:val="0"/>
              <w:pageBreakBefore w:val="0"/>
              <w:kinsoku/>
              <w:wordWrap/>
              <w:overflowPunct/>
              <w:topLinePunct w:val="0"/>
              <w:bidi w:val="0"/>
              <w:snapToGrid/>
              <w:spacing w:before="72" w:beforeLines="30" w:after="72" w:afterLines="30" w:line="460" w:lineRule="exact"/>
              <w:jc w:val="center"/>
              <w:textAlignment w:val="auto"/>
              <w:rPr>
                <w:rFonts w:hint="eastAsia" w:ascii="宋体" w:hAnsi="宋体" w:eastAsia="宋体" w:cs="宋体"/>
                <w:color w:val="auto"/>
                <w:sz w:val="22"/>
                <w:szCs w:val="22"/>
                <w:highlight w:val="none"/>
                <w:lang w:eastAsia="zh-CN"/>
              </w:rPr>
            </w:pPr>
          </w:p>
        </w:tc>
        <w:tc>
          <w:tcPr>
            <w:tcW w:w="6838" w:type="dxa"/>
            <w:noWrap w:val="0"/>
            <w:vAlign w:val="top"/>
          </w:tcPr>
          <w:p>
            <w:pPr>
              <w:keepNext w:val="0"/>
              <w:keepLines w:val="0"/>
              <w:pageBreakBefore w:val="0"/>
              <w:kinsoku/>
              <w:wordWrap/>
              <w:overflowPunct/>
              <w:topLinePunct w:val="0"/>
              <w:bidi w:val="0"/>
              <w:snapToGrid/>
              <w:spacing w:before="72" w:beforeLines="30" w:after="72" w:afterLines="30" w:line="46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投标人通过ISO质量管理体系认证、环境管理体系认证、职业健康安全管理体系认证且在有效期内的，每个得1分，</w:t>
            </w:r>
            <w:r>
              <w:rPr>
                <w:rFonts w:hint="eastAsia" w:ascii="宋体" w:hAnsi="宋体" w:eastAsia="宋体" w:cs="宋体"/>
                <w:color w:val="auto"/>
                <w:sz w:val="22"/>
                <w:szCs w:val="22"/>
                <w:highlight w:val="none"/>
                <w:lang w:val="en-US" w:eastAsia="zh-CN"/>
              </w:rPr>
              <w:t>最多3分，</w:t>
            </w:r>
            <w:r>
              <w:rPr>
                <w:rFonts w:hint="eastAsia" w:ascii="宋体" w:hAnsi="宋体" w:eastAsia="宋体" w:cs="宋体"/>
                <w:color w:val="auto"/>
                <w:sz w:val="22"/>
                <w:szCs w:val="22"/>
                <w:highlight w:val="none"/>
              </w:rPr>
              <w:t>没有的不得分。</w:t>
            </w:r>
          </w:p>
        </w:tc>
        <w:tc>
          <w:tcPr>
            <w:tcW w:w="787" w:type="dxa"/>
            <w:noWrap w:val="0"/>
            <w:vAlign w:val="center"/>
          </w:tcPr>
          <w:p>
            <w:pPr>
              <w:keepNext w:val="0"/>
              <w:keepLines w:val="0"/>
              <w:pageBreakBefore w:val="0"/>
              <w:kinsoku/>
              <w:wordWrap/>
              <w:overflowPunct/>
              <w:topLinePunct w:val="0"/>
              <w:bidi w:val="0"/>
              <w:snapToGrid/>
              <w:spacing w:before="72" w:beforeLines="30" w:after="72" w:afterLines="30" w:line="4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687" w:type="dxa"/>
            <w:vMerge w:val="restart"/>
            <w:noWrap w:val="0"/>
            <w:vAlign w:val="center"/>
          </w:tcPr>
          <w:p>
            <w:pPr>
              <w:pStyle w:val="22"/>
              <w:keepNext w:val="0"/>
              <w:keepLines w:val="0"/>
              <w:pageBreakBefore w:val="0"/>
              <w:kinsoku/>
              <w:wordWrap/>
              <w:overflowPunct/>
              <w:topLinePunct w:val="0"/>
              <w:bidi w:val="0"/>
              <w:snapToGrid/>
              <w:spacing w:line="460" w:lineRule="exact"/>
              <w:ind w:left="0" w:leftChars="0" w:firstLine="0" w:firstLineChars="0"/>
              <w:jc w:val="center"/>
              <w:textAlignment w:val="auto"/>
              <w:rPr>
                <w:rFonts w:hint="default" w:ascii="宋体" w:hAnsi="宋体" w:eastAsia="宋体" w:cs="宋体"/>
                <w:b w:val="0"/>
                <w:bCs/>
                <w:color w:val="auto"/>
                <w:sz w:val="22"/>
                <w:szCs w:val="22"/>
                <w:highlight w:val="none"/>
                <w:vertAlign w:val="baseline"/>
                <w:lang w:val="en-US" w:eastAsia="zh-CN"/>
              </w:rPr>
            </w:pPr>
            <w:r>
              <w:rPr>
                <w:rFonts w:hint="eastAsia" w:ascii="宋体" w:hAnsi="宋体" w:cs="宋体"/>
                <w:b w:val="0"/>
                <w:bCs/>
                <w:color w:val="auto"/>
                <w:sz w:val="22"/>
                <w:szCs w:val="22"/>
                <w:highlight w:val="none"/>
                <w:vertAlign w:val="baseline"/>
                <w:lang w:val="en-US" w:eastAsia="zh-CN"/>
              </w:rPr>
              <w:t>2</w:t>
            </w:r>
          </w:p>
        </w:tc>
        <w:tc>
          <w:tcPr>
            <w:tcW w:w="1850" w:type="dxa"/>
            <w:vMerge w:val="restart"/>
            <w:noWrap w:val="0"/>
            <w:vAlign w:val="center"/>
          </w:tcPr>
          <w:p>
            <w:pPr>
              <w:keepNext w:val="0"/>
              <w:keepLines w:val="0"/>
              <w:pageBreakBefore w:val="0"/>
              <w:kinsoku/>
              <w:wordWrap/>
              <w:overflowPunct/>
              <w:topLinePunct w:val="0"/>
              <w:bidi w:val="0"/>
              <w:snapToGrid/>
              <w:spacing w:before="72" w:beforeLines="30" w:after="72" w:afterLines="30" w:line="4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养护方</w:t>
            </w:r>
            <w:r>
              <w:rPr>
                <w:rFonts w:hint="eastAsia" w:ascii="宋体" w:hAnsi="宋体" w:eastAsia="宋体" w:cs="宋体"/>
                <w:color w:val="auto"/>
                <w:sz w:val="22"/>
                <w:szCs w:val="22"/>
                <w:highlight w:val="none"/>
                <w:lang w:val="en-US" w:eastAsia="zh-CN"/>
              </w:rPr>
              <w:t>案</w:t>
            </w:r>
          </w:p>
        </w:tc>
        <w:tc>
          <w:tcPr>
            <w:tcW w:w="6838" w:type="dxa"/>
            <w:noWrap w:val="0"/>
            <w:vAlign w:val="top"/>
          </w:tcPr>
          <w:p>
            <w:pPr>
              <w:keepNext w:val="0"/>
              <w:keepLines w:val="0"/>
              <w:pageBreakBefore w:val="0"/>
              <w:kinsoku/>
              <w:wordWrap/>
              <w:overflowPunct/>
              <w:topLinePunct w:val="0"/>
              <w:bidi w:val="0"/>
              <w:snapToGrid/>
              <w:spacing w:before="72" w:beforeLines="30" w:after="72" w:afterLines="30" w:line="460" w:lineRule="exact"/>
              <w:jc w:val="left"/>
              <w:textAlignment w:val="auto"/>
              <w:rPr>
                <w:rFonts w:hint="eastAsia" w:ascii="宋体" w:hAnsi="宋体" w:eastAsia="宋体" w:cs="宋体"/>
                <w:b w:val="0"/>
                <w:bCs/>
                <w:color w:val="auto"/>
                <w:sz w:val="22"/>
                <w:szCs w:val="22"/>
                <w:highlight w:val="none"/>
                <w:vertAlign w:val="baseline"/>
              </w:rPr>
            </w:pPr>
            <w:r>
              <w:rPr>
                <w:rFonts w:hint="eastAsia" w:ascii="宋体" w:hAnsi="宋体" w:eastAsia="宋体" w:cs="宋体"/>
                <w:color w:val="auto"/>
                <w:sz w:val="22"/>
                <w:szCs w:val="22"/>
                <w:highlight w:val="none"/>
                <w:lang w:val="en-US" w:eastAsia="zh-CN"/>
              </w:rPr>
              <w:t>根据投标人提供的</w:t>
            </w:r>
            <w:r>
              <w:rPr>
                <w:rFonts w:hint="eastAsia" w:ascii="宋体" w:hAnsi="宋体" w:cs="宋体"/>
                <w:color w:val="auto"/>
                <w:sz w:val="22"/>
                <w:szCs w:val="22"/>
                <w:highlight w:val="none"/>
                <w:lang w:val="en-US" w:eastAsia="zh-CN"/>
              </w:rPr>
              <w:t>养护方案：</w:t>
            </w:r>
            <w:r>
              <w:rPr>
                <w:rFonts w:hint="eastAsia" w:ascii="宋体" w:hAnsi="宋体" w:eastAsia="宋体" w:cs="宋体"/>
                <w:color w:val="auto"/>
                <w:sz w:val="22"/>
                <w:szCs w:val="22"/>
                <w:highlight w:val="none"/>
                <w:lang w:val="en-US" w:eastAsia="zh-CN"/>
              </w:rPr>
              <w:t>经常性检查、常规定期检测、日常维养工作、安全生产</w:t>
            </w:r>
            <w:r>
              <w:rPr>
                <w:rFonts w:hint="eastAsia" w:ascii="宋体" w:hAnsi="宋体" w:cs="宋体"/>
                <w:color w:val="auto"/>
                <w:sz w:val="22"/>
                <w:szCs w:val="22"/>
                <w:highlight w:val="none"/>
                <w:lang w:val="en-US" w:eastAsia="zh-CN"/>
              </w:rPr>
              <w:t>方案</w:t>
            </w:r>
            <w:r>
              <w:rPr>
                <w:rFonts w:hint="eastAsia" w:ascii="宋体" w:hAnsi="宋体" w:eastAsia="宋体" w:cs="宋体"/>
                <w:color w:val="auto"/>
                <w:sz w:val="22"/>
                <w:szCs w:val="22"/>
                <w:highlight w:val="none"/>
                <w:lang w:val="en-US" w:eastAsia="zh-CN"/>
              </w:rPr>
              <w:t>是否符合招标内</w:t>
            </w:r>
            <w:r>
              <w:rPr>
                <w:rFonts w:hint="eastAsia" w:ascii="宋体" w:hAnsi="宋体" w:eastAsia="宋体" w:cs="宋体"/>
                <w:color w:val="auto"/>
                <w:sz w:val="22"/>
                <w:szCs w:val="22"/>
                <w:highlight w:val="none"/>
              </w:rPr>
              <w:t>容及要求</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方案是否</w:t>
            </w:r>
            <w:r>
              <w:rPr>
                <w:rFonts w:hint="eastAsia" w:ascii="宋体" w:hAnsi="宋体" w:eastAsia="宋体" w:cs="宋体"/>
                <w:color w:val="auto"/>
                <w:sz w:val="22"/>
                <w:szCs w:val="22"/>
                <w:highlight w:val="none"/>
              </w:rPr>
              <w:t>科学合理、具有针对性及可操作性</w:t>
            </w:r>
            <w:r>
              <w:rPr>
                <w:rFonts w:hint="eastAsia" w:ascii="宋体" w:hAnsi="宋体" w:eastAsia="宋体" w:cs="宋体"/>
                <w:color w:val="auto"/>
                <w:sz w:val="22"/>
                <w:szCs w:val="22"/>
                <w:highlight w:val="none"/>
                <w:lang w:val="en-US" w:eastAsia="zh-CN"/>
              </w:rPr>
              <w:t>进行综合比较打分（0-</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分）</w:t>
            </w:r>
            <w:r>
              <w:rPr>
                <w:rFonts w:hint="eastAsia" w:ascii="宋体" w:hAnsi="宋体" w:eastAsia="宋体" w:cs="宋体"/>
                <w:color w:val="auto"/>
                <w:sz w:val="22"/>
                <w:szCs w:val="22"/>
                <w:highlight w:val="none"/>
              </w:rPr>
              <w:t>。</w:t>
            </w:r>
          </w:p>
        </w:tc>
        <w:tc>
          <w:tcPr>
            <w:tcW w:w="787" w:type="dxa"/>
            <w:noWrap w:val="0"/>
            <w:vAlign w:val="center"/>
          </w:tcPr>
          <w:p>
            <w:pPr>
              <w:keepNext w:val="0"/>
              <w:keepLines w:val="0"/>
              <w:pageBreakBefore w:val="0"/>
              <w:kinsoku/>
              <w:wordWrap/>
              <w:overflowPunct/>
              <w:topLinePunct w:val="0"/>
              <w:bidi w:val="0"/>
              <w:snapToGrid/>
              <w:spacing w:before="72" w:beforeLines="30" w:after="72" w:afterLines="30" w:line="460" w:lineRule="exact"/>
              <w:jc w:val="center"/>
              <w:textAlignment w:val="auto"/>
              <w:rPr>
                <w:rFonts w:hint="eastAsia" w:ascii="宋体" w:hAnsi="宋体" w:eastAsia="宋体" w:cs="宋体"/>
                <w:b w:val="0"/>
                <w:bCs/>
                <w:color w:val="auto"/>
                <w:sz w:val="22"/>
                <w:szCs w:val="22"/>
                <w:highlight w:val="none"/>
                <w:vertAlign w:val="baseline"/>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687" w:type="dxa"/>
            <w:vMerge w:val="continue"/>
            <w:noWrap w:val="0"/>
            <w:vAlign w:val="center"/>
          </w:tcPr>
          <w:p>
            <w:pPr>
              <w:pStyle w:val="22"/>
              <w:keepNext w:val="0"/>
              <w:keepLines w:val="0"/>
              <w:pageBreakBefore w:val="0"/>
              <w:kinsoku/>
              <w:wordWrap/>
              <w:overflowPunct/>
              <w:topLinePunct w:val="0"/>
              <w:bidi w:val="0"/>
              <w:snapToGrid/>
              <w:spacing w:line="460" w:lineRule="exact"/>
              <w:jc w:val="center"/>
              <w:textAlignment w:val="auto"/>
              <w:rPr>
                <w:rFonts w:hint="eastAsia" w:ascii="宋体" w:hAnsi="宋体" w:eastAsia="宋体" w:cs="宋体"/>
                <w:b w:val="0"/>
                <w:bCs/>
                <w:color w:val="auto"/>
                <w:sz w:val="22"/>
                <w:szCs w:val="22"/>
                <w:highlight w:val="none"/>
                <w:vertAlign w:val="baseline"/>
              </w:rPr>
            </w:pPr>
          </w:p>
        </w:tc>
        <w:tc>
          <w:tcPr>
            <w:tcW w:w="1850" w:type="dxa"/>
            <w:vMerge w:val="continue"/>
            <w:noWrap w:val="0"/>
            <w:vAlign w:val="center"/>
          </w:tcPr>
          <w:p>
            <w:pPr>
              <w:keepNext w:val="0"/>
              <w:keepLines w:val="0"/>
              <w:pageBreakBefore w:val="0"/>
              <w:kinsoku/>
              <w:wordWrap/>
              <w:overflowPunct/>
              <w:topLinePunct w:val="0"/>
              <w:bidi w:val="0"/>
              <w:snapToGrid/>
              <w:spacing w:before="72" w:beforeLines="30" w:after="72" w:afterLines="30" w:line="460" w:lineRule="exact"/>
              <w:jc w:val="center"/>
              <w:textAlignment w:val="auto"/>
              <w:rPr>
                <w:rFonts w:hint="eastAsia" w:ascii="宋体" w:hAnsi="宋体" w:eastAsia="宋体" w:cs="宋体"/>
                <w:color w:val="auto"/>
                <w:sz w:val="22"/>
                <w:szCs w:val="22"/>
                <w:highlight w:val="none"/>
                <w:lang w:val="en-US" w:eastAsia="zh-CN"/>
              </w:rPr>
            </w:pPr>
          </w:p>
        </w:tc>
        <w:tc>
          <w:tcPr>
            <w:tcW w:w="6838" w:type="dxa"/>
            <w:noWrap w:val="0"/>
            <w:vAlign w:val="top"/>
          </w:tcPr>
          <w:p>
            <w:pPr>
              <w:keepNext w:val="0"/>
              <w:keepLines w:val="0"/>
              <w:pageBreakBefore w:val="0"/>
              <w:kinsoku/>
              <w:wordWrap/>
              <w:overflowPunct/>
              <w:topLinePunct w:val="0"/>
              <w:bidi w:val="0"/>
              <w:snapToGrid/>
              <w:spacing w:before="72" w:beforeLines="30" w:after="72" w:afterLines="30" w:line="460" w:lineRule="exact"/>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根据投标人提供的</w:t>
            </w:r>
            <w:r>
              <w:rPr>
                <w:rFonts w:hint="eastAsia" w:ascii="宋体" w:hAnsi="宋体" w:cs="宋体"/>
                <w:color w:val="auto"/>
                <w:sz w:val="22"/>
                <w:szCs w:val="22"/>
                <w:highlight w:val="none"/>
                <w:lang w:val="en-US" w:eastAsia="zh-CN"/>
              </w:rPr>
              <w:t>养护方案：</w:t>
            </w:r>
            <w:r>
              <w:rPr>
                <w:rFonts w:hint="eastAsia" w:ascii="宋体" w:hAnsi="宋体" w:eastAsia="宋体" w:cs="宋体"/>
                <w:color w:val="auto"/>
                <w:sz w:val="22"/>
                <w:szCs w:val="22"/>
                <w:highlight w:val="none"/>
                <w:lang w:val="en-US" w:eastAsia="zh-CN"/>
              </w:rPr>
              <w:t>桥梁监控中心值守</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应急保障和节日保障</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设施档案管理等</w:t>
            </w:r>
            <w:r>
              <w:rPr>
                <w:rFonts w:hint="eastAsia" w:ascii="宋体" w:hAnsi="宋体" w:cs="宋体"/>
                <w:color w:val="auto"/>
                <w:sz w:val="22"/>
                <w:szCs w:val="22"/>
                <w:highlight w:val="none"/>
                <w:lang w:val="en-US" w:eastAsia="zh-CN"/>
              </w:rPr>
              <w:t>其他方案内容</w:t>
            </w:r>
            <w:r>
              <w:rPr>
                <w:rFonts w:hint="eastAsia" w:ascii="宋体" w:hAnsi="宋体" w:eastAsia="宋体" w:cs="宋体"/>
                <w:color w:val="auto"/>
                <w:sz w:val="22"/>
                <w:szCs w:val="22"/>
                <w:highlight w:val="none"/>
                <w:lang w:val="en-US" w:eastAsia="zh-CN"/>
              </w:rPr>
              <w:t>是否符合招标内</w:t>
            </w:r>
            <w:r>
              <w:rPr>
                <w:rFonts w:hint="eastAsia" w:ascii="宋体" w:hAnsi="宋体" w:eastAsia="宋体" w:cs="宋体"/>
                <w:color w:val="auto"/>
                <w:sz w:val="22"/>
                <w:szCs w:val="22"/>
                <w:highlight w:val="none"/>
              </w:rPr>
              <w:t>容及要求</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方案是否</w:t>
            </w:r>
            <w:r>
              <w:rPr>
                <w:rFonts w:hint="eastAsia" w:ascii="宋体" w:hAnsi="宋体" w:eastAsia="宋体" w:cs="宋体"/>
                <w:color w:val="auto"/>
                <w:sz w:val="22"/>
                <w:szCs w:val="22"/>
                <w:highlight w:val="none"/>
              </w:rPr>
              <w:t>科学合理、具有针对性及可操作性</w:t>
            </w:r>
            <w:r>
              <w:rPr>
                <w:rFonts w:hint="eastAsia" w:ascii="宋体" w:hAnsi="宋体" w:eastAsia="宋体" w:cs="宋体"/>
                <w:color w:val="auto"/>
                <w:sz w:val="22"/>
                <w:szCs w:val="22"/>
                <w:highlight w:val="none"/>
                <w:lang w:val="en-US" w:eastAsia="zh-CN"/>
              </w:rPr>
              <w:t>进行综合比较打分（0-</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分）</w:t>
            </w:r>
          </w:p>
        </w:tc>
        <w:tc>
          <w:tcPr>
            <w:tcW w:w="787" w:type="dxa"/>
            <w:noWrap w:val="0"/>
            <w:vAlign w:val="center"/>
          </w:tcPr>
          <w:p>
            <w:pPr>
              <w:keepNext w:val="0"/>
              <w:keepLines w:val="0"/>
              <w:pageBreakBefore w:val="0"/>
              <w:kinsoku/>
              <w:wordWrap/>
              <w:overflowPunct/>
              <w:topLinePunct w:val="0"/>
              <w:bidi w:val="0"/>
              <w:snapToGrid/>
              <w:spacing w:before="72" w:beforeLines="30" w:after="72" w:afterLines="30" w:line="460" w:lineRule="exact"/>
              <w:jc w:val="center"/>
              <w:textAlignment w:val="auto"/>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687" w:type="dxa"/>
            <w:vMerge w:val="restart"/>
            <w:noWrap w:val="0"/>
            <w:vAlign w:val="center"/>
          </w:tcPr>
          <w:p>
            <w:pPr>
              <w:pStyle w:val="22"/>
              <w:keepNext w:val="0"/>
              <w:keepLines w:val="0"/>
              <w:pageBreakBefore w:val="0"/>
              <w:kinsoku/>
              <w:wordWrap/>
              <w:overflowPunct/>
              <w:topLinePunct w:val="0"/>
              <w:bidi w:val="0"/>
              <w:snapToGrid/>
              <w:spacing w:line="460" w:lineRule="exact"/>
              <w:jc w:val="center"/>
              <w:textAlignment w:val="auto"/>
              <w:rPr>
                <w:rFonts w:hint="eastAsia" w:ascii="宋体" w:hAnsi="宋体" w:eastAsia="宋体" w:cs="宋体"/>
                <w:b w:val="0"/>
                <w:bCs/>
                <w:color w:val="auto"/>
                <w:sz w:val="22"/>
                <w:szCs w:val="22"/>
                <w:highlight w:val="none"/>
                <w:vertAlign w:val="baseline"/>
                <w:lang w:val="en-US" w:eastAsia="zh-CN"/>
              </w:rPr>
            </w:pPr>
            <w:r>
              <w:rPr>
                <w:rFonts w:hint="eastAsia" w:ascii="宋体" w:hAnsi="宋体" w:cs="宋体"/>
                <w:b w:val="0"/>
                <w:bCs/>
                <w:color w:val="auto"/>
                <w:sz w:val="22"/>
                <w:szCs w:val="22"/>
                <w:highlight w:val="none"/>
                <w:vertAlign w:val="baseline"/>
                <w:lang w:val="en-US" w:eastAsia="zh-CN"/>
              </w:rPr>
              <w:t>3</w:t>
            </w:r>
          </w:p>
        </w:tc>
        <w:tc>
          <w:tcPr>
            <w:tcW w:w="1850" w:type="dxa"/>
            <w:vMerge w:val="restart"/>
            <w:noWrap w:val="0"/>
            <w:vAlign w:val="center"/>
          </w:tcPr>
          <w:p>
            <w:pPr>
              <w:keepNext w:val="0"/>
              <w:keepLines w:val="0"/>
              <w:pageBreakBefore w:val="0"/>
              <w:kinsoku/>
              <w:wordWrap/>
              <w:overflowPunct/>
              <w:topLinePunct w:val="0"/>
              <w:bidi w:val="0"/>
              <w:snapToGrid/>
              <w:spacing w:before="72" w:beforeLines="30" w:after="72" w:afterLines="30" w:line="460" w:lineRule="exact"/>
              <w:jc w:val="center"/>
              <w:textAlignment w:val="auto"/>
              <w:rPr>
                <w:rFonts w:hint="eastAsia" w:ascii="宋体" w:hAnsi="宋体" w:eastAsia="宋体" w:cs="宋体"/>
                <w:b w:val="0"/>
                <w:bCs/>
                <w:color w:val="auto"/>
                <w:sz w:val="22"/>
                <w:szCs w:val="22"/>
                <w:highlight w:val="none"/>
                <w:vertAlign w:val="baseline"/>
              </w:rPr>
            </w:pPr>
            <w:r>
              <w:rPr>
                <w:rFonts w:hint="eastAsia" w:ascii="宋体" w:hAnsi="宋体" w:eastAsia="宋体" w:cs="宋体"/>
                <w:color w:val="auto"/>
                <w:sz w:val="22"/>
                <w:szCs w:val="22"/>
                <w:highlight w:val="none"/>
                <w:lang w:val="en-US" w:eastAsia="zh-CN"/>
              </w:rPr>
              <w:t>安全文明养护方案</w:t>
            </w:r>
          </w:p>
        </w:tc>
        <w:tc>
          <w:tcPr>
            <w:tcW w:w="6838" w:type="dxa"/>
            <w:noWrap w:val="0"/>
            <w:vAlign w:val="top"/>
          </w:tcPr>
          <w:p>
            <w:pPr>
              <w:keepNext w:val="0"/>
              <w:keepLines w:val="0"/>
              <w:pageBreakBefore w:val="0"/>
              <w:kinsoku/>
              <w:wordWrap/>
              <w:overflowPunct/>
              <w:topLinePunct w:val="0"/>
              <w:bidi w:val="0"/>
              <w:snapToGrid/>
              <w:spacing w:before="72" w:beforeLines="30" w:after="72" w:afterLines="30" w:line="460" w:lineRule="exact"/>
              <w:jc w:val="left"/>
              <w:textAlignment w:val="auto"/>
              <w:rPr>
                <w:rFonts w:hint="eastAsia"/>
                <w:color w:val="auto"/>
                <w:highlight w:val="none"/>
              </w:rPr>
            </w:pPr>
            <w:r>
              <w:rPr>
                <w:rFonts w:hint="eastAsia"/>
                <w:color w:val="auto"/>
                <w:sz w:val="22"/>
                <w:szCs w:val="28"/>
                <w:highlight w:val="none"/>
                <w:lang w:val="en-US" w:eastAsia="zh-CN"/>
              </w:rPr>
              <w:t>根据投标人提供的</w:t>
            </w:r>
            <w:r>
              <w:rPr>
                <w:rFonts w:hint="eastAsia"/>
                <w:color w:val="auto"/>
                <w:sz w:val="22"/>
                <w:szCs w:val="28"/>
                <w:highlight w:val="none"/>
              </w:rPr>
              <w:t>市政养护安全保证体系和安全管理制度</w:t>
            </w:r>
            <w:r>
              <w:rPr>
                <w:rFonts w:hint="eastAsia"/>
                <w:color w:val="auto"/>
                <w:sz w:val="22"/>
                <w:szCs w:val="28"/>
                <w:highlight w:val="none"/>
                <w:lang w:val="en-US" w:eastAsia="zh-CN"/>
              </w:rPr>
              <w:t>是否完整、严密及合理等进行综合比较打分（0-3分）</w:t>
            </w:r>
            <w:r>
              <w:rPr>
                <w:rFonts w:hint="eastAsia"/>
                <w:color w:val="auto"/>
                <w:sz w:val="22"/>
                <w:szCs w:val="28"/>
                <w:highlight w:val="none"/>
              </w:rPr>
              <w:t>。</w:t>
            </w:r>
          </w:p>
        </w:tc>
        <w:tc>
          <w:tcPr>
            <w:tcW w:w="787" w:type="dxa"/>
            <w:noWrap w:val="0"/>
            <w:vAlign w:val="center"/>
          </w:tcPr>
          <w:p>
            <w:pPr>
              <w:keepNext w:val="0"/>
              <w:keepLines w:val="0"/>
              <w:pageBreakBefore w:val="0"/>
              <w:kinsoku/>
              <w:wordWrap/>
              <w:overflowPunct/>
              <w:topLinePunct w:val="0"/>
              <w:bidi w:val="0"/>
              <w:snapToGrid/>
              <w:spacing w:before="72" w:beforeLines="30" w:after="72" w:afterLines="30" w:line="460" w:lineRule="exact"/>
              <w:jc w:val="center"/>
              <w:textAlignment w:val="auto"/>
              <w:rPr>
                <w:rFonts w:hint="eastAsia" w:ascii="宋体" w:hAnsi="宋体" w:eastAsia="宋体" w:cs="宋体"/>
                <w:b w:val="0"/>
                <w:bCs/>
                <w:color w:val="auto"/>
                <w:sz w:val="22"/>
                <w:szCs w:val="22"/>
                <w:highlight w:val="none"/>
                <w:vertAlign w:val="baseli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87" w:type="dxa"/>
            <w:vMerge w:val="continue"/>
            <w:noWrap w:val="0"/>
            <w:vAlign w:val="center"/>
          </w:tcPr>
          <w:p>
            <w:pPr>
              <w:pStyle w:val="22"/>
              <w:keepNext w:val="0"/>
              <w:keepLines w:val="0"/>
              <w:pageBreakBefore w:val="0"/>
              <w:kinsoku/>
              <w:wordWrap/>
              <w:overflowPunct/>
              <w:topLinePunct w:val="0"/>
              <w:bidi w:val="0"/>
              <w:snapToGrid/>
              <w:spacing w:line="460" w:lineRule="exact"/>
              <w:jc w:val="center"/>
              <w:textAlignment w:val="auto"/>
              <w:rPr>
                <w:rFonts w:hint="eastAsia" w:ascii="宋体" w:hAnsi="宋体" w:eastAsia="宋体" w:cs="宋体"/>
                <w:b w:val="0"/>
                <w:bCs/>
                <w:color w:val="auto"/>
                <w:sz w:val="22"/>
                <w:szCs w:val="22"/>
                <w:highlight w:val="none"/>
                <w:vertAlign w:val="baseline"/>
              </w:rPr>
            </w:pPr>
          </w:p>
        </w:tc>
        <w:tc>
          <w:tcPr>
            <w:tcW w:w="1850" w:type="dxa"/>
            <w:vMerge w:val="continue"/>
            <w:noWrap w:val="0"/>
            <w:vAlign w:val="center"/>
          </w:tcPr>
          <w:p>
            <w:pPr>
              <w:keepNext w:val="0"/>
              <w:keepLines w:val="0"/>
              <w:pageBreakBefore w:val="0"/>
              <w:widowControl/>
              <w:kinsoku/>
              <w:wordWrap/>
              <w:overflowPunct/>
              <w:topLinePunct w:val="0"/>
              <w:bidi w:val="0"/>
              <w:snapToGrid/>
              <w:spacing w:line="460" w:lineRule="exact"/>
              <w:jc w:val="center"/>
              <w:textAlignment w:val="auto"/>
              <w:rPr>
                <w:rFonts w:hint="eastAsia" w:ascii="宋体" w:hAnsi="宋体" w:cs="宋体"/>
                <w:b w:val="0"/>
                <w:bCs/>
                <w:color w:val="auto"/>
                <w:sz w:val="22"/>
                <w:szCs w:val="22"/>
                <w:highlight w:val="none"/>
                <w:vertAlign w:val="baseline"/>
                <w:lang w:val="en-US" w:eastAsia="zh-CN"/>
              </w:rPr>
            </w:pPr>
          </w:p>
        </w:tc>
        <w:tc>
          <w:tcPr>
            <w:tcW w:w="6838" w:type="dxa"/>
            <w:noWrap w:val="0"/>
            <w:vAlign w:val="top"/>
          </w:tcPr>
          <w:p>
            <w:pPr>
              <w:keepNext w:val="0"/>
              <w:keepLines w:val="0"/>
              <w:pageBreakBefore w:val="0"/>
              <w:kinsoku/>
              <w:wordWrap/>
              <w:overflowPunct/>
              <w:topLinePunct w:val="0"/>
              <w:bidi w:val="0"/>
              <w:snapToGrid/>
              <w:spacing w:before="72" w:beforeLines="30" w:after="72" w:afterLines="30" w:line="460" w:lineRule="exact"/>
              <w:jc w:val="left"/>
              <w:textAlignment w:val="auto"/>
              <w:rPr>
                <w:rFonts w:hint="eastAsia" w:ascii="宋体" w:hAnsi="宋体" w:eastAsia="宋体" w:cs="宋体"/>
                <w:color w:val="auto"/>
                <w:sz w:val="22"/>
                <w:szCs w:val="22"/>
                <w:highlight w:val="none"/>
              </w:rPr>
            </w:pPr>
            <w:r>
              <w:rPr>
                <w:rFonts w:hint="eastAsia"/>
                <w:color w:val="auto"/>
                <w:sz w:val="22"/>
                <w:szCs w:val="28"/>
                <w:highlight w:val="none"/>
                <w:lang w:val="en-US" w:eastAsia="zh-CN"/>
              </w:rPr>
              <w:t>根据投标人提供的</w:t>
            </w:r>
            <w:r>
              <w:rPr>
                <w:rFonts w:hint="eastAsia"/>
                <w:color w:val="auto"/>
                <w:sz w:val="22"/>
                <w:szCs w:val="28"/>
                <w:highlight w:val="none"/>
              </w:rPr>
              <w:t>文明养护管理措施</w:t>
            </w:r>
            <w:r>
              <w:rPr>
                <w:rFonts w:hint="eastAsia"/>
                <w:color w:val="auto"/>
                <w:sz w:val="22"/>
                <w:szCs w:val="28"/>
                <w:highlight w:val="none"/>
                <w:lang w:val="en-US" w:eastAsia="zh-CN"/>
              </w:rPr>
              <w:t>和</w:t>
            </w:r>
            <w:r>
              <w:rPr>
                <w:rFonts w:hint="eastAsia"/>
                <w:color w:val="auto"/>
                <w:sz w:val="22"/>
                <w:szCs w:val="28"/>
                <w:highlight w:val="none"/>
              </w:rPr>
              <w:t>环境保护措施</w:t>
            </w:r>
            <w:r>
              <w:rPr>
                <w:rFonts w:hint="eastAsia"/>
                <w:color w:val="auto"/>
                <w:sz w:val="22"/>
                <w:szCs w:val="28"/>
                <w:highlight w:val="none"/>
                <w:lang w:val="en-US" w:eastAsia="zh-CN"/>
              </w:rPr>
              <w:t>是否完整、严密及合理等进行综合比较打分（0-3分）</w:t>
            </w:r>
            <w:r>
              <w:rPr>
                <w:rFonts w:hint="eastAsia"/>
                <w:color w:val="auto"/>
                <w:sz w:val="22"/>
                <w:szCs w:val="28"/>
                <w:highlight w:val="none"/>
              </w:rPr>
              <w:t>。</w:t>
            </w:r>
          </w:p>
        </w:tc>
        <w:tc>
          <w:tcPr>
            <w:tcW w:w="787" w:type="dxa"/>
            <w:noWrap w:val="0"/>
            <w:vAlign w:val="center"/>
          </w:tcPr>
          <w:p>
            <w:pPr>
              <w:keepNext w:val="0"/>
              <w:keepLines w:val="0"/>
              <w:pageBreakBefore w:val="0"/>
              <w:kinsoku/>
              <w:wordWrap/>
              <w:overflowPunct/>
              <w:topLinePunct w:val="0"/>
              <w:bidi w:val="0"/>
              <w:snapToGrid/>
              <w:spacing w:before="72" w:beforeLines="30" w:after="72" w:afterLines="30" w:line="460" w:lineRule="exact"/>
              <w:jc w:val="center"/>
              <w:textAlignment w:val="auto"/>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687" w:type="dxa"/>
            <w:vMerge w:val="restart"/>
            <w:noWrap w:val="0"/>
            <w:vAlign w:val="center"/>
          </w:tcPr>
          <w:p>
            <w:pPr>
              <w:pStyle w:val="22"/>
              <w:keepNext w:val="0"/>
              <w:keepLines w:val="0"/>
              <w:pageBreakBefore w:val="0"/>
              <w:kinsoku/>
              <w:wordWrap/>
              <w:overflowPunct/>
              <w:topLinePunct w:val="0"/>
              <w:bidi w:val="0"/>
              <w:snapToGrid/>
              <w:spacing w:line="460" w:lineRule="exact"/>
              <w:jc w:val="center"/>
              <w:textAlignment w:val="auto"/>
              <w:rPr>
                <w:rFonts w:hint="eastAsia" w:ascii="宋体" w:hAnsi="宋体" w:eastAsia="宋体" w:cs="宋体"/>
                <w:b w:val="0"/>
                <w:bCs/>
                <w:color w:val="auto"/>
                <w:sz w:val="22"/>
                <w:szCs w:val="22"/>
                <w:highlight w:val="none"/>
                <w:vertAlign w:val="baseline"/>
                <w:lang w:val="en-US" w:eastAsia="zh-CN"/>
              </w:rPr>
            </w:pPr>
            <w:r>
              <w:rPr>
                <w:rFonts w:hint="eastAsia" w:ascii="宋体" w:hAnsi="宋体" w:cs="宋体"/>
                <w:b w:val="0"/>
                <w:bCs/>
                <w:color w:val="auto"/>
                <w:sz w:val="22"/>
                <w:szCs w:val="22"/>
                <w:highlight w:val="none"/>
                <w:vertAlign w:val="baseline"/>
                <w:lang w:val="en-US" w:eastAsia="zh-CN"/>
              </w:rPr>
              <w:t>4</w:t>
            </w:r>
          </w:p>
        </w:tc>
        <w:tc>
          <w:tcPr>
            <w:tcW w:w="1850" w:type="dxa"/>
            <w:vMerge w:val="restart"/>
            <w:noWrap w:val="0"/>
            <w:vAlign w:val="center"/>
          </w:tcPr>
          <w:p>
            <w:pPr>
              <w:keepNext w:val="0"/>
              <w:keepLines w:val="0"/>
              <w:pageBreakBefore w:val="0"/>
              <w:widowControl/>
              <w:kinsoku/>
              <w:wordWrap/>
              <w:overflowPunct/>
              <w:topLinePunct w:val="0"/>
              <w:bidi w:val="0"/>
              <w:snapToGrid/>
              <w:spacing w:line="460" w:lineRule="exact"/>
              <w:jc w:val="center"/>
              <w:textAlignment w:val="auto"/>
              <w:rPr>
                <w:rFonts w:hint="default" w:ascii="宋体" w:hAnsi="宋体" w:eastAsia="宋体" w:cs="宋体"/>
                <w:b w:val="0"/>
                <w:bCs/>
                <w:color w:val="auto"/>
                <w:sz w:val="22"/>
                <w:szCs w:val="22"/>
                <w:highlight w:val="none"/>
                <w:vertAlign w:val="baseline"/>
                <w:lang w:val="en-US" w:eastAsia="zh-CN"/>
              </w:rPr>
            </w:pPr>
            <w:r>
              <w:rPr>
                <w:rFonts w:hint="eastAsia" w:ascii="宋体" w:hAnsi="宋体" w:cs="宋体"/>
                <w:b w:val="0"/>
                <w:bCs/>
                <w:color w:val="auto"/>
                <w:sz w:val="22"/>
                <w:szCs w:val="22"/>
                <w:highlight w:val="none"/>
                <w:vertAlign w:val="baseline"/>
                <w:lang w:val="en-US" w:eastAsia="zh-CN"/>
              </w:rPr>
              <w:t>养护重难点分析及解决方案</w:t>
            </w:r>
          </w:p>
        </w:tc>
        <w:tc>
          <w:tcPr>
            <w:tcW w:w="6838" w:type="dxa"/>
            <w:noWrap w:val="0"/>
            <w:vAlign w:val="top"/>
          </w:tcPr>
          <w:p>
            <w:pPr>
              <w:keepNext w:val="0"/>
              <w:keepLines w:val="0"/>
              <w:pageBreakBefore w:val="0"/>
              <w:kinsoku/>
              <w:wordWrap/>
              <w:overflowPunct/>
              <w:topLinePunct w:val="0"/>
              <w:bidi w:val="0"/>
              <w:snapToGrid/>
              <w:spacing w:before="72" w:beforeLines="30" w:after="72" w:afterLines="30" w:line="460" w:lineRule="exact"/>
              <w:jc w:val="left"/>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根据投标人对本项目养护的理解、重点、难点把握是否准确，分析是否到位，内容要求符合项目整体需求进行比较打分（0-3分）。</w:t>
            </w:r>
          </w:p>
        </w:tc>
        <w:tc>
          <w:tcPr>
            <w:tcW w:w="787" w:type="dxa"/>
            <w:noWrap w:val="0"/>
            <w:vAlign w:val="center"/>
          </w:tcPr>
          <w:p>
            <w:pPr>
              <w:keepNext w:val="0"/>
              <w:keepLines w:val="0"/>
              <w:pageBreakBefore w:val="0"/>
              <w:kinsoku/>
              <w:wordWrap/>
              <w:overflowPunct/>
              <w:topLinePunct w:val="0"/>
              <w:bidi w:val="0"/>
              <w:snapToGrid/>
              <w:spacing w:before="72" w:beforeLines="30" w:after="72" w:afterLines="30" w:line="460" w:lineRule="exact"/>
              <w:jc w:val="center"/>
              <w:textAlignment w:val="auto"/>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687" w:type="dxa"/>
            <w:vMerge w:val="continue"/>
            <w:noWrap w:val="0"/>
            <w:vAlign w:val="center"/>
          </w:tcPr>
          <w:p>
            <w:pPr>
              <w:pStyle w:val="22"/>
              <w:keepNext w:val="0"/>
              <w:keepLines w:val="0"/>
              <w:pageBreakBefore w:val="0"/>
              <w:kinsoku/>
              <w:wordWrap/>
              <w:overflowPunct/>
              <w:topLinePunct w:val="0"/>
              <w:bidi w:val="0"/>
              <w:snapToGrid/>
              <w:spacing w:line="460" w:lineRule="exact"/>
              <w:jc w:val="center"/>
              <w:textAlignment w:val="auto"/>
              <w:rPr>
                <w:rFonts w:hint="eastAsia" w:ascii="宋体" w:hAnsi="宋体" w:eastAsia="宋体" w:cs="宋体"/>
                <w:b w:val="0"/>
                <w:bCs/>
                <w:color w:val="auto"/>
                <w:sz w:val="22"/>
                <w:szCs w:val="22"/>
                <w:highlight w:val="none"/>
                <w:vertAlign w:val="baseline"/>
              </w:rPr>
            </w:pPr>
          </w:p>
        </w:tc>
        <w:tc>
          <w:tcPr>
            <w:tcW w:w="1850" w:type="dxa"/>
            <w:vMerge w:val="continue"/>
            <w:noWrap w:val="0"/>
            <w:vAlign w:val="center"/>
          </w:tcPr>
          <w:p>
            <w:pPr>
              <w:keepNext w:val="0"/>
              <w:keepLines w:val="0"/>
              <w:pageBreakBefore w:val="0"/>
              <w:widowControl/>
              <w:kinsoku/>
              <w:wordWrap/>
              <w:overflowPunct/>
              <w:topLinePunct w:val="0"/>
              <w:bidi w:val="0"/>
              <w:snapToGrid/>
              <w:spacing w:line="460" w:lineRule="exact"/>
              <w:jc w:val="center"/>
              <w:textAlignment w:val="auto"/>
              <w:rPr>
                <w:rFonts w:hint="default" w:ascii="宋体" w:hAnsi="宋体" w:eastAsia="宋体" w:cs="宋体"/>
                <w:b w:val="0"/>
                <w:bCs/>
                <w:color w:val="auto"/>
                <w:sz w:val="22"/>
                <w:szCs w:val="22"/>
                <w:highlight w:val="none"/>
                <w:vertAlign w:val="baseline"/>
                <w:lang w:val="en-US" w:eastAsia="zh-CN"/>
              </w:rPr>
            </w:pPr>
          </w:p>
        </w:tc>
        <w:tc>
          <w:tcPr>
            <w:tcW w:w="6838" w:type="dxa"/>
            <w:noWrap w:val="0"/>
            <w:vAlign w:val="top"/>
          </w:tcPr>
          <w:p>
            <w:pPr>
              <w:keepNext w:val="0"/>
              <w:keepLines w:val="0"/>
              <w:pageBreakBefore w:val="0"/>
              <w:kinsoku/>
              <w:wordWrap/>
              <w:overflowPunct/>
              <w:topLinePunct w:val="0"/>
              <w:bidi w:val="0"/>
              <w:snapToGrid/>
              <w:spacing w:before="72" w:beforeLines="30" w:after="72" w:afterLines="30" w:line="460" w:lineRule="exact"/>
              <w:jc w:val="left"/>
              <w:textAlignment w:val="auto"/>
              <w:rPr>
                <w:rFonts w:hint="eastAsia" w:ascii="宋体" w:hAnsi="宋体" w:eastAsia="宋体" w:cs="宋体"/>
                <w:b w:val="0"/>
                <w:bCs/>
                <w:color w:val="auto"/>
                <w:sz w:val="22"/>
                <w:szCs w:val="22"/>
                <w:highlight w:val="none"/>
                <w:vertAlign w:val="baseline"/>
              </w:rPr>
            </w:pPr>
            <w:r>
              <w:rPr>
                <w:rFonts w:hint="eastAsia" w:ascii="宋体" w:hAnsi="宋体" w:eastAsia="宋体" w:cs="宋体"/>
                <w:color w:val="auto"/>
                <w:sz w:val="22"/>
                <w:szCs w:val="22"/>
                <w:highlight w:val="none"/>
              </w:rPr>
              <w:t>投标人对养护措施</w:t>
            </w:r>
            <w:r>
              <w:rPr>
                <w:rFonts w:hint="eastAsia" w:ascii="宋体" w:hAnsi="宋体" w:cs="宋体"/>
                <w:color w:val="auto"/>
                <w:sz w:val="22"/>
                <w:szCs w:val="22"/>
                <w:highlight w:val="none"/>
                <w:lang w:val="en-US" w:eastAsia="zh-CN"/>
              </w:rPr>
              <w:t>的</w:t>
            </w:r>
            <w:r>
              <w:rPr>
                <w:rFonts w:hint="eastAsia" w:ascii="宋体" w:hAnsi="宋体" w:eastAsia="宋体" w:cs="宋体"/>
                <w:color w:val="auto"/>
                <w:sz w:val="22"/>
                <w:szCs w:val="22"/>
                <w:highlight w:val="none"/>
              </w:rPr>
              <w:t>解决方案是否有独到的优势，是否有针对各类养护问题需采用不同的养护维修工艺或处理方法，是否有健全、稳定、成熟可行的方案及优化建议的情况等，如突破传统运作模式，养护管理、作业方案是否有创新等，投入本项目的创新工艺或工法。</w:t>
            </w:r>
            <w:r>
              <w:rPr>
                <w:rFonts w:hint="eastAsia" w:ascii="宋体" w:hAnsi="宋体" w:eastAsia="宋体" w:cs="宋体"/>
                <w:color w:val="auto"/>
                <w:sz w:val="22"/>
                <w:szCs w:val="22"/>
                <w:highlight w:val="none"/>
                <w:lang w:val="en-US" w:eastAsia="zh-CN"/>
              </w:rPr>
              <w:t>进行综合比较打分（0-</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w:t>
            </w:r>
            <w:r>
              <w:rPr>
                <w:rFonts w:hint="eastAsia" w:ascii="宋体" w:hAnsi="宋体" w:eastAsia="宋体" w:cs="宋体"/>
                <w:color w:val="auto"/>
                <w:sz w:val="22"/>
                <w:szCs w:val="22"/>
                <w:highlight w:val="none"/>
              </w:rPr>
              <w:t>。</w:t>
            </w:r>
          </w:p>
        </w:tc>
        <w:tc>
          <w:tcPr>
            <w:tcW w:w="787" w:type="dxa"/>
            <w:noWrap w:val="0"/>
            <w:vAlign w:val="center"/>
          </w:tcPr>
          <w:p>
            <w:pPr>
              <w:keepNext w:val="0"/>
              <w:keepLines w:val="0"/>
              <w:pageBreakBefore w:val="0"/>
              <w:kinsoku/>
              <w:wordWrap/>
              <w:overflowPunct/>
              <w:topLinePunct w:val="0"/>
              <w:bidi w:val="0"/>
              <w:snapToGrid/>
              <w:spacing w:before="72" w:beforeLines="30" w:after="72" w:afterLines="30" w:line="460" w:lineRule="exact"/>
              <w:jc w:val="center"/>
              <w:textAlignment w:val="auto"/>
              <w:rPr>
                <w:rFonts w:hint="eastAsia" w:ascii="宋体" w:hAnsi="宋体" w:eastAsia="宋体" w:cs="宋体"/>
                <w:b w:val="0"/>
                <w:bCs/>
                <w:color w:val="auto"/>
                <w:sz w:val="22"/>
                <w:szCs w:val="22"/>
                <w:highlight w:val="none"/>
                <w:vertAlign w:val="baseli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7" w:type="dxa"/>
            <w:noWrap w:val="0"/>
            <w:vAlign w:val="center"/>
          </w:tcPr>
          <w:p>
            <w:pPr>
              <w:pStyle w:val="22"/>
              <w:keepNext w:val="0"/>
              <w:keepLines w:val="0"/>
              <w:pageBreakBefore w:val="0"/>
              <w:kinsoku/>
              <w:wordWrap/>
              <w:overflowPunct/>
              <w:topLinePunct w:val="0"/>
              <w:bidi w:val="0"/>
              <w:snapToGrid/>
              <w:spacing w:line="460" w:lineRule="exact"/>
              <w:ind w:left="0" w:leftChars="0" w:firstLine="0" w:firstLineChars="0"/>
              <w:jc w:val="center"/>
              <w:textAlignment w:val="auto"/>
              <w:rPr>
                <w:rFonts w:hint="default" w:ascii="宋体" w:hAnsi="宋体" w:eastAsia="宋体" w:cs="宋体"/>
                <w:b w:val="0"/>
                <w:bCs/>
                <w:color w:val="auto"/>
                <w:sz w:val="22"/>
                <w:szCs w:val="22"/>
                <w:highlight w:val="none"/>
                <w:vertAlign w:val="baseline"/>
                <w:lang w:val="en-US" w:eastAsia="zh-CN"/>
              </w:rPr>
            </w:pPr>
            <w:r>
              <w:rPr>
                <w:rFonts w:hint="eastAsia" w:ascii="宋体" w:hAnsi="宋体" w:cs="宋体"/>
                <w:b w:val="0"/>
                <w:bCs/>
                <w:color w:val="auto"/>
                <w:sz w:val="22"/>
                <w:szCs w:val="22"/>
                <w:highlight w:val="none"/>
                <w:vertAlign w:val="baseline"/>
                <w:lang w:val="en-US" w:eastAsia="zh-CN"/>
              </w:rPr>
              <w:t>5</w:t>
            </w:r>
          </w:p>
        </w:tc>
        <w:tc>
          <w:tcPr>
            <w:tcW w:w="1850" w:type="dxa"/>
            <w:noWrap w:val="0"/>
            <w:vAlign w:val="center"/>
          </w:tcPr>
          <w:p>
            <w:pPr>
              <w:pStyle w:val="22"/>
              <w:keepNext w:val="0"/>
              <w:keepLines w:val="0"/>
              <w:pageBreakBefore w:val="0"/>
              <w:kinsoku/>
              <w:wordWrap/>
              <w:overflowPunct/>
              <w:topLinePunct w:val="0"/>
              <w:bidi w:val="0"/>
              <w:snapToGrid/>
              <w:spacing w:line="460" w:lineRule="exact"/>
              <w:ind w:left="0" w:leftChars="0" w:firstLine="0" w:firstLineChars="0"/>
              <w:jc w:val="center"/>
              <w:textAlignment w:val="auto"/>
              <w:rPr>
                <w:rFonts w:hint="eastAsia" w:ascii="宋体" w:hAnsi="宋体" w:eastAsia="宋体" w:cs="宋体"/>
                <w:b w:val="0"/>
                <w:bCs/>
                <w:color w:val="auto"/>
                <w:sz w:val="22"/>
                <w:szCs w:val="22"/>
                <w:highlight w:val="none"/>
                <w:vertAlign w:val="baseline"/>
              </w:rPr>
            </w:pPr>
            <w:r>
              <w:rPr>
                <w:rFonts w:hint="eastAsia" w:ascii="宋体" w:hAnsi="宋体" w:eastAsia="宋体" w:cs="宋体"/>
                <w:b w:val="0"/>
                <w:bCs/>
                <w:color w:val="auto"/>
                <w:sz w:val="22"/>
                <w:szCs w:val="22"/>
                <w:highlight w:val="none"/>
                <w:vertAlign w:val="baseline"/>
              </w:rPr>
              <w:t>投入本项目的技术力量情况</w:t>
            </w:r>
          </w:p>
        </w:tc>
        <w:tc>
          <w:tcPr>
            <w:tcW w:w="6838" w:type="dxa"/>
            <w:noWrap w:val="0"/>
            <w:vAlign w:val="top"/>
          </w:tcPr>
          <w:p>
            <w:pPr>
              <w:pStyle w:val="22"/>
              <w:keepNext w:val="0"/>
              <w:keepLines w:val="0"/>
              <w:pageBreakBefore w:val="0"/>
              <w:kinsoku/>
              <w:wordWrap/>
              <w:overflowPunct/>
              <w:topLinePunct w:val="0"/>
              <w:bidi w:val="0"/>
              <w:snapToGrid/>
              <w:spacing w:line="460" w:lineRule="exact"/>
              <w:ind w:left="0" w:leftChars="0" w:firstLine="0" w:firstLineChars="0"/>
              <w:jc w:val="left"/>
              <w:textAlignment w:val="auto"/>
              <w:rPr>
                <w:rFonts w:hint="eastAsia"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为本项目配备专用生产人员：根据投标人为本项目配备专用生产人员等与招标文件要求的响应程度，进行综合评分：</w:t>
            </w:r>
          </w:p>
          <w:p>
            <w:pPr>
              <w:pStyle w:val="22"/>
              <w:keepNext w:val="0"/>
              <w:keepLines w:val="0"/>
              <w:pageBreakBefore w:val="0"/>
              <w:kinsoku/>
              <w:wordWrap/>
              <w:overflowPunct/>
              <w:topLinePunct w:val="0"/>
              <w:bidi w:val="0"/>
              <w:snapToGrid/>
              <w:spacing w:line="460" w:lineRule="exact"/>
              <w:ind w:left="0" w:leftChars="0" w:firstLine="0" w:firstLineChars="0"/>
              <w:jc w:val="left"/>
              <w:textAlignment w:val="auto"/>
              <w:rPr>
                <w:rFonts w:hint="eastAsia" w:ascii="新宋体" w:hAnsi="新宋体" w:eastAsia="新宋体" w:cs="新宋体"/>
                <w:b w:val="0"/>
                <w:bCs/>
                <w:color w:val="auto"/>
                <w:sz w:val="22"/>
                <w:szCs w:val="22"/>
                <w:highlight w:val="none"/>
                <w:vertAlign w:val="baseline"/>
              </w:rPr>
            </w:pPr>
            <w:r>
              <w:rPr>
                <w:rFonts w:hint="eastAsia" w:ascii="新宋体" w:hAnsi="新宋体" w:eastAsia="新宋体" w:cs="新宋体"/>
                <w:b w:val="0"/>
                <w:bCs/>
                <w:color w:val="auto"/>
                <w:sz w:val="22"/>
                <w:szCs w:val="22"/>
                <w:highlight w:val="none"/>
                <w:vertAlign w:val="baseline"/>
              </w:rPr>
              <w:t>高于招标文件要求的，酌情加0</w:t>
            </w:r>
            <w:r>
              <w:rPr>
                <w:rFonts w:hint="eastAsia" w:ascii="新宋体" w:hAnsi="新宋体" w:eastAsia="新宋体" w:cs="新宋体"/>
                <w:b w:val="0"/>
                <w:bCs/>
                <w:color w:val="auto"/>
                <w:sz w:val="22"/>
                <w:szCs w:val="22"/>
                <w:highlight w:val="none"/>
                <w:vertAlign w:val="baseline"/>
                <w:lang w:val="en-US" w:eastAsia="zh-CN"/>
              </w:rPr>
              <w:t>-3</w:t>
            </w:r>
            <w:r>
              <w:rPr>
                <w:rFonts w:hint="eastAsia" w:ascii="新宋体" w:hAnsi="新宋体" w:eastAsia="新宋体" w:cs="新宋体"/>
                <w:b w:val="0"/>
                <w:bCs/>
                <w:color w:val="auto"/>
                <w:sz w:val="22"/>
                <w:szCs w:val="22"/>
                <w:highlight w:val="none"/>
                <w:vertAlign w:val="baseline"/>
              </w:rPr>
              <w:t>分；</w:t>
            </w:r>
          </w:p>
          <w:p>
            <w:pPr>
              <w:pStyle w:val="22"/>
              <w:keepNext w:val="0"/>
              <w:keepLines w:val="0"/>
              <w:pageBreakBefore w:val="0"/>
              <w:kinsoku/>
              <w:wordWrap/>
              <w:overflowPunct/>
              <w:topLinePunct w:val="0"/>
              <w:bidi w:val="0"/>
              <w:snapToGrid/>
              <w:spacing w:line="460" w:lineRule="exact"/>
              <w:ind w:left="0" w:leftChars="0" w:firstLine="0" w:firstLineChars="0"/>
              <w:jc w:val="left"/>
              <w:textAlignment w:val="auto"/>
              <w:rPr>
                <w:rFonts w:hint="default"/>
                <w:color w:val="auto"/>
                <w:highlight w:val="none"/>
                <w:lang w:val="en-US" w:eastAsia="zh-CN"/>
              </w:rPr>
            </w:pPr>
            <w:r>
              <w:rPr>
                <w:rFonts w:hint="eastAsia" w:ascii="新宋体" w:hAnsi="新宋体" w:eastAsia="新宋体" w:cs="新宋体"/>
                <w:b w:val="0"/>
                <w:bCs/>
                <w:color w:val="auto"/>
                <w:sz w:val="22"/>
                <w:szCs w:val="22"/>
                <w:highlight w:val="none"/>
                <w:vertAlign w:val="baseline"/>
              </w:rPr>
              <w:t>完全满足招标文件要求得分12分</w:t>
            </w:r>
            <w:r>
              <w:rPr>
                <w:rFonts w:hint="eastAsia" w:ascii="新宋体" w:hAnsi="新宋体" w:eastAsia="新宋体" w:cs="新宋体"/>
                <w:b w:val="0"/>
                <w:bCs/>
                <w:color w:val="auto"/>
                <w:sz w:val="22"/>
                <w:szCs w:val="22"/>
                <w:highlight w:val="none"/>
                <w:vertAlign w:val="baseline"/>
                <w:lang w:eastAsia="zh-CN"/>
              </w:rPr>
              <w:t>。</w:t>
            </w:r>
          </w:p>
        </w:tc>
        <w:tc>
          <w:tcPr>
            <w:tcW w:w="787" w:type="dxa"/>
            <w:noWrap w:val="0"/>
            <w:vAlign w:val="center"/>
          </w:tcPr>
          <w:p>
            <w:pPr>
              <w:pStyle w:val="22"/>
              <w:keepNext w:val="0"/>
              <w:keepLines w:val="0"/>
              <w:pageBreakBefore w:val="0"/>
              <w:kinsoku/>
              <w:wordWrap/>
              <w:overflowPunct/>
              <w:topLinePunct w:val="0"/>
              <w:bidi w:val="0"/>
              <w:snapToGrid/>
              <w:spacing w:line="460" w:lineRule="exact"/>
              <w:ind w:left="0" w:leftChars="0" w:firstLine="0" w:firstLineChars="0"/>
              <w:jc w:val="center"/>
              <w:textAlignment w:val="auto"/>
              <w:rPr>
                <w:rFonts w:hint="eastAsia" w:ascii="宋体" w:hAnsi="宋体" w:eastAsia="宋体" w:cs="宋体"/>
                <w:b w:val="0"/>
                <w:bCs/>
                <w:color w:val="auto"/>
                <w:sz w:val="22"/>
                <w:szCs w:val="22"/>
                <w:highlight w:val="none"/>
                <w:vertAlign w:val="baseline"/>
                <w:lang w:val="en-US" w:eastAsia="zh-CN"/>
              </w:rPr>
            </w:pPr>
            <w:r>
              <w:rPr>
                <w:rFonts w:hint="eastAsia" w:ascii="宋体" w:hAnsi="宋体" w:cs="宋体"/>
                <w:color w:val="auto"/>
                <w:sz w:val="22"/>
                <w:szCs w:val="22"/>
                <w:highlight w:val="none"/>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7" w:type="dxa"/>
            <w:noWrap w:val="0"/>
            <w:vAlign w:val="center"/>
          </w:tcPr>
          <w:p>
            <w:pPr>
              <w:pStyle w:val="22"/>
              <w:keepNext w:val="0"/>
              <w:keepLines w:val="0"/>
              <w:pageBreakBefore w:val="0"/>
              <w:kinsoku/>
              <w:wordWrap/>
              <w:overflowPunct/>
              <w:topLinePunct w:val="0"/>
              <w:bidi w:val="0"/>
              <w:snapToGrid/>
              <w:spacing w:line="460" w:lineRule="exact"/>
              <w:ind w:left="0" w:leftChars="0" w:firstLine="0" w:firstLineChars="0"/>
              <w:jc w:val="center"/>
              <w:textAlignment w:val="auto"/>
              <w:rPr>
                <w:rFonts w:hint="default" w:ascii="宋体" w:hAnsi="宋体" w:eastAsia="宋体" w:cs="宋体"/>
                <w:b w:val="0"/>
                <w:bCs/>
                <w:color w:val="auto"/>
                <w:sz w:val="22"/>
                <w:szCs w:val="22"/>
                <w:highlight w:val="none"/>
                <w:vertAlign w:val="baseline"/>
                <w:lang w:val="en-US" w:eastAsia="zh-CN"/>
              </w:rPr>
            </w:pPr>
            <w:r>
              <w:rPr>
                <w:rFonts w:hint="eastAsia" w:ascii="宋体" w:hAnsi="宋体" w:cs="宋体"/>
                <w:b w:val="0"/>
                <w:bCs/>
                <w:color w:val="auto"/>
                <w:sz w:val="22"/>
                <w:szCs w:val="22"/>
                <w:highlight w:val="none"/>
                <w:vertAlign w:val="baseline"/>
                <w:lang w:val="en-US" w:eastAsia="zh-CN"/>
              </w:rPr>
              <w:t>6</w:t>
            </w:r>
          </w:p>
        </w:tc>
        <w:tc>
          <w:tcPr>
            <w:tcW w:w="1850" w:type="dxa"/>
            <w:noWrap w:val="0"/>
            <w:vAlign w:val="center"/>
          </w:tcPr>
          <w:p>
            <w:pPr>
              <w:keepNext w:val="0"/>
              <w:keepLines w:val="0"/>
              <w:pageBreakBefore w:val="0"/>
              <w:widowControl/>
              <w:kinsoku/>
              <w:wordWrap/>
              <w:overflowPunct/>
              <w:topLinePunct w:val="0"/>
              <w:bidi w:val="0"/>
              <w:snapToGrid/>
              <w:spacing w:line="460" w:lineRule="exact"/>
              <w:jc w:val="center"/>
              <w:textAlignment w:val="auto"/>
              <w:rPr>
                <w:rFonts w:hint="eastAsia" w:ascii="宋体" w:hAnsi="宋体" w:eastAsia="宋体" w:cs="宋体"/>
                <w:b w:val="0"/>
                <w:bCs/>
                <w:color w:val="auto"/>
                <w:sz w:val="22"/>
                <w:szCs w:val="22"/>
                <w:highlight w:val="none"/>
                <w:vertAlign w:val="baseline"/>
                <w:lang w:val="en-US" w:eastAsia="zh-CN"/>
              </w:rPr>
            </w:pPr>
            <w:r>
              <w:rPr>
                <w:rFonts w:hint="eastAsia" w:ascii="宋体" w:hAnsi="宋体" w:eastAsia="宋体" w:cs="宋体"/>
                <w:color w:val="auto"/>
                <w:sz w:val="22"/>
                <w:szCs w:val="22"/>
                <w:highlight w:val="none"/>
              </w:rPr>
              <w:t>主要</w:t>
            </w:r>
            <w:r>
              <w:rPr>
                <w:rFonts w:hint="eastAsia" w:ascii="宋体" w:hAnsi="宋体" w:eastAsia="宋体" w:cs="宋体"/>
                <w:color w:val="auto"/>
                <w:sz w:val="22"/>
                <w:szCs w:val="22"/>
                <w:highlight w:val="none"/>
                <w:lang w:eastAsia="zh-CN"/>
              </w:rPr>
              <w:t>设备</w:t>
            </w:r>
            <w:r>
              <w:rPr>
                <w:rFonts w:hint="eastAsia" w:ascii="宋体" w:hAnsi="宋体" w:eastAsia="宋体" w:cs="宋体"/>
                <w:color w:val="auto"/>
                <w:sz w:val="22"/>
                <w:szCs w:val="22"/>
                <w:highlight w:val="none"/>
              </w:rPr>
              <w:t>投入情况</w:t>
            </w:r>
          </w:p>
        </w:tc>
        <w:tc>
          <w:tcPr>
            <w:tcW w:w="6838" w:type="dxa"/>
            <w:noWrap w:val="0"/>
            <w:vAlign w:val="top"/>
          </w:tcPr>
          <w:p>
            <w:pPr>
              <w:pStyle w:val="22"/>
              <w:keepNext w:val="0"/>
              <w:keepLines w:val="0"/>
              <w:pageBreakBefore w:val="0"/>
              <w:kinsoku/>
              <w:wordWrap/>
              <w:overflowPunct/>
              <w:topLinePunct w:val="0"/>
              <w:bidi w:val="0"/>
              <w:snapToGrid/>
              <w:spacing w:line="460" w:lineRule="exact"/>
              <w:ind w:left="0" w:leftChars="0" w:firstLine="0" w:firstLineChars="0"/>
              <w:jc w:val="left"/>
              <w:textAlignment w:val="auto"/>
              <w:rPr>
                <w:rFonts w:hint="eastAsia" w:ascii="新宋体" w:hAnsi="新宋体" w:eastAsia="新宋体" w:cs="新宋体"/>
                <w:b w:val="0"/>
                <w:bCs/>
                <w:color w:val="auto"/>
                <w:sz w:val="22"/>
                <w:szCs w:val="22"/>
                <w:highlight w:val="none"/>
                <w:vertAlign w:val="baseline"/>
              </w:rPr>
            </w:pPr>
            <w:r>
              <w:rPr>
                <w:rFonts w:hint="eastAsia" w:ascii="新宋体" w:hAnsi="新宋体" w:eastAsia="新宋体" w:cs="新宋体"/>
                <w:b w:val="0"/>
                <w:bCs/>
                <w:color w:val="auto"/>
                <w:sz w:val="22"/>
                <w:szCs w:val="22"/>
                <w:highlight w:val="none"/>
                <w:vertAlign w:val="baseline"/>
              </w:rPr>
              <w:t>配备必要的生产</w:t>
            </w:r>
            <w:r>
              <w:rPr>
                <w:rFonts w:hint="eastAsia" w:ascii="新宋体" w:hAnsi="新宋体" w:eastAsia="新宋体" w:cs="新宋体"/>
                <w:b w:val="0"/>
                <w:bCs/>
                <w:color w:val="auto"/>
                <w:sz w:val="22"/>
                <w:szCs w:val="22"/>
                <w:highlight w:val="none"/>
                <w:vertAlign w:val="baseline"/>
                <w:lang w:eastAsia="zh-CN"/>
              </w:rPr>
              <w:t>设备</w:t>
            </w:r>
            <w:r>
              <w:rPr>
                <w:rFonts w:hint="eastAsia" w:ascii="新宋体" w:hAnsi="新宋体" w:eastAsia="新宋体" w:cs="新宋体"/>
                <w:b w:val="0"/>
                <w:bCs/>
                <w:color w:val="auto"/>
                <w:sz w:val="22"/>
                <w:szCs w:val="22"/>
                <w:highlight w:val="none"/>
                <w:vertAlign w:val="baseline"/>
              </w:rPr>
              <w:t>：</w:t>
            </w:r>
            <w:r>
              <w:rPr>
                <w:rFonts w:hint="eastAsia" w:ascii="新宋体" w:hAnsi="新宋体" w:eastAsia="新宋体" w:cs="新宋体"/>
                <w:b w:val="0"/>
                <w:bCs/>
                <w:color w:val="auto"/>
                <w:sz w:val="22"/>
                <w:szCs w:val="22"/>
                <w:highlight w:val="none"/>
                <w:vertAlign w:val="baseline"/>
                <w:lang w:val="en-US" w:eastAsia="zh-CN"/>
              </w:rPr>
              <w:t>根据投标人为本项目</w:t>
            </w:r>
            <w:r>
              <w:rPr>
                <w:rFonts w:hint="eastAsia" w:ascii="新宋体" w:hAnsi="新宋体" w:eastAsia="新宋体" w:cs="新宋体"/>
                <w:b w:val="0"/>
                <w:bCs/>
                <w:color w:val="auto"/>
                <w:sz w:val="22"/>
                <w:szCs w:val="22"/>
                <w:highlight w:val="none"/>
                <w:vertAlign w:val="baseline"/>
              </w:rPr>
              <w:t>配备的生产设备及物料等与招标文件要求的响应程度，</w:t>
            </w:r>
            <w:r>
              <w:rPr>
                <w:rFonts w:hint="eastAsia" w:ascii="新宋体" w:hAnsi="新宋体" w:eastAsia="新宋体" w:cs="新宋体"/>
                <w:b w:val="0"/>
                <w:bCs/>
                <w:color w:val="auto"/>
                <w:sz w:val="22"/>
                <w:szCs w:val="22"/>
                <w:highlight w:val="none"/>
                <w:vertAlign w:val="baseline"/>
                <w:lang w:val="en-US" w:eastAsia="zh-CN"/>
              </w:rPr>
              <w:t>进行</w:t>
            </w:r>
            <w:r>
              <w:rPr>
                <w:rFonts w:hint="eastAsia" w:ascii="新宋体" w:hAnsi="新宋体" w:eastAsia="新宋体" w:cs="新宋体"/>
                <w:b w:val="0"/>
                <w:bCs/>
                <w:color w:val="auto"/>
                <w:sz w:val="22"/>
                <w:szCs w:val="22"/>
                <w:highlight w:val="none"/>
                <w:vertAlign w:val="baseline"/>
              </w:rPr>
              <w:t xml:space="preserve">综合评分： </w:t>
            </w:r>
          </w:p>
          <w:p>
            <w:pPr>
              <w:pStyle w:val="22"/>
              <w:keepNext w:val="0"/>
              <w:keepLines w:val="0"/>
              <w:pageBreakBefore w:val="0"/>
              <w:kinsoku/>
              <w:wordWrap/>
              <w:overflowPunct/>
              <w:topLinePunct w:val="0"/>
              <w:bidi w:val="0"/>
              <w:snapToGrid/>
              <w:spacing w:line="460" w:lineRule="exact"/>
              <w:ind w:left="0" w:leftChars="0" w:firstLine="0" w:firstLineChars="0"/>
              <w:jc w:val="left"/>
              <w:textAlignment w:val="auto"/>
              <w:rPr>
                <w:rFonts w:hint="eastAsia" w:ascii="新宋体" w:hAnsi="新宋体" w:eastAsia="新宋体" w:cs="新宋体"/>
                <w:b w:val="0"/>
                <w:bCs/>
                <w:color w:val="auto"/>
                <w:sz w:val="22"/>
                <w:szCs w:val="22"/>
                <w:highlight w:val="none"/>
                <w:vertAlign w:val="baseline"/>
              </w:rPr>
            </w:pPr>
            <w:r>
              <w:rPr>
                <w:rFonts w:hint="eastAsia" w:ascii="新宋体" w:hAnsi="新宋体" w:eastAsia="新宋体" w:cs="新宋体"/>
                <w:b w:val="0"/>
                <w:bCs/>
                <w:color w:val="auto"/>
                <w:sz w:val="22"/>
                <w:szCs w:val="22"/>
                <w:highlight w:val="none"/>
                <w:vertAlign w:val="baseline"/>
              </w:rPr>
              <w:t>高于招标文件要求的，酌情加0</w:t>
            </w:r>
            <w:r>
              <w:rPr>
                <w:rFonts w:hint="eastAsia" w:ascii="新宋体" w:hAnsi="新宋体" w:eastAsia="新宋体" w:cs="新宋体"/>
                <w:b w:val="0"/>
                <w:bCs/>
                <w:color w:val="auto"/>
                <w:sz w:val="22"/>
                <w:szCs w:val="22"/>
                <w:highlight w:val="none"/>
                <w:vertAlign w:val="baseline"/>
                <w:lang w:val="en-US" w:eastAsia="zh-CN"/>
              </w:rPr>
              <w:t>-3</w:t>
            </w:r>
            <w:r>
              <w:rPr>
                <w:rFonts w:hint="eastAsia" w:ascii="新宋体" w:hAnsi="新宋体" w:eastAsia="新宋体" w:cs="新宋体"/>
                <w:b w:val="0"/>
                <w:bCs/>
                <w:color w:val="auto"/>
                <w:sz w:val="22"/>
                <w:szCs w:val="22"/>
                <w:highlight w:val="none"/>
                <w:vertAlign w:val="baseline"/>
              </w:rPr>
              <w:t>分；</w:t>
            </w:r>
          </w:p>
          <w:p>
            <w:pPr>
              <w:pStyle w:val="22"/>
              <w:keepNext w:val="0"/>
              <w:keepLines w:val="0"/>
              <w:pageBreakBefore w:val="0"/>
              <w:kinsoku/>
              <w:wordWrap/>
              <w:overflowPunct/>
              <w:topLinePunct w:val="0"/>
              <w:bidi w:val="0"/>
              <w:snapToGrid/>
              <w:spacing w:line="460" w:lineRule="exact"/>
              <w:ind w:left="0" w:leftChars="0" w:firstLine="0" w:firstLineChars="0"/>
              <w:jc w:val="left"/>
              <w:textAlignment w:val="auto"/>
              <w:rPr>
                <w:rFonts w:hint="default"/>
                <w:color w:val="auto"/>
                <w:highlight w:val="none"/>
                <w:lang w:val="en-US" w:eastAsia="zh-CN"/>
              </w:rPr>
            </w:pPr>
            <w:r>
              <w:rPr>
                <w:rFonts w:hint="eastAsia" w:ascii="新宋体" w:hAnsi="新宋体" w:eastAsia="新宋体" w:cs="新宋体"/>
                <w:b w:val="0"/>
                <w:bCs/>
                <w:color w:val="auto"/>
                <w:sz w:val="22"/>
                <w:szCs w:val="22"/>
                <w:highlight w:val="none"/>
                <w:vertAlign w:val="baseline"/>
              </w:rPr>
              <w:t>完全满足招标文件要求得分12分</w:t>
            </w:r>
            <w:r>
              <w:rPr>
                <w:rFonts w:hint="eastAsia" w:ascii="新宋体" w:hAnsi="新宋体" w:eastAsia="新宋体" w:cs="新宋体"/>
                <w:b w:val="0"/>
                <w:bCs/>
                <w:color w:val="auto"/>
                <w:sz w:val="22"/>
                <w:szCs w:val="22"/>
                <w:highlight w:val="none"/>
                <w:vertAlign w:val="baseline"/>
                <w:lang w:eastAsia="zh-CN"/>
              </w:rPr>
              <w:t>。</w:t>
            </w:r>
          </w:p>
        </w:tc>
        <w:tc>
          <w:tcPr>
            <w:tcW w:w="787" w:type="dxa"/>
            <w:noWrap w:val="0"/>
            <w:vAlign w:val="center"/>
          </w:tcPr>
          <w:p>
            <w:pPr>
              <w:keepNext w:val="0"/>
              <w:keepLines w:val="0"/>
              <w:pageBreakBefore w:val="0"/>
              <w:kinsoku/>
              <w:wordWrap/>
              <w:overflowPunct/>
              <w:topLinePunct w:val="0"/>
              <w:bidi w:val="0"/>
              <w:snapToGrid/>
              <w:spacing w:before="72" w:beforeLines="30" w:after="72" w:afterLines="30" w:line="4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87" w:type="dxa"/>
            <w:vMerge w:val="restart"/>
            <w:noWrap w:val="0"/>
            <w:vAlign w:val="center"/>
          </w:tcPr>
          <w:p>
            <w:pPr>
              <w:pStyle w:val="22"/>
              <w:keepNext w:val="0"/>
              <w:keepLines w:val="0"/>
              <w:pageBreakBefore w:val="0"/>
              <w:kinsoku/>
              <w:wordWrap/>
              <w:overflowPunct/>
              <w:topLinePunct w:val="0"/>
              <w:bidi w:val="0"/>
              <w:snapToGrid/>
              <w:spacing w:line="460" w:lineRule="exact"/>
              <w:ind w:left="0" w:leftChars="0" w:firstLine="0" w:firstLineChars="0"/>
              <w:jc w:val="center"/>
              <w:textAlignment w:val="auto"/>
              <w:rPr>
                <w:rFonts w:hint="default" w:ascii="宋体" w:hAnsi="宋体" w:eastAsia="宋体" w:cs="宋体"/>
                <w:b w:val="0"/>
                <w:bCs/>
                <w:color w:val="auto"/>
                <w:sz w:val="22"/>
                <w:szCs w:val="22"/>
                <w:highlight w:val="none"/>
                <w:vertAlign w:val="baseline"/>
                <w:lang w:val="en-US" w:eastAsia="zh-CN"/>
              </w:rPr>
            </w:pPr>
            <w:r>
              <w:rPr>
                <w:rFonts w:hint="eastAsia" w:ascii="宋体" w:hAnsi="宋体" w:cs="宋体"/>
                <w:b w:val="0"/>
                <w:bCs/>
                <w:color w:val="auto"/>
                <w:sz w:val="22"/>
                <w:szCs w:val="22"/>
                <w:highlight w:val="none"/>
                <w:vertAlign w:val="baseline"/>
                <w:lang w:val="en-US" w:eastAsia="zh-CN"/>
              </w:rPr>
              <w:t>7</w:t>
            </w:r>
          </w:p>
        </w:tc>
        <w:tc>
          <w:tcPr>
            <w:tcW w:w="1850" w:type="dxa"/>
            <w:vMerge w:val="restart"/>
            <w:noWrap w:val="0"/>
            <w:vAlign w:val="center"/>
          </w:tcPr>
          <w:p>
            <w:pPr>
              <w:keepNext w:val="0"/>
              <w:keepLines w:val="0"/>
              <w:pageBreakBefore w:val="0"/>
              <w:widowControl/>
              <w:kinsoku/>
              <w:wordWrap/>
              <w:overflowPunct/>
              <w:topLinePunct w:val="0"/>
              <w:bidi w:val="0"/>
              <w:snapToGrid/>
              <w:spacing w:line="460" w:lineRule="exact"/>
              <w:jc w:val="center"/>
              <w:textAlignment w:val="auto"/>
              <w:rPr>
                <w:rFonts w:hint="eastAsia" w:ascii="宋体" w:hAnsi="宋体" w:eastAsia="宋体" w:cs="宋体"/>
                <w:b w:val="0"/>
                <w:bCs/>
                <w:color w:val="auto"/>
                <w:kern w:val="2"/>
                <w:sz w:val="22"/>
                <w:szCs w:val="22"/>
                <w:highlight w:val="none"/>
                <w:vertAlign w:val="baseline"/>
                <w:lang w:val="en-US" w:eastAsia="zh-CN" w:bidi="ar-SA"/>
              </w:rPr>
            </w:pPr>
            <w:r>
              <w:rPr>
                <w:rFonts w:hint="eastAsia" w:ascii="宋体" w:hAnsi="宋体" w:eastAsia="宋体" w:cs="宋体"/>
                <w:color w:val="auto"/>
                <w:sz w:val="22"/>
                <w:szCs w:val="22"/>
                <w:highlight w:val="none"/>
              </w:rPr>
              <w:t>主要</w:t>
            </w:r>
            <w:r>
              <w:rPr>
                <w:rFonts w:hint="eastAsia" w:ascii="宋体" w:hAnsi="宋体" w:eastAsia="宋体" w:cs="宋体"/>
                <w:color w:val="auto"/>
                <w:sz w:val="22"/>
                <w:szCs w:val="22"/>
                <w:highlight w:val="none"/>
                <w:lang w:eastAsia="zh-CN"/>
              </w:rPr>
              <w:t>设施、物料</w:t>
            </w:r>
            <w:r>
              <w:rPr>
                <w:rFonts w:hint="eastAsia" w:ascii="宋体" w:hAnsi="宋体" w:eastAsia="宋体" w:cs="宋体"/>
                <w:color w:val="auto"/>
                <w:sz w:val="22"/>
                <w:szCs w:val="22"/>
                <w:highlight w:val="none"/>
              </w:rPr>
              <w:t>投入情况</w:t>
            </w:r>
          </w:p>
        </w:tc>
        <w:tc>
          <w:tcPr>
            <w:tcW w:w="6838" w:type="dxa"/>
            <w:noWrap w:val="0"/>
            <w:vAlign w:val="top"/>
          </w:tcPr>
          <w:p>
            <w:pPr>
              <w:pStyle w:val="22"/>
              <w:keepNext w:val="0"/>
              <w:keepLines w:val="0"/>
              <w:pageBreakBefore w:val="0"/>
              <w:kinsoku/>
              <w:wordWrap/>
              <w:overflowPunct/>
              <w:topLinePunct w:val="0"/>
              <w:bidi w:val="0"/>
              <w:snapToGrid/>
              <w:spacing w:line="460" w:lineRule="exact"/>
              <w:ind w:left="0" w:leftChars="0" w:firstLine="0" w:firstLineChars="0"/>
              <w:jc w:val="left"/>
              <w:textAlignment w:val="auto"/>
              <w:rPr>
                <w:rFonts w:hint="eastAsia" w:ascii="新宋体" w:hAnsi="新宋体" w:eastAsia="新宋体" w:cs="新宋体"/>
                <w:b w:val="0"/>
                <w:bCs/>
                <w:color w:val="auto"/>
                <w:sz w:val="22"/>
                <w:szCs w:val="22"/>
                <w:highlight w:val="none"/>
                <w:vertAlign w:val="baseline"/>
              </w:rPr>
            </w:pPr>
            <w:r>
              <w:rPr>
                <w:rFonts w:hint="eastAsia" w:ascii="新宋体" w:hAnsi="新宋体" w:eastAsia="新宋体" w:cs="新宋体"/>
                <w:b w:val="0"/>
                <w:bCs/>
                <w:color w:val="auto"/>
                <w:sz w:val="22"/>
                <w:szCs w:val="22"/>
                <w:highlight w:val="none"/>
                <w:vertAlign w:val="baseline"/>
              </w:rPr>
              <w:t>配备必要的生产</w:t>
            </w:r>
            <w:r>
              <w:rPr>
                <w:rFonts w:hint="eastAsia" w:ascii="新宋体" w:hAnsi="新宋体" w:eastAsia="新宋体" w:cs="新宋体"/>
                <w:b w:val="0"/>
                <w:bCs/>
                <w:color w:val="auto"/>
                <w:sz w:val="22"/>
                <w:szCs w:val="22"/>
                <w:highlight w:val="none"/>
                <w:vertAlign w:val="baseline"/>
                <w:lang w:eastAsia="zh-CN"/>
              </w:rPr>
              <w:t>设施</w:t>
            </w:r>
            <w:r>
              <w:rPr>
                <w:rFonts w:hint="eastAsia" w:ascii="新宋体" w:hAnsi="新宋体" w:eastAsia="新宋体" w:cs="新宋体"/>
                <w:b w:val="0"/>
                <w:bCs/>
                <w:color w:val="auto"/>
                <w:sz w:val="22"/>
                <w:szCs w:val="22"/>
                <w:highlight w:val="none"/>
                <w:vertAlign w:val="baseline"/>
              </w:rPr>
              <w:t>及物料：</w:t>
            </w:r>
            <w:r>
              <w:rPr>
                <w:rFonts w:hint="eastAsia" w:ascii="新宋体" w:hAnsi="新宋体" w:eastAsia="新宋体" w:cs="新宋体"/>
                <w:b w:val="0"/>
                <w:bCs/>
                <w:color w:val="auto"/>
                <w:sz w:val="22"/>
                <w:szCs w:val="22"/>
                <w:highlight w:val="none"/>
                <w:vertAlign w:val="baseline"/>
                <w:lang w:val="en-US" w:eastAsia="zh-CN"/>
              </w:rPr>
              <w:t>根据投标人为本项目</w:t>
            </w:r>
            <w:r>
              <w:rPr>
                <w:rFonts w:hint="eastAsia" w:ascii="新宋体" w:hAnsi="新宋体" w:eastAsia="新宋体" w:cs="新宋体"/>
                <w:b w:val="0"/>
                <w:bCs/>
                <w:color w:val="auto"/>
                <w:sz w:val="22"/>
                <w:szCs w:val="22"/>
                <w:highlight w:val="none"/>
                <w:vertAlign w:val="baseline"/>
              </w:rPr>
              <w:t>配备的生产设备及物料等与招标文件要求的响应程度，</w:t>
            </w:r>
            <w:r>
              <w:rPr>
                <w:rFonts w:hint="eastAsia" w:ascii="新宋体" w:hAnsi="新宋体" w:eastAsia="新宋体" w:cs="新宋体"/>
                <w:b w:val="0"/>
                <w:bCs/>
                <w:color w:val="auto"/>
                <w:sz w:val="22"/>
                <w:szCs w:val="22"/>
                <w:highlight w:val="none"/>
                <w:vertAlign w:val="baseline"/>
                <w:lang w:val="en-US" w:eastAsia="zh-CN"/>
              </w:rPr>
              <w:t>进行</w:t>
            </w:r>
            <w:r>
              <w:rPr>
                <w:rFonts w:hint="eastAsia" w:ascii="新宋体" w:hAnsi="新宋体" w:eastAsia="新宋体" w:cs="新宋体"/>
                <w:b w:val="0"/>
                <w:bCs/>
                <w:color w:val="auto"/>
                <w:sz w:val="22"/>
                <w:szCs w:val="22"/>
                <w:highlight w:val="none"/>
                <w:vertAlign w:val="baseline"/>
              </w:rPr>
              <w:t xml:space="preserve">综合评分： </w:t>
            </w:r>
          </w:p>
          <w:p>
            <w:pPr>
              <w:pStyle w:val="22"/>
              <w:keepNext w:val="0"/>
              <w:keepLines w:val="0"/>
              <w:pageBreakBefore w:val="0"/>
              <w:kinsoku/>
              <w:wordWrap/>
              <w:overflowPunct/>
              <w:topLinePunct w:val="0"/>
              <w:bidi w:val="0"/>
              <w:snapToGrid/>
              <w:spacing w:line="460" w:lineRule="exact"/>
              <w:ind w:left="0" w:leftChars="0" w:firstLine="0" w:firstLineChars="0"/>
              <w:jc w:val="left"/>
              <w:textAlignment w:val="auto"/>
              <w:rPr>
                <w:rFonts w:hint="eastAsia" w:ascii="新宋体" w:hAnsi="新宋体" w:eastAsia="新宋体" w:cs="新宋体"/>
                <w:b w:val="0"/>
                <w:bCs/>
                <w:color w:val="auto"/>
                <w:sz w:val="22"/>
                <w:szCs w:val="22"/>
                <w:highlight w:val="none"/>
                <w:vertAlign w:val="baseline"/>
              </w:rPr>
            </w:pPr>
            <w:r>
              <w:rPr>
                <w:rFonts w:hint="eastAsia" w:ascii="新宋体" w:hAnsi="新宋体" w:eastAsia="新宋体" w:cs="新宋体"/>
                <w:b w:val="0"/>
                <w:bCs/>
                <w:color w:val="auto"/>
                <w:sz w:val="22"/>
                <w:szCs w:val="22"/>
                <w:highlight w:val="none"/>
                <w:vertAlign w:val="baseline"/>
              </w:rPr>
              <w:t>高于招标文件要求的，酌情加0</w:t>
            </w:r>
            <w:r>
              <w:rPr>
                <w:rFonts w:hint="eastAsia" w:ascii="新宋体" w:hAnsi="新宋体" w:eastAsia="新宋体" w:cs="新宋体"/>
                <w:b w:val="0"/>
                <w:bCs/>
                <w:color w:val="auto"/>
                <w:sz w:val="22"/>
                <w:szCs w:val="22"/>
                <w:highlight w:val="none"/>
                <w:vertAlign w:val="baseline"/>
                <w:lang w:val="en-US" w:eastAsia="zh-CN"/>
              </w:rPr>
              <w:t>-4</w:t>
            </w:r>
            <w:r>
              <w:rPr>
                <w:rFonts w:hint="eastAsia" w:ascii="新宋体" w:hAnsi="新宋体" w:eastAsia="新宋体" w:cs="新宋体"/>
                <w:b w:val="0"/>
                <w:bCs/>
                <w:color w:val="auto"/>
                <w:sz w:val="22"/>
                <w:szCs w:val="22"/>
                <w:highlight w:val="none"/>
                <w:vertAlign w:val="baseline"/>
              </w:rPr>
              <w:t>分；</w:t>
            </w:r>
          </w:p>
          <w:p>
            <w:pPr>
              <w:pStyle w:val="22"/>
              <w:keepNext w:val="0"/>
              <w:keepLines w:val="0"/>
              <w:pageBreakBefore w:val="0"/>
              <w:kinsoku/>
              <w:wordWrap/>
              <w:overflowPunct/>
              <w:topLinePunct w:val="0"/>
              <w:bidi w:val="0"/>
              <w:snapToGrid/>
              <w:spacing w:line="460" w:lineRule="exact"/>
              <w:ind w:left="0" w:leftChars="0" w:firstLine="0" w:firstLineChars="0"/>
              <w:jc w:val="left"/>
              <w:textAlignment w:val="auto"/>
              <w:rPr>
                <w:rFonts w:hint="eastAsia" w:ascii="宋体" w:hAnsi="宋体" w:eastAsia="宋体" w:cs="宋体"/>
                <w:b w:val="0"/>
                <w:bCs/>
                <w:color w:val="auto"/>
                <w:sz w:val="22"/>
                <w:szCs w:val="22"/>
                <w:highlight w:val="none"/>
                <w:vertAlign w:val="baseline"/>
              </w:rPr>
            </w:pPr>
            <w:r>
              <w:rPr>
                <w:rFonts w:hint="eastAsia" w:ascii="新宋体" w:hAnsi="新宋体" w:eastAsia="新宋体" w:cs="新宋体"/>
                <w:b w:val="0"/>
                <w:bCs/>
                <w:color w:val="auto"/>
                <w:sz w:val="22"/>
                <w:szCs w:val="22"/>
                <w:highlight w:val="none"/>
                <w:vertAlign w:val="baseline"/>
              </w:rPr>
              <w:t>完全满足招标文件要求得分</w:t>
            </w:r>
            <w:r>
              <w:rPr>
                <w:rFonts w:hint="eastAsia" w:ascii="新宋体" w:hAnsi="新宋体" w:eastAsia="新宋体" w:cs="新宋体"/>
                <w:b w:val="0"/>
                <w:bCs/>
                <w:color w:val="auto"/>
                <w:sz w:val="22"/>
                <w:szCs w:val="22"/>
                <w:highlight w:val="none"/>
                <w:vertAlign w:val="baseline"/>
                <w:lang w:val="en-US" w:eastAsia="zh-CN"/>
              </w:rPr>
              <w:t>8</w:t>
            </w:r>
            <w:r>
              <w:rPr>
                <w:rFonts w:hint="eastAsia" w:ascii="新宋体" w:hAnsi="新宋体" w:eastAsia="新宋体" w:cs="新宋体"/>
                <w:b w:val="0"/>
                <w:bCs/>
                <w:color w:val="auto"/>
                <w:sz w:val="22"/>
                <w:szCs w:val="22"/>
                <w:highlight w:val="none"/>
                <w:vertAlign w:val="baseline"/>
              </w:rPr>
              <w:t>分</w:t>
            </w:r>
            <w:r>
              <w:rPr>
                <w:rFonts w:hint="eastAsia" w:ascii="新宋体" w:hAnsi="新宋体" w:eastAsia="新宋体" w:cs="新宋体"/>
                <w:b w:val="0"/>
                <w:bCs/>
                <w:color w:val="auto"/>
                <w:sz w:val="22"/>
                <w:szCs w:val="22"/>
                <w:highlight w:val="none"/>
                <w:vertAlign w:val="baseline"/>
                <w:lang w:eastAsia="zh-CN"/>
              </w:rPr>
              <w:t>。</w:t>
            </w:r>
          </w:p>
        </w:tc>
        <w:tc>
          <w:tcPr>
            <w:tcW w:w="787" w:type="dxa"/>
            <w:noWrap w:val="0"/>
            <w:vAlign w:val="center"/>
          </w:tcPr>
          <w:p>
            <w:pPr>
              <w:keepNext w:val="0"/>
              <w:keepLines w:val="0"/>
              <w:pageBreakBefore w:val="0"/>
              <w:kinsoku/>
              <w:wordWrap/>
              <w:overflowPunct/>
              <w:topLinePunct w:val="0"/>
              <w:bidi w:val="0"/>
              <w:snapToGrid/>
              <w:spacing w:before="72" w:beforeLines="30" w:after="72" w:afterLines="30" w:line="46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7" w:type="dxa"/>
            <w:vMerge w:val="restart"/>
            <w:noWrap w:val="0"/>
            <w:vAlign w:val="center"/>
          </w:tcPr>
          <w:p>
            <w:pPr>
              <w:pStyle w:val="22"/>
              <w:keepNext w:val="0"/>
              <w:keepLines w:val="0"/>
              <w:pageBreakBefore w:val="0"/>
              <w:kinsoku/>
              <w:wordWrap/>
              <w:overflowPunct/>
              <w:topLinePunct w:val="0"/>
              <w:bidi w:val="0"/>
              <w:snapToGrid/>
              <w:spacing w:line="460" w:lineRule="exact"/>
              <w:ind w:left="0" w:leftChars="0" w:firstLine="0" w:firstLineChars="0"/>
              <w:jc w:val="center"/>
              <w:textAlignment w:val="auto"/>
              <w:rPr>
                <w:rFonts w:hint="default" w:ascii="宋体" w:hAnsi="宋体" w:eastAsia="宋体" w:cs="宋体"/>
                <w:b w:val="0"/>
                <w:bCs/>
                <w:color w:val="auto"/>
                <w:sz w:val="22"/>
                <w:szCs w:val="22"/>
                <w:highlight w:val="none"/>
                <w:vertAlign w:val="baseline"/>
                <w:lang w:val="en-US" w:eastAsia="zh-CN"/>
              </w:rPr>
            </w:pPr>
            <w:r>
              <w:rPr>
                <w:rFonts w:hint="eastAsia" w:ascii="宋体" w:hAnsi="宋体" w:cs="宋体"/>
                <w:b w:val="0"/>
                <w:bCs/>
                <w:color w:val="auto"/>
                <w:sz w:val="22"/>
                <w:szCs w:val="22"/>
                <w:highlight w:val="none"/>
                <w:vertAlign w:val="baseline"/>
                <w:lang w:val="en-US" w:eastAsia="zh-CN"/>
              </w:rPr>
              <w:t>8</w:t>
            </w:r>
          </w:p>
        </w:tc>
        <w:tc>
          <w:tcPr>
            <w:tcW w:w="1850" w:type="dxa"/>
            <w:vMerge w:val="restart"/>
            <w:noWrap w:val="0"/>
            <w:vAlign w:val="center"/>
          </w:tcPr>
          <w:p>
            <w:pPr>
              <w:keepNext w:val="0"/>
              <w:keepLines w:val="0"/>
              <w:pageBreakBefore w:val="0"/>
              <w:widowControl/>
              <w:kinsoku/>
              <w:wordWrap/>
              <w:overflowPunct/>
              <w:topLinePunct w:val="0"/>
              <w:bidi w:val="0"/>
              <w:snapToGrid/>
              <w:spacing w:line="460" w:lineRule="exact"/>
              <w:jc w:val="center"/>
              <w:textAlignment w:val="auto"/>
              <w:rPr>
                <w:rFonts w:hint="eastAsia" w:ascii="宋体" w:hAnsi="宋体" w:eastAsia="宋体" w:cs="宋体"/>
                <w:b w:val="0"/>
                <w:bCs/>
                <w:color w:val="auto"/>
                <w:sz w:val="22"/>
                <w:szCs w:val="22"/>
                <w:highlight w:val="none"/>
                <w:vertAlign w:val="baseline"/>
                <w:lang w:val="en-US" w:eastAsia="zh-CN"/>
              </w:rPr>
            </w:pPr>
            <w:r>
              <w:rPr>
                <w:rFonts w:hint="eastAsia" w:ascii="宋体" w:hAnsi="宋体" w:eastAsia="宋体" w:cs="宋体"/>
                <w:color w:val="auto"/>
                <w:sz w:val="22"/>
                <w:szCs w:val="22"/>
                <w:highlight w:val="none"/>
              </w:rPr>
              <w:t>内部管理</w:t>
            </w:r>
            <w:r>
              <w:rPr>
                <w:rFonts w:hint="eastAsia" w:ascii="宋体" w:hAnsi="宋体" w:eastAsia="宋体" w:cs="宋体"/>
                <w:color w:val="auto"/>
                <w:sz w:val="22"/>
                <w:szCs w:val="22"/>
                <w:highlight w:val="none"/>
                <w:lang w:val="en-US" w:eastAsia="zh-CN"/>
              </w:rPr>
              <w:t>方案</w:t>
            </w:r>
          </w:p>
        </w:tc>
        <w:tc>
          <w:tcPr>
            <w:tcW w:w="6838" w:type="dxa"/>
            <w:noWrap w:val="0"/>
            <w:vAlign w:val="center"/>
          </w:tcPr>
          <w:p>
            <w:pPr>
              <w:keepNext w:val="0"/>
              <w:keepLines w:val="0"/>
              <w:pageBreakBefore w:val="0"/>
              <w:widowControl/>
              <w:kinsoku/>
              <w:wordWrap/>
              <w:overflowPunct/>
              <w:topLinePunct w:val="0"/>
              <w:bidi w:val="0"/>
              <w:snapToGrid/>
              <w:spacing w:line="460" w:lineRule="exact"/>
              <w:jc w:val="both"/>
              <w:textAlignment w:val="auto"/>
              <w:rPr>
                <w:rFonts w:hint="eastAsia" w:ascii="宋体" w:hAnsi="宋体" w:eastAsia="宋体" w:cs="宋体"/>
                <w:b w:val="0"/>
                <w:bCs/>
                <w:color w:val="auto"/>
                <w:sz w:val="22"/>
                <w:szCs w:val="22"/>
                <w:highlight w:val="none"/>
                <w:vertAlign w:val="baseline"/>
                <w:lang w:val="en-US" w:eastAsia="zh-CN"/>
              </w:rPr>
            </w:pPr>
            <w:r>
              <w:rPr>
                <w:rFonts w:hint="eastAsia" w:ascii="宋体" w:hAnsi="宋体" w:eastAsia="宋体" w:cs="宋体"/>
                <w:color w:val="auto"/>
                <w:sz w:val="22"/>
                <w:szCs w:val="22"/>
                <w:highlight w:val="none"/>
                <w:lang w:val="en-US" w:eastAsia="zh-CN"/>
              </w:rPr>
              <w:t>根据投标人提供的</w:t>
            </w:r>
            <w:r>
              <w:rPr>
                <w:rFonts w:hint="eastAsia" w:ascii="宋体" w:hAnsi="宋体" w:eastAsia="宋体" w:cs="宋体"/>
                <w:color w:val="auto"/>
                <w:sz w:val="22"/>
                <w:szCs w:val="22"/>
                <w:highlight w:val="none"/>
              </w:rPr>
              <w:t>养护考核方案：内部管理制度、考核监督制度、奖惩制度等，是否科学合理、具有针对性及可操作性</w:t>
            </w:r>
            <w:r>
              <w:rPr>
                <w:rFonts w:hint="eastAsia" w:ascii="宋体" w:hAnsi="宋体" w:eastAsia="宋体" w:cs="宋体"/>
                <w:color w:val="auto"/>
                <w:sz w:val="22"/>
                <w:szCs w:val="22"/>
                <w:highlight w:val="none"/>
                <w:lang w:val="en-US" w:eastAsia="zh-CN"/>
              </w:rPr>
              <w:t>进行</w:t>
            </w:r>
            <w:r>
              <w:rPr>
                <w:rFonts w:hint="eastAsia" w:ascii="宋体" w:hAnsi="宋体" w:eastAsia="宋体" w:cs="宋体"/>
                <w:color w:val="auto"/>
                <w:sz w:val="22"/>
                <w:szCs w:val="22"/>
                <w:highlight w:val="none"/>
              </w:rPr>
              <w:t>综合</w:t>
            </w:r>
            <w:r>
              <w:rPr>
                <w:rFonts w:hint="eastAsia" w:ascii="宋体" w:hAnsi="宋体" w:eastAsia="宋体" w:cs="宋体"/>
                <w:color w:val="auto"/>
                <w:sz w:val="22"/>
                <w:szCs w:val="22"/>
                <w:highlight w:val="none"/>
                <w:lang w:val="en-US" w:eastAsia="zh-CN"/>
              </w:rPr>
              <w:t>比较</w:t>
            </w:r>
            <w:r>
              <w:rPr>
                <w:rFonts w:hint="eastAsia" w:ascii="宋体" w:hAnsi="宋体" w:eastAsia="宋体" w:cs="宋体"/>
                <w:color w:val="auto"/>
                <w:sz w:val="22"/>
                <w:szCs w:val="22"/>
                <w:highlight w:val="none"/>
              </w:rPr>
              <w:t>打分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0-</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tc>
        <w:tc>
          <w:tcPr>
            <w:tcW w:w="787" w:type="dxa"/>
            <w:noWrap w:val="0"/>
            <w:vAlign w:val="center"/>
          </w:tcPr>
          <w:p>
            <w:pPr>
              <w:keepNext w:val="0"/>
              <w:keepLines w:val="0"/>
              <w:pageBreakBefore w:val="0"/>
              <w:kinsoku/>
              <w:wordWrap/>
              <w:overflowPunct/>
              <w:topLinePunct w:val="0"/>
              <w:bidi w:val="0"/>
              <w:snapToGrid/>
              <w:spacing w:before="72" w:beforeLines="30" w:after="72" w:afterLines="30" w:line="460" w:lineRule="exact"/>
              <w:jc w:val="center"/>
              <w:textAlignment w:val="auto"/>
              <w:rPr>
                <w:rFonts w:hint="eastAsia" w:ascii="宋体" w:hAnsi="宋体" w:eastAsia="宋体" w:cs="宋体"/>
                <w:b w:val="0"/>
                <w:bCs/>
                <w:color w:val="auto"/>
                <w:sz w:val="22"/>
                <w:szCs w:val="22"/>
                <w:highlight w:val="none"/>
                <w:vertAlign w:val="baseline"/>
                <w:lang w:val="en-US" w:eastAsia="zh-CN"/>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687" w:type="dxa"/>
            <w:vMerge w:val="continue"/>
            <w:noWrap w:val="0"/>
            <w:vAlign w:val="center"/>
          </w:tcPr>
          <w:p>
            <w:pPr>
              <w:pStyle w:val="22"/>
              <w:keepNext w:val="0"/>
              <w:keepLines w:val="0"/>
              <w:pageBreakBefore w:val="0"/>
              <w:kinsoku/>
              <w:wordWrap/>
              <w:overflowPunct/>
              <w:topLinePunct w:val="0"/>
              <w:bidi w:val="0"/>
              <w:snapToGrid/>
              <w:spacing w:line="460" w:lineRule="exact"/>
              <w:jc w:val="center"/>
              <w:textAlignment w:val="auto"/>
              <w:rPr>
                <w:rFonts w:hint="eastAsia" w:ascii="宋体" w:hAnsi="宋体" w:eastAsia="宋体" w:cs="宋体"/>
                <w:b w:val="0"/>
                <w:bCs/>
                <w:color w:val="auto"/>
                <w:sz w:val="22"/>
                <w:szCs w:val="22"/>
                <w:highlight w:val="none"/>
                <w:vertAlign w:val="baseline"/>
              </w:rPr>
            </w:pPr>
          </w:p>
        </w:tc>
        <w:tc>
          <w:tcPr>
            <w:tcW w:w="1850" w:type="dxa"/>
            <w:vMerge w:val="continue"/>
            <w:noWrap w:val="0"/>
            <w:vAlign w:val="center"/>
          </w:tcPr>
          <w:p>
            <w:pPr>
              <w:keepNext w:val="0"/>
              <w:keepLines w:val="0"/>
              <w:pageBreakBefore w:val="0"/>
              <w:kinsoku/>
              <w:wordWrap/>
              <w:overflowPunct/>
              <w:topLinePunct w:val="0"/>
              <w:bidi w:val="0"/>
              <w:snapToGrid/>
              <w:spacing w:before="72" w:beforeLines="30" w:after="72" w:afterLines="30" w:line="460" w:lineRule="exact"/>
              <w:jc w:val="center"/>
              <w:textAlignment w:val="auto"/>
              <w:rPr>
                <w:rFonts w:hint="eastAsia" w:ascii="宋体" w:hAnsi="宋体" w:eastAsia="宋体" w:cs="宋体"/>
                <w:b w:val="0"/>
                <w:bCs/>
                <w:color w:val="auto"/>
                <w:sz w:val="22"/>
                <w:szCs w:val="22"/>
                <w:highlight w:val="none"/>
                <w:vertAlign w:val="baseline"/>
                <w:lang w:val="en-US" w:eastAsia="zh-CN"/>
              </w:rPr>
            </w:pPr>
          </w:p>
        </w:tc>
        <w:tc>
          <w:tcPr>
            <w:tcW w:w="6838" w:type="dxa"/>
            <w:noWrap w:val="0"/>
            <w:vAlign w:val="top"/>
          </w:tcPr>
          <w:p>
            <w:pPr>
              <w:keepNext w:val="0"/>
              <w:keepLines w:val="0"/>
              <w:pageBreakBefore w:val="0"/>
              <w:kinsoku/>
              <w:wordWrap/>
              <w:overflowPunct/>
              <w:topLinePunct w:val="0"/>
              <w:bidi w:val="0"/>
              <w:snapToGrid/>
              <w:spacing w:before="72" w:beforeLines="30" w:after="72" w:afterLines="30" w:line="460" w:lineRule="exact"/>
              <w:jc w:val="left"/>
              <w:textAlignment w:val="auto"/>
              <w:rPr>
                <w:rFonts w:hint="eastAsia" w:ascii="宋体" w:hAnsi="宋体" w:eastAsia="宋体" w:cs="宋体"/>
                <w:b w:val="0"/>
                <w:bCs/>
                <w:color w:val="auto"/>
                <w:sz w:val="22"/>
                <w:szCs w:val="22"/>
                <w:highlight w:val="none"/>
                <w:vertAlign w:val="baseline"/>
                <w:lang w:val="en-US" w:eastAsia="zh-CN"/>
              </w:rPr>
            </w:pPr>
            <w:r>
              <w:rPr>
                <w:rFonts w:hint="eastAsia" w:ascii="宋体" w:hAnsi="宋体" w:eastAsia="宋体" w:cs="宋体"/>
                <w:color w:val="auto"/>
                <w:sz w:val="22"/>
                <w:szCs w:val="22"/>
                <w:highlight w:val="none"/>
                <w:lang w:val="en-US" w:eastAsia="zh-CN"/>
              </w:rPr>
              <w:t>根据投标人提供的</w:t>
            </w:r>
            <w:r>
              <w:rPr>
                <w:rFonts w:hint="eastAsia" w:ascii="宋体" w:hAnsi="宋体" w:eastAsia="宋体" w:cs="宋体"/>
                <w:color w:val="auto"/>
                <w:sz w:val="22"/>
                <w:szCs w:val="22"/>
                <w:highlight w:val="none"/>
              </w:rPr>
              <w:t>市政养护资料管理方案：日常养护、设备维修、检测、技术状况评价等资料的整理归档方案情况，</w:t>
            </w:r>
            <w:r>
              <w:rPr>
                <w:rFonts w:hint="eastAsia" w:ascii="宋体" w:hAnsi="宋体" w:eastAsia="宋体" w:cs="宋体"/>
                <w:color w:val="auto"/>
                <w:sz w:val="22"/>
                <w:szCs w:val="22"/>
                <w:highlight w:val="none"/>
                <w:lang w:val="en-US" w:eastAsia="zh-CN"/>
              </w:rPr>
              <w:t>是否</w:t>
            </w:r>
            <w:r>
              <w:rPr>
                <w:rFonts w:hint="eastAsia" w:ascii="宋体" w:hAnsi="宋体" w:eastAsia="宋体" w:cs="宋体"/>
                <w:color w:val="auto"/>
                <w:sz w:val="22"/>
                <w:szCs w:val="22"/>
                <w:highlight w:val="none"/>
              </w:rPr>
              <w:t>科学合理、具有针对性及可操作性</w:t>
            </w:r>
            <w:r>
              <w:rPr>
                <w:rFonts w:hint="eastAsia" w:ascii="宋体" w:hAnsi="宋体" w:eastAsia="宋体" w:cs="宋体"/>
                <w:color w:val="auto"/>
                <w:sz w:val="22"/>
                <w:szCs w:val="22"/>
                <w:highlight w:val="none"/>
                <w:lang w:val="en-US" w:eastAsia="zh-CN"/>
              </w:rPr>
              <w:t>进行</w:t>
            </w:r>
            <w:r>
              <w:rPr>
                <w:rFonts w:hint="eastAsia" w:ascii="宋体" w:hAnsi="宋体" w:eastAsia="宋体" w:cs="宋体"/>
                <w:color w:val="auto"/>
                <w:sz w:val="22"/>
                <w:szCs w:val="22"/>
                <w:highlight w:val="none"/>
              </w:rPr>
              <w:t>综合</w:t>
            </w:r>
            <w:r>
              <w:rPr>
                <w:rFonts w:hint="eastAsia" w:ascii="宋体" w:hAnsi="宋体" w:eastAsia="宋体" w:cs="宋体"/>
                <w:color w:val="auto"/>
                <w:sz w:val="22"/>
                <w:szCs w:val="22"/>
                <w:highlight w:val="none"/>
                <w:lang w:val="en-US" w:eastAsia="zh-CN"/>
              </w:rPr>
              <w:t>比较</w:t>
            </w:r>
            <w:r>
              <w:rPr>
                <w:rFonts w:hint="eastAsia" w:ascii="宋体" w:hAnsi="宋体" w:eastAsia="宋体" w:cs="宋体"/>
                <w:color w:val="auto"/>
                <w:sz w:val="22"/>
                <w:szCs w:val="22"/>
                <w:highlight w:val="none"/>
              </w:rPr>
              <w:t>打分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0-</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tc>
        <w:tc>
          <w:tcPr>
            <w:tcW w:w="787" w:type="dxa"/>
            <w:noWrap w:val="0"/>
            <w:vAlign w:val="center"/>
          </w:tcPr>
          <w:p>
            <w:pPr>
              <w:keepNext w:val="0"/>
              <w:keepLines w:val="0"/>
              <w:pageBreakBefore w:val="0"/>
              <w:kinsoku/>
              <w:wordWrap/>
              <w:overflowPunct/>
              <w:topLinePunct w:val="0"/>
              <w:bidi w:val="0"/>
              <w:snapToGrid/>
              <w:spacing w:before="72" w:beforeLines="30" w:after="72" w:afterLines="30" w:line="460" w:lineRule="exact"/>
              <w:jc w:val="center"/>
              <w:textAlignment w:val="auto"/>
              <w:rPr>
                <w:rFonts w:hint="eastAsia" w:ascii="宋体" w:hAnsi="宋体" w:eastAsia="宋体" w:cs="宋体"/>
                <w:b w:val="0"/>
                <w:bCs/>
                <w:color w:val="auto"/>
                <w:sz w:val="22"/>
                <w:szCs w:val="22"/>
                <w:highlight w:val="none"/>
                <w:vertAlign w:val="baseline"/>
                <w:lang w:val="en-US" w:eastAsia="zh-CN"/>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7" w:type="dxa"/>
            <w:noWrap w:val="0"/>
            <w:vAlign w:val="center"/>
          </w:tcPr>
          <w:p>
            <w:pPr>
              <w:pStyle w:val="22"/>
              <w:keepNext w:val="0"/>
              <w:keepLines w:val="0"/>
              <w:pageBreakBefore w:val="0"/>
              <w:kinsoku/>
              <w:wordWrap/>
              <w:overflowPunct/>
              <w:topLinePunct w:val="0"/>
              <w:bidi w:val="0"/>
              <w:snapToGrid/>
              <w:spacing w:line="460" w:lineRule="exact"/>
              <w:ind w:left="0" w:leftChars="0" w:firstLine="0" w:firstLineChars="0"/>
              <w:jc w:val="center"/>
              <w:textAlignment w:val="auto"/>
              <w:rPr>
                <w:rFonts w:hint="default" w:ascii="宋体" w:hAnsi="宋体" w:eastAsia="宋体" w:cs="宋体"/>
                <w:b w:val="0"/>
                <w:bCs/>
                <w:color w:val="auto"/>
                <w:sz w:val="22"/>
                <w:szCs w:val="22"/>
                <w:highlight w:val="none"/>
                <w:vertAlign w:val="baseline"/>
                <w:lang w:val="en-US" w:eastAsia="zh-CN"/>
              </w:rPr>
            </w:pPr>
            <w:r>
              <w:rPr>
                <w:rFonts w:hint="eastAsia" w:ascii="宋体" w:hAnsi="宋体" w:cs="宋体"/>
                <w:b w:val="0"/>
                <w:bCs/>
                <w:color w:val="auto"/>
                <w:sz w:val="22"/>
                <w:szCs w:val="22"/>
                <w:highlight w:val="none"/>
                <w:vertAlign w:val="baseline"/>
                <w:lang w:val="en-US" w:eastAsia="zh-CN"/>
              </w:rPr>
              <w:t>9</w:t>
            </w:r>
          </w:p>
        </w:tc>
        <w:tc>
          <w:tcPr>
            <w:tcW w:w="1850" w:type="dxa"/>
            <w:noWrap w:val="0"/>
            <w:vAlign w:val="center"/>
          </w:tcPr>
          <w:p>
            <w:pPr>
              <w:keepNext w:val="0"/>
              <w:keepLines w:val="0"/>
              <w:pageBreakBefore w:val="0"/>
              <w:kinsoku/>
              <w:wordWrap/>
              <w:overflowPunct/>
              <w:topLinePunct w:val="0"/>
              <w:bidi w:val="0"/>
              <w:snapToGrid/>
              <w:spacing w:before="72" w:beforeLines="30" w:after="72" w:afterLines="30" w:line="460" w:lineRule="exact"/>
              <w:jc w:val="center"/>
              <w:textAlignment w:val="auto"/>
              <w:rPr>
                <w:rFonts w:hint="eastAsia" w:ascii="宋体" w:hAnsi="宋体" w:eastAsia="宋体" w:cs="宋体"/>
                <w:b w:val="0"/>
                <w:bCs/>
                <w:color w:val="auto"/>
                <w:sz w:val="22"/>
                <w:szCs w:val="22"/>
                <w:highlight w:val="none"/>
                <w:vertAlign w:val="baseline"/>
              </w:rPr>
            </w:pPr>
            <w:r>
              <w:rPr>
                <w:rFonts w:hint="eastAsia" w:ascii="宋体" w:hAnsi="宋体" w:eastAsia="宋体" w:cs="宋体"/>
                <w:color w:val="auto"/>
                <w:sz w:val="22"/>
                <w:szCs w:val="22"/>
                <w:highlight w:val="none"/>
              </w:rPr>
              <w:t>应急响应方案</w:t>
            </w:r>
          </w:p>
        </w:tc>
        <w:tc>
          <w:tcPr>
            <w:tcW w:w="6838" w:type="dxa"/>
            <w:noWrap w:val="0"/>
            <w:vAlign w:val="top"/>
          </w:tcPr>
          <w:p>
            <w:pPr>
              <w:keepNext w:val="0"/>
              <w:keepLines w:val="0"/>
              <w:pageBreakBefore w:val="0"/>
              <w:kinsoku/>
              <w:wordWrap/>
              <w:overflowPunct/>
              <w:topLinePunct w:val="0"/>
              <w:bidi w:val="0"/>
              <w:snapToGrid/>
              <w:spacing w:before="72" w:beforeLines="30" w:after="72" w:afterLines="30" w:line="460" w:lineRule="exact"/>
              <w:jc w:val="left"/>
              <w:textAlignment w:val="auto"/>
              <w:rPr>
                <w:rFonts w:hint="eastAsia" w:ascii="宋体" w:hAnsi="宋体" w:eastAsia="宋体" w:cs="宋体"/>
                <w:b w:val="0"/>
                <w:bCs/>
                <w:color w:val="auto"/>
                <w:sz w:val="22"/>
                <w:szCs w:val="22"/>
                <w:highlight w:val="none"/>
                <w:vertAlign w:val="baseline"/>
              </w:rPr>
            </w:pPr>
            <w:r>
              <w:rPr>
                <w:rFonts w:hint="eastAsia" w:ascii="宋体" w:hAnsi="宋体" w:eastAsia="宋体" w:cs="宋体"/>
                <w:color w:val="auto"/>
                <w:sz w:val="22"/>
                <w:szCs w:val="22"/>
                <w:highlight w:val="none"/>
              </w:rPr>
              <w:t>突发事件和灾害天气造成设施损坏情况的应急响应方案：包括人员配备、物资储备和启动、应急处置等方案是否科学合理、具有针对性及可操作性</w:t>
            </w:r>
            <w:r>
              <w:rPr>
                <w:rFonts w:hint="eastAsia" w:ascii="宋体" w:hAnsi="宋体" w:eastAsia="宋体" w:cs="宋体"/>
                <w:color w:val="auto"/>
                <w:sz w:val="22"/>
                <w:szCs w:val="22"/>
                <w:highlight w:val="none"/>
                <w:lang w:val="en-US" w:eastAsia="zh-CN"/>
              </w:rPr>
              <w:t>进行</w:t>
            </w:r>
            <w:r>
              <w:rPr>
                <w:rFonts w:hint="eastAsia" w:ascii="宋体" w:hAnsi="宋体" w:eastAsia="宋体" w:cs="宋体"/>
                <w:color w:val="auto"/>
                <w:sz w:val="22"/>
                <w:szCs w:val="22"/>
                <w:highlight w:val="none"/>
              </w:rPr>
              <w:t>综合</w:t>
            </w:r>
            <w:r>
              <w:rPr>
                <w:rFonts w:hint="eastAsia" w:ascii="宋体" w:hAnsi="宋体" w:eastAsia="宋体" w:cs="宋体"/>
                <w:color w:val="auto"/>
                <w:sz w:val="22"/>
                <w:szCs w:val="22"/>
                <w:highlight w:val="none"/>
                <w:lang w:val="en-US" w:eastAsia="zh-CN"/>
              </w:rPr>
              <w:t>比较</w:t>
            </w:r>
            <w:r>
              <w:rPr>
                <w:rFonts w:hint="eastAsia" w:ascii="宋体" w:hAnsi="宋体" w:eastAsia="宋体" w:cs="宋体"/>
                <w:color w:val="auto"/>
                <w:sz w:val="22"/>
                <w:szCs w:val="22"/>
                <w:highlight w:val="none"/>
              </w:rPr>
              <w:t>打分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0-</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tc>
        <w:tc>
          <w:tcPr>
            <w:tcW w:w="787" w:type="dxa"/>
            <w:noWrap w:val="0"/>
            <w:vAlign w:val="center"/>
          </w:tcPr>
          <w:p>
            <w:pPr>
              <w:keepNext w:val="0"/>
              <w:keepLines w:val="0"/>
              <w:pageBreakBefore w:val="0"/>
              <w:kinsoku/>
              <w:wordWrap/>
              <w:overflowPunct/>
              <w:topLinePunct w:val="0"/>
              <w:bidi w:val="0"/>
              <w:snapToGrid/>
              <w:spacing w:before="72" w:beforeLines="30" w:after="72" w:afterLines="30" w:line="460" w:lineRule="exact"/>
              <w:jc w:val="center"/>
              <w:textAlignment w:val="auto"/>
              <w:rPr>
                <w:rFonts w:hint="eastAsia" w:ascii="宋体" w:hAnsi="宋体" w:eastAsia="宋体" w:cs="宋体"/>
                <w:b w:val="0"/>
                <w:bCs/>
                <w:color w:val="auto"/>
                <w:sz w:val="22"/>
                <w:szCs w:val="22"/>
                <w:highlight w:val="none"/>
                <w:vertAlign w:val="baseli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87" w:type="dxa"/>
            <w:noWrap w:val="0"/>
            <w:vAlign w:val="center"/>
          </w:tcPr>
          <w:p>
            <w:pPr>
              <w:pStyle w:val="22"/>
              <w:keepNext w:val="0"/>
              <w:keepLines w:val="0"/>
              <w:pageBreakBefore w:val="0"/>
              <w:kinsoku/>
              <w:wordWrap/>
              <w:overflowPunct/>
              <w:topLinePunct w:val="0"/>
              <w:bidi w:val="0"/>
              <w:snapToGrid/>
              <w:spacing w:line="460" w:lineRule="exact"/>
              <w:ind w:left="0" w:leftChars="0" w:firstLine="0" w:firstLineChars="0"/>
              <w:jc w:val="center"/>
              <w:textAlignment w:val="auto"/>
              <w:rPr>
                <w:rFonts w:hint="default" w:ascii="宋体" w:hAnsi="宋体" w:eastAsia="宋体" w:cs="宋体"/>
                <w:b w:val="0"/>
                <w:bCs/>
                <w:color w:val="auto"/>
                <w:sz w:val="22"/>
                <w:szCs w:val="22"/>
                <w:highlight w:val="none"/>
                <w:vertAlign w:val="baseline"/>
                <w:lang w:val="en-US" w:eastAsia="zh-CN"/>
              </w:rPr>
            </w:pPr>
            <w:r>
              <w:rPr>
                <w:rFonts w:hint="eastAsia" w:ascii="宋体" w:hAnsi="宋体" w:cs="宋体"/>
                <w:b w:val="0"/>
                <w:bCs/>
                <w:color w:val="auto"/>
                <w:sz w:val="22"/>
                <w:szCs w:val="22"/>
                <w:highlight w:val="none"/>
                <w:vertAlign w:val="baseline"/>
                <w:lang w:val="en-US" w:eastAsia="zh-CN"/>
              </w:rPr>
              <w:t>10</w:t>
            </w:r>
          </w:p>
        </w:tc>
        <w:tc>
          <w:tcPr>
            <w:tcW w:w="1850" w:type="dxa"/>
            <w:noWrap w:val="0"/>
            <w:vAlign w:val="center"/>
          </w:tcPr>
          <w:p>
            <w:pPr>
              <w:keepNext w:val="0"/>
              <w:keepLines w:val="0"/>
              <w:pageBreakBefore w:val="0"/>
              <w:kinsoku/>
              <w:wordWrap/>
              <w:overflowPunct/>
              <w:topLinePunct w:val="0"/>
              <w:autoSpaceDE w:val="0"/>
              <w:autoSpaceDN w:val="0"/>
              <w:bidi w:val="0"/>
              <w:adjustRightInd w:val="0"/>
              <w:snapToGrid/>
              <w:spacing w:line="460" w:lineRule="exact"/>
              <w:ind w:left="-50" w:leftChars="0"/>
              <w:jc w:val="center"/>
              <w:textAlignment w:val="auto"/>
              <w:rPr>
                <w:rFonts w:hint="eastAsia"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lang w:val="zh-CN"/>
              </w:rPr>
              <w:t>优惠</w:t>
            </w:r>
            <w:r>
              <w:rPr>
                <w:rFonts w:hint="eastAsia" w:ascii="宋体" w:hAnsi="宋体" w:eastAsia="宋体" w:cs="宋体"/>
                <w:b w:val="0"/>
                <w:bCs w:val="0"/>
                <w:color w:val="auto"/>
                <w:sz w:val="22"/>
                <w:szCs w:val="22"/>
                <w:highlight w:val="none"/>
                <w:lang w:val="en-US" w:eastAsia="zh-CN"/>
              </w:rPr>
              <w:t>承诺</w:t>
            </w:r>
          </w:p>
        </w:tc>
        <w:tc>
          <w:tcPr>
            <w:tcW w:w="6838" w:type="dxa"/>
            <w:noWrap w:val="0"/>
            <w:vAlign w:val="center"/>
          </w:tcPr>
          <w:p>
            <w:pPr>
              <w:keepNext w:val="0"/>
              <w:keepLines w:val="0"/>
              <w:pageBreakBefore w:val="0"/>
              <w:kinsoku/>
              <w:wordWrap/>
              <w:overflowPunct/>
              <w:topLinePunct w:val="0"/>
              <w:bidi w:val="0"/>
              <w:snapToGrid/>
              <w:spacing w:line="460" w:lineRule="exact"/>
              <w:jc w:val="both"/>
              <w:textAlignment w:val="auto"/>
              <w:rPr>
                <w:rFonts w:hint="eastAsia"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rPr>
              <w:t>根据</w:t>
            </w:r>
            <w:r>
              <w:rPr>
                <w:rFonts w:hint="eastAsia" w:ascii="宋体" w:hAnsi="宋体" w:eastAsia="宋体" w:cs="宋体"/>
                <w:b w:val="0"/>
                <w:bCs w:val="0"/>
                <w:color w:val="auto"/>
                <w:sz w:val="22"/>
                <w:szCs w:val="22"/>
                <w:highlight w:val="none"/>
                <w:lang w:eastAsia="zh-CN"/>
              </w:rPr>
              <w:t>投标人</w:t>
            </w:r>
            <w:r>
              <w:rPr>
                <w:rFonts w:hint="eastAsia" w:ascii="宋体" w:hAnsi="宋体" w:eastAsia="宋体" w:cs="宋体"/>
                <w:b w:val="0"/>
                <w:bCs w:val="0"/>
                <w:color w:val="auto"/>
                <w:sz w:val="22"/>
                <w:szCs w:val="22"/>
                <w:highlight w:val="none"/>
                <w:lang w:val="en-US" w:eastAsia="zh-CN"/>
              </w:rPr>
              <w:t>提供的</w:t>
            </w:r>
            <w:r>
              <w:rPr>
                <w:rFonts w:hint="eastAsia" w:ascii="宋体" w:hAnsi="宋体" w:eastAsia="宋体" w:cs="宋体"/>
                <w:b w:val="0"/>
                <w:bCs w:val="0"/>
                <w:color w:val="auto"/>
                <w:sz w:val="22"/>
                <w:szCs w:val="22"/>
                <w:highlight w:val="none"/>
              </w:rPr>
              <w:t>优惠</w:t>
            </w:r>
            <w:r>
              <w:rPr>
                <w:rFonts w:hint="eastAsia" w:ascii="宋体" w:hAnsi="宋体" w:eastAsia="宋体" w:cs="宋体"/>
                <w:b w:val="0"/>
                <w:bCs w:val="0"/>
                <w:color w:val="auto"/>
                <w:sz w:val="22"/>
                <w:szCs w:val="22"/>
                <w:highlight w:val="none"/>
                <w:lang w:val="en-US" w:eastAsia="zh-CN"/>
              </w:rPr>
              <w:t>条件</w:t>
            </w:r>
            <w:r>
              <w:rPr>
                <w:rFonts w:hint="eastAsia" w:ascii="宋体" w:hAnsi="宋体" w:eastAsia="宋体" w:cs="宋体"/>
                <w:color w:val="auto"/>
                <w:sz w:val="22"/>
                <w:szCs w:val="22"/>
                <w:highlight w:val="none"/>
                <w:lang w:val="en-US" w:eastAsia="zh-CN"/>
              </w:rPr>
              <w:t>进行</w:t>
            </w:r>
            <w:r>
              <w:rPr>
                <w:rFonts w:hint="eastAsia" w:ascii="宋体" w:hAnsi="宋体" w:eastAsia="宋体" w:cs="宋体"/>
                <w:color w:val="auto"/>
                <w:sz w:val="22"/>
                <w:szCs w:val="22"/>
                <w:highlight w:val="none"/>
              </w:rPr>
              <w:t>综合</w:t>
            </w:r>
            <w:r>
              <w:rPr>
                <w:rFonts w:hint="eastAsia" w:ascii="宋体" w:hAnsi="宋体" w:eastAsia="宋体" w:cs="宋体"/>
                <w:color w:val="auto"/>
                <w:sz w:val="22"/>
                <w:szCs w:val="22"/>
                <w:highlight w:val="none"/>
                <w:lang w:val="en-US" w:eastAsia="zh-CN"/>
              </w:rPr>
              <w:t>比较</w:t>
            </w:r>
            <w:r>
              <w:rPr>
                <w:rFonts w:hint="eastAsia" w:ascii="宋体" w:hAnsi="宋体" w:eastAsia="宋体" w:cs="宋体"/>
                <w:color w:val="auto"/>
                <w:sz w:val="22"/>
                <w:szCs w:val="22"/>
                <w:highlight w:val="none"/>
              </w:rPr>
              <w:t>打分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0-</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w:t>
            </w:r>
            <w:r>
              <w:rPr>
                <w:rFonts w:hint="eastAsia" w:ascii="宋体" w:hAnsi="宋体" w:eastAsia="宋体" w:cs="宋体"/>
                <w:color w:val="auto"/>
                <w:sz w:val="22"/>
                <w:szCs w:val="22"/>
                <w:highlight w:val="none"/>
                <w:lang w:eastAsia="zh-CN"/>
              </w:rPr>
              <w:t>）。</w:t>
            </w:r>
          </w:p>
        </w:tc>
        <w:tc>
          <w:tcPr>
            <w:tcW w:w="787" w:type="dxa"/>
            <w:noWrap w:val="0"/>
            <w:vAlign w:val="center"/>
          </w:tcPr>
          <w:p>
            <w:pPr>
              <w:pStyle w:val="22"/>
              <w:keepNext w:val="0"/>
              <w:keepLines w:val="0"/>
              <w:pageBreakBefore w:val="0"/>
              <w:kinsoku/>
              <w:wordWrap/>
              <w:overflowPunct/>
              <w:topLinePunct w:val="0"/>
              <w:bidi w:val="0"/>
              <w:snapToGrid/>
              <w:spacing w:line="460" w:lineRule="exact"/>
              <w:ind w:left="0" w:leftChars="0" w:firstLine="0" w:firstLineChars="0"/>
              <w:jc w:val="center"/>
              <w:textAlignment w:val="auto"/>
              <w:rPr>
                <w:rFonts w:hint="eastAsia" w:ascii="宋体" w:hAnsi="宋体" w:eastAsia="宋体" w:cs="宋体"/>
                <w:b w:val="0"/>
                <w:bCs/>
                <w:color w:val="auto"/>
                <w:sz w:val="22"/>
                <w:szCs w:val="22"/>
                <w:highlight w:val="none"/>
                <w:vertAlign w:val="baseline"/>
                <w:lang w:val="en-US" w:eastAsia="zh-CN"/>
              </w:rPr>
            </w:pPr>
            <w:r>
              <w:rPr>
                <w:rFonts w:hint="eastAsia" w:ascii="宋体" w:hAnsi="宋体" w:cs="宋体"/>
                <w:b w:val="0"/>
                <w:bCs/>
                <w:color w:val="auto"/>
                <w:sz w:val="22"/>
                <w:szCs w:val="22"/>
                <w:highlight w:val="none"/>
                <w:vertAlign w:val="baseline"/>
                <w:lang w:val="en-US" w:eastAsia="zh-CN"/>
              </w:rPr>
              <w:t>2</w:t>
            </w:r>
            <w:r>
              <w:rPr>
                <w:rFonts w:hint="eastAsia" w:ascii="宋体" w:hAnsi="宋体" w:eastAsia="宋体" w:cs="宋体"/>
                <w:b w:val="0"/>
                <w:bCs/>
                <w:color w:val="auto"/>
                <w:sz w:val="22"/>
                <w:szCs w:val="22"/>
                <w:highlight w:val="none"/>
                <w:vertAlign w:val="baseli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trPr>
        <w:tc>
          <w:tcPr>
            <w:tcW w:w="687" w:type="dxa"/>
            <w:noWrap w:val="0"/>
            <w:vAlign w:val="center"/>
          </w:tcPr>
          <w:p>
            <w:pPr>
              <w:pStyle w:val="22"/>
              <w:keepNext w:val="0"/>
              <w:keepLines w:val="0"/>
              <w:pageBreakBefore w:val="0"/>
              <w:kinsoku/>
              <w:wordWrap/>
              <w:overflowPunct/>
              <w:topLinePunct w:val="0"/>
              <w:bidi w:val="0"/>
              <w:snapToGrid/>
              <w:spacing w:line="460" w:lineRule="exact"/>
              <w:ind w:left="0" w:leftChars="0" w:firstLine="0" w:firstLineChars="0"/>
              <w:jc w:val="center"/>
              <w:textAlignment w:val="auto"/>
              <w:rPr>
                <w:rFonts w:hint="default" w:ascii="宋体" w:hAnsi="宋体" w:eastAsia="宋体" w:cs="宋体"/>
                <w:b w:val="0"/>
                <w:bCs/>
                <w:color w:val="auto"/>
                <w:sz w:val="22"/>
                <w:szCs w:val="22"/>
                <w:highlight w:val="none"/>
                <w:vertAlign w:val="baseline"/>
                <w:lang w:val="en-US" w:eastAsia="zh-CN"/>
              </w:rPr>
            </w:pPr>
            <w:r>
              <w:rPr>
                <w:rFonts w:hint="eastAsia" w:ascii="宋体" w:hAnsi="宋体" w:cs="宋体"/>
                <w:b w:val="0"/>
                <w:bCs/>
                <w:color w:val="auto"/>
                <w:sz w:val="22"/>
                <w:szCs w:val="22"/>
                <w:highlight w:val="none"/>
                <w:vertAlign w:val="baseline"/>
                <w:lang w:val="en-US" w:eastAsia="zh-CN"/>
              </w:rPr>
              <w:t>11</w:t>
            </w:r>
          </w:p>
        </w:tc>
        <w:tc>
          <w:tcPr>
            <w:tcW w:w="1850" w:type="dxa"/>
            <w:noWrap w:val="0"/>
            <w:vAlign w:val="center"/>
          </w:tcPr>
          <w:p>
            <w:pPr>
              <w:pStyle w:val="22"/>
              <w:keepNext w:val="0"/>
              <w:keepLines w:val="0"/>
              <w:pageBreakBefore w:val="0"/>
              <w:kinsoku/>
              <w:wordWrap/>
              <w:overflowPunct/>
              <w:topLinePunct w:val="0"/>
              <w:bidi w:val="0"/>
              <w:snapToGrid/>
              <w:spacing w:line="460" w:lineRule="exact"/>
              <w:ind w:left="0" w:leftChars="0" w:firstLine="0" w:firstLineChars="0"/>
              <w:jc w:val="center"/>
              <w:textAlignment w:val="auto"/>
              <w:rPr>
                <w:rFonts w:hint="eastAsia"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color w:val="auto"/>
                <w:sz w:val="22"/>
                <w:szCs w:val="22"/>
                <w:highlight w:val="none"/>
                <w:vertAlign w:val="baseline"/>
                <w:lang w:val="en-US" w:eastAsia="zh-CN"/>
              </w:rPr>
              <w:t>类似业绩</w:t>
            </w:r>
          </w:p>
        </w:tc>
        <w:tc>
          <w:tcPr>
            <w:tcW w:w="6838" w:type="dxa"/>
            <w:noWrap w:val="0"/>
            <w:vAlign w:val="top"/>
          </w:tcPr>
          <w:p>
            <w:pPr>
              <w:keepNext w:val="0"/>
              <w:keepLines w:val="0"/>
              <w:pageBreakBefore w:val="0"/>
              <w:kinsoku/>
              <w:wordWrap/>
              <w:overflowPunct/>
              <w:topLinePunct w:val="0"/>
              <w:autoSpaceDE/>
              <w:autoSpaceDN/>
              <w:bidi w:val="0"/>
              <w:adjustRightInd/>
              <w:snapToGrid/>
              <w:spacing w:before="72" w:beforeLines="30" w:after="72" w:afterLines="30" w:line="460" w:lineRule="exact"/>
              <w:jc w:val="left"/>
              <w:textAlignment w:val="auto"/>
              <w:rPr>
                <w:rFonts w:hint="eastAsia"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color w:val="auto"/>
                <w:sz w:val="22"/>
                <w:szCs w:val="22"/>
                <w:highlight w:val="none"/>
                <w:vertAlign w:val="baseline"/>
              </w:rPr>
              <w:t>投标人自201</w:t>
            </w:r>
            <w:r>
              <w:rPr>
                <w:rFonts w:hint="eastAsia" w:ascii="宋体" w:hAnsi="宋体" w:cs="宋体"/>
                <w:b w:val="0"/>
                <w:bCs/>
                <w:color w:val="auto"/>
                <w:sz w:val="22"/>
                <w:szCs w:val="22"/>
                <w:highlight w:val="none"/>
                <w:vertAlign w:val="baseline"/>
                <w:lang w:val="en-US" w:eastAsia="zh-CN"/>
              </w:rPr>
              <w:t>9</w:t>
            </w:r>
            <w:r>
              <w:rPr>
                <w:rFonts w:hint="eastAsia" w:ascii="宋体" w:hAnsi="宋体" w:eastAsia="宋体" w:cs="宋体"/>
                <w:b w:val="0"/>
                <w:bCs/>
                <w:color w:val="auto"/>
                <w:sz w:val="22"/>
                <w:szCs w:val="22"/>
                <w:highlight w:val="none"/>
                <w:vertAlign w:val="baseline"/>
              </w:rPr>
              <w:t>年1月1日以来（以合同签订日期为准），独立承担过</w:t>
            </w:r>
            <w:r>
              <w:rPr>
                <w:rFonts w:hint="eastAsia" w:ascii="宋体" w:hAnsi="宋体" w:eastAsia="宋体" w:cs="宋体"/>
                <w:b w:val="0"/>
                <w:bCs/>
                <w:color w:val="auto"/>
                <w:sz w:val="22"/>
                <w:szCs w:val="22"/>
                <w:highlight w:val="none"/>
                <w:vertAlign w:val="baseline"/>
                <w:lang w:val="en-US" w:eastAsia="zh-CN"/>
              </w:rPr>
              <w:t>类似</w:t>
            </w:r>
            <w:r>
              <w:rPr>
                <w:rFonts w:hint="eastAsia" w:ascii="宋体" w:hAnsi="宋体" w:eastAsia="宋体" w:cs="宋体"/>
                <w:b w:val="0"/>
                <w:bCs/>
                <w:color w:val="auto"/>
                <w:sz w:val="22"/>
                <w:szCs w:val="22"/>
                <w:highlight w:val="none"/>
                <w:vertAlign w:val="baseline"/>
              </w:rPr>
              <w:t>项目业绩</w:t>
            </w:r>
            <w:r>
              <w:rPr>
                <w:rFonts w:hint="eastAsia" w:ascii="宋体" w:hAnsi="宋体" w:eastAsia="宋体" w:cs="宋体"/>
                <w:b w:val="0"/>
                <w:bCs/>
                <w:color w:val="auto"/>
                <w:sz w:val="22"/>
                <w:szCs w:val="22"/>
                <w:highlight w:val="none"/>
                <w:vertAlign w:val="baseline"/>
                <w:lang w:val="en-US" w:eastAsia="zh-CN"/>
              </w:rPr>
              <w:t>的</w:t>
            </w:r>
            <w:r>
              <w:rPr>
                <w:rFonts w:hint="eastAsia" w:ascii="宋体" w:hAnsi="宋体" w:eastAsia="宋体" w:cs="宋体"/>
                <w:b w:val="0"/>
                <w:bCs/>
                <w:color w:val="auto"/>
                <w:sz w:val="22"/>
                <w:szCs w:val="22"/>
                <w:highlight w:val="none"/>
                <w:vertAlign w:val="baseline"/>
              </w:rPr>
              <w:t>，每</w:t>
            </w:r>
            <w:r>
              <w:rPr>
                <w:rFonts w:hint="eastAsia" w:ascii="宋体" w:hAnsi="宋体" w:eastAsia="宋体" w:cs="宋体"/>
                <w:b w:val="0"/>
                <w:bCs/>
                <w:color w:val="auto"/>
                <w:sz w:val="22"/>
                <w:szCs w:val="22"/>
                <w:highlight w:val="none"/>
                <w:vertAlign w:val="baseline"/>
                <w:lang w:val="en-US" w:eastAsia="zh-CN"/>
              </w:rPr>
              <w:t>提供1</w:t>
            </w:r>
            <w:r>
              <w:rPr>
                <w:rFonts w:hint="eastAsia" w:ascii="宋体" w:hAnsi="宋体" w:eastAsia="宋体" w:cs="宋体"/>
                <w:b w:val="0"/>
                <w:bCs/>
                <w:color w:val="auto"/>
                <w:sz w:val="22"/>
                <w:szCs w:val="22"/>
                <w:highlight w:val="none"/>
                <w:vertAlign w:val="baseline"/>
              </w:rPr>
              <w:t>个得</w:t>
            </w:r>
            <w:r>
              <w:rPr>
                <w:rFonts w:hint="eastAsia" w:ascii="宋体" w:hAnsi="宋体" w:cs="宋体"/>
                <w:b w:val="0"/>
                <w:bCs/>
                <w:color w:val="auto"/>
                <w:sz w:val="22"/>
                <w:szCs w:val="22"/>
                <w:highlight w:val="none"/>
                <w:vertAlign w:val="baseline"/>
                <w:lang w:val="en-US" w:eastAsia="zh-CN"/>
              </w:rPr>
              <w:t>1</w:t>
            </w:r>
            <w:r>
              <w:rPr>
                <w:rFonts w:hint="eastAsia" w:ascii="宋体" w:hAnsi="宋体" w:eastAsia="宋体" w:cs="宋体"/>
                <w:b w:val="0"/>
                <w:bCs/>
                <w:color w:val="auto"/>
                <w:sz w:val="22"/>
                <w:szCs w:val="22"/>
                <w:highlight w:val="none"/>
                <w:vertAlign w:val="baseline"/>
              </w:rPr>
              <w:t>分，最高得</w:t>
            </w:r>
            <w:r>
              <w:rPr>
                <w:rFonts w:hint="eastAsia" w:ascii="宋体" w:hAnsi="宋体" w:cs="宋体"/>
                <w:b w:val="0"/>
                <w:bCs/>
                <w:color w:val="auto"/>
                <w:sz w:val="22"/>
                <w:szCs w:val="22"/>
                <w:highlight w:val="none"/>
                <w:vertAlign w:val="baseline"/>
                <w:lang w:val="en-US" w:eastAsia="zh-CN"/>
              </w:rPr>
              <w:t>2</w:t>
            </w:r>
            <w:r>
              <w:rPr>
                <w:rFonts w:hint="eastAsia" w:ascii="宋体" w:hAnsi="宋体" w:eastAsia="宋体" w:cs="宋体"/>
                <w:b w:val="0"/>
                <w:bCs/>
                <w:color w:val="auto"/>
                <w:sz w:val="22"/>
                <w:szCs w:val="22"/>
                <w:highlight w:val="none"/>
                <w:vertAlign w:val="baseline"/>
                <w:lang w:val="en-US" w:eastAsia="zh-CN"/>
              </w:rPr>
              <w:t>分。</w:t>
            </w:r>
          </w:p>
          <w:p>
            <w:pPr>
              <w:keepNext w:val="0"/>
              <w:keepLines w:val="0"/>
              <w:pageBreakBefore w:val="0"/>
              <w:kinsoku/>
              <w:wordWrap/>
              <w:overflowPunct/>
              <w:topLinePunct w:val="0"/>
              <w:autoSpaceDE/>
              <w:autoSpaceDN/>
              <w:bidi w:val="0"/>
              <w:adjustRightInd/>
              <w:snapToGrid/>
              <w:spacing w:before="72" w:beforeLines="30" w:after="72" w:afterLines="30" w:line="460" w:lineRule="exact"/>
              <w:jc w:val="left"/>
              <w:textAlignment w:val="auto"/>
              <w:rPr>
                <w:rFonts w:hint="eastAsia" w:ascii="宋体" w:hAnsi="宋体" w:eastAsia="宋体" w:cs="宋体"/>
                <w:b w:val="0"/>
                <w:bCs/>
                <w:color w:val="auto"/>
                <w:sz w:val="22"/>
                <w:szCs w:val="22"/>
                <w:highlight w:val="none"/>
                <w:vertAlign w:val="baseline"/>
              </w:rPr>
            </w:pPr>
            <w:r>
              <w:rPr>
                <w:rFonts w:hint="eastAsia" w:ascii="宋体" w:hAnsi="宋体" w:eastAsia="宋体" w:cs="宋体"/>
                <w:b w:val="0"/>
                <w:bCs/>
                <w:color w:val="auto"/>
                <w:sz w:val="22"/>
                <w:szCs w:val="22"/>
                <w:highlight w:val="none"/>
                <w:vertAlign w:val="baseline"/>
                <w:lang w:val="en-US" w:eastAsia="zh-CN"/>
              </w:rPr>
              <w:t>以上</w:t>
            </w:r>
            <w:r>
              <w:rPr>
                <w:rFonts w:hint="eastAsia" w:ascii="宋体" w:hAnsi="宋体" w:eastAsia="宋体" w:cs="宋体"/>
                <w:b w:val="0"/>
                <w:bCs/>
                <w:color w:val="auto"/>
                <w:sz w:val="22"/>
                <w:szCs w:val="22"/>
                <w:highlight w:val="none"/>
                <w:vertAlign w:val="baseline"/>
              </w:rPr>
              <w:t>业绩证明材料</w:t>
            </w:r>
            <w:r>
              <w:rPr>
                <w:rFonts w:hint="eastAsia" w:ascii="宋体" w:hAnsi="宋体" w:eastAsia="宋体" w:cs="宋体"/>
                <w:b w:val="0"/>
                <w:bCs/>
                <w:color w:val="auto"/>
                <w:sz w:val="22"/>
                <w:szCs w:val="22"/>
                <w:highlight w:val="none"/>
                <w:vertAlign w:val="baseline"/>
                <w:lang w:eastAsia="zh-CN"/>
              </w:rPr>
              <w:t>（</w:t>
            </w:r>
            <w:r>
              <w:rPr>
                <w:rFonts w:hint="eastAsia" w:ascii="宋体" w:hAnsi="宋体" w:eastAsia="宋体" w:cs="宋体"/>
                <w:b w:val="0"/>
                <w:bCs/>
                <w:color w:val="auto"/>
                <w:sz w:val="22"/>
                <w:szCs w:val="22"/>
                <w:highlight w:val="none"/>
                <w:vertAlign w:val="baseline"/>
                <w:lang w:val="en-US" w:eastAsia="zh-CN"/>
              </w:rPr>
              <w:t>以下两项需同时提供</w:t>
            </w:r>
            <w:r>
              <w:rPr>
                <w:rFonts w:hint="eastAsia" w:ascii="宋体" w:hAnsi="宋体" w:eastAsia="宋体" w:cs="宋体"/>
                <w:b w:val="0"/>
                <w:bCs/>
                <w:color w:val="auto"/>
                <w:sz w:val="22"/>
                <w:szCs w:val="22"/>
                <w:highlight w:val="none"/>
                <w:vertAlign w:val="baseline"/>
                <w:lang w:eastAsia="zh-CN"/>
              </w:rPr>
              <w:t>）</w:t>
            </w:r>
            <w:r>
              <w:rPr>
                <w:rFonts w:hint="eastAsia" w:ascii="宋体" w:hAnsi="宋体" w:eastAsia="宋体" w:cs="宋体"/>
                <w:b w:val="0"/>
                <w:bCs/>
                <w:color w:val="auto"/>
                <w:sz w:val="22"/>
                <w:szCs w:val="22"/>
                <w:highlight w:val="none"/>
                <w:vertAlign w:val="baseline"/>
              </w:rPr>
              <w:t>：</w:t>
            </w:r>
          </w:p>
          <w:p>
            <w:pPr>
              <w:keepNext w:val="0"/>
              <w:keepLines w:val="0"/>
              <w:pageBreakBefore w:val="0"/>
              <w:kinsoku/>
              <w:wordWrap/>
              <w:overflowPunct/>
              <w:topLinePunct w:val="0"/>
              <w:autoSpaceDE/>
              <w:autoSpaceDN/>
              <w:bidi w:val="0"/>
              <w:adjustRightInd/>
              <w:snapToGrid/>
              <w:spacing w:before="72" w:beforeLines="30" w:after="72" w:afterLines="30" w:line="460" w:lineRule="exact"/>
              <w:jc w:val="left"/>
              <w:textAlignment w:val="auto"/>
              <w:rPr>
                <w:rFonts w:hint="eastAsia" w:ascii="宋体" w:hAnsi="宋体" w:eastAsia="宋体" w:cs="宋体"/>
                <w:b w:val="0"/>
                <w:bCs/>
                <w:color w:val="auto"/>
                <w:sz w:val="22"/>
                <w:szCs w:val="22"/>
                <w:highlight w:val="none"/>
                <w:vertAlign w:val="baseline"/>
              </w:rPr>
            </w:pPr>
            <w:r>
              <w:rPr>
                <w:rFonts w:hint="eastAsia" w:ascii="宋体" w:hAnsi="宋体" w:eastAsia="宋体" w:cs="宋体"/>
                <w:b w:val="0"/>
                <w:bCs/>
                <w:color w:val="auto"/>
                <w:sz w:val="22"/>
                <w:szCs w:val="22"/>
                <w:highlight w:val="none"/>
                <w:vertAlign w:val="baseline"/>
                <w:lang w:val="en-US" w:eastAsia="zh-CN"/>
              </w:rPr>
              <w:t>（1）</w:t>
            </w:r>
            <w:r>
              <w:rPr>
                <w:rFonts w:hint="eastAsia" w:ascii="宋体" w:hAnsi="宋体" w:eastAsia="宋体" w:cs="宋体"/>
                <w:b w:val="0"/>
                <w:bCs/>
                <w:color w:val="auto"/>
                <w:sz w:val="22"/>
                <w:szCs w:val="22"/>
                <w:highlight w:val="none"/>
                <w:vertAlign w:val="baseline"/>
              </w:rPr>
              <w:t>合同复印件（加盖单位公章）</w:t>
            </w:r>
          </w:p>
          <w:p>
            <w:pPr>
              <w:keepNext w:val="0"/>
              <w:keepLines w:val="0"/>
              <w:pageBreakBefore w:val="0"/>
              <w:kinsoku/>
              <w:wordWrap/>
              <w:overflowPunct/>
              <w:topLinePunct w:val="0"/>
              <w:autoSpaceDE/>
              <w:autoSpaceDN/>
              <w:bidi w:val="0"/>
              <w:adjustRightInd/>
              <w:snapToGrid/>
              <w:spacing w:before="72" w:beforeLines="30" w:after="72" w:afterLines="30" w:line="460" w:lineRule="exact"/>
              <w:jc w:val="left"/>
              <w:textAlignment w:val="auto"/>
              <w:rPr>
                <w:rFonts w:hint="eastAsia"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color w:val="auto"/>
                <w:sz w:val="22"/>
                <w:szCs w:val="22"/>
                <w:highlight w:val="none"/>
                <w:vertAlign w:val="baseline"/>
                <w:lang w:val="en-US" w:eastAsia="zh-CN"/>
              </w:rPr>
              <w:t>（2）已完成项目需提供业主方出具的合同履行评价表，未完成项目需提供业主方开具的该项目履约情况的证明材料。（以上材料需加盖业主方单位公章）</w:t>
            </w:r>
          </w:p>
        </w:tc>
        <w:tc>
          <w:tcPr>
            <w:tcW w:w="787" w:type="dxa"/>
            <w:noWrap w:val="0"/>
            <w:vAlign w:val="center"/>
          </w:tcPr>
          <w:p>
            <w:pPr>
              <w:pStyle w:val="22"/>
              <w:keepNext w:val="0"/>
              <w:keepLines w:val="0"/>
              <w:pageBreakBefore w:val="0"/>
              <w:kinsoku/>
              <w:wordWrap/>
              <w:overflowPunct/>
              <w:topLinePunct w:val="0"/>
              <w:bidi w:val="0"/>
              <w:snapToGrid/>
              <w:spacing w:line="460" w:lineRule="exact"/>
              <w:ind w:left="0" w:leftChars="0" w:firstLine="0" w:firstLineChars="0"/>
              <w:jc w:val="center"/>
              <w:textAlignment w:val="auto"/>
              <w:rPr>
                <w:rFonts w:hint="eastAsia" w:ascii="宋体" w:hAnsi="宋体" w:eastAsia="宋体" w:cs="宋体"/>
                <w:b w:val="0"/>
                <w:bCs/>
                <w:color w:val="auto"/>
                <w:sz w:val="22"/>
                <w:szCs w:val="22"/>
                <w:highlight w:val="none"/>
                <w:vertAlign w:val="baseline"/>
                <w:lang w:val="en-US" w:eastAsia="zh-CN"/>
              </w:rPr>
            </w:pPr>
            <w:r>
              <w:rPr>
                <w:rFonts w:hint="eastAsia" w:ascii="宋体" w:hAnsi="宋体" w:cs="宋体"/>
                <w:b w:val="0"/>
                <w:bCs/>
                <w:color w:val="auto"/>
                <w:sz w:val="22"/>
                <w:szCs w:val="22"/>
                <w:highlight w:val="none"/>
                <w:vertAlign w:val="baseline"/>
                <w:lang w:val="en-US" w:eastAsia="zh-CN"/>
              </w:rPr>
              <w:t>2</w:t>
            </w:r>
            <w:r>
              <w:rPr>
                <w:rFonts w:hint="eastAsia" w:ascii="宋体" w:hAnsi="宋体" w:eastAsia="宋体" w:cs="宋体"/>
                <w:b w:val="0"/>
                <w:bCs/>
                <w:color w:val="auto"/>
                <w:sz w:val="22"/>
                <w:szCs w:val="22"/>
                <w:highlight w:val="none"/>
                <w:vertAlign w:val="baseline"/>
                <w:lang w:val="en-US" w:eastAsia="zh-CN"/>
              </w:rPr>
              <w:t>分</w:t>
            </w:r>
          </w:p>
        </w:tc>
      </w:tr>
    </w:tbl>
    <w:p>
      <w:pPr>
        <w:pStyle w:val="22"/>
        <w:spacing w:line="460" w:lineRule="exact"/>
        <w:ind w:left="0" w:lef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2、报价评分（</w:t>
      </w:r>
      <w:r>
        <w:rPr>
          <w:rFonts w:hint="eastAsia" w:ascii="宋体" w:hAnsi="宋体" w:cs="宋体"/>
          <w:b/>
          <w:color w:val="auto"/>
          <w:sz w:val="22"/>
          <w:szCs w:val="22"/>
          <w:highlight w:val="none"/>
          <w:lang w:val="en-US" w:eastAsia="zh-CN"/>
        </w:rPr>
        <w:t>2</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2</w:t>
      </w:r>
      <w:r>
        <w:rPr>
          <w:rFonts w:hint="eastAsia" w:ascii="宋体" w:hAnsi="宋体" w:eastAsia="宋体" w:cs="宋体"/>
          <w:b/>
          <w:color w:val="auto"/>
          <w:sz w:val="22"/>
          <w:szCs w:val="22"/>
          <w:highlight w:val="none"/>
        </w:rPr>
        <w:t>0%）：</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满足招标文件要求且投标报价最低的投标报价为评标基准价，其余投标人投标报价与该基准价对比，计算出商务报价评分值（保留小数2位）：</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1）有效投标人的投标报价等于评标基准价时其报价分为满分</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0分；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2）其他投标人的价格分按以下公式计算：</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投标报价得分=（评分基准价/投标人投标报价）× 价格权值 ×100（保留小数2位）</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3、有效投标人的综合得分为技术分和商务（报价）分的总和。</w:t>
      </w:r>
    </w:p>
    <w:p>
      <w:pPr>
        <w:spacing w:line="460" w:lineRule="exact"/>
        <w:ind w:firstLine="539" w:firstLineChars="245"/>
        <w:rPr>
          <w:rFonts w:hint="eastAsia" w:ascii="新宋体" w:hAnsi="新宋体" w:eastAsia="新宋体"/>
          <w:color w:val="auto"/>
          <w:sz w:val="22"/>
          <w:szCs w:val="22"/>
          <w:highlight w:val="none"/>
          <w:lang w:val="zh-CN"/>
        </w:rPr>
      </w:pPr>
      <w:r>
        <w:rPr>
          <w:rFonts w:hint="eastAsia" w:ascii="新宋体" w:hAnsi="新宋体" w:eastAsia="新宋体"/>
          <w:color w:val="auto"/>
          <w:sz w:val="22"/>
          <w:szCs w:val="22"/>
          <w:highlight w:val="none"/>
          <w:lang w:val="zh-CN"/>
        </w:rPr>
        <w:t>根据</w:t>
      </w:r>
      <w:r>
        <w:rPr>
          <w:rFonts w:hint="eastAsia" w:ascii="新宋体" w:hAnsi="新宋体" w:eastAsia="新宋体" w:cs="新宋体"/>
          <w:color w:val="auto"/>
          <w:kern w:val="0"/>
          <w:sz w:val="22"/>
          <w:szCs w:val="22"/>
          <w:highlight w:val="none"/>
        </w:rPr>
        <w:t>《政府采购促进中小企业发展管理办法》（财库〔2020〕46号）</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《财政部关于进一步加大政府采购支持中小企业力度的通知》（财库〔2022〕19号）</w:t>
      </w:r>
      <w:r>
        <w:rPr>
          <w:rFonts w:hint="eastAsia" w:ascii="新宋体" w:hAnsi="新宋体" w:eastAsia="新宋体" w:cs="新宋体"/>
          <w:color w:val="auto"/>
          <w:kern w:val="0"/>
          <w:sz w:val="22"/>
          <w:szCs w:val="22"/>
          <w:highlight w:val="none"/>
          <w:lang w:eastAsia="zh-CN"/>
        </w:rPr>
        <w:t>、《浙江省财政厅关于进一步加大政府采购支持中小企业力度助力扎实稳住经济的通知》（</w:t>
      </w:r>
      <w:r>
        <w:rPr>
          <w:rFonts w:hint="eastAsia" w:ascii="新宋体" w:hAnsi="新宋体" w:eastAsia="新宋体" w:cs="新宋体"/>
          <w:color w:val="auto"/>
          <w:kern w:val="0"/>
          <w:sz w:val="22"/>
          <w:szCs w:val="22"/>
          <w:highlight w:val="none"/>
        </w:rPr>
        <w:t>浙财采监〔2022〕8号</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等</w:t>
      </w:r>
      <w:r>
        <w:rPr>
          <w:rFonts w:hint="eastAsia" w:ascii="新宋体" w:hAnsi="新宋体" w:eastAsia="新宋体" w:cs="新宋体"/>
          <w:color w:val="auto"/>
          <w:kern w:val="0"/>
          <w:sz w:val="22"/>
          <w:szCs w:val="22"/>
          <w:highlight w:val="none"/>
        </w:rPr>
        <w:t>有关规定</w:t>
      </w:r>
      <w:r>
        <w:rPr>
          <w:rFonts w:hint="eastAsia" w:ascii="新宋体" w:hAnsi="新宋体" w:eastAsia="新宋体"/>
          <w:color w:val="auto"/>
          <w:sz w:val="22"/>
          <w:szCs w:val="22"/>
          <w:highlight w:val="none"/>
          <w:lang w:val="zh-CN"/>
        </w:rPr>
        <w:t>，对投标产品为小型或微型企业生产的，</w:t>
      </w:r>
      <w:r>
        <w:rPr>
          <w:rFonts w:hint="eastAsia" w:ascii="新宋体" w:hAnsi="新宋体" w:eastAsia="新宋体"/>
          <w:color w:val="auto"/>
          <w:sz w:val="22"/>
          <w:szCs w:val="22"/>
          <w:highlight w:val="none"/>
          <w:lang w:val="en-US" w:eastAsia="zh-CN"/>
        </w:rPr>
        <w:t>或工程、服务由小型或微型企业承建、承接的</w:t>
      </w:r>
      <w:r>
        <w:rPr>
          <w:rFonts w:hint="eastAsia" w:ascii="新宋体" w:hAnsi="新宋体" w:eastAsia="新宋体"/>
          <w:color w:val="auto"/>
          <w:sz w:val="22"/>
          <w:szCs w:val="22"/>
          <w:highlight w:val="none"/>
          <w:lang w:val="zh-CN"/>
        </w:rPr>
        <w:t>，</w:t>
      </w:r>
      <w:r>
        <w:rPr>
          <w:rFonts w:hint="eastAsia" w:ascii="新宋体" w:hAnsi="新宋体" w:eastAsia="新宋体"/>
          <w:b/>
          <w:bCs/>
          <w:color w:val="auto"/>
          <w:sz w:val="22"/>
          <w:szCs w:val="22"/>
          <w:highlight w:val="none"/>
          <w:u w:val="single"/>
          <w:lang w:val="zh-CN"/>
        </w:rPr>
        <w:t>价格给予</w:t>
      </w:r>
      <w:r>
        <w:rPr>
          <w:rFonts w:hint="eastAsia" w:ascii="新宋体" w:hAnsi="新宋体" w:eastAsia="新宋体"/>
          <w:b/>
          <w:bCs/>
          <w:color w:val="auto"/>
          <w:sz w:val="22"/>
          <w:szCs w:val="22"/>
          <w:highlight w:val="none"/>
          <w:u w:val="single"/>
        </w:rPr>
        <w:t>20</w:t>
      </w:r>
      <w:r>
        <w:rPr>
          <w:rFonts w:hint="eastAsia" w:ascii="新宋体" w:hAnsi="新宋体" w:eastAsia="新宋体"/>
          <w:b/>
          <w:bCs/>
          <w:color w:val="auto"/>
          <w:sz w:val="22"/>
          <w:szCs w:val="22"/>
          <w:highlight w:val="none"/>
          <w:u w:val="single"/>
          <w:lang w:val="zh-CN"/>
        </w:rPr>
        <w:t>%的扣除</w:t>
      </w:r>
      <w:r>
        <w:rPr>
          <w:rFonts w:hint="eastAsia" w:ascii="新宋体" w:hAnsi="新宋体" w:eastAsia="新宋体"/>
          <w:color w:val="auto"/>
          <w:sz w:val="22"/>
          <w:szCs w:val="22"/>
          <w:highlight w:val="none"/>
          <w:lang w:val="zh-CN"/>
        </w:rPr>
        <w:t>，用扣除后的价格参与价格评分。</w:t>
      </w:r>
    </w:p>
    <w:p>
      <w:pPr>
        <w:spacing w:line="460" w:lineRule="exact"/>
        <w:ind w:firstLine="442" w:firstLineChars="20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zh-CN"/>
        </w:rPr>
        <w:t>监狱企业视同小微企业，其产品参加本项目投标的，享受小微企业同等的价格扣除。</w:t>
      </w:r>
    </w:p>
    <w:p>
      <w:pPr>
        <w:spacing w:line="460" w:lineRule="exact"/>
        <w:rPr>
          <w:rFonts w:hint="eastAsia" w:ascii="宋体" w:hAnsi="宋体" w:eastAsia="宋体" w:cs="宋体"/>
          <w:b/>
          <w:bCs/>
          <w:color w:val="auto"/>
          <w:sz w:val="22"/>
          <w:szCs w:val="22"/>
          <w:highlight w:val="none"/>
          <w:u w:val="single"/>
        </w:rPr>
      </w:pPr>
      <w:r>
        <w:rPr>
          <w:rFonts w:hint="eastAsia" w:ascii="宋体" w:hAnsi="宋体" w:eastAsia="宋体" w:cs="宋体"/>
          <w:b/>
          <w:color w:val="auto"/>
          <w:sz w:val="22"/>
          <w:szCs w:val="22"/>
          <w:highlight w:val="none"/>
        </w:rPr>
        <w:t xml:space="preserve">   </w:t>
      </w:r>
      <w:r>
        <w:rPr>
          <w:rFonts w:hint="eastAsia" w:ascii="宋体" w:hAnsi="宋体" w:eastAsia="宋体" w:cs="宋体"/>
          <w:b/>
          <w:bCs/>
          <w:color w:val="auto"/>
          <w:sz w:val="22"/>
          <w:szCs w:val="22"/>
          <w:highlight w:val="none"/>
          <w:u w:val="singl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60" w:lineRule="exact"/>
        <w:ind w:firstLine="541" w:firstLineChars="245"/>
        <w:outlineLvl w:val="1"/>
        <w:rPr>
          <w:rFonts w:hint="eastAsia" w:ascii="宋体" w:hAnsi="宋体" w:eastAsia="宋体" w:cs="宋体"/>
          <w:b/>
          <w:bCs/>
          <w:color w:val="auto"/>
          <w:sz w:val="22"/>
          <w:szCs w:val="22"/>
          <w:highlight w:val="none"/>
        </w:rPr>
      </w:pPr>
      <w:bookmarkStart w:id="68" w:name="_Toc2482"/>
      <w:bookmarkStart w:id="69" w:name="_Toc4727"/>
      <w:r>
        <w:rPr>
          <w:rFonts w:hint="eastAsia" w:ascii="宋体" w:hAnsi="宋体" w:eastAsia="宋体" w:cs="宋体"/>
          <w:b/>
          <w:bCs/>
          <w:color w:val="auto"/>
          <w:sz w:val="22"/>
          <w:szCs w:val="22"/>
          <w:highlight w:val="none"/>
        </w:rPr>
        <w:t>六、定标办法</w:t>
      </w:r>
      <w:bookmarkEnd w:id="68"/>
      <w:bookmarkEnd w:id="69"/>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1.1由评标委员会确定中标候选人。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2、确定中标人</w:t>
      </w: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2.1招标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中标人确定后，招标人将在指定媒体公告中标结果，招标人向中标人发出中标通知书。</w:t>
      </w:r>
    </w:p>
    <w:p>
      <w:pPr>
        <w:spacing w:line="460" w:lineRule="exact"/>
        <w:ind w:firstLine="541" w:firstLineChars="245"/>
        <w:outlineLvl w:val="1"/>
        <w:rPr>
          <w:rFonts w:hint="eastAsia" w:ascii="宋体" w:hAnsi="宋体" w:eastAsia="宋体" w:cs="宋体"/>
          <w:b/>
          <w:color w:val="auto"/>
          <w:sz w:val="22"/>
          <w:szCs w:val="22"/>
          <w:highlight w:val="none"/>
        </w:rPr>
      </w:pPr>
      <w:bookmarkStart w:id="70" w:name="_Toc17587"/>
      <w:bookmarkStart w:id="71" w:name="_Toc3629"/>
      <w:r>
        <w:rPr>
          <w:rFonts w:hint="eastAsia" w:ascii="宋体" w:hAnsi="宋体" w:eastAsia="宋体" w:cs="宋体"/>
          <w:b/>
          <w:color w:val="auto"/>
          <w:sz w:val="22"/>
          <w:szCs w:val="22"/>
          <w:highlight w:val="none"/>
        </w:rPr>
        <w:t>七、投标人义务</w:t>
      </w:r>
      <w:bookmarkEnd w:id="70"/>
      <w:bookmarkEnd w:id="71"/>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color w:val="auto"/>
          <w:sz w:val="22"/>
          <w:szCs w:val="22"/>
          <w:highlight w:val="none"/>
        </w:rPr>
        <w:t>投标人应随时接受评标委员会的询标，解答包括有关的商务、技术问题等。评标结束，所有评标资料存招标机构备查。</w:t>
      </w:r>
    </w:p>
    <w:p>
      <w:pPr>
        <w:spacing w:line="460" w:lineRule="exact"/>
        <w:jc w:val="center"/>
        <w:rPr>
          <w:rFonts w:hint="eastAsia" w:ascii="宋体" w:hAnsi="宋体" w:eastAsia="宋体" w:cs="宋体"/>
          <w:b/>
          <w:color w:val="auto"/>
          <w:sz w:val="32"/>
          <w:szCs w:val="32"/>
          <w:highlight w:val="none"/>
        </w:rPr>
      </w:pPr>
    </w:p>
    <w:p>
      <w:pPr>
        <w:pStyle w:val="22"/>
        <w:ind w:left="440" w:hanging="440"/>
        <w:rPr>
          <w:rFonts w:hint="eastAsia" w:ascii="宋体" w:hAnsi="宋体" w:eastAsia="宋体" w:cs="宋体"/>
          <w:color w:val="auto"/>
          <w:kern w:val="0"/>
          <w:sz w:val="22"/>
          <w:szCs w:val="22"/>
          <w:highlight w:val="none"/>
        </w:rPr>
      </w:pPr>
    </w:p>
    <w:sectPr>
      <w:headerReference r:id="rId5" w:type="default"/>
      <w:footerReference r:id="rId6"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6"/>
      </w:rPr>
    </w:pPr>
    <w:r>
      <w:fldChar w:fldCharType="begin"/>
    </w:r>
    <w:r>
      <w:rPr>
        <w:rStyle w:val="56"/>
      </w:rPr>
      <w:instrText xml:space="preserve">PAGE  </w:instrText>
    </w:r>
    <w:r>
      <w:fldChar w:fldCharType="separate"/>
    </w:r>
    <w:r>
      <w:rPr>
        <w:rStyle w:val="56"/>
      </w:rPr>
      <w:t>28</w:t>
    </w:r>
    <w:r>
      <w:fldChar w:fldCharType="end"/>
    </w:r>
  </w:p>
  <w:p>
    <w:pPr>
      <w:pStyle w:val="34"/>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6"/>
      </w:rPr>
    </w:pPr>
    <w:r>
      <w:fldChar w:fldCharType="begin"/>
    </w:r>
    <w:r>
      <w:rPr>
        <w:rStyle w:val="56"/>
      </w:rPr>
      <w:instrText xml:space="preserve">PAGE  </w:instrText>
    </w:r>
    <w:r>
      <w:fldChar w:fldCharType="separate"/>
    </w:r>
    <w:r>
      <w:rPr>
        <w:rStyle w:val="56"/>
      </w:rPr>
      <w:t>72</w:t>
    </w:r>
    <w:r>
      <w:fldChar w:fldCharType="end"/>
    </w:r>
  </w:p>
  <w:p>
    <w:pPr>
      <w:pStyle w:val="34"/>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single" w:color="auto" w:sz="6" w:space="0"/>
      </w:pBdr>
      <w:jc w:val="both"/>
    </w:pPr>
    <w:r>
      <w:rPr>
        <w:rFonts w:hint="eastAsia"/>
      </w:rPr>
      <w:t>温州市政府（分散）采购招标文件                                             项目编号：</w:t>
    </w:r>
    <w:r>
      <w:rPr>
        <w:rFonts w:hint="eastAsia"/>
        <w:lang w:eastAsia="zh-CN"/>
      </w:rPr>
      <w:t xml:space="preserve">WZLCZB（W）-2022-07353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single" w:color="auto" w:sz="6" w:space="0"/>
      </w:pBdr>
      <w:jc w:val="both"/>
    </w:pPr>
    <w:r>
      <w:rPr>
        <w:rFonts w:hint="eastAsia"/>
      </w:rPr>
      <w:t>温州市政府（分散）采购招标文件                                             项目编号：</w:t>
    </w:r>
    <w:r>
      <w:rPr>
        <w:rFonts w:hint="eastAsia"/>
        <w:lang w:eastAsia="zh-CN"/>
      </w:rPr>
      <w:t xml:space="preserve">WZLCZB（W）-2022-07353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D2AFC"/>
    <w:multiLevelType w:val="singleLevel"/>
    <w:tmpl w:val="9DED2AFC"/>
    <w:lvl w:ilvl="0" w:tentative="0">
      <w:start w:val="4"/>
      <w:numFmt w:val="chineseCounting"/>
      <w:suff w:val="space"/>
      <w:lvlText w:val="第%1部分"/>
      <w:lvlJc w:val="left"/>
      <w:rPr>
        <w:rFonts w:hint="eastAsia"/>
      </w:rPr>
    </w:lvl>
  </w:abstractNum>
  <w:abstractNum w:abstractNumId="1">
    <w:nsid w:val="A93AD08E"/>
    <w:multiLevelType w:val="singleLevel"/>
    <w:tmpl w:val="A93AD08E"/>
    <w:lvl w:ilvl="0" w:tentative="0">
      <w:start w:val="1"/>
      <w:numFmt w:val="decimal"/>
      <w:suff w:val="nothing"/>
      <w:lvlText w:val="%1、"/>
      <w:lvlJc w:val="left"/>
    </w:lvl>
  </w:abstractNum>
  <w:abstractNum w:abstractNumId="2">
    <w:nsid w:val="B1C0EE6B"/>
    <w:multiLevelType w:val="singleLevel"/>
    <w:tmpl w:val="B1C0EE6B"/>
    <w:lvl w:ilvl="0" w:tentative="0">
      <w:start w:val="5"/>
      <w:numFmt w:val="chineseCounting"/>
      <w:suff w:val="nothing"/>
      <w:lvlText w:val="%1、"/>
      <w:lvlJc w:val="left"/>
      <w:rPr>
        <w:rFonts w:hint="eastAsia"/>
      </w:rPr>
    </w:lvl>
  </w:abstractNum>
  <w:abstractNum w:abstractNumId="3">
    <w:nsid w:val="BAF9EC89"/>
    <w:multiLevelType w:val="singleLevel"/>
    <w:tmpl w:val="BAF9EC89"/>
    <w:lvl w:ilvl="0" w:tentative="0">
      <w:start w:val="1"/>
      <w:numFmt w:val="chineseCounting"/>
      <w:suff w:val="nothing"/>
      <w:lvlText w:val="（%1）"/>
      <w:lvlJc w:val="left"/>
      <w:rPr>
        <w:rFonts w:hint="eastAsia"/>
      </w:rPr>
    </w:lvl>
  </w:abstractNum>
  <w:abstractNum w:abstractNumId="4">
    <w:nsid w:val="CD31F181"/>
    <w:multiLevelType w:val="singleLevel"/>
    <w:tmpl w:val="CD31F181"/>
    <w:lvl w:ilvl="0" w:tentative="0">
      <w:start w:val="1"/>
      <w:numFmt w:val="decimal"/>
      <w:suff w:val="nothing"/>
      <w:lvlText w:val="%1、"/>
      <w:lvlJc w:val="left"/>
    </w:lvl>
  </w:abstractNum>
  <w:abstractNum w:abstractNumId="5">
    <w:nsid w:val="159CF6CC"/>
    <w:multiLevelType w:val="singleLevel"/>
    <w:tmpl w:val="159CF6CC"/>
    <w:lvl w:ilvl="0" w:tentative="0">
      <w:start w:val="5"/>
      <w:numFmt w:val="decimal"/>
      <w:suff w:val="nothing"/>
      <w:lvlText w:val="%1、"/>
      <w:lvlJc w:val="left"/>
    </w:lvl>
  </w:abstractNum>
  <w:abstractNum w:abstractNumId="6">
    <w:nsid w:val="504C7B44"/>
    <w:multiLevelType w:val="singleLevel"/>
    <w:tmpl w:val="504C7B44"/>
    <w:lvl w:ilvl="0" w:tentative="0">
      <w:start w:val="1"/>
      <w:numFmt w:val="decimal"/>
      <w:suff w:val="nothing"/>
      <w:lvlText w:val="%1、"/>
      <w:lvlJc w:val="left"/>
    </w:lvl>
  </w:abstractNum>
  <w:abstractNum w:abstractNumId="7">
    <w:nsid w:val="52D7A3B6"/>
    <w:multiLevelType w:val="singleLevel"/>
    <w:tmpl w:val="52D7A3B6"/>
    <w:lvl w:ilvl="0" w:tentative="0">
      <w:start w:val="1"/>
      <w:numFmt w:val="decimal"/>
      <w:suff w:val="nothing"/>
      <w:lvlText w:val="（%1）"/>
      <w:lvlJc w:val="left"/>
    </w:lvl>
  </w:abstractNum>
  <w:num w:numId="1">
    <w:abstractNumId w:val="7"/>
  </w:num>
  <w:num w:numId="2">
    <w:abstractNumId w:val="3"/>
  </w:num>
  <w:num w:numId="3">
    <w:abstractNumId w:val="6"/>
  </w:num>
  <w:num w:numId="4">
    <w:abstractNumId w:val="4"/>
  </w:num>
  <w:num w:numId="5">
    <w:abstractNumId w:val="5"/>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0NWM0YjQ0NTJjNDY5ZjBmYTIzZWIyMWExMGIxOWEifQ=="/>
  </w:docVars>
  <w:rsids>
    <w:rsidRoot w:val="00172A27"/>
    <w:rsid w:val="000149E3"/>
    <w:rsid w:val="00020693"/>
    <w:rsid w:val="000217C7"/>
    <w:rsid w:val="00026A46"/>
    <w:rsid w:val="00027D0D"/>
    <w:rsid w:val="00031F49"/>
    <w:rsid w:val="00037B6F"/>
    <w:rsid w:val="000474B4"/>
    <w:rsid w:val="00063600"/>
    <w:rsid w:val="000A6326"/>
    <w:rsid w:val="000B2878"/>
    <w:rsid w:val="0010260A"/>
    <w:rsid w:val="0013451B"/>
    <w:rsid w:val="00146E35"/>
    <w:rsid w:val="00172A27"/>
    <w:rsid w:val="00176791"/>
    <w:rsid w:val="0019644F"/>
    <w:rsid w:val="001B0F17"/>
    <w:rsid w:val="001B2275"/>
    <w:rsid w:val="001D4048"/>
    <w:rsid w:val="001D49A1"/>
    <w:rsid w:val="001E7897"/>
    <w:rsid w:val="001F5D2B"/>
    <w:rsid w:val="002018F6"/>
    <w:rsid w:val="002044B9"/>
    <w:rsid w:val="00212172"/>
    <w:rsid w:val="00223CC1"/>
    <w:rsid w:val="00227214"/>
    <w:rsid w:val="00230913"/>
    <w:rsid w:val="00243D5B"/>
    <w:rsid w:val="002447E7"/>
    <w:rsid w:val="00261F3C"/>
    <w:rsid w:val="00270294"/>
    <w:rsid w:val="00271C2D"/>
    <w:rsid w:val="002843F3"/>
    <w:rsid w:val="00296547"/>
    <w:rsid w:val="002A31D6"/>
    <w:rsid w:val="002B5782"/>
    <w:rsid w:val="002C08AE"/>
    <w:rsid w:val="002C09AD"/>
    <w:rsid w:val="002D20EE"/>
    <w:rsid w:val="002D2D3D"/>
    <w:rsid w:val="002E7DAB"/>
    <w:rsid w:val="003058EA"/>
    <w:rsid w:val="00327AB8"/>
    <w:rsid w:val="00350DF6"/>
    <w:rsid w:val="00351F86"/>
    <w:rsid w:val="00352124"/>
    <w:rsid w:val="0035435E"/>
    <w:rsid w:val="00357388"/>
    <w:rsid w:val="00357A7B"/>
    <w:rsid w:val="003654EF"/>
    <w:rsid w:val="00372FCF"/>
    <w:rsid w:val="00373BB2"/>
    <w:rsid w:val="00380B23"/>
    <w:rsid w:val="00383F1F"/>
    <w:rsid w:val="003B0A15"/>
    <w:rsid w:val="003B1471"/>
    <w:rsid w:val="003B5050"/>
    <w:rsid w:val="003C713C"/>
    <w:rsid w:val="00405F28"/>
    <w:rsid w:val="0041137E"/>
    <w:rsid w:val="00430AB9"/>
    <w:rsid w:val="00441256"/>
    <w:rsid w:val="0045663E"/>
    <w:rsid w:val="00461389"/>
    <w:rsid w:val="0046542D"/>
    <w:rsid w:val="00481BD3"/>
    <w:rsid w:val="004B66F1"/>
    <w:rsid w:val="004C013A"/>
    <w:rsid w:val="004C7034"/>
    <w:rsid w:val="005001D6"/>
    <w:rsid w:val="00522EF2"/>
    <w:rsid w:val="005238A3"/>
    <w:rsid w:val="00526065"/>
    <w:rsid w:val="00532669"/>
    <w:rsid w:val="00533C40"/>
    <w:rsid w:val="00555FA3"/>
    <w:rsid w:val="00561E5D"/>
    <w:rsid w:val="0056534C"/>
    <w:rsid w:val="00565E01"/>
    <w:rsid w:val="005674BB"/>
    <w:rsid w:val="00572B8A"/>
    <w:rsid w:val="00582AEF"/>
    <w:rsid w:val="00586839"/>
    <w:rsid w:val="00587A14"/>
    <w:rsid w:val="005A1DD3"/>
    <w:rsid w:val="005A3AA2"/>
    <w:rsid w:val="005A65DF"/>
    <w:rsid w:val="005B3595"/>
    <w:rsid w:val="005C388F"/>
    <w:rsid w:val="00607A59"/>
    <w:rsid w:val="00631E7A"/>
    <w:rsid w:val="0064398C"/>
    <w:rsid w:val="00644CD7"/>
    <w:rsid w:val="00647AB1"/>
    <w:rsid w:val="00654A9F"/>
    <w:rsid w:val="00692D32"/>
    <w:rsid w:val="00696C82"/>
    <w:rsid w:val="006A1CF7"/>
    <w:rsid w:val="006B3E1C"/>
    <w:rsid w:val="006D6C7C"/>
    <w:rsid w:val="006E2672"/>
    <w:rsid w:val="007068AC"/>
    <w:rsid w:val="00722BB3"/>
    <w:rsid w:val="00740E65"/>
    <w:rsid w:val="00753072"/>
    <w:rsid w:val="007546B0"/>
    <w:rsid w:val="007671B7"/>
    <w:rsid w:val="00774E3F"/>
    <w:rsid w:val="00776F48"/>
    <w:rsid w:val="00780CBF"/>
    <w:rsid w:val="00781B95"/>
    <w:rsid w:val="007A21E8"/>
    <w:rsid w:val="007A62BD"/>
    <w:rsid w:val="007B564B"/>
    <w:rsid w:val="007B769B"/>
    <w:rsid w:val="007E29D6"/>
    <w:rsid w:val="007F2164"/>
    <w:rsid w:val="00800A72"/>
    <w:rsid w:val="00804ACD"/>
    <w:rsid w:val="0080543D"/>
    <w:rsid w:val="00817CE2"/>
    <w:rsid w:val="00831C7B"/>
    <w:rsid w:val="00832D9C"/>
    <w:rsid w:val="00836E00"/>
    <w:rsid w:val="00846CC5"/>
    <w:rsid w:val="00850622"/>
    <w:rsid w:val="00870DFA"/>
    <w:rsid w:val="00871EBE"/>
    <w:rsid w:val="00873949"/>
    <w:rsid w:val="00875629"/>
    <w:rsid w:val="00877499"/>
    <w:rsid w:val="00892732"/>
    <w:rsid w:val="00893202"/>
    <w:rsid w:val="0089599B"/>
    <w:rsid w:val="008A127E"/>
    <w:rsid w:val="008B2FA9"/>
    <w:rsid w:val="008C2D7B"/>
    <w:rsid w:val="008C31BC"/>
    <w:rsid w:val="008D62C9"/>
    <w:rsid w:val="008D75C3"/>
    <w:rsid w:val="008E0B76"/>
    <w:rsid w:val="008E26D5"/>
    <w:rsid w:val="008F4E37"/>
    <w:rsid w:val="008F7BE3"/>
    <w:rsid w:val="008F7D27"/>
    <w:rsid w:val="00902AA2"/>
    <w:rsid w:val="009254A6"/>
    <w:rsid w:val="0093089E"/>
    <w:rsid w:val="00933974"/>
    <w:rsid w:val="00936127"/>
    <w:rsid w:val="00945DCB"/>
    <w:rsid w:val="009652E5"/>
    <w:rsid w:val="00973F7A"/>
    <w:rsid w:val="0097671D"/>
    <w:rsid w:val="00977673"/>
    <w:rsid w:val="00987F54"/>
    <w:rsid w:val="00991B38"/>
    <w:rsid w:val="00996305"/>
    <w:rsid w:val="009C748F"/>
    <w:rsid w:val="009E4D45"/>
    <w:rsid w:val="00A24A5C"/>
    <w:rsid w:val="00A42424"/>
    <w:rsid w:val="00A45873"/>
    <w:rsid w:val="00A56219"/>
    <w:rsid w:val="00A61866"/>
    <w:rsid w:val="00A77176"/>
    <w:rsid w:val="00A92B83"/>
    <w:rsid w:val="00A957CF"/>
    <w:rsid w:val="00AA3DA6"/>
    <w:rsid w:val="00AA7C87"/>
    <w:rsid w:val="00AD66E6"/>
    <w:rsid w:val="00AE4B39"/>
    <w:rsid w:val="00AF7BEB"/>
    <w:rsid w:val="00B06E43"/>
    <w:rsid w:val="00B2584A"/>
    <w:rsid w:val="00B41362"/>
    <w:rsid w:val="00B43A9E"/>
    <w:rsid w:val="00B44537"/>
    <w:rsid w:val="00B5466C"/>
    <w:rsid w:val="00B74039"/>
    <w:rsid w:val="00B87E26"/>
    <w:rsid w:val="00B9767A"/>
    <w:rsid w:val="00BA78D1"/>
    <w:rsid w:val="00BC0A13"/>
    <w:rsid w:val="00BC2B54"/>
    <w:rsid w:val="00BC4AC5"/>
    <w:rsid w:val="00BC66D1"/>
    <w:rsid w:val="00BF1399"/>
    <w:rsid w:val="00BF32BD"/>
    <w:rsid w:val="00C12358"/>
    <w:rsid w:val="00C232C8"/>
    <w:rsid w:val="00C468B7"/>
    <w:rsid w:val="00C67C97"/>
    <w:rsid w:val="00C70CE6"/>
    <w:rsid w:val="00C758F7"/>
    <w:rsid w:val="00C816DD"/>
    <w:rsid w:val="00C95163"/>
    <w:rsid w:val="00CB584C"/>
    <w:rsid w:val="00CC06DE"/>
    <w:rsid w:val="00CC3B91"/>
    <w:rsid w:val="00CE590D"/>
    <w:rsid w:val="00CF5C76"/>
    <w:rsid w:val="00D00FFE"/>
    <w:rsid w:val="00D13A1C"/>
    <w:rsid w:val="00D224FF"/>
    <w:rsid w:val="00D27DB2"/>
    <w:rsid w:val="00D3078D"/>
    <w:rsid w:val="00D30E82"/>
    <w:rsid w:val="00D47AC2"/>
    <w:rsid w:val="00D56369"/>
    <w:rsid w:val="00D70EBE"/>
    <w:rsid w:val="00D73718"/>
    <w:rsid w:val="00D7763D"/>
    <w:rsid w:val="00D844F8"/>
    <w:rsid w:val="00DB09B7"/>
    <w:rsid w:val="00DB2DE0"/>
    <w:rsid w:val="00DB41D0"/>
    <w:rsid w:val="00DF073C"/>
    <w:rsid w:val="00DF0B3F"/>
    <w:rsid w:val="00E02244"/>
    <w:rsid w:val="00E05AD1"/>
    <w:rsid w:val="00E11D98"/>
    <w:rsid w:val="00E15CD1"/>
    <w:rsid w:val="00E22045"/>
    <w:rsid w:val="00E248CD"/>
    <w:rsid w:val="00E36483"/>
    <w:rsid w:val="00E53874"/>
    <w:rsid w:val="00E56BD4"/>
    <w:rsid w:val="00E57D1E"/>
    <w:rsid w:val="00E72ABC"/>
    <w:rsid w:val="00E74DBC"/>
    <w:rsid w:val="00E76E5A"/>
    <w:rsid w:val="00EC182D"/>
    <w:rsid w:val="00EC6C26"/>
    <w:rsid w:val="00EC7DF8"/>
    <w:rsid w:val="00ED2873"/>
    <w:rsid w:val="00ED3B24"/>
    <w:rsid w:val="00ED7497"/>
    <w:rsid w:val="00EE45C7"/>
    <w:rsid w:val="00EF4A4C"/>
    <w:rsid w:val="00F03D32"/>
    <w:rsid w:val="00F06ABE"/>
    <w:rsid w:val="00F270F8"/>
    <w:rsid w:val="00F27576"/>
    <w:rsid w:val="00F36312"/>
    <w:rsid w:val="00F5082C"/>
    <w:rsid w:val="00F52CCB"/>
    <w:rsid w:val="00F52CD3"/>
    <w:rsid w:val="00F52E99"/>
    <w:rsid w:val="00F60DCB"/>
    <w:rsid w:val="00F80AAA"/>
    <w:rsid w:val="00F93BBA"/>
    <w:rsid w:val="00F95280"/>
    <w:rsid w:val="00FA662A"/>
    <w:rsid w:val="00FB0E0C"/>
    <w:rsid w:val="00FB1229"/>
    <w:rsid w:val="00FC44CE"/>
    <w:rsid w:val="00FD52B1"/>
    <w:rsid w:val="00FF3A66"/>
    <w:rsid w:val="00FF6977"/>
    <w:rsid w:val="0116709E"/>
    <w:rsid w:val="01606883"/>
    <w:rsid w:val="020D29B1"/>
    <w:rsid w:val="021F7DAD"/>
    <w:rsid w:val="0224444B"/>
    <w:rsid w:val="022D7429"/>
    <w:rsid w:val="02451328"/>
    <w:rsid w:val="027D25C0"/>
    <w:rsid w:val="02841565"/>
    <w:rsid w:val="02B3222E"/>
    <w:rsid w:val="02F63BA4"/>
    <w:rsid w:val="031D0871"/>
    <w:rsid w:val="03283281"/>
    <w:rsid w:val="03331487"/>
    <w:rsid w:val="034A64CB"/>
    <w:rsid w:val="039714E5"/>
    <w:rsid w:val="03BE392F"/>
    <w:rsid w:val="03E13A1E"/>
    <w:rsid w:val="04156ACE"/>
    <w:rsid w:val="042A5AFC"/>
    <w:rsid w:val="043D6DF1"/>
    <w:rsid w:val="043F2279"/>
    <w:rsid w:val="044865A2"/>
    <w:rsid w:val="048D46D7"/>
    <w:rsid w:val="04960E70"/>
    <w:rsid w:val="04A01243"/>
    <w:rsid w:val="04C27070"/>
    <w:rsid w:val="04E23C80"/>
    <w:rsid w:val="04FD6D0A"/>
    <w:rsid w:val="050751FC"/>
    <w:rsid w:val="05166806"/>
    <w:rsid w:val="0529508C"/>
    <w:rsid w:val="053A30CA"/>
    <w:rsid w:val="054A66D7"/>
    <w:rsid w:val="057D25F0"/>
    <w:rsid w:val="05936339"/>
    <w:rsid w:val="05D76F02"/>
    <w:rsid w:val="062F7E7F"/>
    <w:rsid w:val="0650016B"/>
    <w:rsid w:val="06695ADA"/>
    <w:rsid w:val="067F52AB"/>
    <w:rsid w:val="06E17425"/>
    <w:rsid w:val="06E81491"/>
    <w:rsid w:val="07081502"/>
    <w:rsid w:val="072046E3"/>
    <w:rsid w:val="07373C8C"/>
    <w:rsid w:val="073F6FD8"/>
    <w:rsid w:val="074234A9"/>
    <w:rsid w:val="0747552D"/>
    <w:rsid w:val="07592C30"/>
    <w:rsid w:val="076D255C"/>
    <w:rsid w:val="07791E20"/>
    <w:rsid w:val="078177D5"/>
    <w:rsid w:val="07924879"/>
    <w:rsid w:val="079C0E64"/>
    <w:rsid w:val="07D60F62"/>
    <w:rsid w:val="084A67F7"/>
    <w:rsid w:val="08621901"/>
    <w:rsid w:val="08911C02"/>
    <w:rsid w:val="08913549"/>
    <w:rsid w:val="08B53A61"/>
    <w:rsid w:val="08E76FD5"/>
    <w:rsid w:val="08FD20E7"/>
    <w:rsid w:val="090C77BA"/>
    <w:rsid w:val="09101BCD"/>
    <w:rsid w:val="09315C91"/>
    <w:rsid w:val="09510BFE"/>
    <w:rsid w:val="097E368B"/>
    <w:rsid w:val="09816EE6"/>
    <w:rsid w:val="099757EE"/>
    <w:rsid w:val="09A34824"/>
    <w:rsid w:val="09B85302"/>
    <w:rsid w:val="09B94936"/>
    <w:rsid w:val="09D26DBF"/>
    <w:rsid w:val="09F65854"/>
    <w:rsid w:val="0A07422F"/>
    <w:rsid w:val="0A1B49C1"/>
    <w:rsid w:val="0A3D0590"/>
    <w:rsid w:val="0A54036B"/>
    <w:rsid w:val="0A7416D8"/>
    <w:rsid w:val="0A8945EB"/>
    <w:rsid w:val="0A9705E6"/>
    <w:rsid w:val="0BAC1F4C"/>
    <w:rsid w:val="0BBE4F63"/>
    <w:rsid w:val="0BDA530A"/>
    <w:rsid w:val="0C0247C0"/>
    <w:rsid w:val="0C054DFF"/>
    <w:rsid w:val="0C2A0641"/>
    <w:rsid w:val="0C353302"/>
    <w:rsid w:val="0C496297"/>
    <w:rsid w:val="0C660E5E"/>
    <w:rsid w:val="0C9A109E"/>
    <w:rsid w:val="0CA74D09"/>
    <w:rsid w:val="0CA9483B"/>
    <w:rsid w:val="0CC51217"/>
    <w:rsid w:val="0D0A01F7"/>
    <w:rsid w:val="0D1F1C9D"/>
    <w:rsid w:val="0D3554D2"/>
    <w:rsid w:val="0D735BCC"/>
    <w:rsid w:val="0D7C2119"/>
    <w:rsid w:val="0D920730"/>
    <w:rsid w:val="0DE33D9A"/>
    <w:rsid w:val="0E022677"/>
    <w:rsid w:val="0E064CB1"/>
    <w:rsid w:val="0E4706D1"/>
    <w:rsid w:val="0E4B6575"/>
    <w:rsid w:val="0E5C2643"/>
    <w:rsid w:val="0E6537C4"/>
    <w:rsid w:val="0E701E1B"/>
    <w:rsid w:val="0E750CB0"/>
    <w:rsid w:val="0E8E6882"/>
    <w:rsid w:val="0EA7186A"/>
    <w:rsid w:val="0EE50D43"/>
    <w:rsid w:val="0F0377AE"/>
    <w:rsid w:val="0F0E6EE3"/>
    <w:rsid w:val="0F2C74A7"/>
    <w:rsid w:val="0F706416"/>
    <w:rsid w:val="0FCD5779"/>
    <w:rsid w:val="0FD03A0D"/>
    <w:rsid w:val="101B43BF"/>
    <w:rsid w:val="10381F40"/>
    <w:rsid w:val="104869BA"/>
    <w:rsid w:val="10575CC4"/>
    <w:rsid w:val="10C33E2C"/>
    <w:rsid w:val="10F47168"/>
    <w:rsid w:val="110264F1"/>
    <w:rsid w:val="1104198D"/>
    <w:rsid w:val="1105049E"/>
    <w:rsid w:val="115434FF"/>
    <w:rsid w:val="115D3896"/>
    <w:rsid w:val="117C1581"/>
    <w:rsid w:val="11904D01"/>
    <w:rsid w:val="11B62E53"/>
    <w:rsid w:val="11ED5E25"/>
    <w:rsid w:val="12103D4D"/>
    <w:rsid w:val="12345EA5"/>
    <w:rsid w:val="124027F2"/>
    <w:rsid w:val="125A673E"/>
    <w:rsid w:val="12775E6D"/>
    <w:rsid w:val="12A01322"/>
    <w:rsid w:val="12AB0828"/>
    <w:rsid w:val="12E05DF5"/>
    <w:rsid w:val="133616DD"/>
    <w:rsid w:val="134F30E0"/>
    <w:rsid w:val="13582BF6"/>
    <w:rsid w:val="13583E3E"/>
    <w:rsid w:val="138356B4"/>
    <w:rsid w:val="13884680"/>
    <w:rsid w:val="13903FF3"/>
    <w:rsid w:val="13996DA4"/>
    <w:rsid w:val="13A56966"/>
    <w:rsid w:val="13B56A40"/>
    <w:rsid w:val="13D309B3"/>
    <w:rsid w:val="13EC3F05"/>
    <w:rsid w:val="14077D57"/>
    <w:rsid w:val="141144B0"/>
    <w:rsid w:val="14342819"/>
    <w:rsid w:val="14965811"/>
    <w:rsid w:val="14D92610"/>
    <w:rsid w:val="15001500"/>
    <w:rsid w:val="154A25D7"/>
    <w:rsid w:val="15525604"/>
    <w:rsid w:val="156E5828"/>
    <w:rsid w:val="15B36E57"/>
    <w:rsid w:val="15B43A33"/>
    <w:rsid w:val="15B91E83"/>
    <w:rsid w:val="15C02CFA"/>
    <w:rsid w:val="15D02588"/>
    <w:rsid w:val="15D91171"/>
    <w:rsid w:val="161E34FC"/>
    <w:rsid w:val="163004AD"/>
    <w:rsid w:val="164356BB"/>
    <w:rsid w:val="166F777C"/>
    <w:rsid w:val="169571B8"/>
    <w:rsid w:val="169C21B8"/>
    <w:rsid w:val="169C6B59"/>
    <w:rsid w:val="16BB60A4"/>
    <w:rsid w:val="16D604C4"/>
    <w:rsid w:val="173A5387"/>
    <w:rsid w:val="17725C57"/>
    <w:rsid w:val="17755246"/>
    <w:rsid w:val="17800AEC"/>
    <w:rsid w:val="17F35817"/>
    <w:rsid w:val="18245E40"/>
    <w:rsid w:val="186B461D"/>
    <w:rsid w:val="188B4950"/>
    <w:rsid w:val="188E3DD1"/>
    <w:rsid w:val="18C7387D"/>
    <w:rsid w:val="18C76564"/>
    <w:rsid w:val="19087A11"/>
    <w:rsid w:val="190A5B46"/>
    <w:rsid w:val="191B7534"/>
    <w:rsid w:val="196C6250"/>
    <w:rsid w:val="196E2C37"/>
    <w:rsid w:val="1974690A"/>
    <w:rsid w:val="198509FA"/>
    <w:rsid w:val="19C072D3"/>
    <w:rsid w:val="19EF2318"/>
    <w:rsid w:val="1A25720B"/>
    <w:rsid w:val="1A510684"/>
    <w:rsid w:val="1A6171B2"/>
    <w:rsid w:val="1AA65F2A"/>
    <w:rsid w:val="1AA666F2"/>
    <w:rsid w:val="1ADC340E"/>
    <w:rsid w:val="1AED2C78"/>
    <w:rsid w:val="1AEF15D5"/>
    <w:rsid w:val="1B1F6B22"/>
    <w:rsid w:val="1B343FD0"/>
    <w:rsid w:val="1B356551"/>
    <w:rsid w:val="1B377F92"/>
    <w:rsid w:val="1B3E4ABA"/>
    <w:rsid w:val="1B7228AA"/>
    <w:rsid w:val="1B9D2D2C"/>
    <w:rsid w:val="1BAB13EA"/>
    <w:rsid w:val="1BE02644"/>
    <w:rsid w:val="1BF27CE6"/>
    <w:rsid w:val="1BF57F17"/>
    <w:rsid w:val="1C13053F"/>
    <w:rsid w:val="1C162BF5"/>
    <w:rsid w:val="1C212DFA"/>
    <w:rsid w:val="1C3065A1"/>
    <w:rsid w:val="1C32514E"/>
    <w:rsid w:val="1C8449C2"/>
    <w:rsid w:val="1C8676F7"/>
    <w:rsid w:val="1C8B5EF5"/>
    <w:rsid w:val="1C9B7764"/>
    <w:rsid w:val="1C9C37E6"/>
    <w:rsid w:val="1CA3081A"/>
    <w:rsid w:val="1CB81673"/>
    <w:rsid w:val="1CEB7EC5"/>
    <w:rsid w:val="1D0A50BD"/>
    <w:rsid w:val="1D2A3DAB"/>
    <w:rsid w:val="1D46542E"/>
    <w:rsid w:val="1D6359BB"/>
    <w:rsid w:val="1D664936"/>
    <w:rsid w:val="1D71729C"/>
    <w:rsid w:val="1D981331"/>
    <w:rsid w:val="1DAB3C89"/>
    <w:rsid w:val="1DC06E93"/>
    <w:rsid w:val="1DCC77C2"/>
    <w:rsid w:val="1DCF4890"/>
    <w:rsid w:val="1DE57753"/>
    <w:rsid w:val="1DFB57EB"/>
    <w:rsid w:val="1E0062C5"/>
    <w:rsid w:val="1E4F15C4"/>
    <w:rsid w:val="1E665E93"/>
    <w:rsid w:val="1E6D0B8E"/>
    <w:rsid w:val="1E740910"/>
    <w:rsid w:val="1E8824F5"/>
    <w:rsid w:val="1E8A1B7B"/>
    <w:rsid w:val="1ED05FDD"/>
    <w:rsid w:val="1EDA4565"/>
    <w:rsid w:val="1F0115E6"/>
    <w:rsid w:val="1F5F06CD"/>
    <w:rsid w:val="1F8B73B9"/>
    <w:rsid w:val="1FC0508F"/>
    <w:rsid w:val="1FD17519"/>
    <w:rsid w:val="1FDE37FF"/>
    <w:rsid w:val="1FE87CF6"/>
    <w:rsid w:val="20142293"/>
    <w:rsid w:val="202875D1"/>
    <w:rsid w:val="203B6405"/>
    <w:rsid w:val="204042C4"/>
    <w:rsid w:val="204434A6"/>
    <w:rsid w:val="208E2CB0"/>
    <w:rsid w:val="20C7192F"/>
    <w:rsid w:val="20C94ACB"/>
    <w:rsid w:val="20F3606E"/>
    <w:rsid w:val="213009EF"/>
    <w:rsid w:val="21372E87"/>
    <w:rsid w:val="213D75BE"/>
    <w:rsid w:val="213F7AB1"/>
    <w:rsid w:val="21543AED"/>
    <w:rsid w:val="217A33A1"/>
    <w:rsid w:val="21872636"/>
    <w:rsid w:val="218F2648"/>
    <w:rsid w:val="21902D39"/>
    <w:rsid w:val="21AB5C9B"/>
    <w:rsid w:val="21B427AB"/>
    <w:rsid w:val="21BD46E0"/>
    <w:rsid w:val="227C0C68"/>
    <w:rsid w:val="227D1F07"/>
    <w:rsid w:val="229F2C36"/>
    <w:rsid w:val="22AE5DFE"/>
    <w:rsid w:val="23025E80"/>
    <w:rsid w:val="23346362"/>
    <w:rsid w:val="23482BF8"/>
    <w:rsid w:val="235C31B0"/>
    <w:rsid w:val="23792398"/>
    <w:rsid w:val="238E188F"/>
    <w:rsid w:val="23AA016C"/>
    <w:rsid w:val="23C16FD2"/>
    <w:rsid w:val="242C445B"/>
    <w:rsid w:val="24716755"/>
    <w:rsid w:val="24771887"/>
    <w:rsid w:val="247E04BE"/>
    <w:rsid w:val="248B6BF0"/>
    <w:rsid w:val="24975A35"/>
    <w:rsid w:val="24A451C8"/>
    <w:rsid w:val="24B0777F"/>
    <w:rsid w:val="24B80E3D"/>
    <w:rsid w:val="24BA3A6C"/>
    <w:rsid w:val="24BE546C"/>
    <w:rsid w:val="24C14262"/>
    <w:rsid w:val="24DB11B1"/>
    <w:rsid w:val="24DB1DC1"/>
    <w:rsid w:val="24F0551C"/>
    <w:rsid w:val="2542487F"/>
    <w:rsid w:val="254579AD"/>
    <w:rsid w:val="25550995"/>
    <w:rsid w:val="25916749"/>
    <w:rsid w:val="25E5097B"/>
    <w:rsid w:val="25ED1CE2"/>
    <w:rsid w:val="260366CA"/>
    <w:rsid w:val="26190B1E"/>
    <w:rsid w:val="261954E5"/>
    <w:rsid w:val="2641214D"/>
    <w:rsid w:val="266D64A6"/>
    <w:rsid w:val="268169ED"/>
    <w:rsid w:val="26B25A04"/>
    <w:rsid w:val="26E86A48"/>
    <w:rsid w:val="27101EDB"/>
    <w:rsid w:val="27450F96"/>
    <w:rsid w:val="277F0037"/>
    <w:rsid w:val="27A03254"/>
    <w:rsid w:val="27A230C5"/>
    <w:rsid w:val="27A851CF"/>
    <w:rsid w:val="27F6755B"/>
    <w:rsid w:val="282E445A"/>
    <w:rsid w:val="2835156C"/>
    <w:rsid w:val="285E7742"/>
    <w:rsid w:val="285F589C"/>
    <w:rsid w:val="2860075F"/>
    <w:rsid w:val="288E7537"/>
    <w:rsid w:val="28D51CE9"/>
    <w:rsid w:val="28E0382C"/>
    <w:rsid w:val="28EC2844"/>
    <w:rsid w:val="28FB2940"/>
    <w:rsid w:val="2935387C"/>
    <w:rsid w:val="295642C7"/>
    <w:rsid w:val="29923BE6"/>
    <w:rsid w:val="29D70027"/>
    <w:rsid w:val="29E4565C"/>
    <w:rsid w:val="2A217644"/>
    <w:rsid w:val="2A5522DC"/>
    <w:rsid w:val="2A6D7AE4"/>
    <w:rsid w:val="2A81126C"/>
    <w:rsid w:val="2A9A509F"/>
    <w:rsid w:val="2ABE75C5"/>
    <w:rsid w:val="2AC54EDF"/>
    <w:rsid w:val="2ADE1592"/>
    <w:rsid w:val="2AE72478"/>
    <w:rsid w:val="2AF459E0"/>
    <w:rsid w:val="2AFE6BB2"/>
    <w:rsid w:val="2AFF547A"/>
    <w:rsid w:val="2B0F5BE3"/>
    <w:rsid w:val="2B194010"/>
    <w:rsid w:val="2B1A0A86"/>
    <w:rsid w:val="2B766889"/>
    <w:rsid w:val="2BB62C14"/>
    <w:rsid w:val="2BB82208"/>
    <w:rsid w:val="2BC1544C"/>
    <w:rsid w:val="2BF627FC"/>
    <w:rsid w:val="2BF83122"/>
    <w:rsid w:val="2C4D4422"/>
    <w:rsid w:val="2C61592A"/>
    <w:rsid w:val="2CF23348"/>
    <w:rsid w:val="2D0212AF"/>
    <w:rsid w:val="2D0721CE"/>
    <w:rsid w:val="2D2D0FB8"/>
    <w:rsid w:val="2D301B9B"/>
    <w:rsid w:val="2D5369A4"/>
    <w:rsid w:val="2D553E12"/>
    <w:rsid w:val="2D563294"/>
    <w:rsid w:val="2D572DE8"/>
    <w:rsid w:val="2D7657B0"/>
    <w:rsid w:val="2DA92533"/>
    <w:rsid w:val="2DC542FD"/>
    <w:rsid w:val="2DE33F80"/>
    <w:rsid w:val="2E027319"/>
    <w:rsid w:val="2E740C9C"/>
    <w:rsid w:val="2E912614"/>
    <w:rsid w:val="2EB82B9B"/>
    <w:rsid w:val="2EDB211E"/>
    <w:rsid w:val="2F4D3910"/>
    <w:rsid w:val="2FAF734F"/>
    <w:rsid w:val="2FB74538"/>
    <w:rsid w:val="2FF16930"/>
    <w:rsid w:val="30255652"/>
    <w:rsid w:val="302A5959"/>
    <w:rsid w:val="304F7993"/>
    <w:rsid w:val="305B0C4B"/>
    <w:rsid w:val="306F34C7"/>
    <w:rsid w:val="31024AE6"/>
    <w:rsid w:val="31232744"/>
    <w:rsid w:val="313F60CD"/>
    <w:rsid w:val="316C164E"/>
    <w:rsid w:val="31AC33EA"/>
    <w:rsid w:val="31B469D0"/>
    <w:rsid w:val="31D64F96"/>
    <w:rsid w:val="32017181"/>
    <w:rsid w:val="3202578C"/>
    <w:rsid w:val="32112C5E"/>
    <w:rsid w:val="322651A6"/>
    <w:rsid w:val="322A2FB8"/>
    <w:rsid w:val="326D3B31"/>
    <w:rsid w:val="327021FA"/>
    <w:rsid w:val="328C2A5E"/>
    <w:rsid w:val="329C1DF0"/>
    <w:rsid w:val="329E2BA3"/>
    <w:rsid w:val="32AE7A75"/>
    <w:rsid w:val="32DA5E95"/>
    <w:rsid w:val="32E032B1"/>
    <w:rsid w:val="32EF11A3"/>
    <w:rsid w:val="32EF2028"/>
    <w:rsid w:val="33011C41"/>
    <w:rsid w:val="333C6A3D"/>
    <w:rsid w:val="33516A67"/>
    <w:rsid w:val="335C53EE"/>
    <w:rsid w:val="33644CFD"/>
    <w:rsid w:val="33774568"/>
    <w:rsid w:val="337D36BD"/>
    <w:rsid w:val="33A0028D"/>
    <w:rsid w:val="33A570FA"/>
    <w:rsid w:val="33D32C1C"/>
    <w:rsid w:val="33D92429"/>
    <w:rsid w:val="3433408B"/>
    <w:rsid w:val="343B3818"/>
    <w:rsid w:val="343C1893"/>
    <w:rsid w:val="358526AE"/>
    <w:rsid w:val="35B54B22"/>
    <w:rsid w:val="35DF0F8E"/>
    <w:rsid w:val="35E83CBD"/>
    <w:rsid w:val="35EF293B"/>
    <w:rsid w:val="35F13A2A"/>
    <w:rsid w:val="360453EB"/>
    <w:rsid w:val="361633A9"/>
    <w:rsid w:val="362C0965"/>
    <w:rsid w:val="36495F37"/>
    <w:rsid w:val="36523501"/>
    <w:rsid w:val="366A6E58"/>
    <w:rsid w:val="37366041"/>
    <w:rsid w:val="373D0F4E"/>
    <w:rsid w:val="374101FF"/>
    <w:rsid w:val="374D0029"/>
    <w:rsid w:val="37625DAE"/>
    <w:rsid w:val="377717B0"/>
    <w:rsid w:val="37827B73"/>
    <w:rsid w:val="379D7A74"/>
    <w:rsid w:val="37A03DDA"/>
    <w:rsid w:val="37DC389E"/>
    <w:rsid w:val="37E41DF1"/>
    <w:rsid w:val="37FC364E"/>
    <w:rsid w:val="3829681D"/>
    <w:rsid w:val="38463090"/>
    <w:rsid w:val="3882116E"/>
    <w:rsid w:val="388234B9"/>
    <w:rsid w:val="38973473"/>
    <w:rsid w:val="38A56CC9"/>
    <w:rsid w:val="38C05F24"/>
    <w:rsid w:val="38D750B8"/>
    <w:rsid w:val="38F2240C"/>
    <w:rsid w:val="38F62CF8"/>
    <w:rsid w:val="39171CC0"/>
    <w:rsid w:val="393F39C1"/>
    <w:rsid w:val="3941283A"/>
    <w:rsid w:val="395212E1"/>
    <w:rsid w:val="39976574"/>
    <w:rsid w:val="39A165F9"/>
    <w:rsid w:val="39B72706"/>
    <w:rsid w:val="39C84E5A"/>
    <w:rsid w:val="39D13674"/>
    <w:rsid w:val="39FA0921"/>
    <w:rsid w:val="3A3457E8"/>
    <w:rsid w:val="3A3F0320"/>
    <w:rsid w:val="3A536E24"/>
    <w:rsid w:val="3A565A98"/>
    <w:rsid w:val="3A810ECA"/>
    <w:rsid w:val="3A871F8A"/>
    <w:rsid w:val="3AA31206"/>
    <w:rsid w:val="3AB57780"/>
    <w:rsid w:val="3AC65AD2"/>
    <w:rsid w:val="3ACF5A26"/>
    <w:rsid w:val="3B0D04F0"/>
    <w:rsid w:val="3B1B509F"/>
    <w:rsid w:val="3B3575B2"/>
    <w:rsid w:val="3B40620F"/>
    <w:rsid w:val="3B4764C1"/>
    <w:rsid w:val="3B54731C"/>
    <w:rsid w:val="3B67428D"/>
    <w:rsid w:val="3B713350"/>
    <w:rsid w:val="3B7A26BE"/>
    <w:rsid w:val="3B8930A9"/>
    <w:rsid w:val="3BE767A5"/>
    <w:rsid w:val="3C1701DB"/>
    <w:rsid w:val="3C2E25AC"/>
    <w:rsid w:val="3C33699A"/>
    <w:rsid w:val="3C41291B"/>
    <w:rsid w:val="3C447C27"/>
    <w:rsid w:val="3C4E3440"/>
    <w:rsid w:val="3D1D6CA4"/>
    <w:rsid w:val="3D513836"/>
    <w:rsid w:val="3DB07442"/>
    <w:rsid w:val="3DBD0BD2"/>
    <w:rsid w:val="3E225ED0"/>
    <w:rsid w:val="3E29108F"/>
    <w:rsid w:val="3E560256"/>
    <w:rsid w:val="3E763568"/>
    <w:rsid w:val="3EB341AB"/>
    <w:rsid w:val="3EC20226"/>
    <w:rsid w:val="3EC451E1"/>
    <w:rsid w:val="3EC47F80"/>
    <w:rsid w:val="3EE94CCD"/>
    <w:rsid w:val="3F1E63B0"/>
    <w:rsid w:val="3F2226EC"/>
    <w:rsid w:val="3F2D390C"/>
    <w:rsid w:val="3F601C75"/>
    <w:rsid w:val="3FAC6CE4"/>
    <w:rsid w:val="3FDA48AC"/>
    <w:rsid w:val="402A3DD6"/>
    <w:rsid w:val="402E363B"/>
    <w:rsid w:val="403A7A13"/>
    <w:rsid w:val="40883F9A"/>
    <w:rsid w:val="40A6403B"/>
    <w:rsid w:val="40C31767"/>
    <w:rsid w:val="40D11C13"/>
    <w:rsid w:val="40D14228"/>
    <w:rsid w:val="40E32648"/>
    <w:rsid w:val="413F338F"/>
    <w:rsid w:val="415D3A83"/>
    <w:rsid w:val="41A50FA5"/>
    <w:rsid w:val="41CC07BC"/>
    <w:rsid w:val="41DD5AAF"/>
    <w:rsid w:val="420569A4"/>
    <w:rsid w:val="422777F2"/>
    <w:rsid w:val="4246080B"/>
    <w:rsid w:val="42466DFA"/>
    <w:rsid w:val="429F677C"/>
    <w:rsid w:val="42CE24FD"/>
    <w:rsid w:val="42F302DD"/>
    <w:rsid w:val="43260C43"/>
    <w:rsid w:val="438034F8"/>
    <w:rsid w:val="4388321A"/>
    <w:rsid w:val="441A31FF"/>
    <w:rsid w:val="445B2710"/>
    <w:rsid w:val="446A3759"/>
    <w:rsid w:val="446B4961"/>
    <w:rsid w:val="449428DA"/>
    <w:rsid w:val="45132E7E"/>
    <w:rsid w:val="45A046DF"/>
    <w:rsid w:val="45B725A0"/>
    <w:rsid w:val="462E25CA"/>
    <w:rsid w:val="46303A17"/>
    <w:rsid w:val="465A58CC"/>
    <w:rsid w:val="46931FE6"/>
    <w:rsid w:val="469B67BA"/>
    <w:rsid w:val="46D637ED"/>
    <w:rsid w:val="46DD3F38"/>
    <w:rsid w:val="46F16F1D"/>
    <w:rsid w:val="46FD2CBF"/>
    <w:rsid w:val="472910BD"/>
    <w:rsid w:val="47553E8E"/>
    <w:rsid w:val="477C293C"/>
    <w:rsid w:val="47BE0377"/>
    <w:rsid w:val="47CA2F97"/>
    <w:rsid w:val="47D84675"/>
    <w:rsid w:val="47E17B3A"/>
    <w:rsid w:val="47F6573F"/>
    <w:rsid w:val="481379C4"/>
    <w:rsid w:val="481947FE"/>
    <w:rsid w:val="483B043E"/>
    <w:rsid w:val="486B0826"/>
    <w:rsid w:val="486B1D8E"/>
    <w:rsid w:val="48795A5D"/>
    <w:rsid w:val="48A93D74"/>
    <w:rsid w:val="48D139F6"/>
    <w:rsid w:val="48ED6C05"/>
    <w:rsid w:val="48F56DD6"/>
    <w:rsid w:val="491916C6"/>
    <w:rsid w:val="492F7291"/>
    <w:rsid w:val="49396505"/>
    <w:rsid w:val="49542260"/>
    <w:rsid w:val="49573AC8"/>
    <w:rsid w:val="495B7301"/>
    <w:rsid w:val="496C45A8"/>
    <w:rsid w:val="4997432A"/>
    <w:rsid w:val="499D6302"/>
    <w:rsid w:val="49AA7971"/>
    <w:rsid w:val="49FE240E"/>
    <w:rsid w:val="4A141151"/>
    <w:rsid w:val="4A316318"/>
    <w:rsid w:val="4A643B84"/>
    <w:rsid w:val="4A777A6A"/>
    <w:rsid w:val="4A804742"/>
    <w:rsid w:val="4AC9062D"/>
    <w:rsid w:val="4AE52C42"/>
    <w:rsid w:val="4AF2187D"/>
    <w:rsid w:val="4AFC3953"/>
    <w:rsid w:val="4B1E385E"/>
    <w:rsid w:val="4B4D0A68"/>
    <w:rsid w:val="4B6870F9"/>
    <w:rsid w:val="4B6C2969"/>
    <w:rsid w:val="4BB25FBB"/>
    <w:rsid w:val="4BB35738"/>
    <w:rsid w:val="4BCF6DCB"/>
    <w:rsid w:val="4BD06B38"/>
    <w:rsid w:val="4BDF321A"/>
    <w:rsid w:val="4BF273AA"/>
    <w:rsid w:val="4C0065CE"/>
    <w:rsid w:val="4C18241E"/>
    <w:rsid w:val="4C227943"/>
    <w:rsid w:val="4C4373DD"/>
    <w:rsid w:val="4C472142"/>
    <w:rsid w:val="4C5F22C4"/>
    <w:rsid w:val="4C983407"/>
    <w:rsid w:val="4DC86CD0"/>
    <w:rsid w:val="4DD62C1F"/>
    <w:rsid w:val="4DF46D27"/>
    <w:rsid w:val="4E367509"/>
    <w:rsid w:val="4E5211BA"/>
    <w:rsid w:val="4E7C324A"/>
    <w:rsid w:val="4E90713C"/>
    <w:rsid w:val="4E9D1D1E"/>
    <w:rsid w:val="4F0E0B1D"/>
    <w:rsid w:val="4F850A36"/>
    <w:rsid w:val="4F9431D5"/>
    <w:rsid w:val="4FBD41CA"/>
    <w:rsid w:val="4FD246D2"/>
    <w:rsid w:val="50077D56"/>
    <w:rsid w:val="50131451"/>
    <w:rsid w:val="5064466C"/>
    <w:rsid w:val="506A60EB"/>
    <w:rsid w:val="50831BFE"/>
    <w:rsid w:val="50B31225"/>
    <w:rsid w:val="50B52FE4"/>
    <w:rsid w:val="50B60AA4"/>
    <w:rsid w:val="50BF2E54"/>
    <w:rsid w:val="510A01BF"/>
    <w:rsid w:val="51390BE4"/>
    <w:rsid w:val="51C804DE"/>
    <w:rsid w:val="51CF0D4C"/>
    <w:rsid w:val="51E12FF8"/>
    <w:rsid w:val="51E33826"/>
    <w:rsid w:val="51E71C22"/>
    <w:rsid w:val="520C6B50"/>
    <w:rsid w:val="522E62F3"/>
    <w:rsid w:val="5278113F"/>
    <w:rsid w:val="52A33960"/>
    <w:rsid w:val="52B476CE"/>
    <w:rsid w:val="52C11D9C"/>
    <w:rsid w:val="52F47A95"/>
    <w:rsid w:val="5311687F"/>
    <w:rsid w:val="531645CA"/>
    <w:rsid w:val="531F2A96"/>
    <w:rsid w:val="532558D7"/>
    <w:rsid w:val="53262EC9"/>
    <w:rsid w:val="533407C0"/>
    <w:rsid w:val="53527B60"/>
    <w:rsid w:val="53702B6A"/>
    <w:rsid w:val="53734149"/>
    <w:rsid w:val="53932760"/>
    <w:rsid w:val="539873E7"/>
    <w:rsid w:val="53B46D0C"/>
    <w:rsid w:val="53BF2C07"/>
    <w:rsid w:val="54087353"/>
    <w:rsid w:val="54375044"/>
    <w:rsid w:val="544232E7"/>
    <w:rsid w:val="54557110"/>
    <w:rsid w:val="549661B6"/>
    <w:rsid w:val="54D24E79"/>
    <w:rsid w:val="5503429F"/>
    <w:rsid w:val="551027C6"/>
    <w:rsid w:val="552F7315"/>
    <w:rsid w:val="554B0FDD"/>
    <w:rsid w:val="55631D2D"/>
    <w:rsid w:val="55BB1E97"/>
    <w:rsid w:val="55C8709D"/>
    <w:rsid w:val="560509A3"/>
    <w:rsid w:val="56250237"/>
    <w:rsid w:val="564569EB"/>
    <w:rsid w:val="56AB5944"/>
    <w:rsid w:val="56B640BD"/>
    <w:rsid w:val="56E768EB"/>
    <w:rsid w:val="56F645A2"/>
    <w:rsid w:val="57214861"/>
    <w:rsid w:val="572B4616"/>
    <w:rsid w:val="57541EAD"/>
    <w:rsid w:val="57554BA1"/>
    <w:rsid w:val="577465D8"/>
    <w:rsid w:val="57A932DE"/>
    <w:rsid w:val="57AE5029"/>
    <w:rsid w:val="57C23486"/>
    <w:rsid w:val="57D123D3"/>
    <w:rsid w:val="5807247D"/>
    <w:rsid w:val="58117CC1"/>
    <w:rsid w:val="582C3384"/>
    <w:rsid w:val="58624A55"/>
    <w:rsid w:val="58C31313"/>
    <w:rsid w:val="59216A89"/>
    <w:rsid w:val="59664FA3"/>
    <w:rsid w:val="59A175DF"/>
    <w:rsid w:val="59B819C2"/>
    <w:rsid w:val="59C7668D"/>
    <w:rsid w:val="59FC4729"/>
    <w:rsid w:val="59FF697B"/>
    <w:rsid w:val="5A0B75E4"/>
    <w:rsid w:val="5A575BFF"/>
    <w:rsid w:val="5A6C44DB"/>
    <w:rsid w:val="5A77586F"/>
    <w:rsid w:val="5AA12CBD"/>
    <w:rsid w:val="5ACA65CD"/>
    <w:rsid w:val="5ACC7A53"/>
    <w:rsid w:val="5AE51758"/>
    <w:rsid w:val="5B581F93"/>
    <w:rsid w:val="5B6B529B"/>
    <w:rsid w:val="5B9242CD"/>
    <w:rsid w:val="5BB250E2"/>
    <w:rsid w:val="5BB3320D"/>
    <w:rsid w:val="5BC31A45"/>
    <w:rsid w:val="5BC772C9"/>
    <w:rsid w:val="5BD176AB"/>
    <w:rsid w:val="5BF50377"/>
    <w:rsid w:val="5C465FA2"/>
    <w:rsid w:val="5C544090"/>
    <w:rsid w:val="5C726BB6"/>
    <w:rsid w:val="5C7322D1"/>
    <w:rsid w:val="5CEF4070"/>
    <w:rsid w:val="5CFC28A8"/>
    <w:rsid w:val="5D246FFC"/>
    <w:rsid w:val="5D36426B"/>
    <w:rsid w:val="5D64643C"/>
    <w:rsid w:val="5DB42C29"/>
    <w:rsid w:val="5DD270A2"/>
    <w:rsid w:val="5DDA696A"/>
    <w:rsid w:val="5E410FFD"/>
    <w:rsid w:val="5E544606"/>
    <w:rsid w:val="5E8E05EA"/>
    <w:rsid w:val="5EFB61FA"/>
    <w:rsid w:val="5F2C7D02"/>
    <w:rsid w:val="5F7663E9"/>
    <w:rsid w:val="5FB155B8"/>
    <w:rsid w:val="5FB656F9"/>
    <w:rsid w:val="5FBC2CFA"/>
    <w:rsid w:val="5FC53466"/>
    <w:rsid w:val="5FD13015"/>
    <w:rsid w:val="60190EE3"/>
    <w:rsid w:val="601D48F2"/>
    <w:rsid w:val="601E31F8"/>
    <w:rsid w:val="60274E0E"/>
    <w:rsid w:val="602832C7"/>
    <w:rsid w:val="603D1F50"/>
    <w:rsid w:val="603F673E"/>
    <w:rsid w:val="605467C6"/>
    <w:rsid w:val="60D605A1"/>
    <w:rsid w:val="61464F6C"/>
    <w:rsid w:val="61515A7F"/>
    <w:rsid w:val="61633E93"/>
    <w:rsid w:val="61A4558D"/>
    <w:rsid w:val="61C32B70"/>
    <w:rsid w:val="61E045CD"/>
    <w:rsid w:val="61E23930"/>
    <w:rsid w:val="62016875"/>
    <w:rsid w:val="623E052A"/>
    <w:rsid w:val="628B7263"/>
    <w:rsid w:val="62902D58"/>
    <w:rsid w:val="62AE4BDA"/>
    <w:rsid w:val="62C97640"/>
    <w:rsid w:val="62D27C48"/>
    <w:rsid w:val="6307315E"/>
    <w:rsid w:val="630A3589"/>
    <w:rsid w:val="63184211"/>
    <w:rsid w:val="631B1C0A"/>
    <w:rsid w:val="631B5AD9"/>
    <w:rsid w:val="635C575B"/>
    <w:rsid w:val="636863CF"/>
    <w:rsid w:val="63686739"/>
    <w:rsid w:val="63752C12"/>
    <w:rsid w:val="638C1080"/>
    <w:rsid w:val="63B413CF"/>
    <w:rsid w:val="63D4721A"/>
    <w:rsid w:val="63FF6C27"/>
    <w:rsid w:val="6405263C"/>
    <w:rsid w:val="641E0725"/>
    <w:rsid w:val="642454D9"/>
    <w:rsid w:val="644F1105"/>
    <w:rsid w:val="6464336B"/>
    <w:rsid w:val="64D4483A"/>
    <w:rsid w:val="64D640E9"/>
    <w:rsid w:val="653C5193"/>
    <w:rsid w:val="655814BE"/>
    <w:rsid w:val="655C7828"/>
    <w:rsid w:val="658B40BE"/>
    <w:rsid w:val="65CB1350"/>
    <w:rsid w:val="66330E7B"/>
    <w:rsid w:val="66351622"/>
    <w:rsid w:val="665A2304"/>
    <w:rsid w:val="669C6349"/>
    <w:rsid w:val="66A80AC6"/>
    <w:rsid w:val="67144976"/>
    <w:rsid w:val="67202357"/>
    <w:rsid w:val="67603F26"/>
    <w:rsid w:val="676A4255"/>
    <w:rsid w:val="67757840"/>
    <w:rsid w:val="67D3264E"/>
    <w:rsid w:val="68024DD3"/>
    <w:rsid w:val="680F332B"/>
    <w:rsid w:val="6832253F"/>
    <w:rsid w:val="685C3C4D"/>
    <w:rsid w:val="687102AD"/>
    <w:rsid w:val="68724B40"/>
    <w:rsid w:val="68902798"/>
    <w:rsid w:val="690C7142"/>
    <w:rsid w:val="69412846"/>
    <w:rsid w:val="695907E9"/>
    <w:rsid w:val="6964290E"/>
    <w:rsid w:val="698304CD"/>
    <w:rsid w:val="69932BAE"/>
    <w:rsid w:val="69A16FDB"/>
    <w:rsid w:val="69AC6EAA"/>
    <w:rsid w:val="69BA6060"/>
    <w:rsid w:val="69C2726C"/>
    <w:rsid w:val="69EB0DC8"/>
    <w:rsid w:val="6A223F21"/>
    <w:rsid w:val="6A4771F0"/>
    <w:rsid w:val="6A641277"/>
    <w:rsid w:val="6A985E45"/>
    <w:rsid w:val="6AAD0001"/>
    <w:rsid w:val="6ACC3B62"/>
    <w:rsid w:val="6AE30427"/>
    <w:rsid w:val="6B1B05C6"/>
    <w:rsid w:val="6B35684E"/>
    <w:rsid w:val="6B6C1D6A"/>
    <w:rsid w:val="6B706DFD"/>
    <w:rsid w:val="6B735145"/>
    <w:rsid w:val="6B76701F"/>
    <w:rsid w:val="6B7B6B34"/>
    <w:rsid w:val="6BB64940"/>
    <w:rsid w:val="6BBA5ABD"/>
    <w:rsid w:val="6BC04151"/>
    <w:rsid w:val="6BFF6B53"/>
    <w:rsid w:val="6C144A01"/>
    <w:rsid w:val="6C161EDD"/>
    <w:rsid w:val="6C17534B"/>
    <w:rsid w:val="6C2A6BC7"/>
    <w:rsid w:val="6C4D6507"/>
    <w:rsid w:val="6C52384A"/>
    <w:rsid w:val="6C5F577B"/>
    <w:rsid w:val="6C5F6B13"/>
    <w:rsid w:val="6C7D4B2E"/>
    <w:rsid w:val="6C831486"/>
    <w:rsid w:val="6C8C7141"/>
    <w:rsid w:val="6C903E5F"/>
    <w:rsid w:val="6C92595F"/>
    <w:rsid w:val="6CA31D11"/>
    <w:rsid w:val="6CE513BE"/>
    <w:rsid w:val="6CEE595E"/>
    <w:rsid w:val="6CF82160"/>
    <w:rsid w:val="6D094BFA"/>
    <w:rsid w:val="6D1D7324"/>
    <w:rsid w:val="6D283EB3"/>
    <w:rsid w:val="6D476F5C"/>
    <w:rsid w:val="6D524D35"/>
    <w:rsid w:val="6D631E8B"/>
    <w:rsid w:val="6DA45721"/>
    <w:rsid w:val="6DEF5724"/>
    <w:rsid w:val="6E2D7396"/>
    <w:rsid w:val="6E977E1E"/>
    <w:rsid w:val="6E9A083E"/>
    <w:rsid w:val="6F1013D6"/>
    <w:rsid w:val="6F1830F3"/>
    <w:rsid w:val="6F2C4E6B"/>
    <w:rsid w:val="6F7502BE"/>
    <w:rsid w:val="6F8E346E"/>
    <w:rsid w:val="6F922D77"/>
    <w:rsid w:val="6FA85985"/>
    <w:rsid w:val="6FEA2DEF"/>
    <w:rsid w:val="6FFF7FF0"/>
    <w:rsid w:val="70231C9D"/>
    <w:rsid w:val="70411BFE"/>
    <w:rsid w:val="707225A4"/>
    <w:rsid w:val="707B5C7D"/>
    <w:rsid w:val="708C386D"/>
    <w:rsid w:val="7093353E"/>
    <w:rsid w:val="70A25D2A"/>
    <w:rsid w:val="70EC15F1"/>
    <w:rsid w:val="70F606D1"/>
    <w:rsid w:val="710C3141"/>
    <w:rsid w:val="71104E62"/>
    <w:rsid w:val="713927A1"/>
    <w:rsid w:val="713D78E6"/>
    <w:rsid w:val="71426CAF"/>
    <w:rsid w:val="71717B62"/>
    <w:rsid w:val="71877A4F"/>
    <w:rsid w:val="718B121E"/>
    <w:rsid w:val="719525E5"/>
    <w:rsid w:val="71C43EDF"/>
    <w:rsid w:val="71D12B7B"/>
    <w:rsid w:val="72047D57"/>
    <w:rsid w:val="721267FC"/>
    <w:rsid w:val="7238577F"/>
    <w:rsid w:val="72563FB1"/>
    <w:rsid w:val="726E28BC"/>
    <w:rsid w:val="729701F7"/>
    <w:rsid w:val="72C13435"/>
    <w:rsid w:val="7332304C"/>
    <w:rsid w:val="73460DCF"/>
    <w:rsid w:val="736F51CC"/>
    <w:rsid w:val="73765DF7"/>
    <w:rsid w:val="739C093C"/>
    <w:rsid w:val="739D0315"/>
    <w:rsid w:val="73CE4F10"/>
    <w:rsid w:val="73DE0BF4"/>
    <w:rsid w:val="73EF72A5"/>
    <w:rsid w:val="740166CA"/>
    <w:rsid w:val="741606DE"/>
    <w:rsid w:val="74582C05"/>
    <w:rsid w:val="746B4618"/>
    <w:rsid w:val="748E187D"/>
    <w:rsid w:val="748F20A7"/>
    <w:rsid w:val="74F727ED"/>
    <w:rsid w:val="74F769B5"/>
    <w:rsid w:val="75103E68"/>
    <w:rsid w:val="75395A4F"/>
    <w:rsid w:val="75A62599"/>
    <w:rsid w:val="75A641DA"/>
    <w:rsid w:val="75C718AC"/>
    <w:rsid w:val="75D55BD1"/>
    <w:rsid w:val="75E5168E"/>
    <w:rsid w:val="75E65018"/>
    <w:rsid w:val="75FD7923"/>
    <w:rsid w:val="76015467"/>
    <w:rsid w:val="764536B8"/>
    <w:rsid w:val="764C1E95"/>
    <w:rsid w:val="765340BE"/>
    <w:rsid w:val="76600B0B"/>
    <w:rsid w:val="766320B0"/>
    <w:rsid w:val="76EC025F"/>
    <w:rsid w:val="77104195"/>
    <w:rsid w:val="77207122"/>
    <w:rsid w:val="77532B5B"/>
    <w:rsid w:val="77A72B49"/>
    <w:rsid w:val="77BA48A1"/>
    <w:rsid w:val="77DE7401"/>
    <w:rsid w:val="77EA45C3"/>
    <w:rsid w:val="77F25C1B"/>
    <w:rsid w:val="77F3515D"/>
    <w:rsid w:val="77F537AF"/>
    <w:rsid w:val="77FF0D24"/>
    <w:rsid w:val="7804648D"/>
    <w:rsid w:val="78427D95"/>
    <w:rsid w:val="78847F57"/>
    <w:rsid w:val="78CE3373"/>
    <w:rsid w:val="78EA06B1"/>
    <w:rsid w:val="79303653"/>
    <w:rsid w:val="79332894"/>
    <w:rsid w:val="79432FDA"/>
    <w:rsid w:val="794E031B"/>
    <w:rsid w:val="796340FE"/>
    <w:rsid w:val="79F651E3"/>
    <w:rsid w:val="7A454EDD"/>
    <w:rsid w:val="7A4A0DFD"/>
    <w:rsid w:val="7A552236"/>
    <w:rsid w:val="7A735659"/>
    <w:rsid w:val="7A7E0068"/>
    <w:rsid w:val="7AB60141"/>
    <w:rsid w:val="7AC17447"/>
    <w:rsid w:val="7AD70C9B"/>
    <w:rsid w:val="7ADA5B3C"/>
    <w:rsid w:val="7B256788"/>
    <w:rsid w:val="7B4531F1"/>
    <w:rsid w:val="7B4D07FD"/>
    <w:rsid w:val="7B5E389B"/>
    <w:rsid w:val="7B95029C"/>
    <w:rsid w:val="7BAB3DF5"/>
    <w:rsid w:val="7BD26364"/>
    <w:rsid w:val="7BDB29F1"/>
    <w:rsid w:val="7BEB5610"/>
    <w:rsid w:val="7C2C1614"/>
    <w:rsid w:val="7C2F53CB"/>
    <w:rsid w:val="7C3A3603"/>
    <w:rsid w:val="7C461D0D"/>
    <w:rsid w:val="7C485C63"/>
    <w:rsid w:val="7CA834CE"/>
    <w:rsid w:val="7CB9036C"/>
    <w:rsid w:val="7D047631"/>
    <w:rsid w:val="7D3475DB"/>
    <w:rsid w:val="7D771F95"/>
    <w:rsid w:val="7D794ACD"/>
    <w:rsid w:val="7D942460"/>
    <w:rsid w:val="7D9B3590"/>
    <w:rsid w:val="7D9E1039"/>
    <w:rsid w:val="7DDD5D1F"/>
    <w:rsid w:val="7DE353B1"/>
    <w:rsid w:val="7E0B3754"/>
    <w:rsid w:val="7E3C4D54"/>
    <w:rsid w:val="7E563F68"/>
    <w:rsid w:val="7EC40A24"/>
    <w:rsid w:val="7ED12ABC"/>
    <w:rsid w:val="7F5F072D"/>
    <w:rsid w:val="7F711C25"/>
    <w:rsid w:val="FFFDA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28"/>
    <w:qFormat/>
    <w:uiPriority w:val="0"/>
    <w:pPr>
      <w:keepNext/>
      <w:jc w:val="center"/>
      <w:outlineLvl w:val="0"/>
    </w:pPr>
    <w:rPr>
      <w:rFonts w:eastAsia="黑体"/>
      <w:b/>
      <w:sz w:val="32"/>
      <w:szCs w:val="20"/>
    </w:rPr>
  </w:style>
  <w:style w:type="paragraph" w:styleId="5">
    <w:name w:val="heading 2"/>
    <w:basedOn w:val="1"/>
    <w:next w:val="1"/>
    <w:link w:val="66"/>
    <w:qFormat/>
    <w:uiPriority w:val="0"/>
    <w:pPr>
      <w:keepNext/>
      <w:outlineLvl w:val="1"/>
    </w:pPr>
    <w:rPr>
      <w:rFonts w:ascii="仿宋_GB2312"/>
      <w:b/>
      <w:sz w:val="28"/>
      <w:szCs w:val="32"/>
    </w:rPr>
  </w:style>
  <w:style w:type="paragraph" w:styleId="6">
    <w:name w:val="heading 3"/>
    <w:basedOn w:val="1"/>
    <w:next w:val="1"/>
    <w:link w:val="151"/>
    <w:qFormat/>
    <w:uiPriority w:val="0"/>
    <w:pPr>
      <w:keepNext/>
      <w:keepLines/>
      <w:spacing w:line="540" w:lineRule="atLeast"/>
      <w:outlineLvl w:val="2"/>
    </w:pPr>
    <w:rPr>
      <w:rFonts w:eastAsia="黑体"/>
      <w:b/>
      <w:sz w:val="28"/>
      <w:szCs w:val="20"/>
    </w:rPr>
  </w:style>
  <w:style w:type="paragraph" w:styleId="2">
    <w:name w:val="heading 4"/>
    <w:basedOn w:val="1"/>
    <w:next w:val="1"/>
    <w:link w:val="148"/>
    <w:qFormat/>
    <w:uiPriority w:val="0"/>
    <w:pPr>
      <w:keepNext/>
      <w:keepLines/>
      <w:spacing w:line="540" w:lineRule="atLeast"/>
      <w:outlineLvl w:val="3"/>
    </w:pPr>
    <w:rPr>
      <w:sz w:val="28"/>
      <w:szCs w:val="28"/>
    </w:rPr>
  </w:style>
  <w:style w:type="paragraph" w:styleId="7">
    <w:name w:val="heading 5"/>
    <w:basedOn w:val="1"/>
    <w:next w:val="1"/>
    <w:link w:val="131"/>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72"/>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69"/>
    <w:qFormat/>
    <w:uiPriority w:val="0"/>
    <w:pPr>
      <w:keepNext/>
      <w:keepLines/>
      <w:spacing w:before="240" w:after="64" w:line="317" w:lineRule="auto"/>
      <w:outlineLvl w:val="6"/>
    </w:pPr>
    <w:rPr>
      <w:b/>
      <w:sz w:val="24"/>
      <w:szCs w:val="20"/>
    </w:rPr>
  </w:style>
  <w:style w:type="paragraph" w:styleId="11">
    <w:name w:val="heading 8"/>
    <w:basedOn w:val="1"/>
    <w:next w:val="9"/>
    <w:link w:val="175"/>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62"/>
    <w:qFormat/>
    <w:uiPriority w:val="0"/>
    <w:pPr>
      <w:keepNext/>
      <w:keepLines/>
      <w:spacing w:before="240" w:after="64" w:line="317" w:lineRule="auto"/>
      <w:outlineLvl w:val="8"/>
    </w:pPr>
    <w:rPr>
      <w:rFonts w:ascii="Arial" w:hAnsi="Arial" w:eastAsia="黑体"/>
      <w:szCs w:val="20"/>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3">
    <w:name w:val="macro"/>
    <w:link w:val="117"/>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104"/>
    <w:qFormat/>
    <w:uiPriority w:val="0"/>
    <w:pPr>
      <w:adjustRightInd w:val="0"/>
      <w:spacing w:line="312" w:lineRule="atLeast"/>
      <w:ind w:firstLine="420"/>
      <w:textAlignment w:val="baseline"/>
    </w:pPr>
    <w:rPr>
      <w:rFonts w:ascii="仿宋_GB2312"/>
      <w:b/>
      <w:kern w:val="0"/>
      <w:szCs w:val="32"/>
    </w:r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List Number"/>
    <w:basedOn w:val="1"/>
    <w:qFormat/>
    <w:uiPriority w:val="0"/>
    <w:pPr>
      <w:tabs>
        <w:tab w:val="left" w:pos="360"/>
      </w:tabs>
      <w:ind w:left="360" w:hanging="360" w:hangingChars="200"/>
    </w:pPr>
  </w:style>
  <w:style w:type="paragraph" w:styleId="15">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qFormat/>
    <w:uiPriority w:val="0"/>
    <w:pPr>
      <w:tabs>
        <w:tab w:val="left" w:pos="360"/>
      </w:tabs>
    </w:pPr>
    <w:rPr>
      <w:rFonts w:ascii="Calibri" w:hAnsi="Calibri"/>
      <w:szCs w:val="22"/>
    </w:rPr>
  </w:style>
  <w:style w:type="paragraph" w:styleId="17">
    <w:name w:val="Document Map"/>
    <w:basedOn w:val="1"/>
    <w:link w:val="130"/>
    <w:qFormat/>
    <w:uiPriority w:val="0"/>
    <w:pPr>
      <w:shd w:val="clear" w:color="auto" w:fill="000080"/>
    </w:pPr>
  </w:style>
  <w:style w:type="paragraph" w:styleId="18">
    <w:name w:val="annotation text"/>
    <w:basedOn w:val="1"/>
    <w:link w:val="90"/>
    <w:qFormat/>
    <w:uiPriority w:val="0"/>
    <w:pPr>
      <w:jc w:val="left"/>
    </w:pPr>
  </w:style>
  <w:style w:type="paragraph" w:styleId="19">
    <w:name w:val="Salutation"/>
    <w:basedOn w:val="1"/>
    <w:next w:val="1"/>
    <w:link w:val="78"/>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0">
    <w:name w:val="Body Text 3"/>
    <w:basedOn w:val="1"/>
    <w:link w:val="94"/>
    <w:qFormat/>
    <w:uiPriority w:val="0"/>
    <w:pPr>
      <w:autoSpaceDE w:val="0"/>
      <w:autoSpaceDN w:val="0"/>
      <w:adjustRightInd w:val="0"/>
      <w:jc w:val="center"/>
    </w:pPr>
  </w:style>
  <w:style w:type="paragraph" w:styleId="21">
    <w:name w:val="Body Text"/>
    <w:basedOn w:val="1"/>
    <w:next w:val="1"/>
    <w:link w:val="163"/>
    <w:qFormat/>
    <w:uiPriority w:val="0"/>
    <w:pPr>
      <w:spacing w:after="120"/>
    </w:pPr>
    <w:rPr>
      <w:rFonts w:ascii="仿宋_GB2312"/>
      <w:b/>
    </w:rPr>
  </w:style>
  <w:style w:type="paragraph" w:styleId="22">
    <w:name w:val="Body Text Indent"/>
    <w:basedOn w:val="1"/>
    <w:link w:val="143"/>
    <w:qFormat/>
    <w:uiPriority w:val="0"/>
    <w:pPr>
      <w:ind w:left="480" w:hanging="480" w:hangingChars="200"/>
    </w:pPr>
    <w:rPr>
      <w:sz w:val="24"/>
    </w:rPr>
  </w:style>
  <w:style w:type="paragraph" w:styleId="23">
    <w:name w:val="List Number 3"/>
    <w:basedOn w:val="1"/>
    <w:qFormat/>
    <w:uiPriority w:val="0"/>
    <w:pPr>
      <w:tabs>
        <w:tab w:val="left" w:pos="1200"/>
      </w:tabs>
      <w:ind w:left="1200" w:leftChars="400" w:hanging="360" w:hangingChars="200"/>
    </w:pPr>
  </w:style>
  <w:style w:type="paragraph" w:styleId="24">
    <w:name w:val="Block Text"/>
    <w:basedOn w:val="1"/>
    <w:qFormat/>
    <w:uiPriority w:val="0"/>
    <w:pPr>
      <w:spacing w:line="520" w:lineRule="exact"/>
      <w:ind w:left="540" w:leftChars="257" w:right="-514"/>
    </w:pPr>
    <w:rPr>
      <w:rFonts w:ascii="宋体" w:hAnsi="宋体"/>
      <w:sz w:val="24"/>
    </w:rPr>
  </w:style>
  <w:style w:type="paragraph" w:styleId="25">
    <w:name w:val="List Bullet 2"/>
    <w:basedOn w:val="1"/>
    <w:qFormat/>
    <w:uiPriority w:val="0"/>
    <w:pPr>
      <w:tabs>
        <w:tab w:val="left" w:pos="780"/>
      </w:tabs>
      <w:spacing w:line="360" w:lineRule="auto"/>
      <w:ind w:left="780" w:leftChars="200" w:hanging="360" w:hangingChars="200"/>
    </w:pPr>
  </w:style>
  <w:style w:type="paragraph" w:styleId="26">
    <w:name w:val="toc 5"/>
    <w:basedOn w:val="1"/>
    <w:next w:val="1"/>
    <w:qFormat/>
    <w:uiPriority w:val="0"/>
    <w:pPr>
      <w:autoSpaceDE w:val="0"/>
      <w:autoSpaceDN w:val="0"/>
      <w:adjustRightInd w:val="0"/>
      <w:ind w:left="1680" w:leftChars="800"/>
      <w:jc w:val="left"/>
    </w:pPr>
    <w:rPr>
      <w:kern w:val="0"/>
      <w:sz w:val="20"/>
      <w:szCs w:val="20"/>
    </w:rPr>
  </w:style>
  <w:style w:type="paragraph" w:styleId="27">
    <w:name w:val="toc 3"/>
    <w:basedOn w:val="1"/>
    <w:next w:val="1"/>
    <w:qFormat/>
    <w:uiPriority w:val="0"/>
    <w:pPr>
      <w:ind w:left="840" w:leftChars="400"/>
    </w:pPr>
  </w:style>
  <w:style w:type="paragraph" w:styleId="28">
    <w:name w:val="Plain Text"/>
    <w:basedOn w:val="1"/>
    <w:link w:val="191"/>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29">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0">
    <w:name w:val="toc 8"/>
    <w:basedOn w:val="1"/>
    <w:next w:val="1"/>
    <w:qFormat/>
    <w:uiPriority w:val="0"/>
    <w:pPr>
      <w:autoSpaceDE w:val="0"/>
      <w:autoSpaceDN w:val="0"/>
      <w:adjustRightInd w:val="0"/>
      <w:ind w:left="2940" w:leftChars="1400"/>
      <w:jc w:val="left"/>
    </w:pPr>
    <w:rPr>
      <w:kern w:val="0"/>
      <w:sz w:val="20"/>
      <w:szCs w:val="20"/>
    </w:rPr>
  </w:style>
  <w:style w:type="paragraph" w:styleId="31">
    <w:name w:val="Date"/>
    <w:basedOn w:val="1"/>
    <w:next w:val="1"/>
    <w:link w:val="132"/>
    <w:qFormat/>
    <w:uiPriority w:val="0"/>
    <w:pPr>
      <w:ind w:left="100" w:leftChars="2500"/>
    </w:pPr>
  </w:style>
  <w:style w:type="paragraph" w:styleId="32">
    <w:name w:val="Body Text Indent 2"/>
    <w:basedOn w:val="1"/>
    <w:link w:val="177"/>
    <w:qFormat/>
    <w:uiPriority w:val="0"/>
    <w:pPr>
      <w:spacing w:line="500" w:lineRule="exact"/>
      <w:ind w:firstLine="511" w:firstLineChars="213"/>
    </w:pPr>
    <w:rPr>
      <w:sz w:val="24"/>
    </w:rPr>
  </w:style>
  <w:style w:type="paragraph" w:styleId="33">
    <w:name w:val="Balloon Text"/>
    <w:basedOn w:val="1"/>
    <w:link w:val="150"/>
    <w:qFormat/>
    <w:uiPriority w:val="0"/>
    <w:rPr>
      <w:sz w:val="18"/>
      <w:szCs w:val="18"/>
    </w:rPr>
  </w:style>
  <w:style w:type="paragraph" w:styleId="34">
    <w:name w:val="footer"/>
    <w:basedOn w:val="1"/>
    <w:link w:val="119"/>
    <w:qFormat/>
    <w:uiPriority w:val="0"/>
    <w:pPr>
      <w:tabs>
        <w:tab w:val="center" w:pos="4153"/>
        <w:tab w:val="right" w:pos="8306"/>
      </w:tabs>
      <w:snapToGrid w:val="0"/>
      <w:jc w:val="left"/>
    </w:pPr>
    <w:rPr>
      <w:sz w:val="18"/>
      <w:szCs w:val="18"/>
    </w:rPr>
  </w:style>
  <w:style w:type="paragraph" w:styleId="35">
    <w:name w:val="header"/>
    <w:basedOn w:val="1"/>
    <w:link w:val="134"/>
    <w:qFormat/>
    <w:uiPriority w:val="0"/>
    <w:pPr>
      <w:pBdr>
        <w:bottom w:val="single" w:color="auto" w:sz="6" w:space="1"/>
      </w:pBdr>
      <w:tabs>
        <w:tab w:val="center" w:pos="4153"/>
        <w:tab w:val="right" w:pos="8306"/>
      </w:tabs>
      <w:snapToGrid w:val="0"/>
      <w:jc w:val="center"/>
    </w:pPr>
    <w:rPr>
      <w:sz w:val="18"/>
      <w:szCs w:val="18"/>
    </w:rPr>
  </w:style>
  <w:style w:type="paragraph" w:styleId="36">
    <w:name w:val="Signature"/>
    <w:basedOn w:val="1"/>
    <w:link w:val="153"/>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37">
    <w:name w:val="toc 1"/>
    <w:basedOn w:val="1"/>
    <w:next w:val="1"/>
    <w:qFormat/>
    <w:uiPriority w:val="0"/>
  </w:style>
  <w:style w:type="paragraph" w:styleId="38">
    <w:name w:val="toc 4"/>
    <w:basedOn w:val="1"/>
    <w:next w:val="1"/>
    <w:qFormat/>
    <w:uiPriority w:val="0"/>
    <w:pPr>
      <w:autoSpaceDE w:val="0"/>
      <w:autoSpaceDN w:val="0"/>
      <w:adjustRightInd w:val="0"/>
      <w:ind w:left="1260" w:leftChars="600"/>
      <w:jc w:val="left"/>
    </w:pPr>
    <w:rPr>
      <w:kern w:val="0"/>
      <w:sz w:val="20"/>
      <w:szCs w:val="20"/>
    </w:rPr>
  </w:style>
  <w:style w:type="paragraph" w:styleId="39">
    <w:name w:val="Subtitle"/>
    <w:basedOn w:val="1"/>
    <w:next w:val="1"/>
    <w:link w:val="133"/>
    <w:qFormat/>
    <w:uiPriority w:val="0"/>
    <w:pPr>
      <w:spacing w:before="240" w:after="60" w:line="312" w:lineRule="auto"/>
      <w:jc w:val="center"/>
      <w:outlineLvl w:val="1"/>
    </w:pPr>
    <w:rPr>
      <w:rFonts w:ascii="Cambria" w:hAnsi="Cambria"/>
      <w:b/>
      <w:bCs/>
      <w:kern w:val="28"/>
      <w:sz w:val="32"/>
      <w:szCs w:val="32"/>
    </w:rPr>
  </w:style>
  <w:style w:type="paragraph" w:styleId="40">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1">
    <w:name w:val="List"/>
    <w:basedOn w:val="1"/>
    <w:qFormat/>
    <w:uiPriority w:val="0"/>
    <w:pPr>
      <w:ind w:left="200" w:hanging="200" w:hangingChars="200"/>
    </w:pPr>
  </w:style>
  <w:style w:type="paragraph" w:styleId="42">
    <w:name w:val="toc 6"/>
    <w:basedOn w:val="1"/>
    <w:next w:val="1"/>
    <w:qFormat/>
    <w:uiPriority w:val="0"/>
    <w:pPr>
      <w:autoSpaceDE w:val="0"/>
      <w:autoSpaceDN w:val="0"/>
      <w:adjustRightInd w:val="0"/>
      <w:ind w:left="2100" w:leftChars="1000"/>
      <w:jc w:val="left"/>
    </w:pPr>
    <w:rPr>
      <w:kern w:val="0"/>
      <w:sz w:val="20"/>
      <w:szCs w:val="20"/>
    </w:rPr>
  </w:style>
  <w:style w:type="paragraph" w:styleId="43">
    <w:name w:val="Body Text Indent 3"/>
    <w:basedOn w:val="1"/>
    <w:link w:val="145"/>
    <w:qFormat/>
    <w:uiPriority w:val="0"/>
    <w:pPr>
      <w:spacing w:line="500" w:lineRule="exact"/>
      <w:ind w:left="511" w:hanging="511" w:hangingChars="213"/>
    </w:pPr>
    <w:rPr>
      <w:sz w:val="24"/>
    </w:rPr>
  </w:style>
  <w:style w:type="paragraph" w:styleId="44">
    <w:name w:val="toc 2"/>
    <w:basedOn w:val="1"/>
    <w:next w:val="1"/>
    <w:qFormat/>
    <w:uiPriority w:val="0"/>
    <w:pPr>
      <w:ind w:left="420" w:leftChars="200"/>
    </w:pPr>
  </w:style>
  <w:style w:type="paragraph" w:styleId="45">
    <w:name w:val="toc 9"/>
    <w:basedOn w:val="1"/>
    <w:next w:val="1"/>
    <w:qFormat/>
    <w:uiPriority w:val="0"/>
    <w:pPr>
      <w:autoSpaceDE w:val="0"/>
      <w:autoSpaceDN w:val="0"/>
      <w:adjustRightInd w:val="0"/>
      <w:ind w:left="3360" w:leftChars="1600"/>
      <w:jc w:val="left"/>
    </w:pPr>
    <w:rPr>
      <w:kern w:val="0"/>
      <w:sz w:val="20"/>
      <w:szCs w:val="20"/>
    </w:rPr>
  </w:style>
  <w:style w:type="paragraph" w:styleId="46">
    <w:name w:val="Body Text 2"/>
    <w:basedOn w:val="1"/>
    <w:link w:val="197"/>
    <w:qFormat/>
    <w:uiPriority w:val="0"/>
    <w:pPr>
      <w:autoSpaceDE w:val="0"/>
      <w:autoSpaceDN w:val="0"/>
      <w:adjustRightInd w:val="0"/>
      <w:spacing w:after="120" w:line="480" w:lineRule="auto"/>
      <w:jc w:val="left"/>
    </w:pPr>
  </w:style>
  <w:style w:type="paragraph" w:styleId="4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8">
    <w:name w:val="Title"/>
    <w:basedOn w:val="1"/>
    <w:next w:val="1"/>
    <w:link w:val="110"/>
    <w:qFormat/>
    <w:uiPriority w:val="0"/>
    <w:pPr>
      <w:spacing w:before="240" w:after="60"/>
      <w:jc w:val="center"/>
      <w:outlineLvl w:val="0"/>
    </w:pPr>
    <w:rPr>
      <w:rFonts w:ascii="Cambria" w:hAnsi="Cambria"/>
      <w:b/>
      <w:bCs/>
      <w:sz w:val="32"/>
      <w:szCs w:val="32"/>
    </w:rPr>
  </w:style>
  <w:style w:type="paragraph" w:styleId="49">
    <w:name w:val="annotation subject"/>
    <w:basedOn w:val="18"/>
    <w:next w:val="18"/>
    <w:link w:val="95"/>
    <w:qFormat/>
    <w:uiPriority w:val="0"/>
    <w:rPr>
      <w:b/>
      <w:bCs/>
    </w:rPr>
  </w:style>
  <w:style w:type="paragraph" w:styleId="50">
    <w:name w:val="Body Text First Indent"/>
    <w:basedOn w:val="21"/>
    <w:link w:val="195"/>
    <w:qFormat/>
    <w:uiPriority w:val="0"/>
    <w:pPr>
      <w:autoSpaceDE w:val="0"/>
      <w:autoSpaceDN w:val="0"/>
      <w:adjustRightInd w:val="0"/>
      <w:ind w:firstLine="420" w:firstLineChars="100"/>
      <w:jc w:val="left"/>
    </w:pPr>
    <w:rPr>
      <w:rFonts w:ascii="Times New Roman"/>
      <w:b w:val="0"/>
      <w:kern w:val="0"/>
      <w:sz w:val="20"/>
      <w:szCs w:val="20"/>
    </w:rPr>
  </w:style>
  <w:style w:type="paragraph" w:styleId="51">
    <w:name w:val="Body Text First Indent 2"/>
    <w:basedOn w:val="22"/>
    <w:qFormat/>
    <w:uiPriority w:val="0"/>
    <w:pPr>
      <w:spacing w:after="120"/>
      <w:ind w:left="420" w:leftChars="200" w:firstLine="420"/>
    </w:pPr>
    <w:rPr>
      <w:rFonts w:cs="宋体"/>
      <w:sz w:val="21"/>
      <w:szCs w:val="21"/>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basedOn w:val="54"/>
    <w:qFormat/>
    <w:uiPriority w:val="0"/>
    <w:rPr>
      <w:rFonts w:ascii="仿宋_GB2312" w:eastAsia="仿宋_GB2312"/>
      <w:bCs/>
      <w:sz w:val="32"/>
      <w:szCs w:val="32"/>
    </w:rPr>
  </w:style>
  <w:style w:type="character" w:styleId="56">
    <w:name w:val="page number"/>
    <w:basedOn w:val="54"/>
    <w:qFormat/>
    <w:uiPriority w:val="0"/>
  </w:style>
  <w:style w:type="character" w:styleId="57">
    <w:name w:val="FollowedHyperlink"/>
    <w:qFormat/>
    <w:uiPriority w:val="0"/>
    <w:rPr>
      <w:rFonts w:ascii="仿宋_GB2312" w:eastAsia="仿宋_GB2312"/>
      <w:b/>
      <w:color w:val="800080"/>
      <w:sz w:val="32"/>
      <w:szCs w:val="32"/>
      <w:u w:val="none"/>
    </w:rPr>
  </w:style>
  <w:style w:type="character" w:styleId="58">
    <w:name w:val="Emphasis"/>
    <w:qFormat/>
    <w:uiPriority w:val="0"/>
    <w:rPr>
      <w:i/>
      <w:iCs/>
    </w:rPr>
  </w:style>
  <w:style w:type="character" w:styleId="59">
    <w:name w:val="line number"/>
    <w:basedOn w:val="54"/>
    <w:qFormat/>
    <w:uiPriority w:val="0"/>
  </w:style>
  <w:style w:type="character" w:styleId="60">
    <w:name w:val="Hyperlink"/>
    <w:qFormat/>
    <w:uiPriority w:val="0"/>
    <w:rPr>
      <w:rFonts w:ascii="仿宋_GB2312" w:eastAsia="仿宋_GB2312"/>
      <w:b/>
      <w:color w:val="0000FF"/>
      <w:sz w:val="32"/>
      <w:szCs w:val="32"/>
      <w:u w:val="none"/>
    </w:rPr>
  </w:style>
  <w:style w:type="character" w:styleId="61">
    <w:name w:val="annotation reference"/>
    <w:qFormat/>
    <w:uiPriority w:val="0"/>
    <w:rPr>
      <w:sz w:val="21"/>
      <w:szCs w:val="21"/>
    </w:rPr>
  </w:style>
  <w:style w:type="character" w:styleId="62">
    <w:name w:val="HTML Cite"/>
    <w:qFormat/>
    <w:uiPriority w:val="0"/>
    <w:rPr>
      <w:color w:val="008000"/>
    </w:rPr>
  </w:style>
  <w:style w:type="paragraph" w:customStyle="1" w:styleId="63">
    <w:name w:val="Char3 Char Char Char"/>
    <w:basedOn w:val="1"/>
    <w:qFormat/>
    <w:uiPriority w:val="0"/>
  </w:style>
  <w:style w:type="character" w:customStyle="1" w:styleId="64">
    <w:name w:val="不明显参考1"/>
    <w:qFormat/>
    <w:uiPriority w:val="0"/>
    <w:rPr>
      <w:smallCaps/>
      <w:color w:val="C0504D"/>
      <w:u w:val="single"/>
    </w:rPr>
  </w:style>
  <w:style w:type="character" w:customStyle="1" w:styleId="65">
    <w:name w:val="PI Char1"/>
    <w:qFormat/>
    <w:uiPriority w:val="0"/>
    <w:rPr>
      <w:rFonts w:eastAsia="宋体"/>
      <w:kern w:val="2"/>
      <w:sz w:val="24"/>
      <w:szCs w:val="24"/>
      <w:lang w:val="en-US" w:eastAsia="zh-CN" w:bidi="ar-SA"/>
    </w:rPr>
  </w:style>
  <w:style w:type="character" w:customStyle="1" w:styleId="66">
    <w:name w:val="标题 2 Char"/>
    <w:link w:val="5"/>
    <w:qFormat/>
    <w:uiPriority w:val="0"/>
    <w:rPr>
      <w:rFonts w:ascii="仿宋_GB2312" w:eastAsia="宋体"/>
      <w:b/>
      <w:kern w:val="2"/>
      <w:sz w:val="28"/>
      <w:szCs w:val="32"/>
      <w:lang w:val="en-US" w:eastAsia="zh-CN" w:bidi="ar-SA"/>
    </w:rPr>
  </w:style>
  <w:style w:type="character" w:customStyle="1" w:styleId="67">
    <w:name w:val="pt141"/>
    <w:qFormat/>
    <w:uiPriority w:val="0"/>
    <w:rPr>
      <w:color w:val="330066"/>
      <w:spacing w:val="450"/>
      <w:sz w:val="22"/>
      <w:szCs w:val="22"/>
    </w:rPr>
  </w:style>
  <w:style w:type="character" w:customStyle="1" w:styleId="68">
    <w:name w:val="Char Char27"/>
    <w:qFormat/>
    <w:uiPriority w:val="0"/>
    <w:rPr>
      <w:rFonts w:eastAsia="宋体"/>
      <w:kern w:val="2"/>
      <w:sz w:val="28"/>
      <w:lang w:val="en-US" w:eastAsia="zh-CN" w:bidi="ar-SA"/>
    </w:rPr>
  </w:style>
  <w:style w:type="character" w:customStyle="1" w:styleId="69">
    <w:name w:val="标题 7 Char"/>
    <w:link w:val="10"/>
    <w:qFormat/>
    <w:uiPriority w:val="0"/>
    <w:rPr>
      <w:rFonts w:eastAsia="宋体"/>
      <w:b/>
      <w:kern w:val="2"/>
      <w:sz w:val="24"/>
      <w:lang w:val="en-US" w:eastAsia="zh-CN" w:bidi="ar-SA"/>
    </w:rPr>
  </w:style>
  <w:style w:type="character" w:customStyle="1" w:styleId="70">
    <w:name w:val="明显参考1"/>
    <w:qFormat/>
    <w:uiPriority w:val="0"/>
    <w:rPr>
      <w:b/>
      <w:bCs/>
      <w:smallCaps/>
      <w:color w:val="C0504D"/>
      <w:spacing w:val="5"/>
      <w:u w:val="single"/>
    </w:rPr>
  </w:style>
  <w:style w:type="character" w:customStyle="1" w:styleId="71">
    <w:name w:val="书籍标题1"/>
    <w:qFormat/>
    <w:uiPriority w:val="0"/>
    <w:rPr>
      <w:b/>
      <w:bCs/>
      <w:smallCaps/>
      <w:spacing w:val="5"/>
    </w:rPr>
  </w:style>
  <w:style w:type="character" w:customStyle="1" w:styleId="72">
    <w:name w:val="Char Char61"/>
    <w:qFormat/>
    <w:uiPriority w:val="0"/>
    <w:rPr>
      <w:rFonts w:ascii="Times New Roman" w:hAnsi="Times New Roman" w:eastAsia="宋体" w:cs="Times New Roman"/>
      <w:szCs w:val="24"/>
    </w:rPr>
  </w:style>
  <w:style w:type="character" w:customStyle="1" w:styleId="73">
    <w:name w:val="Char Char24"/>
    <w:qFormat/>
    <w:uiPriority w:val="0"/>
    <w:rPr>
      <w:rFonts w:eastAsia="宋体"/>
      <w:b/>
      <w:kern w:val="2"/>
      <w:sz w:val="28"/>
      <w:lang w:val="en-US" w:eastAsia="zh-CN" w:bidi="ar-SA"/>
    </w:rPr>
  </w:style>
  <w:style w:type="character" w:customStyle="1" w:styleId="74">
    <w:name w:val="Style4"/>
    <w:qFormat/>
    <w:uiPriority w:val="0"/>
    <w:rPr>
      <w:rFonts w:ascii="Calibri" w:hAnsi="宋体" w:eastAsia="宋体" w:cs="Times New Roman"/>
      <w:szCs w:val="22"/>
      <w:lang w:eastAsia="zh-CN"/>
    </w:rPr>
  </w:style>
  <w:style w:type="character" w:customStyle="1" w:styleId="75">
    <w:name w:val="Style1"/>
    <w:qFormat/>
    <w:uiPriority w:val="0"/>
    <w:rPr>
      <w:rFonts w:ascii="Calibri" w:hAnsi="宋体" w:eastAsia="宋体" w:cs="Times New Roman"/>
      <w:sz w:val="22"/>
      <w:szCs w:val="22"/>
      <w:lang w:eastAsia="zh-CN"/>
    </w:rPr>
  </w:style>
  <w:style w:type="character" w:customStyle="1" w:styleId="76">
    <w:name w:val="heading 1 Char1"/>
    <w:qFormat/>
    <w:uiPriority w:val="0"/>
    <w:rPr>
      <w:rFonts w:eastAsia="宋体"/>
      <w:b/>
      <w:bCs/>
      <w:kern w:val="44"/>
      <w:sz w:val="44"/>
      <w:szCs w:val="44"/>
      <w:lang w:val="en-US" w:eastAsia="zh-CN" w:bidi="ar-SA"/>
    </w:rPr>
  </w:style>
  <w:style w:type="character" w:customStyle="1" w:styleId="77">
    <w:name w:val="Style5"/>
    <w:qFormat/>
    <w:uiPriority w:val="0"/>
    <w:rPr>
      <w:rFonts w:ascii="Calibri" w:hAnsi="宋体" w:eastAsia="宋体" w:cs="Times New Roman"/>
      <w:sz w:val="22"/>
      <w:szCs w:val="22"/>
      <w:lang w:eastAsia="zh-CN"/>
    </w:rPr>
  </w:style>
  <w:style w:type="character" w:customStyle="1" w:styleId="78">
    <w:name w:val="称呼 Char"/>
    <w:link w:val="19"/>
    <w:qFormat/>
    <w:uiPriority w:val="0"/>
    <w:rPr>
      <w:rFonts w:ascii="仿宋_GB2312" w:eastAsia="仿宋_GB2312"/>
      <w:b/>
      <w:sz w:val="24"/>
      <w:szCs w:val="32"/>
    </w:rPr>
  </w:style>
  <w:style w:type="character" w:customStyle="1" w:styleId="79">
    <w:name w:val="Ò³Ã¼ Char Char2"/>
    <w:qFormat/>
    <w:uiPriority w:val="0"/>
    <w:rPr>
      <w:kern w:val="2"/>
      <w:sz w:val="18"/>
      <w:szCs w:val="18"/>
    </w:rPr>
  </w:style>
  <w:style w:type="character" w:customStyle="1" w:styleId="80">
    <w:name w:val="明显强调1"/>
    <w:qFormat/>
    <w:uiPriority w:val="0"/>
    <w:rPr>
      <w:b/>
      <w:bCs/>
      <w:i/>
      <w:iCs/>
      <w:color w:val="4F81BD"/>
    </w:rPr>
  </w:style>
  <w:style w:type="character" w:customStyle="1" w:styleId="81">
    <w:name w:val="样式 标题 3 + 黑体 小四 Char Char"/>
    <w:link w:val="82"/>
    <w:qFormat/>
    <w:uiPriority w:val="0"/>
    <w:rPr>
      <w:rFonts w:ascii="黑体" w:hAnsi="Arial" w:eastAsia="黑体"/>
      <w:bCs/>
      <w:sz w:val="24"/>
      <w:szCs w:val="24"/>
      <w:lang w:bidi="ar-SA"/>
    </w:rPr>
  </w:style>
  <w:style w:type="paragraph" w:customStyle="1" w:styleId="82">
    <w:name w:val="样式 标题 3 + 黑体 小四"/>
    <w:basedOn w:val="6"/>
    <w:link w:val="81"/>
    <w:qFormat/>
    <w:uiPriority w:val="0"/>
    <w:pPr>
      <w:spacing w:before="260" w:after="260" w:line="413" w:lineRule="auto"/>
    </w:pPr>
    <w:rPr>
      <w:rFonts w:ascii="黑体" w:hAnsi="Arial"/>
      <w:b w:val="0"/>
      <w:bCs/>
      <w:kern w:val="0"/>
      <w:sz w:val="24"/>
      <w:szCs w:val="24"/>
    </w:rPr>
  </w:style>
  <w:style w:type="character" w:customStyle="1" w:styleId="83">
    <w:name w:val="heading 7 Char1"/>
    <w:qFormat/>
    <w:uiPriority w:val="0"/>
    <w:rPr>
      <w:rFonts w:ascii="Arial" w:hAnsi="Arial" w:eastAsia="黑体"/>
      <w:sz w:val="21"/>
      <w:szCs w:val="21"/>
      <w:lang w:val="en-US" w:eastAsia="zh-CN" w:bidi="ar-SA"/>
    </w:rPr>
  </w:style>
  <w:style w:type="character" w:customStyle="1" w:styleId="84">
    <w:name w:val="Char Char1"/>
    <w:qFormat/>
    <w:uiPriority w:val="0"/>
    <w:rPr>
      <w:rFonts w:eastAsia="宋体"/>
      <w:sz w:val="21"/>
      <w:lang w:val="en-US" w:eastAsia="zh-CN" w:bidi="ar-SA"/>
    </w:rPr>
  </w:style>
  <w:style w:type="character" w:customStyle="1" w:styleId="85">
    <w:name w:val="Char Char12"/>
    <w:qFormat/>
    <w:uiPriority w:val="0"/>
    <w:rPr>
      <w:rFonts w:eastAsia="宋体"/>
      <w:kern w:val="2"/>
      <w:sz w:val="21"/>
      <w:szCs w:val="24"/>
      <w:lang w:val="en-US" w:eastAsia="zh-CN" w:bidi="ar-SA"/>
    </w:rPr>
  </w:style>
  <w:style w:type="character" w:customStyle="1" w:styleId="86">
    <w:name w:val="Char Char18"/>
    <w:qFormat/>
    <w:uiPriority w:val="0"/>
    <w:rPr>
      <w:b/>
      <w:bCs/>
      <w:kern w:val="2"/>
      <w:sz w:val="32"/>
      <w:szCs w:val="32"/>
    </w:rPr>
  </w:style>
  <w:style w:type="character" w:customStyle="1" w:styleId="87">
    <w:name w:val="Char Char4"/>
    <w:qFormat/>
    <w:uiPriority w:val="0"/>
    <w:rPr>
      <w:rFonts w:ascii="Cambria" w:hAnsi="Cambria" w:eastAsia="宋体"/>
      <w:b/>
      <w:bCs/>
      <w:sz w:val="32"/>
      <w:szCs w:val="32"/>
      <w:lang w:bidi="ar-SA"/>
    </w:rPr>
  </w:style>
  <w:style w:type="character" w:customStyle="1" w:styleId="88">
    <w:name w:val="PI Char"/>
    <w:qFormat/>
    <w:uiPriority w:val="0"/>
    <w:rPr>
      <w:rFonts w:ascii="宋体" w:hAnsi="宋体"/>
      <w:sz w:val="24"/>
    </w:rPr>
  </w:style>
  <w:style w:type="character" w:customStyle="1" w:styleId="89">
    <w:name w:val="明显参考2"/>
    <w:qFormat/>
    <w:uiPriority w:val="0"/>
    <w:rPr>
      <w:b/>
      <w:bCs/>
      <w:smallCaps/>
      <w:color w:val="C0504D"/>
      <w:spacing w:val="5"/>
      <w:u w:val="single"/>
    </w:rPr>
  </w:style>
  <w:style w:type="character" w:customStyle="1" w:styleId="90">
    <w:name w:val="批注文字 Char"/>
    <w:link w:val="18"/>
    <w:qFormat/>
    <w:uiPriority w:val="0"/>
    <w:rPr>
      <w:rFonts w:eastAsia="宋体"/>
      <w:kern w:val="2"/>
      <w:sz w:val="21"/>
      <w:szCs w:val="24"/>
      <w:lang w:val="en-US" w:eastAsia="zh-CN" w:bidi="ar-SA"/>
    </w:rPr>
  </w:style>
  <w:style w:type="character" w:customStyle="1" w:styleId="91">
    <w:name w:val="Style2"/>
    <w:qFormat/>
    <w:uiPriority w:val="0"/>
    <w:rPr>
      <w:rFonts w:ascii="Calibri" w:hAnsi="宋体" w:eastAsia="宋体" w:cs="Times New Roman"/>
      <w:sz w:val="22"/>
      <w:szCs w:val="22"/>
      <w:lang w:eastAsia="zh-CN"/>
    </w:rPr>
  </w:style>
  <w:style w:type="character" w:customStyle="1" w:styleId="92">
    <w:name w:val="Footer-Even Char1"/>
    <w:qFormat/>
    <w:uiPriority w:val="0"/>
    <w:rPr>
      <w:rFonts w:eastAsia="宋体"/>
      <w:kern w:val="2"/>
      <w:sz w:val="18"/>
      <w:szCs w:val="18"/>
      <w:lang w:val="en-US" w:eastAsia="zh-CN" w:bidi="ar-SA"/>
    </w:rPr>
  </w:style>
  <w:style w:type="character" w:customStyle="1" w:styleId="93">
    <w:name w:val="heading 4 Char1"/>
    <w:qFormat/>
    <w:uiPriority w:val="0"/>
    <w:rPr>
      <w:rFonts w:ascii="Cambria" w:hAnsi="Cambria" w:eastAsia="宋体"/>
      <w:b/>
      <w:bCs/>
      <w:kern w:val="2"/>
      <w:sz w:val="28"/>
      <w:szCs w:val="28"/>
      <w:lang w:val="en-US" w:eastAsia="zh-CN" w:bidi="ar-SA"/>
    </w:rPr>
  </w:style>
  <w:style w:type="character" w:customStyle="1" w:styleId="94">
    <w:name w:val="正文文本 3 Char"/>
    <w:basedOn w:val="54"/>
    <w:link w:val="20"/>
    <w:qFormat/>
    <w:uiPriority w:val="0"/>
  </w:style>
  <w:style w:type="character" w:customStyle="1" w:styleId="95">
    <w:name w:val="批注主题 Char"/>
    <w:link w:val="49"/>
    <w:qFormat/>
    <w:uiPriority w:val="0"/>
    <w:rPr>
      <w:rFonts w:eastAsia="宋体"/>
      <w:b/>
      <w:bCs/>
      <w:kern w:val="2"/>
      <w:sz w:val="21"/>
      <w:szCs w:val="24"/>
      <w:lang w:val="en-US" w:eastAsia="zh-CN" w:bidi="ar-SA"/>
    </w:rPr>
  </w:style>
  <w:style w:type="character" w:customStyle="1" w:styleId="96">
    <w:name w:val="不明显参考11"/>
    <w:qFormat/>
    <w:uiPriority w:val="0"/>
    <w:rPr>
      <w:smallCaps/>
      <w:color w:val="C0504D"/>
      <w:u w:val="single"/>
    </w:rPr>
  </w:style>
  <w:style w:type="character" w:customStyle="1" w:styleId="97">
    <w:name w:val="Plain Text Char"/>
    <w:qFormat/>
    <w:uiPriority w:val="0"/>
    <w:rPr>
      <w:rFonts w:ascii="宋体" w:hAnsi="Courier New" w:eastAsia="宋体" w:cs="Times New Roman"/>
      <w:sz w:val="21"/>
      <w:szCs w:val="21"/>
    </w:rPr>
  </w:style>
  <w:style w:type="character" w:customStyle="1" w:styleId="98">
    <w:name w:val="Char Char111"/>
    <w:qFormat/>
    <w:uiPriority w:val="0"/>
    <w:rPr>
      <w:rFonts w:ascii="Times New Roman" w:hAnsi="Times New Roman" w:eastAsia="宋体" w:cs="Times New Roman"/>
      <w:sz w:val="18"/>
      <w:szCs w:val="18"/>
    </w:rPr>
  </w:style>
  <w:style w:type="character" w:customStyle="1" w:styleId="99">
    <w:name w:val="无间距字符"/>
    <w:link w:val="100"/>
    <w:qFormat/>
    <w:uiPriority w:val="0"/>
    <w:rPr>
      <w:rFonts w:eastAsia="Times New Roman"/>
      <w:sz w:val="22"/>
      <w:szCs w:val="22"/>
      <w:lang w:val="en-US" w:eastAsia="zh-CN" w:bidi="ar-SA"/>
    </w:rPr>
  </w:style>
  <w:style w:type="paragraph" w:customStyle="1" w:styleId="100">
    <w:name w:val="无间距"/>
    <w:link w:val="99"/>
    <w:qFormat/>
    <w:uiPriority w:val="0"/>
    <w:rPr>
      <w:rFonts w:ascii="Times New Roman" w:hAnsi="Times New Roman" w:eastAsia="Times New Roman" w:cs="Times New Roman"/>
      <w:sz w:val="22"/>
      <w:szCs w:val="22"/>
      <w:lang w:val="en-US" w:eastAsia="zh-CN" w:bidi="ar-SA"/>
    </w:rPr>
  </w:style>
  <w:style w:type="character" w:customStyle="1" w:styleId="101">
    <w:name w:val="heading 5 Char2"/>
    <w:qFormat/>
    <w:uiPriority w:val="0"/>
    <w:rPr>
      <w:b/>
      <w:bCs/>
      <w:kern w:val="2"/>
      <w:sz w:val="28"/>
      <w:szCs w:val="28"/>
    </w:rPr>
  </w:style>
  <w:style w:type="character" w:customStyle="1" w:styleId="102">
    <w:name w:val="样式2 Char Char"/>
    <w:link w:val="103"/>
    <w:qFormat/>
    <w:uiPriority w:val="0"/>
    <w:rPr>
      <w:rFonts w:ascii="宋体" w:hAnsi="宋体" w:eastAsia="宋体"/>
      <w:bCs/>
      <w:kern w:val="2"/>
      <w:sz w:val="28"/>
      <w:szCs w:val="28"/>
      <w:lang w:val="en-US" w:eastAsia="zh-CN" w:bidi="ar-SA"/>
    </w:rPr>
  </w:style>
  <w:style w:type="paragraph" w:customStyle="1" w:styleId="103">
    <w:name w:val="样式2"/>
    <w:basedOn w:val="5"/>
    <w:link w:val="102"/>
    <w:qFormat/>
    <w:uiPriority w:val="0"/>
    <w:pPr>
      <w:keepLines/>
      <w:snapToGrid w:val="0"/>
      <w:spacing w:before="260" w:afterLines="50" w:line="480" w:lineRule="exact"/>
      <w:ind w:firstLine="556"/>
    </w:pPr>
    <w:rPr>
      <w:rFonts w:ascii="宋体" w:hAnsi="宋体"/>
      <w:b w:val="0"/>
      <w:bCs/>
      <w:szCs w:val="28"/>
    </w:rPr>
  </w:style>
  <w:style w:type="character" w:customStyle="1" w:styleId="104">
    <w:name w:val="正文缩进 Char"/>
    <w:link w:val="9"/>
    <w:qFormat/>
    <w:uiPriority w:val="0"/>
    <w:rPr>
      <w:rFonts w:ascii="仿宋_GB2312" w:eastAsia="宋体"/>
      <w:b/>
      <w:sz w:val="21"/>
      <w:szCs w:val="32"/>
      <w:lang w:val="en-US" w:eastAsia="zh-CN" w:bidi="ar-SA"/>
    </w:rPr>
  </w:style>
  <w:style w:type="character" w:customStyle="1" w:styleId="105">
    <w:name w:val="heading 2 Char1"/>
    <w:qFormat/>
    <w:uiPriority w:val="0"/>
    <w:rPr>
      <w:rFonts w:ascii="Cambria" w:hAnsi="Cambria" w:eastAsia="宋体"/>
      <w:b/>
      <w:bCs/>
      <w:kern w:val="2"/>
      <w:sz w:val="32"/>
      <w:szCs w:val="32"/>
      <w:lang w:val="en-US" w:eastAsia="zh-CN" w:bidi="ar-SA"/>
    </w:rPr>
  </w:style>
  <w:style w:type="character" w:customStyle="1" w:styleId="106">
    <w:name w:val="heading 3 Char1"/>
    <w:qFormat/>
    <w:uiPriority w:val="0"/>
    <w:rPr>
      <w:rFonts w:eastAsia="宋体"/>
      <w:b/>
      <w:bCs/>
      <w:kern w:val="2"/>
      <w:sz w:val="32"/>
      <w:szCs w:val="32"/>
      <w:lang w:val="en-US" w:eastAsia="zh-CN" w:bidi="ar-SA"/>
    </w:rPr>
  </w:style>
  <w:style w:type="character" w:customStyle="1" w:styleId="107">
    <w:name w:val="Char Char15"/>
    <w:qFormat/>
    <w:uiPriority w:val="0"/>
    <w:rPr>
      <w:rFonts w:ascii="Arial" w:hAnsi="Arial" w:eastAsia="黑体"/>
      <w:sz w:val="24"/>
      <w:szCs w:val="24"/>
    </w:rPr>
  </w:style>
  <w:style w:type="character" w:customStyle="1" w:styleId="108">
    <w:name w:val="heading 1 Char"/>
    <w:qFormat/>
    <w:uiPriority w:val="0"/>
    <w:rPr>
      <w:rFonts w:ascii="Arial" w:hAnsi="Arial" w:eastAsia="黑体"/>
      <w:b/>
      <w:sz w:val="36"/>
      <w:szCs w:val="36"/>
    </w:rPr>
  </w:style>
  <w:style w:type="character" w:customStyle="1" w:styleId="109">
    <w:name w:val="ändrad Char"/>
    <w:qFormat/>
    <w:uiPriority w:val="0"/>
    <w:rPr>
      <w:rFonts w:eastAsia="宋体"/>
      <w:kern w:val="2"/>
      <w:sz w:val="21"/>
      <w:szCs w:val="24"/>
      <w:lang w:val="en-US" w:eastAsia="zh-CN" w:bidi="ar-SA"/>
    </w:rPr>
  </w:style>
  <w:style w:type="character" w:customStyle="1" w:styleId="110">
    <w:name w:val="标题 Char"/>
    <w:link w:val="48"/>
    <w:qFormat/>
    <w:uiPriority w:val="0"/>
    <w:rPr>
      <w:rFonts w:ascii="Cambria" w:hAnsi="Cambria" w:eastAsia="宋体"/>
      <w:b/>
      <w:bCs/>
      <w:kern w:val="2"/>
      <w:sz w:val="32"/>
      <w:szCs w:val="32"/>
      <w:lang w:val="en-US" w:eastAsia="zh-CN" w:bidi="ar-SA"/>
    </w:rPr>
  </w:style>
  <w:style w:type="character" w:customStyle="1" w:styleId="111">
    <w:name w:val="Char Char22"/>
    <w:qFormat/>
    <w:uiPriority w:val="0"/>
    <w:rPr>
      <w:rFonts w:ascii="Arial" w:hAnsi="Arial" w:eastAsia="黑体"/>
      <w:b/>
      <w:bCs/>
      <w:kern w:val="44"/>
      <w:sz w:val="30"/>
      <w:szCs w:val="44"/>
      <w:lang w:val="en-US" w:eastAsia="zh-CN" w:bidi="ar-SA"/>
    </w:rPr>
  </w:style>
  <w:style w:type="character" w:customStyle="1" w:styleId="112">
    <w:name w:val="blue1"/>
    <w:basedOn w:val="54"/>
    <w:qFormat/>
    <w:uiPriority w:val="0"/>
  </w:style>
  <w:style w:type="character" w:customStyle="1" w:styleId="113">
    <w:name w:val="样式 宋体"/>
    <w:qFormat/>
    <w:uiPriority w:val="0"/>
    <w:rPr>
      <w:rFonts w:ascii="宋体" w:hAnsi="宋体" w:eastAsia="宋体"/>
      <w:sz w:val="24"/>
      <w:szCs w:val="24"/>
    </w:rPr>
  </w:style>
  <w:style w:type="character" w:customStyle="1" w:styleId="114">
    <w:name w:val="dandyren_title1"/>
    <w:qFormat/>
    <w:uiPriority w:val="0"/>
    <w:rPr>
      <w:b/>
      <w:bCs/>
      <w:color w:val="FF6633"/>
      <w:sz w:val="18"/>
      <w:szCs w:val="18"/>
    </w:rPr>
  </w:style>
  <w:style w:type="character" w:customStyle="1" w:styleId="115">
    <w:name w:val="font21"/>
    <w:basedOn w:val="54"/>
    <w:qFormat/>
    <w:uiPriority w:val="0"/>
    <w:rPr>
      <w:rFonts w:ascii="Wingdings 2" w:hAnsi="Wingdings 2" w:eastAsia="Wingdings 2" w:cs="Wingdings 2"/>
      <w:b/>
      <w:color w:val="000000"/>
      <w:sz w:val="20"/>
      <w:szCs w:val="20"/>
      <w:u w:val="none"/>
    </w:rPr>
  </w:style>
  <w:style w:type="character" w:customStyle="1" w:styleId="116">
    <w:name w:val="Ò³Ã¼ Char Char1"/>
    <w:qFormat/>
    <w:uiPriority w:val="0"/>
    <w:rPr>
      <w:rFonts w:eastAsia="宋体"/>
      <w:kern w:val="2"/>
      <w:sz w:val="18"/>
      <w:szCs w:val="18"/>
      <w:lang w:val="en-US" w:eastAsia="zh-CN" w:bidi="ar-SA"/>
    </w:rPr>
  </w:style>
  <w:style w:type="character" w:customStyle="1" w:styleId="117">
    <w:name w:val="宏文本 Char"/>
    <w:link w:val="3"/>
    <w:qFormat/>
    <w:uiPriority w:val="0"/>
    <w:rPr>
      <w:rFonts w:ascii="Courier New" w:hAnsi="Courier New" w:eastAsia="Times New Roman"/>
      <w:kern w:val="2"/>
      <w:sz w:val="24"/>
      <w:szCs w:val="24"/>
      <w:lang w:val="en-US" w:eastAsia="zh-CN" w:bidi="ar-SA"/>
    </w:rPr>
  </w:style>
  <w:style w:type="character" w:customStyle="1" w:styleId="118">
    <w:name w:val="Footer-Even Char"/>
    <w:qFormat/>
    <w:uiPriority w:val="0"/>
    <w:rPr>
      <w:sz w:val="18"/>
      <w:szCs w:val="18"/>
    </w:rPr>
  </w:style>
  <w:style w:type="character" w:customStyle="1" w:styleId="119">
    <w:name w:val="页脚 Char"/>
    <w:link w:val="34"/>
    <w:qFormat/>
    <w:uiPriority w:val="0"/>
    <w:rPr>
      <w:rFonts w:eastAsia="宋体"/>
      <w:kern w:val="2"/>
      <w:sz w:val="18"/>
      <w:szCs w:val="18"/>
      <w:lang w:val="en-US" w:eastAsia="zh-CN" w:bidi="ar-SA"/>
    </w:rPr>
  </w:style>
  <w:style w:type="character" w:customStyle="1" w:styleId="120">
    <w:name w:val="style111"/>
    <w:qFormat/>
    <w:uiPriority w:val="0"/>
    <w:rPr>
      <w:sz w:val="27"/>
      <w:szCs w:val="27"/>
    </w:rPr>
  </w:style>
  <w:style w:type="character" w:customStyle="1" w:styleId="121">
    <w:name w:val="PI Char2"/>
    <w:qFormat/>
    <w:uiPriority w:val="0"/>
    <w:rPr>
      <w:kern w:val="2"/>
      <w:sz w:val="24"/>
      <w:szCs w:val="24"/>
    </w:rPr>
  </w:style>
  <w:style w:type="character" w:customStyle="1" w:styleId="122">
    <w:name w:val="gray6"/>
    <w:basedOn w:val="54"/>
    <w:qFormat/>
    <w:uiPriority w:val="0"/>
  </w:style>
  <w:style w:type="character" w:customStyle="1" w:styleId="123">
    <w:name w:val="Char Char Char1"/>
    <w:qFormat/>
    <w:uiPriority w:val="0"/>
    <w:rPr>
      <w:rFonts w:ascii="宋体" w:hAnsi="Courier New"/>
      <w:sz w:val="21"/>
      <w:szCs w:val="21"/>
    </w:rPr>
  </w:style>
  <w:style w:type="character" w:customStyle="1" w:styleId="124">
    <w:name w:val="Char Char121"/>
    <w:qFormat/>
    <w:uiPriority w:val="0"/>
    <w:rPr>
      <w:rFonts w:eastAsia="宋体"/>
      <w:kern w:val="2"/>
      <w:sz w:val="21"/>
      <w:szCs w:val="24"/>
      <w:lang w:val="en-US" w:eastAsia="zh-CN" w:bidi="ar-SA"/>
    </w:rPr>
  </w:style>
  <w:style w:type="character" w:customStyle="1" w:styleId="125">
    <w:name w:val="Char Char Char Char Char Char Char Char Char"/>
    <w:qFormat/>
    <w:uiPriority w:val="0"/>
    <w:rPr>
      <w:rFonts w:ascii="宋体" w:hAnsi="Courier New" w:eastAsia="宋体"/>
      <w:sz w:val="21"/>
      <w:szCs w:val="21"/>
      <w:lang w:val="en-US" w:eastAsia="zh-CN" w:bidi="ar-SA"/>
    </w:rPr>
  </w:style>
  <w:style w:type="character" w:customStyle="1" w:styleId="126">
    <w:name w:val="heading 4 Char2"/>
    <w:qFormat/>
    <w:uiPriority w:val="0"/>
    <w:rPr>
      <w:rFonts w:ascii="Cambria" w:hAnsi="Cambria"/>
      <w:b/>
      <w:bCs/>
      <w:kern w:val="2"/>
      <w:sz w:val="28"/>
      <w:szCs w:val="28"/>
    </w:rPr>
  </w:style>
  <w:style w:type="character" w:customStyle="1" w:styleId="127">
    <w:name w:val="heading 3 Char"/>
    <w:qFormat/>
    <w:uiPriority w:val="0"/>
    <w:rPr>
      <w:rFonts w:ascii="Arial" w:hAnsi="Arial" w:eastAsia="黑体"/>
      <w:sz w:val="28"/>
      <w:szCs w:val="24"/>
    </w:rPr>
  </w:style>
  <w:style w:type="character" w:customStyle="1" w:styleId="128">
    <w:name w:val="标题 1 Char"/>
    <w:link w:val="4"/>
    <w:qFormat/>
    <w:uiPriority w:val="0"/>
    <w:rPr>
      <w:rFonts w:eastAsia="黑体"/>
      <w:b/>
      <w:kern w:val="2"/>
      <w:sz w:val="32"/>
      <w:lang w:val="en-US" w:eastAsia="zh-CN" w:bidi="ar-SA"/>
    </w:rPr>
  </w:style>
  <w:style w:type="character" w:customStyle="1" w:styleId="129">
    <w:name w:val="Char Char16"/>
    <w:qFormat/>
    <w:uiPriority w:val="0"/>
    <w:rPr>
      <w:b/>
      <w:bCs/>
      <w:kern w:val="2"/>
      <w:sz w:val="28"/>
      <w:szCs w:val="28"/>
    </w:rPr>
  </w:style>
  <w:style w:type="character" w:customStyle="1" w:styleId="130">
    <w:name w:val="文档结构图 Char"/>
    <w:link w:val="17"/>
    <w:qFormat/>
    <w:uiPriority w:val="0"/>
    <w:rPr>
      <w:rFonts w:eastAsia="宋体"/>
      <w:kern w:val="2"/>
      <w:sz w:val="21"/>
      <w:szCs w:val="24"/>
      <w:lang w:val="en-US" w:eastAsia="zh-CN" w:bidi="ar-SA"/>
    </w:rPr>
  </w:style>
  <w:style w:type="character" w:customStyle="1" w:styleId="131">
    <w:name w:val="标题 5 Char"/>
    <w:link w:val="7"/>
    <w:qFormat/>
    <w:uiPriority w:val="0"/>
    <w:rPr>
      <w:rFonts w:eastAsia="宋体"/>
      <w:b/>
      <w:bCs/>
      <w:sz w:val="28"/>
      <w:szCs w:val="28"/>
      <w:lang w:bidi="ar-SA"/>
    </w:rPr>
  </w:style>
  <w:style w:type="character" w:customStyle="1" w:styleId="132">
    <w:name w:val="日期 Char"/>
    <w:link w:val="31"/>
    <w:qFormat/>
    <w:uiPriority w:val="0"/>
    <w:rPr>
      <w:rFonts w:eastAsia="宋体"/>
      <w:kern w:val="2"/>
      <w:sz w:val="21"/>
      <w:szCs w:val="24"/>
      <w:lang w:val="en-US" w:eastAsia="zh-CN" w:bidi="ar-SA"/>
    </w:rPr>
  </w:style>
  <w:style w:type="character" w:customStyle="1" w:styleId="133">
    <w:name w:val="副标题 Char"/>
    <w:link w:val="39"/>
    <w:qFormat/>
    <w:uiPriority w:val="0"/>
    <w:rPr>
      <w:rFonts w:ascii="Cambria" w:hAnsi="Cambria" w:eastAsia="宋体"/>
      <w:b/>
      <w:bCs/>
      <w:kern w:val="28"/>
      <w:sz w:val="32"/>
      <w:szCs w:val="32"/>
      <w:lang w:val="en-US" w:eastAsia="zh-CN" w:bidi="ar-SA"/>
    </w:rPr>
  </w:style>
  <w:style w:type="character" w:customStyle="1" w:styleId="134">
    <w:name w:val="页眉 Char"/>
    <w:link w:val="35"/>
    <w:qFormat/>
    <w:uiPriority w:val="0"/>
    <w:rPr>
      <w:rFonts w:eastAsia="宋体"/>
      <w:kern w:val="2"/>
      <w:sz w:val="18"/>
      <w:szCs w:val="18"/>
      <w:lang w:val="en-US" w:eastAsia="zh-CN" w:bidi="ar-SA"/>
    </w:rPr>
  </w:style>
  <w:style w:type="character" w:customStyle="1" w:styleId="135">
    <w:name w:val="style13"/>
    <w:basedOn w:val="54"/>
    <w:qFormat/>
    <w:uiPriority w:val="0"/>
  </w:style>
  <w:style w:type="character" w:customStyle="1" w:styleId="136">
    <w:name w:val="textcolor1"/>
    <w:qFormat/>
    <w:uiPriority w:val="0"/>
    <w:rPr>
      <w:rFonts w:ascii="仿宋_GB2312" w:eastAsia="仿宋_GB2312"/>
      <w:b/>
      <w:color w:val="FF6600"/>
      <w:sz w:val="32"/>
      <w:szCs w:val="32"/>
    </w:rPr>
  </w:style>
  <w:style w:type="character" w:customStyle="1" w:styleId="137">
    <w:name w:val="Table Text Char Char"/>
    <w:link w:val="138"/>
    <w:qFormat/>
    <w:uiPriority w:val="0"/>
    <w:rPr>
      <w:sz w:val="21"/>
      <w:lang w:val="en-US" w:eastAsia="en-US" w:bidi="ar-SA"/>
    </w:rPr>
  </w:style>
  <w:style w:type="paragraph" w:customStyle="1" w:styleId="138">
    <w:name w:val="Table Text"/>
    <w:basedOn w:val="1"/>
    <w:link w:val="137"/>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39">
    <w:name w:val="Ò³Ã¼ Char Char"/>
    <w:qFormat/>
    <w:uiPriority w:val="0"/>
    <w:rPr>
      <w:sz w:val="18"/>
      <w:szCs w:val="18"/>
    </w:rPr>
  </w:style>
  <w:style w:type="character" w:customStyle="1" w:styleId="140">
    <w:name w:val="heading 2 Char2"/>
    <w:qFormat/>
    <w:uiPriority w:val="0"/>
    <w:rPr>
      <w:rFonts w:ascii="Cambria" w:hAnsi="Cambria"/>
      <w:b/>
      <w:bCs/>
      <w:kern w:val="2"/>
      <w:sz w:val="32"/>
      <w:szCs w:val="32"/>
    </w:rPr>
  </w:style>
  <w:style w:type="character" w:customStyle="1" w:styleId="141">
    <w:name w:val="书籍标题11"/>
    <w:qFormat/>
    <w:uiPriority w:val="0"/>
    <w:rPr>
      <w:b/>
      <w:bCs/>
      <w:smallCaps/>
      <w:spacing w:val="5"/>
    </w:rPr>
  </w:style>
  <w:style w:type="character" w:customStyle="1" w:styleId="142">
    <w:name w:val="Char Char21"/>
    <w:qFormat/>
    <w:uiPriority w:val="0"/>
    <w:rPr>
      <w:rFonts w:ascii="Times New Roman" w:hAnsi="Times New Roman" w:eastAsia="宋体" w:cs="Times New Roman"/>
      <w:b/>
      <w:bCs/>
      <w:kern w:val="44"/>
      <w:sz w:val="44"/>
      <w:szCs w:val="44"/>
    </w:rPr>
  </w:style>
  <w:style w:type="character" w:customStyle="1" w:styleId="143">
    <w:name w:val="正文文本缩进 Char"/>
    <w:link w:val="22"/>
    <w:qFormat/>
    <w:uiPriority w:val="0"/>
    <w:rPr>
      <w:rFonts w:eastAsia="宋体"/>
      <w:kern w:val="2"/>
      <w:sz w:val="24"/>
      <w:szCs w:val="24"/>
      <w:lang w:val="en-US" w:eastAsia="zh-CN" w:bidi="ar-SA"/>
    </w:rPr>
  </w:style>
  <w:style w:type="character" w:customStyle="1" w:styleId="144">
    <w:name w:val="不明显强调1"/>
    <w:qFormat/>
    <w:uiPriority w:val="0"/>
    <w:rPr>
      <w:i/>
      <w:iCs/>
      <w:color w:val="808080"/>
    </w:rPr>
  </w:style>
  <w:style w:type="character" w:customStyle="1" w:styleId="145">
    <w:name w:val="正文文本缩进 3 Char"/>
    <w:link w:val="43"/>
    <w:qFormat/>
    <w:uiPriority w:val="0"/>
    <w:rPr>
      <w:rFonts w:eastAsia="宋体"/>
      <w:kern w:val="2"/>
      <w:sz w:val="24"/>
      <w:szCs w:val="24"/>
      <w:lang w:val="en-US" w:eastAsia="zh-CN" w:bidi="ar-SA"/>
    </w:rPr>
  </w:style>
  <w:style w:type="character" w:customStyle="1" w:styleId="146">
    <w:name w:val="heading 5 Char"/>
    <w:qFormat/>
    <w:uiPriority w:val="0"/>
    <w:rPr>
      <w:rFonts w:ascii="Arial" w:hAnsi="Arial" w:eastAsia="黑体"/>
      <w:sz w:val="21"/>
      <w:szCs w:val="21"/>
    </w:rPr>
  </w:style>
  <w:style w:type="character" w:customStyle="1" w:styleId="147">
    <w:name w:val="Style3"/>
    <w:qFormat/>
    <w:uiPriority w:val="0"/>
    <w:rPr>
      <w:rFonts w:ascii="Calibri" w:hAnsi="宋体" w:eastAsia="宋体" w:cs="Times New Roman"/>
      <w:szCs w:val="22"/>
      <w:lang w:eastAsia="zh-CN"/>
    </w:rPr>
  </w:style>
  <w:style w:type="character" w:customStyle="1" w:styleId="148">
    <w:name w:val="标题 4 Char"/>
    <w:link w:val="2"/>
    <w:qFormat/>
    <w:uiPriority w:val="0"/>
    <w:rPr>
      <w:rFonts w:eastAsia="宋体"/>
      <w:kern w:val="2"/>
      <w:sz w:val="28"/>
      <w:szCs w:val="28"/>
      <w:lang w:val="en-US" w:eastAsia="zh-CN" w:bidi="ar-SA"/>
    </w:rPr>
  </w:style>
  <w:style w:type="character" w:customStyle="1" w:styleId="149">
    <w:name w:val="Char Char241"/>
    <w:qFormat/>
    <w:uiPriority w:val="0"/>
    <w:rPr>
      <w:rFonts w:eastAsia="宋体"/>
      <w:b/>
      <w:kern w:val="2"/>
      <w:sz w:val="28"/>
      <w:lang w:val="en-US" w:eastAsia="zh-CN" w:bidi="ar-SA"/>
    </w:rPr>
  </w:style>
  <w:style w:type="character" w:customStyle="1" w:styleId="150">
    <w:name w:val="批注框文本 Char"/>
    <w:link w:val="33"/>
    <w:qFormat/>
    <w:uiPriority w:val="0"/>
    <w:rPr>
      <w:rFonts w:eastAsia="宋体"/>
      <w:kern w:val="2"/>
      <w:sz w:val="18"/>
      <w:szCs w:val="18"/>
      <w:lang w:val="en-US" w:eastAsia="zh-CN" w:bidi="ar-SA"/>
    </w:rPr>
  </w:style>
  <w:style w:type="character" w:customStyle="1" w:styleId="151">
    <w:name w:val="标题 3 Char"/>
    <w:link w:val="6"/>
    <w:qFormat/>
    <w:uiPriority w:val="0"/>
    <w:rPr>
      <w:rFonts w:eastAsia="黑体"/>
      <w:b/>
      <w:kern w:val="2"/>
      <w:sz w:val="28"/>
      <w:lang w:val="en-US" w:eastAsia="zh-CN" w:bidi="ar-SA"/>
    </w:rPr>
  </w:style>
  <w:style w:type="character" w:customStyle="1" w:styleId="152">
    <w:name w:val="明显强调11"/>
    <w:qFormat/>
    <w:uiPriority w:val="0"/>
    <w:rPr>
      <w:b/>
      <w:bCs/>
      <w:i/>
      <w:iCs/>
      <w:color w:val="4F81BD"/>
    </w:rPr>
  </w:style>
  <w:style w:type="character" w:customStyle="1" w:styleId="153">
    <w:name w:val="签名 Char"/>
    <w:link w:val="36"/>
    <w:qFormat/>
    <w:uiPriority w:val="0"/>
    <w:rPr>
      <w:rFonts w:ascii="仿宋_GB2312" w:eastAsia="仿宋_GB2312"/>
      <w:b/>
      <w:sz w:val="24"/>
      <w:szCs w:val="32"/>
    </w:rPr>
  </w:style>
  <w:style w:type="character" w:customStyle="1" w:styleId="154">
    <w:name w:val="heading 3 Char2"/>
    <w:qFormat/>
    <w:uiPriority w:val="0"/>
    <w:rPr>
      <w:b/>
      <w:bCs/>
      <w:kern w:val="2"/>
      <w:sz w:val="32"/>
      <w:szCs w:val="32"/>
    </w:rPr>
  </w:style>
  <w:style w:type="character" w:customStyle="1" w:styleId="155">
    <w:name w:val="style21"/>
    <w:qFormat/>
    <w:uiPriority w:val="0"/>
    <w:rPr>
      <w:sz w:val="15"/>
      <w:szCs w:val="15"/>
    </w:rPr>
  </w:style>
  <w:style w:type="character" w:customStyle="1" w:styleId="156">
    <w:name w:val="Char Char271"/>
    <w:qFormat/>
    <w:uiPriority w:val="0"/>
    <w:rPr>
      <w:rFonts w:eastAsia="宋体"/>
      <w:kern w:val="2"/>
      <w:sz w:val="28"/>
      <w:lang w:val="en-US" w:eastAsia="zh-CN" w:bidi="ar-SA"/>
    </w:rPr>
  </w:style>
  <w:style w:type="character" w:customStyle="1" w:styleId="157">
    <w:name w:val="表格 Char Char"/>
    <w:link w:val="158"/>
    <w:qFormat/>
    <w:uiPriority w:val="0"/>
    <w:rPr>
      <w:rFonts w:ascii="宋体" w:hAnsi="宋体" w:eastAsia="宋体"/>
      <w:lang w:val="en-US" w:eastAsia="zh-CN" w:bidi="ar-SA"/>
    </w:rPr>
  </w:style>
  <w:style w:type="paragraph" w:customStyle="1" w:styleId="158">
    <w:name w:val="表格"/>
    <w:basedOn w:val="1"/>
    <w:link w:val="157"/>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59">
    <w:name w:val="heading 6 Char1"/>
    <w:qFormat/>
    <w:uiPriority w:val="0"/>
    <w:rPr>
      <w:rFonts w:ascii="Arial" w:hAnsi="Arial" w:eastAsia="黑体"/>
      <w:kern w:val="2"/>
      <w:sz w:val="24"/>
      <w:szCs w:val="24"/>
      <w:lang w:val="en-US" w:eastAsia="zh-CN" w:bidi="ar-SA"/>
    </w:rPr>
  </w:style>
  <w:style w:type="character" w:customStyle="1" w:styleId="160">
    <w:name w:val="Char Char211"/>
    <w:qFormat/>
    <w:uiPriority w:val="0"/>
    <w:rPr>
      <w:rFonts w:ascii="Times New Roman" w:hAnsi="Times New Roman" w:eastAsia="宋体" w:cs="Times New Roman"/>
      <w:b/>
      <w:bCs/>
      <w:kern w:val="44"/>
      <w:sz w:val="44"/>
      <w:szCs w:val="44"/>
    </w:rPr>
  </w:style>
  <w:style w:type="character" w:customStyle="1" w:styleId="161">
    <w:name w:val="不明显强调11"/>
    <w:qFormat/>
    <w:uiPriority w:val="0"/>
    <w:rPr>
      <w:i/>
      <w:iCs/>
      <w:color w:val="808080"/>
    </w:rPr>
  </w:style>
  <w:style w:type="character" w:customStyle="1" w:styleId="162">
    <w:name w:val="标题 9 Char"/>
    <w:link w:val="12"/>
    <w:qFormat/>
    <w:uiPriority w:val="0"/>
    <w:rPr>
      <w:rFonts w:ascii="Arial" w:hAnsi="Arial" w:eastAsia="黑体"/>
      <w:kern w:val="2"/>
      <w:sz w:val="21"/>
      <w:lang w:val="en-US" w:eastAsia="zh-CN" w:bidi="ar-SA"/>
    </w:rPr>
  </w:style>
  <w:style w:type="character" w:customStyle="1" w:styleId="163">
    <w:name w:val="正文文本 Char"/>
    <w:link w:val="21"/>
    <w:qFormat/>
    <w:uiPriority w:val="0"/>
    <w:rPr>
      <w:rFonts w:ascii="仿宋_GB2312" w:eastAsia="宋体"/>
      <w:b/>
      <w:kern w:val="2"/>
      <w:sz w:val="21"/>
      <w:szCs w:val="24"/>
      <w:lang w:val="en-US" w:eastAsia="zh-CN" w:bidi="ar-SA"/>
    </w:rPr>
  </w:style>
  <w:style w:type="character" w:customStyle="1" w:styleId="164">
    <w:name w:val="明显引用 Char"/>
    <w:link w:val="165"/>
    <w:qFormat/>
    <w:uiPriority w:val="0"/>
    <w:rPr>
      <w:rFonts w:ascii="Calibri" w:hAnsi="Calibri" w:eastAsia="宋体"/>
      <w:b/>
      <w:bCs/>
      <w:i/>
      <w:iCs/>
      <w:color w:val="4F81BD"/>
      <w:lang w:val="en-US" w:eastAsia="zh-CN" w:bidi="ar-SA"/>
    </w:rPr>
  </w:style>
  <w:style w:type="paragraph" w:styleId="165">
    <w:name w:val="Intense Quote"/>
    <w:basedOn w:val="1"/>
    <w:next w:val="1"/>
    <w:link w:val="164"/>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6">
    <w:name w:val="heading 5 Char1"/>
    <w:qFormat/>
    <w:uiPriority w:val="0"/>
    <w:rPr>
      <w:rFonts w:eastAsia="宋体"/>
      <w:b/>
      <w:bCs/>
      <w:kern w:val="2"/>
      <w:sz w:val="28"/>
      <w:szCs w:val="28"/>
      <w:lang w:val="en-US" w:eastAsia="zh-CN" w:bidi="ar-SA"/>
    </w:rPr>
  </w:style>
  <w:style w:type="character" w:customStyle="1" w:styleId="167">
    <w:name w:val="Texte Char Char"/>
    <w:qFormat/>
    <w:uiPriority w:val="0"/>
    <w:rPr>
      <w:rFonts w:ascii="宋体" w:hAnsi="Courier New" w:eastAsia="宋体"/>
      <w:sz w:val="21"/>
      <w:szCs w:val="21"/>
      <w:lang w:val="en-US" w:eastAsia="zh-CN" w:bidi="ar-SA"/>
    </w:rPr>
  </w:style>
  <w:style w:type="character" w:customStyle="1" w:styleId="168">
    <w:name w:val="正文1 Char Char"/>
    <w:link w:val="169"/>
    <w:qFormat/>
    <w:uiPriority w:val="0"/>
    <w:rPr>
      <w:rFonts w:ascii="宋体" w:hAnsi="宋体" w:eastAsia="宋体" w:cs="宋体"/>
      <w:sz w:val="21"/>
      <w:lang w:val="en-US" w:eastAsia="zh-CN" w:bidi="ar-SA"/>
    </w:rPr>
  </w:style>
  <w:style w:type="paragraph" w:customStyle="1" w:styleId="169">
    <w:name w:val="正文1"/>
    <w:basedOn w:val="1"/>
    <w:link w:val="168"/>
    <w:qFormat/>
    <w:uiPriority w:val="0"/>
    <w:pPr>
      <w:widowControl/>
      <w:spacing w:line="360" w:lineRule="auto"/>
      <w:ind w:left="360" w:firstLine="420"/>
      <w:jc w:val="left"/>
    </w:pPr>
    <w:rPr>
      <w:rFonts w:ascii="宋体" w:hAnsi="宋体" w:cs="宋体"/>
      <w:kern w:val="0"/>
      <w:szCs w:val="20"/>
    </w:rPr>
  </w:style>
  <w:style w:type="character" w:customStyle="1" w:styleId="170">
    <w:name w:val="heading 8 Char1"/>
    <w:qFormat/>
    <w:uiPriority w:val="0"/>
    <w:rPr>
      <w:rFonts w:ascii="Arial" w:hAnsi="Arial" w:eastAsia="黑体"/>
      <w:sz w:val="24"/>
      <w:lang w:val="en-US" w:eastAsia="zh-CN" w:bidi="ar-SA"/>
    </w:rPr>
  </w:style>
  <w:style w:type="character" w:customStyle="1" w:styleId="171">
    <w:name w:val="heading 9 Char1"/>
    <w:qFormat/>
    <w:uiPriority w:val="0"/>
    <w:rPr>
      <w:rFonts w:ascii="Arial" w:hAnsi="Arial" w:eastAsia="黑体"/>
      <w:sz w:val="21"/>
      <w:lang w:val="en-US" w:eastAsia="zh-CN" w:bidi="ar-SA"/>
    </w:rPr>
  </w:style>
  <w:style w:type="character" w:customStyle="1" w:styleId="172">
    <w:name w:val="标题 6 Char"/>
    <w:link w:val="8"/>
    <w:qFormat/>
    <w:uiPriority w:val="0"/>
    <w:rPr>
      <w:rFonts w:ascii="Arial" w:hAnsi="Arial" w:eastAsia="黑体"/>
      <w:b/>
      <w:kern w:val="2"/>
      <w:sz w:val="24"/>
      <w:lang w:val="en-US" w:eastAsia="zh-CN" w:bidi="ar-SA"/>
    </w:rPr>
  </w:style>
  <w:style w:type="character" w:customStyle="1" w:styleId="173">
    <w:name w:val="ändrad Char1"/>
    <w:qFormat/>
    <w:uiPriority w:val="0"/>
    <w:rPr>
      <w:rFonts w:ascii="仿宋_GB2312" w:eastAsia="宋体"/>
      <w:b/>
      <w:kern w:val="2"/>
      <w:sz w:val="21"/>
      <w:szCs w:val="24"/>
      <w:lang w:val="en-US" w:eastAsia="zh-CN" w:bidi="ar-SA"/>
    </w:rPr>
  </w:style>
  <w:style w:type="character" w:customStyle="1" w:styleId="174">
    <w:name w:val="Char Char41"/>
    <w:qFormat/>
    <w:uiPriority w:val="0"/>
    <w:rPr>
      <w:rFonts w:ascii="Cambria" w:hAnsi="Cambria" w:eastAsia="宋体"/>
      <w:b/>
      <w:bCs/>
      <w:sz w:val="32"/>
      <w:szCs w:val="32"/>
      <w:lang w:bidi="ar-SA"/>
    </w:rPr>
  </w:style>
  <w:style w:type="character" w:customStyle="1" w:styleId="175">
    <w:name w:val="标题 8 Char"/>
    <w:link w:val="11"/>
    <w:qFormat/>
    <w:uiPriority w:val="0"/>
    <w:rPr>
      <w:rFonts w:ascii="Arial" w:hAnsi="Arial" w:eastAsia="黑体"/>
      <w:kern w:val="2"/>
      <w:sz w:val="24"/>
      <w:lang w:val="en-US" w:eastAsia="zh-CN" w:bidi="ar-SA"/>
    </w:rPr>
  </w:style>
  <w:style w:type="character" w:customStyle="1" w:styleId="176">
    <w:name w:val="Char Char11"/>
    <w:qFormat/>
    <w:uiPriority w:val="0"/>
    <w:rPr>
      <w:rFonts w:ascii="Times New Roman" w:hAnsi="Times New Roman" w:eastAsia="宋体" w:cs="Times New Roman"/>
      <w:sz w:val="18"/>
      <w:szCs w:val="18"/>
    </w:rPr>
  </w:style>
  <w:style w:type="character" w:customStyle="1" w:styleId="177">
    <w:name w:val="正文文本缩进 2 Char"/>
    <w:link w:val="32"/>
    <w:qFormat/>
    <w:uiPriority w:val="0"/>
    <w:rPr>
      <w:rFonts w:eastAsia="宋体"/>
      <w:kern w:val="2"/>
      <w:sz w:val="24"/>
      <w:szCs w:val="24"/>
      <w:lang w:val="en-US" w:eastAsia="zh-CN" w:bidi="ar-SA"/>
    </w:rPr>
  </w:style>
  <w:style w:type="character" w:customStyle="1" w:styleId="178">
    <w:name w:val="Char Char6"/>
    <w:qFormat/>
    <w:uiPriority w:val="0"/>
    <w:rPr>
      <w:rFonts w:ascii="Times New Roman" w:hAnsi="Times New Roman" w:eastAsia="宋体" w:cs="Times New Roman"/>
      <w:szCs w:val="24"/>
    </w:rPr>
  </w:style>
  <w:style w:type="character" w:customStyle="1" w:styleId="179">
    <w:name w:val="Char Char Char"/>
    <w:qFormat/>
    <w:uiPriority w:val="0"/>
    <w:rPr>
      <w:rFonts w:ascii="宋体" w:hAnsi="Courier New" w:eastAsia="宋体"/>
      <w:b/>
      <w:sz w:val="21"/>
      <w:szCs w:val="21"/>
      <w:lang w:val="en-US" w:eastAsia="zh-CN" w:bidi="ar-SA"/>
    </w:rPr>
  </w:style>
  <w:style w:type="character" w:customStyle="1" w:styleId="180">
    <w:name w:val="heading 2 Char"/>
    <w:qFormat/>
    <w:uiPriority w:val="0"/>
    <w:rPr>
      <w:rFonts w:ascii="Arial" w:hAnsi="Arial" w:eastAsia="黑体" w:cs="Times New Roman"/>
      <w:sz w:val="30"/>
      <w:szCs w:val="24"/>
    </w:rPr>
  </w:style>
  <w:style w:type="character" w:customStyle="1" w:styleId="181">
    <w:name w:val="Char Char2"/>
    <w:qFormat/>
    <w:uiPriority w:val="0"/>
    <w:rPr>
      <w:rFonts w:ascii="Arial" w:hAnsi="Arial" w:eastAsia="黑体"/>
      <w:b/>
      <w:bCs/>
      <w:kern w:val="44"/>
      <w:sz w:val="30"/>
      <w:szCs w:val="44"/>
      <w:lang w:val="en-US" w:eastAsia="zh-CN" w:bidi="ar-SA"/>
    </w:rPr>
  </w:style>
  <w:style w:type="character" w:customStyle="1" w:styleId="182">
    <w:name w:val="Footer-Even Char2"/>
    <w:qFormat/>
    <w:uiPriority w:val="0"/>
    <w:rPr>
      <w:kern w:val="2"/>
      <w:sz w:val="18"/>
      <w:szCs w:val="18"/>
    </w:rPr>
  </w:style>
  <w:style w:type="character" w:customStyle="1" w:styleId="183">
    <w:name w:val="Char Char17"/>
    <w:qFormat/>
    <w:uiPriority w:val="0"/>
    <w:rPr>
      <w:rFonts w:ascii="Cambria" w:hAnsi="Cambria"/>
      <w:b/>
      <w:bCs/>
      <w:kern w:val="2"/>
      <w:sz w:val="28"/>
      <w:szCs w:val="28"/>
    </w:rPr>
  </w:style>
  <w:style w:type="character" w:customStyle="1" w:styleId="184">
    <w:name w:val="heading 4 Char"/>
    <w:qFormat/>
    <w:uiPriority w:val="0"/>
    <w:rPr>
      <w:rFonts w:ascii="Arial" w:hAnsi="Arial" w:eastAsia="黑体" w:cs="Times New Roman"/>
      <w:sz w:val="21"/>
      <w:szCs w:val="21"/>
    </w:rPr>
  </w:style>
  <w:style w:type="character" w:customStyle="1" w:styleId="185">
    <w:name w:val="Char Char20"/>
    <w:qFormat/>
    <w:uiPriority w:val="0"/>
    <w:rPr>
      <w:b/>
      <w:bCs/>
      <w:kern w:val="44"/>
      <w:sz w:val="44"/>
      <w:szCs w:val="44"/>
    </w:rPr>
  </w:style>
  <w:style w:type="character" w:customStyle="1" w:styleId="186">
    <w:name w:val="heading 1 Char2"/>
    <w:qFormat/>
    <w:uiPriority w:val="0"/>
    <w:rPr>
      <w:b/>
      <w:bCs/>
      <w:kern w:val="44"/>
      <w:sz w:val="44"/>
      <w:szCs w:val="44"/>
    </w:rPr>
  </w:style>
  <w:style w:type="character" w:customStyle="1" w:styleId="187">
    <w:name w:val="font11"/>
    <w:qFormat/>
    <w:uiPriority w:val="0"/>
    <w:rPr>
      <w:rFonts w:hint="eastAsia" w:ascii="宋体" w:hAnsi="宋体" w:eastAsia="宋体" w:cs="宋体"/>
      <w:b/>
      <w:color w:val="000000"/>
      <w:sz w:val="20"/>
      <w:szCs w:val="20"/>
      <w:u w:val="none"/>
    </w:rPr>
  </w:style>
  <w:style w:type="character" w:customStyle="1" w:styleId="188">
    <w:name w:val="表正文 Char2"/>
    <w:qFormat/>
    <w:uiPriority w:val="0"/>
    <w:rPr>
      <w:rFonts w:ascii="Times New Roman" w:hAnsi="Times New Roman" w:eastAsia="宋体" w:cs="Times New Roman"/>
      <w:szCs w:val="24"/>
    </w:rPr>
  </w:style>
  <w:style w:type="character" w:customStyle="1" w:styleId="189">
    <w:name w:val="引用 Char"/>
    <w:link w:val="190"/>
    <w:qFormat/>
    <w:uiPriority w:val="0"/>
    <w:rPr>
      <w:rFonts w:ascii="Calibri" w:hAnsi="Calibri" w:eastAsia="宋体"/>
      <w:i/>
      <w:iCs/>
      <w:color w:val="000000"/>
      <w:lang w:val="en-US" w:eastAsia="zh-CN" w:bidi="ar-SA"/>
    </w:rPr>
  </w:style>
  <w:style w:type="paragraph" w:styleId="190">
    <w:name w:val="Quote"/>
    <w:basedOn w:val="1"/>
    <w:next w:val="1"/>
    <w:link w:val="189"/>
    <w:qFormat/>
    <w:uiPriority w:val="0"/>
    <w:rPr>
      <w:rFonts w:ascii="Calibri" w:hAnsi="Calibri"/>
      <w:i/>
      <w:iCs/>
      <w:color w:val="000000"/>
      <w:kern w:val="0"/>
      <w:sz w:val="20"/>
      <w:szCs w:val="20"/>
    </w:rPr>
  </w:style>
  <w:style w:type="character" w:customStyle="1" w:styleId="191">
    <w:name w:val="纯文本 Char"/>
    <w:link w:val="28"/>
    <w:qFormat/>
    <w:uiPriority w:val="0"/>
    <w:rPr>
      <w:rFonts w:ascii="宋体" w:hAnsi="Courier New" w:eastAsia="宋体"/>
      <w:b/>
      <w:sz w:val="21"/>
      <w:szCs w:val="21"/>
      <w:lang w:val="en-US" w:eastAsia="zh-CN" w:bidi="ar-SA"/>
    </w:rPr>
  </w:style>
  <w:style w:type="character" w:customStyle="1" w:styleId="192">
    <w:name w:val="Char Char19"/>
    <w:qFormat/>
    <w:uiPriority w:val="0"/>
    <w:rPr>
      <w:rFonts w:ascii="Cambria" w:hAnsi="Cambria"/>
      <w:b/>
      <w:bCs/>
      <w:kern w:val="2"/>
      <w:sz w:val="32"/>
      <w:szCs w:val="32"/>
    </w:rPr>
  </w:style>
  <w:style w:type="character" w:customStyle="1" w:styleId="193">
    <w:name w:val="style41"/>
    <w:qFormat/>
    <w:uiPriority w:val="0"/>
    <w:rPr>
      <w:color w:val="auto"/>
    </w:rPr>
  </w:style>
  <w:style w:type="character" w:customStyle="1" w:styleId="194">
    <w:name w:val="Char Char201"/>
    <w:qFormat/>
    <w:uiPriority w:val="0"/>
    <w:rPr>
      <w:rFonts w:ascii="Cambria" w:hAnsi="Cambria" w:eastAsia="宋体" w:cs="Times New Roman"/>
      <w:b/>
      <w:bCs/>
      <w:sz w:val="32"/>
      <w:szCs w:val="32"/>
    </w:rPr>
  </w:style>
  <w:style w:type="character" w:customStyle="1" w:styleId="195">
    <w:name w:val="正文首行缩进 Char"/>
    <w:link w:val="50"/>
    <w:qFormat/>
    <w:uiPriority w:val="0"/>
    <w:rPr>
      <w:rFonts w:eastAsia="宋体"/>
      <w:lang w:val="en-US" w:eastAsia="zh-CN" w:bidi="ar-SA"/>
    </w:rPr>
  </w:style>
  <w:style w:type="character" w:customStyle="1" w:styleId="196">
    <w:name w:val="smalltxt1"/>
    <w:qFormat/>
    <w:uiPriority w:val="0"/>
    <w:rPr>
      <w:rFonts w:hint="default" w:ascii="ˎ̥" w:hAnsi="ˎ̥"/>
      <w:sz w:val="24"/>
      <w:szCs w:val="24"/>
    </w:rPr>
  </w:style>
  <w:style w:type="character" w:customStyle="1" w:styleId="197">
    <w:name w:val="正文文本 2 Char"/>
    <w:basedOn w:val="54"/>
    <w:link w:val="46"/>
    <w:qFormat/>
    <w:uiPriority w:val="0"/>
  </w:style>
  <w:style w:type="paragraph" w:customStyle="1" w:styleId="19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99">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200">
    <w:name w:val="表内文字"/>
    <w:basedOn w:val="1"/>
    <w:qFormat/>
    <w:uiPriority w:val="0"/>
    <w:pPr>
      <w:spacing w:line="240" w:lineRule="atLeast"/>
      <w:jc w:val="center"/>
    </w:pPr>
    <w:rPr>
      <w:rFonts w:ascii="Arial" w:hAnsi="Arial" w:cs="Arial"/>
      <w:b/>
      <w:bCs/>
    </w:rPr>
  </w:style>
  <w:style w:type="paragraph" w:customStyle="1" w:styleId="201">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2">
    <w:name w:val="Char Char Char Char Char Char Char"/>
    <w:basedOn w:val="1"/>
    <w:qFormat/>
    <w:uiPriority w:val="0"/>
    <w:rPr>
      <w:rFonts w:ascii="仿宋_GB2312" w:eastAsia="仿宋_GB2312"/>
      <w:b/>
      <w:sz w:val="32"/>
      <w:szCs w:val="32"/>
    </w:rPr>
  </w:style>
  <w:style w:type="paragraph" w:customStyle="1" w:styleId="20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4">
    <w:name w:val="列出段落1"/>
    <w:basedOn w:val="1"/>
    <w:qFormat/>
    <w:uiPriority w:val="0"/>
    <w:pPr>
      <w:ind w:firstLine="420" w:firstLineChars="200"/>
    </w:pPr>
    <w:rPr>
      <w:szCs w:val="20"/>
    </w:rPr>
  </w:style>
  <w:style w:type="paragraph" w:customStyle="1" w:styleId="205">
    <w:name w:val="一级条标题"/>
    <w:next w:val="1"/>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7">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08">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0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1">
    <w:name w:val="NICMAN Body Text"/>
    <w:basedOn w:val="1"/>
    <w:next w:val="21"/>
    <w:qFormat/>
    <w:uiPriority w:val="0"/>
    <w:pPr>
      <w:autoSpaceDE w:val="0"/>
      <w:autoSpaceDN w:val="0"/>
      <w:adjustRightInd w:val="0"/>
      <w:spacing w:after="120"/>
      <w:jc w:val="left"/>
    </w:pPr>
    <w:rPr>
      <w:kern w:val="0"/>
      <w:sz w:val="20"/>
      <w:szCs w:val="20"/>
    </w:rPr>
  </w:style>
  <w:style w:type="paragraph" w:customStyle="1" w:styleId="212">
    <w:name w:val="Char Char Char Char Char Char Char Char Char Char Char Char Char"/>
    <w:basedOn w:val="1"/>
    <w:qFormat/>
    <w:uiPriority w:val="0"/>
    <w:rPr>
      <w:rFonts w:ascii="Tahoma" w:hAnsi="Tahoma"/>
      <w:sz w:val="24"/>
      <w:szCs w:val="20"/>
    </w:rPr>
  </w:style>
  <w:style w:type="paragraph" w:customStyle="1" w:styleId="213">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4">
    <w:name w:val="正文缩进1"/>
    <w:basedOn w:val="1"/>
    <w:next w:val="22"/>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5">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6">
    <w:name w:val="Char Char Char Char1"/>
    <w:basedOn w:val="17"/>
    <w:qFormat/>
    <w:uiPriority w:val="0"/>
    <w:rPr>
      <w:rFonts w:ascii="Tahoma" w:hAnsi="Tahoma"/>
      <w:sz w:val="24"/>
    </w:rPr>
  </w:style>
  <w:style w:type="paragraph" w:customStyle="1" w:styleId="217">
    <w:name w:val="正文 首行缩进:  2 字符 Char"/>
    <w:basedOn w:val="1"/>
    <w:qFormat/>
    <w:uiPriority w:val="0"/>
    <w:pPr>
      <w:spacing w:line="360" w:lineRule="auto"/>
      <w:ind w:firstLine="480"/>
    </w:pPr>
    <w:rPr>
      <w:rFonts w:cs="宋体"/>
      <w:sz w:val="24"/>
      <w:szCs w:val="20"/>
    </w:rPr>
  </w:style>
  <w:style w:type="paragraph" w:customStyle="1" w:styleId="218">
    <w:name w:val="样式1"/>
    <w:basedOn w:val="1"/>
    <w:qFormat/>
    <w:uiPriority w:val="0"/>
    <w:pPr>
      <w:autoSpaceDE w:val="0"/>
      <w:autoSpaceDN w:val="0"/>
      <w:adjustRightInd w:val="0"/>
      <w:spacing w:line="400" w:lineRule="exact"/>
    </w:pPr>
    <w:rPr>
      <w:rFonts w:ascii="宋体" w:cs="宋体"/>
      <w:kern w:val="0"/>
    </w:rPr>
  </w:style>
  <w:style w:type="paragraph" w:customStyle="1" w:styleId="2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0">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2">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23">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4">
    <w:name w:val="二级条标题"/>
    <w:basedOn w:val="205"/>
    <w:next w:val="1"/>
    <w:qFormat/>
    <w:uiPriority w:val="0"/>
    <w:pPr>
      <w:tabs>
        <w:tab w:val="left" w:pos="4309"/>
        <w:tab w:val="clear" w:pos="3889"/>
      </w:tabs>
      <w:ind w:left="4309"/>
      <w:outlineLvl w:val="3"/>
    </w:pPr>
  </w:style>
  <w:style w:type="paragraph" w:customStyle="1" w:styleId="225">
    <w:name w:val="正文－恩普"/>
    <w:basedOn w:val="9"/>
    <w:qFormat/>
    <w:uiPriority w:val="0"/>
    <w:pPr>
      <w:adjustRightInd/>
      <w:spacing w:line="360" w:lineRule="auto"/>
      <w:ind w:firstLine="200" w:firstLineChars="200"/>
      <w:textAlignment w:val="auto"/>
    </w:pPr>
    <w:rPr>
      <w:kern w:val="2"/>
      <w:sz w:val="24"/>
      <w:szCs w:val="24"/>
    </w:rPr>
  </w:style>
  <w:style w:type="paragraph" w:customStyle="1" w:styleId="226">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7">
    <w:name w:val="正文（首行缩进）"/>
    <w:basedOn w:val="22"/>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28">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29">
    <w:name w:val="文字"/>
    <w:basedOn w:val="1"/>
    <w:qFormat/>
    <w:uiPriority w:val="0"/>
    <w:pPr>
      <w:tabs>
        <w:tab w:val="left" w:pos="8520"/>
      </w:tabs>
      <w:spacing w:line="312" w:lineRule="auto"/>
      <w:ind w:right="-210" w:firstLine="556"/>
    </w:pPr>
    <w:rPr>
      <w:rFonts w:ascii="宋体"/>
      <w:sz w:val="28"/>
      <w:szCs w:val="20"/>
    </w:rPr>
  </w:style>
  <w:style w:type="paragraph" w:customStyle="1" w:styleId="23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1">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2">
    <w:name w:val="标准段落"/>
    <w:basedOn w:val="1"/>
    <w:qFormat/>
    <w:uiPriority w:val="0"/>
    <w:pPr>
      <w:spacing w:after="120" w:line="360" w:lineRule="auto"/>
      <w:ind w:firstLine="420"/>
    </w:pPr>
    <w:rPr>
      <w:rFonts w:ascii="黑体" w:hAnsi="宋体" w:eastAsia="黑体"/>
      <w:b/>
      <w:spacing w:val="6"/>
      <w:szCs w:val="22"/>
    </w:rPr>
  </w:style>
  <w:style w:type="paragraph" w:customStyle="1" w:styleId="233">
    <w:name w:val="三级条标题"/>
    <w:basedOn w:val="224"/>
    <w:next w:val="1"/>
    <w:qFormat/>
    <w:uiPriority w:val="0"/>
    <w:pPr>
      <w:tabs>
        <w:tab w:val="left" w:pos="4729"/>
        <w:tab w:val="clear" w:pos="4309"/>
      </w:tabs>
      <w:ind w:left="4729"/>
      <w:outlineLvl w:val="4"/>
    </w:pPr>
  </w:style>
  <w:style w:type="paragraph" w:customStyle="1" w:styleId="234">
    <w:name w:val="Test2"/>
    <w:basedOn w:val="5"/>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5">
    <w:name w:val="默认段落字体 Para Char Char Char Char Char Char Char"/>
    <w:basedOn w:val="1"/>
    <w:qFormat/>
    <w:uiPriority w:val="0"/>
  </w:style>
  <w:style w:type="paragraph" w:customStyle="1" w:styleId="236">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8">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3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0">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1">
    <w:name w:val="列表段落"/>
    <w:basedOn w:val="1"/>
    <w:qFormat/>
    <w:uiPriority w:val="0"/>
    <w:pPr>
      <w:ind w:firstLine="420" w:firstLineChars="200"/>
    </w:pPr>
    <w:rPr>
      <w:rFonts w:ascii="Calibri" w:hAnsi="Calibri"/>
      <w:szCs w:val="22"/>
    </w:rPr>
  </w:style>
  <w:style w:type="paragraph" w:customStyle="1" w:styleId="242">
    <w:name w:val="五级条标题"/>
    <w:basedOn w:val="243"/>
    <w:next w:val="1"/>
    <w:qFormat/>
    <w:uiPriority w:val="0"/>
    <w:pPr>
      <w:tabs>
        <w:tab w:val="left" w:pos="5149"/>
        <w:tab w:val="left" w:pos="5569"/>
      </w:tabs>
      <w:ind w:left="5569"/>
      <w:outlineLvl w:val="6"/>
    </w:pPr>
  </w:style>
  <w:style w:type="paragraph" w:customStyle="1" w:styleId="243">
    <w:name w:val="四级条标题"/>
    <w:basedOn w:val="233"/>
    <w:next w:val="1"/>
    <w:qFormat/>
    <w:uiPriority w:val="0"/>
    <w:pPr>
      <w:tabs>
        <w:tab w:val="left" w:pos="5149"/>
        <w:tab w:val="clear" w:pos="4729"/>
      </w:tabs>
      <w:ind w:left="5149"/>
      <w:outlineLvl w:val="5"/>
    </w:pPr>
  </w:style>
  <w:style w:type="paragraph" w:customStyle="1" w:styleId="244">
    <w:name w:val="正文-宋体四号"/>
    <w:basedOn w:val="1"/>
    <w:qFormat/>
    <w:uiPriority w:val="0"/>
    <w:pPr>
      <w:spacing w:line="360" w:lineRule="auto"/>
      <w:ind w:firstLine="560" w:firstLineChars="200"/>
    </w:pPr>
    <w:rPr>
      <w:rFonts w:cs="宋体"/>
      <w:sz w:val="28"/>
      <w:szCs w:val="20"/>
    </w:rPr>
  </w:style>
  <w:style w:type="paragraph" w:customStyle="1" w:styleId="245">
    <w:name w:val="纯文本1"/>
    <w:basedOn w:val="1"/>
    <w:qFormat/>
    <w:uiPriority w:val="0"/>
    <w:pPr>
      <w:adjustRightInd w:val="0"/>
      <w:textAlignment w:val="baseline"/>
    </w:pPr>
    <w:rPr>
      <w:rFonts w:ascii="宋体" w:hAnsi="Courier New" w:eastAsia="楷体_GB2312"/>
      <w:sz w:val="28"/>
      <w:szCs w:val="20"/>
    </w:rPr>
  </w:style>
  <w:style w:type="paragraph" w:customStyle="1" w:styleId="246">
    <w:name w:val="Char2"/>
    <w:basedOn w:val="1"/>
    <w:qFormat/>
    <w:uiPriority w:val="0"/>
  </w:style>
  <w:style w:type="paragraph" w:customStyle="1" w:styleId="247">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48">
    <w:name w:val="样式5"/>
    <w:basedOn w:val="9"/>
    <w:qFormat/>
    <w:uiPriority w:val="0"/>
    <w:pPr>
      <w:adjustRightInd/>
      <w:spacing w:line="360" w:lineRule="auto"/>
      <w:ind w:firstLine="200" w:firstLineChars="200"/>
      <w:textAlignment w:val="auto"/>
    </w:pPr>
    <w:rPr>
      <w:sz w:val="28"/>
      <w:szCs w:val="21"/>
    </w:rPr>
  </w:style>
  <w:style w:type="paragraph" w:customStyle="1" w:styleId="249">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0">
    <w:name w:val="Char Char Char Char Char Char Char Char Char Char Char Char Char1"/>
    <w:basedOn w:val="1"/>
    <w:qFormat/>
    <w:uiPriority w:val="0"/>
  </w:style>
  <w:style w:type="paragraph" w:customStyle="1" w:styleId="251">
    <w:name w:val="样式 标题 1Level 1Level 11h1II+IHeading1H1-Heading 1Header 1..."/>
    <w:basedOn w:val="4"/>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2">
    <w:name w:val="样式 标题 3 + 黑色 段前: 5 磅 段后: 5 磅 行距: 1.5 倍行距"/>
    <w:basedOn w:val="1"/>
    <w:qFormat/>
    <w:uiPriority w:val="0"/>
    <w:pPr>
      <w:ind w:left="855" w:hanging="855"/>
    </w:pPr>
    <w:rPr>
      <w:sz w:val="24"/>
      <w:szCs w:val="20"/>
    </w:rPr>
  </w:style>
  <w:style w:type="paragraph" w:customStyle="1" w:styleId="253">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4">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6">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7">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8">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59">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0">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26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4">
    <w:name w:val="tabletext"/>
    <w:basedOn w:val="1"/>
    <w:qFormat/>
    <w:uiPriority w:val="0"/>
    <w:pPr>
      <w:widowControl/>
      <w:spacing w:line="300" w:lineRule="atLeast"/>
      <w:jc w:val="left"/>
    </w:pPr>
    <w:rPr>
      <w:rFonts w:ascii="宋体" w:hAnsi="宋体" w:cs="宋体"/>
      <w:kern w:val="0"/>
      <w:sz w:val="18"/>
      <w:szCs w:val="18"/>
    </w:rPr>
  </w:style>
  <w:style w:type="paragraph" w:customStyle="1" w:styleId="265">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6">
    <w:name w:val="TOC 标题1"/>
    <w:basedOn w:val="4"/>
    <w:next w:val="1"/>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7">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68">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69">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70">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1">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2">
    <w:name w:val="简单回函地址"/>
    <w:basedOn w:val="1"/>
    <w:qFormat/>
    <w:uiPriority w:val="0"/>
  </w:style>
  <w:style w:type="paragraph" w:customStyle="1" w:styleId="273">
    <w:name w:val="前言、引言标题"/>
    <w:next w:val="1"/>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4">
    <w:name w:val="正文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5">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6">
    <w:name w:val="1 Char"/>
    <w:basedOn w:val="9"/>
    <w:qFormat/>
    <w:uiPriority w:val="0"/>
    <w:pPr>
      <w:adjustRightInd/>
      <w:spacing w:line="360" w:lineRule="auto"/>
      <w:ind w:firstLine="200" w:firstLineChars="200"/>
      <w:textAlignment w:val="auto"/>
    </w:pPr>
    <w:rPr>
      <w:kern w:val="2"/>
    </w:rPr>
  </w:style>
  <w:style w:type="paragraph" w:customStyle="1" w:styleId="277">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8">
    <w:name w:val="TOC 标题2"/>
    <w:basedOn w:val="4"/>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79">
    <w:name w:val="Char Char"/>
    <w:basedOn w:val="1"/>
    <w:qFormat/>
    <w:uiPriority w:val="0"/>
    <w:rPr>
      <w:rFonts w:ascii="仿宋_GB2312" w:eastAsia="仿宋_GB2312"/>
      <w:b/>
      <w:sz w:val="32"/>
      <w:szCs w:val="32"/>
    </w:rPr>
  </w:style>
  <w:style w:type="paragraph" w:customStyle="1" w:styleId="280">
    <w:name w:val="l正文"/>
    <w:basedOn w:val="1"/>
    <w:qFormat/>
    <w:uiPriority w:val="0"/>
    <w:pPr>
      <w:spacing w:line="360" w:lineRule="auto"/>
      <w:ind w:firstLine="200" w:firstLineChars="200"/>
    </w:pPr>
    <w:rPr>
      <w:rFonts w:ascii="宋体" w:hAnsi="宋体"/>
      <w:sz w:val="24"/>
    </w:rPr>
  </w:style>
  <w:style w:type="paragraph" w:customStyle="1" w:styleId="281">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3">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4">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85">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6">
    <w:name w:val="Char Char Char Char Char Char Char1"/>
    <w:basedOn w:val="1"/>
    <w:qFormat/>
    <w:uiPriority w:val="0"/>
    <w:rPr>
      <w:rFonts w:ascii="仿宋_GB2312" w:eastAsia="仿宋_GB2312"/>
      <w:b/>
      <w:sz w:val="32"/>
      <w:szCs w:val="32"/>
    </w:rPr>
  </w:style>
  <w:style w:type="paragraph" w:customStyle="1" w:styleId="28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8">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89">
    <w:name w:val="标题2"/>
    <w:basedOn w:val="5"/>
    <w:qFormat/>
    <w:uiPriority w:val="0"/>
    <w:pPr>
      <w:tabs>
        <w:tab w:val="left" w:pos="709"/>
      </w:tabs>
    </w:pPr>
    <w:rPr>
      <w:rFonts w:ascii="宋体" w:hAnsi="宋体"/>
      <w:sz w:val="36"/>
      <w:szCs w:val="36"/>
    </w:rPr>
  </w:style>
  <w:style w:type="paragraph" w:customStyle="1" w:styleId="290">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2">
    <w:name w:val="Char1"/>
    <w:basedOn w:val="1"/>
    <w:qFormat/>
    <w:uiPriority w:val="0"/>
    <w:rPr>
      <w:rFonts w:ascii="仿宋_GB2312" w:eastAsia="仿宋_GB2312"/>
      <w:b/>
      <w:sz w:val="32"/>
      <w:szCs w:val="32"/>
    </w:rPr>
  </w:style>
  <w:style w:type="paragraph" w:customStyle="1" w:styleId="293">
    <w:name w:val="正文字缩2字"/>
    <w:basedOn w:val="1"/>
    <w:qFormat/>
    <w:uiPriority w:val="0"/>
    <w:pPr>
      <w:spacing w:before="60" w:after="60" w:line="360" w:lineRule="auto"/>
      <w:ind w:left="200" w:leftChars="200" w:firstLine="200" w:firstLineChars="200"/>
    </w:pPr>
    <w:rPr>
      <w:sz w:val="24"/>
    </w:rPr>
  </w:style>
  <w:style w:type="paragraph" w:customStyle="1" w:styleId="294">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5">
    <w:name w:val="保留正文"/>
    <w:basedOn w:val="21"/>
    <w:qFormat/>
    <w:uiPriority w:val="0"/>
    <w:pPr>
      <w:keepNext/>
      <w:spacing w:after="160"/>
    </w:pPr>
    <w:rPr>
      <w:szCs w:val="20"/>
    </w:rPr>
  </w:style>
  <w:style w:type="paragraph" w:customStyle="1" w:styleId="296">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9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9">
    <w:name w:val="Char"/>
    <w:basedOn w:val="1"/>
    <w:qFormat/>
    <w:uiPriority w:val="0"/>
    <w:rPr>
      <w:rFonts w:ascii="仿宋_GB2312" w:eastAsia="仿宋_GB2312"/>
      <w:b/>
      <w:sz w:val="32"/>
      <w:szCs w:val="32"/>
    </w:rPr>
  </w:style>
  <w:style w:type="paragraph" w:customStyle="1" w:styleId="300">
    <w:name w:val="Char2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1">
    <w:name w:val="正文文字表格居中"/>
    <w:basedOn w:val="1"/>
    <w:next w:val="46"/>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2">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3">
    <w:name w:val="Char1 Char Char Char Char Char Char"/>
    <w:basedOn w:val="1"/>
    <w:qFormat/>
    <w:uiPriority w:val="0"/>
    <w:rPr>
      <w:rFonts w:ascii="宋体" w:hAnsi="宋体"/>
      <w:color w:val="000000"/>
      <w:sz w:val="24"/>
    </w:rPr>
  </w:style>
  <w:style w:type="paragraph" w:customStyle="1" w:styleId="304">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5">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7">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08">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09">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0">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2">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3">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4">
    <w:name w:val="章标题"/>
    <w:next w:val="1"/>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5">
    <w:name w:val="样式 标题 3 + 黑体 小四 非加粗"/>
    <w:basedOn w:val="6"/>
    <w:qFormat/>
    <w:uiPriority w:val="0"/>
    <w:pPr>
      <w:spacing w:before="260" w:after="260" w:line="413" w:lineRule="auto"/>
    </w:pPr>
    <w:rPr>
      <w:rFonts w:ascii="黑体" w:hAnsi="黑体"/>
      <w:b w:val="0"/>
      <w:kern w:val="0"/>
      <w:sz w:val="24"/>
      <w:szCs w:val="32"/>
    </w:rPr>
  </w:style>
  <w:style w:type="paragraph" w:customStyle="1" w:styleId="316">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8">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1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0">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1">
    <w:name w:val="文档正文"/>
    <w:basedOn w:val="1"/>
    <w:qFormat/>
    <w:uiPriority w:val="0"/>
    <w:pPr>
      <w:adjustRightInd w:val="0"/>
      <w:spacing w:line="300" w:lineRule="auto"/>
      <w:ind w:firstLine="567"/>
      <w:textAlignment w:val="baseline"/>
    </w:pPr>
    <w:rPr>
      <w:kern w:val="0"/>
      <w:sz w:val="24"/>
      <w:szCs w:val="20"/>
    </w:rPr>
  </w:style>
  <w:style w:type="paragraph" w:customStyle="1" w:styleId="322">
    <w:name w:val="列出段落2"/>
    <w:basedOn w:val="1"/>
    <w:qFormat/>
    <w:uiPriority w:val="0"/>
    <w:pPr>
      <w:ind w:firstLine="420" w:firstLineChars="200"/>
    </w:pPr>
  </w:style>
  <w:style w:type="paragraph" w:customStyle="1" w:styleId="323">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4">
    <w:name w:val="È±Ê¡ÎÄ±¾ Char"/>
    <w:basedOn w:val="1"/>
    <w:qFormat/>
    <w:uiPriority w:val="0"/>
    <w:pPr>
      <w:widowControl/>
      <w:overflowPunct w:val="0"/>
      <w:autoSpaceDE w:val="0"/>
      <w:autoSpaceDN w:val="0"/>
      <w:adjustRightInd w:val="0"/>
      <w:textAlignment w:val="baseline"/>
    </w:pPr>
    <w:rPr>
      <w:szCs w:val="21"/>
      <w:lang w:val="zh-CN"/>
    </w:rPr>
  </w:style>
  <w:style w:type="paragraph" w:customStyle="1" w:styleId="325">
    <w:name w:val="p0"/>
    <w:basedOn w:val="1"/>
    <w:qFormat/>
    <w:uiPriority w:val="0"/>
    <w:pPr>
      <w:widowControl/>
    </w:pPr>
    <w:rPr>
      <w:kern w:val="0"/>
      <w:szCs w:val="21"/>
    </w:rPr>
  </w:style>
  <w:style w:type="paragraph" w:customStyle="1" w:styleId="326">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7">
    <w:name w:val="TableGrid"/>
    <w:qFormat/>
    <w:uiPriority w:val="0"/>
    <w:tblPr>
      <w:tblCellMar>
        <w:top w:w="0" w:type="dxa"/>
        <w:left w:w="0" w:type="dxa"/>
        <w:bottom w:w="0" w:type="dxa"/>
        <w:right w:w="0" w:type="dxa"/>
      </w:tblCellMar>
    </w:tblPr>
  </w:style>
  <w:style w:type="paragraph" w:styleId="328">
    <w:name w:val="List Paragraph"/>
    <w:basedOn w:val="1"/>
    <w:qFormat/>
    <w:uiPriority w:val="99"/>
    <w:pPr>
      <w:ind w:firstLine="420" w:firstLineChars="200"/>
    </w:pPr>
  </w:style>
  <w:style w:type="paragraph" w:customStyle="1" w:styleId="329">
    <w:name w:val="正文段"/>
    <w:basedOn w:val="1"/>
    <w:qFormat/>
    <w:uiPriority w:val="0"/>
    <w:pPr>
      <w:widowControl/>
      <w:snapToGrid w:val="0"/>
      <w:spacing w:afterLines="50"/>
      <w:ind w:firstLine="200" w:firstLineChars="200"/>
    </w:pPr>
    <w:rPr>
      <w:sz w:val="24"/>
      <w:szCs w:val="20"/>
    </w:rPr>
  </w:style>
  <w:style w:type="paragraph" w:customStyle="1" w:styleId="330">
    <w:name w:val="_Style 3"/>
    <w:basedOn w:val="1"/>
    <w:next w:val="1"/>
    <w:qFormat/>
    <w:uiPriority w:val="34"/>
    <w:pPr>
      <w:spacing w:line="360" w:lineRule="auto"/>
      <w:ind w:firstLine="420" w:firstLineChars="200"/>
    </w:pPr>
  </w:style>
  <w:style w:type="paragraph" w:customStyle="1" w:styleId="331">
    <w:name w:val="_Style 2"/>
    <w:basedOn w:val="1"/>
    <w:next w:val="1"/>
    <w:qFormat/>
    <w:uiPriority w:val="0"/>
    <w:pPr>
      <w:pBdr>
        <w:bottom w:val="single" w:color="auto" w:sz="6" w:space="1"/>
      </w:pBdr>
      <w:jc w:val="center"/>
    </w:pPr>
    <w:rPr>
      <w:rFonts w:ascii="Arial"/>
      <w:vanish/>
      <w:sz w:val="16"/>
    </w:rPr>
  </w:style>
  <w:style w:type="character" w:customStyle="1" w:styleId="332">
    <w:name w:val="font31"/>
    <w:basedOn w:val="54"/>
    <w:qFormat/>
    <w:uiPriority w:val="0"/>
    <w:rPr>
      <w:rFonts w:hint="eastAsia" w:ascii="宋体" w:hAnsi="宋体" w:eastAsia="宋体" w:cs="宋体"/>
      <w:color w:val="000000"/>
      <w:sz w:val="24"/>
      <w:szCs w:val="24"/>
      <w:u w:val="single"/>
    </w:rPr>
  </w:style>
  <w:style w:type="paragraph" w:customStyle="1" w:styleId="333">
    <w:name w:val="表格文字"/>
    <w:basedOn w:val="1"/>
    <w:next w:val="21"/>
    <w:qFormat/>
    <w:uiPriority w:val="0"/>
    <w:pPr>
      <w:adjustRightInd w:val="0"/>
      <w:spacing w:line="420" w:lineRule="atLeast"/>
      <w:jc w:val="left"/>
      <w:textAlignment w:val="baseline"/>
    </w:pPr>
    <w:rPr>
      <w:kern w:val="0"/>
    </w:rPr>
  </w:style>
  <w:style w:type="character" w:customStyle="1" w:styleId="334">
    <w:name w:val="font01"/>
    <w:basedOn w:val="54"/>
    <w:qFormat/>
    <w:uiPriority w:val="0"/>
    <w:rPr>
      <w:rFonts w:ascii="Arial" w:hAnsi="Arial" w:cs="Arial"/>
      <w:color w:val="000000"/>
      <w:sz w:val="18"/>
      <w:szCs w:val="18"/>
      <w:u w:val="none"/>
    </w:rPr>
  </w:style>
  <w:style w:type="paragraph" w:customStyle="1" w:styleId="335">
    <w:name w:val="列出段落3"/>
    <w:basedOn w:val="1"/>
    <w:qFormat/>
    <w:uiPriority w:val="34"/>
    <w:pPr>
      <w:adjustRightInd w:val="0"/>
      <w:snapToGrid w:val="0"/>
      <w:spacing w:after="200"/>
      <w:ind w:firstLine="420" w:firstLineChars="200"/>
    </w:pPr>
    <w:rPr>
      <w:rFonts w:ascii="Tahoma" w:hAnsi="Tahoma" w:eastAsia="微软雅黑"/>
      <w:sz w:val="22"/>
    </w:rPr>
  </w:style>
  <w:style w:type="paragraph" w:customStyle="1" w:styleId="336">
    <w:name w:val="标题3 附件1"/>
    <w:basedOn w:val="1"/>
    <w:qFormat/>
    <w:uiPriority w:val="0"/>
    <w:pPr>
      <w:keepNext/>
      <w:keepLines/>
      <w:spacing w:before="340" w:after="330" w:line="360" w:lineRule="exact"/>
      <w:jc w:val="left"/>
      <w:outlineLvl w:val="2"/>
    </w:pPr>
    <w:rPr>
      <w:b/>
      <w:bCs/>
      <w:kern w:val="44"/>
      <w:szCs w:val="21"/>
    </w:rPr>
  </w:style>
  <w:style w:type="character" w:customStyle="1" w:styleId="337">
    <w:name w:val="font61"/>
    <w:basedOn w:val="54"/>
    <w:qFormat/>
    <w:uiPriority w:val="0"/>
    <w:rPr>
      <w:rFonts w:hint="eastAsia" w:ascii="宋体" w:hAnsi="宋体" w:eastAsia="宋体" w:cs="宋体"/>
      <w:color w:val="000000"/>
      <w:sz w:val="20"/>
      <w:szCs w:val="20"/>
      <w:u w:val="none"/>
    </w:rPr>
  </w:style>
  <w:style w:type="character" w:customStyle="1" w:styleId="338">
    <w:name w:val="font81"/>
    <w:basedOn w:val="54"/>
    <w:qFormat/>
    <w:uiPriority w:val="0"/>
    <w:rPr>
      <w:rFonts w:ascii="Calibri" w:hAnsi="Calibri" w:cs="Calibri"/>
      <w:color w:val="000000"/>
      <w:sz w:val="20"/>
      <w:szCs w:val="20"/>
      <w:u w:val="none"/>
    </w:rPr>
  </w:style>
  <w:style w:type="character" w:customStyle="1" w:styleId="339">
    <w:name w:val="font71"/>
    <w:basedOn w:val="5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78</Pages>
  <Words>40297</Words>
  <Characters>42400</Characters>
  <Lines>322</Lines>
  <Paragraphs>90</Paragraphs>
  <TotalTime>77</TotalTime>
  <ScaleCrop>false</ScaleCrop>
  <LinksUpToDate>false</LinksUpToDate>
  <CharactersWithSpaces>47564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2020-10-13T14:50:00Z</dcterms:created>
  <dc:creator>zyq</dc:creator>
  <cp:lastModifiedBy>巴西</cp:lastModifiedBy>
  <cp:lastPrinted>2021-03-22T15:00:00Z</cp:lastPrinted>
  <dcterms:modified xsi:type="dcterms:W3CDTF">2022-07-29T08:19:24Z</dcterms:modified>
  <dc:title>招标文件目录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BC1BA64C697642BF92F420CC9F67FF35</vt:lpwstr>
  </property>
</Properties>
</file>