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宋体" w:hAnsi="宋体" w:eastAsia="宋体" w:cs="宋体"/>
          <w:b/>
          <w:bCs/>
          <w:color w:val="auto"/>
          <w:sz w:val="52"/>
          <w:szCs w:val="52"/>
          <w:highlight w:val="none"/>
        </w:rPr>
      </w:pPr>
      <w:r>
        <w:rPr>
          <w:rFonts w:hint="eastAsia" w:ascii="宋体" w:hAnsi="宋体" w:eastAsia="宋体" w:cs="宋体"/>
          <w:color w:val="auto"/>
          <w:spacing w:val="20"/>
          <w:sz w:val="84"/>
          <w:highlight w:val="none"/>
        </w:rPr>
        <w:t>温州市政府（分散）采购</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28"/>
                <w:highlight w:val="none"/>
                <w:lang w:eastAsia="zh-CN"/>
              </w:rPr>
              <w:t>WZLCZB（W）-2022-03057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2022温州国际时尚文化产业博览会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keepNext/>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b/>
          <w:color w:val="auto"/>
          <w:spacing w:val="40"/>
          <w:sz w:val="30"/>
          <w:szCs w:val="30"/>
          <w:highlight w:val="none"/>
        </w:rPr>
      </w:pPr>
    </w:p>
    <w:p>
      <w:pPr>
        <w:rPr>
          <w:rFonts w:hint="eastAsia"/>
          <w:color w:val="auto"/>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中共温州市委宣传部</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二</w:t>
      </w:r>
      <w:r>
        <w:rPr>
          <w:rFonts w:hint="eastAsia" w:ascii="宋体" w:hAnsi="宋体" w:eastAsia="宋体" w:cs="宋体"/>
          <w:color w:val="auto"/>
          <w:spacing w:val="30"/>
          <w:sz w:val="30"/>
          <w:highlight w:val="none"/>
        </w:rPr>
        <w:t>年</w:t>
      </w:r>
      <w:r>
        <w:rPr>
          <w:rFonts w:hint="eastAsia" w:ascii="宋体" w:hAnsi="宋体" w:cs="宋体"/>
          <w:color w:val="auto"/>
          <w:spacing w:val="30"/>
          <w:sz w:val="30"/>
          <w:highlight w:val="none"/>
          <w:lang w:val="en-US" w:eastAsia="zh-CN"/>
        </w:rPr>
        <w:t>三</w:t>
      </w:r>
      <w:r>
        <w:rPr>
          <w:rFonts w:hint="eastAsia" w:ascii="宋体" w:hAnsi="宋体" w:eastAsia="宋体" w:cs="宋体"/>
          <w:color w:val="auto"/>
          <w:spacing w:val="30"/>
          <w:sz w:val="30"/>
          <w:highlight w:val="none"/>
        </w:rPr>
        <w:t>月</w:t>
      </w:r>
    </w:p>
    <w:p>
      <w:pPr>
        <w:rPr>
          <w:rFonts w:hint="eastAsia"/>
          <w:color w:val="auto"/>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rPr>
          </w:pPr>
        </w:p>
        <w:p>
          <w:pPr>
            <w:pStyle w:val="37"/>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7"/>
            <w:tabs>
              <w:tab w:val="right" w:leader="dot" w:pos="9638"/>
            </w:tabs>
            <w:spacing w:line="360" w:lineRule="auto"/>
            <w:rPr>
              <w:color w:val="auto"/>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rPr>
            <w:t>招</w:t>
          </w:r>
          <w:r>
            <w:rPr>
              <w:rFonts w:hint="eastAsia" w:ascii="宋体" w:hAnsi="宋体" w:eastAsia="宋体" w:cs="宋体"/>
              <w:color w:val="auto"/>
              <w:sz w:val="22"/>
              <w:szCs w:val="28"/>
              <w:lang w:val="en-US" w:eastAsia="zh-CN"/>
            </w:rPr>
            <w:t xml:space="preserve"> </w:t>
          </w:r>
          <w:r>
            <w:rPr>
              <w:rFonts w:hint="eastAsia" w:ascii="宋体" w:hAnsi="宋体" w:eastAsia="宋体" w:cs="宋体"/>
              <w:color w:val="auto"/>
              <w:sz w:val="22"/>
              <w:szCs w:val="28"/>
            </w:rPr>
            <w:t>标</w:t>
          </w:r>
          <w:r>
            <w:rPr>
              <w:rFonts w:hint="eastAsia" w:ascii="宋体" w:hAnsi="宋体" w:eastAsia="宋体" w:cs="宋体"/>
              <w:color w:val="auto"/>
              <w:sz w:val="22"/>
              <w:szCs w:val="28"/>
              <w:lang w:val="en-US" w:eastAsia="zh-CN"/>
            </w:rPr>
            <w:t xml:space="preserve"> </w:t>
          </w:r>
          <w:r>
            <w:rPr>
              <w:rFonts w:hint="eastAsia" w:ascii="宋体" w:hAnsi="宋体" w:eastAsia="宋体" w:cs="宋体"/>
              <w:color w:val="auto"/>
              <w:sz w:val="22"/>
              <w:szCs w:val="28"/>
            </w:rPr>
            <w:t>公</w:t>
          </w:r>
          <w:r>
            <w:rPr>
              <w:rFonts w:hint="eastAsia" w:ascii="宋体" w:hAnsi="宋体" w:eastAsia="宋体" w:cs="宋体"/>
              <w:color w:val="auto"/>
              <w:sz w:val="22"/>
              <w:szCs w:val="28"/>
              <w:lang w:val="en-US" w:eastAsia="zh-CN"/>
            </w:rPr>
            <w:t xml:space="preserve"> </w:t>
          </w:r>
          <w:r>
            <w:rPr>
              <w:rFonts w:hint="eastAsia" w:ascii="宋体" w:hAnsi="宋体" w:eastAsia="宋体" w:cs="宋体"/>
              <w:color w:val="auto"/>
              <w:sz w:val="22"/>
              <w:szCs w:val="28"/>
            </w:rPr>
            <w:t>告</w:t>
          </w:r>
          <w:r>
            <w:rPr>
              <w:color w:val="auto"/>
              <w:sz w:val="22"/>
              <w:szCs w:val="28"/>
            </w:rPr>
            <w:tab/>
          </w:r>
          <w:r>
            <w:rPr>
              <w:color w:val="auto"/>
              <w:sz w:val="22"/>
              <w:szCs w:val="28"/>
            </w:rPr>
            <w:fldChar w:fldCharType="begin"/>
          </w:r>
          <w:r>
            <w:rPr>
              <w:color w:val="auto"/>
              <w:sz w:val="22"/>
              <w:szCs w:val="28"/>
            </w:rPr>
            <w:instrText xml:space="preserve"> PAGEREF _Toc6599 \h </w:instrText>
          </w:r>
          <w:r>
            <w:rPr>
              <w:color w:val="auto"/>
              <w:sz w:val="22"/>
              <w:szCs w:val="28"/>
            </w:rPr>
            <w:fldChar w:fldCharType="separate"/>
          </w:r>
          <w:r>
            <w:rPr>
              <w:color w:val="auto"/>
              <w:sz w:val="22"/>
              <w:szCs w:val="28"/>
            </w:rPr>
            <w:t>3</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37"/>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rPr>
            <w:t>第一部分    投标人须知</w:t>
          </w:r>
          <w:r>
            <w:rPr>
              <w:color w:val="auto"/>
              <w:sz w:val="22"/>
              <w:szCs w:val="28"/>
            </w:rPr>
            <w:tab/>
          </w:r>
          <w:r>
            <w:rPr>
              <w:color w:val="auto"/>
              <w:sz w:val="22"/>
              <w:szCs w:val="28"/>
            </w:rPr>
            <w:fldChar w:fldCharType="begin"/>
          </w:r>
          <w:r>
            <w:rPr>
              <w:color w:val="auto"/>
              <w:sz w:val="22"/>
              <w:szCs w:val="28"/>
            </w:rPr>
            <w:instrText xml:space="preserve"> PAGEREF _Toc10401 \h </w:instrText>
          </w:r>
          <w:r>
            <w:rPr>
              <w:color w:val="auto"/>
              <w:sz w:val="22"/>
              <w:szCs w:val="28"/>
            </w:rPr>
            <w:fldChar w:fldCharType="separate"/>
          </w:r>
          <w:r>
            <w:rPr>
              <w:color w:val="auto"/>
              <w:sz w:val="22"/>
              <w:szCs w:val="28"/>
            </w:rPr>
            <w:t>6</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rPr>
            <w:tab/>
          </w:r>
          <w:r>
            <w:rPr>
              <w:color w:val="auto"/>
              <w:sz w:val="22"/>
              <w:szCs w:val="28"/>
            </w:rPr>
            <w:fldChar w:fldCharType="begin"/>
          </w:r>
          <w:r>
            <w:rPr>
              <w:color w:val="auto"/>
              <w:sz w:val="22"/>
              <w:szCs w:val="28"/>
            </w:rPr>
            <w:instrText xml:space="preserve"> PAGEREF _Toc6224 \h </w:instrText>
          </w:r>
          <w:r>
            <w:rPr>
              <w:color w:val="auto"/>
              <w:sz w:val="22"/>
              <w:szCs w:val="28"/>
            </w:rPr>
            <w:fldChar w:fldCharType="separate"/>
          </w:r>
          <w:r>
            <w:rPr>
              <w:color w:val="auto"/>
              <w:sz w:val="22"/>
              <w:szCs w:val="28"/>
            </w:rPr>
            <w:t>6</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rPr>
            <w:tab/>
          </w:r>
          <w:r>
            <w:rPr>
              <w:color w:val="auto"/>
              <w:sz w:val="22"/>
              <w:szCs w:val="28"/>
            </w:rPr>
            <w:fldChar w:fldCharType="begin"/>
          </w:r>
          <w:r>
            <w:rPr>
              <w:color w:val="auto"/>
              <w:sz w:val="22"/>
              <w:szCs w:val="28"/>
            </w:rPr>
            <w:instrText xml:space="preserve"> PAGEREF _Toc19070 \h </w:instrText>
          </w:r>
          <w:r>
            <w:rPr>
              <w:color w:val="auto"/>
              <w:sz w:val="22"/>
              <w:szCs w:val="28"/>
            </w:rPr>
            <w:fldChar w:fldCharType="separate"/>
          </w:r>
          <w:r>
            <w:rPr>
              <w:color w:val="auto"/>
              <w:sz w:val="22"/>
              <w:szCs w:val="28"/>
            </w:rPr>
            <w:t>10</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rPr>
            <w:tab/>
          </w:r>
          <w:r>
            <w:rPr>
              <w:color w:val="auto"/>
              <w:sz w:val="22"/>
              <w:szCs w:val="28"/>
            </w:rPr>
            <w:fldChar w:fldCharType="begin"/>
          </w:r>
          <w:r>
            <w:rPr>
              <w:color w:val="auto"/>
              <w:sz w:val="22"/>
              <w:szCs w:val="28"/>
            </w:rPr>
            <w:instrText xml:space="preserve"> PAGEREF _Toc28278 \h </w:instrText>
          </w:r>
          <w:r>
            <w:rPr>
              <w:color w:val="auto"/>
              <w:sz w:val="22"/>
              <w:szCs w:val="28"/>
            </w:rPr>
            <w:fldChar w:fldCharType="separate"/>
          </w:r>
          <w:r>
            <w:rPr>
              <w:color w:val="auto"/>
              <w:sz w:val="22"/>
              <w:szCs w:val="28"/>
            </w:rPr>
            <w:t>10</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rPr>
            <w:tab/>
          </w:r>
          <w:r>
            <w:rPr>
              <w:color w:val="auto"/>
              <w:sz w:val="22"/>
              <w:szCs w:val="28"/>
            </w:rPr>
            <w:fldChar w:fldCharType="begin"/>
          </w:r>
          <w:r>
            <w:rPr>
              <w:color w:val="auto"/>
              <w:sz w:val="22"/>
              <w:szCs w:val="28"/>
            </w:rPr>
            <w:instrText xml:space="preserve"> PAGEREF _Toc22646 \h </w:instrText>
          </w:r>
          <w:r>
            <w:rPr>
              <w:color w:val="auto"/>
              <w:sz w:val="22"/>
              <w:szCs w:val="28"/>
            </w:rPr>
            <w:fldChar w:fldCharType="separate"/>
          </w:r>
          <w:r>
            <w:rPr>
              <w:color w:val="auto"/>
              <w:sz w:val="22"/>
              <w:szCs w:val="28"/>
            </w:rPr>
            <w:t>11</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rPr>
            <w:tab/>
          </w:r>
          <w:r>
            <w:rPr>
              <w:color w:val="auto"/>
              <w:sz w:val="22"/>
              <w:szCs w:val="28"/>
            </w:rPr>
            <w:fldChar w:fldCharType="begin"/>
          </w:r>
          <w:r>
            <w:rPr>
              <w:color w:val="auto"/>
              <w:sz w:val="22"/>
              <w:szCs w:val="28"/>
            </w:rPr>
            <w:instrText xml:space="preserve"> PAGEREF _Toc18542 \h </w:instrText>
          </w:r>
          <w:r>
            <w:rPr>
              <w:color w:val="auto"/>
              <w:sz w:val="22"/>
              <w:szCs w:val="28"/>
            </w:rPr>
            <w:fldChar w:fldCharType="separate"/>
          </w:r>
          <w:r>
            <w:rPr>
              <w:color w:val="auto"/>
              <w:sz w:val="22"/>
              <w:szCs w:val="28"/>
            </w:rPr>
            <w:t>14</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rPr>
            <w:tab/>
          </w:r>
          <w:r>
            <w:rPr>
              <w:color w:val="auto"/>
              <w:sz w:val="22"/>
              <w:szCs w:val="28"/>
            </w:rPr>
            <w:fldChar w:fldCharType="begin"/>
          </w:r>
          <w:r>
            <w:rPr>
              <w:color w:val="auto"/>
              <w:sz w:val="22"/>
              <w:szCs w:val="28"/>
            </w:rPr>
            <w:instrText xml:space="preserve"> PAGEREF _Toc8079 \h </w:instrText>
          </w:r>
          <w:r>
            <w:rPr>
              <w:color w:val="auto"/>
              <w:sz w:val="22"/>
              <w:szCs w:val="28"/>
            </w:rPr>
            <w:fldChar w:fldCharType="separate"/>
          </w:r>
          <w:r>
            <w:rPr>
              <w:color w:val="auto"/>
              <w:sz w:val="22"/>
              <w:szCs w:val="28"/>
            </w:rPr>
            <w:t>15</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rPr>
            <w:tab/>
          </w:r>
          <w:r>
            <w:rPr>
              <w:color w:val="auto"/>
              <w:sz w:val="22"/>
              <w:szCs w:val="28"/>
            </w:rPr>
            <w:fldChar w:fldCharType="begin"/>
          </w:r>
          <w:r>
            <w:rPr>
              <w:color w:val="auto"/>
              <w:sz w:val="22"/>
              <w:szCs w:val="28"/>
            </w:rPr>
            <w:instrText xml:space="preserve"> PAGEREF _Toc21056 \h </w:instrText>
          </w:r>
          <w:r>
            <w:rPr>
              <w:color w:val="auto"/>
              <w:sz w:val="22"/>
              <w:szCs w:val="28"/>
            </w:rPr>
            <w:fldChar w:fldCharType="separate"/>
          </w:r>
          <w:r>
            <w:rPr>
              <w:color w:val="auto"/>
              <w:sz w:val="22"/>
              <w:szCs w:val="28"/>
            </w:rPr>
            <w:t>19</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37"/>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rPr>
            <w:t>第二部分    合同主要条款</w:t>
          </w:r>
          <w:r>
            <w:rPr>
              <w:color w:val="auto"/>
              <w:sz w:val="22"/>
              <w:szCs w:val="28"/>
            </w:rPr>
            <w:tab/>
          </w:r>
          <w:r>
            <w:rPr>
              <w:color w:val="auto"/>
              <w:sz w:val="22"/>
              <w:szCs w:val="28"/>
            </w:rPr>
            <w:fldChar w:fldCharType="begin"/>
          </w:r>
          <w:r>
            <w:rPr>
              <w:color w:val="auto"/>
              <w:sz w:val="22"/>
              <w:szCs w:val="28"/>
            </w:rPr>
            <w:instrText xml:space="preserve"> PAGEREF _Toc19043 \h </w:instrText>
          </w:r>
          <w:r>
            <w:rPr>
              <w:color w:val="auto"/>
              <w:sz w:val="22"/>
              <w:szCs w:val="28"/>
            </w:rPr>
            <w:fldChar w:fldCharType="separate"/>
          </w:r>
          <w:r>
            <w:rPr>
              <w:color w:val="auto"/>
              <w:sz w:val="22"/>
              <w:szCs w:val="28"/>
            </w:rPr>
            <w:t>21</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37"/>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rPr>
            <w:t>第三部分    附件</w:t>
          </w:r>
          <w:r>
            <w:rPr>
              <w:color w:val="auto"/>
              <w:sz w:val="22"/>
              <w:szCs w:val="28"/>
            </w:rPr>
            <w:tab/>
          </w:r>
          <w:r>
            <w:rPr>
              <w:color w:val="auto"/>
              <w:sz w:val="22"/>
              <w:szCs w:val="28"/>
            </w:rPr>
            <w:fldChar w:fldCharType="begin"/>
          </w:r>
          <w:r>
            <w:rPr>
              <w:color w:val="auto"/>
              <w:sz w:val="22"/>
              <w:szCs w:val="28"/>
            </w:rPr>
            <w:instrText xml:space="preserve"> PAGEREF _Toc18439 \h </w:instrText>
          </w:r>
          <w:r>
            <w:rPr>
              <w:color w:val="auto"/>
              <w:sz w:val="22"/>
              <w:szCs w:val="28"/>
            </w:rPr>
            <w:fldChar w:fldCharType="separate"/>
          </w:r>
          <w:r>
            <w:rPr>
              <w:color w:val="auto"/>
              <w:sz w:val="22"/>
              <w:szCs w:val="28"/>
            </w:rPr>
            <w:t>30</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rPr>
            <w:tab/>
          </w:r>
          <w:r>
            <w:rPr>
              <w:color w:val="auto"/>
              <w:sz w:val="22"/>
              <w:szCs w:val="28"/>
            </w:rPr>
            <w:fldChar w:fldCharType="begin"/>
          </w:r>
          <w:r>
            <w:rPr>
              <w:color w:val="auto"/>
              <w:sz w:val="22"/>
              <w:szCs w:val="28"/>
            </w:rPr>
            <w:instrText xml:space="preserve"> PAGEREF _Toc6368 \h </w:instrText>
          </w:r>
          <w:r>
            <w:rPr>
              <w:color w:val="auto"/>
              <w:sz w:val="22"/>
              <w:szCs w:val="28"/>
            </w:rPr>
            <w:fldChar w:fldCharType="separate"/>
          </w:r>
          <w:r>
            <w:rPr>
              <w:color w:val="auto"/>
              <w:sz w:val="22"/>
              <w:szCs w:val="28"/>
            </w:rPr>
            <w:t>30</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27"/>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rPr>
            <w:tab/>
          </w:r>
          <w:r>
            <w:rPr>
              <w:color w:val="auto"/>
              <w:sz w:val="22"/>
              <w:szCs w:val="28"/>
            </w:rPr>
            <w:fldChar w:fldCharType="begin"/>
          </w:r>
          <w:r>
            <w:rPr>
              <w:color w:val="auto"/>
              <w:sz w:val="22"/>
              <w:szCs w:val="28"/>
            </w:rPr>
            <w:instrText xml:space="preserve"> PAGEREF _Toc5430 \h </w:instrText>
          </w:r>
          <w:r>
            <w:rPr>
              <w:color w:val="auto"/>
              <w:sz w:val="22"/>
              <w:szCs w:val="28"/>
            </w:rPr>
            <w:fldChar w:fldCharType="separate"/>
          </w:r>
          <w:r>
            <w:rPr>
              <w:color w:val="auto"/>
              <w:sz w:val="22"/>
              <w:szCs w:val="28"/>
            </w:rPr>
            <w:t>30</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rPr>
            <w:tab/>
          </w:r>
          <w:r>
            <w:rPr>
              <w:color w:val="auto"/>
              <w:sz w:val="22"/>
              <w:szCs w:val="28"/>
            </w:rPr>
            <w:fldChar w:fldCharType="begin"/>
          </w:r>
          <w:r>
            <w:rPr>
              <w:color w:val="auto"/>
              <w:sz w:val="22"/>
              <w:szCs w:val="28"/>
            </w:rPr>
            <w:instrText xml:space="preserve"> PAGEREF _Toc12035 \h </w:instrText>
          </w:r>
          <w:r>
            <w:rPr>
              <w:color w:val="auto"/>
              <w:sz w:val="22"/>
              <w:szCs w:val="28"/>
            </w:rPr>
            <w:fldChar w:fldCharType="separate"/>
          </w:r>
          <w:r>
            <w:rPr>
              <w:color w:val="auto"/>
              <w:sz w:val="22"/>
              <w:szCs w:val="28"/>
            </w:rPr>
            <w:t>40</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27"/>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rPr>
            <w:tab/>
          </w:r>
          <w:r>
            <w:rPr>
              <w:color w:val="auto"/>
              <w:sz w:val="22"/>
              <w:szCs w:val="28"/>
            </w:rPr>
            <w:fldChar w:fldCharType="begin"/>
          </w:r>
          <w:r>
            <w:rPr>
              <w:color w:val="auto"/>
              <w:sz w:val="22"/>
              <w:szCs w:val="28"/>
            </w:rPr>
            <w:instrText xml:space="preserve"> PAGEREF _Toc25309 \h </w:instrText>
          </w:r>
          <w:r>
            <w:rPr>
              <w:color w:val="auto"/>
              <w:sz w:val="22"/>
              <w:szCs w:val="28"/>
            </w:rPr>
            <w:fldChar w:fldCharType="separate"/>
          </w:r>
          <w:r>
            <w:rPr>
              <w:color w:val="auto"/>
              <w:sz w:val="22"/>
              <w:szCs w:val="28"/>
            </w:rPr>
            <w:t>40</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rPr>
            <w:tab/>
          </w:r>
          <w:r>
            <w:rPr>
              <w:color w:val="auto"/>
              <w:sz w:val="22"/>
              <w:szCs w:val="28"/>
            </w:rPr>
            <w:fldChar w:fldCharType="begin"/>
          </w:r>
          <w:r>
            <w:rPr>
              <w:color w:val="auto"/>
              <w:sz w:val="22"/>
              <w:szCs w:val="28"/>
            </w:rPr>
            <w:instrText xml:space="preserve"> PAGEREF _Toc31356 \h </w:instrText>
          </w:r>
          <w:r>
            <w:rPr>
              <w:color w:val="auto"/>
              <w:sz w:val="22"/>
              <w:szCs w:val="28"/>
            </w:rPr>
            <w:fldChar w:fldCharType="separate"/>
          </w:r>
          <w:r>
            <w:rPr>
              <w:color w:val="auto"/>
              <w:sz w:val="22"/>
              <w:szCs w:val="28"/>
            </w:rPr>
            <w:t>44</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27"/>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rPr>
            <w:tab/>
          </w:r>
          <w:r>
            <w:rPr>
              <w:color w:val="auto"/>
              <w:sz w:val="22"/>
              <w:szCs w:val="28"/>
            </w:rPr>
            <w:fldChar w:fldCharType="begin"/>
          </w:r>
          <w:r>
            <w:rPr>
              <w:color w:val="auto"/>
              <w:sz w:val="22"/>
              <w:szCs w:val="28"/>
            </w:rPr>
            <w:instrText xml:space="preserve"> PAGEREF _Toc13639 \h </w:instrText>
          </w:r>
          <w:r>
            <w:rPr>
              <w:color w:val="auto"/>
              <w:sz w:val="22"/>
              <w:szCs w:val="28"/>
            </w:rPr>
            <w:fldChar w:fldCharType="separate"/>
          </w:r>
          <w:r>
            <w:rPr>
              <w:color w:val="auto"/>
              <w:sz w:val="22"/>
              <w:szCs w:val="28"/>
            </w:rPr>
            <w:t>44</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37"/>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rPr>
            <w:t>第四部分 项目技术规范和服务要求</w:t>
          </w:r>
          <w:r>
            <w:rPr>
              <w:color w:val="auto"/>
              <w:sz w:val="22"/>
              <w:szCs w:val="28"/>
            </w:rPr>
            <w:tab/>
          </w:r>
          <w:r>
            <w:rPr>
              <w:color w:val="auto"/>
              <w:sz w:val="22"/>
              <w:szCs w:val="28"/>
            </w:rPr>
            <w:fldChar w:fldCharType="begin"/>
          </w:r>
          <w:r>
            <w:rPr>
              <w:color w:val="auto"/>
              <w:sz w:val="22"/>
              <w:szCs w:val="28"/>
            </w:rPr>
            <w:instrText xml:space="preserve"> PAGEREF _Toc3381 \h </w:instrText>
          </w:r>
          <w:r>
            <w:rPr>
              <w:color w:val="auto"/>
              <w:sz w:val="22"/>
              <w:szCs w:val="28"/>
            </w:rPr>
            <w:fldChar w:fldCharType="separate"/>
          </w:r>
          <w:r>
            <w:rPr>
              <w:color w:val="auto"/>
              <w:sz w:val="22"/>
              <w:szCs w:val="28"/>
            </w:rPr>
            <w:t>58</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37"/>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rPr>
            <w:t>第五部分   评标原则及方法</w:t>
          </w:r>
          <w:r>
            <w:rPr>
              <w:color w:val="auto"/>
              <w:sz w:val="22"/>
              <w:szCs w:val="28"/>
            </w:rPr>
            <w:tab/>
          </w:r>
          <w:r>
            <w:rPr>
              <w:color w:val="auto"/>
              <w:sz w:val="22"/>
              <w:szCs w:val="28"/>
            </w:rPr>
            <w:fldChar w:fldCharType="begin"/>
          </w:r>
          <w:r>
            <w:rPr>
              <w:color w:val="auto"/>
              <w:sz w:val="22"/>
              <w:szCs w:val="28"/>
            </w:rPr>
            <w:instrText xml:space="preserve"> PAGEREF _Toc18194 \h </w:instrText>
          </w:r>
          <w:r>
            <w:rPr>
              <w:color w:val="auto"/>
              <w:sz w:val="22"/>
              <w:szCs w:val="28"/>
            </w:rPr>
            <w:fldChar w:fldCharType="separate"/>
          </w:r>
          <w:r>
            <w:rPr>
              <w:color w:val="auto"/>
              <w:sz w:val="22"/>
              <w:szCs w:val="28"/>
            </w:rPr>
            <w:t>64</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rPr>
            <w:tab/>
          </w:r>
          <w:r>
            <w:rPr>
              <w:color w:val="auto"/>
              <w:sz w:val="22"/>
              <w:szCs w:val="28"/>
            </w:rPr>
            <w:fldChar w:fldCharType="begin"/>
          </w:r>
          <w:r>
            <w:rPr>
              <w:color w:val="auto"/>
              <w:sz w:val="22"/>
              <w:szCs w:val="28"/>
            </w:rPr>
            <w:instrText xml:space="preserve"> PAGEREF _Toc15713 \h </w:instrText>
          </w:r>
          <w:r>
            <w:rPr>
              <w:color w:val="auto"/>
              <w:sz w:val="22"/>
              <w:szCs w:val="28"/>
            </w:rPr>
            <w:fldChar w:fldCharType="separate"/>
          </w:r>
          <w:r>
            <w:rPr>
              <w:color w:val="auto"/>
              <w:sz w:val="22"/>
              <w:szCs w:val="28"/>
            </w:rPr>
            <w:t>64</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rPr>
            <w:tab/>
          </w:r>
          <w:r>
            <w:rPr>
              <w:color w:val="auto"/>
              <w:sz w:val="22"/>
              <w:szCs w:val="28"/>
            </w:rPr>
            <w:fldChar w:fldCharType="begin"/>
          </w:r>
          <w:r>
            <w:rPr>
              <w:color w:val="auto"/>
              <w:sz w:val="22"/>
              <w:szCs w:val="28"/>
            </w:rPr>
            <w:instrText xml:space="preserve"> PAGEREF _Toc23152 \h </w:instrText>
          </w:r>
          <w:r>
            <w:rPr>
              <w:color w:val="auto"/>
              <w:sz w:val="22"/>
              <w:szCs w:val="28"/>
            </w:rPr>
            <w:fldChar w:fldCharType="separate"/>
          </w:r>
          <w:r>
            <w:rPr>
              <w:color w:val="auto"/>
              <w:sz w:val="22"/>
              <w:szCs w:val="28"/>
            </w:rPr>
            <w:t>64</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rPr>
            <w:tab/>
          </w:r>
          <w:r>
            <w:rPr>
              <w:color w:val="auto"/>
              <w:sz w:val="22"/>
              <w:szCs w:val="28"/>
            </w:rPr>
            <w:fldChar w:fldCharType="begin"/>
          </w:r>
          <w:r>
            <w:rPr>
              <w:color w:val="auto"/>
              <w:sz w:val="22"/>
              <w:szCs w:val="28"/>
            </w:rPr>
            <w:instrText xml:space="preserve"> PAGEREF _Toc67 \h </w:instrText>
          </w:r>
          <w:r>
            <w:rPr>
              <w:color w:val="auto"/>
              <w:sz w:val="22"/>
              <w:szCs w:val="28"/>
            </w:rPr>
            <w:fldChar w:fldCharType="separate"/>
          </w:r>
          <w:r>
            <w:rPr>
              <w:color w:val="auto"/>
              <w:sz w:val="22"/>
              <w:szCs w:val="28"/>
            </w:rPr>
            <w:t>64</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rPr>
            <w:tab/>
          </w:r>
          <w:r>
            <w:rPr>
              <w:color w:val="auto"/>
              <w:sz w:val="22"/>
              <w:szCs w:val="28"/>
            </w:rPr>
            <w:fldChar w:fldCharType="begin"/>
          </w:r>
          <w:r>
            <w:rPr>
              <w:color w:val="auto"/>
              <w:sz w:val="22"/>
              <w:szCs w:val="28"/>
            </w:rPr>
            <w:instrText xml:space="preserve"> PAGEREF _Toc24825 \h </w:instrText>
          </w:r>
          <w:r>
            <w:rPr>
              <w:color w:val="auto"/>
              <w:sz w:val="22"/>
              <w:szCs w:val="28"/>
            </w:rPr>
            <w:fldChar w:fldCharType="separate"/>
          </w:r>
          <w:r>
            <w:rPr>
              <w:color w:val="auto"/>
              <w:sz w:val="22"/>
              <w:szCs w:val="28"/>
            </w:rPr>
            <w:t>64</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rPr>
            <w:t xml:space="preserve">五、 </w:t>
          </w:r>
          <w:r>
            <w:rPr>
              <w:rFonts w:hint="eastAsia" w:ascii="宋体" w:hAnsi="宋体" w:eastAsia="宋体" w:cs="宋体"/>
              <w:color w:val="auto"/>
              <w:sz w:val="22"/>
              <w:szCs w:val="24"/>
              <w:highlight w:val="none"/>
            </w:rPr>
            <w:t>评分细则</w:t>
          </w:r>
          <w:r>
            <w:rPr>
              <w:color w:val="auto"/>
              <w:sz w:val="22"/>
              <w:szCs w:val="28"/>
            </w:rPr>
            <w:tab/>
          </w:r>
          <w:r>
            <w:rPr>
              <w:color w:val="auto"/>
              <w:sz w:val="22"/>
              <w:szCs w:val="28"/>
            </w:rPr>
            <w:fldChar w:fldCharType="begin"/>
          </w:r>
          <w:r>
            <w:rPr>
              <w:color w:val="auto"/>
              <w:sz w:val="22"/>
              <w:szCs w:val="28"/>
            </w:rPr>
            <w:instrText xml:space="preserve"> PAGEREF _Toc11450 \h </w:instrText>
          </w:r>
          <w:r>
            <w:rPr>
              <w:color w:val="auto"/>
              <w:sz w:val="22"/>
              <w:szCs w:val="28"/>
            </w:rPr>
            <w:fldChar w:fldCharType="separate"/>
          </w:r>
          <w:r>
            <w:rPr>
              <w:color w:val="auto"/>
              <w:sz w:val="22"/>
              <w:szCs w:val="28"/>
            </w:rPr>
            <w:t>64</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rPr>
            <w:tab/>
          </w:r>
          <w:r>
            <w:rPr>
              <w:color w:val="auto"/>
              <w:sz w:val="22"/>
              <w:szCs w:val="28"/>
            </w:rPr>
            <w:fldChar w:fldCharType="begin"/>
          </w:r>
          <w:r>
            <w:rPr>
              <w:color w:val="auto"/>
              <w:sz w:val="22"/>
              <w:szCs w:val="28"/>
            </w:rPr>
            <w:instrText xml:space="preserve"> PAGEREF _Toc4727 \h </w:instrText>
          </w:r>
          <w:r>
            <w:rPr>
              <w:color w:val="auto"/>
              <w:sz w:val="22"/>
              <w:szCs w:val="28"/>
            </w:rPr>
            <w:fldChar w:fldCharType="separate"/>
          </w:r>
          <w:r>
            <w:rPr>
              <w:color w:val="auto"/>
              <w:sz w:val="22"/>
              <w:szCs w:val="28"/>
            </w:rPr>
            <w:t>66</w:t>
          </w:r>
          <w:r>
            <w:rPr>
              <w:color w:val="auto"/>
              <w:sz w:val="22"/>
              <w:szCs w:val="28"/>
            </w:rPr>
            <w:fldChar w:fldCharType="end"/>
          </w:r>
          <w:r>
            <w:rPr>
              <w:rFonts w:hint="eastAsia" w:ascii="宋体" w:hAnsi="宋体" w:eastAsia="宋体" w:cs="宋体"/>
              <w:color w:val="auto"/>
              <w:sz w:val="22"/>
              <w:szCs w:val="40"/>
              <w:highlight w:val="none"/>
            </w:rPr>
            <w:fldChar w:fldCharType="end"/>
          </w:r>
        </w:p>
        <w:p>
          <w:pPr>
            <w:pStyle w:val="44"/>
            <w:tabs>
              <w:tab w:val="right" w:leader="dot" w:pos="9638"/>
            </w:tabs>
            <w:spacing w:line="360" w:lineRule="auto"/>
            <w:rPr>
              <w:color w:val="auto"/>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rPr>
            <w:tab/>
          </w:r>
          <w:r>
            <w:rPr>
              <w:color w:val="auto"/>
              <w:sz w:val="22"/>
              <w:szCs w:val="28"/>
            </w:rPr>
            <w:fldChar w:fldCharType="begin"/>
          </w:r>
          <w:r>
            <w:rPr>
              <w:color w:val="auto"/>
              <w:sz w:val="22"/>
              <w:szCs w:val="28"/>
            </w:rPr>
            <w:instrText xml:space="preserve"> PAGEREF _Toc3629 \h </w:instrText>
          </w:r>
          <w:r>
            <w:rPr>
              <w:color w:val="auto"/>
              <w:sz w:val="22"/>
              <w:szCs w:val="28"/>
            </w:rPr>
            <w:fldChar w:fldCharType="separate"/>
          </w:r>
          <w:r>
            <w:rPr>
              <w:color w:val="auto"/>
              <w:sz w:val="22"/>
              <w:szCs w:val="28"/>
            </w:rPr>
            <w:t>66</w:t>
          </w:r>
          <w:r>
            <w:rPr>
              <w:color w:val="auto"/>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pPr>
        <w:pStyle w:val="2"/>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color w:val="auto"/>
        </w:rPr>
        <w:t>招</w:t>
      </w:r>
      <w:r>
        <w:rPr>
          <w:rFonts w:hint="eastAsia" w:ascii="宋体" w:hAnsi="宋体" w:eastAsia="宋体" w:cs="宋体"/>
          <w:color w:val="auto"/>
          <w:lang w:val="en-US" w:eastAsia="zh-CN"/>
        </w:rPr>
        <w:t xml:space="preserve"> </w:t>
      </w:r>
      <w:r>
        <w:rPr>
          <w:rFonts w:hint="eastAsia" w:ascii="宋体" w:hAnsi="宋体" w:eastAsia="宋体" w:cs="宋体"/>
          <w:color w:val="auto"/>
        </w:rPr>
        <w:t>标</w:t>
      </w:r>
      <w:r>
        <w:rPr>
          <w:rFonts w:hint="eastAsia" w:ascii="宋体" w:hAnsi="宋体" w:eastAsia="宋体" w:cs="宋体"/>
          <w:color w:val="auto"/>
          <w:lang w:val="en-US" w:eastAsia="zh-CN"/>
        </w:rPr>
        <w:t xml:space="preserve"> </w:t>
      </w:r>
      <w:r>
        <w:rPr>
          <w:rFonts w:hint="eastAsia" w:ascii="宋体" w:hAnsi="宋体" w:eastAsia="宋体" w:cs="宋体"/>
          <w:color w:val="auto"/>
        </w:rPr>
        <w:t>公</w:t>
      </w:r>
      <w:r>
        <w:rPr>
          <w:rFonts w:hint="eastAsia" w:ascii="宋体" w:hAnsi="宋体" w:eastAsia="宋体" w:cs="宋体"/>
          <w:color w:val="auto"/>
          <w:lang w:val="en-US" w:eastAsia="zh-CN"/>
        </w:rPr>
        <w:t xml:space="preserve"> </w:t>
      </w:r>
      <w:r>
        <w:rPr>
          <w:rFonts w:hint="eastAsia" w:ascii="宋体" w:hAnsi="宋体" w:eastAsia="宋体" w:cs="宋体"/>
          <w:color w:val="auto"/>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1312;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2022温州国际时尚文化产业博览会</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2022年</w:t>
      </w:r>
      <w:r>
        <w:rPr>
          <w:rFonts w:hint="eastAsia" w:ascii="宋体" w:hAnsi="宋体" w:cs="宋体"/>
          <w:color w:val="auto"/>
          <w:sz w:val="22"/>
          <w:highlight w:val="none"/>
          <w:lang w:val="en-US" w:eastAsia="zh-CN"/>
        </w:rPr>
        <w:t>03</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29</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:30 （北京时间）前递交（上传）投标文件。</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u w:val="none"/>
        </w:rPr>
      </w:pP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u w:val="none"/>
          <w:lang w:val="en-US" w:eastAsia="zh-CN"/>
        </w:rPr>
      </w:pPr>
      <w:r>
        <w:rPr>
          <w:rFonts w:hint="eastAsia"/>
          <w:b/>
          <w:bCs/>
          <w:color w:val="auto"/>
          <w:sz w:val="22"/>
          <w:szCs w:val="22"/>
          <w:u w:val="none"/>
        </w:rPr>
        <w:t>一、项目基本情况</w:t>
      </w:r>
      <w:r>
        <w:rPr>
          <w:rFonts w:hint="eastAsia"/>
          <w:color w:val="auto"/>
          <w:sz w:val="22"/>
          <w:szCs w:val="22"/>
          <w:u w:val="none"/>
          <w:lang w:val="en-US" w:eastAsia="zh-CN"/>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项目编号：</w:t>
      </w:r>
      <w:r>
        <w:rPr>
          <w:rFonts w:hint="eastAsia"/>
          <w:color w:val="auto"/>
          <w:sz w:val="22"/>
          <w:szCs w:val="22"/>
          <w:u w:val="none"/>
          <w:lang w:eastAsia="zh-CN"/>
        </w:rPr>
        <w:t>WZLCZB（W）-2022-03057</w:t>
      </w:r>
      <w:r>
        <w:rPr>
          <w:rFonts w:hint="eastAsia"/>
          <w:color w:val="auto"/>
          <w:sz w:val="22"/>
          <w:szCs w:val="22"/>
          <w:u w:val="none"/>
          <w:lang w:val="en-US" w:eastAsia="zh-CN"/>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项目名称：</w:t>
      </w:r>
      <w:r>
        <w:rPr>
          <w:rFonts w:hint="eastAsia"/>
          <w:color w:val="auto"/>
          <w:sz w:val="22"/>
          <w:szCs w:val="22"/>
          <w:u w:val="none"/>
          <w:lang w:eastAsia="zh-CN"/>
        </w:rPr>
        <w:t>2022温州国际时尚文化产业博览会</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color w:val="auto"/>
          <w:sz w:val="22"/>
          <w:szCs w:val="22"/>
          <w:u w:val="none"/>
          <w:lang w:val="en-US" w:eastAsia="zh-CN"/>
        </w:rPr>
      </w:pPr>
      <w:r>
        <w:rPr>
          <w:rFonts w:hint="eastAsia"/>
          <w:color w:val="auto"/>
          <w:sz w:val="22"/>
          <w:szCs w:val="22"/>
          <w:u w:val="none"/>
          <w:lang w:val="en-US" w:eastAsia="zh-CN"/>
        </w:rPr>
        <w:t>预算金额（元）：10150000</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color w:val="auto"/>
          <w:sz w:val="22"/>
          <w:szCs w:val="22"/>
          <w:u w:val="none"/>
          <w:lang w:val="en-US" w:eastAsia="zh-CN"/>
        </w:rPr>
      </w:pPr>
      <w:r>
        <w:rPr>
          <w:rFonts w:hint="eastAsia"/>
          <w:color w:val="auto"/>
          <w:sz w:val="22"/>
          <w:szCs w:val="22"/>
          <w:u w:val="none"/>
          <w:lang w:val="en-US" w:eastAsia="zh-CN"/>
        </w:rPr>
        <w:t>最高限价（元）：10150000</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u w:val="none"/>
          <w:lang w:val="en-US" w:eastAsia="zh-CN"/>
        </w:rPr>
      </w:pP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采购需求：</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标项名称:</w:t>
      </w:r>
      <w:r>
        <w:rPr>
          <w:rFonts w:hint="eastAsia"/>
          <w:color w:val="auto"/>
          <w:sz w:val="22"/>
          <w:szCs w:val="22"/>
          <w:u w:val="none"/>
          <w:lang w:eastAsia="zh-CN"/>
        </w:rPr>
        <w:t>2022温州国际时尚文化产业博览会</w:t>
      </w:r>
      <w:r>
        <w:rPr>
          <w:rFonts w:hint="eastAsia"/>
          <w:color w:val="auto"/>
          <w:sz w:val="22"/>
          <w:szCs w:val="22"/>
          <w:u w:val="none"/>
          <w:lang w:val="en-US" w:eastAsia="zh-CN"/>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数量:1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预算金额（元）:10150000</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简要规格描述或项目基本概况介绍、用途：具体详见招标文件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备注：</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合同履约期限：标项 1，具体详见招标文件</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lang w:val="en-US" w:eastAsia="zh-CN"/>
        </w:rPr>
        <w:t>本项目（否）接受联合体投标。</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u w:val="none"/>
          <w:lang w:val="en-US" w:eastAsia="zh-CN"/>
        </w:rPr>
      </w:pPr>
      <w:r>
        <w:rPr>
          <w:rFonts w:hint="eastAsia"/>
          <w:b/>
          <w:bCs/>
          <w:color w:val="auto"/>
          <w:sz w:val="22"/>
          <w:szCs w:val="22"/>
          <w:u w:val="none"/>
          <w:lang w:val="en-US" w:eastAsia="zh-CN"/>
        </w:rPr>
        <w:t>二、申请人的资格要求：</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2.落实政府采购政策需满足的资格要求：无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lang w:val="en-US" w:eastAsia="zh-CN"/>
        </w:rPr>
      </w:pPr>
      <w:r>
        <w:rPr>
          <w:rFonts w:hint="eastAsia"/>
          <w:color w:val="auto"/>
          <w:sz w:val="22"/>
          <w:szCs w:val="22"/>
          <w:u w:val="none"/>
          <w:lang w:val="en-US" w:eastAsia="zh-CN"/>
        </w:rPr>
        <w:t>3.本项目的特定资格要求：无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u w:val="none"/>
        </w:rPr>
      </w:pPr>
      <w:r>
        <w:rPr>
          <w:rFonts w:hint="eastAsia"/>
          <w:b/>
          <w:bCs/>
          <w:color w:val="auto"/>
          <w:sz w:val="22"/>
          <w:szCs w:val="22"/>
          <w:u w:val="none"/>
        </w:rPr>
        <w:t>三、获取招标文件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时间：</w:t>
      </w:r>
      <w:r>
        <w:rPr>
          <w:rFonts w:hint="eastAsia"/>
          <w:color w:val="auto"/>
          <w:sz w:val="22"/>
          <w:szCs w:val="22"/>
          <w:u w:val="none"/>
          <w:lang w:eastAsia="zh-CN"/>
        </w:rPr>
        <w:t>2022年</w:t>
      </w:r>
      <w:r>
        <w:rPr>
          <w:rFonts w:hint="eastAsia"/>
          <w:color w:val="auto"/>
          <w:sz w:val="22"/>
          <w:szCs w:val="22"/>
          <w:u w:val="none"/>
          <w:lang w:val="en-US" w:eastAsia="zh-CN"/>
        </w:rPr>
        <w:t>03</w:t>
      </w:r>
      <w:r>
        <w:rPr>
          <w:rFonts w:hint="eastAsia"/>
          <w:color w:val="auto"/>
          <w:sz w:val="22"/>
          <w:szCs w:val="22"/>
          <w:u w:val="none"/>
        </w:rPr>
        <w:t>月</w:t>
      </w:r>
      <w:r>
        <w:rPr>
          <w:rFonts w:hint="eastAsia"/>
          <w:color w:val="auto"/>
          <w:sz w:val="22"/>
          <w:szCs w:val="22"/>
          <w:u w:val="none"/>
          <w:lang w:val="en-US" w:eastAsia="zh-CN"/>
        </w:rPr>
        <w:t>08</w:t>
      </w:r>
      <w:r>
        <w:rPr>
          <w:rFonts w:hint="eastAsia"/>
          <w:color w:val="auto"/>
          <w:sz w:val="22"/>
          <w:szCs w:val="22"/>
          <w:u w:val="none"/>
        </w:rPr>
        <w:t>日至</w:t>
      </w:r>
      <w:r>
        <w:rPr>
          <w:rFonts w:hint="eastAsia"/>
          <w:color w:val="auto"/>
          <w:sz w:val="22"/>
          <w:szCs w:val="22"/>
          <w:u w:val="none"/>
          <w:lang w:eastAsia="zh-CN"/>
        </w:rPr>
        <w:t>2022年</w:t>
      </w:r>
      <w:r>
        <w:rPr>
          <w:rFonts w:hint="eastAsia"/>
          <w:color w:val="auto"/>
          <w:sz w:val="22"/>
          <w:szCs w:val="22"/>
          <w:u w:val="none"/>
          <w:lang w:val="en-US" w:eastAsia="zh-CN"/>
        </w:rPr>
        <w:t>03</w:t>
      </w:r>
      <w:r>
        <w:rPr>
          <w:rFonts w:hint="eastAsia"/>
          <w:color w:val="auto"/>
          <w:sz w:val="22"/>
          <w:szCs w:val="22"/>
          <w:u w:val="none"/>
        </w:rPr>
        <w:t>月</w:t>
      </w:r>
      <w:r>
        <w:rPr>
          <w:rFonts w:hint="eastAsia"/>
          <w:color w:val="auto"/>
          <w:sz w:val="22"/>
          <w:szCs w:val="22"/>
          <w:u w:val="none"/>
          <w:lang w:val="en-US" w:eastAsia="zh-CN"/>
        </w:rPr>
        <w:t>29</w:t>
      </w:r>
      <w:r>
        <w:rPr>
          <w:rFonts w:hint="eastAsia"/>
          <w:color w:val="auto"/>
          <w:sz w:val="22"/>
          <w:szCs w:val="22"/>
          <w:u w:val="none"/>
        </w:rPr>
        <w:t>日 ，每天上午00:00至12:00，下午12:00至23:59（北京时间，线上获取法定节假日均可，线下获取文件法定节假日除外）</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地点（网址）：浙江政府采购网（https://zfcg.czt.zj.gov.cn/）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方式：供应商登录政采云平台https://www.zcygov.cn/在线申请获取采购文件（进入“项目采购”应用，在获取采购文件菜单中选择项目，申请获取采购文件）</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售价（元）：0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u w:val="none"/>
        </w:rPr>
      </w:pPr>
      <w:r>
        <w:rPr>
          <w:rFonts w:hint="eastAsia"/>
          <w:b/>
          <w:bCs/>
          <w:color w:val="auto"/>
          <w:sz w:val="22"/>
          <w:szCs w:val="22"/>
          <w:u w:val="none"/>
        </w:rPr>
        <w:t>四、提交投标文件截止时间、开标时间和地点</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提交投标文件截止时间：</w:t>
      </w:r>
      <w:r>
        <w:rPr>
          <w:rFonts w:hint="eastAsia"/>
          <w:color w:val="auto"/>
          <w:sz w:val="22"/>
          <w:szCs w:val="22"/>
          <w:u w:val="none"/>
          <w:lang w:eastAsia="zh-CN"/>
        </w:rPr>
        <w:t>2022年</w:t>
      </w:r>
      <w:r>
        <w:rPr>
          <w:rFonts w:hint="eastAsia"/>
          <w:color w:val="auto"/>
          <w:sz w:val="22"/>
          <w:szCs w:val="22"/>
          <w:u w:val="none"/>
          <w:lang w:val="en-US" w:eastAsia="zh-CN"/>
        </w:rPr>
        <w:t>03</w:t>
      </w:r>
      <w:r>
        <w:rPr>
          <w:rFonts w:hint="eastAsia"/>
          <w:color w:val="auto"/>
          <w:sz w:val="22"/>
          <w:szCs w:val="22"/>
          <w:u w:val="none"/>
        </w:rPr>
        <w:t>月</w:t>
      </w:r>
      <w:r>
        <w:rPr>
          <w:rFonts w:hint="eastAsia"/>
          <w:color w:val="auto"/>
          <w:sz w:val="22"/>
          <w:szCs w:val="22"/>
          <w:u w:val="none"/>
          <w:lang w:val="en-US" w:eastAsia="zh-CN"/>
        </w:rPr>
        <w:t>29</w:t>
      </w:r>
      <w:r>
        <w:rPr>
          <w:rFonts w:hint="eastAsia"/>
          <w:color w:val="auto"/>
          <w:sz w:val="22"/>
          <w:szCs w:val="22"/>
          <w:u w:val="none"/>
        </w:rPr>
        <w:t>日</w:t>
      </w:r>
      <w:r>
        <w:rPr>
          <w:rFonts w:hint="eastAsia"/>
          <w:color w:val="auto"/>
          <w:sz w:val="22"/>
          <w:szCs w:val="22"/>
          <w:u w:val="none"/>
          <w:lang w:val="en-US" w:eastAsia="zh-CN"/>
        </w:rPr>
        <w:t>09</w:t>
      </w:r>
      <w:r>
        <w:rPr>
          <w:rFonts w:hint="eastAsia"/>
          <w:color w:val="auto"/>
          <w:sz w:val="22"/>
          <w:szCs w:val="22"/>
          <w:u w:val="none"/>
        </w:rPr>
        <w:t>:30（北京时间）</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投标地点（网址）：温州市政务服务管理中心温州市会展路1268号A座3楼（政采云平台https://www.zcygov.cn/）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开标时间：</w:t>
      </w:r>
      <w:r>
        <w:rPr>
          <w:rFonts w:hint="eastAsia"/>
          <w:color w:val="auto"/>
          <w:sz w:val="22"/>
          <w:szCs w:val="22"/>
          <w:u w:val="none"/>
          <w:lang w:eastAsia="zh-CN"/>
        </w:rPr>
        <w:t>2022年</w:t>
      </w:r>
      <w:r>
        <w:rPr>
          <w:rFonts w:hint="eastAsia"/>
          <w:color w:val="auto"/>
          <w:sz w:val="22"/>
          <w:szCs w:val="22"/>
          <w:u w:val="none"/>
          <w:lang w:val="en-US" w:eastAsia="zh-CN"/>
        </w:rPr>
        <w:t>03</w:t>
      </w:r>
      <w:r>
        <w:rPr>
          <w:rFonts w:hint="eastAsia"/>
          <w:color w:val="auto"/>
          <w:sz w:val="22"/>
          <w:szCs w:val="22"/>
          <w:u w:val="none"/>
        </w:rPr>
        <w:t>月</w:t>
      </w:r>
      <w:r>
        <w:rPr>
          <w:rFonts w:hint="eastAsia"/>
          <w:color w:val="auto"/>
          <w:sz w:val="22"/>
          <w:szCs w:val="22"/>
          <w:u w:val="none"/>
          <w:lang w:val="en-US" w:eastAsia="zh-CN"/>
        </w:rPr>
        <w:t>29</w:t>
      </w:r>
      <w:r>
        <w:rPr>
          <w:rFonts w:hint="eastAsia"/>
          <w:color w:val="auto"/>
          <w:sz w:val="22"/>
          <w:szCs w:val="22"/>
          <w:u w:val="none"/>
        </w:rPr>
        <w:t>日</w:t>
      </w:r>
      <w:r>
        <w:rPr>
          <w:rFonts w:hint="eastAsia"/>
          <w:color w:val="auto"/>
          <w:sz w:val="22"/>
          <w:szCs w:val="22"/>
          <w:u w:val="none"/>
          <w:lang w:val="en-US" w:eastAsia="zh-CN"/>
        </w:rPr>
        <w:t>09</w:t>
      </w:r>
      <w:r>
        <w:rPr>
          <w:rFonts w:hint="eastAsia"/>
          <w:color w:val="auto"/>
          <w:sz w:val="22"/>
          <w:szCs w:val="22"/>
          <w:u w:val="none"/>
        </w:rPr>
        <w:t>:30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开标地点（网址）：温州市政务服务管理中心温州市会展路1268号A座3楼（政采云平台https://www.zcygov.cn/）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u w:val="none"/>
        </w:rPr>
      </w:pPr>
      <w:r>
        <w:rPr>
          <w:rFonts w:hint="eastAsia"/>
          <w:b/>
          <w:bCs/>
          <w:color w:val="auto"/>
          <w:sz w:val="22"/>
          <w:szCs w:val="22"/>
          <w:u w:val="none"/>
        </w:rPr>
        <w:t>五、公告期限</w:t>
      </w:r>
      <w:r>
        <w:rPr>
          <w:rFonts w:hint="eastAsia"/>
          <w:color w:val="auto"/>
          <w:sz w:val="22"/>
          <w:szCs w:val="22"/>
          <w:u w:val="none"/>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自本公告发布之日起5个工作日。</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u w:val="none"/>
        </w:rPr>
      </w:pPr>
      <w:r>
        <w:rPr>
          <w:rFonts w:hint="eastAsia"/>
          <w:b/>
          <w:bCs/>
          <w:color w:val="auto"/>
          <w:sz w:val="22"/>
          <w:szCs w:val="22"/>
          <w:u w:val="none"/>
        </w:rPr>
        <w:t>六、其他补充事宜</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1.采购人信息</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u w:val="none"/>
          <w:lang w:eastAsia="zh-CN"/>
        </w:rPr>
      </w:pPr>
      <w:r>
        <w:rPr>
          <w:rFonts w:hint="eastAsia"/>
          <w:color w:val="auto"/>
          <w:sz w:val="22"/>
          <w:szCs w:val="22"/>
          <w:u w:val="none"/>
        </w:rPr>
        <w:t>名  称：</w:t>
      </w:r>
      <w:r>
        <w:rPr>
          <w:rFonts w:hint="eastAsia"/>
          <w:color w:val="auto"/>
          <w:sz w:val="22"/>
          <w:szCs w:val="22"/>
          <w:u w:val="none"/>
          <w:lang w:eastAsia="zh-CN"/>
        </w:rPr>
        <w:t>中共温州市委宣传部</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 xml:space="preserve">地  址：温州市鹿城区绣山路321号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传  真：</w:t>
      </w:r>
      <w:r>
        <w:rPr>
          <w:rFonts w:hint="eastAsia"/>
          <w:color w:val="auto"/>
          <w:sz w:val="22"/>
          <w:szCs w:val="22"/>
          <w:u w:val="none"/>
          <w:lang w:val="en-US" w:eastAsia="zh-CN"/>
        </w:rPr>
        <w:t>/</w:t>
      </w:r>
      <w:r>
        <w:rPr>
          <w:rFonts w:hint="eastAsia"/>
          <w:color w:val="auto"/>
          <w:sz w:val="22"/>
          <w:szCs w:val="22"/>
          <w:u w:val="none"/>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项目联系人（询问）：陈</w:t>
      </w:r>
      <w:r>
        <w:rPr>
          <w:rFonts w:hint="eastAsia"/>
          <w:color w:val="auto"/>
          <w:sz w:val="22"/>
          <w:szCs w:val="22"/>
          <w:u w:val="none"/>
          <w:lang w:val="en-US" w:eastAsia="zh-CN"/>
        </w:rPr>
        <w:t>先生</w:t>
      </w:r>
      <w:r>
        <w:rPr>
          <w:rFonts w:hint="eastAsia"/>
          <w:color w:val="auto"/>
          <w:sz w:val="22"/>
          <w:szCs w:val="22"/>
          <w:u w:val="none"/>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项目联系方式（询问）：</w:t>
      </w:r>
      <w:r>
        <w:rPr>
          <w:rFonts w:hint="eastAsia"/>
          <w:color w:val="auto"/>
          <w:sz w:val="22"/>
          <w:szCs w:val="22"/>
          <w:u w:val="none"/>
          <w:lang w:val="en-US" w:eastAsia="zh-CN"/>
        </w:rPr>
        <w:t>0577-</w:t>
      </w:r>
      <w:r>
        <w:rPr>
          <w:rFonts w:hint="eastAsia"/>
          <w:color w:val="auto"/>
          <w:sz w:val="22"/>
          <w:szCs w:val="22"/>
          <w:u w:val="none"/>
        </w:rPr>
        <w:t>88966260</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质疑联系人：陈</w:t>
      </w:r>
      <w:r>
        <w:rPr>
          <w:rFonts w:hint="eastAsia"/>
          <w:color w:val="auto"/>
          <w:sz w:val="22"/>
          <w:szCs w:val="22"/>
          <w:u w:val="none"/>
          <w:lang w:val="en-US" w:eastAsia="zh-CN"/>
        </w:rPr>
        <w:t>先生</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质疑联系方式：</w:t>
      </w:r>
      <w:r>
        <w:rPr>
          <w:rFonts w:hint="eastAsia"/>
          <w:color w:val="auto"/>
          <w:sz w:val="22"/>
          <w:szCs w:val="22"/>
          <w:u w:val="none"/>
          <w:lang w:val="en-US" w:eastAsia="zh-CN"/>
        </w:rPr>
        <w:t>0577-</w:t>
      </w:r>
      <w:r>
        <w:rPr>
          <w:rFonts w:hint="eastAsia"/>
          <w:color w:val="auto"/>
          <w:sz w:val="22"/>
          <w:szCs w:val="22"/>
          <w:u w:val="none"/>
        </w:rPr>
        <w:t>88966260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u w:val="none"/>
        </w:rPr>
      </w:pPr>
      <w:r>
        <w:rPr>
          <w:rFonts w:hint="eastAsia"/>
          <w:color w:val="auto"/>
          <w:sz w:val="22"/>
          <w:szCs w:val="22"/>
          <w:u w:val="none"/>
        </w:rPr>
        <w:t>  2.采购代理机构信息</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名  称：</w:t>
      </w:r>
      <w:r>
        <w:rPr>
          <w:rFonts w:hint="eastAsia"/>
          <w:color w:val="auto"/>
          <w:sz w:val="22"/>
          <w:szCs w:val="22"/>
          <w:u w:val="none"/>
          <w:lang w:val="en-US" w:eastAsia="zh-CN"/>
        </w:rPr>
        <w:t>温州历程招标有限公司</w:t>
      </w:r>
      <w:r>
        <w:rPr>
          <w:rFonts w:hint="eastAsia"/>
          <w:color w:val="auto"/>
          <w:sz w:val="22"/>
          <w:szCs w:val="22"/>
          <w:u w:val="none"/>
        </w:rPr>
        <w:t>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地  址：</w:t>
      </w:r>
      <w:r>
        <w:rPr>
          <w:rFonts w:hint="eastAsia"/>
          <w:color w:val="auto"/>
          <w:sz w:val="22"/>
          <w:szCs w:val="22"/>
          <w:lang w:eastAsia="zh-CN"/>
        </w:rPr>
        <w:t>温州市鹿城区学院中路229号三想集团5楼</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 xml:space="preserve">传  真：0577-89887255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项目联系人（询问）：郑永强、温碧霞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项目联系方式（询问）：0577-89887322、13757727199</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u w:val="none"/>
          <w:lang w:val="en-US" w:eastAsia="zh-CN"/>
        </w:rPr>
      </w:pPr>
      <w:r>
        <w:rPr>
          <w:rFonts w:hint="eastAsia"/>
          <w:color w:val="auto"/>
          <w:sz w:val="22"/>
          <w:szCs w:val="22"/>
          <w:u w:val="none"/>
        </w:rPr>
        <w:t>质疑联系人：</w:t>
      </w:r>
      <w:r>
        <w:rPr>
          <w:rFonts w:hint="eastAsia"/>
          <w:color w:val="auto"/>
          <w:sz w:val="22"/>
          <w:szCs w:val="22"/>
          <w:u w:val="none"/>
          <w:lang w:val="en-US" w:eastAsia="zh-CN"/>
        </w:rPr>
        <w:t>肖忠文</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u w:val="none"/>
        </w:rPr>
      </w:pPr>
      <w:r>
        <w:rPr>
          <w:rFonts w:hint="eastAsia"/>
          <w:color w:val="auto"/>
          <w:sz w:val="22"/>
          <w:szCs w:val="22"/>
          <w:u w:val="none"/>
        </w:rPr>
        <w:t>质疑联系方式：13757727199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u w:val="none"/>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szCs w:val="22"/>
          <w:u w:val="none"/>
        </w:rPr>
        <w:t>同级政府采购监督管理部门</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u w:val="none"/>
          <w:lang w:eastAsia="zh-CN"/>
        </w:rPr>
      </w:pPr>
      <w:r>
        <w:rPr>
          <w:rFonts w:hint="eastAsia" w:ascii="宋体" w:hAnsi="宋体" w:eastAsia="宋体" w:cs="宋体"/>
          <w:color w:val="auto"/>
          <w:sz w:val="22"/>
          <w:szCs w:val="22"/>
          <w:u w:val="none"/>
        </w:rPr>
        <w:t>名    称：温州市财政局政府采购监管处</w:t>
      </w:r>
      <w:r>
        <w:rPr>
          <w:rFonts w:hint="eastAsia" w:ascii="宋体" w:hAnsi="宋体" w:eastAsia="宋体" w:cs="宋体"/>
          <w:color w:val="auto"/>
          <w:sz w:val="22"/>
          <w:szCs w:val="22"/>
          <w:u w:val="none"/>
        </w:rPr>
        <w:tab/>
      </w:r>
      <w:r>
        <w:rPr>
          <w:rFonts w:hint="eastAsia" w:ascii="宋体" w:hAnsi="宋体" w:eastAsia="宋体" w:cs="宋体"/>
          <w:color w:val="auto"/>
          <w:sz w:val="22"/>
          <w:szCs w:val="22"/>
          <w:u w:val="none"/>
          <w:lang w:val="en-US" w:eastAsia="zh-CN"/>
        </w:rPr>
        <w:t xml:space="preserve">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u w:val="none"/>
        </w:rPr>
      </w:pPr>
      <w:r>
        <w:rPr>
          <w:rFonts w:hint="eastAsia" w:ascii="宋体" w:hAnsi="宋体" w:eastAsia="宋体" w:cs="宋体"/>
          <w:color w:val="auto"/>
          <w:sz w:val="22"/>
          <w:szCs w:val="22"/>
          <w:u w:val="none"/>
        </w:rPr>
        <w:t>地    址：温州市鹿城区绣山路299号</w:t>
      </w:r>
      <w:r>
        <w:rPr>
          <w:rFonts w:hint="eastAsia" w:ascii="宋体" w:hAnsi="宋体" w:eastAsia="宋体" w:cs="宋体"/>
          <w:color w:val="auto"/>
          <w:sz w:val="22"/>
          <w:szCs w:val="22"/>
          <w:u w:val="none"/>
        </w:rPr>
        <w:tab/>
      </w:r>
      <w:r>
        <w:rPr>
          <w:rFonts w:hint="eastAsia" w:ascii="宋体" w:hAnsi="宋体" w:eastAsia="宋体" w:cs="宋体"/>
          <w:color w:val="auto"/>
          <w:sz w:val="22"/>
          <w:szCs w:val="22"/>
          <w:u w:val="none"/>
          <w:lang w:val="en-US" w:eastAsia="zh-CN"/>
        </w:rPr>
        <w:t xml:space="preserve">                   </w:t>
      </w:r>
      <w:r>
        <w:rPr>
          <w:rFonts w:hint="eastAsia" w:ascii="宋体" w:hAnsi="宋体" w:eastAsia="宋体" w:cs="宋体"/>
          <w:color w:val="auto"/>
          <w:sz w:val="22"/>
          <w:szCs w:val="22"/>
          <w:u w:val="none"/>
        </w:rPr>
        <w:t xml:space="preserve">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u w:val="none"/>
        </w:rPr>
      </w:pPr>
      <w:r>
        <w:rPr>
          <w:rFonts w:hint="eastAsia" w:ascii="宋体" w:hAnsi="宋体" w:eastAsia="宋体" w:cs="宋体"/>
          <w:color w:val="auto"/>
          <w:sz w:val="22"/>
          <w:szCs w:val="22"/>
          <w:u w:val="none"/>
        </w:rPr>
        <w:t>传    真：</w:t>
      </w:r>
      <w:r>
        <w:rPr>
          <w:rFonts w:hint="eastAsia" w:ascii="宋体" w:hAnsi="宋体" w:eastAsia="宋体" w:cs="宋体"/>
          <w:color w:val="auto"/>
          <w:sz w:val="22"/>
          <w:szCs w:val="22"/>
          <w:u w:val="none"/>
        </w:rPr>
        <w:tab/>
      </w:r>
      <w:r>
        <w:rPr>
          <w:rFonts w:hint="eastAsia" w:ascii="宋体" w:hAnsi="宋体" w:eastAsia="宋体" w:cs="宋体"/>
          <w:color w:val="auto"/>
          <w:sz w:val="22"/>
          <w:szCs w:val="22"/>
          <w:u w:val="none"/>
          <w:lang w:val="en-US" w:eastAsia="zh-CN"/>
        </w:rPr>
        <w:t xml:space="preserve">                   </w:t>
      </w:r>
      <w:r>
        <w:rPr>
          <w:rFonts w:hint="eastAsia" w:ascii="宋体" w:hAnsi="宋体" w:eastAsia="宋体" w:cs="宋体"/>
          <w:color w:val="auto"/>
          <w:sz w:val="22"/>
          <w:szCs w:val="22"/>
          <w:u w:val="none"/>
        </w:rPr>
        <w:t xml:space="preserve">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u w:val="none"/>
        </w:rPr>
      </w:pPr>
      <w:r>
        <w:rPr>
          <w:rFonts w:hint="eastAsia" w:ascii="宋体" w:hAnsi="宋体" w:eastAsia="宋体" w:cs="宋体"/>
          <w:color w:val="auto"/>
          <w:sz w:val="22"/>
          <w:szCs w:val="22"/>
          <w:u w:val="none"/>
        </w:rPr>
        <w:t>联系人 ：项先生、蔡女士</w:t>
      </w:r>
      <w:r>
        <w:rPr>
          <w:rFonts w:hint="eastAsia" w:ascii="宋体" w:hAnsi="宋体" w:eastAsia="宋体" w:cs="宋体"/>
          <w:color w:val="auto"/>
          <w:sz w:val="22"/>
          <w:szCs w:val="22"/>
          <w:u w:val="none"/>
        </w:rPr>
        <w:tab/>
      </w:r>
      <w:r>
        <w:rPr>
          <w:rFonts w:hint="eastAsia" w:ascii="宋体" w:hAnsi="宋体" w:eastAsia="宋体" w:cs="宋体"/>
          <w:color w:val="auto"/>
          <w:sz w:val="22"/>
          <w:szCs w:val="22"/>
          <w:u w:val="none"/>
          <w:lang w:val="en-US" w:eastAsia="zh-CN"/>
        </w:rPr>
        <w:t xml:space="preserve">                       </w:t>
      </w:r>
      <w:r>
        <w:rPr>
          <w:rFonts w:hint="eastAsia" w:ascii="宋体" w:hAnsi="宋体" w:eastAsia="宋体" w:cs="宋体"/>
          <w:color w:val="auto"/>
          <w:sz w:val="22"/>
          <w:szCs w:val="22"/>
          <w:u w:val="none"/>
        </w:rPr>
        <w:t xml:space="preserve">    </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u w:val="none"/>
          <w:lang w:val="en-US" w:eastAsia="zh-CN"/>
        </w:rPr>
      </w:pPr>
      <w:r>
        <w:rPr>
          <w:rFonts w:hint="eastAsia" w:ascii="宋体" w:hAnsi="宋体" w:eastAsia="宋体" w:cs="宋体"/>
          <w:color w:val="auto"/>
          <w:sz w:val="22"/>
          <w:szCs w:val="22"/>
          <w:u w:val="none"/>
        </w:rPr>
        <w:t>监督投诉电话：0577-88532725、88521948</w:t>
      </w:r>
      <w:r>
        <w:rPr>
          <w:rFonts w:hint="eastAsia" w:ascii="宋体" w:hAnsi="宋体" w:eastAsia="宋体" w:cs="宋体"/>
          <w:color w:val="auto"/>
          <w:sz w:val="22"/>
          <w:szCs w:val="22"/>
          <w:u w:val="none"/>
        </w:rPr>
        <w:tab/>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u w:val="none"/>
        </w:rPr>
      </w:pPr>
    </w:p>
    <w:p>
      <w:pPr>
        <w:pStyle w:val="2"/>
        <w:bidi w:val="0"/>
        <w:jc w:val="center"/>
        <w:rPr>
          <w:rFonts w:hint="eastAsia" w:ascii="宋体" w:hAnsi="宋体" w:eastAsia="宋体" w:cs="宋体"/>
          <w:color w:val="auto"/>
        </w:rPr>
      </w:pPr>
      <w:bookmarkStart w:id="2" w:name="_Toc10401"/>
      <w:bookmarkStart w:id="3" w:name="_Toc5772"/>
      <w:r>
        <w:rPr>
          <w:rFonts w:hint="eastAsia" w:ascii="宋体" w:hAnsi="宋体" w:eastAsia="宋体" w:cs="宋体"/>
          <w:color w:val="auto"/>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33194387"/>
      <w:bookmarkStart w:id="5" w:name="_Toc354996695"/>
      <w:bookmarkStart w:id="6" w:name="_Toc6224"/>
      <w:bookmarkStart w:id="7" w:name="_Toc233618971"/>
      <w:bookmarkStart w:id="8" w:name="_Toc1839"/>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2022温州国际时尚文化产业博览会</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493"/>
              <w:gridCol w:w="730"/>
              <w:gridCol w:w="2217"/>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49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3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30"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93"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2022温州国际时尚文化产业博览会</w:t>
                  </w:r>
                </w:p>
              </w:tc>
              <w:tc>
                <w:tcPr>
                  <w:tcW w:w="73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1项</w:t>
                  </w:r>
                </w:p>
              </w:tc>
              <w:tc>
                <w:tcPr>
                  <w:tcW w:w="2217" w:type="dxa"/>
                  <w:tcBorders>
                    <w:top w:val="single" w:color="auto" w:sz="4" w:space="0"/>
                    <w:left w:val="single" w:color="auto" w:sz="4" w:space="0"/>
                    <w:right w:val="single" w:color="auto" w:sz="4" w:space="0"/>
                  </w:tcBorders>
                  <w:shd w:val="clear" w:color="auto" w:fill="auto"/>
                  <w:vAlign w:val="center"/>
                </w:tcPr>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szCs w:val="22"/>
                      <w:highlight w:val="none"/>
                      <w:shd w:val="clear" w:color="auto" w:fill="FFFFFF"/>
                      <w:lang w:val="en-US" w:eastAsia="zh-CN"/>
                    </w:rPr>
                  </w:pPr>
                  <w:r>
                    <w:rPr>
                      <w:rFonts w:hint="eastAsia"/>
                      <w:color w:val="auto"/>
                      <w:sz w:val="22"/>
                      <w:szCs w:val="22"/>
                      <w:u w:val="none"/>
                      <w:lang w:val="en-US" w:eastAsia="zh-CN"/>
                    </w:rPr>
                    <w:t>10150000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kern w:val="0"/>
                <w:sz w:val="22"/>
                <w:szCs w:val="22"/>
                <w:u w:val="none"/>
                <w:lang w:val="en-US" w:eastAsia="zh-CN" w:bidi="ar-SA"/>
              </w:rPr>
            </w:pPr>
            <w:r>
              <w:rPr>
                <w:rFonts w:hint="eastAsia" w:ascii="宋体" w:hAnsi="宋体" w:eastAsia="宋体" w:cs="宋体"/>
                <w:b/>
                <w:bCs/>
                <w:color w:val="auto"/>
                <w:sz w:val="22"/>
                <w:szCs w:val="22"/>
                <w:highlight w:val="none"/>
              </w:rPr>
              <w:t>招标服务费：</w:t>
            </w:r>
            <w:r>
              <w:rPr>
                <w:rFonts w:hint="eastAsia" w:ascii="宋体" w:hAnsi="宋体" w:eastAsia="宋体" w:cs="宋体"/>
                <w:color w:val="auto"/>
                <w:kern w:val="0"/>
                <w:sz w:val="22"/>
                <w:szCs w:val="22"/>
                <w:u w:val="none"/>
                <w:lang w:val="en-US" w:eastAsia="zh-CN" w:bidi="ar-SA"/>
              </w:rPr>
              <w:t>人民币肆万伍仟元整（¥45000.00）,由中标人在领取中标通知书时支付。</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color w:val="auto"/>
                <w:sz w:val="22"/>
                <w:szCs w:val="28"/>
              </w:rPr>
            </w:pPr>
            <w:r>
              <w:rPr>
                <w:rFonts w:hint="eastAsia"/>
                <w:color w:val="auto"/>
                <w:sz w:val="22"/>
                <w:szCs w:val="28"/>
              </w:rPr>
              <w:t>投标文件份数：</w:t>
            </w:r>
          </w:p>
          <w:p>
            <w:pPr>
              <w:numPr>
                <w:ilvl w:val="0"/>
                <w:numId w:val="1"/>
              </w:numPr>
              <w:spacing w:line="460" w:lineRule="exact"/>
              <w:rPr>
                <w:rFonts w:hint="eastAsia"/>
                <w:color w:val="auto"/>
                <w:sz w:val="22"/>
                <w:szCs w:val="28"/>
              </w:rPr>
            </w:pPr>
            <w:r>
              <w:rPr>
                <w:rFonts w:hint="eastAsia"/>
                <w:color w:val="auto"/>
                <w:sz w:val="22"/>
                <w:szCs w:val="28"/>
              </w:rPr>
              <w:t>“电子加密投标文件”：在线上传递交、一份。</w:t>
            </w:r>
          </w:p>
          <w:p>
            <w:pPr>
              <w:numPr>
                <w:ilvl w:val="0"/>
                <w:numId w:val="1"/>
              </w:numPr>
              <w:spacing w:line="460" w:lineRule="exact"/>
              <w:rPr>
                <w:rFonts w:hint="eastAsia"/>
                <w:color w:val="auto"/>
                <w:sz w:val="22"/>
                <w:szCs w:val="28"/>
              </w:rPr>
            </w:pPr>
            <w:r>
              <w:rPr>
                <w:rFonts w:hint="eastAsia"/>
                <w:color w:val="auto"/>
                <w:sz w:val="22"/>
                <w:szCs w:val="28"/>
              </w:rPr>
              <w:t>“备份投标文件”：密封包装后投标截止时间前递交、一份</w:t>
            </w:r>
          </w:p>
          <w:p>
            <w:pPr>
              <w:spacing w:line="460" w:lineRule="exact"/>
              <w:rPr>
                <w:rFonts w:hint="eastAsia"/>
                <w:color w:val="auto"/>
                <w:sz w:val="22"/>
                <w:szCs w:val="28"/>
              </w:rPr>
            </w:pPr>
            <w:r>
              <w:rPr>
                <w:rFonts w:hint="eastAsia"/>
                <w:color w:val="auto"/>
                <w:sz w:val="22"/>
                <w:szCs w:val="28"/>
              </w:rPr>
              <w:t>（若不提供备份投标文件，开标当天电子加密投标文件解密失败，投标人自行负责。）</w:t>
            </w:r>
          </w:p>
          <w:p>
            <w:pPr>
              <w:tabs>
                <w:tab w:val="left" w:pos="360"/>
              </w:tabs>
              <w:spacing w:line="460" w:lineRule="exact"/>
              <w:rPr>
                <w:rFonts w:hint="eastAsia"/>
                <w:color w:val="auto"/>
                <w:sz w:val="22"/>
                <w:szCs w:val="28"/>
              </w:rPr>
            </w:pPr>
            <w:r>
              <w:rPr>
                <w:rFonts w:hint="eastAsia"/>
                <w:color w:val="auto"/>
                <w:sz w:val="22"/>
                <w:szCs w:val="28"/>
              </w:rPr>
              <w:t>可以（邮寄形式，建议顺丰）在投标截止时间前递交，并需采购代理机构确认是否收到，</w:t>
            </w:r>
          </w:p>
          <w:p>
            <w:pPr>
              <w:spacing w:line="460" w:lineRule="exact"/>
              <w:rPr>
                <w:rFonts w:hint="eastAsia"/>
                <w:color w:val="auto"/>
                <w:sz w:val="22"/>
                <w:szCs w:val="28"/>
                <w:lang w:eastAsia="zh-CN"/>
              </w:rPr>
            </w:pPr>
            <w:r>
              <w:rPr>
                <w:rFonts w:hint="eastAsia"/>
                <w:color w:val="auto"/>
                <w:sz w:val="22"/>
                <w:szCs w:val="28"/>
              </w:rPr>
              <w:t>邮寄地址：</w:t>
            </w:r>
            <w:r>
              <w:rPr>
                <w:rFonts w:hint="eastAsia"/>
                <w:color w:val="auto"/>
                <w:sz w:val="22"/>
                <w:szCs w:val="28"/>
                <w:lang w:eastAsia="zh-CN"/>
              </w:rPr>
              <w:t>温州市鹿城区学院中路229号三想集团5楼</w:t>
            </w:r>
          </w:p>
          <w:p>
            <w:pPr>
              <w:spacing w:line="460" w:lineRule="exact"/>
              <w:rPr>
                <w:rFonts w:hint="default" w:eastAsia="宋体"/>
                <w:color w:val="auto"/>
                <w:lang w:val="en-US" w:eastAsia="zh-CN"/>
              </w:rPr>
            </w:pPr>
            <w:r>
              <w:rPr>
                <w:rFonts w:hint="eastAsia"/>
                <w:color w:val="auto"/>
                <w:sz w:val="22"/>
                <w:szCs w:val="28"/>
                <w:lang w:val="en-US" w:eastAsia="zh-CN"/>
              </w:rPr>
              <w:t>联系人：温端赏    联系电话</w:t>
            </w:r>
            <w:r>
              <w:rPr>
                <w:rFonts w:hint="eastAsia"/>
                <w:b w:val="0"/>
                <w:bCs w:val="0"/>
                <w:color w:val="auto"/>
                <w:sz w:val="22"/>
                <w:szCs w:val="28"/>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color w:val="auto"/>
                <w:sz w:val="22"/>
                <w:szCs w:val="22"/>
                <w:u w:val="none"/>
                <w:lang w:eastAsia="zh-CN"/>
              </w:rPr>
              <w:t>2022年</w:t>
            </w:r>
            <w:r>
              <w:rPr>
                <w:rFonts w:hint="eastAsia"/>
                <w:color w:val="auto"/>
                <w:sz w:val="22"/>
                <w:szCs w:val="22"/>
                <w:u w:val="none"/>
                <w:lang w:val="en-US" w:eastAsia="zh-CN"/>
              </w:rPr>
              <w:t>03</w:t>
            </w:r>
            <w:r>
              <w:rPr>
                <w:rFonts w:hint="eastAsia"/>
                <w:color w:val="auto"/>
                <w:sz w:val="22"/>
                <w:szCs w:val="22"/>
                <w:u w:val="none"/>
              </w:rPr>
              <w:t>月</w:t>
            </w:r>
            <w:r>
              <w:rPr>
                <w:rFonts w:hint="eastAsia"/>
                <w:color w:val="auto"/>
                <w:sz w:val="22"/>
                <w:szCs w:val="22"/>
                <w:u w:val="none"/>
                <w:lang w:val="en-US" w:eastAsia="zh-CN"/>
              </w:rPr>
              <w:t>29</w:t>
            </w:r>
            <w:r>
              <w:rPr>
                <w:rFonts w:hint="eastAsia"/>
                <w:color w:val="auto"/>
                <w:sz w:val="22"/>
                <w:szCs w:val="22"/>
                <w:u w:val="none"/>
              </w:rPr>
              <w:t>日</w:t>
            </w:r>
            <w:r>
              <w:rPr>
                <w:rFonts w:hint="eastAsia"/>
                <w:color w:val="auto"/>
                <w:sz w:val="22"/>
                <w:szCs w:val="22"/>
                <w:u w:val="none"/>
                <w:lang w:val="en-US" w:eastAsia="zh-CN"/>
              </w:rPr>
              <w:t>09</w:t>
            </w:r>
            <w:r>
              <w:rPr>
                <w:rFonts w:hint="eastAsia"/>
                <w:color w:val="auto"/>
                <w:sz w:val="22"/>
                <w:szCs w:val="22"/>
                <w:u w:val="none"/>
              </w:rPr>
              <w:t>:30</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投标地点（网址）：温州市政务服务管理中心温州市会展路1268号A座3楼（政采云平台https://www.zcygov.cn/）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color w:val="auto"/>
                <w:sz w:val="22"/>
                <w:szCs w:val="22"/>
                <w:u w:val="none"/>
                <w:lang w:eastAsia="zh-CN"/>
              </w:rPr>
              <w:t>2022年</w:t>
            </w:r>
            <w:r>
              <w:rPr>
                <w:rFonts w:hint="eastAsia"/>
                <w:color w:val="auto"/>
                <w:sz w:val="22"/>
                <w:szCs w:val="22"/>
                <w:u w:val="none"/>
                <w:lang w:val="en-US" w:eastAsia="zh-CN"/>
              </w:rPr>
              <w:t>03</w:t>
            </w:r>
            <w:r>
              <w:rPr>
                <w:rFonts w:hint="eastAsia"/>
                <w:color w:val="auto"/>
                <w:sz w:val="22"/>
                <w:szCs w:val="22"/>
                <w:u w:val="none"/>
              </w:rPr>
              <w:t>月</w:t>
            </w:r>
            <w:r>
              <w:rPr>
                <w:rFonts w:hint="eastAsia"/>
                <w:color w:val="auto"/>
                <w:sz w:val="22"/>
                <w:szCs w:val="22"/>
                <w:u w:val="none"/>
                <w:lang w:val="en-US" w:eastAsia="zh-CN"/>
              </w:rPr>
              <w:t>29</w:t>
            </w:r>
            <w:r>
              <w:rPr>
                <w:rFonts w:hint="eastAsia"/>
                <w:color w:val="auto"/>
                <w:sz w:val="22"/>
                <w:szCs w:val="22"/>
                <w:u w:val="none"/>
              </w:rPr>
              <w:t>日</w:t>
            </w:r>
            <w:r>
              <w:rPr>
                <w:rFonts w:hint="eastAsia"/>
                <w:color w:val="auto"/>
                <w:sz w:val="22"/>
                <w:szCs w:val="22"/>
                <w:u w:val="none"/>
                <w:lang w:val="en-US" w:eastAsia="zh-CN"/>
              </w:rPr>
              <w:t>09</w:t>
            </w:r>
            <w:r>
              <w:rPr>
                <w:rFonts w:hint="eastAsia"/>
                <w:color w:val="auto"/>
                <w:sz w:val="22"/>
                <w:szCs w:val="22"/>
                <w:u w:val="none"/>
              </w:rPr>
              <w:t>:30</w:t>
            </w:r>
            <w:bookmarkStart w:id="83" w:name="_GoBack"/>
            <w:bookmarkEnd w:id="83"/>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开标地点（网址）：温州市政务服务管理中心温州市会展路1268号A座3楼（政采云平台https://www.zcygov.cn/）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hd w:val="clea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1</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lang w:val="en-US" w:eastAsia="zh-CN"/>
              </w:rPr>
              <w:t xml:space="preserve"> 1015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万元</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2</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②服务类 </w:t>
            </w:r>
            <w:r>
              <w:rPr>
                <w:rFonts w:hint="eastAsia" w:ascii="新宋体" w:hAnsi="新宋体" w:eastAsia="新宋体" w:cs="新宋体"/>
                <w:color w:val="auto"/>
                <w:sz w:val="22"/>
                <w:szCs w:val="28"/>
                <w:highlight w:val="none"/>
              </w:rPr>
              <w:t xml:space="preserve"> （①货物类/②服务类/③工程类）</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3</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（具体根据《中小企业划型标准规定》执行）</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4</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本项目</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否</w:t>
            </w:r>
            <w:r>
              <w:rPr>
                <w:rFonts w:hint="eastAsia" w:ascii="新宋体" w:hAnsi="新宋体" w:eastAsia="新宋体" w:cs="新宋体"/>
                <w:color w:val="auto"/>
                <w:sz w:val="22"/>
                <w:szCs w:val="28"/>
                <w:highlight w:val="none"/>
                <w:u w:val="single"/>
              </w:rPr>
              <w:t>）</w:t>
            </w:r>
            <w:r>
              <w:rPr>
                <w:rFonts w:hint="eastAsia" w:ascii="新宋体" w:hAnsi="新宋体" w:eastAsia="新宋体" w:cs="新宋体"/>
                <w:color w:val="auto"/>
                <w:sz w:val="22"/>
                <w:szCs w:val="28"/>
                <w:highlight w:val="none"/>
                <w:u w:val="single"/>
                <w:lang w:val="en-US" w:eastAsia="zh-CN"/>
              </w:rPr>
              <w:t xml:space="preserve"> </w:t>
            </w:r>
            <w:r>
              <w:rPr>
                <w:rFonts w:hint="eastAsia" w:ascii="新宋体" w:hAnsi="新宋体" w:eastAsia="新宋体" w:cs="新宋体"/>
                <w:color w:val="auto"/>
                <w:sz w:val="22"/>
                <w:szCs w:val="28"/>
                <w:highlight w:val="none"/>
              </w:rPr>
              <w:t>属于预留份额专门面向中小企业采购的项目。</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5</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上述第4项中确定为“是”的采购项目，预留份额通过（①）措施进行：</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③要求获得采购合同的供应商将采购项目中的 </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sz w:val="22"/>
                <w:szCs w:val="28"/>
                <w:highlight w:val="none"/>
                <w:lang w:eastAsia="zh-CN"/>
              </w:rPr>
              <w:t>）</w:t>
            </w:r>
            <w:r>
              <w:rPr>
                <w:rFonts w:hint="eastAsia" w:ascii="新宋体" w:hAnsi="新宋体" w:eastAsia="新宋体" w:cs="新宋体"/>
                <w:color w:val="auto"/>
                <w:sz w:val="22"/>
                <w:szCs w:val="28"/>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（6%—10%）（工程项目为 3%—5%）的扣除，用扣除后的价格参加评审。 </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val="en-US" w:eastAsia="zh-CN"/>
              </w:rPr>
              <w:t>/</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（2%-3%）（工程项目为 1%—2%）的扣除，用扣除后的价格参加评审。</w:t>
            </w:r>
          </w:p>
          <w:p>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eastAsia="宋体" w:cs="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（7）供应商不属于公益一类事业单位承诺函。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（9）政府采购活动确认声明书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（4）总体方案</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展会宣传推广</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展会招展招商</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展览展示</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展会相关配套活动安排</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项目组织管理</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投标人综合实力</w:t>
      </w:r>
    </w:p>
    <w:p>
      <w:pPr>
        <w:snapToGrid w:val="0"/>
        <w:spacing w:line="460" w:lineRule="exact"/>
        <w:ind w:firstLine="440" w:firstLineChars="200"/>
        <w:rPr>
          <w:rFonts w:hint="eastAsia" w:ascii="宋体" w:hAnsi="宋体" w:eastAsia="宋体" w:cs="宋体"/>
          <w:color w:val="auto"/>
          <w:sz w:val="22"/>
          <w:szCs w:val="22"/>
          <w:highlight w:val="yellow"/>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业绩</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28"/>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投标人的</w:t>
      </w:r>
      <w:r>
        <w:rPr>
          <w:rFonts w:hint="eastAsia" w:ascii="宋体" w:hAnsi="宋体" w:eastAsia="宋体" w:cs="宋体"/>
          <w:color w:val="auto"/>
          <w:sz w:val="22"/>
          <w:szCs w:val="22"/>
          <w:highlight w:val="none"/>
        </w:rPr>
        <w:t>投标文件必须按照招标文件要求制作</w:t>
      </w:r>
      <w:r>
        <w:rPr>
          <w:rFonts w:hint="eastAsia" w:ascii="宋体" w:hAnsi="宋体" w:eastAsia="宋体" w:cs="宋体"/>
          <w:bCs/>
          <w:color w:val="auto"/>
          <w:sz w:val="22"/>
          <w:szCs w:val="22"/>
          <w:highlight w:val="none"/>
        </w:rPr>
        <w:t>。</w:t>
      </w:r>
    </w:p>
    <w:p>
      <w:pPr>
        <w:pStyle w:val="28"/>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41" w:firstLineChars="245"/>
        <w:rPr>
          <w:rFonts w:hint="eastAsia" w:ascii="宋体" w:hAnsi="宋体" w:eastAsia="宋体" w:cs="宋体"/>
          <w:color w:val="auto"/>
          <w:sz w:val="22"/>
          <w:szCs w:val="22"/>
          <w:highlight w:val="yellow"/>
        </w:rPr>
      </w:pPr>
      <w:r>
        <w:rPr>
          <w:rFonts w:hint="eastAsia" w:ascii="宋体" w:hAnsi="宋体" w:eastAsia="宋体" w:cs="宋体"/>
          <w:b/>
          <w:color w:val="auto"/>
          <w:sz w:val="22"/>
          <w:highlight w:val="none"/>
        </w:rPr>
        <w:t>4.1</w:t>
      </w:r>
      <w:r>
        <w:rPr>
          <w:rFonts w:hint="eastAsia" w:ascii="新宋体" w:hAnsi="新宋体" w:eastAsia="新宋体" w:cs="新宋体"/>
          <w:b/>
          <w:color w:val="auto"/>
          <w:sz w:val="22"/>
          <w:highlight w:val="none"/>
        </w:rPr>
        <w:t>投标人的报价为投标人为正确地完全履行招标内容及要求的价格，包括展会的策划、组织、操作、管理、媒体宣传推广、招展招商工作、场馆租赁、布展、开展、撤展、嘉宾邀请接待、各项专题活动、资料印制、指定人员交通食宿费、人身意外伤害险、利润、税金、招标代理服务费等完成合同所需的一切本身和不可或缺的所有工作开支、政策性文件规定及合同包含的所有风险、责任等各项全部费用，供应商应根据上述因素自行考虑含入投标报价（不含分会场费用）。</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color w:val="auto"/>
          <w:sz w:val="22"/>
          <w:highlight w:val="none"/>
        </w:rPr>
        <w:t>投标货币以人民币进行投标</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b/>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7.5《投标文件》因字迹潦草或表达不清所引起的后果由投标人负责。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8.1《投标文件》的签章：见《前附表》；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9.1投标文件的形式：见《前附表》；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1.1中标人确定后，招标人将向中标人发出中标通知书。 </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1.2中标</w:t>
      </w:r>
      <w:r>
        <w:rPr>
          <w:rFonts w:hint="eastAsia" w:ascii="宋体" w:hAnsi="宋体" w:eastAsia="宋体" w:cs="宋体"/>
          <w:color w:val="auto"/>
          <w:sz w:val="22"/>
          <w:szCs w:val="22"/>
          <w:highlight w:val="none"/>
        </w:rPr>
        <w:t>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履约保证金用于补偿招标人因中标人不能履行其合同义务而蒙受的损失。</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rPr>
      </w:pPr>
      <w:bookmarkStart w:id="24" w:name="_Toc19043"/>
      <w:bookmarkStart w:id="25" w:name="_Toc28194"/>
    </w:p>
    <w:p>
      <w:pPr>
        <w:rPr>
          <w:rFonts w:hint="eastAsia" w:ascii="宋体" w:hAnsi="宋体" w:eastAsia="宋体" w:cs="宋体"/>
          <w:color w:val="auto"/>
        </w:rPr>
      </w:pPr>
      <w:r>
        <w:rPr>
          <w:rFonts w:hint="eastAsia" w:ascii="宋体" w:hAnsi="宋体" w:eastAsia="宋体" w:cs="宋体"/>
          <w:color w:val="auto"/>
        </w:rPr>
        <w:br w:type="page"/>
      </w:r>
    </w:p>
    <w:p>
      <w:pPr>
        <w:pStyle w:val="2"/>
        <w:bidi w:val="0"/>
        <w:rPr>
          <w:rFonts w:hint="eastAsia" w:ascii="宋体" w:hAnsi="宋体" w:eastAsia="宋体" w:cs="宋体"/>
          <w:color w:val="auto"/>
        </w:rPr>
      </w:pPr>
      <w:r>
        <w:rPr>
          <w:rFonts w:hint="eastAsia" w:ascii="宋体" w:hAnsi="宋体" w:eastAsia="宋体" w:cs="宋体"/>
          <w:color w:val="auto"/>
        </w:rPr>
        <w:t>第二部分    合同主要条款</w:t>
      </w:r>
      <w:bookmarkEnd w:id="24"/>
      <w:bookmarkEnd w:id="25"/>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本条款为</w:t>
      </w:r>
      <w:r>
        <w:rPr>
          <w:rFonts w:hint="eastAsia" w:ascii="新宋体" w:hAnsi="新宋体" w:eastAsia="新宋体" w:cs="新宋体"/>
          <w:color w:val="auto"/>
          <w:sz w:val="22"/>
          <w:szCs w:val="22"/>
          <w:highlight w:val="none"/>
        </w:rPr>
        <w:t>甲乙</w:t>
      </w:r>
      <w:r>
        <w:rPr>
          <w:rFonts w:hint="eastAsia" w:ascii="新宋体" w:hAnsi="新宋体" w:eastAsia="新宋体" w:cs="新宋体"/>
          <w:color w:val="auto"/>
          <w:sz w:val="22"/>
          <w:highlight w:val="none"/>
        </w:rPr>
        <w:t>双方必须遵守的基本条款，</w:t>
      </w:r>
      <w:r>
        <w:rPr>
          <w:rFonts w:hint="eastAsia" w:ascii="新宋体" w:hAnsi="新宋体" w:eastAsia="新宋体" w:cs="新宋体"/>
          <w:color w:val="auto"/>
          <w:sz w:val="22"/>
          <w:szCs w:val="22"/>
          <w:highlight w:val="none"/>
        </w:rPr>
        <w:t>甲乙</w:t>
      </w:r>
      <w:r>
        <w:rPr>
          <w:rFonts w:hint="eastAsia" w:ascii="新宋体" w:hAnsi="新宋体" w:eastAsia="新宋体" w:cs="新宋体"/>
          <w:color w:val="auto"/>
          <w:sz w:val="22"/>
          <w:highlight w:val="none"/>
        </w:rPr>
        <w:t>双方也可根据实际情况另签合同条款，正式合同以双方签字盖章的文本为准。</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招标人： 中共温州市委宣传部      （以下简称甲方）</w:t>
      </w:r>
    </w:p>
    <w:p>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（以下简称乙方）</w:t>
      </w:r>
    </w:p>
    <w:p>
      <w:pPr>
        <w:spacing w:line="460" w:lineRule="exact"/>
        <w:ind w:firstLine="42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中共温州市委宣传部的（项目名称、编号）在国内以公开招标方式进行招标，经评标委员会评定（中标人名称）为中标人。甲方将委托乙方作为承办代理商，代理甲方承办本次博览会的各项具体工作。为了明确甲、乙双方的权利和义务，履行各自的职责，高效优质地完成本项目的各项工作任务，按照《民法典》的有关规定，经甲乙双方在平等、自愿的基础上共同协商一致，现签订合同如下。</w:t>
      </w:r>
    </w:p>
    <w:p>
      <w:pPr>
        <w:spacing w:line="460" w:lineRule="exact"/>
        <w:ind w:firstLine="539" w:firstLineChars="245"/>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第一条    合同名称</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2022</w:t>
      </w:r>
      <w:r>
        <w:rPr>
          <w:rFonts w:hint="eastAsia" w:ascii="新宋体" w:hAnsi="新宋体" w:eastAsia="新宋体" w:cs="新宋体"/>
          <w:color w:val="auto"/>
          <w:sz w:val="22"/>
          <w:highlight w:val="none"/>
        </w:rPr>
        <w:t>温州国际时尚文化产业博览会</w:t>
      </w:r>
    </w:p>
    <w:p>
      <w:pPr>
        <w:spacing w:line="460" w:lineRule="exact"/>
        <w:ind w:firstLine="539" w:firstLineChars="245"/>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第二条    合同文件的组成</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下列文件构成本合同的组成部分：</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（1）合同主要条款</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（2）中标通知书</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（3）投标文件</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（4）招标文件</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（5）合同补充条款或说明（如有的话）</w:t>
      </w:r>
    </w:p>
    <w:p>
      <w:pPr>
        <w:spacing w:line="460" w:lineRule="exact"/>
        <w:ind w:firstLine="539" w:firstLineChars="245"/>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第三条    博览会概况</w:t>
      </w:r>
    </w:p>
    <w:p>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1、展览会名称：</w:t>
      </w:r>
      <w:r>
        <w:rPr>
          <w:rFonts w:hint="eastAsia" w:ascii="宋体" w:hAnsi="宋体" w:cs="宋体"/>
          <w:color w:val="auto"/>
          <w:sz w:val="22"/>
          <w:szCs w:val="22"/>
          <w:highlight w:val="none"/>
          <w:lang w:eastAsia="zh-CN"/>
        </w:rPr>
        <w:t>2022</w:t>
      </w:r>
      <w:r>
        <w:rPr>
          <w:rFonts w:hint="eastAsia" w:ascii="宋体" w:hAnsi="宋体" w:cs="宋体"/>
          <w:color w:val="auto"/>
          <w:sz w:val="22"/>
          <w:szCs w:val="22"/>
          <w:highlight w:val="none"/>
        </w:rPr>
        <w:t>温州国际时尚文化产业博览会</w:t>
      </w:r>
    </w:p>
    <w:p>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2、主办单位：温州市人民政府、浙江省文化产业促进会、中国工艺美术学会。</w:t>
      </w:r>
    </w:p>
    <w:p>
      <w:pPr>
        <w:spacing w:line="460" w:lineRule="exact"/>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承办单位：中共温州市委宣传部</w:t>
      </w:r>
    </w:p>
    <w:p>
      <w:pPr>
        <w:numPr>
          <w:ilvl w:val="0"/>
          <w:numId w:val="0"/>
        </w:numPr>
        <w:spacing w:line="460" w:lineRule="exact"/>
        <w:ind w:leftChars="245"/>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举办时间：</w:t>
      </w:r>
      <w:r>
        <w:rPr>
          <w:rFonts w:hint="eastAsia" w:ascii="宋体" w:hAnsi="宋体" w:cs="宋体"/>
          <w:color w:val="auto"/>
          <w:sz w:val="22"/>
          <w:szCs w:val="22"/>
          <w:highlight w:val="none"/>
          <w:lang w:eastAsia="zh-CN"/>
        </w:rPr>
        <w:t>2022</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eastAsia="zh-CN"/>
        </w:rPr>
        <w:t>2022</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cs="宋体"/>
          <w:color w:val="auto"/>
          <w:sz w:val="22"/>
          <w:szCs w:val="22"/>
          <w:highlight w:val="none"/>
        </w:rPr>
        <w:t>日</w:t>
      </w:r>
    </w:p>
    <w:p>
      <w:pPr>
        <w:numPr>
          <w:ilvl w:val="0"/>
          <w:numId w:val="0"/>
        </w:numPr>
        <w:spacing w:line="460" w:lineRule="exact"/>
        <w:ind w:leftChars="245"/>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展会场地：主会场设在温州国际会议展览中心，并设若干分会场</w:t>
      </w:r>
    </w:p>
    <w:p>
      <w:pPr>
        <w:spacing w:line="460" w:lineRule="exact"/>
        <w:ind w:firstLine="440" w:firstLineChars="200"/>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第四条    文博会内容</w:t>
      </w:r>
    </w:p>
    <w:p>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按照疫情防控常态化要求，本届博览会采取线下线上互动的 形式，线上设置博览会云平台，线下合理控制展位面积。线下主 要由主题展会、系列论坛、配套活动和推介交易等组成。 </w:t>
      </w:r>
    </w:p>
    <w:p>
      <w:pPr>
        <w:numPr>
          <w:ilvl w:val="0"/>
          <w:numId w:val="2"/>
        </w:numPr>
        <w:spacing w:line="460" w:lineRule="exact"/>
        <w:ind w:left="-119" w:leftChars="0" w:firstLine="539"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主题展会。线下主要分城市文创精品馆、文化融合发 展馆、工艺美术非遗馆、雅生活文化馆、动漫潮玩馆等五大展馆， 并在户外广场设置瓯越食肆专区，总面积约 3 万平方米。线上展 会设立“温州文博会云平台”移动端，设置展会亮点、项目展示、活动安排、直播专场等板块，以各类海内外文创精品展示交流为 主，开展项目“云展示”“云对接”。 </w:t>
      </w:r>
    </w:p>
    <w:p>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城市文创精品馆。</w:t>
      </w:r>
      <w:r>
        <w:rPr>
          <w:rFonts w:hint="eastAsia" w:ascii="宋体" w:hAnsi="宋体" w:cs="宋体"/>
          <w:color w:val="auto"/>
          <w:sz w:val="22"/>
          <w:szCs w:val="22"/>
          <w:highlight w:val="none"/>
        </w:rPr>
        <w:t>该馆</w:t>
      </w:r>
      <w:r>
        <w:rPr>
          <w:rFonts w:hint="eastAsia" w:ascii="宋体" w:hAnsi="宋体" w:cs="宋体"/>
          <w:color w:val="auto"/>
          <w:sz w:val="22"/>
          <w:szCs w:val="22"/>
          <w:highlight w:val="none"/>
          <w:lang w:eastAsia="zh-CN"/>
        </w:rPr>
        <w:t>主要</w:t>
      </w:r>
      <w:r>
        <w:rPr>
          <w:rFonts w:hint="eastAsia" w:ascii="宋体" w:hAnsi="宋体" w:cs="宋体"/>
          <w:color w:val="auto"/>
          <w:sz w:val="22"/>
          <w:szCs w:val="22"/>
          <w:highlight w:val="none"/>
        </w:rPr>
        <w:t>展现国内外品牌 文化企业的时尚文创精品及项目，以及海内外各地特色文化及其 衍生精品。海外部分主要展示“一带一路”沿线国家文创精品，</w:t>
      </w:r>
      <w:r>
        <w:rPr>
          <w:rFonts w:hint="eastAsia" w:ascii="宋体" w:hAnsi="宋体" w:cs="宋体"/>
          <w:color w:val="auto"/>
          <w:sz w:val="22"/>
          <w:szCs w:val="22"/>
          <w:highlight w:val="none"/>
          <w:lang w:eastAsia="zh-CN"/>
        </w:rPr>
        <w:t>及</w:t>
      </w:r>
      <w:r>
        <w:rPr>
          <w:rFonts w:hint="eastAsia" w:ascii="宋体" w:hAnsi="宋体" w:cs="宋体"/>
          <w:color w:val="auto"/>
          <w:sz w:val="22"/>
          <w:szCs w:val="22"/>
          <w:highlight w:val="none"/>
        </w:rPr>
        <w:t>“东亚文化之都”获评城市的经典传统文化作品及文创、设计新品；国内部分主要展示长三角城市和温州对口支援合作城市的特色文化产业发展成果。</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xml:space="preserve">文化融合发展馆。该馆分文旅融合、体旅融合、文化科技、博物馆文创等板块。文旅融合板块主要展示代表历史文化、现代文化、民俗文化文旅融合发展项目，以及未来乡村建设中涌现的特色乡镇、特色民宿、主题度假区、特色旅游目的地和富于地方特色的城市礼品、文旅纪念品等；体旅融合板块主要展示体旅项目和文体项目 发展亮点并现场演示互动；文化科技板块主要展示以数字经济为 引擎带来的沉浸式、互动式、个性定制化的文化科技融合产品和服务。博物馆文创板块将展示各大博物馆文创衍生产品和温州民间博物馆的部分优秀藏品。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工艺美术非遗馆。该馆主要展示国内不同区域、不同民族、 不同风格工艺美术的大师力作及文创精品。其中包括中国百名工艺美术大师精品展区、温州工艺美术展区、文创精品展区等，展会期间还将举办中国工艺美术创新设计大赛、第三届 （温州）“臻藏工美”2022 中国工艺美术优秀作品推荐收藏等系列活动。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xml:space="preserve">雅生活文化馆。该馆分图书出版、生活美学、创艺雅集三大板块。图书出版板块引进 省内外各类出版社和特色书店，展销当下受欢迎的各类图书出版物，营造简约、有品质的书生活空间。美学生活板块展示富有美 学气质的创意精品，包括具有市场推广价值的企业文化礼品、优秀设计师作品等；创艺雅集板块展示琴棋书画艺术、茶道香道艺术及手工艺人、创意手造作品等。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动漫潮玩馆。该馆展示时尚潮玩手办作品、动漫手游衍生 品、动漫音乐二次元插画、创意涂鸦等，并开展 Cosplay 角色扮 演展示、游戏娱乐活动等。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 xml:space="preserve">瓯越食肆专区。在户外广场设置瓯越食肆专区，展销温州传统非遗美食、风味名小吃、特色美食等，为温州市民和外来展 商提供一个品尝温州美食的机会。 </w:t>
      </w:r>
    </w:p>
    <w:p>
      <w:pPr>
        <w:numPr>
          <w:ilvl w:val="0"/>
          <w:numId w:val="2"/>
        </w:numPr>
        <w:spacing w:line="460" w:lineRule="exact"/>
        <w:ind w:left="-119" w:leftChars="0" w:firstLine="539"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分会场。以各种博物馆、美术馆及文创和产业融合较为成熟的文化街区、旅游风情小镇（村落） 为重点区域，根据申报单位的主题内容设置若干分会场。 </w:t>
      </w:r>
    </w:p>
    <w:p>
      <w:pPr>
        <w:numPr>
          <w:ilvl w:val="0"/>
          <w:numId w:val="2"/>
        </w:numPr>
        <w:spacing w:line="460" w:lineRule="exact"/>
        <w:ind w:left="-119" w:leftChars="0" w:firstLine="539"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系列论坛。结合主题展会内容，举办文化经济新趋势发布会、</w:t>
      </w:r>
      <w:r>
        <w:rPr>
          <w:rFonts w:hint="eastAsia" w:ascii="宋体" w:hAnsi="宋体" w:cs="宋体"/>
          <w:color w:val="auto"/>
          <w:sz w:val="22"/>
          <w:highlight w:val="none"/>
        </w:rPr>
        <w:t>未来乡村和文旅发展</w:t>
      </w:r>
      <w:r>
        <w:rPr>
          <w:rFonts w:hint="eastAsia" w:ascii="宋体" w:hAnsi="宋体" w:cs="宋体"/>
          <w:color w:val="auto"/>
          <w:sz w:val="22"/>
          <w:highlight w:val="none"/>
          <w:lang w:eastAsia="zh-CN"/>
        </w:rPr>
        <w:t>高峰</w:t>
      </w:r>
      <w:r>
        <w:rPr>
          <w:rFonts w:hint="eastAsia" w:ascii="宋体" w:hAnsi="宋体" w:cs="宋体"/>
          <w:color w:val="auto"/>
          <w:sz w:val="22"/>
          <w:highlight w:val="none"/>
        </w:rPr>
        <w:t>论坛</w:t>
      </w:r>
      <w:r>
        <w:rPr>
          <w:rFonts w:hint="eastAsia" w:ascii="宋体" w:hAnsi="宋体" w:cs="宋体"/>
          <w:color w:val="auto"/>
          <w:sz w:val="22"/>
          <w:szCs w:val="22"/>
          <w:highlight w:val="none"/>
        </w:rPr>
        <w:t xml:space="preserve">、两岸（温州）文创发展论坛、中国工艺美术发展大会等，以会议交流带动文创与产业深入互动，促进融合发展。 </w:t>
      </w:r>
    </w:p>
    <w:p>
      <w:pPr>
        <w:numPr>
          <w:ilvl w:val="0"/>
          <w:numId w:val="2"/>
        </w:numPr>
        <w:spacing w:line="460" w:lineRule="exact"/>
        <w:ind w:left="-119" w:leftChars="0" w:firstLine="539"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推介交易。文博会期间，将结合温州文化产业发展实际，开展系列文化及产业融合创新项目推介。包括书画工艺美术精品拍卖会、企业文化礼品采购推介会、</w:t>
      </w:r>
      <w:r>
        <w:rPr>
          <w:rFonts w:hint="eastAsia" w:ascii="宋体" w:hAnsi="宋体" w:cs="宋体"/>
          <w:color w:val="auto"/>
          <w:sz w:val="22"/>
          <w:highlight w:val="none"/>
        </w:rPr>
        <w:t>工美新媒体直播及线上销售活动</w:t>
      </w:r>
      <w:r>
        <w:rPr>
          <w:rFonts w:hint="eastAsia" w:ascii="宋体" w:hAnsi="宋体" w:cs="宋体"/>
          <w:color w:val="auto"/>
          <w:sz w:val="22"/>
          <w:szCs w:val="22"/>
          <w:highlight w:val="none"/>
        </w:rPr>
        <w:t xml:space="preserve">等。 </w:t>
      </w:r>
    </w:p>
    <w:p>
      <w:pPr>
        <w:numPr>
          <w:ilvl w:val="0"/>
          <w:numId w:val="2"/>
        </w:numPr>
        <w:spacing w:line="460" w:lineRule="exact"/>
        <w:ind w:left="-119" w:leftChars="0" w:firstLine="539"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配套活动。举办金瓯奖温州城市手信设计大赛、知名作家签售、文博会短视频大赛、瓯江山水诗吟诵会、非遗创新服装秀、展商秀等活动。</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（二）</w:t>
      </w:r>
      <w:r>
        <w:rPr>
          <w:rFonts w:hint="eastAsia" w:ascii="新宋体" w:hAnsi="新宋体" w:eastAsia="新宋体" w:cs="新宋体"/>
          <w:color w:val="auto"/>
          <w:sz w:val="22"/>
          <w:highlight w:val="none"/>
        </w:rPr>
        <w:t>场馆要求</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1、要求展览总面积达到</w:t>
      </w:r>
      <w:r>
        <w:rPr>
          <w:rFonts w:hint="eastAsia" w:ascii="新宋体" w:hAnsi="新宋体" w:eastAsia="新宋体" w:cs="新宋体"/>
          <w:color w:val="auto"/>
          <w:sz w:val="22"/>
          <w:highlight w:val="none"/>
          <w:u w:val="single"/>
        </w:rPr>
        <w:t xml:space="preserve">3 </w:t>
      </w:r>
      <w:r>
        <w:rPr>
          <w:rFonts w:hint="eastAsia" w:ascii="新宋体" w:hAnsi="新宋体" w:eastAsia="新宋体" w:cs="新宋体"/>
          <w:color w:val="auto"/>
          <w:sz w:val="22"/>
          <w:highlight w:val="none"/>
        </w:rPr>
        <w:t>万平方米左右（含配套展馆及户外展示）；招商类别兼顾海外、国内、本土文创、创意设计、智能科技、工艺美术、书画艺术、图书出版、文旅民宿、非遗美食等。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2、国际方面，能邀请到体现海外文化精品的机构参展；</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3、港台方面，能邀请台湾文化创意产业相关企业参展；</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4、传统方面，能组织全国各地</w:t>
      </w:r>
      <w:r>
        <w:rPr>
          <w:rFonts w:hint="eastAsia" w:ascii="新宋体" w:hAnsi="新宋体" w:eastAsia="新宋体" w:cs="新宋体"/>
          <w:color w:val="auto"/>
          <w:sz w:val="22"/>
          <w:szCs w:val="22"/>
          <w:highlight w:val="none"/>
        </w:rPr>
        <w:t>工艺美术大师作品、创新工艺美术精品，包括雕塑工艺品、刺绣染织、艺术陶瓷、工艺玻璃、编织工艺、漆器类、工艺家具、金属工艺等</w:t>
      </w:r>
      <w:r>
        <w:rPr>
          <w:rFonts w:hint="eastAsia" w:ascii="新宋体" w:hAnsi="新宋体" w:eastAsia="新宋体" w:cs="新宋体"/>
          <w:color w:val="auto"/>
          <w:sz w:val="22"/>
          <w:highlight w:val="none"/>
        </w:rPr>
        <w:t>具有悠久历史、发展蓬勃的工艺美术类产品生产企业、机构，展示各种工艺美术精品。</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5、文创特色方面，呈现国内省内特色文化产业，呈现温州文化创意产业近年来的的蓬勃发展成就。</w:t>
      </w:r>
    </w:p>
    <w:p>
      <w:pPr>
        <w:spacing w:line="460" w:lineRule="exact"/>
        <w:ind w:firstLine="539" w:firstLineChars="245"/>
        <w:rPr>
          <w:rFonts w:hint="eastAsia" w:ascii="宋体" w:hAnsi="宋体" w:cs="宋体"/>
          <w:color w:val="auto"/>
          <w:sz w:val="22"/>
          <w:highlight w:val="none"/>
        </w:rPr>
      </w:pPr>
      <w:r>
        <w:rPr>
          <w:rFonts w:hint="eastAsia" w:ascii="宋体" w:hAnsi="宋体" w:cs="宋体"/>
          <w:color w:val="auto"/>
          <w:sz w:val="22"/>
          <w:highlight w:val="none"/>
        </w:rPr>
        <w:t>6、文旅融合方面，文旅融合板块主要展示代表历史文化、现代文化、民俗文化的文旅融合发展项目，以及未来乡村建设中涌现的特色乡镇、特色民宿、主题度假区、特色旅游目的地和富于地方特色的城市礼品、文旅纪念品等。</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7、文化科技方面，展示互动式、个性定制化的文化科技融合产品和服务。</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8、文化消费方面，各大图书出版销售机构、书画经纪机构、文化艺术培训机构、乐器及娱乐设备制造销售企业</w:t>
      </w:r>
      <w:r>
        <w:rPr>
          <w:rFonts w:hint="eastAsia" w:ascii="新宋体" w:hAnsi="新宋体" w:eastAsia="新宋体" w:cs="宋体"/>
          <w:color w:val="auto"/>
          <w:kern w:val="0"/>
          <w:sz w:val="22"/>
          <w:szCs w:val="22"/>
          <w:highlight w:val="none"/>
          <w:lang w:eastAsia="zh-CN"/>
        </w:rPr>
        <w:t>、</w:t>
      </w:r>
      <w:r>
        <w:rPr>
          <w:rFonts w:hint="eastAsia" w:ascii="新宋体" w:hAnsi="新宋体" w:eastAsia="新宋体" w:cs="宋体"/>
          <w:color w:val="auto"/>
          <w:kern w:val="0"/>
          <w:sz w:val="22"/>
          <w:szCs w:val="22"/>
          <w:highlight w:val="none"/>
        </w:rPr>
        <w:t>文化用品生产销售企业进场展示销售。</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9、</w:t>
      </w:r>
      <w:r>
        <w:rPr>
          <w:rFonts w:hint="eastAsia" w:ascii="宋体" w:hAnsi="宋体" w:cs="宋体"/>
          <w:color w:val="auto"/>
          <w:sz w:val="22"/>
          <w:highlight w:val="none"/>
          <w:lang w:eastAsia="zh-CN"/>
        </w:rPr>
        <w:t>瓯越</w:t>
      </w:r>
      <w:r>
        <w:rPr>
          <w:rFonts w:hint="eastAsia" w:ascii="新宋体" w:hAnsi="新宋体" w:eastAsia="新宋体" w:cs="新宋体"/>
          <w:color w:val="auto"/>
          <w:sz w:val="22"/>
          <w:highlight w:val="none"/>
        </w:rPr>
        <w:t>美食方面，展示</w:t>
      </w:r>
      <w:r>
        <w:rPr>
          <w:rFonts w:hint="eastAsia" w:ascii="新宋体" w:hAnsi="新宋体" w:eastAsia="新宋体" w:cs="新宋体"/>
          <w:color w:val="auto"/>
          <w:sz w:val="22"/>
          <w:szCs w:val="22"/>
          <w:highlight w:val="none"/>
        </w:rPr>
        <w:t>非遗传统美食</w:t>
      </w:r>
      <w:r>
        <w:rPr>
          <w:rFonts w:hint="eastAsia" w:ascii="新宋体" w:hAnsi="新宋体" w:eastAsia="新宋体" w:cs="新宋体"/>
          <w:color w:val="auto"/>
          <w:sz w:val="22"/>
          <w:szCs w:val="22"/>
          <w:highlight w:val="none"/>
          <w:lang w:eastAsia="zh-CN"/>
        </w:rPr>
        <w:t>、</w:t>
      </w:r>
      <w:r>
        <w:rPr>
          <w:rFonts w:hint="eastAsia" w:ascii="宋体" w:hAnsi="宋体" w:cs="宋体"/>
          <w:color w:val="auto"/>
          <w:sz w:val="22"/>
          <w:highlight w:val="none"/>
        </w:rPr>
        <w:t>风味名小吃、特色美食</w:t>
      </w:r>
      <w:r>
        <w:rPr>
          <w:rFonts w:hint="eastAsia" w:ascii="宋体" w:hAnsi="宋体" w:cs="宋体"/>
          <w:color w:val="auto"/>
          <w:sz w:val="22"/>
          <w:highlight w:val="none"/>
          <w:lang w:eastAsia="zh-CN"/>
        </w:rPr>
        <w:t>等</w:t>
      </w:r>
      <w:r>
        <w:rPr>
          <w:rFonts w:hint="eastAsia" w:ascii="宋体" w:hAnsi="宋体" w:cs="宋体"/>
          <w:color w:val="auto"/>
          <w:sz w:val="22"/>
          <w:highlight w:val="none"/>
        </w:rPr>
        <w:t>，</w:t>
      </w:r>
      <w:r>
        <w:rPr>
          <w:rFonts w:hint="eastAsia" w:ascii="新宋体" w:hAnsi="新宋体" w:eastAsia="新宋体" w:cs="新宋体"/>
          <w:color w:val="auto"/>
          <w:sz w:val="22"/>
          <w:szCs w:val="22"/>
          <w:highlight w:val="none"/>
        </w:rPr>
        <w:t>展示各具特色的美食文化。</w:t>
      </w:r>
    </w:p>
    <w:p>
      <w:pPr>
        <w:widowControl/>
        <w:shd w:val="clear" w:color="auto" w:fill="FFFFFF"/>
        <w:spacing w:line="460" w:lineRule="exact"/>
        <w:ind w:firstLine="550" w:firstLineChars="250"/>
        <w:jc w:val="lef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10、</w:t>
      </w:r>
      <w:r>
        <w:rPr>
          <w:rFonts w:hint="eastAsia" w:ascii="新宋体" w:hAnsi="新宋体" w:eastAsia="新宋体" w:cs="新宋体"/>
          <w:color w:val="auto"/>
          <w:kern w:val="0"/>
          <w:sz w:val="22"/>
          <w:szCs w:val="22"/>
          <w:highlight w:val="none"/>
        </w:rPr>
        <w:t>展出规模：合计标准展</w:t>
      </w:r>
      <w:r>
        <w:rPr>
          <w:rFonts w:hint="eastAsia" w:ascii="新宋体" w:hAnsi="新宋体" w:eastAsia="新宋体" w:cs="新宋体"/>
          <w:color w:val="auto"/>
          <w:sz w:val="22"/>
          <w:highlight w:val="none"/>
        </w:rPr>
        <w:t>位1300个以</w:t>
      </w:r>
      <w:r>
        <w:rPr>
          <w:rFonts w:hint="eastAsia" w:ascii="新宋体" w:hAnsi="新宋体" w:eastAsia="新宋体" w:cs="新宋体"/>
          <w:color w:val="auto"/>
          <w:kern w:val="0"/>
          <w:sz w:val="22"/>
          <w:szCs w:val="22"/>
          <w:highlight w:val="none"/>
        </w:rPr>
        <w:t>上，其中</w:t>
      </w:r>
      <w:r>
        <w:rPr>
          <w:rFonts w:hint="eastAsia" w:ascii="新宋体" w:hAnsi="新宋体" w:eastAsia="新宋体" w:cs="新宋体"/>
          <w:color w:val="auto"/>
          <w:kern w:val="0"/>
          <w:sz w:val="22"/>
          <w:szCs w:val="22"/>
          <w:highlight w:val="none"/>
          <w:u w:val="single"/>
        </w:rPr>
        <w:t>特装</w:t>
      </w:r>
      <w:r>
        <w:rPr>
          <w:rFonts w:hint="eastAsia" w:ascii="新宋体" w:hAnsi="新宋体" w:eastAsia="新宋体" w:cs="新宋体"/>
          <w:color w:val="auto"/>
          <w:kern w:val="0"/>
          <w:sz w:val="22"/>
          <w:szCs w:val="22"/>
          <w:highlight w:val="none"/>
        </w:rPr>
        <w:t>展位75个以上（每个4个及以上标展面积），观众8万人次以上。</w:t>
      </w:r>
    </w:p>
    <w:p>
      <w:pPr>
        <w:spacing w:line="460" w:lineRule="exact"/>
        <w:ind w:firstLine="539" w:firstLineChars="245"/>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第五条    合同总价及付款方式</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承包总价：万元（包括展会的策划、组织、操作、管理、媒体宣传推广、招展招商工作、场馆租赁、布展、开展、撤展、嘉宾邀请接待、各项专题活动、资料印制、指定人员交通食宿费、人身意外伤害险、利润、税金等完成合同所需的一切本身和不可或缺的所有工作开支、政策性文件规定及合同包含的所有风险、责任等各项全部费用。（不含分会场费用。）</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2、付款方式：</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u w:val="single"/>
        </w:rPr>
        <w:t>（1）合同签订生效后7个工作日内</w:t>
      </w:r>
      <w:r>
        <w:rPr>
          <w:rFonts w:hint="eastAsia" w:ascii="新宋体" w:hAnsi="新宋体" w:eastAsia="新宋体" w:cs="新宋体"/>
          <w:color w:val="auto"/>
          <w:sz w:val="22"/>
          <w:highlight w:val="none"/>
          <w:u w:val="single"/>
          <w:lang w:eastAsia="zh-CN"/>
        </w:rPr>
        <w:t>，</w:t>
      </w:r>
      <w:r>
        <w:rPr>
          <w:rFonts w:hint="eastAsia" w:ascii="新宋体" w:hAnsi="新宋体" w:eastAsia="新宋体" w:cs="新宋体"/>
          <w:color w:val="auto"/>
          <w:sz w:val="22"/>
          <w:highlight w:val="none"/>
          <w:u w:val="single"/>
        </w:rPr>
        <w:t>甲方向乙方首付合同价款的60% ，乙方应出具正式发票；</w:t>
      </w:r>
    </w:p>
    <w:p>
      <w:pPr>
        <w:spacing w:line="460" w:lineRule="exact"/>
        <w:ind w:firstLine="539" w:firstLineChars="245"/>
        <w:rPr>
          <w:rFonts w:ascii="新宋体" w:hAnsi="新宋体" w:eastAsia="新宋体" w:cs="新宋体"/>
          <w:color w:val="auto"/>
          <w:sz w:val="22"/>
          <w:highlight w:val="none"/>
          <w:u w:val="single"/>
        </w:rPr>
      </w:pPr>
      <w:r>
        <w:rPr>
          <w:rFonts w:hint="eastAsia" w:ascii="新宋体" w:hAnsi="新宋体" w:eastAsia="新宋体" w:cs="新宋体"/>
          <w:color w:val="auto"/>
          <w:sz w:val="22"/>
          <w:highlight w:val="none"/>
          <w:u w:val="single"/>
        </w:rPr>
        <w:t>（2）待展会结束，所有工作均已完成后，由甲方委托第三方机构对文博会执行情况进行绩效评价，根据评价结果支付尾款资金。在收到乙方出具的正式发票后10个工作日内，甲方向乙方支付剩余合同款。</w:t>
      </w:r>
    </w:p>
    <w:p>
      <w:pPr>
        <w:spacing w:line="460" w:lineRule="exact"/>
        <w:ind w:firstLine="539" w:firstLineChars="245"/>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第六条    合同工期要求</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u w:val="single"/>
        </w:rPr>
        <w:t>根据展会举办的时间及各项活动要求，按计划完成本合同项下所有的展会代理承办工作。</w:t>
      </w:r>
    </w:p>
    <w:p>
      <w:pPr>
        <w:spacing w:line="460" w:lineRule="exact"/>
        <w:ind w:firstLine="539" w:firstLineChars="245"/>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第七条    乙方代理承办内容及范围</w:t>
      </w:r>
    </w:p>
    <w:p>
      <w:pPr>
        <w:spacing w:line="460" w:lineRule="exact"/>
        <w:ind w:firstLine="539" w:firstLineChars="245"/>
        <w:rPr>
          <w:rFonts w:ascii="新宋体" w:hAnsi="新宋体" w:eastAsia="新宋体" w:cs="新宋体"/>
          <w:color w:val="auto"/>
          <w:sz w:val="22"/>
          <w:highlight w:val="none"/>
          <w:u w:val="single"/>
        </w:rPr>
      </w:pPr>
      <w:r>
        <w:rPr>
          <w:rFonts w:hint="eastAsia" w:ascii="新宋体" w:hAnsi="新宋体" w:eastAsia="新宋体" w:cs="新宋体"/>
          <w:color w:val="auto"/>
          <w:sz w:val="22"/>
          <w:highlight w:val="none"/>
        </w:rPr>
        <w:t xml:space="preserve"> 乙方负责本次展会的策划、组织、操作、管理、媒体宣传推广、招展招商工作、场馆租赁、布展、开展、撤展、嘉宾邀请接待、各项专题活动、资料印制等。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1、媒体宣传推广 </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要求扩大宣传，建立专门的网站、微信公众号，本地平面媒体新闻、专题、广告宣传合计不少于40个版面，电视、电台媒体各类宣传不少于100次，网络、移动新媒体各类发布不少于100次，其他社会类实体广告宣传不少于4种。</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（1）温州电视台等视频媒体宣传推广 。</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（2）温州日报、温州都市报、温州商报、温州晚报等报刊宣传报道。</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（3）温州广播电台等媒体宣传推广。</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（4）微博微信抖音等网络新媒体宣传推广。</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（5）市内户外广告宣传（户外电子屏等）。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（6）展会新闻素材采编制作 。</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（7）其他推广</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2、招展招商工作 </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总参展企业不得少于</w:t>
      </w:r>
      <w:r>
        <w:rPr>
          <w:rFonts w:hint="eastAsia" w:ascii="新宋体" w:hAnsi="新宋体" w:eastAsia="新宋体" w:cs="新宋体"/>
          <w:color w:val="auto"/>
          <w:sz w:val="22"/>
          <w:highlight w:val="none"/>
          <w:u w:val="none"/>
          <w:lang w:val="en-US" w:eastAsia="zh-CN"/>
        </w:rPr>
        <w:t>350</w:t>
      </w:r>
      <w:r>
        <w:rPr>
          <w:rFonts w:hint="eastAsia" w:ascii="新宋体" w:hAnsi="新宋体" w:eastAsia="新宋体" w:cs="新宋体"/>
          <w:color w:val="auto"/>
          <w:sz w:val="22"/>
          <w:highlight w:val="none"/>
        </w:rPr>
        <w:t>家。</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其中市外企业不少于10%。</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其中境外企业不少于30家。</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涉及到本土产业领域不少于10个。</w:t>
      </w:r>
    </w:p>
    <w:p>
      <w:pPr>
        <w:spacing w:line="460" w:lineRule="exact"/>
        <w:ind w:firstLine="539" w:firstLineChars="245"/>
        <w:rPr>
          <w:rFonts w:hint="eastAsia" w:ascii="新宋体" w:hAnsi="新宋体" w:eastAsia="新宋体" w:cs="新宋体"/>
          <w:color w:val="auto"/>
          <w:sz w:val="22"/>
          <w:highlight w:val="none"/>
          <w:u w:val="none"/>
          <w:lang w:val="en-US" w:eastAsia="zh-CN"/>
        </w:rPr>
      </w:pPr>
      <w:r>
        <w:rPr>
          <w:rFonts w:hint="eastAsia" w:ascii="新宋体" w:hAnsi="新宋体" w:eastAsia="新宋体" w:cs="新宋体"/>
          <w:color w:val="auto"/>
          <w:sz w:val="22"/>
          <w:highlight w:val="none"/>
          <w:u w:val="none"/>
          <w:lang w:val="en-US" w:eastAsia="zh-CN"/>
        </w:rPr>
        <w:t>（1）境外招展代理工作，包括境外招展合作代理、展会推广，邀请重要嘉宾工作等。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val="en-US" w:eastAsia="zh-CN"/>
        </w:rPr>
        <w:t>2</w:t>
      </w:r>
      <w:r>
        <w:rPr>
          <w:rFonts w:hint="eastAsia" w:ascii="新宋体" w:hAnsi="新宋体" w:eastAsia="新宋体" w:cs="新宋体"/>
          <w:color w:val="auto"/>
          <w:sz w:val="22"/>
          <w:highlight w:val="none"/>
        </w:rPr>
        <w:t>）境外参展商、专业观展商及重要嘉宾交通、住宿补贴等。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）国内招商工作。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）国内招商代理工作，包括招商合作代理、展会推广、组织派遣招商等。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val="en-US" w:eastAsia="zh-CN"/>
        </w:rPr>
        <w:t>5</w:t>
      </w:r>
      <w:r>
        <w:rPr>
          <w:rFonts w:hint="eastAsia" w:ascii="新宋体" w:hAnsi="新宋体" w:eastAsia="新宋体" w:cs="新宋体"/>
          <w:color w:val="auto"/>
          <w:sz w:val="22"/>
          <w:highlight w:val="none"/>
        </w:rPr>
        <w:t>）国内重要展商和嘉宾交通费用补贴等。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3、场馆租赁、搭建、布置等工作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（1）场馆地点：温州国际会议展览中心，面积3万平方米左右（含户外展览面积）。</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（2）展会特装面积占总展览面积的70%以上。</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（3）场馆服务：包括安保、卫生、水电以及展馆提供的其他服务费用。</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（4）展位搭建：包括标准展位特装搭建和特殊展位搭建，其中特殊展位搭建75个以上。</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（5）场馆形象布置、广告宣传等。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4、专题活动</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包括整体形象策划、组织执行、外围及现场气氛布置、灯光、音响、舞美布置、礼仪、主持人、翻译等工作。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博览会期间，两场以上专家参与的论坛，其他各类专题会议、讲座、表演等活动不少于25场；</w:t>
      </w:r>
    </w:p>
    <w:p>
      <w:pPr>
        <w:spacing w:line="460" w:lineRule="exact"/>
        <w:ind w:left="539"/>
        <w:rPr>
          <w:rFonts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）文化经济新趋势发布会：包括项目策划、嘉宾邀请、场地租赁布置、主持人等。</w:t>
      </w:r>
    </w:p>
    <w:p>
      <w:pPr>
        <w:spacing w:line="460" w:lineRule="exact"/>
        <w:ind w:left="539"/>
        <w:rPr>
          <w:rFonts w:ascii="宋体" w:hAnsi="宋体" w:cs="宋体"/>
          <w:color w:val="auto"/>
          <w:sz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w:t>
      </w:r>
      <w:r>
        <w:rPr>
          <w:rFonts w:hint="eastAsia" w:ascii="新宋体" w:hAnsi="新宋体" w:eastAsia="新宋体" w:cs="新宋体"/>
          <w:color w:val="auto"/>
          <w:sz w:val="22"/>
          <w:highlight w:val="none"/>
          <w:u w:val="none"/>
        </w:rPr>
        <w:t>未来乡村和文旅发展</w:t>
      </w:r>
      <w:r>
        <w:rPr>
          <w:rFonts w:hint="eastAsia" w:ascii="新宋体" w:hAnsi="新宋体" w:eastAsia="新宋体" w:cs="新宋体"/>
          <w:color w:val="auto"/>
          <w:sz w:val="22"/>
          <w:highlight w:val="none"/>
          <w:u w:val="none"/>
          <w:lang w:eastAsia="zh-CN"/>
        </w:rPr>
        <w:t>高峰</w:t>
      </w:r>
      <w:r>
        <w:rPr>
          <w:rFonts w:hint="eastAsia" w:ascii="新宋体" w:hAnsi="新宋体" w:eastAsia="新宋体" w:cs="新宋体"/>
          <w:color w:val="auto"/>
          <w:sz w:val="22"/>
          <w:highlight w:val="none"/>
          <w:u w:val="none"/>
        </w:rPr>
        <w:t>论坛</w:t>
      </w:r>
      <w:r>
        <w:rPr>
          <w:rFonts w:hint="eastAsia" w:ascii="宋体" w:hAnsi="宋体" w:cs="宋体"/>
          <w:color w:val="auto"/>
          <w:sz w:val="22"/>
          <w:highlight w:val="none"/>
        </w:rPr>
        <w:t>：包括项目策划、嘉宾邀请、场地租赁布置、主持人等。</w:t>
      </w:r>
    </w:p>
    <w:p>
      <w:pPr>
        <w:spacing w:line="460" w:lineRule="exact"/>
        <w:ind w:left="539"/>
        <w:rPr>
          <w:rFonts w:ascii="宋体" w:hAnsi="宋体" w:cs="宋体"/>
          <w:color w:val="auto"/>
          <w:sz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w:t>
      </w:r>
      <w:r>
        <w:rPr>
          <w:rFonts w:hint="eastAsia" w:ascii="新宋体" w:hAnsi="新宋体" w:eastAsia="新宋体" w:cs="新宋体"/>
          <w:color w:val="auto"/>
          <w:sz w:val="22"/>
          <w:highlight w:val="none"/>
          <w:u w:val="none"/>
        </w:rPr>
        <w:t>两岸（温州）文创发展论坛：</w:t>
      </w:r>
      <w:r>
        <w:rPr>
          <w:rFonts w:hint="eastAsia" w:ascii="宋体" w:hAnsi="宋体" w:cs="宋体"/>
          <w:color w:val="auto"/>
          <w:sz w:val="22"/>
          <w:highlight w:val="none"/>
        </w:rPr>
        <w:t>包括项目策划、嘉宾邀请、场地租赁布置、主持人等。</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）舞台等互动演示区，包括搭建、布置、LED、灯光音响等设备租赁。</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5、展会期间其他活动</w:t>
      </w:r>
    </w:p>
    <w:p>
      <w:pPr>
        <w:spacing w:line="460" w:lineRule="exact"/>
        <w:ind w:firstLine="539" w:firstLineChars="245"/>
        <w:rPr>
          <w:rFonts w:hint="eastAsia" w:ascii="新宋体" w:hAnsi="新宋体" w:eastAsia="新宋体" w:cs="新宋体"/>
          <w:color w:val="auto"/>
          <w:sz w:val="22"/>
          <w:highlight w:val="none"/>
          <w:u w:val="none"/>
        </w:rPr>
      </w:pPr>
      <w:r>
        <w:rPr>
          <w:rFonts w:hint="eastAsia" w:ascii="新宋体" w:hAnsi="新宋体" w:eastAsia="新宋体" w:cs="新宋体"/>
          <w:color w:val="auto"/>
          <w:sz w:val="22"/>
          <w:highlight w:val="none"/>
          <w:u w:val="none"/>
        </w:rPr>
        <w:t>（1）企业文化礼品采购推介会</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（2）书画工艺美术精品拍卖会</w:t>
      </w:r>
    </w:p>
    <w:p>
      <w:pPr>
        <w:spacing w:line="460" w:lineRule="exact"/>
        <w:ind w:firstLine="539" w:firstLineChars="245"/>
        <w:rPr>
          <w:rFonts w:hint="eastAsia" w:ascii="新宋体" w:hAnsi="新宋体" w:eastAsia="新宋体" w:cs="新宋体"/>
          <w:color w:val="auto"/>
          <w:sz w:val="22"/>
          <w:highlight w:val="none"/>
          <w:u w:val="none"/>
        </w:rPr>
      </w:pPr>
      <w:r>
        <w:rPr>
          <w:rFonts w:hint="eastAsia" w:ascii="新宋体" w:hAnsi="新宋体" w:eastAsia="新宋体" w:cs="新宋体"/>
          <w:color w:val="auto"/>
          <w:sz w:val="22"/>
          <w:highlight w:val="none"/>
          <w:u w:val="none"/>
        </w:rPr>
        <w:t>（3）金瓯奖温州城市手信设计大赛</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（4）知名作家读者见面会</w:t>
      </w:r>
    </w:p>
    <w:p>
      <w:pPr>
        <w:spacing w:line="460" w:lineRule="exact"/>
        <w:ind w:firstLine="539" w:firstLineChars="245"/>
        <w:rPr>
          <w:rFonts w:hint="eastAsia" w:ascii="新宋体" w:hAnsi="新宋体" w:eastAsia="新宋体" w:cs="新宋体"/>
          <w:color w:val="auto"/>
          <w:sz w:val="22"/>
          <w:highlight w:val="none"/>
          <w:u w:val="none"/>
        </w:rPr>
      </w:pPr>
      <w:r>
        <w:rPr>
          <w:rFonts w:hint="eastAsia" w:ascii="新宋体" w:hAnsi="新宋体" w:eastAsia="新宋体" w:cs="新宋体"/>
          <w:color w:val="auto"/>
          <w:sz w:val="22"/>
          <w:highlight w:val="none"/>
          <w:u w:val="none"/>
        </w:rPr>
        <w:t>（5）文博会短视频大赛</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6、资料制作等其他服务</w:t>
      </w:r>
    </w:p>
    <w:p>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（1）宣传手提袋（10000个），参观指南</w:t>
      </w:r>
      <w:r>
        <w:rPr>
          <w:rFonts w:hint="eastAsia" w:ascii="新宋体" w:hAnsi="新宋体" w:eastAsia="新宋体" w:cs="新宋体"/>
          <w:color w:val="auto"/>
          <w:sz w:val="22"/>
          <w:highlight w:val="none"/>
          <w:u w:val="none"/>
        </w:rPr>
        <w:t>（</w:t>
      </w:r>
      <w:r>
        <w:rPr>
          <w:rFonts w:hint="eastAsia" w:ascii="新宋体" w:hAnsi="新宋体" w:eastAsia="新宋体" w:cs="新宋体"/>
          <w:color w:val="auto"/>
          <w:sz w:val="22"/>
          <w:highlight w:val="none"/>
          <w:u w:val="none"/>
          <w:lang w:val="en-US" w:eastAsia="zh-CN"/>
        </w:rPr>
        <w:t>3</w:t>
      </w:r>
      <w:r>
        <w:rPr>
          <w:rFonts w:hint="eastAsia" w:ascii="新宋体" w:hAnsi="新宋体" w:eastAsia="新宋体" w:cs="新宋体"/>
          <w:color w:val="auto"/>
          <w:sz w:val="22"/>
          <w:highlight w:val="none"/>
          <w:u w:val="none"/>
        </w:rPr>
        <w:t>0000份）、</w:t>
      </w:r>
      <w:r>
        <w:rPr>
          <w:rFonts w:hint="eastAsia" w:ascii="新宋体" w:hAnsi="新宋体" w:eastAsia="新宋体" w:cs="新宋体"/>
          <w:color w:val="auto"/>
          <w:sz w:val="22"/>
          <w:highlight w:val="none"/>
          <w:u w:val="none"/>
          <w:lang w:eastAsia="zh-CN"/>
        </w:rPr>
        <w:t>会刊（</w:t>
      </w:r>
      <w:r>
        <w:rPr>
          <w:rFonts w:hint="eastAsia" w:ascii="新宋体" w:hAnsi="新宋体" w:eastAsia="新宋体" w:cs="新宋体"/>
          <w:color w:val="auto"/>
          <w:sz w:val="22"/>
          <w:highlight w:val="none"/>
          <w:u w:val="none"/>
          <w:lang w:val="en-US" w:eastAsia="zh-CN"/>
        </w:rPr>
        <w:t>1000本</w:t>
      </w:r>
      <w:r>
        <w:rPr>
          <w:rFonts w:hint="eastAsia" w:ascii="新宋体" w:hAnsi="新宋体" w:eastAsia="新宋体" w:cs="新宋体"/>
          <w:color w:val="auto"/>
          <w:sz w:val="22"/>
          <w:highlight w:val="none"/>
          <w:u w:val="none"/>
          <w:lang w:eastAsia="zh-CN"/>
        </w:rPr>
        <w:t>）</w:t>
      </w:r>
      <w:r>
        <w:rPr>
          <w:rFonts w:hint="eastAsia" w:ascii="新宋体" w:hAnsi="新宋体" w:eastAsia="新宋体" w:cs="新宋体"/>
          <w:color w:val="auto"/>
          <w:sz w:val="22"/>
          <w:highlight w:val="none"/>
        </w:rPr>
        <w:t>参展证、嘉宾证、工作证、采访证、志愿者证、车辆通行证等（8000个）</w:t>
      </w:r>
      <w:r>
        <w:rPr>
          <w:rFonts w:hint="eastAsia" w:ascii="新宋体" w:hAnsi="新宋体" w:eastAsia="新宋体" w:cs="新宋体"/>
          <w:color w:val="auto"/>
          <w:sz w:val="22"/>
          <w:highlight w:val="none"/>
          <w:lang w:eastAsia="zh-CN"/>
        </w:rPr>
        <w:t>资料</w:t>
      </w:r>
      <w:r>
        <w:rPr>
          <w:rFonts w:hint="eastAsia" w:ascii="新宋体" w:hAnsi="新宋体" w:eastAsia="新宋体" w:cs="新宋体"/>
          <w:color w:val="auto"/>
          <w:sz w:val="22"/>
          <w:highlight w:val="none"/>
        </w:rPr>
        <w:t>印制。</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（2）其他组展事项。</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7、本次展会以下项目收入归中标人所有：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（1）本次展会的首席冠名、门票发售赞助</w:t>
      </w:r>
      <w:r>
        <w:rPr>
          <w:rFonts w:hint="eastAsia" w:ascii="新宋体" w:hAnsi="新宋体" w:eastAsia="新宋体" w:cs="新宋体"/>
          <w:color w:val="auto"/>
          <w:sz w:val="22"/>
          <w:highlight w:val="none"/>
          <w:lang w:eastAsia="zh-CN"/>
        </w:rPr>
        <w:t>等</w:t>
      </w:r>
      <w:r>
        <w:rPr>
          <w:rFonts w:hint="eastAsia" w:ascii="新宋体" w:hAnsi="新宋体" w:eastAsia="新宋体" w:cs="新宋体"/>
          <w:color w:val="auto"/>
          <w:sz w:val="22"/>
          <w:highlight w:val="none"/>
        </w:rPr>
        <w:t>；</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（2）展馆广告、指南封面、封底赞助；</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u w:val="none"/>
          <w:lang w:eastAsia="zh-CN"/>
        </w:rPr>
        <w:t>活动、</w:t>
      </w:r>
      <w:r>
        <w:rPr>
          <w:rFonts w:hint="eastAsia" w:ascii="新宋体" w:hAnsi="新宋体" w:eastAsia="新宋体" w:cs="新宋体"/>
          <w:color w:val="auto"/>
          <w:sz w:val="22"/>
          <w:highlight w:val="none"/>
        </w:rPr>
        <w:t>观展礼品赞助；</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（4）展位费收入。</w:t>
      </w:r>
    </w:p>
    <w:p>
      <w:pPr>
        <w:spacing w:line="460" w:lineRule="exact"/>
        <w:ind w:firstLine="539" w:firstLineChars="245"/>
        <w:outlineLvl w:val="1"/>
        <w:rPr>
          <w:rFonts w:ascii="新宋体" w:hAnsi="新宋体" w:eastAsia="新宋体"/>
          <w:color w:val="auto"/>
          <w:sz w:val="22"/>
          <w:highlight w:val="none"/>
        </w:rPr>
      </w:pPr>
      <w:r>
        <w:rPr>
          <w:rFonts w:hint="eastAsia" w:ascii="新宋体" w:hAnsi="新宋体" w:eastAsia="新宋体" w:cs="新宋体"/>
          <w:color w:val="auto"/>
          <w:sz w:val="22"/>
          <w:highlight w:val="none"/>
        </w:rPr>
        <w:t>第八条    展会组织工作要求</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1、招展招商工作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（1）按照招展招商要求，制订详细招展招商方案，制订展会工作进度计划并组织实施。</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（2）做好目标摊位的招展工作，落实参展单位，并逐一统计确认参展企业，包括企业名称、展出面积等。负责审核把关参展商“三证”，确保参展商的各类证照齐全。</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（3）负责各项专题活动的策划组织并具体组织实施。</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（4）负责展会广告招商工作。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（5）通过各种渠道，组织或邀请本市及周边地区市民和相关机构人员观展，落实观众数量。</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（6）落实领导及嘉宾邀请、场馆租赁（包括各项专题活动）、酒店预定等事宜，做好来宾接待准备工作。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（7）负责招展邀请函、招展合同、展位示意图、宣传手提袋、展商手册、参观指南、</w:t>
      </w:r>
      <w:r>
        <w:rPr>
          <w:rFonts w:hint="eastAsia" w:ascii="新宋体" w:hAnsi="新宋体" w:eastAsia="新宋体" w:cs="新宋体"/>
          <w:color w:val="auto"/>
          <w:sz w:val="22"/>
          <w:highlight w:val="none"/>
          <w:lang w:eastAsia="zh-CN"/>
        </w:rPr>
        <w:t>会刊、</w:t>
      </w:r>
      <w:r>
        <w:rPr>
          <w:rFonts w:hint="eastAsia" w:ascii="新宋体" w:hAnsi="新宋体" w:eastAsia="新宋体" w:cs="新宋体"/>
          <w:color w:val="auto"/>
          <w:sz w:val="22"/>
          <w:highlight w:val="none"/>
        </w:rPr>
        <w:t>参展证、工作证等资料证件的制作工作。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2、负责组织布展、开展及撤展</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（1）负责展馆总体形象设计、场馆展位搭建以及展馆水电气提供、展具租赁、其它服务用品提供等。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（2）负责展会期间的观展组织、展区管理、协调及其他相关配套服务工作。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（3）负责展会相关信息的收集，并与综合协调组做好工作对接。</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（4）负责展会的撤展及展会搭建设施的拆除、清理等工作。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（5）负责展会活动总结，做好展会文书资料的收集、立卷、归档工作。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3、组织协调工作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（1）负责本次展览会的各项申报审批、协调相关事宜、负责组委会重要活动安排、负责领导及重要嘉宾在展会期间活动的安排。</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项目组应合理分工、分组负责，积极协调配合与展会保障工作有关的各部门单位，做好展会的宣传推广、联络接待、安全保卫、消防安全、交通疏导及展会场馆车辆出入停放、知识产权保护和展品质量、餐饮卫生及周边环境卫生、医疗保健、贵重展品的保险等各方面的保障工作，并制订安保、防疫应急预案，确保展会安全、成功举办。</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（3）联系展会相关行政执法单位，并协助做好开展前的巡查工作。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（4）负责与上级有关单位的联系，落实支持单位的邀请。综合协调各工作组工作，联系、沟通各项活动安排，把握工作进度。</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（5）完成组委会交办的其它任务。</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4、展会宣传推广工作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借鉴其他展览会新闻宣传工作经验，整合宣传资源，运用多种手段，调动各种积极性，加强工作力度，构建形式多样、全方位、多角度的宣传格局，为展览会的顺利举办营造良好舆论环境，做好招展招商和市场推介服务，充分展示此次展会的知名度与影响力。</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（2）负责新闻宣传报道的总体策划，分筹备、展会宣传和会后总结三个阶段制定展会宣传工作的具体方案。</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（3）组织开展对展览会的宣传报道，在会前和会议期间，做好展会宣传和媒体邀约工作及各大媒体宣传报道，并协调、配合各新闻媒体的采访与报道。负责展览会期间记者的接待和采访的交通食宿安排。</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（4）开展会后总结宣传，组织媒体对展览会进行总结性深度报道。</w:t>
      </w:r>
    </w:p>
    <w:p>
      <w:pPr>
        <w:spacing w:line="460" w:lineRule="exact"/>
        <w:ind w:firstLine="539" w:firstLineChars="245"/>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第九条 </w:t>
      </w:r>
      <w:r>
        <w:rPr>
          <w:rFonts w:hint="eastAsia" w:ascii="新宋体" w:hAnsi="新宋体" w:eastAsia="新宋体" w:cs="新宋体"/>
          <w:color w:val="auto"/>
          <w:sz w:val="22"/>
          <w:highlight w:val="none"/>
          <w:lang w:val="en-US" w:eastAsia="zh-CN"/>
        </w:rPr>
        <w:t xml:space="preserve">   </w:t>
      </w:r>
      <w:r>
        <w:rPr>
          <w:rFonts w:hint="eastAsia" w:ascii="新宋体" w:hAnsi="新宋体" w:eastAsia="新宋体" w:cs="新宋体"/>
          <w:color w:val="auto"/>
          <w:sz w:val="22"/>
          <w:highlight w:val="none"/>
        </w:rPr>
        <w:t>权利和义务</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一、甲方权利与义务 </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甲方有权要求乙方全面、高效、优质的履行合同规定的要求（包括招标文件的要求及履约过程中甲方交待的事项）以及乙方承诺的义务（包括投标文件的承诺）。乙方未能如期达到本合同要求，甲方有权解除本合同，乙方应赔偿甲方相应的损失。</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2、甲方有权对乙方的合同履约和实施情况、质量、效果进行全面的技术指导、检查、管理和监督，对发现的问题及时向乙方提出书面或口头改进意见，并限期予以整改。</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3、甲方有权在项目实施过程中</w:t>
      </w:r>
      <w:r>
        <w:rPr>
          <w:rFonts w:hint="eastAsia" w:ascii="新宋体" w:hAnsi="新宋体" w:eastAsia="新宋体" w:cs="新宋体"/>
          <w:color w:val="auto"/>
          <w:sz w:val="22"/>
          <w:szCs w:val="22"/>
          <w:highlight w:val="none"/>
        </w:rPr>
        <w:t>和</w:t>
      </w:r>
      <w:r>
        <w:rPr>
          <w:rFonts w:hint="eastAsia" w:ascii="宋体" w:hAnsi="宋体"/>
          <w:color w:val="auto"/>
          <w:sz w:val="22"/>
          <w:szCs w:val="22"/>
          <w:highlight w:val="none"/>
        </w:rPr>
        <w:t>展会结束后，委托第三方机构开展过程监理和绩效评价，评价结果作为尾款资金支付的参考依据</w:t>
      </w:r>
      <w:r>
        <w:rPr>
          <w:rFonts w:hint="eastAsia" w:ascii="新宋体" w:hAnsi="新宋体" w:eastAsia="新宋体" w:cs="新宋体"/>
          <w:color w:val="auto"/>
          <w:sz w:val="22"/>
          <w:highlight w:val="none"/>
        </w:rPr>
        <w:t>。</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4、甲方应按时向乙方支付合同款项，如出现有合同款项扣罚或经济处罚的情况，将在扣罚相关金额后进行余额的支付。</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5、甲方需积极协助配合乙方开展相关工作，协助乙方解决问题、使之顺利开展工作。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6、甲方可要求乙方调整不合格项目组成员及员工，并在要求的时间内及时调整到位。</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7、甲方有权根据政策的变动并结合实际情况对合同项目内容进行修改和补充。</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8、甲方有权根据实际情况和需要在合理的基础上对各分项价款在合同总价范围内进行相互调剂。</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二、乙方权利和义务</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1、乙方有权根据合同约定领取项目实施经费。</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2、乙方应在委托代理范围内全面、高效、优质的履行合同规定的各项要求（包括招标文件的要求及履约过程中甲方交待的事项）以及己方承诺的义务（包括投标文件的承诺）。</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3、乙方应按甲方的要求开展工作，如在合同履约过程中出现计划或方案变更情况时，应及时向甲方提出，并在征得甲方的同意后方可实施。</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4、乙方应接受甲方的管理、监督、检查及指导，在项目实施过程中出现问题应及时的纠正并向甲方进行通报。</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5、乙方应维护展会组委会及甲方的声誉和利益，服从甲方的统一安排。</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6、甲方不承担乙方在合同履行过程中因其责任引起的一切事故、法律纠纷和经济责任，乙方须自行负责并处理合同履行过程中与第三方发生的所有事故、法律纠纷及一切费用。</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7、展会期间，参展、布展工作由乙方负责管理，展出的产品必须与规定的内容一致，杜绝假冒伪劣商品和三无产品参展交易。</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8、乙方应严格遵守国家有关法律、法规，若有违反，由此造成的一切后果由乙方承担。乙方如因上述原因使合同性质发生改变，甲方不负赔偿责任。</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9、乙方在制作、运输及安装施工过程中，应严格按照国家有关操作规程和施工规范进行作业。任何由乙方的原因造成的事故及赔偿均由乙方负责承担。</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10、本合同执行中相关的一切税费均由乙方负担。</w:t>
      </w:r>
    </w:p>
    <w:p>
      <w:pPr>
        <w:spacing w:line="460" w:lineRule="exact"/>
        <w:ind w:firstLine="539" w:firstLineChars="245"/>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第十条 </w:t>
      </w:r>
      <w:r>
        <w:rPr>
          <w:rFonts w:hint="eastAsia" w:ascii="新宋体" w:hAnsi="新宋体" w:eastAsia="新宋体" w:cs="新宋体"/>
          <w:color w:val="auto"/>
          <w:sz w:val="22"/>
          <w:highlight w:val="none"/>
          <w:lang w:val="en-US" w:eastAsia="zh-CN"/>
        </w:rPr>
        <w:t xml:space="preserve">  </w:t>
      </w:r>
      <w:r>
        <w:rPr>
          <w:rFonts w:hint="eastAsia" w:ascii="新宋体" w:hAnsi="新宋体" w:eastAsia="新宋体" w:cs="新宋体"/>
          <w:color w:val="auto"/>
          <w:sz w:val="22"/>
          <w:highlight w:val="none"/>
        </w:rPr>
        <w:t xml:space="preserve"> 违约责任</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乙方未能履行合同义务，未遵守《招标文件》规定和《投标文件》中所承诺的服务内容及合同相关规定，均属违约行为。甲方根据上述规定条款，视乙方违约行为的情节轻重，做出批评教育、警告、扣罚合同款项等处理，情节严重者，甲方有权单方终止本合同而不承担任何违约责任，由乙方承担一切经济损失和法律责任。因乙方违约造成甲方损失的，甲方有权向乙方追加补偿。</w:t>
      </w:r>
    </w:p>
    <w:p>
      <w:pPr>
        <w:spacing w:line="460" w:lineRule="exact"/>
        <w:ind w:firstLine="539" w:firstLineChars="245"/>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第十一条  不可抗力</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1、不可抗力事件发生后，应立即通知对方，并寄送有关权威机构出具的证明。</w:t>
      </w:r>
    </w:p>
    <w:p>
      <w:pPr>
        <w:spacing w:line="460" w:lineRule="exact"/>
        <w:ind w:firstLine="539" w:firstLineChars="245"/>
        <w:rPr>
          <w:color w:val="auto"/>
          <w:sz w:val="22"/>
          <w:szCs w:val="22"/>
          <w:highlight w:val="none"/>
        </w:rPr>
      </w:pPr>
      <w:r>
        <w:rPr>
          <w:rFonts w:hint="eastAsia" w:ascii="新宋体" w:hAnsi="新宋体" w:eastAsia="新宋体" w:cs="新宋体"/>
          <w:color w:val="auto"/>
          <w:sz w:val="22"/>
          <w:highlight w:val="none"/>
        </w:rPr>
        <w:t>2、如受“新冠”疫情影响，导致海外参展商赴温参展部分或全部受阻，双方协商确定项目海外部分的替代方案，由此造成海外参展企业数和参展比例发生变化或取消，乙方不承担任何责任。如受“新冠”疫情影响，对观展的观众人次造成影响，乙方不承担责任。</w:t>
      </w:r>
      <w:r>
        <w:rPr>
          <w:rFonts w:hint="eastAsia" w:ascii="新宋体" w:hAnsi="新宋体" w:eastAsia="新宋体" w:cs="新宋体"/>
          <w:color w:val="auto"/>
          <w:sz w:val="22"/>
          <w:szCs w:val="22"/>
          <w:highlight w:val="none"/>
        </w:rPr>
        <w:t>甲方委托</w:t>
      </w:r>
      <w:r>
        <w:rPr>
          <w:rFonts w:hint="eastAsia" w:ascii="宋体" w:hAnsi="宋体"/>
          <w:color w:val="auto"/>
          <w:sz w:val="22"/>
          <w:szCs w:val="22"/>
          <w:highlight w:val="none"/>
        </w:rPr>
        <w:t>第三方机构对展会绩效开展评价时，需剔除与海外部分参展商以及相关的指标。中标后因疫情防控因素导致博览会取消或延后造成的损失，经三方机构评估后，由甲方负担。</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3、在合同有效期间发生不可抗力，导致合同不能或不能全部履行。双方可以按以下各项执行：</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（1）因不可抗力导致合同终止，并不影响任何一方对不可抗力先前发生的违约行为合法追偿。</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（2）双方不承担因不可抗力造成合同不能正常履行的责任。</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4、遇国家政策性调整，影响合同履行，双方协商解决。</w:t>
      </w:r>
    </w:p>
    <w:p>
      <w:pPr>
        <w:spacing w:line="460" w:lineRule="exact"/>
        <w:ind w:firstLine="539" w:firstLineChars="245"/>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第十二条 争议及未尽事宜</w:t>
      </w:r>
    </w:p>
    <w:p>
      <w:pPr>
        <w:spacing w:line="460" w:lineRule="exact"/>
        <w:ind w:left="109" w:leftChars="52" w:firstLine="330" w:firstLineChars="15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1、有关本合同和签署本合同的争议应通过友好协商解决。如果协商不成，该争议应按照以下第 （二） 方式解决：</w:t>
      </w:r>
    </w:p>
    <w:p>
      <w:pPr>
        <w:spacing w:line="460" w:lineRule="exact"/>
        <w:ind w:firstLine="440" w:firstLineChars="20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（一）提交温州仲裁委员会仲裁，仲裁结果具有终结效力，双方应严格遵守；</w:t>
      </w:r>
    </w:p>
    <w:p>
      <w:pPr>
        <w:spacing w:line="460" w:lineRule="exact"/>
        <w:ind w:firstLine="440" w:firstLineChars="20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（二）提交甲方注册地人民法院通过诉讼解决。</w:t>
      </w:r>
    </w:p>
    <w:p>
      <w:pPr>
        <w:spacing w:line="460" w:lineRule="exact"/>
        <w:ind w:firstLine="440" w:firstLineChars="20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2、本协议未尽事宜或与国家有关法律、法规相悖的，均按国家有关法律、规定执行。</w:t>
      </w:r>
    </w:p>
    <w:p>
      <w:pPr>
        <w:spacing w:line="460" w:lineRule="exact"/>
        <w:ind w:firstLine="440" w:firstLineChars="20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3、任何一方就对方针对本合同项下任何条款的违约行为的自动弃权或重复性弃权不应被视为是对下一次针对同一条款的违约行为、或针对其他条款的违约行为的弃权。</w:t>
      </w:r>
    </w:p>
    <w:p>
      <w:pPr>
        <w:spacing w:line="460" w:lineRule="exact"/>
        <w:ind w:firstLine="539" w:firstLineChars="245"/>
        <w:outlineLvl w:val="1"/>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第十四条 合同生效及其它</w:t>
      </w:r>
    </w:p>
    <w:p>
      <w:pPr>
        <w:spacing w:line="460" w:lineRule="exact"/>
        <w:ind w:firstLine="440" w:firstLineChars="20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1、本合同一式伍份，甲乙双各执两份，送招标代理公司备案一份。每份具有同等法律效力，自双方授权代表人签字/盖章之日起生效。</w:t>
      </w:r>
    </w:p>
    <w:p>
      <w:pPr>
        <w:spacing w:line="460" w:lineRule="exact"/>
        <w:ind w:firstLine="440" w:firstLineChars="20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2、双方履行完合同规定的义务后，本合同即行终止。</w:t>
      </w:r>
    </w:p>
    <w:p>
      <w:pPr>
        <w:spacing w:line="460" w:lineRule="exact"/>
        <w:ind w:firstLine="440" w:firstLineChars="20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3、双方来往传真、电报、会议纪要等，经双方认可后均为合同的组成部分，与本合同具有同等法律效力。</w:t>
      </w:r>
    </w:p>
    <w:p>
      <w:pPr>
        <w:spacing w:line="460" w:lineRule="exact"/>
        <w:ind w:firstLine="440" w:firstLineChars="20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4、未尽事宜，经双方协商一致，签订补充协议，补充协议与本合同具有同等效力。</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甲方名称：（盖章）                  乙方名称：（盖章）</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授权代表：（签字）                  授权代表：（签字）</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地址：                             地址：</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邮政编码：                         邮政编码：</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电话：                             电话：</w:t>
      </w:r>
    </w:p>
    <w:p>
      <w:pPr>
        <w:spacing w:line="460" w:lineRule="exact"/>
        <w:ind w:firstLine="539" w:firstLineChars="245"/>
        <w:rPr>
          <w:rFonts w:ascii="新宋体" w:hAnsi="新宋体" w:eastAsia="新宋体"/>
          <w:color w:val="auto"/>
          <w:sz w:val="22"/>
          <w:highlight w:val="none"/>
        </w:rPr>
      </w:pPr>
      <w:r>
        <w:rPr>
          <w:rFonts w:hint="eastAsia" w:ascii="新宋体" w:hAnsi="新宋体" w:eastAsia="新宋体"/>
          <w:color w:val="auto"/>
          <w:sz w:val="22"/>
          <w:highlight w:val="none"/>
        </w:rPr>
        <w:t>传真：                             传真：</w:t>
      </w:r>
    </w:p>
    <w:p>
      <w:pPr>
        <w:spacing w:line="460" w:lineRule="exact"/>
        <w:rPr>
          <w:rFonts w:ascii="新宋体" w:hAnsi="新宋体" w:eastAsia="新宋体"/>
          <w:color w:val="auto"/>
          <w:sz w:val="22"/>
          <w:highlight w:val="none"/>
        </w:rPr>
      </w:pPr>
      <w:r>
        <w:rPr>
          <w:rFonts w:hint="eastAsia" w:ascii="新宋体" w:hAnsi="新宋体" w:eastAsia="新宋体"/>
          <w:color w:val="auto"/>
          <w:sz w:val="22"/>
          <w:highlight w:val="none"/>
        </w:rPr>
        <w:t xml:space="preserve">     日期：                             日期：</w:t>
      </w:r>
    </w:p>
    <w:p>
      <w:pPr>
        <w:spacing w:line="460" w:lineRule="exact"/>
        <w:ind w:firstLine="541" w:firstLineChars="245"/>
        <w:rPr>
          <w:rFonts w:hint="eastAsia" w:ascii="宋体" w:hAnsi="宋体" w:eastAsia="宋体" w:cs="宋体"/>
          <w:b/>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2"/>
        <w:bidi w:val="0"/>
        <w:rPr>
          <w:rFonts w:hint="eastAsia" w:ascii="宋体" w:hAnsi="宋体" w:eastAsia="宋体" w:cs="宋体"/>
          <w:color w:val="auto"/>
        </w:rPr>
      </w:pPr>
      <w:bookmarkStart w:id="26" w:name="_Toc19081"/>
      <w:bookmarkStart w:id="27" w:name="_Toc18439"/>
      <w:r>
        <w:rPr>
          <w:rFonts w:hint="eastAsia" w:ascii="宋体" w:hAnsi="宋体" w:eastAsia="宋体" w:cs="宋体"/>
          <w:color w:val="auto"/>
        </w:rPr>
        <w:t>第三部分    附件</w:t>
      </w:r>
      <w:bookmarkEnd w:id="26"/>
      <w:bookmarkEnd w:id="27"/>
    </w:p>
    <w:p>
      <w:pPr>
        <w:pStyle w:val="22"/>
        <w:spacing w:line="460" w:lineRule="exact"/>
        <w:ind w:left="433" w:hanging="433" w:hangingChars="196"/>
        <w:outlineLvl w:val="1"/>
        <w:rPr>
          <w:rFonts w:hint="eastAsia" w:ascii="宋体" w:hAnsi="宋体" w:eastAsia="宋体" w:cs="宋体"/>
          <w:b/>
          <w:color w:val="auto"/>
          <w:sz w:val="22"/>
          <w:highlight w:val="none"/>
        </w:rPr>
      </w:pPr>
      <w:bookmarkStart w:id="28" w:name="_Toc6368"/>
      <w:bookmarkStart w:id="29" w:name="_Toc7056"/>
      <w:r>
        <w:rPr>
          <w:rFonts w:hint="eastAsia" w:ascii="宋体" w:hAnsi="宋体" w:eastAsia="宋体" w:cs="宋体"/>
          <w:b/>
          <w:color w:val="auto"/>
          <w:sz w:val="22"/>
          <w:highlight w:val="none"/>
        </w:rPr>
        <w:t>附件一</w:t>
      </w:r>
      <w:bookmarkEnd w:id="28"/>
      <w:bookmarkEnd w:id="29"/>
    </w:p>
    <w:p>
      <w:pPr>
        <w:spacing w:line="400" w:lineRule="exact"/>
        <w:jc w:val="center"/>
        <w:outlineLvl w:val="2"/>
        <w:rPr>
          <w:rFonts w:hint="eastAsia" w:ascii="宋体" w:hAnsi="宋体" w:eastAsia="宋体" w:cs="宋体"/>
          <w:b/>
          <w:bCs/>
          <w:color w:val="auto"/>
          <w:sz w:val="28"/>
          <w:szCs w:val="28"/>
          <w:highlight w:val="none"/>
        </w:rPr>
      </w:pPr>
      <w:bookmarkStart w:id="30" w:name="_Toc5430"/>
      <w:bookmarkStart w:id="31" w:name="_Toc13365"/>
      <w:r>
        <w:rPr>
          <w:rFonts w:hint="eastAsia" w:ascii="宋体" w:hAnsi="宋体" w:eastAsia="宋体" w:cs="宋体"/>
          <w:b/>
          <w:bCs/>
          <w:color w:val="auto"/>
          <w:sz w:val="28"/>
          <w:szCs w:val="28"/>
          <w:highlight w:val="none"/>
        </w:rPr>
        <w:t>报价文件</w:t>
      </w:r>
      <w:bookmarkEnd w:id="30"/>
      <w:bookmarkEnd w:id="31"/>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中共温州市委宣传部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pStyle w:val="22"/>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2"/>
        <w:ind w:left="0" w:firstLine="0" w:firstLineChars="0"/>
        <w:rPr>
          <w:rFonts w:hint="eastAsia" w:ascii="宋体" w:hAnsi="宋体" w:eastAsia="宋体" w:cs="宋体"/>
          <w:b/>
          <w:bCs/>
          <w:color w:val="auto"/>
          <w:sz w:val="22"/>
          <w:szCs w:val="22"/>
          <w:highlight w:val="none"/>
        </w:rPr>
      </w:pPr>
    </w:p>
    <w:p>
      <w:pPr>
        <w:pStyle w:val="22"/>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pPr>
              <w:spacing w:line="380" w:lineRule="exact"/>
              <w:jc w:val="center"/>
              <w:rPr>
                <w:rFonts w:hint="eastAsia" w:ascii="宋体" w:hAnsi="宋体" w:eastAsia="宋体" w:cs="宋体"/>
                <w:color w:val="auto"/>
                <w:sz w:val="22"/>
                <w:highlight w:val="none"/>
              </w:rPr>
            </w:pPr>
          </w:p>
        </w:tc>
        <w:tc>
          <w:tcPr>
            <w:tcW w:w="2522" w:type="dxa"/>
            <w:vMerge w:val="restart"/>
            <w:vAlign w:val="center"/>
          </w:tcPr>
          <w:p>
            <w:pPr>
              <w:spacing w:line="380" w:lineRule="exact"/>
              <w:jc w:val="center"/>
              <w:rPr>
                <w:rFonts w:hint="eastAsia" w:ascii="宋体" w:hAnsi="宋体" w:eastAsia="宋体" w:cs="宋体"/>
                <w:color w:val="auto"/>
                <w:sz w:val="22"/>
                <w:highlight w:val="none"/>
              </w:rPr>
            </w:pPr>
          </w:p>
        </w:tc>
        <w:tc>
          <w:tcPr>
            <w:tcW w:w="5413"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868"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pPr>
              <w:spacing w:line="380" w:lineRule="exact"/>
              <w:jc w:val="center"/>
              <w:rPr>
                <w:rFonts w:hint="eastAsia" w:ascii="宋体" w:hAnsi="宋体" w:eastAsia="宋体" w:cs="宋体"/>
                <w:color w:val="auto"/>
                <w:sz w:val="22"/>
                <w:highlight w:val="none"/>
              </w:rPr>
            </w:pPr>
          </w:p>
        </w:tc>
        <w:tc>
          <w:tcPr>
            <w:tcW w:w="2522" w:type="dxa"/>
            <w:vMerge w:val="continue"/>
            <w:vAlign w:val="center"/>
          </w:tcPr>
          <w:p>
            <w:pPr>
              <w:spacing w:line="380" w:lineRule="exact"/>
              <w:jc w:val="center"/>
              <w:rPr>
                <w:rFonts w:hint="eastAsia" w:ascii="宋体" w:hAnsi="宋体" w:eastAsia="宋体" w:cs="宋体"/>
                <w:color w:val="auto"/>
                <w:sz w:val="22"/>
                <w:highlight w:val="none"/>
              </w:rPr>
            </w:pPr>
          </w:p>
        </w:tc>
        <w:tc>
          <w:tcPr>
            <w:tcW w:w="5413"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3"/>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3"/>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360" w:lineRule="auto"/>
        <w:jc w:val="center"/>
        <w:rPr>
          <w:rFonts w:hint="eastAsia" w:ascii="宋体" w:hAnsi="宋体" w:eastAsia="宋体" w:cs="宋体"/>
          <w:color w:val="auto"/>
          <w:sz w:val="22"/>
          <w:szCs w:val="22"/>
          <w:highlight w:val="none"/>
        </w:rPr>
      </w:pPr>
    </w:p>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pStyle w:val="51"/>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p>
    <w:tbl>
      <w:tblPr>
        <w:tblStyle w:val="52"/>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268"/>
        <w:gridCol w:w="155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709" w:type="dxa"/>
            <w:tcBorders>
              <w:top w:val="single" w:color="auto" w:sz="4" w:space="0"/>
              <w:left w:val="single" w:color="auto" w:sz="4" w:space="0"/>
              <w:bottom w:val="single" w:color="auto" w:sz="4" w:space="0"/>
              <w:right w:val="single" w:color="auto" w:sz="4" w:space="0"/>
            </w:tcBorders>
            <w:noWrap/>
            <w:vAlign w:val="top"/>
          </w:tcPr>
          <w:p>
            <w:pPr>
              <w:spacing w:line="46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序号</w:t>
            </w:r>
          </w:p>
        </w:tc>
        <w:tc>
          <w:tcPr>
            <w:tcW w:w="2977" w:type="dxa"/>
            <w:gridSpan w:val="2"/>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项目</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价格（万元）</w:t>
            </w:r>
          </w:p>
        </w:tc>
        <w:tc>
          <w:tcPr>
            <w:tcW w:w="3969"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ascii="新宋体" w:hAnsi="新宋体" w:eastAsia="新宋体" w:cs="新宋体"/>
                <w:color w:val="auto"/>
                <w:sz w:val="22"/>
                <w:szCs w:val="22"/>
              </w:rPr>
            </w:pPr>
            <w:r>
              <w:rPr>
                <w:rFonts w:hint="eastAsia" w:ascii="新宋体" w:hAnsi="新宋体" w:eastAsia="新宋体" w:cs="新宋体"/>
                <w:color w:val="auto"/>
                <w:sz w:val="22"/>
                <w:szCs w:val="22"/>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31" w:hRule="atLeast"/>
        </w:trPr>
        <w:tc>
          <w:tcPr>
            <w:tcW w:w="709"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w:t>
            </w:r>
          </w:p>
        </w:tc>
        <w:tc>
          <w:tcPr>
            <w:tcW w:w="70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场馆及场馆服务费用</w:t>
            </w:r>
          </w:p>
        </w:tc>
        <w:tc>
          <w:tcPr>
            <w:tcW w:w="2268" w:type="dxa"/>
            <w:tcBorders>
              <w:top w:val="nil"/>
              <w:left w:val="nil"/>
              <w:bottom w:val="single" w:color="auto" w:sz="4" w:space="0"/>
              <w:right w:val="nil"/>
            </w:tcBorders>
            <w:noWrap/>
            <w:vAlign w:val="center"/>
          </w:tcPr>
          <w:p>
            <w:pPr>
              <w:widowControl/>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会展中心1号馆</w:t>
            </w:r>
            <w:r>
              <w:rPr>
                <w:rFonts w:hint="eastAsia" w:ascii="宋体" w:hAnsi="宋体" w:cs="宋体"/>
                <w:color w:val="auto"/>
                <w:sz w:val="22"/>
                <w:highlight w:val="none"/>
                <w:lang w:eastAsia="zh-CN"/>
              </w:rPr>
              <w:t>及</w:t>
            </w:r>
            <w:r>
              <w:rPr>
                <w:rFonts w:hint="eastAsia" w:ascii="新宋体" w:hAnsi="新宋体" w:eastAsia="新宋体" w:cs="新宋体"/>
                <w:color w:val="auto"/>
                <w:kern w:val="0"/>
                <w:sz w:val="22"/>
                <w:szCs w:val="22"/>
              </w:rPr>
              <w:t>1号馆</w:t>
            </w:r>
            <w:r>
              <w:rPr>
                <w:rFonts w:hint="eastAsia" w:ascii="宋体" w:hAnsi="宋体" w:cs="宋体"/>
                <w:color w:val="auto"/>
                <w:sz w:val="22"/>
                <w:highlight w:val="none"/>
                <w:lang w:eastAsia="zh-CN"/>
              </w:rPr>
              <w:t>南广场</w:t>
            </w:r>
            <w:r>
              <w:rPr>
                <w:rFonts w:hint="eastAsia" w:ascii="宋体" w:hAnsi="宋体" w:cs="宋体"/>
                <w:color w:val="auto"/>
                <w:sz w:val="22"/>
                <w:highlight w:val="none"/>
              </w:rPr>
              <w:t>、</w:t>
            </w:r>
            <w:r>
              <w:rPr>
                <w:rFonts w:hint="eastAsia" w:ascii="新宋体" w:hAnsi="新宋体" w:eastAsia="新宋体" w:cs="新宋体"/>
                <w:color w:val="auto"/>
                <w:kern w:val="0"/>
                <w:sz w:val="22"/>
                <w:szCs w:val="22"/>
              </w:rPr>
              <w:t>2号馆、3号馆及拍卖厅、5号馆及5号馆南广场、6号馆。场馆配套水电费、配电费、网络费、电话费、管理费等</w:t>
            </w:r>
          </w:p>
        </w:tc>
        <w:tc>
          <w:tcPr>
            <w:tcW w:w="1559"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xml:space="preserve">布展2天展期5天。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restart"/>
            <w:tcBorders>
              <w:top w:val="nil"/>
              <w:left w:val="single" w:color="auto" w:sz="4" w:space="0"/>
              <w:bottom w:val="nil"/>
              <w:right w:val="single" w:color="auto" w:sz="4" w:space="0"/>
            </w:tcBorders>
            <w:noWrap/>
            <w:vAlign w:val="center"/>
          </w:tcPr>
          <w:p>
            <w:pPr>
              <w:widowControl/>
              <w:spacing w:line="460" w:lineRule="exact"/>
              <w:ind w:firstLine="110" w:firstLineChars="5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w:t>
            </w:r>
          </w:p>
        </w:tc>
        <w:tc>
          <w:tcPr>
            <w:tcW w:w="709" w:type="dxa"/>
            <w:vMerge w:val="restart"/>
            <w:tcBorders>
              <w:top w:val="nil"/>
              <w:left w:val="single" w:color="auto" w:sz="4" w:space="0"/>
              <w:bottom w:val="nil"/>
              <w:right w:val="single" w:color="auto" w:sz="4" w:space="0"/>
            </w:tcBorders>
            <w:noWrap/>
            <w:textDirection w:val="tbRlV"/>
            <w:vAlign w:val="center"/>
          </w:tcPr>
          <w:p>
            <w:pPr>
              <w:widowControl/>
              <w:spacing w:line="460" w:lineRule="exact"/>
              <w:ind w:left="113" w:leftChars="54" w:right="113" w:firstLine="220" w:firstLineChars="1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xml:space="preserve">              布展费用</w:t>
            </w:r>
          </w:p>
        </w:tc>
        <w:tc>
          <w:tcPr>
            <w:tcW w:w="2268" w:type="dxa"/>
            <w:tcBorders>
              <w:top w:val="single" w:color="auto" w:sz="4" w:space="0"/>
              <w:left w:val="nil"/>
              <w:bottom w:val="single" w:color="auto" w:sz="4" w:space="0"/>
              <w:right w:val="single" w:color="auto" w:sz="4" w:space="0"/>
            </w:tcBorders>
            <w:noWrap/>
            <w:vAlign w:val="center"/>
          </w:tcPr>
          <w:p>
            <w:pPr>
              <w:widowControl/>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馆内外公共形象设计装饰</w:t>
            </w:r>
          </w:p>
        </w:tc>
        <w:tc>
          <w:tcPr>
            <w:tcW w:w="1559"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xml:space="preserve">含场馆门楣、馆内外地毯、场馆立面巨幅广告、江滨路广告牌、文博会主门楼、龙门架、指示牌、场馆围栏以及组委会服务处、新闻中心、各展馆服务台、休息区等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5" w:hRule="atLeast"/>
        </w:trPr>
        <w:tc>
          <w:tcPr>
            <w:tcW w:w="709" w:type="dxa"/>
            <w:vMerge w:val="continue"/>
            <w:tcBorders>
              <w:top w:val="nil"/>
              <w:left w:val="single" w:color="auto" w:sz="4" w:space="0"/>
              <w:bottom w:val="nil"/>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nil"/>
              <w:left w:val="single" w:color="auto" w:sz="4" w:space="0"/>
              <w:bottom w:val="nil"/>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宋体" w:hAnsi="宋体" w:cs="宋体"/>
                <w:color w:val="auto"/>
                <w:sz w:val="22"/>
                <w:highlight w:val="none"/>
                <w:lang w:val="en-US" w:eastAsia="zh-CN"/>
              </w:rPr>
              <w:t>1、2、5号馆</w:t>
            </w:r>
            <w:r>
              <w:rPr>
                <w:rFonts w:hint="eastAsia" w:ascii="宋体" w:hAnsi="宋体" w:cs="宋体"/>
                <w:color w:val="auto"/>
                <w:sz w:val="22"/>
                <w:highlight w:val="none"/>
                <w:lang w:eastAsia="zh-CN"/>
              </w:rPr>
              <w:t>舞台搭建</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含舞台基础，背景，P3以上LED屏幕、各种灯光、功放、音响配套、现场操作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5" w:hRule="atLeast"/>
        </w:trPr>
        <w:tc>
          <w:tcPr>
            <w:tcW w:w="709" w:type="dxa"/>
            <w:vMerge w:val="continue"/>
            <w:tcBorders>
              <w:top w:val="nil"/>
              <w:left w:val="single" w:color="auto" w:sz="4" w:space="0"/>
              <w:bottom w:val="nil"/>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nil"/>
              <w:left w:val="single" w:color="auto" w:sz="4" w:space="0"/>
              <w:bottom w:val="nil"/>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标展搭建</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标展精装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6" w:hRule="atLeast"/>
        </w:trPr>
        <w:tc>
          <w:tcPr>
            <w:tcW w:w="709" w:type="dxa"/>
            <w:vMerge w:val="continue"/>
            <w:tcBorders>
              <w:top w:val="nil"/>
              <w:left w:val="single" w:color="auto" w:sz="4" w:space="0"/>
              <w:bottom w:val="nil"/>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nil"/>
              <w:left w:val="single" w:color="auto" w:sz="4" w:space="0"/>
              <w:bottom w:val="nil"/>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特装搭建</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ind w:firstLine="660" w:firstLineChars="30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特邀参展商展位特装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w:t>
            </w:r>
          </w:p>
        </w:tc>
        <w:tc>
          <w:tcPr>
            <w:tcW w:w="709" w:type="dxa"/>
            <w:vMerge w:val="restart"/>
            <w:tcBorders>
              <w:top w:val="single" w:color="auto" w:sz="4" w:space="0"/>
              <w:left w:val="single" w:color="auto" w:sz="4" w:space="0"/>
              <w:bottom w:val="single" w:color="000000" w:sz="4" w:space="0"/>
              <w:right w:val="single" w:color="auto" w:sz="4" w:space="0"/>
            </w:tcBorders>
            <w:noWrap/>
            <w:textDirection w:val="tbRlV"/>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组织费用</w:t>
            </w: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会务执行费</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含与各单位协调、展务、后勤等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nil"/>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印刷品</w:t>
            </w:r>
          </w:p>
        </w:tc>
        <w:tc>
          <w:tcPr>
            <w:tcW w:w="1559"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含门票、观展指南、手提袋、各种证件、</w:t>
            </w:r>
            <w:r>
              <w:rPr>
                <w:rFonts w:hint="eastAsia" w:ascii="宋体" w:hAnsi="宋体" w:cs="宋体"/>
                <w:color w:val="auto"/>
                <w:sz w:val="22"/>
                <w:highlight w:val="none"/>
                <w:lang w:eastAsia="zh-CN"/>
              </w:rPr>
              <w:t>会刊、</w:t>
            </w:r>
            <w:r>
              <w:rPr>
                <w:rFonts w:hint="eastAsia" w:ascii="新宋体" w:hAnsi="新宋体" w:eastAsia="新宋体" w:cs="新宋体"/>
                <w:color w:val="auto"/>
                <w:kern w:val="0"/>
                <w:sz w:val="22"/>
                <w:szCs w:val="22"/>
              </w:rPr>
              <w:t>展后报告等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保安</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保洁</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其他配套服务</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展会安全评估、电气安全检测、救护、防疫用品、快餐、矿泉水等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展会视频资料</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含展会活动、进程的各项视频拍摄与制作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atLeast"/>
        </w:trPr>
        <w:tc>
          <w:tcPr>
            <w:tcW w:w="709" w:type="dxa"/>
            <w:vMerge w:val="restart"/>
            <w:tcBorders>
              <w:top w:val="single" w:color="000000" w:sz="4" w:space="0"/>
              <w:left w:val="single" w:color="auto" w:sz="4" w:space="0"/>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w:t>
            </w:r>
          </w:p>
        </w:tc>
        <w:tc>
          <w:tcPr>
            <w:tcW w:w="709" w:type="dxa"/>
            <w:vMerge w:val="restart"/>
            <w:tcBorders>
              <w:top w:val="single" w:color="000000" w:sz="4" w:space="0"/>
              <w:left w:val="single" w:color="auto" w:sz="4" w:space="0"/>
              <w:bottom w:val="single" w:color="auto" w:sz="4" w:space="0"/>
              <w:right w:val="single" w:color="auto" w:sz="4" w:space="0"/>
            </w:tcBorders>
            <w:noWrap/>
            <w:textDirection w:val="tbRlV"/>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招商费用</w:t>
            </w:r>
          </w:p>
        </w:tc>
        <w:tc>
          <w:tcPr>
            <w:tcW w:w="2268"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招商资料设计制作</w:t>
            </w:r>
          </w:p>
        </w:tc>
        <w:tc>
          <w:tcPr>
            <w:tcW w:w="1559"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招商函、电子招商函、场馆展位图、H5推广、电子门票、参展商数据库等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7" w:hRule="atLeast"/>
        </w:trPr>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招商执行费</w:t>
            </w:r>
          </w:p>
        </w:tc>
        <w:tc>
          <w:tcPr>
            <w:tcW w:w="1559"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招商综合费用（含展区委托招商代理费，参展商食宿交通补贴，展品运输补贴，招商人员差旅、劳务等）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5" w:hRule="atLeast"/>
        </w:trPr>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nil"/>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xml:space="preserve">平面媒体招商广告 </w:t>
            </w:r>
          </w:p>
        </w:tc>
        <w:tc>
          <w:tcPr>
            <w:tcW w:w="1559"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4" w:hRule="atLeast"/>
        </w:trPr>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nil"/>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网络媒体招商发布</w:t>
            </w:r>
          </w:p>
        </w:tc>
        <w:tc>
          <w:tcPr>
            <w:tcW w:w="1559"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7" w:hRule="atLeast"/>
        </w:trPr>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5</w:t>
            </w:r>
          </w:p>
        </w:tc>
        <w:tc>
          <w:tcPr>
            <w:tcW w:w="709"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宣传费用</w:t>
            </w:r>
          </w:p>
        </w:tc>
        <w:tc>
          <w:tcPr>
            <w:tcW w:w="2268"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户外广告</w:t>
            </w:r>
          </w:p>
        </w:tc>
        <w:tc>
          <w:tcPr>
            <w:tcW w:w="1559"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不少于4种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1" w:hRule="atLeast"/>
        </w:trPr>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报纸广告及宣传</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62" w:hRule="atLeast"/>
        </w:trPr>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广播电视宣传片、广告制作播出</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云平台及网络新媒体宣传</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6</w:t>
            </w:r>
          </w:p>
        </w:tc>
        <w:tc>
          <w:tcPr>
            <w:tcW w:w="709" w:type="dxa"/>
            <w:vMerge w:val="restart"/>
            <w:tcBorders>
              <w:top w:val="single" w:color="auto" w:sz="4" w:space="0"/>
              <w:left w:val="single" w:color="auto" w:sz="4" w:space="0"/>
              <w:bottom w:val="single" w:color="000000" w:sz="4" w:space="0"/>
              <w:right w:val="single" w:color="auto" w:sz="4" w:space="0"/>
            </w:tcBorders>
            <w:noWrap/>
            <w:textDirection w:val="tbRlV"/>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活动费用</w:t>
            </w:r>
          </w:p>
        </w:tc>
        <w:tc>
          <w:tcPr>
            <w:tcW w:w="2268"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lang w:val="en-US" w:eastAsia="zh-CN" w:bidi="ar-SA"/>
              </w:rPr>
            </w:pPr>
            <w:r>
              <w:rPr>
                <w:rFonts w:hint="eastAsia" w:ascii="新宋体" w:hAnsi="新宋体" w:eastAsia="新宋体" w:cs="新宋体"/>
                <w:color w:val="auto"/>
                <w:kern w:val="0"/>
                <w:sz w:val="22"/>
                <w:szCs w:val="22"/>
              </w:rPr>
              <w:t>主论坛：文化经济新趋势发布</w:t>
            </w:r>
          </w:p>
        </w:tc>
        <w:tc>
          <w:tcPr>
            <w:tcW w:w="1559"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lang w:val="en-US" w:eastAsia="zh-CN" w:bidi="ar-SA"/>
              </w:rPr>
            </w:pPr>
          </w:p>
        </w:tc>
        <w:tc>
          <w:tcPr>
            <w:tcW w:w="3969"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lang w:val="en-US" w:eastAsia="zh-CN" w:bidi="ar-SA"/>
              </w:rPr>
            </w:pPr>
            <w:r>
              <w:rPr>
                <w:rFonts w:hint="eastAsia" w:ascii="宋体" w:hAnsi="宋体" w:cs="宋体"/>
                <w:color w:val="auto"/>
                <w:sz w:val="22"/>
                <w:highlight w:val="none"/>
                <w:lang w:eastAsia="zh-CN"/>
              </w:rPr>
              <w:t>项目综合费用。含嘉宾邀请、食宿、市内外交通，主持、摄像、开场短片、场地布置、组织会务宣传等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分论坛</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xml:space="preserve">2场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宋体" w:hAnsi="宋体" w:cs="宋体"/>
                <w:color w:val="auto"/>
                <w:sz w:val="22"/>
                <w:highlight w:val="none"/>
                <w:lang w:eastAsia="zh-CN"/>
              </w:rPr>
              <w:t>金瓯奖温州城市手信设计大赛</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对接活动、互动</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r>
              <w:rPr>
                <w:rFonts w:hint="eastAsia" w:ascii="宋体" w:hAnsi="宋体" w:cs="宋体"/>
                <w:color w:val="auto"/>
                <w:sz w:val="22"/>
                <w:highlight w:val="none"/>
                <w:lang w:eastAsia="zh-CN"/>
              </w:rPr>
              <w:t>企业文化礼品采购推介会、</w:t>
            </w:r>
            <w:r>
              <w:rPr>
                <w:rFonts w:hint="eastAsia" w:ascii="新宋体" w:hAnsi="新宋体" w:eastAsia="新宋体" w:cs="新宋体"/>
                <w:color w:val="auto"/>
                <w:kern w:val="0"/>
                <w:sz w:val="22"/>
                <w:szCs w:val="22"/>
              </w:rPr>
              <w:t>书画工艺美术精品拍卖会、电竞PK赛、</w:t>
            </w:r>
            <w:r>
              <w:rPr>
                <w:rFonts w:hint="eastAsia" w:ascii="宋体" w:hAnsi="宋体" w:cs="宋体"/>
                <w:color w:val="auto"/>
                <w:sz w:val="22"/>
                <w:highlight w:val="none"/>
                <w:lang w:eastAsia="zh-CN"/>
              </w:rPr>
              <w:t>文博会短视频大赛</w:t>
            </w:r>
            <w:r>
              <w:rPr>
                <w:rFonts w:hint="eastAsia" w:ascii="新宋体" w:hAnsi="新宋体" w:eastAsia="新宋体" w:cs="新宋体"/>
                <w:color w:val="auto"/>
                <w:kern w:val="0"/>
                <w:sz w:val="22"/>
                <w:szCs w:val="22"/>
              </w:rPr>
              <w:t>等活动综合费用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现场表演、流行发布</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约20场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trPr>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rPr>
            </w:pPr>
          </w:p>
        </w:tc>
        <w:tc>
          <w:tcPr>
            <w:tcW w:w="2268"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展会评先、观展有礼</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9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7</w:t>
            </w:r>
          </w:p>
        </w:tc>
        <w:tc>
          <w:tcPr>
            <w:tcW w:w="2977" w:type="dxa"/>
            <w:gridSpan w:val="2"/>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其他费用</w:t>
            </w:r>
          </w:p>
        </w:tc>
        <w:tc>
          <w:tcPr>
            <w:tcW w:w="1559"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single" w:color="auto" w:sz="4" w:space="0"/>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招投标、办公及业务支出、运输、撤展等及不可预计费用、项目税费、管理费等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8</w:t>
            </w:r>
          </w:p>
        </w:tc>
        <w:tc>
          <w:tcPr>
            <w:tcW w:w="2977" w:type="dxa"/>
            <w:gridSpan w:val="2"/>
            <w:tcBorders>
              <w:top w:val="single" w:color="auto" w:sz="4" w:space="0"/>
              <w:left w:val="nil"/>
              <w:bottom w:val="single" w:color="auto" w:sz="4" w:space="0"/>
              <w:right w:val="single" w:color="auto" w:sz="4" w:space="0"/>
            </w:tcBorders>
            <w:noWrap/>
            <w:vAlign w:val="center"/>
          </w:tcPr>
          <w:p>
            <w:pPr>
              <w:widowControl/>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展会人身意外伤害险费</w:t>
            </w:r>
          </w:p>
        </w:tc>
        <w:tc>
          <w:tcPr>
            <w:tcW w:w="155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p>
        </w:tc>
        <w:tc>
          <w:tcPr>
            <w:tcW w:w="3969" w:type="dxa"/>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9</w:t>
            </w:r>
          </w:p>
        </w:tc>
        <w:tc>
          <w:tcPr>
            <w:tcW w:w="2977" w:type="dxa"/>
            <w:gridSpan w:val="2"/>
            <w:tcBorders>
              <w:top w:val="single" w:color="auto" w:sz="4" w:space="0"/>
              <w:left w:val="nil"/>
              <w:bottom w:val="single" w:color="auto" w:sz="4" w:space="0"/>
              <w:right w:val="single" w:color="auto" w:sz="4" w:space="0"/>
            </w:tcBorders>
            <w:noWrap/>
            <w:vAlign w:val="center"/>
          </w:tcPr>
          <w:p>
            <w:pPr>
              <w:widowControl/>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总计价（1+2+3+4+5+6+7+8）</w:t>
            </w:r>
          </w:p>
        </w:tc>
        <w:tc>
          <w:tcPr>
            <w:tcW w:w="5528" w:type="dxa"/>
            <w:gridSpan w:val="2"/>
            <w:tcBorders>
              <w:top w:val="nil"/>
              <w:left w:val="nil"/>
              <w:bottom w:val="single" w:color="auto" w:sz="4" w:space="0"/>
              <w:right w:val="single" w:color="auto" w:sz="4" w:space="0"/>
            </w:tcBorders>
            <w:noWrap/>
            <w:vAlign w:val="center"/>
          </w:tcPr>
          <w:p>
            <w:pPr>
              <w:widowControl/>
              <w:spacing w:line="460" w:lineRule="exact"/>
              <w:jc w:val="center"/>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　</w:t>
            </w:r>
          </w:p>
        </w:tc>
      </w:tr>
    </w:tbl>
    <w:p>
      <w:pPr>
        <w:spacing w:line="380" w:lineRule="exact"/>
        <w:rPr>
          <w:rFonts w:ascii="新宋体" w:hAnsi="新宋体" w:eastAsia="新宋体"/>
          <w:b/>
          <w:color w:val="auto"/>
          <w:sz w:val="22"/>
          <w:szCs w:val="22"/>
        </w:rPr>
      </w:pPr>
    </w:p>
    <w:p>
      <w:pPr>
        <w:spacing w:line="380" w:lineRule="exact"/>
        <w:rPr>
          <w:rFonts w:hint="eastAsia" w:ascii="宋体" w:hAnsi="宋体" w:eastAsia="宋体" w:cs="宋体"/>
          <w:b/>
          <w:color w:val="auto"/>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5500" w:firstLineChars="25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outlineLvl w:val="9"/>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价格给予6%的扣除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2"/>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2"/>
        <w:spacing w:line="460" w:lineRule="exact"/>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pStyle w:val="22"/>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2"/>
        <w:spacing w:line="460" w:lineRule="exact"/>
        <w:ind w:left="433" w:hanging="433" w:hangingChars="196"/>
        <w:outlineLvl w:val="1"/>
        <w:rPr>
          <w:rFonts w:hint="eastAsia" w:ascii="宋体" w:hAnsi="宋体" w:eastAsia="宋体" w:cs="宋体"/>
          <w:b/>
          <w:color w:val="auto"/>
          <w:sz w:val="22"/>
          <w:szCs w:val="22"/>
          <w:highlight w:val="none"/>
        </w:rPr>
      </w:pPr>
      <w:bookmarkStart w:id="32" w:name="_Toc19402"/>
      <w:bookmarkStart w:id="33" w:name="_Toc12035"/>
      <w:r>
        <w:rPr>
          <w:rFonts w:hint="eastAsia" w:ascii="宋体" w:hAnsi="宋体" w:eastAsia="宋体" w:cs="宋体"/>
          <w:b/>
          <w:color w:val="auto"/>
          <w:sz w:val="22"/>
          <w:szCs w:val="22"/>
          <w:highlight w:val="none"/>
        </w:rPr>
        <w:t>附件二</w:t>
      </w:r>
      <w:bookmarkEnd w:id="32"/>
      <w:bookmarkEnd w:id="33"/>
    </w:p>
    <w:p>
      <w:pPr>
        <w:spacing w:line="460" w:lineRule="exact"/>
        <w:jc w:val="center"/>
        <w:outlineLvl w:val="2"/>
        <w:rPr>
          <w:rFonts w:hint="eastAsia" w:ascii="宋体" w:hAnsi="宋体" w:eastAsia="宋体" w:cs="宋体"/>
          <w:color w:val="auto"/>
          <w:sz w:val="28"/>
          <w:szCs w:val="28"/>
          <w:highlight w:val="none"/>
        </w:rPr>
      </w:pPr>
      <w:bookmarkStart w:id="34" w:name="_Toc4718"/>
      <w:bookmarkStart w:id="35" w:name="_Toc25309"/>
      <w:r>
        <w:rPr>
          <w:rFonts w:hint="eastAsia" w:ascii="宋体" w:hAnsi="宋体" w:eastAsia="宋体" w:cs="宋体"/>
          <w:b/>
          <w:bCs/>
          <w:color w:val="auto"/>
          <w:sz w:val="28"/>
          <w:szCs w:val="28"/>
          <w:highlight w:val="none"/>
        </w:rPr>
        <w:t>资格证明文件</w:t>
      </w:r>
      <w:bookmarkEnd w:id="34"/>
      <w:bookmarkEnd w:id="35"/>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中共温州市委宣传部</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2"/>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2"/>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eastAsia="宋体" w:cs="宋体"/>
          <w:b/>
          <w:bCs/>
          <w:color w:val="auto"/>
          <w:sz w:val="24"/>
          <w:highlight w:val="none"/>
        </w:rPr>
        <w:t>4、依法缴纳税收和社会保障资金的承诺函；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中共温州市委宣传部</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2"/>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2"/>
        <w:spacing w:line="460" w:lineRule="exact"/>
        <w:ind w:left="0" w:firstLine="0" w:firstLineChars="0"/>
        <w:rPr>
          <w:rFonts w:hint="eastAsia" w:ascii="宋体" w:hAnsi="宋体" w:eastAsia="宋体" w:cs="宋体"/>
          <w:color w:val="auto"/>
          <w:kern w:val="0"/>
          <w:highlight w:val="none"/>
        </w:rPr>
      </w:pPr>
    </w:p>
    <w:p>
      <w:pPr>
        <w:pStyle w:val="22"/>
        <w:spacing w:line="460" w:lineRule="exact"/>
        <w:ind w:left="0" w:firstLine="0" w:firstLineChars="0"/>
        <w:rPr>
          <w:rFonts w:hint="eastAsia" w:ascii="宋体" w:hAnsi="宋体" w:eastAsia="宋体" w:cs="宋体"/>
          <w:color w:val="auto"/>
          <w:kern w:val="0"/>
          <w:highlight w:val="none"/>
        </w:rPr>
      </w:pPr>
    </w:p>
    <w:p>
      <w:pPr>
        <w:pStyle w:val="22"/>
        <w:spacing w:line="460" w:lineRule="exact"/>
        <w:ind w:left="0" w:firstLine="0" w:firstLineChars="0"/>
        <w:rPr>
          <w:rFonts w:hint="eastAsia" w:ascii="宋体" w:hAnsi="宋体" w:eastAsia="宋体" w:cs="宋体"/>
          <w:color w:val="auto"/>
          <w:kern w:val="0"/>
          <w:highlight w:val="none"/>
        </w:rPr>
      </w:pPr>
    </w:p>
    <w:p>
      <w:pPr>
        <w:pStyle w:val="22"/>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5、参加政府采购活动前3年内在经营活动中没有重大违法记录的声明函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中共温州市委宣传部</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2"/>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2"/>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中共温州市委宣传部</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中共温州市委宣传部</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2"/>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2"/>
        <w:spacing w:line="460" w:lineRule="exact"/>
        <w:ind w:left="0" w:firstLine="0" w:firstLineChars="0"/>
        <w:rPr>
          <w:rFonts w:hint="eastAsia" w:ascii="宋体" w:hAnsi="宋体" w:eastAsia="宋体" w:cs="宋体"/>
          <w:color w:val="auto"/>
          <w:kern w:val="0"/>
          <w:highlight w:val="none"/>
        </w:rPr>
      </w:pPr>
    </w:p>
    <w:p>
      <w:pPr>
        <w:pStyle w:val="22"/>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中共温州市委宣传部</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中共温州市委宣传部</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2"/>
        <w:spacing w:line="460" w:lineRule="exact"/>
        <w:ind w:left="514" w:leftChars="245" w:firstLine="0" w:firstLineChars="0"/>
        <w:rPr>
          <w:rFonts w:hint="eastAsia" w:ascii="宋体" w:hAnsi="宋体" w:eastAsia="宋体" w:cs="宋体"/>
          <w:color w:val="auto"/>
          <w:highlight w:val="none"/>
        </w:rPr>
      </w:pPr>
    </w:p>
    <w:p>
      <w:pPr>
        <w:pStyle w:val="22"/>
        <w:spacing w:line="460" w:lineRule="exact"/>
        <w:ind w:left="514" w:leftChars="245" w:firstLine="0" w:firstLineChars="0"/>
        <w:rPr>
          <w:rFonts w:hint="eastAsia" w:ascii="宋体" w:hAnsi="宋体" w:eastAsia="宋体" w:cs="宋体"/>
          <w:color w:val="auto"/>
          <w:highlight w:val="none"/>
        </w:rPr>
      </w:pPr>
    </w:p>
    <w:p>
      <w:pPr>
        <w:pStyle w:val="22"/>
        <w:spacing w:line="460" w:lineRule="exact"/>
        <w:ind w:left="514" w:leftChars="245" w:firstLine="0" w:firstLineChars="0"/>
        <w:rPr>
          <w:rFonts w:hint="eastAsia" w:ascii="宋体" w:hAnsi="宋体" w:eastAsia="宋体" w:cs="宋体"/>
          <w:color w:val="auto"/>
          <w:highlight w:val="none"/>
        </w:rPr>
      </w:pPr>
    </w:p>
    <w:p>
      <w:pPr>
        <w:pStyle w:val="22"/>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9、政府采购活动现场确认声明书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2"/>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4"/>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□与其他所有供应商之间均不存在利害关系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A.法定代表人或负责人或实际控制人是同一人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B.法定代表人或负责人或实际控制人是夫妻关系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C.法定代表人或负责人或实际控制人是直系血亲关系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D.法定代表人或负责人或实际控制人存在三代以内旁系血亲关系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E.法定代表人或负责人或实际控制人存在近姻亲关系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F.法定代表人或负责人或实际控制人存在股份控制或实际控制关系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G.存在共同直接或间接投资设立子公司、联营企业和合营企业情况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2"/>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2"/>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2"/>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2"/>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2"/>
        <w:spacing w:line="460" w:lineRule="exact"/>
        <w:ind w:left="0" w:firstLine="0" w:firstLineChars="0"/>
        <w:jc w:val="right"/>
        <w:rPr>
          <w:rFonts w:hint="eastAsia" w:ascii="宋体" w:hAnsi="宋体" w:eastAsia="宋体" w:cs="宋体"/>
          <w:b/>
          <w:color w:val="auto"/>
          <w:kern w:val="0"/>
          <w:sz w:val="22"/>
          <w:szCs w:val="22"/>
          <w:highlight w:val="none"/>
        </w:rPr>
      </w:pPr>
    </w:p>
    <w:p>
      <w:pPr>
        <w:pStyle w:val="22"/>
        <w:spacing w:line="460" w:lineRule="exact"/>
        <w:ind w:left="0" w:firstLine="0" w:firstLineChars="0"/>
        <w:jc w:val="right"/>
        <w:rPr>
          <w:rFonts w:hint="eastAsia" w:ascii="宋体" w:hAnsi="宋体" w:eastAsia="宋体" w:cs="宋体"/>
          <w:b/>
          <w:color w:val="auto"/>
          <w:kern w:val="0"/>
          <w:sz w:val="22"/>
          <w:szCs w:val="22"/>
          <w:highlight w:val="none"/>
        </w:rPr>
      </w:pPr>
    </w:p>
    <w:p>
      <w:pPr>
        <w:pStyle w:val="22"/>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2022年</w:t>
      </w:r>
      <w:r>
        <w:rPr>
          <w:rFonts w:hint="eastAsia" w:ascii="宋体" w:hAnsi="宋体" w:eastAsia="宋体" w:cs="宋体"/>
          <w:b/>
          <w:color w:val="auto"/>
          <w:kern w:val="0"/>
          <w:sz w:val="22"/>
          <w:szCs w:val="22"/>
          <w:highlight w:val="none"/>
        </w:rPr>
        <w:t xml:space="preserve">    月    日</w:t>
      </w:r>
    </w:p>
    <w:p>
      <w:pPr>
        <w:outlineLvl w:val="1"/>
        <w:rPr>
          <w:rFonts w:hint="eastAsia" w:ascii="宋体" w:hAnsi="宋体" w:eastAsia="宋体" w:cs="宋体"/>
          <w:b/>
          <w:bCs/>
          <w:color w:val="auto"/>
          <w:sz w:val="22"/>
          <w:szCs w:val="22"/>
          <w:highlight w:val="none"/>
        </w:rPr>
      </w:pPr>
      <w:bookmarkStart w:id="36" w:name="_Toc16516"/>
      <w:bookmarkStart w:id="37" w:name="_Toc31356"/>
      <w:r>
        <w:rPr>
          <w:rFonts w:hint="eastAsia" w:ascii="宋体" w:hAnsi="宋体" w:eastAsia="宋体" w:cs="宋体"/>
          <w:b/>
          <w:bCs/>
          <w:color w:val="auto"/>
          <w:sz w:val="22"/>
          <w:szCs w:val="22"/>
          <w:highlight w:val="none"/>
        </w:rPr>
        <w:t>附件三</w:t>
      </w:r>
      <w:bookmarkEnd w:id="36"/>
      <w:bookmarkEnd w:id="37"/>
    </w:p>
    <w:p>
      <w:pPr>
        <w:spacing w:line="460" w:lineRule="exact"/>
        <w:jc w:val="center"/>
        <w:outlineLvl w:val="2"/>
        <w:rPr>
          <w:rFonts w:hint="eastAsia" w:ascii="宋体" w:hAnsi="宋体" w:eastAsia="宋体" w:cs="宋体"/>
          <w:b/>
          <w:bCs/>
          <w:color w:val="auto"/>
          <w:sz w:val="28"/>
          <w:szCs w:val="28"/>
          <w:highlight w:val="none"/>
          <w:lang w:val="zh-CN"/>
        </w:rPr>
      </w:pPr>
      <w:bookmarkStart w:id="38" w:name="_Toc29102"/>
      <w:bookmarkStart w:id="39" w:name="_Toc13639"/>
      <w:r>
        <w:rPr>
          <w:rFonts w:hint="eastAsia" w:ascii="宋体" w:hAnsi="宋体" w:eastAsia="宋体" w:cs="宋体"/>
          <w:b/>
          <w:bCs/>
          <w:color w:val="auto"/>
          <w:sz w:val="28"/>
          <w:szCs w:val="28"/>
          <w:highlight w:val="none"/>
          <w:lang w:val="zh-CN"/>
        </w:rPr>
        <w:t>商务技术文件</w:t>
      </w:r>
      <w:bookmarkEnd w:id="38"/>
      <w:bookmarkEnd w:id="39"/>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中共温州市委宣传部</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pPr>
        <w:spacing w:line="360" w:lineRule="auto"/>
        <w:rPr>
          <w:rFonts w:hint="eastAsia" w:ascii="宋体" w:hAnsi="宋体" w:eastAsia="宋体" w:cs="宋体"/>
          <w:b w:val="0"/>
          <w:bCs w:val="0"/>
          <w:color w:val="auto"/>
          <w:sz w:val="22"/>
          <w:szCs w:val="22"/>
          <w:highlight w:val="none"/>
        </w:rPr>
      </w:pP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bookmarkStart w:id="40" w:name="_Toc415152386"/>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4、</w:t>
      </w:r>
      <w:bookmarkEnd w:id="40"/>
      <w:r>
        <w:rPr>
          <w:rFonts w:hint="eastAsia" w:ascii="宋体" w:hAnsi="宋体" w:eastAsia="宋体" w:cs="宋体"/>
          <w:b/>
          <w:bCs/>
          <w:color w:val="auto"/>
          <w:sz w:val="28"/>
          <w:szCs w:val="28"/>
          <w:highlight w:val="none"/>
          <w:lang w:val="en-US" w:eastAsia="zh-CN"/>
        </w:rPr>
        <w:t>总体方案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color w:val="auto"/>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8"/>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5、展会宣传推广</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tabs>
          <w:tab w:val="left" w:pos="36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  1、此表仅提供了表格形式，投标人可按此表格复制。</w:t>
      </w:r>
    </w:p>
    <w:p>
      <w:pPr>
        <w:tabs>
          <w:tab w:val="left" w:pos="360"/>
        </w:tabs>
        <w:spacing w:line="460" w:lineRule="exact"/>
        <w:ind w:firstLine="883" w:firstLineChars="4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2、如果无此内容，投标时需说明。</w:t>
      </w:r>
    </w:p>
    <w:p>
      <w:pPr>
        <w:spacing w:line="400" w:lineRule="exact"/>
        <w:ind w:firstLine="4620" w:firstLineChars="2100"/>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spacing w:line="460" w:lineRule="exact"/>
        <w:ind w:firstLine="5060" w:firstLineChars="2300"/>
        <w:rPr>
          <w:rFonts w:hint="eastAsia" w:ascii="宋体" w:hAnsi="宋体" w:eastAsia="宋体" w:cs="宋体"/>
          <w:color w:val="auto"/>
          <w:sz w:val="22"/>
          <w:szCs w:val="22"/>
          <w:highlight w:val="none"/>
        </w:rPr>
      </w:pPr>
    </w:p>
    <w:p>
      <w:pPr>
        <w:rPr>
          <w:rFonts w:hint="eastAsia" w:ascii="宋体" w:hAnsi="宋体" w:eastAsia="宋体" w:cs="宋体"/>
          <w:color w:val="auto"/>
          <w:highlight w:val="none"/>
        </w:rPr>
      </w:pP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eastAsia="宋体" w:cs="宋体"/>
          <w:b/>
          <w:bCs/>
          <w:color w:val="auto"/>
          <w:sz w:val="28"/>
          <w:szCs w:val="28"/>
          <w:highlight w:val="none"/>
          <w:lang w:val="en-US" w:eastAsia="zh-CN"/>
        </w:rPr>
        <w:t>6、展会招展招商</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pStyle w:val="28"/>
        <w:spacing w:line="400" w:lineRule="atLeast"/>
        <w:rPr>
          <w:rFonts w:hint="eastAsia" w:ascii="宋体" w:hAnsi="宋体" w:eastAsia="宋体" w:cs="宋体"/>
          <w:color w:val="auto"/>
          <w:sz w:val="22"/>
          <w:highlight w:val="none"/>
        </w:rPr>
      </w:pPr>
    </w:p>
    <w:p>
      <w:pPr>
        <w:pStyle w:val="28"/>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28"/>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28"/>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jc w:val="both"/>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3"/>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en-US" w:eastAsia="zh-CN"/>
        </w:rPr>
        <w:t>7、展览展示</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、展会相关配套活动安排</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color w:val="auto"/>
          <w:sz w:val="22"/>
          <w:szCs w:val="22"/>
          <w:highlight w:val="none"/>
        </w:rPr>
        <w:t xml:space="preserve">  </w:t>
      </w: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8"/>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28"/>
        <w:spacing w:line="400" w:lineRule="atLeast"/>
        <w:ind w:left="663" w:hanging="663" w:hangingChars="300"/>
        <w:rPr>
          <w:rFonts w:hint="eastAsia" w:ascii="宋体" w:hAnsi="宋体" w:eastAsia="宋体" w:cs="宋体"/>
          <w:color w:val="auto"/>
          <w:sz w:val="22"/>
          <w:highlight w:val="none"/>
        </w:rPr>
      </w:pPr>
    </w:p>
    <w:p>
      <w:pPr>
        <w:pStyle w:val="28"/>
        <w:spacing w:line="400" w:lineRule="atLeast"/>
        <w:ind w:left="663" w:hanging="663" w:hangingChars="300"/>
        <w:rPr>
          <w:rFonts w:hint="eastAsia" w:ascii="宋体" w:hAnsi="宋体" w:eastAsia="宋体" w:cs="宋体"/>
          <w:color w:val="auto"/>
          <w:sz w:val="22"/>
          <w:highlight w:val="none"/>
        </w:rPr>
      </w:pPr>
    </w:p>
    <w:p>
      <w:pPr>
        <w:pStyle w:val="28"/>
        <w:spacing w:line="400" w:lineRule="atLeast"/>
        <w:rPr>
          <w:rFonts w:hint="eastAsia" w:ascii="宋体" w:hAnsi="宋体" w:eastAsia="宋体" w:cs="宋体"/>
          <w:color w:val="auto"/>
          <w:sz w:val="22"/>
          <w:highlight w:val="none"/>
        </w:rPr>
      </w:pP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en-US" w:eastAsia="zh-CN"/>
        </w:rPr>
        <w:t>、项目组织管理</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8"/>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、投标人综合</w:t>
      </w:r>
      <w:r>
        <w:rPr>
          <w:rFonts w:hint="eastAsia" w:ascii="宋体" w:hAnsi="宋体" w:cs="宋体"/>
          <w:b/>
          <w:bCs/>
          <w:color w:val="auto"/>
          <w:sz w:val="28"/>
          <w:szCs w:val="28"/>
          <w:highlight w:val="none"/>
          <w:lang w:val="en-US" w:eastAsia="zh-CN"/>
        </w:rPr>
        <w:t>实力</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b w:val="0"/>
          <w:color w:val="auto"/>
          <w:kern w:val="2"/>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rPr>
        <w:t>、业绩</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r>
        <w:rPr>
          <w:rFonts w:hint="eastAsia" w:ascii="宋体" w:hAnsi="宋体" w:eastAsia="宋体" w:cs="宋体"/>
          <w:color w:val="auto"/>
          <w:highlight w:val="non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pStyle w:val="28"/>
        <w:spacing w:line="400" w:lineRule="atLeast"/>
        <w:ind w:left="5360" w:leftChars="2500" w:hanging="110" w:hangingChars="50"/>
        <w:rPr>
          <w:rFonts w:hint="eastAsia" w:ascii="宋体" w:hAnsi="宋体" w:eastAsia="宋体" w:cs="宋体"/>
          <w:color w:val="auto"/>
          <w:sz w:val="22"/>
          <w:szCs w:val="22"/>
          <w:highlight w:val="none"/>
        </w:rPr>
      </w:pPr>
    </w:p>
    <w:p>
      <w:pPr>
        <w:pStyle w:val="28"/>
        <w:spacing w:line="360" w:lineRule="auto"/>
        <w:ind w:left="5360" w:leftChars="2500" w:hanging="110" w:hangingChars="5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投标人全称（盖章）：</w:t>
      </w:r>
    </w:p>
    <w:p>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投标人代表（签字）：</w:t>
      </w:r>
    </w:p>
    <w:p>
      <w:pPr>
        <w:spacing w:line="360" w:lineRule="auto"/>
        <w:ind w:firstLine="5280" w:firstLineChars="24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日    期：</w:t>
      </w:r>
    </w:p>
    <w:p>
      <w:pPr>
        <w:pStyle w:val="28"/>
        <w:spacing w:line="460" w:lineRule="exact"/>
        <w:ind w:left="663" w:hanging="663" w:hangingChars="300"/>
        <w:rPr>
          <w:rFonts w:hint="eastAsia" w:ascii="宋体" w:hAnsi="宋体" w:eastAsia="宋体" w:cs="宋体"/>
          <w:color w:val="auto"/>
          <w:sz w:val="22"/>
          <w:highlight w:val="none"/>
        </w:rPr>
      </w:pPr>
    </w:p>
    <w:p>
      <w:pPr>
        <w:pStyle w:val="28"/>
        <w:spacing w:line="460" w:lineRule="exact"/>
        <w:ind w:left="663" w:hanging="663" w:hangingChars="300"/>
        <w:rPr>
          <w:rFonts w:hint="eastAsia" w:ascii="宋体" w:hAnsi="宋体" w:eastAsia="宋体" w:cs="宋体"/>
          <w:color w:val="auto"/>
          <w:sz w:val="22"/>
          <w:highlight w:val="none"/>
        </w:rPr>
      </w:pPr>
    </w:p>
    <w:p>
      <w:pPr>
        <w:tabs>
          <w:tab w:val="left" w:pos="1808"/>
        </w:tabs>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ab/>
      </w:r>
      <w:r>
        <w:rPr>
          <w:rFonts w:hint="eastAsia" w:ascii="宋体" w:hAnsi="宋体" w:eastAsia="宋体" w:cs="宋体"/>
          <w:b/>
          <w:bCs/>
          <w:color w:val="auto"/>
          <w:sz w:val="22"/>
          <w:szCs w:val="22"/>
          <w:highlight w:val="none"/>
        </w:rPr>
        <w:t xml:space="preserve">  </w:t>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、其他必要提供的资料</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WZLCZB（W）-2022-03057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2022温州国际时尚文化产业博览会</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pPr>
        <w:pStyle w:val="2"/>
        <w:numPr>
          <w:ilvl w:val="0"/>
          <w:numId w:val="5"/>
        </w:numPr>
        <w:bidi w:val="0"/>
        <w:rPr>
          <w:rFonts w:hint="eastAsia" w:ascii="宋体" w:hAnsi="宋体" w:eastAsia="宋体" w:cs="宋体"/>
          <w:b/>
          <w:color w:val="auto"/>
          <w:highlight w:val="none"/>
        </w:rPr>
      </w:pPr>
      <w:r>
        <w:rPr>
          <w:rFonts w:hint="eastAsia" w:ascii="宋体" w:hAnsi="宋体" w:eastAsia="宋体" w:cs="宋体"/>
          <w:color w:val="auto"/>
        </w:rPr>
        <w:t xml:space="preserve"> </w:t>
      </w:r>
      <w:bookmarkStart w:id="41" w:name="_Toc10142"/>
      <w:bookmarkStart w:id="42" w:name="_Toc3381"/>
      <w:bookmarkStart w:id="43" w:name="_Toc221356895"/>
      <w:bookmarkStart w:id="44" w:name="_Toc221356958"/>
      <w:r>
        <w:rPr>
          <w:rFonts w:hint="eastAsia" w:ascii="宋体" w:hAnsi="宋体" w:eastAsia="宋体" w:cs="宋体"/>
          <w:color w:val="auto"/>
        </w:rPr>
        <w:t>项目技术规范和服务要求</w:t>
      </w:r>
      <w:bookmarkEnd w:id="41"/>
      <w:bookmarkEnd w:id="42"/>
    </w:p>
    <w:bookmarkEnd w:id="43"/>
    <w:bookmarkEnd w:id="44"/>
    <w:p>
      <w:pPr>
        <w:autoSpaceDN w:val="0"/>
        <w:spacing w:line="460" w:lineRule="exact"/>
        <w:outlineLvl w:val="1"/>
        <w:rPr>
          <w:rFonts w:ascii="宋体" w:hAnsi="宋体" w:cs="宋体"/>
          <w:color w:val="auto"/>
          <w:sz w:val="22"/>
          <w:szCs w:val="22"/>
          <w:highlight w:val="none"/>
        </w:rPr>
      </w:pPr>
      <w:bookmarkStart w:id="45" w:name="_Toc496101575"/>
      <w:bookmarkStart w:id="46" w:name="_Toc23050833"/>
      <w:bookmarkStart w:id="47" w:name="_Toc496101312"/>
      <w:bookmarkStart w:id="48" w:name="_Toc497300664"/>
      <w:bookmarkStart w:id="49" w:name="_Toc495660084"/>
      <w:bookmarkStart w:id="50" w:name="_Toc498186820"/>
      <w:bookmarkStart w:id="51" w:name="_Toc496256263"/>
      <w:bookmarkStart w:id="52" w:name="_Toc497307615"/>
      <w:bookmarkStart w:id="53" w:name="_Toc51996430"/>
      <w:bookmarkStart w:id="54" w:name="_Toc495651839"/>
      <w:bookmarkStart w:id="55" w:name="_Toc23050625"/>
      <w:bookmarkStart w:id="56" w:name="_Toc40266002"/>
      <w:bookmarkStart w:id="57" w:name="_Toc23050562"/>
      <w:bookmarkStart w:id="58" w:name="_Toc441051461"/>
      <w:bookmarkStart w:id="59" w:name="_Toc40594931"/>
      <w:bookmarkStart w:id="60" w:name="_Toc496257825"/>
      <w:bookmarkStart w:id="61" w:name="_Toc201920298"/>
      <w:bookmarkStart w:id="62" w:name="_Toc498199476"/>
      <w:bookmarkStart w:id="63" w:name="_Toc497300733"/>
      <w:bookmarkStart w:id="64" w:name="_Toc282690445"/>
      <w:bookmarkStart w:id="65" w:name="_Toc23050423"/>
      <w:bookmarkStart w:id="66" w:name="_Toc498186719"/>
      <w:r>
        <w:rPr>
          <w:rFonts w:hint="eastAsia" w:ascii="宋体" w:hAnsi="宋体" w:cs="宋体"/>
          <w:b/>
          <w:bCs/>
          <w:color w:val="auto"/>
          <w:sz w:val="22"/>
          <w:szCs w:val="22"/>
          <w:highlight w:val="none"/>
        </w:rPr>
        <w:t>一、项目内容</w:t>
      </w:r>
    </w:p>
    <w:p>
      <w:pPr>
        <w:tabs>
          <w:tab w:val="left" w:pos="360"/>
        </w:tabs>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rPr>
        <w:t>2022</w:t>
      </w:r>
      <w:r>
        <w:rPr>
          <w:rFonts w:hint="eastAsia" w:ascii="宋体" w:hAnsi="宋体" w:cs="宋体"/>
          <w:color w:val="auto"/>
          <w:sz w:val="22"/>
          <w:szCs w:val="22"/>
          <w:highlight w:val="none"/>
        </w:rPr>
        <w:t>温州国际时尚文化产业博览会</w:t>
      </w:r>
    </w:p>
    <w:p>
      <w:pPr>
        <w:numPr>
          <w:ilvl w:val="0"/>
          <w:numId w:val="0"/>
        </w:numPr>
        <w:autoSpaceDN w:val="0"/>
        <w:spacing w:line="460" w:lineRule="exact"/>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二、</w:t>
      </w:r>
      <w:r>
        <w:rPr>
          <w:rFonts w:hint="eastAsia" w:ascii="宋体" w:hAnsi="宋体" w:cs="宋体"/>
          <w:b/>
          <w:bCs/>
          <w:color w:val="auto"/>
          <w:sz w:val="22"/>
          <w:szCs w:val="22"/>
          <w:highlight w:val="none"/>
        </w:rPr>
        <w:t>展览会总体目标</w:t>
      </w:r>
    </w:p>
    <w:p>
      <w:pPr>
        <w:keepNext w:val="0"/>
        <w:keepLines w:val="0"/>
        <w:pageBreakBefore w:val="0"/>
        <w:widowControl w:val="0"/>
        <w:numPr>
          <w:ilvl w:val="0"/>
          <w:numId w:val="0"/>
        </w:numPr>
        <w:kinsoku/>
        <w:wordWrap/>
        <w:overflowPunct/>
        <w:topLinePunct w:val="0"/>
        <w:autoSpaceDE/>
        <w:autoSpaceDN w:val="0"/>
        <w:bidi w:val="0"/>
        <w:adjustRightInd/>
        <w:snapToGrid/>
        <w:spacing w:line="460" w:lineRule="exact"/>
        <w:ind w:firstLine="440" w:firstLineChars="200"/>
        <w:textAlignment w:val="auto"/>
        <w:outlineLvl w:val="9"/>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举办温州国际时尚文化产业博览会是贯彻落实党的十九大 和十九届历次全会精神关于繁荣发展文化事业和文化产业的具 体举措，是我省打造新时代文化高地的一个重要环节，是高水平 推进文化温州建设的重要平台。2022 温州文博会要继续统筹推 进新冠肺炎疫情防控和经济社会发展，坚持经济效益和社会效益 相统一、政府引导和市场运作相促进、展示性和交易性相融合的 基本原则，以“创意·融合·发展”为主题，立足温州文化资源、 产业特点、未来定位，围绕文化产业，汇聚文化+创意创新产品 及服务，突出国际时尚智造，力争使温州文博会成为促进全省文 化产业发展的重要平台，成为时尚和文创产业的峰会、文化和产业对接的盛典。</w:t>
      </w:r>
    </w:p>
    <w:p>
      <w:pPr>
        <w:numPr>
          <w:ilvl w:val="0"/>
          <w:numId w:val="0"/>
        </w:numPr>
        <w:autoSpaceDN w:val="0"/>
        <w:spacing w:line="460" w:lineRule="exact"/>
        <w:outlineLvl w:val="1"/>
        <w:rPr>
          <w:rFonts w:ascii="宋体" w:hAnsi="宋体" w:cs="宋体"/>
          <w:color w:val="auto"/>
          <w:sz w:val="22"/>
          <w:szCs w:val="22"/>
          <w:highlight w:val="none"/>
        </w:rPr>
      </w:pPr>
      <w:r>
        <w:rPr>
          <w:rFonts w:hint="eastAsia" w:ascii="宋体" w:hAnsi="宋体" w:cs="宋体"/>
          <w:b/>
          <w:bCs/>
          <w:color w:val="auto"/>
          <w:sz w:val="22"/>
          <w:szCs w:val="22"/>
          <w:highlight w:val="none"/>
          <w:lang w:val="en-US" w:eastAsia="zh-CN"/>
        </w:rPr>
        <w:t>三、</w:t>
      </w:r>
      <w:r>
        <w:rPr>
          <w:rFonts w:hint="eastAsia" w:ascii="宋体" w:hAnsi="宋体" w:cs="宋体"/>
          <w:b/>
          <w:bCs/>
          <w:color w:val="auto"/>
          <w:sz w:val="22"/>
          <w:szCs w:val="22"/>
          <w:highlight w:val="none"/>
        </w:rPr>
        <w:t>展览会概况</w:t>
      </w:r>
    </w:p>
    <w:p>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1、展览会名称：</w:t>
      </w:r>
      <w:r>
        <w:rPr>
          <w:rFonts w:hint="eastAsia" w:ascii="宋体" w:hAnsi="宋体" w:cs="宋体"/>
          <w:color w:val="auto"/>
          <w:sz w:val="22"/>
          <w:szCs w:val="22"/>
          <w:highlight w:val="none"/>
          <w:lang w:eastAsia="zh-CN"/>
        </w:rPr>
        <w:t>2022</w:t>
      </w:r>
      <w:r>
        <w:rPr>
          <w:rFonts w:hint="eastAsia" w:ascii="宋体" w:hAnsi="宋体" w:cs="宋体"/>
          <w:color w:val="auto"/>
          <w:sz w:val="22"/>
          <w:szCs w:val="22"/>
          <w:highlight w:val="none"/>
        </w:rPr>
        <w:t>温州国际时尚文化产业博览会</w:t>
      </w:r>
    </w:p>
    <w:p>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2、主办单位：温州市人民政府、浙江省文化产业促进会、中国工艺美术学会。</w:t>
      </w:r>
    </w:p>
    <w:p>
      <w:pPr>
        <w:spacing w:line="460" w:lineRule="exact"/>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承办单位：中共温州市委宣传部</w:t>
      </w:r>
    </w:p>
    <w:p>
      <w:pPr>
        <w:numPr>
          <w:ilvl w:val="0"/>
          <w:numId w:val="3"/>
        </w:numPr>
        <w:spacing w:line="460" w:lineRule="exact"/>
        <w:ind w:left="0" w:leftChars="0"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举办时间：</w:t>
      </w:r>
      <w:r>
        <w:rPr>
          <w:rFonts w:hint="eastAsia" w:ascii="宋体" w:hAnsi="宋体" w:cs="宋体"/>
          <w:color w:val="auto"/>
          <w:sz w:val="22"/>
          <w:szCs w:val="22"/>
          <w:highlight w:val="none"/>
          <w:lang w:eastAsia="zh-CN"/>
        </w:rPr>
        <w:t>2022</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eastAsia="zh-CN"/>
        </w:rPr>
        <w:t>2022</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04</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18</w:t>
      </w:r>
      <w:r>
        <w:rPr>
          <w:rFonts w:hint="eastAsia" w:ascii="宋体" w:hAnsi="宋体" w:cs="宋体"/>
          <w:color w:val="auto"/>
          <w:sz w:val="22"/>
          <w:szCs w:val="22"/>
          <w:highlight w:val="none"/>
        </w:rPr>
        <w:t>日</w:t>
      </w:r>
    </w:p>
    <w:p>
      <w:pPr>
        <w:numPr>
          <w:ilvl w:val="0"/>
          <w:numId w:val="3"/>
        </w:numPr>
        <w:spacing w:line="460" w:lineRule="exact"/>
        <w:ind w:left="0" w:leftChars="0"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展会场地：主会场设在温州国际会议展览中心，并设若干分会场</w:t>
      </w:r>
    </w:p>
    <w:p>
      <w:pPr>
        <w:numPr>
          <w:ilvl w:val="0"/>
          <w:numId w:val="0"/>
        </w:numP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四、</w:t>
      </w:r>
      <w:r>
        <w:rPr>
          <w:rFonts w:hint="eastAsia" w:ascii="宋体" w:hAnsi="宋体" w:cs="宋体"/>
          <w:b/>
          <w:bCs/>
          <w:color w:val="auto"/>
          <w:sz w:val="22"/>
          <w:szCs w:val="22"/>
          <w:highlight w:val="none"/>
        </w:rPr>
        <w:t>展会内容</w:t>
      </w:r>
    </w:p>
    <w:p>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按照疫情防控常态化要求，本届博览会采取线下线上互动的 形式，线上设置博览会云平台，线下合理控制展位面积。线下主要由主题展会、系列论坛、配套活动和推介交易等组成。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（一）</w:t>
      </w:r>
      <w:r>
        <w:rPr>
          <w:rFonts w:hint="eastAsia" w:ascii="宋体" w:hAnsi="宋体" w:cs="宋体"/>
          <w:color w:val="auto"/>
          <w:sz w:val="22"/>
          <w:szCs w:val="22"/>
          <w:highlight w:val="none"/>
        </w:rPr>
        <w:t xml:space="preserve">主题展会。线下主要分城市文创精品馆、文化融合发 展馆、工艺美术非遗馆、雅生活文化馆、动漫潮玩馆等五大展馆， 并在户外广场设置瓯越食肆专区，总面积约 3 万平方米。线上展 会设立“温州文博会云平台”移动端，设置展会亮点、项目展示、 活动安排、直播专场等板块，以各类海内外文创精品展示交流为 主，开展项目“云展示”“云对接”。 </w:t>
      </w:r>
    </w:p>
    <w:p>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城市文创精品馆。</w:t>
      </w:r>
      <w:r>
        <w:rPr>
          <w:rFonts w:hint="eastAsia" w:ascii="宋体" w:hAnsi="宋体" w:cs="宋体"/>
          <w:color w:val="auto"/>
          <w:sz w:val="22"/>
          <w:szCs w:val="22"/>
          <w:highlight w:val="none"/>
        </w:rPr>
        <w:t>该馆</w:t>
      </w:r>
      <w:r>
        <w:rPr>
          <w:rFonts w:hint="eastAsia" w:ascii="宋体" w:hAnsi="宋体" w:cs="宋体"/>
          <w:color w:val="auto"/>
          <w:sz w:val="22"/>
          <w:szCs w:val="22"/>
          <w:highlight w:val="none"/>
          <w:lang w:eastAsia="zh-CN"/>
        </w:rPr>
        <w:t>主要</w:t>
      </w:r>
      <w:r>
        <w:rPr>
          <w:rFonts w:hint="eastAsia" w:ascii="宋体" w:hAnsi="宋体" w:cs="宋体"/>
          <w:color w:val="auto"/>
          <w:sz w:val="22"/>
          <w:szCs w:val="22"/>
          <w:highlight w:val="none"/>
        </w:rPr>
        <w:t>展现国内外品牌 文化企业的时尚文创精品及项目，以及海内外各地特色文化及其 衍生精品。海外部分主要展示“一带一路”沿线国家文创精品，</w:t>
      </w:r>
      <w:r>
        <w:rPr>
          <w:rFonts w:hint="eastAsia" w:ascii="宋体" w:hAnsi="宋体" w:cs="宋体"/>
          <w:color w:val="auto"/>
          <w:sz w:val="22"/>
          <w:szCs w:val="22"/>
          <w:highlight w:val="none"/>
          <w:lang w:eastAsia="zh-CN"/>
        </w:rPr>
        <w:t>及</w:t>
      </w:r>
      <w:r>
        <w:rPr>
          <w:rFonts w:hint="eastAsia" w:ascii="宋体" w:hAnsi="宋体" w:cs="宋体"/>
          <w:color w:val="auto"/>
          <w:sz w:val="22"/>
          <w:szCs w:val="22"/>
          <w:highlight w:val="none"/>
        </w:rPr>
        <w:t>“东亚文化之都”获评城市的经典传统文化作品及文创、设计新品；国内部分主要展示长三 角城市和温州对口支援合作城市的特色文化产业发展成果。</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xml:space="preserve">文化融合发展馆。该馆分文旅融合、体旅融合、文化科技、博物馆文创等板块。文旅融合板块主要展示代表历史文化、现代文化、民俗文化的文旅融合发展项目，以及未来乡村建设中涌现的特色乡镇、特色民宿、主题度假区、特色旅游目的地和富于地方特色的城市礼品、文旅纪念品等；体旅融合板块主要展示体旅项目和文体项目 发展亮点并现场演示互动；文化科技板块主要展示以数字经济为 引擎带来的沉浸式、互动式、个性定制化的文化科技融合产品和服务。博物馆文创板块将展示各大博物馆文创衍生产品和温州民间博物馆的部分优秀藏品。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工艺美术非遗馆。该馆主要展示国内不同区域、不同民族、 不同风格工艺美术的大师力作及文创精品。其中包括中国百名工艺美术大师精品展区、温州工艺美术展区、文创精品展区等，展会期间还将举办中国工艺美术创新设计大赛、第三届 （温州）“臻藏工美”2022 中国工艺美术优秀作品推荐收藏等系列活动。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xml:space="preserve">雅生活文化馆。该馆分图书出版、生活美学、创艺雅集三大板块。图书出版板块引进 省内外各类出版社和特色书店，展销当下受欢迎的各类图书出版物，营造简约、有品质的书生活空间。美学生活板块展示富有美 学气质的创意精品，包括具有市场推广价值的企业文化礼品、优秀设计师作品等；创艺雅集板块展示琴棋书画艺术、茶道香道艺术及手工艺人、创意手造作品等。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动漫潮玩馆。该馆展示时尚潮玩手办作品、动漫手游衍生 品、动漫音乐二次元插画、创意涂鸦等，并开展 Cosplay 角色扮 演展示、游戏娱乐活动等。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 xml:space="preserve">瓯越食肆专区。在户外广场设置瓯越食肆专区，展销温州传统非遗美食、风味名小吃、特色美食等，为温州市民和外来展 商提供一个品尝温州美食的机会。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（二）</w:t>
      </w:r>
      <w:r>
        <w:rPr>
          <w:rFonts w:hint="eastAsia" w:ascii="宋体" w:hAnsi="宋体" w:cs="宋体"/>
          <w:color w:val="auto"/>
          <w:sz w:val="22"/>
          <w:szCs w:val="22"/>
          <w:highlight w:val="none"/>
        </w:rPr>
        <w:t xml:space="preserve">分会场。以各种博物馆、美术馆 及文创和产业融合较为成熟的文化街区、旅游风情小镇（村落） 为重点区域，根据申报单位的主题内容设置若干分会场。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（三）</w:t>
      </w:r>
      <w:r>
        <w:rPr>
          <w:rFonts w:hint="eastAsia" w:ascii="宋体" w:hAnsi="宋体" w:cs="宋体"/>
          <w:color w:val="auto"/>
          <w:sz w:val="22"/>
          <w:szCs w:val="22"/>
          <w:highlight w:val="none"/>
        </w:rPr>
        <w:t>系列论坛。结合主题展会内容，举办文化经济新趋势 发布会、</w:t>
      </w:r>
      <w:r>
        <w:rPr>
          <w:rFonts w:hint="eastAsia" w:ascii="宋体" w:hAnsi="宋体" w:cs="宋体"/>
          <w:color w:val="auto"/>
          <w:sz w:val="22"/>
          <w:highlight w:val="none"/>
        </w:rPr>
        <w:t>未来乡村和文旅发展</w:t>
      </w:r>
      <w:r>
        <w:rPr>
          <w:rFonts w:hint="eastAsia" w:ascii="宋体" w:hAnsi="宋体" w:cs="宋体"/>
          <w:color w:val="auto"/>
          <w:sz w:val="22"/>
          <w:highlight w:val="none"/>
          <w:lang w:eastAsia="zh-CN"/>
        </w:rPr>
        <w:t>高峰</w:t>
      </w:r>
      <w:r>
        <w:rPr>
          <w:rFonts w:hint="eastAsia" w:ascii="宋体" w:hAnsi="宋体" w:cs="宋体"/>
          <w:color w:val="auto"/>
          <w:sz w:val="22"/>
          <w:highlight w:val="none"/>
        </w:rPr>
        <w:t>论坛</w:t>
      </w:r>
      <w:r>
        <w:rPr>
          <w:rFonts w:hint="eastAsia" w:ascii="宋体" w:hAnsi="宋体" w:cs="宋体"/>
          <w:color w:val="auto"/>
          <w:sz w:val="22"/>
          <w:szCs w:val="22"/>
          <w:highlight w:val="none"/>
        </w:rPr>
        <w:t xml:space="preserve">、两岸（温州）文创发展论坛、中国工艺美术发展大会等，以会议交流带动文创与产业深入互动，促进融合发展。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（四）</w:t>
      </w:r>
      <w:r>
        <w:rPr>
          <w:rFonts w:hint="eastAsia" w:ascii="宋体" w:hAnsi="宋体" w:cs="宋体"/>
          <w:color w:val="auto"/>
          <w:sz w:val="22"/>
          <w:szCs w:val="22"/>
          <w:highlight w:val="none"/>
        </w:rPr>
        <w:t>推介交易。文博会期间，将结合温州文化产业发展实际，开展系列文化及产业融合创新项目推介。包括书画工艺美术精品拍卖会、企业文化礼品采购推介会、</w:t>
      </w:r>
      <w:r>
        <w:rPr>
          <w:rFonts w:hint="eastAsia" w:ascii="宋体" w:hAnsi="宋体" w:cs="宋体"/>
          <w:color w:val="auto"/>
          <w:sz w:val="22"/>
          <w:highlight w:val="none"/>
        </w:rPr>
        <w:t>工美新媒体直播及线上销售活动</w:t>
      </w:r>
      <w:r>
        <w:rPr>
          <w:rFonts w:hint="eastAsia" w:ascii="宋体" w:hAnsi="宋体" w:cs="宋体"/>
          <w:color w:val="auto"/>
          <w:sz w:val="22"/>
          <w:szCs w:val="22"/>
          <w:highlight w:val="none"/>
        </w:rPr>
        <w:t xml:space="preserve">等。 </w:t>
      </w:r>
    </w:p>
    <w:p>
      <w:pPr>
        <w:numPr>
          <w:ilvl w:val="0"/>
          <w:numId w:val="0"/>
        </w:num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（五）</w:t>
      </w:r>
      <w:r>
        <w:rPr>
          <w:rFonts w:hint="eastAsia" w:ascii="宋体" w:hAnsi="宋体" w:cs="宋体"/>
          <w:color w:val="auto"/>
          <w:sz w:val="22"/>
          <w:szCs w:val="22"/>
          <w:highlight w:val="none"/>
        </w:rPr>
        <w:t>配套活动。举办金瓯奖温州城市手信设计大赛、知名作家签售、文博会短视频大赛、瓯江山水诗吟诵会、非遗创新服装秀、展商秀等活动。</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szCs w:val="22"/>
          <w:highlight w:val="none"/>
          <w:lang w:eastAsia="zh-CN"/>
        </w:rPr>
        <w:t>（六）</w:t>
      </w:r>
      <w:r>
        <w:rPr>
          <w:rFonts w:hint="eastAsia" w:ascii="宋体" w:hAnsi="宋体" w:cs="宋体"/>
          <w:color w:val="auto"/>
          <w:sz w:val="22"/>
          <w:highlight w:val="none"/>
        </w:rPr>
        <w:t>场馆要求</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1、要求展览总面积达到</w:t>
      </w:r>
      <w:r>
        <w:rPr>
          <w:rFonts w:hint="eastAsia" w:ascii="新宋体" w:hAnsi="新宋体" w:eastAsia="新宋体" w:cs="新宋体"/>
          <w:color w:val="auto"/>
          <w:sz w:val="22"/>
          <w:highlight w:val="none"/>
          <w:u w:val="single"/>
          <w:lang w:val="en-US" w:eastAsia="zh-CN"/>
        </w:rPr>
        <w:t xml:space="preserve"> </w:t>
      </w:r>
      <w:r>
        <w:rPr>
          <w:rFonts w:hint="eastAsia" w:ascii="新宋体" w:hAnsi="新宋体" w:eastAsia="新宋体" w:cs="新宋体"/>
          <w:color w:val="auto"/>
          <w:sz w:val="22"/>
          <w:highlight w:val="none"/>
          <w:u w:val="single"/>
        </w:rPr>
        <w:t xml:space="preserve">3 </w:t>
      </w:r>
      <w:r>
        <w:rPr>
          <w:rFonts w:hint="eastAsia" w:ascii="新宋体" w:hAnsi="新宋体" w:eastAsia="新宋体" w:cs="新宋体"/>
          <w:color w:val="auto"/>
          <w:sz w:val="22"/>
          <w:highlight w:val="none"/>
        </w:rPr>
        <w:t>万平方米左右（含配套展馆及户外展示）；招商类别兼顾海外、国内、本土文创、创意设计、智能科技、工艺美术、书画艺术、图书出版、文旅民宿、非遗美食等。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2、国际方面，能邀请到体现海外文化精品的机构参展；</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3、港台方面，能邀请台湾文化创意产业相关企业参展；</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4、传统方面，能组织全国各地</w:t>
      </w:r>
      <w:r>
        <w:rPr>
          <w:rFonts w:hint="eastAsia" w:ascii="新宋体" w:hAnsi="新宋体" w:eastAsia="新宋体" w:cs="新宋体"/>
          <w:color w:val="auto"/>
          <w:sz w:val="22"/>
          <w:szCs w:val="22"/>
          <w:highlight w:val="none"/>
        </w:rPr>
        <w:t>工艺美术大师作品、创新工艺美术精品，包括雕塑工艺品、刺绣染织、艺术陶瓷、工艺玻璃、编织工艺、漆器类、工艺家具、金属工艺等</w:t>
      </w:r>
      <w:r>
        <w:rPr>
          <w:rFonts w:hint="eastAsia" w:ascii="新宋体" w:hAnsi="新宋体" w:eastAsia="新宋体" w:cs="新宋体"/>
          <w:color w:val="auto"/>
          <w:sz w:val="22"/>
          <w:highlight w:val="none"/>
        </w:rPr>
        <w:t>具有悠久历史、发展蓬勃的工艺美术类产品生产企业、机构，展示各种工艺美术精品。</w:t>
      </w:r>
    </w:p>
    <w:p>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5、文创特色方面，呈现国内省内特色文化产业，呈现温州文化创意产业近年来的的蓬勃发展成就。</w:t>
      </w:r>
    </w:p>
    <w:p>
      <w:pPr>
        <w:spacing w:line="460" w:lineRule="exact"/>
        <w:ind w:firstLine="539" w:firstLineChars="245"/>
        <w:rPr>
          <w:rFonts w:hint="eastAsia" w:ascii="宋体" w:hAnsi="宋体" w:cs="宋体"/>
          <w:color w:val="auto"/>
          <w:sz w:val="22"/>
          <w:highlight w:val="none"/>
        </w:rPr>
      </w:pPr>
      <w:r>
        <w:rPr>
          <w:rFonts w:hint="eastAsia" w:ascii="宋体" w:hAnsi="宋体" w:cs="宋体"/>
          <w:color w:val="auto"/>
          <w:sz w:val="22"/>
          <w:highlight w:val="none"/>
        </w:rPr>
        <w:t>6、文旅融合方面，文旅融合板块主要展示代表历史文化、现代文化、民俗文化的文旅融合发展项目，以及未来乡村建设中涌现的特色乡镇、特色民宿、主题度假区、特色旅游目的地和富于地方特色的城市礼品、文旅纪念品等。</w:t>
      </w:r>
    </w:p>
    <w:p>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7、文化科技方面，展示互动式、个性定制化的文化科技融合产品和服务。</w:t>
      </w:r>
    </w:p>
    <w:p>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8、文化消费方面，各大图书出版销售机构、书画经纪机构、乐器及娱乐设备制造销售企业、文化艺术培训机构、文化用品生产销售企业进场展示销售。</w:t>
      </w:r>
    </w:p>
    <w:p>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9、</w:t>
      </w:r>
      <w:r>
        <w:rPr>
          <w:rFonts w:hint="eastAsia" w:ascii="新宋体" w:hAnsi="新宋体" w:eastAsia="新宋体" w:cs="新宋体"/>
          <w:color w:val="auto"/>
          <w:sz w:val="22"/>
          <w:highlight w:val="none"/>
          <w:lang w:eastAsia="zh-CN"/>
        </w:rPr>
        <w:t>瓯越</w:t>
      </w:r>
      <w:r>
        <w:rPr>
          <w:rFonts w:hint="eastAsia" w:ascii="新宋体" w:hAnsi="新宋体" w:eastAsia="新宋体" w:cs="新宋体"/>
          <w:color w:val="auto"/>
          <w:sz w:val="22"/>
          <w:highlight w:val="none"/>
        </w:rPr>
        <w:t>美食方面，展示非遗传统美食、</w:t>
      </w:r>
      <w:r>
        <w:rPr>
          <w:rFonts w:hint="eastAsia" w:ascii="宋体" w:hAnsi="宋体" w:cs="宋体"/>
          <w:color w:val="auto"/>
          <w:sz w:val="22"/>
          <w:highlight w:val="none"/>
        </w:rPr>
        <w:t>风味名小吃、特色美食</w:t>
      </w:r>
      <w:r>
        <w:rPr>
          <w:rFonts w:hint="eastAsia" w:ascii="宋体" w:hAnsi="宋体" w:cs="宋体"/>
          <w:color w:val="auto"/>
          <w:sz w:val="22"/>
          <w:highlight w:val="none"/>
          <w:lang w:eastAsia="zh-CN"/>
        </w:rPr>
        <w:t>等</w:t>
      </w:r>
      <w:r>
        <w:rPr>
          <w:rFonts w:hint="eastAsia" w:ascii="宋体" w:hAnsi="宋体" w:cs="宋体"/>
          <w:color w:val="auto"/>
          <w:sz w:val="22"/>
          <w:highlight w:val="none"/>
        </w:rPr>
        <w:t>，</w:t>
      </w:r>
      <w:r>
        <w:rPr>
          <w:rFonts w:hint="eastAsia" w:ascii="新宋体" w:hAnsi="新宋体" w:eastAsia="新宋体" w:cs="新宋体"/>
          <w:color w:val="auto"/>
          <w:sz w:val="22"/>
          <w:highlight w:val="none"/>
        </w:rPr>
        <w:t>展示各具特色的美食文化。</w:t>
      </w:r>
    </w:p>
    <w:p>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10、展出规模：合计标准展位1300个以上，其中特装展位75个以上（每个4个及以上标展面积），观众8万人次以上。</w:t>
      </w:r>
    </w:p>
    <w:p>
      <w:pPr>
        <w:spacing w:line="460" w:lineRule="exact"/>
        <w:outlineLvl w:val="1"/>
        <w:rPr>
          <w:rFonts w:ascii="宋体" w:hAnsi="宋体" w:cs="宋体"/>
          <w:b/>
          <w:bCs/>
          <w:color w:val="auto"/>
          <w:sz w:val="22"/>
          <w:highlight w:val="none"/>
        </w:rPr>
      </w:pPr>
      <w:r>
        <w:rPr>
          <w:rFonts w:hint="eastAsia" w:ascii="宋体" w:hAnsi="宋体" w:cs="宋体"/>
          <w:b/>
          <w:bCs/>
          <w:color w:val="auto"/>
          <w:sz w:val="22"/>
          <w:highlight w:val="none"/>
          <w:lang w:eastAsia="zh-CN"/>
        </w:rPr>
        <w:t>五</w:t>
      </w:r>
      <w:r>
        <w:rPr>
          <w:rFonts w:hint="eastAsia" w:ascii="宋体" w:hAnsi="宋体" w:cs="宋体"/>
          <w:b/>
          <w:bCs/>
          <w:color w:val="auto"/>
          <w:sz w:val="22"/>
          <w:highlight w:val="none"/>
        </w:rPr>
        <w:t>、展会承办具体服务内容</w:t>
      </w:r>
    </w:p>
    <w:p>
      <w:pPr>
        <w:spacing w:line="460" w:lineRule="exact"/>
        <w:ind w:firstLine="539" w:firstLineChars="245"/>
        <w:rPr>
          <w:rFonts w:ascii="宋体" w:hAnsi="宋体" w:cs="宋体"/>
          <w:color w:val="auto"/>
          <w:sz w:val="22"/>
          <w:highlight w:val="none"/>
          <w:u w:val="single"/>
        </w:rPr>
      </w:pPr>
      <w:r>
        <w:rPr>
          <w:rFonts w:hint="eastAsia" w:ascii="宋体" w:hAnsi="宋体" w:cs="宋体"/>
          <w:color w:val="auto"/>
          <w:sz w:val="22"/>
          <w:highlight w:val="none"/>
          <w:u w:val="single"/>
        </w:rPr>
        <w:t>本次项目为择优选择展会承办商，承办商直接负责本次展会的策划、组织、操作、管理、媒体宣传推广、招展招商工作、场馆租赁、布展、开展、撤展、嘉宾邀请接待、各项专题活动、资料印制等。</w:t>
      </w:r>
      <w:r>
        <w:rPr>
          <w:rFonts w:hint="eastAsia" w:ascii="宋体" w:hAnsi="宋体" w:cs="宋体"/>
          <w:color w:val="auto"/>
          <w:sz w:val="22"/>
          <w:highlight w:val="none"/>
        </w:rPr>
        <w:t>中标人负责本次展会的策划、组织、操作、管理、媒体宣传推广、招展招商工作、场馆租赁、布展、开展、撤展、嘉宾邀请接待、各项专题活动、资料印制等。</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 xml:space="preserve">1、媒体宣传推广 </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要求扩大宣传，建立专门的网站、微信公众号，本地平面媒体新闻、专题、广告宣传合计不少于40个版面，电视、电台媒体各类宣传不少于100次，网络、移动新媒体各类发布不少于100 次，其他社会类实体广告宣传不少于4种。</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（1）温州电视台等视频媒体宣传推广 。</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（2）温州日报、温州都市报、温州商报、温州晚报等报刊宣传报道 。</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（3）温州广播电台等媒体宣传推广。</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（4）微博微信等网络新媒体宣传推广。</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（5）市内户外广告宣传（户外电子屏等）。</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（6）展会新闻素材采编制作 。</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（7）其他推广</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 xml:space="preserve">2、招展招商工作 </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总参展企业不得少于3</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0家。</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其中市外企业不少于10%；</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其中境外企业不少于30家；</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涉及到本土产业领域不少于10个；</w:t>
      </w:r>
    </w:p>
    <w:p>
      <w:pPr>
        <w:spacing w:line="460" w:lineRule="exact"/>
        <w:ind w:firstLine="539" w:firstLineChars="245"/>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）境外招展代理工作，包括境外招展合作代理、展会推广</w:t>
      </w:r>
      <w:r>
        <w:rPr>
          <w:rFonts w:hint="eastAsia" w:ascii="宋体" w:hAnsi="宋体" w:cs="宋体"/>
          <w:color w:val="auto"/>
          <w:sz w:val="22"/>
          <w:highlight w:val="none"/>
          <w:lang w:eastAsia="zh-CN"/>
        </w:rPr>
        <w:t>，</w:t>
      </w:r>
      <w:r>
        <w:rPr>
          <w:rFonts w:hint="eastAsia" w:ascii="宋体" w:hAnsi="宋体" w:cs="宋体"/>
          <w:color w:val="auto"/>
          <w:sz w:val="22"/>
          <w:highlight w:val="none"/>
        </w:rPr>
        <w:t>邀请重要嘉宾工作等。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val="en-US" w:eastAsia="zh-CN"/>
        </w:rPr>
        <w:t>2</w:t>
      </w:r>
      <w:r>
        <w:rPr>
          <w:rFonts w:hint="eastAsia" w:ascii="新宋体" w:hAnsi="新宋体" w:eastAsia="新宋体" w:cs="新宋体"/>
          <w:color w:val="auto"/>
          <w:sz w:val="22"/>
          <w:highlight w:val="none"/>
        </w:rPr>
        <w:t>）境外参展商、专业观展商及重要嘉宾交通、住宿补贴等。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）国内招商工作。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val="en-US" w:eastAsia="zh-CN"/>
        </w:rPr>
        <w:t>4</w:t>
      </w:r>
      <w:r>
        <w:rPr>
          <w:rFonts w:hint="eastAsia" w:ascii="新宋体" w:hAnsi="新宋体" w:eastAsia="新宋体" w:cs="新宋体"/>
          <w:color w:val="auto"/>
          <w:sz w:val="22"/>
          <w:highlight w:val="none"/>
        </w:rPr>
        <w:t>）国内招商代理工作，包括招商合作代理、展会推广、组织派遣招商等。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val="en-US" w:eastAsia="zh-CN"/>
        </w:rPr>
        <w:t>5</w:t>
      </w:r>
      <w:r>
        <w:rPr>
          <w:rFonts w:hint="eastAsia" w:ascii="新宋体" w:hAnsi="新宋体" w:eastAsia="新宋体" w:cs="新宋体"/>
          <w:color w:val="auto"/>
          <w:sz w:val="22"/>
          <w:highlight w:val="none"/>
        </w:rPr>
        <w:t>）国内重要展商和嘉宾交通费用补贴等。</w:t>
      </w:r>
    </w:p>
    <w:p>
      <w:pPr>
        <w:spacing w:line="460" w:lineRule="exact"/>
        <w:ind w:firstLine="539" w:firstLineChars="245"/>
        <w:rPr>
          <w:rFonts w:hint="eastAsia" w:ascii="宋体" w:hAnsi="宋体" w:cs="宋体"/>
          <w:color w:val="auto"/>
          <w:sz w:val="22"/>
          <w:highlight w:val="none"/>
        </w:rPr>
      </w:pPr>
      <w:r>
        <w:rPr>
          <w:rFonts w:hint="eastAsia" w:ascii="宋体" w:hAnsi="宋体" w:cs="宋体"/>
          <w:color w:val="auto"/>
          <w:sz w:val="22"/>
          <w:highlight w:val="none"/>
        </w:rPr>
        <w:t>3、场馆租赁、搭建、布置等工作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（1）场馆地点：温州国际会议展览中心，面积3万平方米左右（含户外展览面积）。</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（2）展会特装面积占总展览面积的70%以上。</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（3）场馆服务：包括安保、卫生、水电以及展馆提供的其他服务费用。</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（4）展位搭建：包括标准展位特装搭建和特殊展位搭建，其中特殊展位搭建75个以上。</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（5）场馆形象布置、广告宣传等。</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4、专题活动</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包括整体形象策划、组织执行、外围及现场气氛布置、灯光、音响、舞美布置、礼仪、主持人、翻译等工作。</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博览会期间，两场以上专家参与的论坛，其他各类专题会议、讲座、表演等活动不少于25场；</w:t>
      </w:r>
    </w:p>
    <w:p>
      <w:pPr>
        <w:spacing w:line="460" w:lineRule="exact"/>
        <w:ind w:left="539"/>
        <w:rPr>
          <w:rFonts w:hint="eastAsia"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）文化经济新趋势发布会：包括项目策划、嘉宾邀请、场地租赁布置、主持人等。</w:t>
      </w:r>
    </w:p>
    <w:p>
      <w:pPr>
        <w:spacing w:line="460" w:lineRule="exact"/>
        <w:ind w:firstLine="440" w:firstLineChars="200"/>
        <w:rPr>
          <w:rFonts w:ascii="宋体" w:hAnsi="宋体" w:cs="宋体"/>
          <w:color w:val="auto"/>
          <w:sz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w:t>
      </w:r>
      <w:r>
        <w:rPr>
          <w:rFonts w:hint="eastAsia" w:ascii="新宋体" w:hAnsi="新宋体" w:eastAsia="新宋体" w:cs="新宋体"/>
          <w:color w:val="auto"/>
          <w:sz w:val="22"/>
          <w:highlight w:val="none"/>
          <w:u w:val="none"/>
        </w:rPr>
        <w:t>未来乡村和文旅发展</w:t>
      </w:r>
      <w:r>
        <w:rPr>
          <w:rFonts w:hint="eastAsia" w:ascii="新宋体" w:hAnsi="新宋体" w:eastAsia="新宋体" w:cs="新宋体"/>
          <w:color w:val="auto"/>
          <w:sz w:val="22"/>
          <w:highlight w:val="none"/>
          <w:u w:val="none"/>
          <w:lang w:eastAsia="zh-CN"/>
        </w:rPr>
        <w:t>高峰</w:t>
      </w:r>
      <w:r>
        <w:rPr>
          <w:rFonts w:hint="eastAsia" w:ascii="新宋体" w:hAnsi="新宋体" w:eastAsia="新宋体" w:cs="新宋体"/>
          <w:color w:val="auto"/>
          <w:sz w:val="22"/>
          <w:highlight w:val="none"/>
          <w:u w:val="none"/>
        </w:rPr>
        <w:t>论坛</w:t>
      </w:r>
      <w:r>
        <w:rPr>
          <w:rFonts w:hint="eastAsia" w:ascii="宋体" w:hAnsi="宋体" w:cs="宋体"/>
          <w:color w:val="auto"/>
          <w:sz w:val="22"/>
          <w:highlight w:val="none"/>
        </w:rPr>
        <w:t>：包括项目策划、嘉宾邀请、场地租赁布置、主持人等。</w:t>
      </w:r>
    </w:p>
    <w:p>
      <w:pPr>
        <w:spacing w:line="460" w:lineRule="exact"/>
        <w:ind w:left="539"/>
        <w:rPr>
          <w:rFonts w:ascii="宋体" w:hAnsi="宋体" w:cs="宋体"/>
          <w:color w:val="auto"/>
          <w:sz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w:t>
      </w:r>
      <w:r>
        <w:rPr>
          <w:rFonts w:hint="eastAsia" w:ascii="新宋体" w:hAnsi="新宋体" w:eastAsia="新宋体" w:cs="新宋体"/>
          <w:color w:val="auto"/>
          <w:sz w:val="22"/>
          <w:highlight w:val="none"/>
          <w:u w:val="none"/>
        </w:rPr>
        <w:t>两岸（温州）文创发展论坛：</w:t>
      </w:r>
      <w:r>
        <w:rPr>
          <w:rFonts w:hint="eastAsia" w:ascii="宋体" w:hAnsi="宋体" w:cs="宋体"/>
          <w:color w:val="auto"/>
          <w:sz w:val="22"/>
          <w:highlight w:val="none"/>
        </w:rPr>
        <w:t>包括项目策划、嘉宾邀请、场地租赁布置、主持人等。</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w:t>
      </w:r>
      <w:r>
        <w:rPr>
          <w:rFonts w:hint="eastAsia" w:ascii="宋体" w:hAnsi="宋体" w:cs="宋体"/>
          <w:color w:val="auto"/>
          <w:sz w:val="22"/>
          <w:highlight w:val="none"/>
          <w:lang w:val="en-US" w:eastAsia="zh-CN"/>
        </w:rPr>
        <w:t>4</w:t>
      </w:r>
      <w:r>
        <w:rPr>
          <w:rFonts w:hint="eastAsia" w:ascii="宋体" w:hAnsi="宋体" w:cs="宋体"/>
          <w:color w:val="auto"/>
          <w:sz w:val="22"/>
          <w:highlight w:val="none"/>
        </w:rPr>
        <w:t>）舞台等互动演示区，包括搭建、布置、LED、灯光音响等设备租赁。</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 xml:space="preserve"> 5、展会期间其他活动</w:t>
      </w:r>
    </w:p>
    <w:p>
      <w:pPr>
        <w:spacing w:line="460" w:lineRule="exact"/>
        <w:ind w:firstLine="539" w:firstLineChars="245"/>
        <w:rPr>
          <w:rFonts w:hint="eastAsia" w:ascii="新宋体" w:hAnsi="新宋体" w:eastAsia="新宋体" w:cs="新宋体"/>
          <w:color w:val="auto"/>
          <w:sz w:val="22"/>
          <w:highlight w:val="none"/>
          <w:u w:val="none"/>
        </w:rPr>
      </w:pPr>
      <w:r>
        <w:rPr>
          <w:rFonts w:hint="eastAsia" w:ascii="新宋体" w:hAnsi="新宋体" w:eastAsia="新宋体" w:cs="新宋体"/>
          <w:color w:val="auto"/>
          <w:sz w:val="22"/>
          <w:highlight w:val="none"/>
          <w:u w:val="none"/>
        </w:rPr>
        <w:t>（1）企业文化礼品采购推介会</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（2）书画工艺美术精品拍卖会</w:t>
      </w:r>
    </w:p>
    <w:p>
      <w:pPr>
        <w:spacing w:line="460" w:lineRule="exact"/>
        <w:ind w:firstLine="539" w:firstLineChars="245"/>
        <w:rPr>
          <w:rFonts w:hint="eastAsia" w:ascii="新宋体" w:hAnsi="新宋体" w:eastAsia="新宋体" w:cs="新宋体"/>
          <w:color w:val="auto"/>
          <w:sz w:val="22"/>
          <w:highlight w:val="none"/>
          <w:u w:val="none"/>
        </w:rPr>
      </w:pPr>
      <w:r>
        <w:rPr>
          <w:rFonts w:hint="eastAsia" w:ascii="新宋体" w:hAnsi="新宋体" w:eastAsia="新宋体" w:cs="新宋体"/>
          <w:color w:val="auto"/>
          <w:sz w:val="22"/>
          <w:highlight w:val="none"/>
          <w:u w:val="none"/>
        </w:rPr>
        <w:t>（3）金瓯奖温州城市手信设计大赛</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（4）知名作家读者见面会</w:t>
      </w:r>
    </w:p>
    <w:p>
      <w:pPr>
        <w:spacing w:line="460" w:lineRule="exact"/>
        <w:ind w:firstLine="539" w:firstLineChars="245"/>
        <w:rPr>
          <w:rFonts w:hint="eastAsia" w:ascii="新宋体" w:hAnsi="新宋体" w:eastAsia="新宋体" w:cs="新宋体"/>
          <w:color w:val="auto"/>
          <w:sz w:val="22"/>
          <w:highlight w:val="none"/>
          <w:u w:val="none"/>
        </w:rPr>
      </w:pPr>
      <w:r>
        <w:rPr>
          <w:rFonts w:hint="eastAsia" w:ascii="新宋体" w:hAnsi="新宋体" w:eastAsia="新宋体" w:cs="新宋体"/>
          <w:color w:val="auto"/>
          <w:sz w:val="22"/>
          <w:highlight w:val="none"/>
          <w:u w:val="none"/>
        </w:rPr>
        <w:t>（5）文博会短视频大赛</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 xml:space="preserve"> 6、资料制作等其他服务</w:t>
      </w:r>
    </w:p>
    <w:p>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（1）宣传手提袋（10000个），参观指南</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0000份）、</w:t>
      </w:r>
      <w:r>
        <w:rPr>
          <w:rFonts w:hint="eastAsia" w:ascii="宋体" w:hAnsi="宋体" w:cs="宋体"/>
          <w:color w:val="auto"/>
          <w:sz w:val="22"/>
          <w:highlight w:val="none"/>
          <w:lang w:eastAsia="zh-CN"/>
        </w:rPr>
        <w:t>会刊（</w:t>
      </w:r>
      <w:r>
        <w:rPr>
          <w:rFonts w:hint="eastAsia" w:ascii="宋体" w:hAnsi="宋体" w:cs="宋体"/>
          <w:color w:val="auto"/>
          <w:sz w:val="22"/>
          <w:highlight w:val="none"/>
          <w:lang w:val="en-US" w:eastAsia="zh-CN"/>
        </w:rPr>
        <w:t>1000本</w:t>
      </w:r>
      <w:r>
        <w:rPr>
          <w:rFonts w:hint="eastAsia" w:ascii="宋体" w:hAnsi="宋体" w:cs="宋体"/>
          <w:color w:val="auto"/>
          <w:sz w:val="22"/>
          <w:highlight w:val="none"/>
          <w:lang w:eastAsia="zh-CN"/>
        </w:rPr>
        <w:t>）</w:t>
      </w:r>
      <w:r>
        <w:rPr>
          <w:rFonts w:hint="eastAsia" w:ascii="新宋体" w:hAnsi="新宋体" w:eastAsia="新宋体" w:cs="新宋体"/>
          <w:color w:val="auto"/>
          <w:sz w:val="22"/>
          <w:highlight w:val="none"/>
        </w:rPr>
        <w:t>参展证、嘉宾证、工作证、采访证、志愿者证、车辆通行证等（8000个）</w:t>
      </w:r>
      <w:r>
        <w:rPr>
          <w:rFonts w:hint="eastAsia" w:ascii="新宋体" w:hAnsi="新宋体" w:eastAsia="新宋体" w:cs="新宋体"/>
          <w:color w:val="auto"/>
          <w:sz w:val="22"/>
          <w:highlight w:val="none"/>
          <w:lang w:eastAsia="zh-CN"/>
        </w:rPr>
        <w:t>资料</w:t>
      </w:r>
      <w:r>
        <w:rPr>
          <w:rFonts w:hint="eastAsia" w:ascii="新宋体" w:hAnsi="新宋体" w:eastAsia="新宋体" w:cs="新宋体"/>
          <w:color w:val="auto"/>
          <w:sz w:val="22"/>
          <w:highlight w:val="none"/>
        </w:rPr>
        <w:t>印制。</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（2）其他组展事项。</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 xml:space="preserve"> 7、本次展会以下项目收入归中标人所有：</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（1）本次展会的首席冠名、门票发售赞助</w:t>
      </w:r>
      <w:r>
        <w:rPr>
          <w:rFonts w:hint="eastAsia" w:ascii="宋体" w:hAnsi="宋体" w:cs="宋体"/>
          <w:color w:val="auto"/>
          <w:sz w:val="22"/>
          <w:highlight w:val="none"/>
          <w:lang w:eastAsia="zh-CN"/>
        </w:rPr>
        <w:t>等</w:t>
      </w:r>
      <w:r>
        <w:rPr>
          <w:rFonts w:hint="eastAsia" w:ascii="宋体" w:hAnsi="宋体" w:cs="宋体"/>
          <w:color w:val="auto"/>
          <w:sz w:val="22"/>
          <w:highlight w:val="none"/>
        </w:rPr>
        <w:t>；</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（2）展馆广告、指南封面、封底赞助；</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eastAsia="zh-CN"/>
        </w:rPr>
        <w:t>活动、</w:t>
      </w:r>
      <w:r>
        <w:rPr>
          <w:rFonts w:hint="eastAsia" w:ascii="宋体" w:hAnsi="宋体" w:cs="宋体"/>
          <w:color w:val="auto"/>
          <w:sz w:val="22"/>
          <w:highlight w:val="none"/>
        </w:rPr>
        <w:t>观展礼品赞助；</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（4）展位费收入。</w:t>
      </w:r>
    </w:p>
    <w:p>
      <w:pPr>
        <w:spacing w:line="460" w:lineRule="exact"/>
        <w:outlineLvl w:val="1"/>
        <w:rPr>
          <w:rFonts w:ascii="宋体" w:hAnsi="宋体" w:cs="宋体"/>
          <w:color w:val="auto"/>
          <w:sz w:val="22"/>
          <w:highlight w:val="none"/>
        </w:rPr>
      </w:pPr>
      <w:r>
        <w:rPr>
          <w:rFonts w:hint="eastAsia" w:ascii="宋体" w:hAnsi="宋体" w:cs="宋体"/>
          <w:b/>
          <w:bCs/>
          <w:color w:val="auto"/>
          <w:sz w:val="22"/>
          <w:highlight w:val="none"/>
          <w:lang w:eastAsia="zh-CN"/>
        </w:rPr>
        <w:t>六</w:t>
      </w:r>
      <w:r>
        <w:rPr>
          <w:rFonts w:hint="eastAsia" w:ascii="宋体" w:hAnsi="宋体" w:cs="宋体"/>
          <w:b/>
          <w:bCs/>
          <w:color w:val="auto"/>
          <w:sz w:val="22"/>
          <w:highlight w:val="none"/>
        </w:rPr>
        <w:t>、展会组织工作要求</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1、招展招商工作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（1）按照招展招商要求，制订详细招展招商方案，制订展会工作进度计划并组织实施。</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（2）做好目标摊位的招展工作，落实参展单位，并逐一统计确认参展企业，包括企业名称、展出面积等。负责审核把关参展商“三证”，确保参展商的各类证照齐全。</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（3）负责各项专题活动的策划组织并具体组织实施。</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（4）负责展会广告招商工作。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（5）通过各种渠道，组织或邀请本市及周边地区市民和相关机构人员观展，落实观众数量。</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（6）落实领导及嘉宾邀请、场馆租赁（包括各项专题活动）、酒店预定等事宜，做好来宾接待准备工作。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（7）负责招展邀请函、招展合同、展位示意图、宣传手提袋、展商手册、参观指南、</w:t>
      </w:r>
      <w:r>
        <w:rPr>
          <w:rFonts w:hint="eastAsia" w:ascii="宋体" w:hAnsi="宋体" w:cs="宋体"/>
          <w:color w:val="auto"/>
          <w:sz w:val="22"/>
          <w:highlight w:val="none"/>
          <w:lang w:eastAsia="zh-CN"/>
        </w:rPr>
        <w:t>会刊、</w:t>
      </w:r>
      <w:r>
        <w:rPr>
          <w:rFonts w:hint="eastAsia" w:ascii="新宋体" w:hAnsi="新宋体" w:eastAsia="新宋体" w:cs="新宋体"/>
          <w:color w:val="auto"/>
          <w:sz w:val="22"/>
          <w:highlight w:val="none"/>
        </w:rPr>
        <w:t>参展证、工作证等资料证件的制作工作。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2、负责组织布展、开展及撤展</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（1）负责展馆总体形象设计、场馆展位搭建以及展馆水电气提供、展具租赁、其它服务用品提供等。</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（2）负责展会期间的观展组织、展区管理、协调及其他相关配套服务工作。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（3）负责展会相关信息的收集，并与综合协调组做好工作对接。</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（4）负责展会的撤展及展会搭建设施的拆除、清理等工作。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（5）负责展会活动总结，做好展会文书资料的收集、立卷、归档工作。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3、组织协调工作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（1）负责本次展览会的各项申报审批、协调相关事宜、负责组委会重要活动安排、负责领导及重要嘉宾在展会期间活动的安排。</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项目组应合理分工、分组负责，积极协调配合与展会保障工作有关的各部门单位，做好展会的宣传推广、联络接待、安全保卫、消防安全、交通疏导及展会场馆车辆出入停放、知识产权保护和展品质量、餐饮卫生及周边环境卫生、医疗保健、贵重展品的保险等各方面的保障工作，并制订安保、防疫应急预案，确保展会安全、成功举办。</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（3）联系展会相关行政执法单位，并协助做好开展前的巡查工作。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（4）负责与上级有关单位的联系，落实支持单位的邀请。综合协调各工作组工作，联系、沟通各项活动安排，把握工作进度。</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（5）完成组委会交办的其它任务。</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4、展会宣传推广工作</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借鉴其他展览会新闻宣传工作经验，整合宣传资源，运用多种手段，调动各种积极性，加强工作力度，构建形式多样、全方位、多角度的宣传格局，为展览会的顺利举办营造良好舆论环境，做好招展招商和市场推介服务，充分展示此次展会的知名度与影响力。</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（2）负责新闻宣传报道的总体策划，分筹备、展会宣传和会后总结三个阶段制定展会宣传工作的具体方案。</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（3）组织开展对展览会的宣传报道，在会前和会议期间，做好展会宣传和媒体邀约工作及各大媒体宣传报道，并协调、配合各新闻媒体的采访与报道。负责展览会期间记者的接待和采访的交通食宿安排。</w:t>
      </w:r>
    </w:p>
    <w:p>
      <w:pPr>
        <w:spacing w:line="460" w:lineRule="exact"/>
        <w:ind w:firstLine="539" w:firstLineChars="245"/>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（4）开展会后总结宣传，组织媒体对展览会进行总结性深度报道。</w:t>
      </w:r>
    </w:p>
    <w:p>
      <w:pPr>
        <w:spacing w:line="460" w:lineRule="exact"/>
        <w:outlineLvl w:val="1"/>
        <w:rPr>
          <w:rFonts w:ascii="宋体" w:hAnsi="宋体" w:cs="宋体"/>
          <w:b/>
          <w:bCs/>
          <w:color w:val="auto"/>
          <w:sz w:val="22"/>
          <w:highlight w:val="none"/>
        </w:rPr>
      </w:pPr>
      <w:r>
        <w:rPr>
          <w:rFonts w:hint="eastAsia" w:ascii="宋体" w:hAnsi="宋体" w:cs="宋体"/>
          <w:b/>
          <w:bCs/>
          <w:color w:val="auto"/>
          <w:sz w:val="22"/>
          <w:highlight w:val="none"/>
          <w:lang w:eastAsia="zh-CN"/>
        </w:rPr>
        <w:t>七</w:t>
      </w:r>
      <w:r>
        <w:rPr>
          <w:rFonts w:hint="eastAsia" w:ascii="宋体" w:hAnsi="宋体" w:cs="宋体"/>
          <w:b/>
          <w:bCs/>
          <w:color w:val="auto"/>
          <w:sz w:val="22"/>
          <w:highlight w:val="none"/>
        </w:rPr>
        <w:t>、其他说明</w:t>
      </w:r>
    </w:p>
    <w:p>
      <w:pPr>
        <w:spacing w:line="460" w:lineRule="exact"/>
        <w:ind w:firstLine="539" w:firstLineChars="245"/>
        <w:rPr>
          <w:rFonts w:ascii="宋体" w:hAnsi="宋体" w:cs="宋体"/>
          <w:color w:val="auto"/>
          <w:sz w:val="22"/>
          <w:highlight w:val="none"/>
          <w:u w:val="single"/>
        </w:rPr>
      </w:pPr>
      <w:r>
        <w:rPr>
          <w:rFonts w:hint="eastAsia" w:ascii="宋体" w:hAnsi="宋体" w:cs="宋体"/>
          <w:color w:val="auto"/>
          <w:sz w:val="22"/>
          <w:highlight w:val="none"/>
          <w:u w:val="single"/>
        </w:rPr>
        <w:t>1、参加本项目的投标人应具有较强的展会项目管理和组织实施能力，有能力承担本次展会服务。</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2、本项目为一个标段，投标人必须对本招标文件的所有采购内容进行报价，不得仅对其中部分内容进行报价。</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u w:val="single"/>
        </w:rPr>
        <w:t>3、本项目实行报价一次性包干制，即报价一旦确定后，除非承办内容发生变更，否则不再增加费用，因此投标人需充分考虑招标内容及其他风险因素</w:t>
      </w:r>
      <w:r>
        <w:rPr>
          <w:rFonts w:hint="eastAsia" w:ascii="宋体" w:hAnsi="宋体" w:cs="宋体"/>
          <w:color w:val="auto"/>
          <w:sz w:val="22"/>
          <w:highlight w:val="none"/>
        </w:rPr>
        <w:t>。</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4、若出现因财政支付方面原因导致付款意外延迟的客观因素时，招标人将不承担违约责任。</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5、投标人需对本次展会开展期间提供人身意外伤害保险，该费用计入投标报价。</w:t>
      </w:r>
    </w:p>
    <w:p>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6、投标人需在投标文件中提出针对本次展会的组织计划和各项工作实施方案。</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color w:val="auto"/>
          <w:sz w:val="22"/>
        </w:rPr>
      </w:pP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Pr>
        <w:keepNext w:val="0"/>
        <w:keepLines w:val="0"/>
        <w:pageBreakBefore w:val="0"/>
        <w:widowControl w:val="0"/>
        <w:numPr>
          <w:ilvl w:val="0"/>
          <w:numId w:val="6"/>
        </w:numPr>
        <w:kinsoku/>
        <w:wordWrap/>
        <w:overflowPunct/>
        <w:topLinePunct w:val="0"/>
        <w:bidi w:val="0"/>
        <w:spacing w:line="460" w:lineRule="exact"/>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rPr>
      </w:pPr>
    </w:p>
    <w:p>
      <w:pPr>
        <w:pStyle w:val="2"/>
        <w:bidi w:val="0"/>
        <w:rPr>
          <w:rFonts w:hint="eastAsia" w:ascii="宋体" w:hAnsi="宋体" w:eastAsia="宋体" w:cs="宋体"/>
          <w:color w:val="auto"/>
        </w:rPr>
      </w:pPr>
      <w:bookmarkStart w:id="67" w:name="_Toc18194"/>
      <w:bookmarkStart w:id="68" w:name="_Toc30323"/>
      <w:r>
        <w:rPr>
          <w:rFonts w:hint="eastAsia" w:ascii="宋体" w:hAnsi="宋体" w:eastAsia="宋体" w:cs="宋体"/>
          <w:color w:val="auto"/>
        </w:rPr>
        <w:t>第五部分   评标原则及方法</w:t>
      </w:r>
      <w:bookmarkEnd w:id="67"/>
      <w:bookmarkEnd w:id="68"/>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69" w:name="_Toc15713"/>
      <w:bookmarkStart w:id="70" w:name="_Toc4407"/>
      <w:r>
        <w:rPr>
          <w:rFonts w:hint="eastAsia" w:ascii="宋体" w:hAnsi="宋体" w:eastAsia="宋体" w:cs="宋体"/>
          <w:b/>
          <w:color w:val="auto"/>
          <w:sz w:val="22"/>
          <w:szCs w:val="22"/>
          <w:highlight w:val="none"/>
        </w:rPr>
        <w:t>一、总 则</w:t>
      </w:r>
      <w:bookmarkEnd w:id="69"/>
      <w:bookmarkEnd w:id="70"/>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1" w:name="_Toc24468"/>
      <w:bookmarkStart w:id="72" w:name="_Toc23152"/>
      <w:r>
        <w:rPr>
          <w:rFonts w:hint="eastAsia" w:ascii="宋体" w:hAnsi="宋体" w:eastAsia="宋体" w:cs="宋体"/>
          <w:b/>
          <w:color w:val="auto"/>
          <w:sz w:val="22"/>
          <w:szCs w:val="22"/>
          <w:highlight w:val="none"/>
        </w:rPr>
        <w:t>二、评标组织</w:t>
      </w:r>
      <w:bookmarkEnd w:id="71"/>
      <w:bookmarkEnd w:id="72"/>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3" w:name="_Toc15153"/>
      <w:bookmarkStart w:id="74" w:name="_Toc67"/>
      <w:r>
        <w:rPr>
          <w:rFonts w:hint="eastAsia" w:ascii="宋体" w:hAnsi="宋体" w:eastAsia="宋体" w:cs="宋体"/>
          <w:b/>
          <w:color w:val="auto"/>
          <w:sz w:val="22"/>
          <w:szCs w:val="22"/>
          <w:highlight w:val="none"/>
        </w:rPr>
        <w:t>三、评标程序</w:t>
      </w:r>
      <w:bookmarkEnd w:id="73"/>
      <w:bookmarkEnd w:id="74"/>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5" w:name="_Toc11306"/>
      <w:bookmarkStart w:id="76" w:name="_Toc24825"/>
      <w:r>
        <w:rPr>
          <w:rFonts w:hint="eastAsia" w:ascii="宋体" w:hAnsi="宋体" w:eastAsia="宋体" w:cs="宋体"/>
          <w:b/>
          <w:color w:val="auto"/>
          <w:sz w:val="22"/>
          <w:szCs w:val="22"/>
          <w:highlight w:val="none"/>
        </w:rPr>
        <w:t>四、评标办法</w:t>
      </w:r>
      <w:bookmarkEnd w:id="75"/>
      <w:bookmarkEnd w:id="76"/>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77" w:name="_Toc1535"/>
      <w:bookmarkStart w:id="78" w:name="_Toc11450"/>
      <w:r>
        <w:rPr>
          <w:rFonts w:hint="eastAsia" w:ascii="宋体" w:hAnsi="宋体" w:eastAsia="宋体" w:cs="宋体"/>
          <w:b/>
          <w:color w:val="auto"/>
          <w:sz w:val="22"/>
          <w:szCs w:val="22"/>
          <w:highlight w:val="none"/>
        </w:rPr>
        <w:t>评分细则</w:t>
      </w:r>
      <w:bookmarkEnd w:id="77"/>
      <w:bookmarkEnd w:id="78"/>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9</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9864" w:type="dxa"/>
        <w:jc w:val="center"/>
        <w:tblLayout w:type="fixed"/>
        <w:tblCellMar>
          <w:top w:w="0" w:type="dxa"/>
          <w:left w:w="108" w:type="dxa"/>
          <w:bottom w:w="0" w:type="dxa"/>
          <w:right w:w="108" w:type="dxa"/>
        </w:tblCellMar>
      </w:tblPr>
      <w:tblGrid>
        <w:gridCol w:w="716"/>
        <w:gridCol w:w="1558"/>
        <w:gridCol w:w="691"/>
        <w:gridCol w:w="4579"/>
        <w:gridCol w:w="2320"/>
      </w:tblGrid>
      <w:tr>
        <w:tblPrEx>
          <w:tblCellMar>
            <w:top w:w="0" w:type="dxa"/>
            <w:left w:w="108" w:type="dxa"/>
            <w:bottom w:w="0" w:type="dxa"/>
            <w:right w:w="108" w:type="dxa"/>
          </w:tblCellMar>
        </w:tblPrEx>
        <w:trPr>
          <w:trHeight w:val="548"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558"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评分内容</w:t>
            </w:r>
          </w:p>
        </w:tc>
        <w:tc>
          <w:tcPr>
            <w:tcW w:w="691"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分值</w:t>
            </w:r>
          </w:p>
        </w:tc>
        <w:tc>
          <w:tcPr>
            <w:tcW w:w="4579" w:type="dxa"/>
            <w:tcBorders>
              <w:top w:val="single" w:color="000000" w:sz="4" w:space="0"/>
              <w:left w:val="nil"/>
              <w:right w:val="single" w:color="auto" w:sz="4" w:space="0"/>
            </w:tcBorders>
            <w:noWrap/>
            <w:vAlign w:val="center"/>
          </w:tcPr>
          <w:p>
            <w:pPr>
              <w:widowControl/>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评标细则</w:t>
            </w:r>
          </w:p>
        </w:tc>
        <w:tc>
          <w:tcPr>
            <w:tcW w:w="2320" w:type="dxa"/>
            <w:tcBorders>
              <w:top w:val="single" w:color="000000" w:sz="4" w:space="0"/>
              <w:left w:val="single" w:color="auto" w:sz="4" w:space="0"/>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tblPrEx>
          <w:tblCellMar>
            <w:top w:w="0" w:type="dxa"/>
            <w:left w:w="108" w:type="dxa"/>
            <w:bottom w:w="0" w:type="dxa"/>
            <w:right w:w="108" w:type="dxa"/>
          </w:tblCellMar>
        </w:tblPrEx>
        <w:trPr>
          <w:trHeight w:val="493"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558"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总体方案</w:t>
            </w:r>
          </w:p>
        </w:tc>
        <w:tc>
          <w:tcPr>
            <w:tcW w:w="691" w:type="dxa"/>
            <w:tcBorders>
              <w:top w:val="single" w:color="000000" w:sz="4" w:space="0"/>
              <w:left w:val="nil"/>
              <w:bottom w:val="single" w:color="000000" w:sz="4" w:space="0"/>
              <w:right w:val="single" w:color="000000" w:sz="4" w:space="0"/>
            </w:tcBorders>
            <w:noWrap/>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0</w:t>
            </w:r>
            <w:r>
              <w:rPr>
                <w:rFonts w:hint="eastAsia" w:ascii="新宋体" w:hAnsi="新宋体" w:eastAsia="新宋体" w:cs="新宋体"/>
                <w:color w:val="auto"/>
                <w:kern w:val="0"/>
                <w:sz w:val="22"/>
                <w:szCs w:val="22"/>
                <w:highlight w:val="none"/>
              </w:rPr>
              <w:t>分</w:t>
            </w:r>
          </w:p>
        </w:tc>
        <w:tc>
          <w:tcPr>
            <w:tcW w:w="4579" w:type="dxa"/>
            <w:tcBorders>
              <w:top w:val="single" w:color="000000" w:sz="4" w:space="0"/>
              <w:left w:val="nil"/>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针对本次博览会的总体策划方案，方案要求符合博览会的目标要求，体现针对性、专业性、科学合理性和可操作性（</w:t>
            </w:r>
            <w:r>
              <w:rPr>
                <w:rFonts w:hint="eastAsia" w:ascii="新宋体" w:hAnsi="新宋体" w:eastAsia="新宋体" w:cs="新宋体"/>
                <w:color w:val="auto"/>
                <w:kern w:val="0"/>
                <w:sz w:val="22"/>
                <w:szCs w:val="22"/>
                <w:highlight w:val="none"/>
                <w:lang w:val="en-US" w:eastAsia="zh-CN"/>
              </w:rPr>
              <w:t>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10</w:t>
            </w:r>
            <w:r>
              <w:rPr>
                <w:rFonts w:hint="eastAsia" w:ascii="新宋体" w:hAnsi="新宋体" w:eastAsia="新宋体" w:cs="新宋体"/>
                <w:color w:val="auto"/>
                <w:kern w:val="0"/>
                <w:sz w:val="22"/>
                <w:szCs w:val="22"/>
                <w:highlight w:val="none"/>
              </w:rPr>
              <w:t>分）</w:t>
            </w:r>
          </w:p>
        </w:tc>
        <w:tc>
          <w:tcPr>
            <w:tcW w:w="2320" w:type="dxa"/>
            <w:tcBorders>
              <w:top w:val="single" w:color="000000" w:sz="4" w:space="0"/>
              <w:left w:val="single" w:color="auto" w:sz="4" w:space="0"/>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p>
        </w:tc>
      </w:tr>
      <w:tr>
        <w:tblPrEx>
          <w:tblCellMar>
            <w:top w:w="0" w:type="dxa"/>
            <w:left w:w="108" w:type="dxa"/>
            <w:bottom w:w="0" w:type="dxa"/>
            <w:right w:w="108" w:type="dxa"/>
          </w:tblCellMar>
        </w:tblPrEx>
        <w:trPr>
          <w:trHeight w:val="461" w:hRule="atLeast"/>
          <w:jc w:val="center"/>
        </w:trPr>
        <w:tc>
          <w:tcPr>
            <w:tcW w:w="716" w:type="dxa"/>
            <w:tcBorders>
              <w:top w:val="nil"/>
              <w:left w:val="single" w:color="000000" w:sz="4" w:space="0"/>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558" w:type="dxa"/>
            <w:tcBorders>
              <w:top w:val="nil"/>
              <w:left w:val="nil"/>
              <w:bottom w:val="single" w:color="auto"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展会宣传推广</w:t>
            </w:r>
          </w:p>
        </w:tc>
        <w:tc>
          <w:tcPr>
            <w:tcW w:w="691"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分</w:t>
            </w:r>
          </w:p>
        </w:tc>
        <w:tc>
          <w:tcPr>
            <w:tcW w:w="4579" w:type="dxa"/>
            <w:tcBorders>
              <w:top w:val="single" w:color="000000" w:sz="4" w:space="0"/>
              <w:left w:val="nil"/>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提出的</w:t>
            </w:r>
            <w:r>
              <w:rPr>
                <w:rFonts w:hint="eastAsia" w:ascii="新宋体" w:hAnsi="新宋体" w:eastAsia="新宋体" w:cs="新宋体"/>
                <w:color w:val="auto"/>
                <w:sz w:val="22"/>
                <w:szCs w:val="22"/>
                <w:highlight w:val="none"/>
              </w:rPr>
              <w:t>展会宣传推广方案</w:t>
            </w:r>
            <w:r>
              <w:rPr>
                <w:rFonts w:hint="eastAsia" w:ascii="新宋体" w:hAnsi="新宋体" w:eastAsia="新宋体" w:cs="新宋体"/>
                <w:color w:val="auto"/>
                <w:kern w:val="0"/>
                <w:sz w:val="22"/>
                <w:szCs w:val="22"/>
                <w:highlight w:val="none"/>
              </w:rPr>
              <w:t>与本次展会目标要求的符合性、针对性、专业性、科学合理性和可操作性进行综合比较评分（</w:t>
            </w:r>
            <w:r>
              <w:rPr>
                <w:rFonts w:hint="eastAsia" w:ascii="新宋体" w:hAnsi="新宋体" w:eastAsia="新宋体" w:cs="新宋体"/>
                <w:color w:val="auto"/>
                <w:kern w:val="0"/>
                <w:sz w:val="22"/>
                <w:szCs w:val="22"/>
                <w:highlight w:val="none"/>
                <w:lang w:val="en-US" w:eastAsia="zh-CN"/>
              </w:rPr>
              <w:t>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12</w:t>
            </w:r>
            <w:r>
              <w:rPr>
                <w:rFonts w:hint="eastAsia" w:ascii="新宋体" w:hAnsi="新宋体" w:eastAsia="新宋体" w:cs="新宋体"/>
                <w:color w:val="auto"/>
                <w:kern w:val="0"/>
                <w:sz w:val="22"/>
                <w:szCs w:val="22"/>
                <w:highlight w:val="none"/>
              </w:rPr>
              <w:t>分）</w:t>
            </w:r>
          </w:p>
        </w:tc>
        <w:tc>
          <w:tcPr>
            <w:tcW w:w="2320" w:type="dxa"/>
            <w:tcBorders>
              <w:top w:val="single" w:color="000000" w:sz="4" w:space="0"/>
              <w:left w:val="single" w:color="auto" w:sz="4" w:space="0"/>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p>
        </w:tc>
      </w:tr>
      <w:tr>
        <w:tblPrEx>
          <w:tblCellMar>
            <w:top w:w="0" w:type="dxa"/>
            <w:left w:w="108" w:type="dxa"/>
            <w:bottom w:w="0" w:type="dxa"/>
            <w:right w:w="108" w:type="dxa"/>
          </w:tblCellMar>
        </w:tblPrEx>
        <w:trPr>
          <w:trHeight w:val="680" w:hRule="atLeast"/>
          <w:jc w:val="center"/>
        </w:trPr>
        <w:tc>
          <w:tcPr>
            <w:tcW w:w="716" w:type="dxa"/>
            <w:tcBorders>
              <w:top w:val="single" w:color="auto" w:sz="4" w:space="0"/>
              <w:left w:val="single" w:color="000000" w:sz="4" w:space="0"/>
              <w:bottom w:val="single" w:color="auto"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558" w:type="dxa"/>
            <w:tcBorders>
              <w:top w:val="single" w:color="auto" w:sz="4" w:space="0"/>
              <w:left w:val="nil"/>
              <w:bottom w:val="single" w:color="auto"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展会招展招商</w:t>
            </w:r>
          </w:p>
        </w:tc>
        <w:tc>
          <w:tcPr>
            <w:tcW w:w="691"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en-US" w:eastAsia="zh-CN"/>
              </w:rPr>
              <w:t>7</w:t>
            </w:r>
            <w:r>
              <w:rPr>
                <w:rFonts w:hint="eastAsia" w:ascii="新宋体" w:hAnsi="新宋体" w:eastAsia="新宋体" w:cs="新宋体"/>
                <w:color w:val="auto"/>
                <w:kern w:val="0"/>
                <w:sz w:val="22"/>
                <w:szCs w:val="22"/>
                <w:highlight w:val="none"/>
              </w:rPr>
              <w:t>分</w:t>
            </w:r>
          </w:p>
        </w:tc>
        <w:tc>
          <w:tcPr>
            <w:tcW w:w="4579" w:type="dxa"/>
            <w:tcBorders>
              <w:top w:val="single" w:color="000000" w:sz="4" w:space="0"/>
              <w:left w:val="nil"/>
              <w:bottom w:val="single" w:color="000000" w:sz="4" w:space="0"/>
              <w:right w:val="single" w:color="000000" w:sz="4" w:space="0"/>
            </w:tcBorders>
            <w:noWrap/>
            <w:vAlign w:val="center"/>
          </w:tcPr>
          <w:p>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提出的</w:t>
            </w:r>
            <w:r>
              <w:rPr>
                <w:rFonts w:hint="eastAsia" w:ascii="新宋体" w:hAnsi="新宋体" w:eastAsia="新宋体" w:cs="新宋体"/>
                <w:color w:val="auto"/>
                <w:sz w:val="22"/>
                <w:szCs w:val="22"/>
                <w:highlight w:val="none"/>
              </w:rPr>
              <w:t>展会招展招商方案</w:t>
            </w:r>
            <w:r>
              <w:rPr>
                <w:rFonts w:hint="eastAsia" w:ascii="新宋体" w:hAnsi="新宋体" w:eastAsia="新宋体" w:cs="新宋体"/>
                <w:color w:val="auto"/>
                <w:kern w:val="0"/>
                <w:sz w:val="22"/>
                <w:szCs w:val="22"/>
                <w:highlight w:val="none"/>
              </w:rPr>
              <w:t>与本次展会目标要求的符合性、针对性、专业性、科学合理性和可操作性进行综合比较评分（</w:t>
            </w:r>
            <w:r>
              <w:rPr>
                <w:rFonts w:hint="eastAsia" w:ascii="新宋体" w:hAnsi="新宋体" w:eastAsia="新宋体" w:cs="新宋体"/>
                <w:color w:val="auto"/>
                <w:kern w:val="0"/>
                <w:sz w:val="22"/>
                <w:szCs w:val="22"/>
                <w:highlight w:val="none"/>
                <w:lang w:val="en-US" w:eastAsia="zh-CN"/>
              </w:rPr>
              <w:t>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17</w:t>
            </w:r>
            <w:r>
              <w:rPr>
                <w:rFonts w:hint="eastAsia" w:ascii="新宋体" w:hAnsi="新宋体" w:eastAsia="新宋体" w:cs="新宋体"/>
                <w:color w:val="auto"/>
                <w:kern w:val="0"/>
                <w:sz w:val="22"/>
                <w:szCs w:val="22"/>
                <w:highlight w:val="none"/>
              </w:rPr>
              <w:t>分）</w:t>
            </w:r>
          </w:p>
        </w:tc>
        <w:tc>
          <w:tcPr>
            <w:tcW w:w="2320"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p>
        </w:tc>
      </w:tr>
      <w:tr>
        <w:tblPrEx>
          <w:tblCellMar>
            <w:top w:w="0" w:type="dxa"/>
            <w:left w:w="108" w:type="dxa"/>
            <w:bottom w:w="0" w:type="dxa"/>
            <w:right w:w="108" w:type="dxa"/>
          </w:tblCellMar>
        </w:tblPrEx>
        <w:trPr>
          <w:trHeight w:val="1740" w:hRule="atLeast"/>
          <w:jc w:val="center"/>
        </w:trPr>
        <w:tc>
          <w:tcPr>
            <w:tcW w:w="716" w:type="dxa"/>
            <w:tcBorders>
              <w:top w:val="single" w:color="auto" w:sz="4" w:space="0"/>
              <w:left w:val="single" w:color="000000" w:sz="4" w:space="0"/>
              <w:bottom w:val="single" w:color="auto"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558" w:type="dxa"/>
            <w:tcBorders>
              <w:top w:val="single" w:color="auto" w:sz="4" w:space="0"/>
              <w:left w:val="nil"/>
              <w:bottom w:val="single" w:color="auto" w:sz="4" w:space="0"/>
              <w:right w:val="single" w:color="000000" w:sz="4" w:space="0"/>
            </w:tcBorders>
            <w:noWrap/>
            <w:vAlign w:val="center"/>
          </w:tcPr>
          <w:p>
            <w:pPr>
              <w:widowControl/>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展览展示</w:t>
            </w:r>
          </w:p>
        </w:tc>
        <w:tc>
          <w:tcPr>
            <w:tcW w:w="691"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15</w:t>
            </w:r>
            <w:r>
              <w:rPr>
                <w:rFonts w:hint="eastAsia" w:ascii="新宋体" w:hAnsi="新宋体" w:eastAsia="新宋体" w:cs="新宋体"/>
                <w:color w:val="auto"/>
                <w:kern w:val="0"/>
                <w:sz w:val="22"/>
                <w:szCs w:val="22"/>
                <w:highlight w:val="none"/>
              </w:rPr>
              <w:t>分</w:t>
            </w:r>
          </w:p>
        </w:tc>
        <w:tc>
          <w:tcPr>
            <w:tcW w:w="4579" w:type="dxa"/>
            <w:tcBorders>
              <w:top w:val="single" w:color="000000" w:sz="4" w:space="0"/>
              <w:left w:val="nil"/>
              <w:bottom w:val="single" w:color="000000" w:sz="4" w:space="0"/>
              <w:right w:val="single" w:color="000000" w:sz="4" w:space="0"/>
            </w:tcBorders>
            <w:noWrap/>
            <w:vAlign w:val="center"/>
          </w:tcPr>
          <w:p>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提出的线上、线下展览展示</w:t>
            </w:r>
            <w:r>
              <w:rPr>
                <w:rFonts w:hint="eastAsia" w:ascii="新宋体" w:hAnsi="新宋体" w:eastAsia="新宋体" w:cs="新宋体"/>
                <w:color w:val="auto"/>
                <w:sz w:val="22"/>
                <w:szCs w:val="22"/>
                <w:highlight w:val="none"/>
              </w:rPr>
              <w:t>方案</w:t>
            </w:r>
            <w:r>
              <w:rPr>
                <w:rFonts w:hint="eastAsia" w:ascii="新宋体" w:hAnsi="新宋体" w:eastAsia="新宋体" w:cs="新宋体"/>
                <w:color w:val="auto"/>
                <w:kern w:val="0"/>
                <w:sz w:val="22"/>
                <w:szCs w:val="22"/>
                <w:highlight w:val="none"/>
              </w:rPr>
              <w:t>与本次展会目标要求的符合性、针对性、专业性、科学合理性和可操作性进行综合比较评分</w:t>
            </w:r>
            <w:r>
              <w:rPr>
                <w:rFonts w:hint="eastAsia" w:ascii="新宋体" w:hAnsi="新宋体" w:eastAsia="新宋体" w:cs="新宋体"/>
                <w:color w:val="auto"/>
                <w:kern w:val="0"/>
                <w:sz w:val="22"/>
                <w:szCs w:val="22"/>
                <w:highlight w:val="none"/>
                <w:lang w:val="en-US" w:eastAsia="zh-CN"/>
              </w:rPr>
              <w:t>（0-15分</w:t>
            </w:r>
            <w:r>
              <w:rPr>
                <w:rFonts w:hint="eastAsia" w:ascii="新宋体" w:hAnsi="新宋体" w:eastAsia="新宋体" w:cs="新宋体"/>
                <w:color w:val="auto"/>
                <w:kern w:val="0"/>
                <w:sz w:val="22"/>
                <w:szCs w:val="22"/>
                <w:highlight w:val="none"/>
              </w:rPr>
              <w:t>）</w:t>
            </w:r>
          </w:p>
        </w:tc>
        <w:tc>
          <w:tcPr>
            <w:tcW w:w="2320" w:type="dxa"/>
            <w:tcBorders>
              <w:top w:val="single" w:color="000000" w:sz="4" w:space="0"/>
              <w:left w:val="nil"/>
              <w:bottom w:val="single" w:color="000000" w:sz="4" w:space="0"/>
              <w:right w:val="single" w:color="000000" w:sz="4" w:space="0"/>
            </w:tcBorders>
            <w:noWrap/>
            <w:vAlign w:val="center"/>
          </w:tcPr>
          <w:p>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包括场馆租赁、场馆服务、展区布局、展位划分安排、</w:t>
            </w:r>
            <w:r>
              <w:rPr>
                <w:rFonts w:hint="eastAsia" w:ascii="新宋体" w:hAnsi="新宋体" w:eastAsia="新宋体" w:cs="新宋体"/>
                <w:color w:val="auto"/>
                <w:sz w:val="22"/>
                <w:szCs w:val="22"/>
                <w:highlight w:val="none"/>
              </w:rPr>
              <w:t>参展商品范围、</w:t>
            </w:r>
            <w:r>
              <w:rPr>
                <w:rFonts w:hint="eastAsia" w:ascii="新宋体" w:hAnsi="新宋体" w:eastAsia="新宋体" w:cs="新宋体"/>
                <w:color w:val="auto"/>
                <w:kern w:val="0"/>
                <w:sz w:val="22"/>
                <w:szCs w:val="22"/>
                <w:highlight w:val="none"/>
              </w:rPr>
              <w:t>场馆</w:t>
            </w:r>
            <w:r>
              <w:rPr>
                <w:rFonts w:hint="eastAsia" w:ascii="新宋体" w:hAnsi="新宋体" w:eastAsia="新宋体" w:cs="新宋体"/>
                <w:color w:val="auto"/>
                <w:sz w:val="22"/>
                <w:szCs w:val="22"/>
                <w:highlight w:val="none"/>
              </w:rPr>
              <w:t>形象布置等</w:t>
            </w:r>
          </w:p>
        </w:tc>
      </w:tr>
      <w:tr>
        <w:tblPrEx>
          <w:tblCellMar>
            <w:top w:w="0" w:type="dxa"/>
            <w:left w:w="108" w:type="dxa"/>
            <w:bottom w:w="0" w:type="dxa"/>
            <w:right w:w="108" w:type="dxa"/>
          </w:tblCellMar>
        </w:tblPrEx>
        <w:trPr>
          <w:trHeight w:val="451" w:hRule="atLeast"/>
          <w:jc w:val="center"/>
        </w:trPr>
        <w:tc>
          <w:tcPr>
            <w:tcW w:w="716" w:type="dxa"/>
            <w:tcBorders>
              <w:top w:val="single" w:color="auto" w:sz="4" w:space="0"/>
              <w:left w:val="single" w:color="000000" w:sz="4" w:space="0"/>
              <w:bottom w:val="single" w:color="000000" w:sz="4" w:space="0"/>
              <w:right w:val="single" w:color="000000" w:sz="4" w:space="0"/>
            </w:tcBorders>
            <w:noWrap/>
            <w:vAlign w:val="center"/>
          </w:tcPr>
          <w:p>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5</w:t>
            </w:r>
          </w:p>
        </w:tc>
        <w:tc>
          <w:tcPr>
            <w:tcW w:w="1558" w:type="dxa"/>
            <w:tcBorders>
              <w:top w:val="single" w:color="auto"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展会相关配套活动安排</w:t>
            </w:r>
          </w:p>
        </w:tc>
        <w:tc>
          <w:tcPr>
            <w:tcW w:w="691"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15分</w:t>
            </w:r>
          </w:p>
        </w:tc>
        <w:tc>
          <w:tcPr>
            <w:tcW w:w="4579" w:type="dxa"/>
            <w:tcBorders>
              <w:top w:val="single" w:color="000000" w:sz="4" w:space="0"/>
              <w:left w:val="nil"/>
              <w:bottom w:val="single" w:color="000000" w:sz="4" w:space="0"/>
              <w:right w:val="single" w:color="000000" w:sz="4" w:space="0"/>
            </w:tcBorders>
            <w:noWrap/>
            <w:vAlign w:val="center"/>
          </w:tcPr>
          <w:p>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提出的</w:t>
            </w:r>
            <w:r>
              <w:rPr>
                <w:rFonts w:hint="eastAsia" w:ascii="新宋体" w:hAnsi="新宋体" w:eastAsia="新宋体" w:cs="新宋体"/>
                <w:color w:val="auto"/>
                <w:sz w:val="22"/>
                <w:szCs w:val="22"/>
                <w:highlight w:val="none"/>
              </w:rPr>
              <w:t>展会相关配套活动安排</w:t>
            </w:r>
            <w:r>
              <w:rPr>
                <w:rFonts w:hint="eastAsia" w:ascii="新宋体" w:hAnsi="新宋体" w:eastAsia="新宋体" w:cs="新宋体"/>
                <w:color w:val="auto"/>
                <w:kern w:val="0"/>
                <w:sz w:val="22"/>
                <w:szCs w:val="22"/>
                <w:highlight w:val="none"/>
              </w:rPr>
              <w:t>与本次展会目标要求的符合性、针对性、专业性、科学合理性和可操作性进行综合比较评分</w:t>
            </w:r>
            <w:r>
              <w:rPr>
                <w:rFonts w:hint="eastAsia" w:ascii="新宋体" w:hAnsi="新宋体" w:eastAsia="新宋体" w:cs="新宋体"/>
                <w:color w:val="auto"/>
                <w:kern w:val="0"/>
                <w:sz w:val="22"/>
                <w:szCs w:val="22"/>
                <w:highlight w:val="none"/>
                <w:lang w:val="en-US" w:eastAsia="zh-CN"/>
              </w:rPr>
              <w:t>（0-15分）</w:t>
            </w:r>
          </w:p>
        </w:tc>
        <w:tc>
          <w:tcPr>
            <w:tcW w:w="2320" w:type="dxa"/>
            <w:tcBorders>
              <w:top w:val="single" w:color="000000" w:sz="4" w:space="0"/>
              <w:left w:val="nil"/>
              <w:bottom w:val="single" w:color="000000" w:sz="4" w:space="0"/>
              <w:right w:val="single" w:color="000000" w:sz="4" w:space="0"/>
            </w:tcBorders>
            <w:noWrap/>
            <w:vAlign w:val="center"/>
          </w:tcPr>
          <w:p>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包括时间、地点、对象、嘉宾、具体安排等</w:t>
            </w:r>
          </w:p>
        </w:tc>
      </w:tr>
      <w:tr>
        <w:tblPrEx>
          <w:tblCellMar>
            <w:top w:w="0" w:type="dxa"/>
            <w:left w:w="108" w:type="dxa"/>
            <w:bottom w:w="0" w:type="dxa"/>
            <w:right w:w="108" w:type="dxa"/>
          </w:tblCellMar>
        </w:tblPrEx>
        <w:trPr>
          <w:trHeight w:val="63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6</w:t>
            </w:r>
          </w:p>
        </w:tc>
        <w:tc>
          <w:tcPr>
            <w:tcW w:w="1558"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项目组织管理</w:t>
            </w:r>
          </w:p>
        </w:tc>
        <w:tc>
          <w:tcPr>
            <w:tcW w:w="691"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10分</w:t>
            </w:r>
          </w:p>
        </w:tc>
        <w:tc>
          <w:tcPr>
            <w:tcW w:w="4579" w:type="dxa"/>
            <w:tcBorders>
              <w:top w:val="single" w:color="000000" w:sz="4" w:space="0"/>
              <w:left w:val="nil"/>
              <w:bottom w:val="single" w:color="000000" w:sz="4" w:space="0"/>
              <w:right w:val="single" w:color="000000" w:sz="4" w:space="0"/>
            </w:tcBorders>
            <w:noWrap/>
            <w:vAlign w:val="center"/>
          </w:tcPr>
          <w:p>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包括服务机构设置、计划进度、过程控制管理、人员安排、后续服务、应急预案、备选方案等（</w:t>
            </w:r>
            <w:r>
              <w:rPr>
                <w:rFonts w:hint="eastAsia" w:ascii="新宋体" w:hAnsi="新宋体" w:eastAsia="新宋体" w:cs="新宋体"/>
                <w:color w:val="auto"/>
                <w:kern w:val="0"/>
                <w:sz w:val="22"/>
                <w:szCs w:val="22"/>
                <w:highlight w:val="none"/>
                <w:lang w:val="en-US" w:eastAsia="zh-CN"/>
              </w:rPr>
              <w:t>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0分）</w:t>
            </w:r>
          </w:p>
        </w:tc>
        <w:tc>
          <w:tcPr>
            <w:tcW w:w="2320"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p>
        </w:tc>
      </w:tr>
      <w:tr>
        <w:tblPrEx>
          <w:tblCellMar>
            <w:top w:w="0" w:type="dxa"/>
            <w:left w:w="108" w:type="dxa"/>
            <w:bottom w:w="0" w:type="dxa"/>
            <w:right w:w="108" w:type="dxa"/>
          </w:tblCellMar>
        </w:tblPrEx>
        <w:trPr>
          <w:trHeight w:val="440"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7</w:t>
            </w:r>
          </w:p>
        </w:tc>
        <w:tc>
          <w:tcPr>
            <w:tcW w:w="1558"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投标人综合实力</w:t>
            </w:r>
          </w:p>
        </w:tc>
        <w:tc>
          <w:tcPr>
            <w:tcW w:w="691"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10分</w:t>
            </w:r>
          </w:p>
        </w:tc>
        <w:tc>
          <w:tcPr>
            <w:tcW w:w="4579" w:type="dxa"/>
            <w:tcBorders>
              <w:top w:val="single" w:color="000000" w:sz="4" w:space="0"/>
              <w:left w:val="nil"/>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投标人在行业中的商业信誉认可度、资质认证及综合服务能力评价。（</w:t>
            </w:r>
            <w:r>
              <w:rPr>
                <w:rFonts w:hint="eastAsia" w:ascii="新宋体" w:hAnsi="新宋体" w:eastAsia="新宋体" w:cs="新宋体"/>
                <w:color w:val="auto"/>
                <w:kern w:val="0"/>
                <w:sz w:val="22"/>
                <w:szCs w:val="22"/>
                <w:highlight w:val="none"/>
                <w:lang w:val="en-US" w:eastAsia="zh-CN"/>
              </w:rPr>
              <w:t>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0分）</w:t>
            </w:r>
          </w:p>
        </w:tc>
        <w:tc>
          <w:tcPr>
            <w:tcW w:w="2320" w:type="dxa"/>
            <w:tcBorders>
              <w:top w:val="single" w:color="000000" w:sz="4" w:space="0"/>
              <w:left w:val="single" w:color="auto" w:sz="4" w:space="0"/>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p>
        </w:tc>
      </w:tr>
      <w:tr>
        <w:tblPrEx>
          <w:tblCellMar>
            <w:top w:w="0" w:type="dxa"/>
            <w:left w:w="108" w:type="dxa"/>
            <w:bottom w:w="0" w:type="dxa"/>
            <w:right w:w="108" w:type="dxa"/>
          </w:tblCellMar>
        </w:tblPrEx>
        <w:trPr>
          <w:trHeight w:val="1381"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8</w:t>
            </w:r>
          </w:p>
        </w:tc>
        <w:tc>
          <w:tcPr>
            <w:tcW w:w="1558"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w:t>
            </w:r>
          </w:p>
        </w:tc>
        <w:tc>
          <w:tcPr>
            <w:tcW w:w="691" w:type="dxa"/>
            <w:tcBorders>
              <w:top w:val="single" w:color="000000" w:sz="4" w:space="0"/>
              <w:left w:val="nil"/>
              <w:bottom w:val="single" w:color="000000" w:sz="4" w:space="0"/>
              <w:right w:val="single" w:color="000000" w:sz="4" w:space="0"/>
            </w:tcBorders>
            <w:noWrap/>
            <w:vAlign w:val="center"/>
          </w:tcPr>
          <w:p>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1分</w:t>
            </w:r>
          </w:p>
        </w:tc>
        <w:tc>
          <w:tcPr>
            <w:tcW w:w="4579" w:type="dxa"/>
            <w:tcBorders>
              <w:top w:val="single" w:color="000000" w:sz="4" w:space="0"/>
              <w:left w:val="nil"/>
              <w:bottom w:val="single" w:color="000000" w:sz="4" w:space="0"/>
              <w:right w:val="single" w:color="auto" w:sz="4" w:space="0"/>
            </w:tcBorders>
            <w:noWrap/>
            <w:vAlign w:val="center"/>
          </w:tcPr>
          <w:p>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w:t>
            </w:r>
            <w:r>
              <w:rPr>
                <w:rFonts w:hint="eastAsia" w:ascii="新宋体" w:hAnsi="新宋体" w:eastAsia="新宋体" w:cs="新宋体"/>
                <w:color w:val="auto"/>
                <w:sz w:val="22"/>
                <w:szCs w:val="22"/>
                <w:highlight w:val="none"/>
              </w:rPr>
              <w:t>201</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年1月1日至今承接类似展会业绩。</w:t>
            </w:r>
            <w:r>
              <w:rPr>
                <w:rFonts w:hint="eastAsia" w:ascii="新宋体" w:hAnsi="新宋体" w:eastAsia="新宋体" w:cs="新宋体"/>
                <w:color w:val="auto"/>
                <w:kern w:val="0"/>
                <w:sz w:val="22"/>
                <w:szCs w:val="22"/>
                <w:highlight w:val="none"/>
              </w:rPr>
              <w:t>提供每个业绩得</w:t>
            </w:r>
            <w:r>
              <w:rPr>
                <w:rFonts w:hint="eastAsia" w:ascii="新宋体" w:hAnsi="新宋体" w:eastAsia="新宋体" w:cs="新宋体"/>
                <w:color w:val="auto"/>
                <w:kern w:val="0"/>
                <w:sz w:val="22"/>
                <w:szCs w:val="22"/>
                <w:highlight w:val="none"/>
                <w:lang w:val="en-US" w:eastAsia="zh-CN"/>
              </w:rPr>
              <w:t>0.2</w:t>
            </w:r>
            <w:r>
              <w:rPr>
                <w:rFonts w:hint="eastAsia" w:ascii="新宋体" w:hAnsi="新宋体" w:eastAsia="新宋体" w:cs="新宋体"/>
                <w:color w:val="auto"/>
                <w:kern w:val="0"/>
                <w:sz w:val="22"/>
                <w:szCs w:val="22"/>
                <w:highlight w:val="none"/>
              </w:rPr>
              <w:t>分，最高1分。（提供业绩合同复印件未提供不得分）</w:t>
            </w:r>
          </w:p>
        </w:tc>
        <w:tc>
          <w:tcPr>
            <w:tcW w:w="2320" w:type="dxa"/>
            <w:tcBorders>
              <w:top w:val="single" w:color="000000" w:sz="4" w:space="0"/>
              <w:left w:val="single" w:color="auto" w:sz="4" w:space="0"/>
              <w:bottom w:val="single" w:color="000000" w:sz="4" w:space="0"/>
              <w:right w:val="single" w:color="000000" w:sz="4" w:space="0"/>
            </w:tcBorders>
            <w:noWrap/>
            <w:vAlign w:val="center"/>
          </w:tcPr>
          <w:p>
            <w:pPr>
              <w:widowControl/>
              <w:spacing w:line="460" w:lineRule="exact"/>
              <w:rPr>
                <w:rFonts w:ascii="新宋体" w:hAnsi="新宋体" w:eastAsia="新宋体" w:cs="新宋体"/>
                <w:color w:val="auto"/>
                <w:kern w:val="0"/>
                <w:sz w:val="22"/>
                <w:szCs w:val="22"/>
                <w:highlight w:val="none"/>
              </w:rPr>
            </w:pPr>
          </w:p>
        </w:tc>
      </w:tr>
    </w:tbl>
    <w:p>
      <w:pPr>
        <w:pStyle w:val="22"/>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bCs/>
          <w:color w:val="auto"/>
          <w:sz w:val="22"/>
          <w:szCs w:val="22"/>
          <w:highlight w:val="none"/>
          <w:u w:val="single"/>
        </w:rPr>
      </w:pPr>
      <w:r>
        <w:rPr>
          <w:rFonts w:hint="eastAsia" w:ascii="宋体" w:hAnsi="宋体" w:eastAsia="宋体" w:cs="宋体"/>
          <w:b/>
          <w:color w:val="auto"/>
          <w:sz w:val="22"/>
          <w:szCs w:val="22"/>
          <w:highlight w:val="none"/>
        </w:rPr>
        <w:t xml:space="preserve">   </w:t>
      </w:r>
      <w:r>
        <w:rPr>
          <w:rFonts w:hint="eastAsia" w:ascii="宋体" w:hAnsi="宋体" w:eastAsia="宋体" w:cs="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79" w:name="_Toc2482"/>
      <w:bookmarkStart w:id="80" w:name="_Toc4727"/>
      <w:r>
        <w:rPr>
          <w:rFonts w:hint="eastAsia" w:ascii="宋体" w:hAnsi="宋体" w:eastAsia="宋体" w:cs="宋体"/>
          <w:b/>
          <w:bCs/>
          <w:color w:val="auto"/>
          <w:sz w:val="22"/>
          <w:szCs w:val="22"/>
          <w:highlight w:val="none"/>
        </w:rPr>
        <w:t>六、定标办法</w:t>
      </w:r>
      <w:bookmarkEnd w:id="79"/>
      <w:bookmarkEnd w:id="80"/>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81" w:name="_Toc3629"/>
      <w:bookmarkStart w:id="82" w:name="_Toc17587"/>
      <w:r>
        <w:rPr>
          <w:rFonts w:hint="eastAsia" w:ascii="宋体" w:hAnsi="宋体" w:eastAsia="宋体" w:cs="宋体"/>
          <w:b/>
          <w:color w:val="auto"/>
          <w:sz w:val="22"/>
          <w:szCs w:val="22"/>
          <w:highlight w:val="none"/>
        </w:rPr>
        <w:t>七、投标人义务</w:t>
      </w:r>
      <w:bookmarkEnd w:id="81"/>
      <w:bookmarkEnd w:id="82"/>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pPr>
        <w:spacing w:line="460" w:lineRule="exact"/>
        <w:jc w:val="center"/>
        <w:rPr>
          <w:rFonts w:hint="eastAsia" w:ascii="宋体" w:hAnsi="宋体" w:eastAsia="宋体" w:cs="宋体"/>
          <w:b/>
          <w:color w:val="auto"/>
          <w:sz w:val="32"/>
          <w:szCs w:val="32"/>
          <w:highlight w:val="none"/>
        </w:rPr>
      </w:pPr>
    </w:p>
    <w:p>
      <w:pPr>
        <w:pStyle w:val="22"/>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pPr>
      <w:pStyle w:val="34"/>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pPr>
      <w:pStyle w:val="34"/>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温州市政府（分散）采购招标文件                                             项目编号：</w:t>
    </w:r>
    <w:r>
      <w:rPr>
        <w:rFonts w:hint="eastAsia"/>
        <w:lang w:eastAsia="zh-CN"/>
      </w:rPr>
      <w:t xml:space="preserve">WZLCZB（W）-2022-03057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r>
      <w:rPr>
        <w:rFonts w:hint="eastAsia"/>
      </w:rPr>
      <w:t>温州市政府（分散）采购招标文件                                             项目编号：</w:t>
    </w:r>
    <w:r>
      <w:rPr>
        <w:rFonts w:hint="eastAsia"/>
        <w:lang w:eastAsia="zh-CN"/>
      </w:rPr>
      <w:t xml:space="preserve">WZLCZB（W）-2022-03057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20470DA"/>
    <w:multiLevelType w:val="singleLevel"/>
    <w:tmpl w:val="B20470DA"/>
    <w:lvl w:ilvl="0" w:tentative="0">
      <w:start w:val="1"/>
      <w:numFmt w:val="chineseCounting"/>
      <w:suff w:val="nothing"/>
      <w:lvlText w:val="（%1）"/>
      <w:lvlJc w:val="left"/>
      <w:pPr>
        <w:ind w:left="-119"/>
      </w:pPr>
      <w:rPr>
        <w:rFonts w:hint="eastAsia"/>
        <w:color w:val="auto"/>
        <w:highlight w:val="none"/>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D31F181"/>
    <w:multiLevelType w:val="singleLevel"/>
    <w:tmpl w:val="CD31F181"/>
    <w:lvl w:ilvl="0" w:tentative="0">
      <w:start w:val="1"/>
      <w:numFmt w:val="decimal"/>
      <w:suff w:val="nothing"/>
      <w:lvlText w:val="%1、"/>
      <w:lvlJc w:val="left"/>
    </w:lvl>
  </w:abstractNum>
  <w:abstractNum w:abstractNumId="5">
    <w:nsid w:val="52D7A3B6"/>
    <w:multiLevelType w:val="singleLevel"/>
    <w:tmpl w:val="52D7A3B6"/>
    <w:lvl w:ilvl="0" w:tentative="0">
      <w:start w:val="1"/>
      <w:numFmt w:val="decimal"/>
      <w:suff w:val="nothing"/>
      <w:lvlText w:val="（%1）"/>
      <w:lvlJc w:val="left"/>
    </w:lvl>
  </w:abstractNum>
  <w:abstractNum w:abstractNumId="6">
    <w:nsid w:val="59DE7C9A"/>
    <w:multiLevelType w:val="singleLevel"/>
    <w:tmpl w:val="59DE7C9A"/>
    <w:lvl w:ilvl="0" w:tentative="0">
      <w:start w:val="3"/>
      <w:numFmt w:val="chineseCounting"/>
      <w:suff w:val="nothing"/>
      <w:lvlText w:val="%1、"/>
      <w:lvlJc w:val="left"/>
      <w:rPr>
        <w:rFonts w:hint="eastAsia"/>
      </w:r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B3222E"/>
    <w:rsid w:val="02F63BA4"/>
    <w:rsid w:val="031D0871"/>
    <w:rsid w:val="03283281"/>
    <w:rsid w:val="03331487"/>
    <w:rsid w:val="034A64CB"/>
    <w:rsid w:val="039714E5"/>
    <w:rsid w:val="03BE392F"/>
    <w:rsid w:val="03E13A1E"/>
    <w:rsid w:val="04156ACE"/>
    <w:rsid w:val="042A5AFC"/>
    <w:rsid w:val="042B0B04"/>
    <w:rsid w:val="043D6DF1"/>
    <w:rsid w:val="043F2279"/>
    <w:rsid w:val="044865A2"/>
    <w:rsid w:val="04876F3A"/>
    <w:rsid w:val="048D46D7"/>
    <w:rsid w:val="04A01243"/>
    <w:rsid w:val="04B52C5F"/>
    <w:rsid w:val="04C27070"/>
    <w:rsid w:val="04E23C80"/>
    <w:rsid w:val="04FD6D0A"/>
    <w:rsid w:val="050751FC"/>
    <w:rsid w:val="05166806"/>
    <w:rsid w:val="0529508C"/>
    <w:rsid w:val="05341DE8"/>
    <w:rsid w:val="053A30CA"/>
    <w:rsid w:val="057D25F0"/>
    <w:rsid w:val="05936339"/>
    <w:rsid w:val="05D76F02"/>
    <w:rsid w:val="062F7E7F"/>
    <w:rsid w:val="0650016B"/>
    <w:rsid w:val="06695ADA"/>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911C02"/>
    <w:rsid w:val="08913549"/>
    <w:rsid w:val="08B53A61"/>
    <w:rsid w:val="08BE2FEC"/>
    <w:rsid w:val="08E76FD5"/>
    <w:rsid w:val="08FD20E7"/>
    <w:rsid w:val="09101BCD"/>
    <w:rsid w:val="09315C91"/>
    <w:rsid w:val="09510BFE"/>
    <w:rsid w:val="097E368B"/>
    <w:rsid w:val="09816EE6"/>
    <w:rsid w:val="099757EE"/>
    <w:rsid w:val="09A34824"/>
    <w:rsid w:val="09B85302"/>
    <w:rsid w:val="09B94936"/>
    <w:rsid w:val="09D26DBF"/>
    <w:rsid w:val="09F65854"/>
    <w:rsid w:val="0A07422F"/>
    <w:rsid w:val="0A1B49C1"/>
    <w:rsid w:val="0A3D0590"/>
    <w:rsid w:val="0A7416D8"/>
    <w:rsid w:val="0A8945EB"/>
    <w:rsid w:val="0A953A1C"/>
    <w:rsid w:val="0BAA095D"/>
    <w:rsid w:val="0BAC1F4C"/>
    <w:rsid w:val="0BBE4F63"/>
    <w:rsid w:val="0BDA530A"/>
    <w:rsid w:val="0C0247C0"/>
    <w:rsid w:val="0C051D05"/>
    <w:rsid w:val="0C353302"/>
    <w:rsid w:val="0C496297"/>
    <w:rsid w:val="0C660E5E"/>
    <w:rsid w:val="0C9A109E"/>
    <w:rsid w:val="0CA74D09"/>
    <w:rsid w:val="0CA9483B"/>
    <w:rsid w:val="0CC50642"/>
    <w:rsid w:val="0CC51217"/>
    <w:rsid w:val="0D0A01F7"/>
    <w:rsid w:val="0D1F1C9D"/>
    <w:rsid w:val="0D735BCC"/>
    <w:rsid w:val="0D7C2119"/>
    <w:rsid w:val="0D920730"/>
    <w:rsid w:val="0DA766BA"/>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0FF97BC0"/>
    <w:rsid w:val="100958B9"/>
    <w:rsid w:val="10381F40"/>
    <w:rsid w:val="104869BA"/>
    <w:rsid w:val="10575CC4"/>
    <w:rsid w:val="10F47168"/>
    <w:rsid w:val="110264F1"/>
    <w:rsid w:val="1104198D"/>
    <w:rsid w:val="1105049E"/>
    <w:rsid w:val="115434FF"/>
    <w:rsid w:val="115D3896"/>
    <w:rsid w:val="11B62E53"/>
    <w:rsid w:val="12103D4D"/>
    <w:rsid w:val="12345EA5"/>
    <w:rsid w:val="124027F2"/>
    <w:rsid w:val="125A673E"/>
    <w:rsid w:val="12775E6D"/>
    <w:rsid w:val="12A01322"/>
    <w:rsid w:val="12AB0828"/>
    <w:rsid w:val="12E05DF5"/>
    <w:rsid w:val="133616DD"/>
    <w:rsid w:val="13582BF6"/>
    <w:rsid w:val="13583E3E"/>
    <w:rsid w:val="138356B4"/>
    <w:rsid w:val="13884680"/>
    <w:rsid w:val="13996DA4"/>
    <w:rsid w:val="13A56966"/>
    <w:rsid w:val="13B56A40"/>
    <w:rsid w:val="13D309B3"/>
    <w:rsid w:val="13EC3F05"/>
    <w:rsid w:val="14077D57"/>
    <w:rsid w:val="14342819"/>
    <w:rsid w:val="143E2A13"/>
    <w:rsid w:val="14965811"/>
    <w:rsid w:val="14D92610"/>
    <w:rsid w:val="15001500"/>
    <w:rsid w:val="154A25D7"/>
    <w:rsid w:val="15525604"/>
    <w:rsid w:val="156E5828"/>
    <w:rsid w:val="156F5188"/>
    <w:rsid w:val="15B36E57"/>
    <w:rsid w:val="15B43A33"/>
    <w:rsid w:val="15C02CFA"/>
    <w:rsid w:val="15D02588"/>
    <w:rsid w:val="163004AD"/>
    <w:rsid w:val="164356BB"/>
    <w:rsid w:val="166F777C"/>
    <w:rsid w:val="169C21B8"/>
    <w:rsid w:val="169C6B59"/>
    <w:rsid w:val="16B33801"/>
    <w:rsid w:val="16BB60A4"/>
    <w:rsid w:val="16D604C4"/>
    <w:rsid w:val="173A5387"/>
    <w:rsid w:val="17725C57"/>
    <w:rsid w:val="17755246"/>
    <w:rsid w:val="17800AEC"/>
    <w:rsid w:val="18245E40"/>
    <w:rsid w:val="186B461D"/>
    <w:rsid w:val="188B4950"/>
    <w:rsid w:val="18C7387D"/>
    <w:rsid w:val="18C76564"/>
    <w:rsid w:val="19087A11"/>
    <w:rsid w:val="191B7534"/>
    <w:rsid w:val="196C6250"/>
    <w:rsid w:val="196E2C37"/>
    <w:rsid w:val="1974690A"/>
    <w:rsid w:val="19C072D3"/>
    <w:rsid w:val="1A25720B"/>
    <w:rsid w:val="1A510684"/>
    <w:rsid w:val="1A6171B2"/>
    <w:rsid w:val="1AA65F2A"/>
    <w:rsid w:val="1AA666F2"/>
    <w:rsid w:val="1ADC340E"/>
    <w:rsid w:val="1AED2C78"/>
    <w:rsid w:val="1AEF15D5"/>
    <w:rsid w:val="1B1F6B22"/>
    <w:rsid w:val="1B293607"/>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32115"/>
    <w:rsid w:val="1C8449C2"/>
    <w:rsid w:val="1C8676F7"/>
    <w:rsid w:val="1C8B5EF5"/>
    <w:rsid w:val="1C9B7764"/>
    <w:rsid w:val="1C9C37E6"/>
    <w:rsid w:val="1CA3081A"/>
    <w:rsid w:val="1CB81673"/>
    <w:rsid w:val="1CEB7EC5"/>
    <w:rsid w:val="1D0A50BD"/>
    <w:rsid w:val="1D2A3DAB"/>
    <w:rsid w:val="1D46542E"/>
    <w:rsid w:val="1D4C221B"/>
    <w:rsid w:val="1D6359BB"/>
    <w:rsid w:val="1D664936"/>
    <w:rsid w:val="1D71729C"/>
    <w:rsid w:val="1D981331"/>
    <w:rsid w:val="1DAB3C89"/>
    <w:rsid w:val="1DC06E93"/>
    <w:rsid w:val="1DCC77C2"/>
    <w:rsid w:val="1DCF4890"/>
    <w:rsid w:val="1DFB57EB"/>
    <w:rsid w:val="1E0062C5"/>
    <w:rsid w:val="1E03430E"/>
    <w:rsid w:val="1E4F15C4"/>
    <w:rsid w:val="1E665E93"/>
    <w:rsid w:val="1E6D0B8E"/>
    <w:rsid w:val="1E740910"/>
    <w:rsid w:val="1E876FC3"/>
    <w:rsid w:val="1E8A1B7B"/>
    <w:rsid w:val="1ED05FDD"/>
    <w:rsid w:val="1EDA4565"/>
    <w:rsid w:val="1F0115E6"/>
    <w:rsid w:val="1F8B73B9"/>
    <w:rsid w:val="1FA32ACB"/>
    <w:rsid w:val="1FC0508F"/>
    <w:rsid w:val="1FD17519"/>
    <w:rsid w:val="1FDE37FF"/>
    <w:rsid w:val="1FE87CF6"/>
    <w:rsid w:val="20142293"/>
    <w:rsid w:val="202875D1"/>
    <w:rsid w:val="203B6405"/>
    <w:rsid w:val="204042C4"/>
    <w:rsid w:val="204434A6"/>
    <w:rsid w:val="208E2CB0"/>
    <w:rsid w:val="20C7192F"/>
    <w:rsid w:val="20C94ACB"/>
    <w:rsid w:val="20F3606E"/>
    <w:rsid w:val="213009EF"/>
    <w:rsid w:val="213D75BE"/>
    <w:rsid w:val="213F7AB1"/>
    <w:rsid w:val="217A33A1"/>
    <w:rsid w:val="21872636"/>
    <w:rsid w:val="218F2648"/>
    <w:rsid w:val="21AB5C9B"/>
    <w:rsid w:val="21B427AB"/>
    <w:rsid w:val="21BD46E0"/>
    <w:rsid w:val="227C0C68"/>
    <w:rsid w:val="227D1F07"/>
    <w:rsid w:val="22AE5DFE"/>
    <w:rsid w:val="23025E80"/>
    <w:rsid w:val="235C31B0"/>
    <w:rsid w:val="23C16FD2"/>
    <w:rsid w:val="242C445B"/>
    <w:rsid w:val="247E04BE"/>
    <w:rsid w:val="248B6BF0"/>
    <w:rsid w:val="24975A35"/>
    <w:rsid w:val="24A451C8"/>
    <w:rsid w:val="24B0777F"/>
    <w:rsid w:val="24B80E3D"/>
    <w:rsid w:val="24BA3A6C"/>
    <w:rsid w:val="24C14262"/>
    <w:rsid w:val="24CE4770"/>
    <w:rsid w:val="24DB11B1"/>
    <w:rsid w:val="24DB1DC1"/>
    <w:rsid w:val="254579AD"/>
    <w:rsid w:val="25550995"/>
    <w:rsid w:val="25916749"/>
    <w:rsid w:val="25E5097B"/>
    <w:rsid w:val="25ED1CE2"/>
    <w:rsid w:val="260366CA"/>
    <w:rsid w:val="26190B1E"/>
    <w:rsid w:val="261954E5"/>
    <w:rsid w:val="26911437"/>
    <w:rsid w:val="26B25A04"/>
    <w:rsid w:val="26C51A6D"/>
    <w:rsid w:val="26E86A48"/>
    <w:rsid w:val="27101EDB"/>
    <w:rsid w:val="27450F96"/>
    <w:rsid w:val="27A03254"/>
    <w:rsid w:val="27A230C5"/>
    <w:rsid w:val="27A851CF"/>
    <w:rsid w:val="27F6755B"/>
    <w:rsid w:val="2835156C"/>
    <w:rsid w:val="285E7742"/>
    <w:rsid w:val="285F589C"/>
    <w:rsid w:val="2860075F"/>
    <w:rsid w:val="288E7537"/>
    <w:rsid w:val="28D51CE9"/>
    <w:rsid w:val="28E0382C"/>
    <w:rsid w:val="28FB2940"/>
    <w:rsid w:val="29315B5E"/>
    <w:rsid w:val="2935387C"/>
    <w:rsid w:val="295642C7"/>
    <w:rsid w:val="29923BE6"/>
    <w:rsid w:val="29D70027"/>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B62C14"/>
    <w:rsid w:val="2BB82208"/>
    <w:rsid w:val="2BC1544C"/>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2B59A3"/>
    <w:rsid w:val="2F735118"/>
    <w:rsid w:val="2FAF734F"/>
    <w:rsid w:val="2FB74538"/>
    <w:rsid w:val="2FF16930"/>
    <w:rsid w:val="30255652"/>
    <w:rsid w:val="302A5959"/>
    <w:rsid w:val="305B0C4B"/>
    <w:rsid w:val="306F34C7"/>
    <w:rsid w:val="30E87252"/>
    <w:rsid w:val="31024AE6"/>
    <w:rsid w:val="31232744"/>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644CFD"/>
    <w:rsid w:val="33774568"/>
    <w:rsid w:val="33A0028D"/>
    <w:rsid w:val="33A570FA"/>
    <w:rsid w:val="33D32C1C"/>
    <w:rsid w:val="33D92429"/>
    <w:rsid w:val="343B3818"/>
    <w:rsid w:val="343C1893"/>
    <w:rsid w:val="34671CF7"/>
    <w:rsid w:val="346F1AF2"/>
    <w:rsid w:val="358526AE"/>
    <w:rsid w:val="35B54B22"/>
    <w:rsid w:val="35DF0F8E"/>
    <w:rsid w:val="35E83CBD"/>
    <w:rsid w:val="35EF293B"/>
    <w:rsid w:val="35F13A2A"/>
    <w:rsid w:val="360453EB"/>
    <w:rsid w:val="361633A9"/>
    <w:rsid w:val="362C0965"/>
    <w:rsid w:val="36495F37"/>
    <w:rsid w:val="36523501"/>
    <w:rsid w:val="366A6E58"/>
    <w:rsid w:val="36B72BD5"/>
    <w:rsid w:val="36EC7002"/>
    <w:rsid w:val="37366041"/>
    <w:rsid w:val="373D0F4E"/>
    <w:rsid w:val="3756532C"/>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8B1C35"/>
    <w:rsid w:val="3BE767A5"/>
    <w:rsid w:val="3C1701DB"/>
    <w:rsid w:val="3C2E25AC"/>
    <w:rsid w:val="3C33699A"/>
    <w:rsid w:val="3C41291B"/>
    <w:rsid w:val="3C447C27"/>
    <w:rsid w:val="3C4E3440"/>
    <w:rsid w:val="3D6E0C3B"/>
    <w:rsid w:val="3E225ED0"/>
    <w:rsid w:val="3E29108F"/>
    <w:rsid w:val="3E763568"/>
    <w:rsid w:val="3EB341AB"/>
    <w:rsid w:val="3EC20226"/>
    <w:rsid w:val="3EC451E1"/>
    <w:rsid w:val="3EC47F80"/>
    <w:rsid w:val="3F1E63B0"/>
    <w:rsid w:val="3F2226EC"/>
    <w:rsid w:val="3F601C75"/>
    <w:rsid w:val="3FAC6CE4"/>
    <w:rsid w:val="3FDA48AC"/>
    <w:rsid w:val="402A3DD6"/>
    <w:rsid w:val="402E363B"/>
    <w:rsid w:val="403A7A13"/>
    <w:rsid w:val="40883F9A"/>
    <w:rsid w:val="40A6403B"/>
    <w:rsid w:val="40C31767"/>
    <w:rsid w:val="40C81C85"/>
    <w:rsid w:val="40D11C13"/>
    <w:rsid w:val="40D14228"/>
    <w:rsid w:val="40E32648"/>
    <w:rsid w:val="413F338F"/>
    <w:rsid w:val="414A1493"/>
    <w:rsid w:val="415D3A83"/>
    <w:rsid w:val="41A50FA5"/>
    <w:rsid w:val="41CC07BC"/>
    <w:rsid w:val="41DD5AAF"/>
    <w:rsid w:val="420037AC"/>
    <w:rsid w:val="420569A4"/>
    <w:rsid w:val="421679DC"/>
    <w:rsid w:val="4246080B"/>
    <w:rsid w:val="42CE24FD"/>
    <w:rsid w:val="42E526FF"/>
    <w:rsid w:val="42F302DD"/>
    <w:rsid w:val="43260C43"/>
    <w:rsid w:val="438034F8"/>
    <w:rsid w:val="4388321A"/>
    <w:rsid w:val="441A31FF"/>
    <w:rsid w:val="446A3759"/>
    <w:rsid w:val="446B4961"/>
    <w:rsid w:val="449428DA"/>
    <w:rsid w:val="45132E7E"/>
    <w:rsid w:val="45477EDB"/>
    <w:rsid w:val="45A046DF"/>
    <w:rsid w:val="45B725A0"/>
    <w:rsid w:val="462E25CA"/>
    <w:rsid w:val="46303A17"/>
    <w:rsid w:val="465A58CC"/>
    <w:rsid w:val="467F5148"/>
    <w:rsid w:val="46931FE6"/>
    <w:rsid w:val="46D637ED"/>
    <w:rsid w:val="46DD3F38"/>
    <w:rsid w:val="46F16F1D"/>
    <w:rsid w:val="46FD2CBF"/>
    <w:rsid w:val="472910BD"/>
    <w:rsid w:val="47553E8E"/>
    <w:rsid w:val="477C293C"/>
    <w:rsid w:val="47A86305"/>
    <w:rsid w:val="47CA2F97"/>
    <w:rsid w:val="47D84675"/>
    <w:rsid w:val="47E17B3A"/>
    <w:rsid w:val="481379C4"/>
    <w:rsid w:val="481947FE"/>
    <w:rsid w:val="483B043E"/>
    <w:rsid w:val="486B0826"/>
    <w:rsid w:val="486B1D8E"/>
    <w:rsid w:val="48A93D74"/>
    <w:rsid w:val="48D139F6"/>
    <w:rsid w:val="48F0007A"/>
    <w:rsid w:val="48F56DD6"/>
    <w:rsid w:val="491916C6"/>
    <w:rsid w:val="49573AC8"/>
    <w:rsid w:val="49AA7971"/>
    <w:rsid w:val="49FE240E"/>
    <w:rsid w:val="4A141151"/>
    <w:rsid w:val="4A316318"/>
    <w:rsid w:val="4A643B84"/>
    <w:rsid w:val="4A777A6A"/>
    <w:rsid w:val="4AC9062D"/>
    <w:rsid w:val="4AE52C42"/>
    <w:rsid w:val="4AF2187D"/>
    <w:rsid w:val="4AFC3953"/>
    <w:rsid w:val="4B1E385E"/>
    <w:rsid w:val="4B6870F9"/>
    <w:rsid w:val="4B6C2969"/>
    <w:rsid w:val="4BCF6DCB"/>
    <w:rsid w:val="4BD06B38"/>
    <w:rsid w:val="4BDF321A"/>
    <w:rsid w:val="4C0065CE"/>
    <w:rsid w:val="4C18241E"/>
    <w:rsid w:val="4C227943"/>
    <w:rsid w:val="4C4373DD"/>
    <w:rsid w:val="4C472142"/>
    <w:rsid w:val="4C5F22C4"/>
    <w:rsid w:val="4DC86CD0"/>
    <w:rsid w:val="4DD62C1F"/>
    <w:rsid w:val="4DF46D27"/>
    <w:rsid w:val="4E1139E0"/>
    <w:rsid w:val="4E367509"/>
    <w:rsid w:val="4E5211BA"/>
    <w:rsid w:val="4E90713C"/>
    <w:rsid w:val="4E9D1D1E"/>
    <w:rsid w:val="4F0E0B1D"/>
    <w:rsid w:val="4F5854D4"/>
    <w:rsid w:val="4FBD41CA"/>
    <w:rsid w:val="4FD246D2"/>
    <w:rsid w:val="50077D56"/>
    <w:rsid w:val="50131451"/>
    <w:rsid w:val="507A68D0"/>
    <w:rsid w:val="50831BFE"/>
    <w:rsid w:val="50B52FE4"/>
    <w:rsid w:val="50BF2E54"/>
    <w:rsid w:val="50E517A3"/>
    <w:rsid w:val="51390BE4"/>
    <w:rsid w:val="51C804DE"/>
    <w:rsid w:val="51CF0D4C"/>
    <w:rsid w:val="51E12FF8"/>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557110"/>
    <w:rsid w:val="54774FE0"/>
    <w:rsid w:val="549661B6"/>
    <w:rsid w:val="54D24E79"/>
    <w:rsid w:val="5503429F"/>
    <w:rsid w:val="551027C6"/>
    <w:rsid w:val="552F7315"/>
    <w:rsid w:val="554B0FDD"/>
    <w:rsid w:val="55631D2D"/>
    <w:rsid w:val="55BB1E97"/>
    <w:rsid w:val="55C8709D"/>
    <w:rsid w:val="560509A3"/>
    <w:rsid w:val="56250237"/>
    <w:rsid w:val="564569EB"/>
    <w:rsid w:val="56AB5944"/>
    <w:rsid w:val="56F645A2"/>
    <w:rsid w:val="57214861"/>
    <w:rsid w:val="572B4616"/>
    <w:rsid w:val="57541EAD"/>
    <w:rsid w:val="577465D8"/>
    <w:rsid w:val="57AE5029"/>
    <w:rsid w:val="57C23486"/>
    <w:rsid w:val="57D123D3"/>
    <w:rsid w:val="5807247D"/>
    <w:rsid w:val="58117CC1"/>
    <w:rsid w:val="582C3384"/>
    <w:rsid w:val="58624A55"/>
    <w:rsid w:val="58DF6722"/>
    <w:rsid w:val="59216A89"/>
    <w:rsid w:val="59561317"/>
    <w:rsid w:val="59A175DF"/>
    <w:rsid w:val="59B819C2"/>
    <w:rsid w:val="59C7668D"/>
    <w:rsid w:val="59FC4729"/>
    <w:rsid w:val="59FF697B"/>
    <w:rsid w:val="5A0B75E4"/>
    <w:rsid w:val="5A575BFF"/>
    <w:rsid w:val="5A77586F"/>
    <w:rsid w:val="5AA12CBD"/>
    <w:rsid w:val="5ACA65CD"/>
    <w:rsid w:val="5ACC7A53"/>
    <w:rsid w:val="5AE51758"/>
    <w:rsid w:val="5B555777"/>
    <w:rsid w:val="5B581F93"/>
    <w:rsid w:val="5B6B529B"/>
    <w:rsid w:val="5BB250E2"/>
    <w:rsid w:val="5BB3320D"/>
    <w:rsid w:val="5BC31A45"/>
    <w:rsid w:val="5BC772C9"/>
    <w:rsid w:val="5BF50377"/>
    <w:rsid w:val="5C465FA2"/>
    <w:rsid w:val="5C544090"/>
    <w:rsid w:val="5C726BB6"/>
    <w:rsid w:val="5C7322D1"/>
    <w:rsid w:val="5CEF4070"/>
    <w:rsid w:val="5CFC28A8"/>
    <w:rsid w:val="5D246FFC"/>
    <w:rsid w:val="5D273005"/>
    <w:rsid w:val="5D2A2722"/>
    <w:rsid w:val="5D36426B"/>
    <w:rsid w:val="5D4F4792"/>
    <w:rsid w:val="5DDA696A"/>
    <w:rsid w:val="5E122D21"/>
    <w:rsid w:val="5E410FFD"/>
    <w:rsid w:val="5E544606"/>
    <w:rsid w:val="5E8E05EA"/>
    <w:rsid w:val="5EFB61FA"/>
    <w:rsid w:val="5F2C7D02"/>
    <w:rsid w:val="5F7663E9"/>
    <w:rsid w:val="5FB656F9"/>
    <w:rsid w:val="5FBC2CFA"/>
    <w:rsid w:val="5FC218DF"/>
    <w:rsid w:val="5FC53466"/>
    <w:rsid w:val="5FD13015"/>
    <w:rsid w:val="60190EE3"/>
    <w:rsid w:val="601D48F2"/>
    <w:rsid w:val="601E31F8"/>
    <w:rsid w:val="602832C7"/>
    <w:rsid w:val="603D1F50"/>
    <w:rsid w:val="603F673E"/>
    <w:rsid w:val="605467C6"/>
    <w:rsid w:val="60D605A1"/>
    <w:rsid w:val="61464F6C"/>
    <w:rsid w:val="61515A7F"/>
    <w:rsid w:val="61633E93"/>
    <w:rsid w:val="61A4558D"/>
    <w:rsid w:val="61C32B70"/>
    <w:rsid w:val="61E045CD"/>
    <w:rsid w:val="61E23930"/>
    <w:rsid w:val="62016875"/>
    <w:rsid w:val="623D2523"/>
    <w:rsid w:val="623E052A"/>
    <w:rsid w:val="628B7263"/>
    <w:rsid w:val="62902D58"/>
    <w:rsid w:val="62AE4BDA"/>
    <w:rsid w:val="62C97640"/>
    <w:rsid w:val="62D27C48"/>
    <w:rsid w:val="6307315E"/>
    <w:rsid w:val="63184211"/>
    <w:rsid w:val="631B5AD9"/>
    <w:rsid w:val="635C575B"/>
    <w:rsid w:val="636863CF"/>
    <w:rsid w:val="63752C12"/>
    <w:rsid w:val="638C1080"/>
    <w:rsid w:val="63B413CF"/>
    <w:rsid w:val="63C20281"/>
    <w:rsid w:val="63D4721A"/>
    <w:rsid w:val="63FF6C27"/>
    <w:rsid w:val="6405263C"/>
    <w:rsid w:val="64055990"/>
    <w:rsid w:val="642454D9"/>
    <w:rsid w:val="6464336B"/>
    <w:rsid w:val="653C5193"/>
    <w:rsid w:val="655C7828"/>
    <w:rsid w:val="6592310A"/>
    <w:rsid w:val="65CB1350"/>
    <w:rsid w:val="66330E7B"/>
    <w:rsid w:val="66351622"/>
    <w:rsid w:val="665A2304"/>
    <w:rsid w:val="669C6349"/>
    <w:rsid w:val="66A80AC6"/>
    <w:rsid w:val="67036D02"/>
    <w:rsid w:val="67144976"/>
    <w:rsid w:val="67202357"/>
    <w:rsid w:val="67603F26"/>
    <w:rsid w:val="67D3264E"/>
    <w:rsid w:val="68024DD3"/>
    <w:rsid w:val="680F332B"/>
    <w:rsid w:val="6832253F"/>
    <w:rsid w:val="685C3C4D"/>
    <w:rsid w:val="687102AD"/>
    <w:rsid w:val="68724B40"/>
    <w:rsid w:val="68902798"/>
    <w:rsid w:val="689F51F7"/>
    <w:rsid w:val="690C7142"/>
    <w:rsid w:val="69412846"/>
    <w:rsid w:val="695907E9"/>
    <w:rsid w:val="6964290E"/>
    <w:rsid w:val="698304CD"/>
    <w:rsid w:val="69932BAE"/>
    <w:rsid w:val="69A16FDB"/>
    <w:rsid w:val="69BA6060"/>
    <w:rsid w:val="6A223F21"/>
    <w:rsid w:val="6A4771F0"/>
    <w:rsid w:val="6A641277"/>
    <w:rsid w:val="6A985E45"/>
    <w:rsid w:val="6AAD0001"/>
    <w:rsid w:val="6ACC3B62"/>
    <w:rsid w:val="6AE30427"/>
    <w:rsid w:val="6B004FA9"/>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D209B6"/>
    <w:rsid w:val="6CE513BE"/>
    <w:rsid w:val="6CEE595E"/>
    <w:rsid w:val="6CF82160"/>
    <w:rsid w:val="6D094BFA"/>
    <w:rsid w:val="6D1D7324"/>
    <w:rsid w:val="6D283EB3"/>
    <w:rsid w:val="6D476F5C"/>
    <w:rsid w:val="6D524D35"/>
    <w:rsid w:val="6D631E8B"/>
    <w:rsid w:val="6DA45721"/>
    <w:rsid w:val="6DEF5724"/>
    <w:rsid w:val="6E2D2916"/>
    <w:rsid w:val="6E2D7396"/>
    <w:rsid w:val="6E977E1E"/>
    <w:rsid w:val="6E9A083E"/>
    <w:rsid w:val="6F1013D6"/>
    <w:rsid w:val="6F1830F3"/>
    <w:rsid w:val="6F2C4E6B"/>
    <w:rsid w:val="6F7502BE"/>
    <w:rsid w:val="6F8166E3"/>
    <w:rsid w:val="6F8E346E"/>
    <w:rsid w:val="6F922D77"/>
    <w:rsid w:val="6FA85985"/>
    <w:rsid w:val="6FEA2DEF"/>
    <w:rsid w:val="70231C9D"/>
    <w:rsid w:val="70411BFE"/>
    <w:rsid w:val="70684EB7"/>
    <w:rsid w:val="707B5C7D"/>
    <w:rsid w:val="708C386D"/>
    <w:rsid w:val="7093353E"/>
    <w:rsid w:val="70A25D2A"/>
    <w:rsid w:val="70D46B72"/>
    <w:rsid w:val="70EC15F1"/>
    <w:rsid w:val="70F606D1"/>
    <w:rsid w:val="710C3141"/>
    <w:rsid w:val="71104E62"/>
    <w:rsid w:val="713927A1"/>
    <w:rsid w:val="71426CAF"/>
    <w:rsid w:val="719525E5"/>
    <w:rsid w:val="71C43EDF"/>
    <w:rsid w:val="71D12B7B"/>
    <w:rsid w:val="72047D57"/>
    <w:rsid w:val="72563FB1"/>
    <w:rsid w:val="726E28BC"/>
    <w:rsid w:val="729701F7"/>
    <w:rsid w:val="72C13435"/>
    <w:rsid w:val="7332304C"/>
    <w:rsid w:val="73460DCF"/>
    <w:rsid w:val="736F51CC"/>
    <w:rsid w:val="73765DF7"/>
    <w:rsid w:val="739840FD"/>
    <w:rsid w:val="739C093C"/>
    <w:rsid w:val="739D0315"/>
    <w:rsid w:val="73CE4F10"/>
    <w:rsid w:val="73DE0BF4"/>
    <w:rsid w:val="73EF72A5"/>
    <w:rsid w:val="740166CA"/>
    <w:rsid w:val="741606DE"/>
    <w:rsid w:val="746B4618"/>
    <w:rsid w:val="748E187D"/>
    <w:rsid w:val="74F727ED"/>
    <w:rsid w:val="75395A4F"/>
    <w:rsid w:val="75A62599"/>
    <w:rsid w:val="75C718AC"/>
    <w:rsid w:val="75E5168E"/>
    <w:rsid w:val="75E65018"/>
    <w:rsid w:val="75FD7923"/>
    <w:rsid w:val="764536B8"/>
    <w:rsid w:val="764C1E95"/>
    <w:rsid w:val="765340BE"/>
    <w:rsid w:val="76600B0B"/>
    <w:rsid w:val="76EC025F"/>
    <w:rsid w:val="77104195"/>
    <w:rsid w:val="77532B5B"/>
    <w:rsid w:val="77A72B49"/>
    <w:rsid w:val="77BA48A1"/>
    <w:rsid w:val="77EA45C3"/>
    <w:rsid w:val="77F3515D"/>
    <w:rsid w:val="77F537AF"/>
    <w:rsid w:val="78427D95"/>
    <w:rsid w:val="784A7B1B"/>
    <w:rsid w:val="785B5D97"/>
    <w:rsid w:val="78CE3373"/>
    <w:rsid w:val="78EA06B1"/>
    <w:rsid w:val="79303653"/>
    <w:rsid w:val="79332894"/>
    <w:rsid w:val="79432FDA"/>
    <w:rsid w:val="794E031B"/>
    <w:rsid w:val="796340FE"/>
    <w:rsid w:val="79BA2FDD"/>
    <w:rsid w:val="79F651E3"/>
    <w:rsid w:val="7A4A0DFD"/>
    <w:rsid w:val="7A552236"/>
    <w:rsid w:val="7A735659"/>
    <w:rsid w:val="7A7E0068"/>
    <w:rsid w:val="7AB60141"/>
    <w:rsid w:val="7AC17447"/>
    <w:rsid w:val="7AD70C9B"/>
    <w:rsid w:val="7ADA5B3C"/>
    <w:rsid w:val="7B4531F1"/>
    <w:rsid w:val="7B4D07FD"/>
    <w:rsid w:val="7BAB3DF5"/>
    <w:rsid w:val="7BD26364"/>
    <w:rsid w:val="7BDB29F1"/>
    <w:rsid w:val="7C257A5C"/>
    <w:rsid w:val="7C2F53CB"/>
    <w:rsid w:val="7C3A3603"/>
    <w:rsid w:val="7C461D0D"/>
    <w:rsid w:val="7C485C63"/>
    <w:rsid w:val="7CA834CE"/>
    <w:rsid w:val="7CB9036C"/>
    <w:rsid w:val="7D047631"/>
    <w:rsid w:val="7D3475DB"/>
    <w:rsid w:val="7D771F95"/>
    <w:rsid w:val="7D942460"/>
    <w:rsid w:val="7DDD5D1F"/>
    <w:rsid w:val="7E0B3754"/>
    <w:rsid w:val="7E3C4D54"/>
    <w:rsid w:val="7E563F68"/>
    <w:rsid w:val="7EC40A24"/>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8"/>
    <w:qFormat/>
    <w:uiPriority w:val="0"/>
    <w:pPr>
      <w:keepNext/>
      <w:jc w:val="center"/>
      <w:outlineLvl w:val="0"/>
    </w:pPr>
    <w:rPr>
      <w:rFonts w:eastAsia="黑体"/>
      <w:b/>
      <w:sz w:val="32"/>
      <w:szCs w:val="20"/>
    </w:rPr>
  </w:style>
  <w:style w:type="paragraph" w:styleId="4">
    <w:name w:val="heading 2"/>
    <w:basedOn w:val="1"/>
    <w:next w:val="1"/>
    <w:link w:val="66"/>
    <w:qFormat/>
    <w:uiPriority w:val="0"/>
    <w:pPr>
      <w:keepNext/>
      <w:outlineLvl w:val="1"/>
    </w:pPr>
    <w:rPr>
      <w:rFonts w:ascii="仿宋_GB2312"/>
      <w:b/>
      <w:sz w:val="28"/>
      <w:szCs w:val="32"/>
    </w:rPr>
  </w:style>
  <w:style w:type="paragraph" w:styleId="5">
    <w:name w:val="heading 3"/>
    <w:basedOn w:val="1"/>
    <w:next w:val="1"/>
    <w:link w:val="151"/>
    <w:qFormat/>
    <w:uiPriority w:val="0"/>
    <w:pPr>
      <w:keepNext/>
      <w:keepLines/>
      <w:spacing w:line="540" w:lineRule="atLeast"/>
      <w:outlineLvl w:val="2"/>
    </w:pPr>
    <w:rPr>
      <w:rFonts w:eastAsia="黑体"/>
      <w:b/>
      <w:sz w:val="28"/>
      <w:szCs w:val="20"/>
    </w:rPr>
  </w:style>
  <w:style w:type="paragraph" w:styleId="6">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1"/>
    <w:link w:val="163"/>
    <w:qFormat/>
    <w:uiPriority w:val="0"/>
    <w:pPr>
      <w:spacing w:after="120"/>
    </w:pPr>
    <w:rPr>
      <w:rFonts w:ascii="仿宋_GB2312"/>
      <w:b/>
    </w:rPr>
  </w:style>
  <w:style w:type="paragraph" w:styleId="22">
    <w:name w:val="Body Text Indent"/>
    <w:basedOn w:val="1"/>
    <w:link w:val="143"/>
    <w:qFormat/>
    <w:uiPriority w:val="0"/>
    <w:pPr>
      <w:ind w:left="480" w:hanging="480" w:hangingChars="200"/>
    </w:pPr>
    <w:rPr>
      <w:sz w:val="24"/>
    </w:rPr>
  </w:style>
  <w:style w:type="paragraph" w:styleId="23">
    <w:name w:val="List Number 3"/>
    <w:basedOn w:val="1"/>
    <w:qFormat/>
    <w:uiPriority w:val="0"/>
    <w:pPr>
      <w:tabs>
        <w:tab w:val="left" w:pos="1200"/>
      </w:tabs>
      <w:ind w:left="1200" w:leftChars="400" w:hanging="360" w:hangingChars="200"/>
    </w:pPr>
  </w:style>
  <w:style w:type="paragraph" w:styleId="24">
    <w:name w:val="Block Text"/>
    <w:basedOn w:val="1"/>
    <w:qFormat/>
    <w:uiPriority w:val="0"/>
    <w:pPr>
      <w:spacing w:line="520" w:lineRule="exact"/>
      <w:ind w:left="540" w:leftChars="257" w:right="-514"/>
    </w:pPr>
    <w:rPr>
      <w:rFonts w:ascii="宋体" w:hAnsi="宋体"/>
      <w:sz w:val="24"/>
    </w:rPr>
  </w:style>
  <w:style w:type="paragraph" w:styleId="25">
    <w:name w:val="List Bullet 2"/>
    <w:basedOn w:val="1"/>
    <w:qFormat/>
    <w:uiPriority w:val="0"/>
    <w:pPr>
      <w:tabs>
        <w:tab w:val="left" w:pos="780"/>
      </w:tabs>
      <w:spacing w:line="360" w:lineRule="auto"/>
      <w:ind w:left="780" w:leftChars="200" w:hanging="360" w:hangingChars="200"/>
    </w:pPr>
  </w:style>
  <w:style w:type="paragraph" w:styleId="26">
    <w:name w:val="toc 5"/>
    <w:basedOn w:val="1"/>
    <w:next w:val="1"/>
    <w:qFormat/>
    <w:uiPriority w:val="0"/>
    <w:pPr>
      <w:autoSpaceDE w:val="0"/>
      <w:autoSpaceDN w:val="0"/>
      <w:adjustRightInd w:val="0"/>
      <w:ind w:left="1680" w:leftChars="800"/>
      <w:jc w:val="left"/>
    </w:pPr>
    <w:rPr>
      <w:kern w:val="0"/>
      <w:sz w:val="20"/>
      <w:szCs w:val="20"/>
    </w:rPr>
  </w:style>
  <w:style w:type="paragraph" w:styleId="27">
    <w:name w:val="toc 3"/>
    <w:basedOn w:val="1"/>
    <w:next w:val="1"/>
    <w:qFormat/>
    <w:uiPriority w:val="0"/>
    <w:pPr>
      <w:ind w:left="840" w:leftChars="400"/>
    </w:pPr>
  </w:style>
  <w:style w:type="paragraph" w:styleId="28">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29">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0">
    <w:name w:val="toc 8"/>
    <w:basedOn w:val="1"/>
    <w:next w:val="1"/>
    <w:qFormat/>
    <w:uiPriority w:val="0"/>
    <w:pPr>
      <w:autoSpaceDE w:val="0"/>
      <w:autoSpaceDN w:val="0"/>
      <w:adjustRightInd w:val="0"/>
      <w:ind w:left="2940" w:leftChars="1400"/>
      <w:jc w:val="left"/>
    </w:pPr>
    <w:rPr>
      <w:kern w:val="0"/>
      <w:sz w:val="20"/>
      <w:szCs w:val="20"/>
    </w:rPr>
  </w:style>
  <w:style w:type="paragraph" w:styleId="31">
    <w:name w:val="Date"/>
    <w:basedOn w:val="1"/>
    <w:next w:val="1"/>
    <w:link w:val="132"/>
    <w:qFormat/>
    <w:uiPriority w:val="0"/>
    <w:pPr>
      <w:ind w:left="100" w:leftChars="2500"/>
    </w:pPr>
  </w:style>
  <w:style w:type="paragraph" w:styleId="32">
    <w:name w:val="Body Text Indent 2"/>
    <w:basedOn w:val="1"/>
    <w:link w:val="177"/>
    <w:qFormat/>
    <w:uiPriority w:val="0"/>
    <w:pPr>
      <w:spacing w:line="500" w:lineRule="exact"/>
      <w:ind w:firstLine="511" w:firstLineChars="213"/>
    </w:pPr>
    <w:rPr>
      <w:sz w:val="24"/>
    </w:rPr>
  </w:style>
  <w:style w:type="paragraph" w:styleId="33">
    <w:name w:val="Balloon Text"/>
    <w:basedOn w:val="1"/>
    <w:link w:val="150"/>
    <w:qFormat/>
    <w:uiPriority w:val="0"/>
    <w:rPr>
      <w:sz w:val="18"/>
      <w:szCs w:val="18"/>
    </w:rPr>
  </w:style>
  <w:style w:type="paragraph" w:styleId="34">
    <w:name w:val="footer"/>
    <w:basedOn w:val="1"/>
    <w:link w:val="119"/>
    <w:qFormat/>
    <w:uiPriority w:val="0"/>
    <w:pPr>
      <w:tabs>
        <w:tab w:val="center" w:pos="4153"/>
        <w:tab w:val="right" w:pos="8306"/>
      </w:tabs>
      <w:snapToGrid w:val="0"/>
      <w:jc w:val="left"/>
    </w:pPr>
    <w:rPr>
      <w:sz w:val="18"/>
      <w:szCs w:val="18"/>
    </w:rPr>
  </w:style>
  <w:style w:type="paragraph" w:styleId="35">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6">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7">
    <w:name w:val="toc 1"/>
    <w:basedOn w:val="1"/>
    <w:next w:val="1"/>
    <w:qFormat/>
    <w:uiPriority w:val="0"/>
  </w:style>
  <w:style w:type="paragraph" w:styleId="38">
    <w:name w:val="toc 4"/>
    <w:basedOn w:val="1"/>
    <w:next w:val="1"/>
    <w:qFormat/>
    <w:uiPriority w:val="0"/>
    <w:pPr>
      <w:autoSpaceDE w:val="0"/>
      <w:autoSpaceDN w:val="0"/>
      <w:adjustRightInd w:val="0"/>
      <w:ind w:left="1260" w:leftChars="600"/>
      <w:jc w:val="left"/>
    </w:pPr>
    <w:rPr>
      <w:kern w:val="0"/>
      <w:sz w:val="20"/>
      <w:szCs w:val="20"/>
    </w:rPr>
  </w:style>
  <w:style w:type="paragraph" w:styleId="39">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0">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1">
    <w:name w:val="List"/>
    <w:basedOn w:val="1"/>
    <w:qFormat/>
    <w:uiPriority w:val="0"/>
    <w:pPr>
      <w:ind w:left="200" w:hanging="200" w:hangingChars="200"/>
    </w:p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145"/>
    <w:qFormat/>
    <w:uiPriority w:val="0"/>
    <w:pPr>
      <w:spacing w:line="500" w:lineRule="exact"/>
      <w:ind w:left="511" w:hanging="511" w:hangingChars="213"/>
    </w:pPr>
    <w:rPr>
      <w:sz w:val="24"/>
    </w:rPr>
  </w:style>
  <w:style w:type="paragraph" w:styleId="44">
    <w:name w:val="toc 2"/>
    <w:basedOn w:val="1"/>
    <w:next w:val="1"/>
    <w:qFormat/>
    <w:uiPriority w:val="0"/>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link w:val="197"/>
    <w:qFormat/>
    <w:uiPriority w:val="0"/>
    <w:pPr>
      <w:autoSpaceDE w:val="0"/>
      <w:autoSpaceDN w:val="0"/>
      <w:adjustRightInd w:val="0"/>
      <w:spacing w:after="120" w:line="480" w:lineRule="auto"/>
      <w:jc w:val="left"/>
    </w:p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Title"/>
    <w:basedOn w:val="1"/>
    <w:next w:val="1"/>
    <w:link w:val="110"/>
    <w:qFormat/>
    <w:uiPriority w:val="0"/>
    <w:pPr>
      <w:spacing w:before="240" w:after="60"/>
      <w:jc w:val="center"/>
      <w:outlineLvl w:val="0"/>
    </w:pPr>
    <w:rPr>
      <w:rFonts w:ascii="Cambria" w:hAnsi="Cambria"/>
      <w:b/>
      <w:bCs/>
      <w:sz w:val="32"/>
      <w:szCs w:val="32"/>
    </w:rPr>
  </w:style>
  <w:style w:type="paragraph" w:styleId="49">
    <w:name w:val="annotation subject"/>
    <w:basedOn w:val="18"/>
    <w:next w:val="18"/>
    <w:link w:val="95"/>
    <w:qFormat/>
    <w:uiPriority w:val="0"/>
    <w:rPr>
      <w:b/>
      <w:bCs/>
    </w:rPr>
  </w:style>
  <w:style w:type="paragraph" w:styleId="50">
    <w:name w:val="Body Text First Indent"/>
    <w:basedOn w:val="21"/>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51">
    <w:name w:val="Body Text First Indent 2"/>
    <w:basedOn w:val="22"/>
    <w:qFormat/>
    <w:uiPriority w:val="0"/>
    <w:pPr>
      <w:spacing w:after="120"/>
      <w:ind w:left="420" w:leftChars="200" w:firstLine="420"/>
    </w:pPr>
    <w:rPr>
      <w:rFonts w:cs="宋体"/>
      <w:sz w:val="21"/>
      <w:szCs w:val="21"/>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4"/>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5"/>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qFormat/>
    <w:uiPriority w:val="0"/>
  </w:style>
  <w:style w:type="character" w:customStyle="1" w:styleId="95">
    <w:name w:val="批注主题 Char"/>
    <w:link w:val="49"/>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4"/>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48"/>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4"/>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2"/>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7"/>
    <w:qFormat/>
    <w:uiPriority w:val="0"/>
    <w:rPr>
      <w:rFonts w:eastAsia="宋体"/>
      <w:kern w:val="2"/>
      <w:sz w:val="21"/>
      <w:szCs w:val="24"/>
      <w:lang w:val="en-US" w:eastAsia="zh-CN" w:bidi="ar-SA"/>
    </w:rPr>
  </w:style>
  <w:style w:type="character" w:customStyle="1" w:styleId="131">
    <w:name w:val="标题 5 Char"/>
    <w:link w:val="7"/>
    <w:qFormat/>
    <w:uiPriority w:val="0"/>
    <w:rPr>
      <w:rFonts w:eastAsia="宋体"/>
      <w:b/>
      <w:bCs/>
      <w:sz w:val="28"/>
      <w:szCs w:val="28"/>
      <w:lang w:bidi="ar-SA"/>
    </w:rPr>
  </w:style>
  <w:style w:type="character" w:customStyle="1" w:styleId="132">
    <w:name w:val="日期 Char"/>
    <w:link w:val="31"/>
    <w:qFormat/>
    <w:uiPriority w:val="0"/>
    <w:rPr>
      <w:rFonts w:eastAsia="宋体"/>
      <w:kern w:val="2"/>
      <w:sz w:val="21"/>
      <w:szCs w:val="24"/>
      <w:lang w:val="en-US" w:eastAsia="zh-CN" w:bidi="ar-SA"/>
    </w:rPr>
  </w:style>
  <w:style w:type="character" w:customStyle="1" w:styleId="133">
    <w:name w:val="副标题 Char"/>
    <w:link w:val="39"/>
    <w:qFormat/>
    <w:uiPriority w:val="0"/>
    <w:rPr>
      <w:rFonts w:ascii="Cambria" w:hAnsi="Cambria" w:eastAsia="宋体"/>
      <w:b/>
      <w:bCs/>
      <w:kern w:val="28"/>
      <w:sz w:val="32"/>
      <w:szCs w:val="32"/>
      <w:lang w:val="en-US" w:eastAsia="zh-CN" w:bidi="ar-SA"/>
    </w:rPr>
  </w:style>
  <w:style w:type="character" w:customStyle="1" w:styleId="134">
    <w:name w:val="页眉 Char"/>
    <w:link w:val="35"/>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2"/>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Char"/>
    <w:link w:val="43"/>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6"/>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3"/>
    <w:qFormat/>
    <w:uiPriority w:val="0"/>
    <w:rPr>
      <w:rFonts w:eastAsia="宋体"/>
      <w:kern w:val="2"/>
      <w:sz w:val="18"/>
      <w:szCs w:val="18"/>
      <w:lang w:val="en-US" w:eastAsia="zh-CN" w:bidi="ar-SA"/>
    </w:rPr>
  </w:style>
  <w:style w:type="character" w:customStyle="1" w:styleId="151">
    <w:name w:val="标题 3 Char"/>
    <w:link w:val="5"/>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Char"/>
    <w:link w:val="36"/>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Char"/>
    <w:link w:val="12"/>
    <w:qFormat/>
    <w:uiPriority w:val="0"/>
    <w:rPr>
      <w:rFonts w:ascii="Arial" w:hAnsi="Arial" w:eastAsia="黑体"/>
      <w:kern w:val="2"/>
      <w:sz w:val="21"/>
      <w:lang w:val="en-US" w:eastAsia="zh-CN" w:bidi="ar-SA"/>
    </w:rPr>
  </w:style>
  <w:style w:type="character" w:customStyle="1" w:styleId="163">
    <w:name w:val="正文文本 Char"/>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2"/>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28"/>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50"/>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6"/>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2"/>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2"/>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2"/>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2"/>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2"/>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4"/>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6"/>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77</Pages>
  <Words>6790</Words>
  <Characters>38706</Characters>
  <Lines>322</Lines>
  <Paragraphs>90</Paragraphs>
  <TotalTime>15</TotalTime>
  <ScaleCrop>false</ScaleCrop>
  <LinksUpToDate>false</LinksUpToDate>
  <CharactersWithSpaces>45406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cp:lastModifiedBy>
  <cp:lastPrinted>2022-03-07T08:54:00Z</cp:lastPrinted>
  <dcterms:modified xsi:type="dcterms:W3CDTF">2022-03-08T02:38:22Z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BC1BA64C697642BF92F420CC9F67FF35</vt:lpwstr>
  </property>
</Properties>
</file>