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1050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7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WZLCZB（W）-2022-12642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血糖仪及信息化管理系统设备租赁费+血糖试纸（采血针）（重）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766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rPr>
      </w:pPr>
    </w:p>
    <w:p>
      <w:pPr>
        <w:pStyle w:val="9"/>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二</w:t>
      </w:r>
      <w:r>
        <w:rPr>
          <w:rFonts w:hint="eastAsia" w:ascii="宋体" w:hAnsi="宋体" w:eastAsia="宋体" w:cs="宋体"/>
          <w:color w:val="auto"/>
          <w:spacing w:val="30"/>
          <w:sz w:val="30"/>
          <w:highlight w:val="none"/>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38"/>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38"/>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7</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12</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16</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22</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2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38</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第四部分 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38"/>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52</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63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63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63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63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63</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65</w:t>
          </w:r>
          <w:r>
            <w:rPr>
              <w:sz w:val="22"/>
              <w:szCs w:val="28"/>
            </w:rPr>
            <w:fldChar w:fldCharType="end"/>
          </w:r>
          <w:r>
            <w:rPr>
              <w:rFonts w:hint="eastAsia" w:ascii="宋体" w:hAnsi="宋体" w:eastAsia="宋体" w:cs="宋体"/>
              <w:color w:val="auto"/>
              <w:sz w:val="22"/>
              <w:szCs w:val="40"/>
              <w:highlight w:val="none"/>
            </w:rPr>
            <w:fldChar w:fldCharType="end"/>
          </w:r>
        </w:p>
        <w:p>
          <w:pPr>
            <w:pStyle w:val="45"/>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66</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b/>
          <w:bCs/>
          <w:sz w:val="22"/>
          <w:szCs w:val="22"/>
          <w:u w:val="none"/>
        </w:rPr>
      </w:pPr>
      <w:r>
        <w:rPr>
          <w:rFonts w:hint="eastAsia" w:ascii="宋体" w:hAnsi="宋体" w:cs="宋体"/>
          <w:color w:val="auto"/>
          <w:sz w:val="22"/>
          <w:highlight w:val="none"/>
          <w:lang w:eastAsia="zh-CN"/>
        </w:rPr>
        <w:t>血糖仪及信息化管理系统设备租赁费+血糖试纸（采血针）（重）</w:t>
      </w:r>
      <w:r>
        <w:rPr>
          <w:rFonts w:hint="eastAsia" w:ascii="宋体" w:hAnsi="宋体" w:eastAsia="宋体" w:cs="宋体"/>
          <w:color w:val="auto"/>
          <w:sz w:val="22"/>
          <w:highlight w:val="none"/>
        </w:rPr>
        <w:t>招标项目的潜在投标人应在浙江政府采购网获取（下载）招标文件，</w:t>
      </w:r>
      <w:r>
        <w:rPr>
          <w:rFonts w:hint="eastAsia" w:ascii="宋体" w:hAnsi="宋体" w:eastAsia="宋体" w:cs="宋体"/>
          <w:color w:val="000000" w:themeColor="text1"/>
          <w:sz w:val="22"/>
          <w:highlight w:val="none"/>
          <w14:textFill>
            <w14:solidFill>
              <w14:schemeClr w14:val="tx1"/>
            </w14:solidFill>
          </w14:textFill>
        </w:rPr>
        <w:t>并于</w:t>
      </w:r>
      <w:r>
        <w:rPr>
          <w:rFonts w:hint="eastAsia" w:ascii="宋体" w:hAnsi="宋体" w:cs="宋体"/>
          <w:color w:val="000000" w:themeColor="text1"/>
          <w:sz w:val="22"/>
          <w:highlight w:val="none"/>
          <w:lang w:eastAsia="zh-CN"/>
          <w14:textFill>
            <w14:solidFill>
              <w14:schemeClr w14:val="tx1"/>
            </w14:solidFill>
          </w14:textFill>
        </w:rPr>
        <w:t>202</w:t>
      </w:r>
      <w:r>
        <w:rPr>
          <w:rFonts w:hint="eastAsia" w:ascii="宋体" w:hAnsi="宋体"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年</w:t>
      </w:r>
      <w:r>
        <w:rPr>
          <w:rFonts w:hint="eastAsia" w:ascii="宋体" w:hAnsi="宋体"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cs="宋体"/>
          <w:color w:val="000000" w:themeColor="text1"/>
          <w:sz w:val="22"/>
          <w:highlight w:val="none"/>
          <w:lang w:val="en-US" w:eastAsia="zh-CN"/>
          <w14:textFill>
            <w14:solidFill>
              <w14:schemeClr w14:val="tx1"/>
            </w14:solidFill>
          </w14:textFill>
        </w:rPr>
        <w:t>05</w:t>
      </w:r>
      <w:r>
        <w:rPr>
          <w:rFonts w:hint="eastAsia" w:ascii="宋体" w:hAnsi="宋体" w:eastAsia="宋体" w:cs="宋体"/>
          <w:color w:val="000000" w:themeColor="text1"/>
          <w:sz w:val="22"/>
          <w:highlight w:val="none"/>
          <w14:textFill>
            <w14:solidFill>
              <w14:schemeClr w14:val="tx1"/>
            </w14:solidFill>
          </w14:textFill>
        </w:rPr>
        <w:t>日</w:t>
      </w:r>
      <w:r>
        <w:rPr>
          <w:rFonts w:hint="eastAsia" w:ascii="宋体" w:hAnsi="宋体"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:30（北京时间）前递交（上传）投标文件。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WZLCZB（W）-2022-12642</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血糖仪及信息化管理系统设备租赁费+血糖试纸（采血针）（重）</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ascii="新宋体" w:hAnsi="新宋体" w:eastAsia="新宋体" w:cs="新宋体"/>
          <w:color w:val="000000"/>
          <w:sz w:val="22"/>
          <w:highlight w:val="none"/>
        </w:rPr>
        <w:t>采购需求：</w:t>
      </w:r>
    </w:p>
    <w:tbl>
      <w:tblPr>
        <w:tblStyle w:val="53"/>
        <w:tblW w:w="9500"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971"/>
        <w:gridCol w:w="1162"/>
        <w:gridCol w:w="1825"/>
        <w:gridCol w:w="15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2"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2971"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162" w:type="dxa"/>
            <w:noWrap w:val="0"/>
            <w:vAlign w:val="top"/>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1825"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525"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c>
          <w:tcPr>
            <w:tcW w:w="1225" w:type="dxa"/>
            <w:noWrap w:val="0"/>
            <w:vAlign w:val="top"/>
          </w:tcPr>
          <w:p>
            <w:pPr>
              <w:tabs>
                <w:tab w:val="left" w:pos="360"/>
              </w:tabs>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2"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2971"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highlight w:val="none"/>
                <w14:textFill>
                  <w14:solidFill>
                    <w14:schemeClr w14:val="tx1"/>
                  </w14:solidFill>
                </w14:textFill>
              </w:rPr>
              <w:t>信息化管理系统设备租赁费</w:t>
            </w:r>
          </w:p>
        </w:tc>
        <w:tc>
          <w:tcPr>
            <w:tcW w:w="1162"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825"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5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25" w:type="dxa"/>
            <w:vMerge w:val="restart"/>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92"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2971"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162"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none"/>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1825"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5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25" w:type="dxa"/>
            <w:vMerge w:val="continue"/>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00" w:type="dxa"/>
            <w:gridSpan w:val="6"/>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kern w:val="0"/>
          <w:sz w:val="22"/>
          <w:szCs w:val="22"/>
          <w:highlight w:val="none"/>
        </w:rPr>
        <w:t>简要技术要求、用途</w:t>
      </w:r>
      <w:r>
        <w:rPr>
          <w:rFonts w:hint="eastAsia" w:cs="宋体"/>
          <w:color w:val="auto"/>
          <w:kern w:val="0"/>
          <w:sz w:val="22"/>
          <w:szCs w:val="22"/>
          <w:highlight w:val="none"/>
          <w:lang w:eastAsia="zh-CN"/>
        </w:rPr>
        <w:t>：</w:t>
      </w: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tabs>
          <w:tab w:val="left" w:pos="360"/>
        </w:tabs>
        <w:spacing w:line="460" w:lineRule="exact"/>
        <w:ind w:firstLine="440" w:firstLineChars="200"/>
        <w:rPr>
          <w:rFonts w:hint="eastAsia"/>
          <w:sz w:val="22"/>
          <w:szCs w:val="22"/>
          <w:u w:val="none"/>
          <w:lang w:val="en-US" w:eastAsia="zh-CN"/>
        </w:rPr>
      </w:pPr>
      <w:r>
        <w:rPr>
          <w:rFonts w:hint="eastAsia"/>
          <w:sz w:val="22"/>
          <w:szCs w:val="22"/>
          <w:u w:val="none"/>
          <w:lang w:val="en-US" w:eastAsia="zh-CN"/>
        </w:rPr>
        <w:t>3.本项目的特定资格要求：</w:t>
      </w:r>
      <w:r>
        <w:rPr>
          <w:rFonts w:hint="eastAsia" w:ascii="Times New Roman" w:hAnsi="Times New Roman" w:eastAsia="新宋体"/>
          <w:sz w:val="22"/>
          <w:szCs w:val="22"/>
          <w:lang w:val="en-US" w:eastAsia="zh-CN"/>
        </w:rPr>
        <w:t>①</w:t>
      </w:r>
      <w:r>
        <w:rPr>
          <w:rFonts w:ascii="Times New Roman" w:hAnsi="Times New Roman" w:eastAsia="新宋体"/>
          <w:sz w:val="22"/>
          <w:szCs w:val="22"/>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r>
        <w:rPr>
          <w:rFonts w:hint="eastAsia" w:ascii="Times New Roman" w:hAnsi="Times New Roman" w:eastAsia="新宋体"/>
          <w:sz w:val="22"/>
          <w:szCs w:val="22"/>
          <w:lang w:val="en-US" w:eastAsia="zh-CN"/>
        </w:rPr>
        <w:t>②</w:t>
      </w:r>
      <w:r>
        <w:rPr>
          <w:rFonts w:ascii="Times New Roman" w:hAnsi="Times New Roman" w:eastAsia="新宋体"/>
          <w:sz w:val="22"/>
          <w:szCs w:val="22"/>
        </w:rPr>
        <w:t>提供食品药品监督管理部门核发的完整有效的医疗器械注册或备案证明；（适用于按医疗器械管理的设备）</w:t>
      </w:r>
      <w:r>
        <w:rPr>
          <w:rFonts w:hint="eastAsia" w:eastAsia="新宋体"/>
          <w:sz w:val="22"/>
          <w:szCs w:val="22"/>
          <w:lang w:eastAsia="zh-CN"/>
        </w:rPr>
        <w:t>（</w:t>
      </w:r>
      <w:r>
        <w:rPr>
          <w:rFonts w:hint="eastAsia" w:eastAsia="新宋体"/>
          <w:sz w:val="22"/>
          <w:szCs w:val="22"/>
          <w:lang w:val="en-US" w:eastAsia="zh-CN"/>
        </w:rPr>
        <w:t>须提供血糖仪、血糖试纸、采血针、质控液</w:t>
      </w:r>
      <w:r>
        <w:rPr>
          <w:rFonts w:hint="eastAsia" w:eastAsia="新宋体"/>
          <w:sz w:val="22"/>
          <w:szCs w:val="22"/>
          <w:lang w:eastAsia="zh-CN"/>
        </w:rPr>
        <w:t>）</w:t>
      </w:r>
      <w:r>
        <w:rPr>
          <w:rFonts w:hint="eastAsia" w:ascii="Times New Roman" w:hAnsi="Times New Roman" w:eastAsia="新宋体"/>
          <w:sz w:val="22"/>
          <w:szCs w:val="22"/>
          <w:lang w:val="en-US" w:eastAsia="zh-CN"/>
        </w:rPr>
        <w:t>③</w:t>
      </w:r>
      <w:r>
        <w:rPr>
          <w:rFonts w:ascii="Times New Roman" w:hAnsi="Times New Roman" w:eastAsia="新宋体"/>
          <w:sz w:val="22"/>
          <w:szCs w:val="22"/>
        </w:rPr>
        <w:t>货物制造商或其它有销售资格（提供证明材料）的供应商出具的授权书（适用于投标人是进口货物代理商的情形）；</w:t>
      </w:r>
      <w:r>
        <w:rPr>
          <w:rFonts w:hint="eastAsia"/>
          <w:sz w:val="22"/>
          <w:szCs w:val="22"/>
          <w:u w:val="none"/>
          <w:lang w:val="en-US" w:eastAsia="zh-CN"/>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cs="宋体"/>
          <w:color w:val="000000" w:themeColor="text1"/>
          <w:sz w:val="22"/>
          <w:highlight w:val="none"/>
          <w:lang w:val="en-US" w:eastAsia="zh-CN"/>
          <w14:textFill>
            <w14:solidFill>
              <w14:schemeClr w14:val="tx1"/>
            </w14:solidFill>
          </w14:textFill>
        </w:rPr>
        <w:t>2022年12月14日</w:t>
      </w:r>
      <w:r>
        <w:rPr>
          <w:rFonts w:hint="eastAsia"/>
          <w:sz w:val="22"/>
          <w:szCs w:val="22"/>
          <w:u w:val="none"/>
        </w:rPr>
        <w:t>至</w:t>
      </w:r>
      <w:r>
        <w:rPr>
          <w:rFonts w:hint="eastAsia" w:ascii="宋体" w:hAnsi="宋体" w:cs="宋体"/>
          <w:color w:val="000000" w:themeColor="text1"/>
          <w:sz w:val="22"/>
          <w:highlight w:val="none"/>
          <w:lang w:eastAsia="zh-CN"/>
          <w14:textFill>
            <w14:solidFill>
              <w14:schemeClr w14:val="tx1"/>
            </w14:solidFill>
          </w14:textFill>
        </w:rPr>
        <w:t>202</w:t>
      </w:r>
      <w:r>
        <w:rPr>
          <w:rFonts w:hint="eastAsia" w:cs="宋体"/>
          <w:color w:val="000000" w:themeColor="text1"/>
          <w:sz w:val="22"/>
          <w:highlight w:val="none"/>
          <w:lang w:val="en-US" w:eastAsia="zh-CN"/>
          <w14:textFill>
            <w14:solidFill>
              <w14:schemeClr w14:val="tx1"/>
            </w14:solidFill>
          </w14:textFill>
        </w:rPr>
        <w:t>3</w:t>
      </w:r>
      <w:bookmarkStart w:id="62" w:name="_GoBack"/>
      <w:bookmarkEnd w:id="62"/>
      <w:r>
        <w:rPr>
          <w:rFonts w:hint="eastAsia" w:ascii="宋体" w:hAnsi="宋体" w:cs="宋体"/>
          <w:color w:val="000000" w:themeColor="text1"/>
          <w:sz w:val="22"/>
          <w:highlight w:val="none"/>
          <w:lang w:eastAsia="zh-CN"/>
          <w14:textFill>
            <w14:solidFill>
              <w14:schemeClr w14:val="tx1"/>
            </w14:solidFill>
          </w14:textFill>
        </w:rPr>
        <w:t>年</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05</w:t>
      </w:r>
      <w:r>
        <w:rPr>
          <w:rFonts w:hint="eastAsia" w:ascii="宋体" w:hAnsi="宋体" w:eastAsia="宋体" w:cs="宋体"/>
          <w:color w:val="000000" w:themeColor="text1"/>
          <w:sz w:val="22"/>
          <w:highlight w:val="none"/>
          <w14:textFill>
            <w14:solidFill>
              <w14:schemeClr w14:val="tx1"/>
            </w14:solidFill>
          </w14:textFill>
        </w:rPr>
        <w:t>日</w:t>
      </w:r>
      <w:r>
        <w:rPr>
          <w:rFonts w:hint="eastAsia"/>
          <w:sz w:val="22"/>
          <w:szCs w:val="22"/>
          <w:u w:val="none"/>
        </w:rPr>
        <w:t>，每天上午00:00至12:00，下午12:00至23:59（北京时间，线上获取法定节假日均可，线下获取文件法定节假日除外）</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000000" w:themeColor="text1"/>
          <w:sz w:val="22"/>
          <w:highlight w:val="none"/>
          <w:lang w:eastAsia="zh-CN"/>
          <w14:textFill>
            <w14:solidFill>
              <w14:schemeClr w14:val="tx1"/>
            </w14:solidFill>
          </w14:textFill>
        </w:rPr>
        <w:t>202</w:t>
      </w:r>
      <w:r>
        <w:rPr>
          <w:rFonts w:hint="eastAsia"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年</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05</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r>
        <w:rPr>
          <w:rFonts w:hint="eastAsia"/>
          <w:sz w:val="22"/>
          <w:szCs w:val="22"/>
          <w:u w:val="none"/>
        </w:rPr>
        <w:t>（北京时间）</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000000" w:themeColor="text1"/>
          <w:sz w:val="22"/>
          <w:highlight w:val="none"/>
          <w:lang w:eastAsia="zh-CN"/>
          <w14:textFill>
            <w14:solidFill>
              <w14:schemeClr w14:val="tx1"/>
            </w14:solidFill>
          </w14:textFill>
        </w:rPr>
        <w:t>202</w:t>
      </w:r>
      <w:r>
        <w:rPr>
          <w:rFonts w:hint="eastAsia" w:cs="宋体"/>
          <w:color w:val="000000" w:themeColor="text1"/>
          <w:sz w:val="22"/>
          <w:highlight w:val="none"/>
          <w:lang w:val="en-US" w:eastAsia="zh-CN"/>
          <w14:textFill>
            <w14:solidFill>
              <w14:schemeClr w14:val="tx1"/>
            </w14:solidFill>
          </w14:textFill>
        </w:rPr>
        <w:t>3</w:t>
      </w:r>
      <w:r>
        <w:rPr>
          <w:rFonts w:hint="eastAsia" w:ascii="宋体" w:hAnsi="宋体" w:cs="宋体"/>
          <w:color w:val="000000" w:themeColor="text1"/>
          <w:sz w:val="22"/>
          <w:highlight w:val="none"/>
          <w:lang w:eastAsia="zh-CN"/>
          <w14:textFill>
            <w14:solidFill>
              <w14:schemeClr w14:val="tx1"/>
            </w14:solidFill>
          </w14:textFill>
        </w:rPr>
        <w:t>年</w:t>
      </w:r>
      <w:r>
        <w:rPr>
          <w:rFonts w:hint="eastAsia" w:cs="宋体"/>
          <w:color w:val="000000" w:themeColor="text1"/>
          <w:sz w:val="22"/>
          <w:highlight w:val="none"/>
          <w:lang w:val="en-US" w:eastAsia="zh-CN"/>
          <w14:textFill>
            <w14:solidFill>
              <w14:schemeClr w14:val="tx1"/>
            </w14:solidFill>
          </w14:textFill>
        </w:rPr>
        <w:t>01</w:t>
      </w:r>
      <w:r>
        <w:rPr>
          <w:rFonts w:hint="eastAsia" w:ascii="宋体" w:hAnsi="宋体" w:eastAsia="宋体" w:cs="宋体"/>
          <w:color w:val="000000" w:themeColor="text1"/>
          <w:sz w:val="22"/>
          <w:highlight w:val="none"/>
          <w14:textFill>
            <w14:solidFill>
              <w14:schemeClr w14:val="tx1"/>
            </w14:solidFill>
          </w14:textFill>
        </w:rPr>
        <w:t>月</w:t>
      </w:r>
      <w:r>
        <w:rPr>
          <w:rFonts w:hint="eastAsia" w:cs="宋体"/>
          <w:color w:val="000000" w:themeColor="text1"/>
          <w:sz w:val="22"/>
          <w:highlight w:val="none"/>
          <w:lang w:val="en-US" w:eastAsia="zh-CN"/>
          <w14:textFill>
            <w14:solidFill>
              <w14:schemeClr w14:val="tx1"/>
            </w14:solidFill>
          </w14:textFill>
        </w:rPr>
        <w:t>05</w:t>
      </w:r>
      <w:r>
        <w:rPr>
          <w:rFonts w:hint="eastAsia" w:ascii="宋体" w:hAnsi="宋体" w:eastAsia="宋体" w:cs="宋体"/>
          <w:color w:val="000000" w:themeColor="text1"/>
          <w:sz w:val="22"/>
          <w:highlight w:val="none"/>
          <w14:textFill>
            <w14:solidFill>
              <w14:schemeClr w14:val="tx1"/>
            </w14:solidFill>
          </w14:textFill>
        </w:rPr>
        <w:t>日</w:t>
      </w:r>
      <w:r>
        <w:rPr>
          <w:rFonts w:hint="eastAsia" w:cs="宋体"/>
          <w:color w:val="000000" w:themeColor="text1"/>
          <w:sz w:val="22"/>
          <w:highlight w:val="none"/>
          <w:lang w:val="en-US" w:eastAsia="zh-CN"/>
          <w14:textFill>
            <w14:solidFill>
              <w14:schemeClr w14:val="tx1"/>
            </w14:solidFill>
          </w14:textFill>
        </w:rPr>
        <w:t>09</w:t>
      </w:r>
      <w:r>
        <w:rPr>
          <w:rFonts w:hint="eastAsia" w:ascii="宋体" w:hAnsi="宋体" w:eastAsia="宋体" w:cs="宋体"/>
          <w:color w:val="000000" w:themeColor="text1"/>
          <w:sz w:val="22"/>
          <w:highlight w:val="none"/>
          <w14:textFill>
            <w14:solidFill>
              <w14:schemeClr w14:val="tx1"/>
            </w14:solidFill>
          </w14:textFill>
        </w:rPr>
        <w:t>:30</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1.采购人信息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eastAsia="zh-CN"/>
        </w:rPr>
      </w:pPr>
      <w:r>
        <w:rPr>
          <w:rFonts w:hint="eastAsia"/>
          <w:sz w:val="22"/>
          <w:szCs w:val="22"/>
          <w:u w:val="none"/>
        </w:rPr>
        <w:t>名  称：</w:t>
      </w:r>
      <w:r>
        <w:rPr>
          <w:rFonts w:hint="eastAsia"/>
          <w:sz w:val="22"/>
          <w:szCs w:val="22"/>
          <w:u w:val="none"/>
          <w:lang w:eastAsia="zh-CN"/>
        </w:rPr>
        <w:t>温州市中医院</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ascii="宋体" w:hAnsi="宋体" w:eastAsia="宋体" w:cs="宋体"/>
          <w:i w:val="0"/>
          <w:iCs w:val="0"/>
          <w:caps w:val="0"/>
          <w:spacing w:val="0"/>
          <w:sz w:val="22"/>
          <w:szCs w:val="22"/>
          <w:shd w:val="clear" w:fill="FFFFFF"/>
        </w:rPr>
        <w:t>温州市六虹桥蛟尾路9号</w:t>
      </w:r>
      <w:r>
        <w:rPr>
          <w:rFonts w:hint="eastAsia"/>
          <w:sz w:val="22"/>
          <w:szCs w:val="22"/>
          <w:u w:val="none"/>
        </w:rPr>
        <w:t xml:space="preserve">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传  真：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w:t>
      </w:r>
      <w:r>
        <w:rPr>
          <w:rFonts w:hint="eastAsia" w:cs="宋体"/>
          <w:i w:val="0"/>
          <w:iCs w:val="0"/>
          <w:caps w:val="0"/>
          <w:spacing w:val="0"/>
          <w:sz w:val="22"/>
          <w:szCs w:val="22"/>
          <w:shd w:val="clear" w:fill="FFFFFF"/>
          <w:lang w:val="en-US" w:eastAsia="zh-CN"/>
        </w:rPr>
        <w:t>徐</w:t>
      </w:r>
      <w:r>
        <w:rPr>
          <w:rFonts w:hint="eastAsia" w:ascii="宋体" w:hAnsi="宋体" w:eastAsia="宋体" w:cs="宋体"/>
          <w:i w:val="0"/>
          <w:iCs w:val="0"/>
          <w:caps w:val="0"/>
          <w:spacing w:val="0"/>
          <w:sz w:val="22"/>
          <w:szCs w:val="22"/>
          <w:shd w:val="clear" w:fill="FFFFFF"/>
        </w:rPr>
        <w:t>先生</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项目联系方式（询问）：0577-56671591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2.采购代理机构信息</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名  称：</w:t>
      </w:r>
      <w:r>
        <w:rPr>
          <w:rFonts w:hint="eastAsia"/>
          <w:sz w:val="22"/>
          <w:szCs w:val="22"/>
          <w:u w:val="none"/>
          <w:lang w:val="en-US" w:eastAsia="zh-CN"/>
        </w:rPr>
        <w:t>温州历程招标有限公司</w:t>
      </w:r>
      <w:r>
        <w:rPr>
          <w:rFonts w:hint="eastAsia"/>
          <w:sz w:val="22"/>
          <w:szCs w:val="22"/>
          <w:u w:val="none"/>
        </w:rPr>
        <w:t>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  址：</w:t>
      </w:r>
      <w:r>
        <w:rPr>
          <w:rFonts w:hint="eastAsia"/>
          <w:sz w:val="22"/>
          <w:szCs w:val="22"/>
          <w:lang w:eastAsia="zh-CN"/>
        </w:rPr>
        <w:t>温州市鹿城区学院中路229号三想集团5楼</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 xml:space="preserve">传  真：0577-89887255   </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项目联系人（询问）： 郑永强、温碧霞</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项目联系方式（询问）：0577-89887322、13757727199</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sz w:val="22"/>
          <w:szCs w:val="22"/>
          <w:u w:val="none"/>
          <w:lang w:val="en-US" w:eastAsia="zh-CN"/>
        </w:rPr>
      </w:pPr>
      <w:r>
        <w:rPr>
          <w:rFonts w:hint="eastAsia"/>
          <w:sz w:val="22"/>
          <w:szCs w:val="22"/>
          <w:u w:val="none"/>
        </w:rPr>
        <w:t>质疑联系人：</w:t>
      </w:r>
      <w:r>
        <w:rPr>
          <w:rFonts w:hint="eastAsia"/>
          <w:sz w:val="22"/>
          <w:szCs w:val="22"/>
          <w:u w:val="none"/>
          <w:lang w:val="en-US" w:eastAsia="zh-CN"/>
        </w:rPr>
        <w:t>肖忠文</w:t>
      </w:r>
    </w:p>
    <w:p>
      <w:pPr>
        <w:pStyle w:val="48"/>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质疑联系方式：13757727199 </w:t>
      </w:r>
    </w:p>
    <w:p>
      <w:pPr>
        <w:numPr>
          <w:ilvl w:val="0"/>
          <w:numId w:val="4"/>
        </w:numPr>
        <w:tabs>
          <w:tab w:val="left" w:pos="360"/>
          <w:tab w:val="clear" w:pos="312"/>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同级采购监督管理部门</w:t>
      </w:r>
    </w:p>
    <w:p>
      <w:pPr>
        <w:numPr>
          <w:ilvl w:val="0"/>
          <w:numId w:val="0"/>
        </w:numPr>
        <w:tabs>
          <w:tab w:val="left" w:pos="360"/>
        </w:tabs>
        <w:spacing w:line="460" w:lineRule="exact"/>
        <w:ind w:firstLine="440" w:firstLineChars="200"/>
        <w:rPr>
          <w:rFonts w:hint="eastAsia"/>
          <w:color w:val="auto"/>
          <w:sz w:val="22"/>
          <w:szCs w:val="22"/>
          <w:highlight w:val="none"/>
        </w:rPr>
      </w:pPr>
      <w:r>
        <w:rPr>
          <w:rFonts w:hint="eastAsia"/>
          <w:color w:val="auto"/>
          <w:sz w:val="22"/>
          <w:szCs w:val="22"/>
          <w:highlight w:val="none"/>
        </w:rPr>
        <w:t>名   称：温州市卫生健康委员会</w:t>
      </w:r>
    </w:p>
    <w:p>
      <w:pPr>
        <w:pStyle w:val="48"/>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lang w:val="en-US" w:eastAsia="zh-CN"/>
        </w:rPr>
        <w:t>地   址：</w:t>
      </w:r>
      <w:r>
        <w:rPr>
          <w:rFonts w:hint="eastAsia"/>
          <w:color w:val="auto"/>
          <w:sz w:val="22"/>
          <w:highlight w:val="none"/>
          <w:lang w:val="en-US" w:eastAsia="zh-CN"/>
        </w:rPr>
        <w:t>温州市市府路490号市行政中心18号楼7楼717室</w:t>
      </w:r>
      <w:r>
        <w:rPr>
          <w:rFonts w:hint="eastAsia"/>
          <w:color w:val="auto"/>
          <w:sz w:val="22"/>
          <w:szCs w:val="22"/>
          <w:highlight w:val="none"/>
        </w:rPr>
        <w:t xml:space="preserve">       </w:t>
      </w:r>
    </w:p>
    <w:p>
      <w:pPr>
        <w:pStyle w:val="48"/>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联系人 ：王先生</w:t>
      </w:r>
    </w:p>
    <w:p>
      <w:pPr>
        <w:shd w:val="clear" w:color="auto" w:fill="auto"/>
        <w:spacing w:line="420" w:lineRule="exact"/>
        <w:ind w:firstLine="440" w:firstLineChars="200"/>
        <w:rPr>
          <w:rFonts w:ascii="新宋体" w:hAnsi="新宋体" w:eastAsia="新宋体" w:cs="新宋体"/>
          <w:color w:val="auto"/>
          <w:sz w:val="22"/>
          <w:highlight w:val="none"/>
        </w:rPr>
      </w:pPr>
      <w:r>
        <w:rPr>
          <w:rFonts w:hint="eastAsia"/>
          <w:color w:val="auto"/>
          <w:sz w:val="22"/>
          <w:szCs w:val="22"/>
          <w:highlight w:val="none"/>
        </w:rPr>
        <w:t>监督投诉电话：</w:t>
      </w:r>
      <w:r>
        <w:rPr>
          <w:rFonts w:ascii="新宋体" w:hAnsi="新宋体" w:eastAsia="新宋体"/>
          <w:color w:val="auto"/>
          <w:sz w:val="22"/>
          <w:highlight w:val="none"/>
        </w:rPr>
        <w:t>0577-</w:t>
      </w:r>
      <w:r>
        <w:rPr>
          <w:rFonts w:hint="eastAsia" w:ascii="新宋体" w:hAnsi="新宋体" w:eastAsia="新宋体"/>
          <w:color w:val="auto"/>
          <w:sz w:val="22"/>
          <w:highlight w:val="none"/>
        </w:rPr>
        <w:t>88580125</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rPr>
      </w:pPr>
      <w:bookmarkStart w:id="2" w:name="_Toc10401"/>
      <w:bookmarkStart w:id="3" w:name="_Toc5772"/>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233618971"/>
      <w:bookmarkStart w:id="5" w:name="_Toc33194387"/>
      <w:bookmarkStart w:id="6" w:name="_Toc6224"/>
      <w:bookmarkStart w:id="7" w:name="_Toc1839"/>
      <w:bookmarkStart w:id="8" w:name="_Toc354996695"/>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9"/>
        <w:gridCol w:w="9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w:t>
            </w:r>
          </w:p>
        </w:tc>
        <w:tc>
          <w:tcPr>
            <w:tcW w:w="9676"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676"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血糖仪及信息化管理系统设备租赁费+血糖试纸（采血针）（重）</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47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87"/>
              <w:gridCol w:w="1200"/>
              <w:gridCol w:w="1600"/>
              <w:gridCol w:w="148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3187"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200" w:type="dxa"/>
                  <w:noWrap w:val="0"/>
                  <w:vAlign w:val="top"/>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1600"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488" w:type="dxa"/>
                  <w:noWrap w:val="0"/>
                  <w:vAlign w:val="top"/>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c>
                <w:tcPr>
                  <w:tcW w:w="1200" w:type="dxa"/>
                  <w:noWrap w:val="0"/>
                  <w:vAlign w:val="top"/>
                </w:tcPr>
                <w:p>
                  <w:pPr>
                    <w:tabs>
                      <w:tab w:val="left" w:pos="360"/>
                    </w:tabs>
                    <w:spacing w:line="460" w:lineRule="exact"/>
                    <w:jc w:val="center"/>
                    <w:rPr>
                      <w:rFonts w:hint="eastAsia" w:ascii="新宋体" w:hAnsi="新宋体" w:eastAsia="新宋体" w:cs="新宋体"/>
                      <w:b/>
                      <w:color w:val="000000" w:themeColor="text1"/>
                      <w:sz w:val="22"/>
                      <w:szCs w:val="22"/>
                      <w:lang w:val="en-US" w:eastAsia="zh-CN"/>
                      <w14:textFill>
                        <w14:solidFill>
                          <w14:schemeClr w14:val="tx1"/>
                        </w14:solidFill>
                      </w14:textFill>
                    </w:rPr>
                  </w:pPr>
                  <w:r>
                    <w:rPr>
                      <w:rFonts w:hint="eastAsia" w:ascii="新宋体" w:hAnsi="新宋体" w:eastAsia="新宋体" w:cs="新宋体"/>
                      <w:b/>
                      <w:color w:val="000000" w:themeColor="text1"/>
                      <w:sz w:val="22"/>
                      <w:szCs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318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2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6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488"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00" w:type="dxa"/>
                  <w:vMerge w:val="restart"/>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318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200"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yellow"/>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16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488"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200" w:type="dxa"/>
                  <w:vMerge w:val="continue"/>
                  <w:noWrap w:val="0"/>
                  <w:vAlign w:val="top"/>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475" w:type="dxa"/>
                  <w:gridSpan w:val="6"/>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w:t>
            </w:r>
            <w:r>
              <w:rPr>
                <w:rFonts w:hint="eastAsia" w:ascii="宋体" w:hAnsi="宋体" w:cs="宋体"/>
                <w:b/>
                <w:color w:val="auto"/>
                <w:sz w:val="22"/>
                <w:szCs w:val="22"/>
                <w:highlight w:val="none"/>
                <w:lang w:val="en-US" w:eastAsia="zh-CN"/>
              </w:rPr>
              <w:t>或单价限价</w:t>
            </w:r>
            <w:r>
              <w:rPr>
                <w:rFonts w:hint="eastAsia" w:ascii="宋体" w:hAnsi="宋体" w:eastAsia="宋体" w:cs="宋体"/>
                <w:b/>
                <w:color w:val="auto"/>
                <w:sz w:val="22"/>
                <w:szCs w:val="22"/>
                <w:highlight w:val="none"/>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招标服务费：根据国家计委计价格【2002】1980号《招标代理服务收费管理暂行办法》规定</w:t>
            </w:r>
            <w:r>
              <w:rPr>
                <w:rFonts w:hint="eastAsia" w:ascii="宋体" w:hAnsi="宋体" w:eastAsia="宋体" w:cs="宋体"/>
                <w:b/>
                <w:bCs/>
                <w:color w:val="auto"/>
                <w:sz w:val="22"/>
                <w:szCs w:val="22"/>
                <w:highlight w:val="none"/>
                <w:lang w:val="en-US" w:eastAsia="zh-CN"/>
              </w:rPr>
              <w:t>标准</w:t>
            </w:r>
            <w:r>
              <w:rPr>
                <w:rFonts w:hint="eastAsia" w:ascii="宋体" w:hAnsi="宋体" w:cs="宋体"/>
                <w:b/>
                <w:bCs/>
                <w:color w:val="auto"/>
                <w:sz w:val="22"/>
                <w:szCs w:val="22"/>
                <w:highlight w:val="none"/>
                <w:lang w:val="en-US" w:eastAsia="zh-CN"/>
              </w:rPr>
              <w:t>的75%</w:t>
            </w:r>
            <w:r>
              <w:rPr>
                <w:rFonts w:hint="eastAsia" w:ascii="宋体" w:hAnsi="宋体" w:eastAsia="宋体" w:cs="宋体"/>
                <w:b/>
                <w:bCs/>
                <w:color w:val="auto"/>
                <w:sz w:val="22"/>
                <w:szCs w:val="22"/>
                <w:highlight w:val="none"/>
              </w:rPr>
              <w:t>收取,由中标人在领取中标通知书时支付。</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开户行：中国建设银行温州黎明支行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5"/>
              </w:numPr>
              <w:spacing w:line="460" w:lineRule="exact"/>
              <w:rPr>
                <w:rFonts w:hint="eastAsia"/>
                <w:sz w:val="22"/>
                <w:szCs w:val="28"/>
              </w:rPr>
            </w:pPr>
            <w:r>
              <w:rPr>
                <w:rFonts w:hint="eastAsia"/>
                <w:sz w:val="22"/>
                <w:szCs w:val="28"/>
              </w:rPr>
              <w:t>“电子加密投标文件”：在线上传递交、一份。</w:t>
            </w:r>
          </w:p>
          <w:p>
            <w:pPr>
              <w:numPr>
                <w:ilvl w:val="0"/>
                <w:numId w:val="5"/>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联系人：温先生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676"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年</w:t>
            </w:r>
            <w:r>
              <w:rPr>
                <w:rFonts w:hint="eastAsia" w:ascii="宋体" w:hAnsi="宋体" w:cs="宋体"/>
                <w:color w:val="auto"/>
                <w:sz w:val="22"/>
                <w:szCs w:val="22"/>
                <w:highlight w:val="none"/>
                <w:lang w:val="en-US" w:eastAsia="zh-CN"/>
              </w:rPr>
              <w:t>01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:30</w:t>
            </w:r>
            <w:r>
              <w:rPr>
                <w:rFonts w:hint="eastAsia"/>
                <w:sz w:val="22"/>
                <w:szCs w:val="22"/>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676"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年</w:t>
            </w:r>
            <w:r>
              <w:rPr>
                <w:rFonts w:hint="eastAsia" w:ascii="宋体" w:hAnsi="宋体" w:cs="宋体"/>
                <w:b w:val="0"/>
                <w:bCs w:val="0"/>
                <w:color w:val="auto"/>
                <w:sz w:val="22"/>
                <w:szCs w:val="22"/>
                <w:highlight w:val="none"/>
                <w:lang w:val="en-US" w:eastAsia="zh-CN"/>
              </w:rPr>
              <w:t>01</w:t>
            </w:r>
            <w:r>
              <w:rPr>
                <w:rFonts w:hint="eastAsia" w:ascii="宋体" w:hAnsi="宋体" w:eastAsia="宋体" w:cs="宋体"/>
                <w:b w:val="0"/>
                <w:bCs w:val="0"/>
                <w:color w:val="auto"/>
                <w:sz w:val="22"/>
                <w:szCs w:val="22"/>
                <w:highlight w:val="none"/>
                <w:lang w:eastAsia="zh-CN"/>
              </w:rPr>
              <w:t>月</w:t>
            </w:r>
            <w:r>
              <w:rPr>
                <w:rFonts w:hint="eastAsia" w:ascii="宋体" w:hAnsi="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lang w:eastAsia="zh-CN"/>
              </w:rPr>
              <w:t>日</w:t>
            </w:r>
            <w:r>
              <w:rPr>
                <w:rFonts w:hint="eastAsia" w:ascii="宋体" w:hAnsi="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lang w:eastAsia="zh-CN"/>
              </w:rPr>
              <w:t>:30</w:t>
            </w:r>
            <w:r>
              <w:rPr>
                <w:rFonts w:hint="eastAsia"/>
                <w:sz w:val="22"/>
                <w:szCs w:val="22"/>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676"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676"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99"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676"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1）招标人或采购代理机构将对本项目供应商的信用记录进行查询。查询渠道为信用中国网站（www.creditchina.gov.cn）、中国政府采购网（www.ccgp.gov.cn）等有关政府曝光台；</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）提供食品药品监督管理部门核发的完整有效的医疗器械注册或备案证明；（适用于按医疗器械管理的设备）</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6</w:t>
      </w:r>
      <w:r>
        <w:rPr>
          <w:rFonts w:hint="eastAsia" w:ascii="宋体" w:hAnsi="宋体" w:eastAsia="宋体" w:cs="宋体"/>
          <w:color w:val="auto"/>
          <w:sz w:val="22"/>
          <w:szCs w:val="22"/>
          <w:highlight w:val="none"/>
          <w:u w:val="none"/>
        </w:rPr>
        <w:t>）货物制造商或其它有销售资格（提供证明材料）的供应商出具的授权书（适用于投标人是进口货物代理商的情形）</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7</w:t>
      </w:r>
      <w:r>
        <w:rPr>
          <w:rFonts w:hint="eastAsia" w:ascii="宋体" w:hAnsi="宋体" w:eastAsia="宋体" w:cs="宋体"/>
          <w:color w:val="auto"/>
          <w:sz w:val="22"/>
          <w:szCs w:val="22"/>
          <w:highlight w:val="none"/>
          <w:u w:val="none"/>
        </w:rPr>
        <w:t>）依法缴纳税收和社会保障资金的承诺函；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8</w:t>
      </w:r>
      <w:r>
        <w:rPr>
          <w:rFonts w:hint="eastAsia" w:ascii="宋体" w:hAnsi="宋体" w:eastAsia="宋体" w:cs="宋体"/>
          <w:color w:val="auto"/>
          <w:sz w:val="22"/>
          <w:szCs w:val="22"/>
          <w:highlight w:val="none"/>
          <w:u w:val="none"/>
        </w:rPr>
        <w:t>）参加政府采购活动前3年内在经营活动中没有重大违法记录的声明函；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9</w:t>
      </w:r>
      <w:r>
        <w:rPr>
          <w:rFonts w:hint="eastAsia" w:ascii="宋体" w:hAnsi="宋体" w:eastAsia="宋体" w:cs="宋体"/>
          <w:color w:val="auto"/>
          <w:sz w:val="22"/>
          <w:szCs w:val="22"/>
          <w:highlight w:val="none"/>
          <w:u w:val="none"/>
        </w:rPr>
        <w:t>）单位负责人为同一人或者存在直接控股、管理关系的不同供应商，不得参加同一合同项下的政府采购活动承诺函；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10</w:t>
      </w:r>
      <w:r>
        <w:rPr>
          <w:rFonts w:hint="eastAsia" w:ascii="宋体" w:hAnsi="宋体" w:eastAsia="宋体" w:cs="宋体"/>
          <w:color w:val="auto"/>
          <w:sz w:val="22"/>
          <w:szCs w:val="22"/>
          <w:highlight w:val="none"/>
          <w:u w:val="none"/>
        </w:rPr>
        <w:t>）供应商不属于公益一类事业单位承诺函。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11</w:t>
      </w:r>
      <w:r>
        <w:rPr>
          <w:rFonts w:hint="eastAsia" w:ascii="宋体" w:hAnsi="宋体" w:eastAsia="宋体" w:cs="宋体"/>
          <w:color w:val="auto"/>
          <w:sz w:val="22"/>
          <w:szCs w:val="22"/>
          <w:highlight w:val="none"/>
          <w:u w:val="none"/>
        </w:rPr>
        <w:t>）未被“信用中国”（www.creditchina.gov.cn）、中国政府采购网（www.ccgp.gov.cn）等有关政府曝光台列入失信被执行人、重大税收违法案件当事人名单、政府采购严重违法失信行为记录名单.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numPr>
          <w:ilvl w:val="0"/>
          <w:numId w:val="6"/>
        </w:num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详细供货清单说明一览表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备品、易损件、备件、专用工具清单</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投标设备配套的合理性，技术指标的先进性</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设备档次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耗材试剂配送服务方案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运行应急方案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市场占有率</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投标人提供的超出招标文件的优惠条件</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环境标志产品、节能产品</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投标人的</w:t>
      </w:r>
      <w:r>
        <w:rPr>
          <w:rFonts w:hint="eastAsia" w:ascii="宋体" w:hAnsi="宋体" w:eastAsia="宋体" w:cs="宋体"/>
          <w:color w:val="auto"/>
          <w:sz w:val="22"/>
          <w:szCs w:val="22"/>
          <w:highlight w:val="none"/>
        </w:rPr>
        <w:t>投标文件必须按照招标文件要求制作</w:t>
      </w:r>
      <w:r>
        <w:rPr>
          <w:rFonts w:hint="eastAsia" w:ascii="宋体" w:hAnsi="宋体" w:eastAsia="宋体" w:cs="宋体"/>
          <w:bCs/>
          <w:color w:val="auto"/>
          <w:sz w:val="22"/>
          <w:szCs w:val="22"/>
          <w:highlight w:val="none"/>
        </w:rPr>
        <w:t>。</w:t>
      </w:r>
    </w:p>
    <w:p>
      <w:pPr>
        <w:pStyle w:val="29"/>
        <w:snapToGrid w:val="0"/>
        <w:spacing w:line="460" w:lineRule="exact"/>
        <w:ind w:firstLine="442"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eastAsia="宋体" w:cs="宋体"/>
          <w:b/>
          <w:color w:val="auto"/>
          <w:sz w:val="22"/>
          <w:highlight w:val="none"/>
        </w:rPr>
        <w:t>投标货币以人民币进行投标</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eastAsia="宋体" w:cs="宋体"/>
          <w:b/>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7.4《投标文件》内容不完整、编排混乱导致《投标文件》被误读、漏读或者查找不到相关内容的，投标人自行负责。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7.5《投标文件》因字迹潦草或表达不清所引起的后果由投标人负责。</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8.1《投标文件》的签章：见《前附表》；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8.2《投标文件》应由投标人法定代表人或其授权代表签字（或盖章），并时加盖投标人公章。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9.1投标文件的形式：见《前附表》；</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5422"/>
      <w:bookmarkStart w:id="17" w:name="_Toc1854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30172"/>
      <w:bookmarkStart w:id="19" w:name="_Toc8079"/>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3、开标形式</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r>
        <w:rPr>
          <w:rFonts w:hint="eastAsia" w:ascii="宋体" w:hAnsi="宋体" w:eastAsia="宋体" w:cs="宋体"/>
          <w:b/>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eastAsia="宋体" w:cs="宋体"/>
          <w:bCs/>
          <w:color w:val="auto"/>
          <w:sz w:val="22"/>
          <w:highlight w:val="none"/>
          <w:lang w:val="en-US" w:eastAsia="zh-CN"/>
        </w:rPr>
        <w:t>5</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rPr>
      </w:pPr>
      <w:bookmarkStart w:id="24" w:name="_Toc28194"/>
      <w:bookmarkStart w:id="25" w:name="_Toc19043"/>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pStyle w:val="23"/>
        <w:spacing w:line="460" w:lineRule="exact"/>
        <w:ind w:left="430" w:leftChars="205" w:firstLine="0" w:firstLineChars="0"/>
        <w:jc w:val="center"/>
        <w:rPr>
          <w:rFonts w:hint="eastAsia" w:ascii="新宋体" w:hAnsi="新宋体" w:eastAsia="新宋体"/>
          <w:b/>
          <w:sz w:val="30"/>
          <w:lang w:val="zh-CN"/>
        </w:rPr>
      </w:pPr>
    </w:p>
    <w:p>
      <w:pPr>
        <w:spacing w:before="131"/>
        <w:jc w:val="center"/>
        <w:rPr>
          <w:rFonts w:hint="eastAsia" w:eastAsia="宋体"/>
          <w:b/>
          <w:sz w:val="38"/>
          <w:highlight w:val="yellow"/>
          <w:lang w:eastAsia="zh-CN"/>
        </w:rPr>
      </w:pPr>
      <w:bookmarkStart w:id="26" w:name="_Toc9247341"/>
      <w:bookmarkStart w:id="27" w:name="_Toc527802469"/>
      <w:r>
        <w:rPr>
          <w:rFonts w:hint="eastAsia"/>
          <w:b/>
          <w:sz w:val="38"/>
        </w:rPr>
        <w:t>温州市中医院</w:t>
      </w:r>
      <w:r>
        <w:rPr>
          <w:rFonts w:hint="eastAsia"/>
          <w:b/>
          <w:sz w:val="38"/>
          <w:lang w:val="en-US" w:eastAsia="zh-CN"/>
        </w:rPr>
        <w:t>XX</w:t>
      </w:r>
      <w:r>
        <w:rPr>
          <w:rFonts w:hint="eastAsia"/>
          <w:b/>
          <w:sz w:val="38"/>
          <w:highlight w:val="none"/>
          <w:lang w:val="en-US" w:eastAsia="zh-CN"/>
        </w:rPr>
        <w:t>X</w:t>
      </w:r>
      <w:r>
        <w:rPr>
          <w:rFonts w:hint="eastAsia"/>
          <w:b/>
          <w:sz w:val="38"/>
          <w:highlight w:val="none"/>
        </w:rPr>
        <w:t>耗材采购及设备租赁</w:t>
      </w:r>
      <w:r>
        <w:rPr>
          <w:rFonts w:hint="eastAsia"/>
          <w:b/>
          <w:sz w:val="38"/>
          <w:highlight w:val="none"/>
          <w:lang w:eastAsia="zh-CN"/>
        </w:rPr>
        <w:t>合同</w:t>
      </w:r>
    </w:p>
    <w:p>
      <w:pPr>
        <w:keepNext w:val="0"/>
        <w:keepLines w:val="0"/>
        <w:pageBreakBefore w:val="0"/>
        <w:widowControl w:val="0"/>
        <w:kinsoku/>
        <w:wordWrap/>
        <w:overflowPunct/>
        <w:topLinePunct w:val="0"/>
        <w:autoSpaceDE w:val="0"/>
        <w:autoSpaceDN w:val="0"/>
        <w:bidi w:val="0"/>
        <w:adjustRightInd/>
        <w:snapToGrid/>
        <w:spacing w:before="98" w:line="460" w:lineRule="exact"/>
        <w:ind w:left="5212" w:leftChars="2482" w:right="405" w:rightChars="193" w:firstLine="2518" w:firstLineChars="1200"/>
        <w:jc w:val="left"/>
        <w:textAlignment w:val="auto"/>
        <w:rPr>
          <w:rFonts w:hint="eastAsia" w:ascii="宋体" w:hAnsi="宋体" w:eastAsia="宋体" w:cs="宋体"/>
          <w:b/>
          <w:bCs/>
          <w:kern w:val="0"/>
          <w:sz w:val="22"/>
          <w:szCs w:val="22"/>
          <w:lang w:val="zh-CN"/>
        </w:rPr>
      </w:pPr>
      <w:r>
        <w:rPr>
          <w:rFonts w:hint="eastAsia" w:ascii="宋体" w:hAnsi="宋体" w:eastAsia="宋体" w:cs="宋体"/>
          <w:b/>
          <w:bCs/>
          <w:w w:val="95"/>
          <w:kern w:val="0"/>
          <w:sz w:val="22"/>
          <w:szCs w:val="22"/>
          <w:lang w:val="zh-CN"/>
        </w:rPr>
        <w:t>合同编号：</w:t>
      </w:r>
      <w:bookmarkEnd w:id="26"/>
      <w:bookmarkEnd w:id="27"/>
      <w:r>
        <w:rPr>
          <w:rFonts w:hint="eastAsia" w:ascii="宋体" w:hAnsi="宋体" w:eastAsia="宋体" w:cs="宋体"/>
          <w:b/>
          <w:bCs/>
          <w:w w:val="95"/>
          <w:kern w:val="0"/>
          <w:sz w:val="22"/>
          <w:szCs w:val="22"/>
          <w:lang w:val="zh-CN"/>
        </w:rPr>
        <w:t xml:space="preserve"> </w:t>
      </w:r>
    </w:p>
    <w:p>
      <w:pPr>
        <w:spacing w:line="240" w:lineRule="atLeast"/>
        <w:rPr>
          <w:b/>
          <w:sz w:val="18"/>
        </w:rPr>
      </w:pPr>
      <w:r>
        <w:rPr>
          <w:rFonts w:hint="eastAsia"/>
          <w:b/>
          <w:sz w:val="18"/>
        </w:rPr>
        <w:t>甲方（采购单位）：温州市中医院</w:t>
      </w:r>
    </w:p>
    <w:p>
      <w:pPr>
        <w:spacing w:line="240" w:lineRule="atLeast"/>
        <w:rPr>
          <w:b/>
          <w:sz w:val="18"/>
        </w:rPr>
      </w:pPr>
      <w:r>
        <w:rPr>
          <w:rFonts w:hint="eastAsia"/>
          <w:b/>
          <w:sz w:val="18"/>
        </w:rPr>
        <w:t>乙方（供应商）：</w:t>
      </w:r>
      <w:r>
        <w:rPr>
          <w:b/>
          <w:sz w:val="18"/>
          <w:u w:val="single"/>
        </w:rPr>
        <w:t xml:space="preserve">              </w:t>
      </w:r>
      <w:r>
        <w:rPr>
          <w:b/>
          <w:sz w:val="18"/>
        </w:rPr>
        <w:t xml:space="preserve"> </w:t>
      </w:r>
    </w:p>
    <w:p>
      <w:pPr>
        <w:pStyle w:val="22"/>
        <w:spacing w:line="240" w:lineRule="atLeast"/>
        <w:ind w:right="199" w:rightChars="95" w:firstLine="240"/>
        <w:rPr>
          <w:sz w:val="18"/>
        </w:rPr>
      </w:pPr>
      <w:r>
        <w:rPr>
          <w:rFonts w:hint="eastAsia"/>
          <w:sz w:val="18"/>
        </w:rPr>
        <w:t>根据《中华人民共和国政府采购法》、《中华人民共和国</w:t>
      </w:r>
      <w:r>
        <w:rPr>
          <w:rFonts w:hint="eastAsia"/>
          <w:sz w:val="18"/>
          <w:lang w:eastAsia="zh-CN"/>
        </w:rPr>
        <w:t>民法典</w:t>
      </w:r>
      <w:r>
        <w:rPr>
          <w:rFonts w:hint="eastAsia"/>
          <w:sz w:val="18"/>
        </w:rPr>
        <w:t>》等相关法律法规，以及</w:t>
      </w:r>
      <w:r>
        <w:rPr>
          <w:w w:val="95"/>
          <w:sz w:val="18"/>
          <w:u w:val="single"/>
        </w:rPr>
        <w:t xml:space="preserve">           </w:t>
      </w:r>
      <w:r>
        <w:rPr>
          <w:rFonts w:hint="eastAsia"/>
          <w:w w:val="95"/>
          <w:sz w:val="18"/>
        </w:rPr>
        <w:t>项</w:t>
      </w:r>
      <w:r>
        <w:rPr>
          <w:rFonts w:hint="eastAsia"/>
          <w:sz w:val="18"/>
        </w:rPr>
        <w:t>目（以下简称</w:t>
      </w:r>
      <w:r>
        <w:rPr>
          <w:rFonts w:hint="eastAsia" w:ascii="Verdana" w:hAnsi="Verdana"/>
          <w:sz w:val="18"/>
          <w:lang w:eastAsia="zh-CN"/>
        </w:rPr>
        <w:t>“项目”</w:t>
      </w:r>
      <w:r>
        <w:rPr>
          <w:rFonts w:hint="eastAsia"/>
          <w:sz w:val="18"/>
        </w:rPr>
        <w:t>）招标文件、中标供应商投标文件、项目采购协议，或入围承诺书，甲乙双方经协商一致，签署本合同。</w:t>
      </w:r>
    </w:p>
    <w:p>
      <w:pPr>
        <w:pStyle w:val="5"/>
        <w:spacing w:before="0" w:after="13" w:line="240" w:lineRule="atLeast"/>
        <w:ind w:left="0"/>
        <w:rPr>
          <w:rFonts w:hint="default" w:eastAsia="宋体"/>
          <w:sz w:val="18"/>
          <w:lang w:val="en-US" w:eastAsia="zh-CN"/>
        </w:rPr>
      </w:pPr>
      <w:r>
        <w:rPr>
          <w:rFonts w:hint="eastAsia"/>
          <w:sz w:val="18"/>
        </w:rPr>
        <w:t>一、</w:t>
      </w:r>
      <w:r>
        <w:rPr>
          <w:rFonts w:hint="eastAsia"/>
          <w:sz w:val="18"/>
          <w:lang w:eastAsia="zh-CN"/>
        </w:rPr>
        <w:t>项目内容</w:t>
      </w:r>
    </w:p>
    <w:p>
      <w:pPr>
        <w:pStyle w:val="5"/>
        <w:spacing w:before="0" w:after="13" w:line="240" w:lineRule="atLeast"/>
        <w:ind w:left="0"/>
        <w:rPr>
          <w:rFonts w:hint="eastAsia" w:eastAsia="宋体"/>
          <w:sz w:val="18"/>
          <w:lang w:eastAsia="zh-CN"/>
        </w:rPr>
      </w:pPr>
      <w:r>
        <w:rPr>
          <w:rFonts w:hint="eastAsia"/>
          <w:sz w:val="18"/>
          <w:lang w:eastAsia="zh-CN"/>
        </w:rPr>
        <w:t>耗材：</w:t>
      </w:r>
    </w:p>
    <w:tbl>
      <w:tblPr>
        <w:tblStyle w:val="54"/>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序号</w:t>
            </w:r>
          </w:p>
        </w:tc>
        <w:tc>
          <w:tcPr>
            <w:tcW w:w="1926"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货物名称</w:t>
            </w:r>
          </w:p>
        </w:tc>
        <w:tc>
          <w:tcPr>
            <w:tcW w:w="1084"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品牌</w:t>
            </w:r>
          </w:p>
        </w:tc>
        <w:tc>
          <w:tcPr>
            <w:tcW w:w="1407"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型号规格</w:t>
            </w:r>
          </w:p>
        </w:tc>
        <w:tc>
          <w:tcPr>
            <w:tcW w:w="1706" w:type="dxa"/>
            <w:noWrap w:val="0"/>
            <w:vAlign w:val="top"/>
          </w:tcPr>
          <w:p>
            <w:pPr>
              <w:pStyle w:val="5"/>
              <w:spacing w:before="0" w:after="13" w:line="240" w:lineRule="atLeast"/>
              <w:ind w:left="0"/>
              <w:jc w:val="center"/>
              <w:rPr>
                <w:rFonts w:hint="eastAsia"/>
                <w:b w:val="0"/>
                <w:bCs w:val="0"/>
                <w:sz w:val="18"/>
                <w:lang w:val="en-US" w:eastAsia="zh-CN"/>
              </w:rPr>
            </w:pPr>
            <w:r>
              <w:rPr>
                <w:rFonts w:hint="eastAsia"/>
                <w:b w:val="0"/>
                <w:bCs w:val="0"/>
                <w:sz w:val="18"/>
                <w:lang w:eastAsia="zh-CN"/>
              </w:rPr>
              <w:t>数量及单位</w:t>
            </w:r>
          </w:p>
        </w:tc>
        <w:tc>
          <w:tcPr>
            <w:tcW w:w="1219"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1</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2</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default"/>
                <w:b w:val="0"/>
                <w:bCs w:val="0"/>
                <w:sz w:val="18"/>
                <w:lang w:val="en-US" w:eastAsia="zh-CN"/>
              </w:rPr>
            </w:pPr>
            <w:r>
              <w:rPr>
                <w:rFonts w:hint="eastAsia"/>
                <w:b w:val="0"/>
                <w:bCs w:val="0"/>
                <w:sz w:val="18"/>
                <w:lang w:eastAsia="zh-CN"/>
              </w:rPr>
              <w:t>小写：￥</w:t>
            </w:r>
            <w:r>
              <w:rPr>
                <w:rFonts w:hint="eastAsia"/>
                <w:b w:val="0"/>
                <w:bCs w:val="0"/>
                <w:sz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大写：</w:t>
            </w:r>
          </w:p>
        </w:tc>
      </w:tr>
    </w:tbl>
    <w:p>
      <w:pPr>
        <w:pStyle w:val="5"/>
        <w:spacing w:before="0" w:after="13" w:line="240" w:lineRule="atLeast"/>
        <w:ind w:left="0"/>
        <w:rPr>
          <w:rFonts w:hint="eastAsia"/>
          <w:sz w:val="18"/>
          <w:lang w:eastAsia="zh-CN"/>
        </w:rPr>
      </w:pPr>
      <w:r>
        <w:rPr>
          <w:rFonts w:hint="eastAsia"/>
          <w:sz w:val="18"/>
          <w:lang w:eastAsia="zh-CN"/>
        </w:rPr>
        <w:t>租赁设备：</w:t>
      </w:r>
    </w:p>
    <w:tbl>
      <w:tblPr>
        <w:tblStyle w:val="54"/>
        <w:tblW w:w="8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926"/>
        <w:gridCol w:w="1084"/>
        <w:gridCol w:w="1407"/>
        <w:gridCol w:w="170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4" w:type="dxa"/>
            <w:noWrap w:val="0"/>
            <w:vAlign w:val="center"/>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序号</w:t>
            </w:r>
          </w:p>
        </w:tc>
        <w:tc>
          <w:tcPr>
            <w:tcW w:w="1926"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设备名称</w:t>
            </w:r>
          </w:p>
        </w:tc>
        <w:tc>
          <w:tcPr>
            <w:tcW w:w="1084"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品牌</w:t>
            </w:r>
          </w:p>
        </w:tc>
        <w:tc>
          <w:tcPr>
            <w:tcW w:w="1407"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型号规格</w:t>
            </w:r>
          </w:p>
        </w:tc>
        <w:tc>
          <w:tcPr>
            <w:tcW w:w="1706" w:type="dxa"/>
            <w:noWrap w:val="0"/>
            <w:vAlign w:val="top"/>
          </w:tcPr>
          <w:p>
            <w:pPr>
              <w:pStyle w:val="5"/>
              <w:spacing w:before="0" w:after="13" w:line="240" w:lineRule="atLeast"/>
              <w:ind w:left="0"/>
              <w:jc w:val="center"/>
              <w:rPr>
                <w:rFonts w:hint="eastAsia"/>
                <w:b w:val="0"/>
                <w:bCs w:val="0"/>
                <w:sz w:val="18"/>
                <w:lang w:val="en-US" w:eastAsia="zh-CN"/>
              </w:rPr>
            </w:pPr>
            <w:r>
              <w:rPr>
                <w:rFonts w:hint="eastAsia"/>
                <w:b w:val="0"/>
                <w:bCs w:val="0"/>
                <w:sz w:val="18"/>
                <w:lang w:eastAsia="zh-CN"/>
              </w:rPr>
              <w:t>数量及单位</w:t>
            </w:r>
          </w:p>
        </w:tc>
        <w:tc>
          <w:tcPr>
            <w:tcW w:w="1219" w:type="dxa"/>
            <w:noWrap w:val="0"/>
            <w:vAlign w:val="top"/>
          </w:tcPr>
          <w:p>
            <w:pPr>
              <w:pStyle w:val="5"/>
              <w:spacing w:before="0" w:after="13" w:line="240" w:lineRule="atLeast"/>
              <w:ind w:left="0"/>
              <w:jc w:val="center"/>
              <w:rPr>
                <w:rFonts w:hint="eastAsia"/>
                <w:b w:val="0"/>
                <w:bCs w:val="0"/>
                <w:sz w:val="18"/>
                <w:lang w:eastAsia="zh-CN"/>
              </w:rPr>
            </w:pPr>
            <w:r>
              <w:rPr>
                <w:rFonts w:hint="eastAsia"/>
                <w:b w:val="0"/>
                <w:bCs w:val="0"/>
                <w:sz w:val="18"/>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1</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4" w:type="dxa"/>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2</w:t>
            </w:r>
          </w:p>
        </w:tc>
        <w:tc>
          <w:tcPr>
            <w:tcW w:w="1926" w:type="dxa"/>
            <w:noWrap w:val="0"/>
            <w:vAlign w:val="center"/>
          </w:tcPr>
          <w:p>
            <w:pPr>
              <w:pStyle w:val="5"/>
              <w:spacing w:before="0" w:after="13" w:line="240" w:lineRule="atLeast"/>
              <w:ind w:left="0"/>
              <w:rPr>
                <w:rFonts w:hint="eastAsia"/>
                <w:b w:val="0"/>
                <w:bCs w:val="0"/>
                <w:sz w:val="18"/>
                <w:lang w:eastAsia="zh-CN"/>
              </w:rPr>
            </w:pPr>
          </w:p>
        </w:tc>
        <w:tc>
          <w:tcPr>
            <w:tcW w:w="1084" w:type="dxa"/>
            <w:noWrap w:val="0"/>
            <w:vAlign w:val="center"/>
          </w:tcPr>
          <w:p>
            <w:pPr>
              <w:pStyle w:val="5"/>
              <w:spacing w:before="0" w:after="13" w:line="240" w:lineRule="atLeast"/>
              <w:ind w:left="0"/>
              <w:rPr>
                <w:rFonts w:hint="eastAsia"/>
                <w:b w:val="0"/>
                <w:bCs w:val="0"/>
                <w:sz w:val="18"/>
                <w:lang w:eastAsia="zh-CN"/>
              </w:rPr>
            </w:pPr>
          </w:p>
        </w:tc>
        <w:tc>
          <w:tcPr>
            <w:tcW w:w="1407" w:type="dxa"/>
            <w:noWrap w:val="0"/>
            <w:vAlign w:val="center"/>
          </w:tcPr>
          <w:p>
            <w:pPr>
              <w:pStyle w:val="5"/>
              <w:spacing w:before="0" w:after="13" w:line="240" w:lineRule="atLeast"/>
              <w:ind w:left="0"/>
              <w:rPr>
                <w:rFonts w:hint="eastAsia"/>
                <w:b w:val="0"/>
                <w:bCs w:val="0"/>
                <w:sz w:val="18"/>
                <w:lang w:eastAsia="zh-CN"/>
              </w:rPr>
            </w:pPr>
          </w:p>
        </w:tc>
        <w:tc>
          <w:tcPr>
            <w:tcW w:w="1706" w:type="dxa"/>
            <w:noWrap w:val="0"/>
            <w:vAlign w:val="center"/>
          </w:tcPr>
          <w:p>
            <w:pPr>
              <w:pStyle w:val="5"/>
              <w:spacing w:before="0" w:after="13" w:line="240" w:lineRule="atLeast"/>
              <w:ind w:left="0"/>
              <w:rPr>
                <w:rFonts w:hint="eastAsia"/>
                <w:b w:val="0"/>
                <w:bCs w:val="0"/>
                <w:sz w:val="18"/>
                <w:lang w:val="en-US" w:eastAsia="zh-CN"/>
              </w:rPr>
            </w:pPr>
          </w:p>
        </w:tc>
        <w:tc>
          <w:tcPr>
            <w:tcW w:w="1219" w:type="dxa"/>
            <w:noWrap w:val="0"/>
            <w:vAlign w:val="center"/>
          </w:tcPr>
          <w:p>
            <w:pPr>
              <w:pStyle w:val="5"/>
              <w:spacing w:before="0" w:after="13" w:line="240" w:lineRule="atLeast"/>
              <w:ind w:left="0"/>
              <w:rPr>
                <w:rFonts w:hint="eastAsia"/>
                <w:b w:val="0"/>
                <w:bCs w:val="0"/>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default"/>
                <w:b w:val="0"/>
                <w:bCs w:val="0"/>
                <w:sz w:val="18"/>
                <w:lang w:val="en-US" w:eastAsia="zh-CN"/>
              </w:rPr>
            </w:pPr>
            <w:r>
              <w:rPr>
                <w:rFonts w:hint="eastAsia"/>
                <w:b w:val="0"/>
                <w:bCs w:val="0"/>
                <w:sz w:val="18"/>
                <w:lang w:eastAsia="zh-CN"/>
              </w:rPr>
              <w:t>小写：￥</w:t>
            </w:r>
            <w:r>
              <w:rPr>
                <w:rFonts w:hint="eastAsia"/>
                <w:b w:val="0"/>
                <w:bCs w:val="0"/>
                <w:sz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6" w:type="dxa"/>
            <w:gridSpan w:val="6"/>
            <w:noWrap w:val="0"/>
            <w:vAlign w:val="center"/>
          </w:tcPr>
          <w:p>
            <w:pPr>
              <w:pStyle w:val="5"/>
              <w:spacing w:before="0" w:after="13" w:line="240" w:lineRule="atLeast"/>
              <w:ind w:left="0"/>
              <w:rPr>
                <w:rFonts w:hint="eastAsia"/>
                <w:b w:val="0"/>
                <w:bCs w:val="0"/>
                <w:sz w:val="18"/>
                <w:lang w:eastAsia="zh-CN"/>
              </w:rPr>
            </w:pPr>
            <w:r>
              <w:rPr>
                <w:rFonts w:hint="eastAsia"/>
                <w:b w:val="0"/>
                <w:bCs w:val="0"/>
                <w:sz w:val="18"/>
                <w:lang w:eastAsia="zh-CN"/>
              </w:rPr>
              <w:t>大写：</w:t>
            </w:r>
          </w:p>
        </w:tc>
      </w:tr>
    </w:tbl>
    <w:p>
      <w:pPr>
        <w:pStyle w:val="29"/>
        <w:snapToGrid w:val="0"/>
        <w:spacing w:beforeLines="0" w:afterLines="0" w:line="360" w:lineRule="auto"/>
        <w:ind w:left="6300" w:leftChars="0" w:firstLine="420" w:firstLineChars="0"/>
        <w:jc w:val="left"/>
        <w:rPr>
          <w:rFonts w:hint="eastAsia"/>
          <w:w w:val="95"/>
          <w:sz w:val="18"/>
          <w:szCs w:val="17"/>
        </w:rPr>
      </w:pPr>
      <w:r>
        <w:rPr>
          <w:rFonts w:hint="eastAsia"/>
          <w:w w:val="95"/>
          <w:sz w:val="18"/>
          <w:szCs w:val="17"/>
        </w:rPr>
        <w:t>金额单</w:t>
      </w:r>
      <w:r>
        <w:rPr>
          <w:rFonts w:hint="eastAsia"/>
          <w:w w:val="95"/>
          <w:sz w:val="18"/>
          <w:szCs w:val="17"/>
          <w:lang w:eastAsia="zh-CN"/>
        </w:rPr>
        <w:t>位</w:t>
      </w:r>
      <w:r>
        <w:rPr>
          <w:rFonts w:hint="eastAsia"/>
          <w:w w:val="95"/>
          <w:sz w:val="18"/>
          <w:szCs w:val="17"/>
        </w:rPr>
        <w:t>：元</w:t>
      </w:r>
    </w:p>
    <w:p>
      <w:pPr>
        <w:spacing w:line="240" w:lineRule="atLeast"/>
        <w:rPr>
          <w:sz w:val="18"/>
          <w:szCs w:val="17"/>
        </w:rPr>
      </w:pPr>
      <w:r>
        <w:rPr>
          <w:rFonts w:hint="eastAsia"/>
          <w:w w:val="95"/>
          <w:sz w:val="20"/>
        </w:rPr>
        <w:t>注：</w:t>
      </w:r>
      <w:r>
        <w:rPr>
          <w:sz w:val="18"/>
          <w:szCs w:val="17"/>
        </w:rPr>
        <w:t>1</w:t>
      </w:r>
      <w:r>
        <w:rPr>
          <w:rFonts w:hint="eastAsia"/>
          <w:sz w:val="18"/>
          <w:szCs w:val="17"/>
        </w:rPr>
        <w:t>、商品型号、数量、配置要求及使用单位地址等详见附件清单</w:t>
      </w:r>
    </w:p>
    <w:p>
      <w:pPr>
        <w:pStyle w:val="22"/>
        <w:spacing w:line="240" w:lineRule="atLeast"/>
        <w:ind w:left="126" w:leftChars="60" w:firstLine="288"/>
        <w:rPr>
          <w:sz w:val="18"/>
        </w:rPr>
      </w:pPr>
      <w:r>
        <w:rPr>
          <w:sz w:val="18"/>
        </w:rPr>
        <w:t>2</w:t>
      </w:r>
      <w:r>
        <w:rPr>
          <w:rFonts w:hint="eastAsia"/>
          <w:sz w:val="18"/>
        </w:rPr>
        <w:t>、以上合同总价包含货物到达</w:t>
      </w:r>
      <w:r>
        <w:rPr>
          <w:rFonts w:hint="eastAsia"/>
          <w:sz w:val="18"/>
          <w:lang w:eastAsia="zh-CN"/>
        </w:rPr>
        <w:t>甲方</w:t>
      </w:r>
      <w:r>
        <w:rPr>
          <w:rFonts w:hint="eastAsia"/>
          <w:sz w:val="18"/>
        </w:rPr>
        <w:t>并能正常使用所需的一切费用，包括但不限于包装费、运输费、装卸费、保险费、安装调试费、技术服务费、培训费以及保修费、税费等。</w:t>
      </w:r>
    </w:p>
    <w:p>
      <w:pPr>
        <w:pStyle w:val="5"/>
        <w:spacing w:before="0" w:line="240" w:lineRule="atLeast"/>
        <w:ind w:left="0"/>
        <w:rPr>
          <w:sz w:val="18"/>
        </w:rPr>
      </w:pPr>
      <w:r>
        <w:rPr>
          <w:rFonts w:hint="eastAsia"/>
          <w:sz w:val="18"/>
        </w:rPr>
        <w:t>二、技术资料</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乙方应按招标文件规定的时间向甲方提供使用货物</w:t>
      </w:r>
      <w:r>
        <w:rPr>
          <w:rFonts w:hint="eastAsia"/>
          <w:sz w:val="18"/>
          <w:lang w:eastAsia="zh-CN"/>
        </w:rPr>
        <w:t>（货物包括耗材和设备）</w:t>
      </w:r>
      <w:r>
        <w:rPr>
          <w:rFonts w:hint="eastAsia"/>
          <w:sz w:val="18"/>
        </w:rPr>
        <w:t>的有关技术资料。</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
        <w:spacing w:before="0" w:line="240" w:lineRule="atLeast"/>
        <w:ind w:left="0"/>
        <w:rPr>
          <w:sz w:val="18"/>
        </w:rPr>
      </w:pPr>
      <w:r>
        <w:rPr>
          <w:rFonts w:hint="eastAsia"/>
          <w:sz w:val="18"/>
        </w:rPr>
        <w:t>三、知识产权</w:t>
      </w:r>
    </w:p>
    <w:p>
      <w:pPr>
        <w:spacing w:line="240" w:lineRule="auto"/>
        <w:ind w:left="0" w:leftChars="0" w:firstLine="360" w:firstLineChars="200"/>
        <w:rPr>
          <w:sz w:val="18"/>
          <w:highlight w:val="none"/>
        </w:rPr>
      </w:pPr>
      <w:r>
        <w:rPr>
          <w:rFonts w:hint="eastAsia"/>
          <w:sz w:val="18"/>
        </w:rPr>
        <w:t>乙方应保证所提供的货物或其任何一部分均不会侵犯任何第三方的知识产</w:t>
      </w:r>
      <w:r>
        <w:rPr>
          <w:rFonts w:hint="eastAsia" w:ascii="宋体" w:hAnsi="宋体" w:eastAsia="宋体" w:cs="宋体"/>
          <w:kern w:val="0"/>
          <w:sz w:val="18"/>
          <w:szCs w:val="22"/>
          <w:lang w:val="zh-CN" w:eastAsia="zh-CN" w:bidi="ar-SA"/>
        </w:rPr>
        <w:t>权。</w:t>
      </w:r>
      <w:r>
        <w:rPr>
          <w:rFonts w:hint="eastAsia" w:ascii="宋体" w:hAnsi="宋体" w:eastAsia="宋体" w:cs="宋体"/>
          <w:kern w:val="0"/>
          <w:sz w:val="18"/>
          <w:szCs w:val="22"/>
          <w:highlight w:val="none"/>
          <w:lang w:val="zh-CN" w:eastAsia="zh-CN" w:bidi="ar-SA"/>
        </w:rPr>
        <w:t>乙方应承担由此可能产生的一切法律责任和费用。</w:t>
      </w:r>
    </w:p>
    <w:p>
      <w:pPr>
        <w:pStyle w:val="5"/>
        <w:spacing w:before="0" w:line="240" w:lineRule="atLeast"/>
        <w:ind w:left="0"/>
        <w:rPr>
          <w:sz w:val="18"/>
        </w:rPr>
      </w:pPr>
      <w:r>
        <w:rPr>
          <w:rFonts w:hint="eastAsia"/>
          <w:sz w:val="18"/>
        </w:rPr>
        <w:t>四、产权担保</w:t>
      </w:r>
    </w:p>
    <w:p>
      <w:pPr>
        <w:pStyle w:val="22"/>
        <w:spacing w:line="240" w:lineRule="atLeast"/>
        <w:ind w:firstLine="361" w:firstLineChars="200"/>
        <w:rPr>
          <w:sz w:val="18"/>
        </w:rPr>
      </w:pPr>
      <w:r>
        <w:rPr>
          <w:rFonts w:hint="eastAsia"/>
          <w:sz w:val="18"/>
        </w:rPr>
        <w:t>乙方保证所交付的货物的所有权完全属于乙方且无任何抵押、查封等产权瑕疵。</w:t>
      </w:r>
    </w:p>
    <w:p>
      <w:pPr>
        <w:pStyle w:val="5"/>
        <w:spacing w:before="0" w:line="240" w:lineRule="atLeast"/>
        <w:ind w:left="0"/>
        <w:rPr>
          <w:sz w:val="18"/>
        </w:rPr>
      </w:pPr>
      <w:r>
        <w:rPr>
          <w:rFonts w:hint="eastAsia"/>
          <w:sz w:val="18"/>
        </w:rPr>
        <w:t>五、转包或分包</w:t>
      </w:r>
    </w:p>
    <w:p>
      <w:pPr>
        <w:pStyle w:val="22"/>
        <w:spacing w:line="240" w:lineRule="atLeast"/>
        <w:ind w:firstLine="361" w:firstLineChars="200"/>
        <w:rPr>
          <w:sz w:val="18"/>
        </w:rPr>
      </w:pPr>
      <w:r>
        <w:rPr>
          <w:rFonts w:hint="eastAsia"/>
          <w:sz w:val="18"/>
        </w:rPr>
        <w:t>本合同范围的货物，应由乙方直接供应，不得转让他人供应，否则，甲方有权解除合同，没收</w:t>
      </w:r>
      <w:r>
        <w:rPr>
          <w:rFonts w:hint="eastAsia"/>
          <w:sz w:val="18"/>
          <w:lang w:eastAsia="zh-CN"/>
        </w:rPr>
        <w:t>质量</w:t>
      </w:r>
      <w:r>
        <w:rPr>
          <w:rFonts w:hint="eastAsia"/>
          <w:sz w:val="18"/>
        </w:rPr>
        <w:t>保证金并追究乙方的违约责任。</w:t>
      </w:r>
    </w:p>
    <w:p>
      <w:pPr>
        <w:pStyle w:val="5"/>
        <w:spacing w:before="0" w:line="240" w:lineRule="atLeast"/>
        <w:ind w:left="0"/>
        <w:rPr>
          <w:sz w:val="18"/>
        </w:rPr>
      </w:pPr>
      <w:r>
        <w:rPr>
          <w:rFonts w:hint="eastAsia"/>
          <w:sz w:val="18"/>
        </w:rPr>
        <w:t>六、质保期和质保金</w:t>
      </w:r>
    </w:p>
    <w:p>
      <w:pPr>
        <w:pStyle w:val="329"/>
        <w:numPr>
          <w:ilvl w:val="0"/>
          <w:numId w:val="0"/>
        </w:numPr>
        <w:tabs>
          <w:tab w:val="left" w:pos="522"/>
        </w:tabs>
        <w:spacing w:before="0" w:line="240" w:lineRule="atLeast"/>
        <w:ind w:firstLine="336" w:firstLineChars="200"/>
        <w:rPr>
          <w:sz w:val="18"/>
          <w:highlight w:val="none"/>
        </w:rPr>
      </w:pPr>
      <w:r>
        <w:rPr>
          <w:rFonts w:hint="eastAsia"/>
          <w:spacing w:val="-6"/>
          <w:sz w:val="18"/>
          <w:highlight w:val="none"/>
          <w:lang w:val="en-US" w:eastAsia="zh-CN"/>
        </w:rPr>
        <w:t>1、</w:t>
      </w:r>
      <w:r>
        <w:rPr>
          <w:rFonts w:hint="eastAsia"/>
          <w:spacing w:val="-6"/>
          <w:sz w:val="18"/>
          <w:highlight w:val="none"/>
          <w:lang w:eastAsia="zh-CN"/>
        </w:rPr>
        <w:t>耗材</w:t>
      </w:r>
      <w:r>
        <w:rPr>
          <w:rFonts w:hint="eastAsia"/>
          <w:spacing w:val="-6"/>
          <w:sz w:val="18"/>
          <w:highlight w:val="none"/>
        </w:rPr>
        <w:t>质保期为</w:t>
      </w:r>
      <w:r>
        <w:rPr>
          <w:spacing w:val="-6"/>
          <w:sz w:val="18"/>
          <w:highlight w:val="none"/>
        </w:rPr>
        <w:t xml:space="preserve"> </w:t>
      </w:r>
      <w:r>
        <w:rPr>
          <w:rFonts w:ascii="Verdana"/>
          <w:sz w:val="18"/>
          <w:highlight w:val="none"/>
          <w:u w:val="single"/>
        </w:rPr>
        <w:t xml:space="preserve">     </w:t>
      </w:r>
      <w:r>
        <w:rPr>
          <w:rFonts w:hint="eastAsia"/>
          <w:sz w:val="18"/>
          <w:highlight w:val="none"/>
        </w:rPr>
        <w:t>年。（自交货验收合格之日起计）</w:t>
      </w:r>
    </w:p>
    <w:p>
      <w:pPr>
        <w:pStyle w:val="329"/>
        <w:numPr>
          <w:ilvl w:val="0"/>
          <w:numId w:val="0"/>
        </w:numPr>
        <w:tabs>
          <w:tab w:val="left" w:pos="522"/>
          <w:tab w:val="left" w:pos="1530"/>
        </w:tabs>
        <w:spacing w:before="0" w:line="240" w:lineRule="atLeast"/>
        <w:ind w:firstLine="360" w:firstLineChars="200"/>
        <w:rPr>
          <w:rFonts w:ascii="Verdana"/>
          <w:sz w:val="13"/>
          <w:highlight w:val="none"/>
        </w:rPr>
      </w:pPr>
      <w:r>
        <w:rPr>
          <w:rFonts w:hint="eastAsia"/>
          <w:sz w:val="18"/>
          <w:highlight w:val="none"/>
          <w:lang w:val="en-US" w:eastAsia="zh-CN"/>
        </w:rPr>
        <w:t>2、</w:t>
      </w:r>
      <w:r>
        <w:rPr>
          <w:rFonts w:hint="eastAsia"/>
          <w:sz w:val="18"/>
          <w:highlight w:val="none"/>
          <w:lang w:eastAsia="zh-CN"/>
        </w:rPr>
        <w:t>履约保证金</w:t>
      </w:r>
      <w:r>
        <w:rPr>
          <w:sz w:val="18"/>
          <w:highlight w:val="none"/>
          <w:u w:val="single"/>
        </w:rPr>
        <w:t xml:space="preserve">       </w:t>
      </w:r>
      <w:r>
        <w:rPr>
          <w:rFonts w:hint="eastAsia"/>
          <w:sz w:val="18"/>
          <w:highlight w:val="none"/>
        </w:rPr>
        <w:t>元。</w:t>
      </w:r>
      <w:r>
        <w:rPr>
          <w:rFonts w:ascii="Verdana" w:eastAsia="Times New Roman"/>
          <w:spacing w:val="-5"/>
          <w:sz w:val="18"/>
          <w:highlight w:val="none"/>
        </w:rPr>
        <w:t>[</w:t>
      </w:r>
      <w:r>
        <w:rPr>
          <w:rFonts w:hint="eastAsia"/>
          <w:sz w:val="18"/>
          <w:highlight w:val="none"/>
          <w:lang w:eastAsia="zh-CN"/>
        </w:rPr>
        <w:t>履约</w:t>
      </w:r>
      <w:r>
        <w:rPr>
          <w:rFonts w:hint="eastAsia"/>
          <w:sz w:val="18"/>
          <w:highlight w:val="none"/>
        </w:rPr>
        <w:t>保证金</w:t>
      </w:r>
      <w:r>
        <w:rPr>
          <w:rFonts w:hint="eastAsia"/>
          <w:sz w:val="18"/>
          <w:highlight w:val="none"/>
          <w:lang w:val="zh-CN"/>
        </w:rPr>
        <w:t>于合同签订后</w:t>
      </w:r>
      <w:r>
        <w:rPr>
          <w:rFonts w:hint="eastAsia"/>
          <w:sz w:val="18"/>
          <w:highlight w:val="none"/>
          <w:u w:val="single"/>
          <w:lang w:val="zh-CN"/>
        </w:rPr>
        <w:t xml:space="preserve">   </w:t>
      </w:r>
      <w:r>
        <w:rPr>
          <w:rFonts w:hint="eastAsia"/>
          <w:sz w:val="18"/>
          <w:highlight w:val="none"/>
          <w:u w:val="single"/>
          <w:lang w:val="en-US" w:eastAsia="zh-CN"/>
        </w:rPr>
        <w:t xml:space="preserve">  </w:t>
      </w:r>
      <w:r>
        <w:rPr>
          <w:rFonts w:hint="eastAsia"/>
          <w:sz w:val="18"/>
          <w:highlight w:val="none"/>
          <w:lang w:val="zh-CN"/>
        </w:rPr>
        <w:t>日</w:t>
      </w:r>
      <w:r>
        <w:rPr>
          <w:rFonts w:hint="eastAsia"/>
          <w:sz w:val="18"/>
          <w:highlight w:val="none"/>
        </w:rPr>
        <w:t>交给</w:t>
      </w:r>
      <w:r>
        <w:rPr>
          <w:rFonts w:hint="eastAsia"/>
          <w:sz w:val="18"/>
          <w:highlight w:val="none"/>
          <w:lang w:eastAsia="zh-CN"/>
        </w:rPr>
        <w:t>甲方</w:t>
      </w:r>
      <w:r>
        <w:rPr>
          <w:rFonts w:hint="eastAsia"/>
          <w:sz w:val="18"/>
          <w:highlight w:val="none"/>
        </w:rPr>
        <w:t>，</w:t>
      </w:r>
      <w:r>
        <w:rPr>
          <w:rFonts w:hint="eastAsia"/>
          <w:sz w:val="18"/>
          <w:szCs w:val="17"/>
          <w:highlight w:val="none"/>
        </w:rPr>
        <w:t>在验收合格</w:t>
      </w:r>
      <w:r>
        <w:rPr>
          <w:rFonts w:hint="eastAsia"/>
          <w:sz w:val="18"/>
          <w:szCs w:val="17"/>
          <w:highlight w:val="none"/>
          <w:lang w:eastAsia="zh-CN"/>
        </w:rPr>
        <w:t>后</w:t>
      </w:r>
      <w:r>
        <w:rPr>
          <w:rFonts w:hint="eastAsia" w:ascii="宋体" w:hAnsi="宋体"/>
          <w:sz w:val="18"/>
          <w:szCs w:val="17"/>
          <w:highlight w:val="none"/>
        </w:rPr>
        <w:t>履约保证金转为质量保证金；质保期满后，如无质量问题，则无息退还质量保证金。</w:t>
      </w:r>
      <w:r>
        <w:rPr>
          <w:rFonts w:ascii="Verdana" w:eastAsia="Times New Roman"/>
          <w:sz w:val="18"/>
          <w:highlight w:val="none"/>
        </w:rPr>
        <w:t>]</w:t>
      </w:r>
    </w:p>
    <w:p>
      <w:pPr>
        <w:pStyle w:val="5"/>
        <w:spacing w:before="0" w:line="240" w:lineRule="atLeast"/>
        <w:ind w:left="0"/>
        <w:rPr>
          <w:sz w:val="18"/>
        </w:rPr>
      </w:pPr>
      <w:r>
        <w:rPr>
          <w:rFonts w:hint="eastAsia"/>
          <w:sz w:val="18"/>
        </w:rPr>
        <w:t>七、交货期、交货方式及交货地点</w:t>
      </w:r>
    </w:p>
    <w:p>
      <w:pPr>
        <w:pStyle w:val="329"/>
        <w:numPr>
          <w:ilvl w:val="0"/>
          <w:numId w:val="0"/>
        </w:numPr>
        <w:tabs>
          <w:tab w:val="left" w:pos="522"/>
        </w:tabs>
        <w:spacing w:before="0" w:line="240" w:lineRule="atLeast"/>
        <w:ind w:firstLine="348" w:firstLineChars="200"/>
        <w:rPr>
          <w:rFonts w:hint="eastAsia"/>
          <w:spacing w:val="-3"/>
          <w:sz w:val="18"/>
        </w:rPr>
      </w:pPr>
      <w:r>
        <w:rPr>
          <w:rFonts w:hint="eastAsia"/>
          <w:spacing w:val="-3"/>
          <w:sz w:val="18"/>
          <w:lang w:val="en-US" w:eastAsia="zh-CN"/>
        </w:rPr>
        <w:t>1、</w:t>
      </w:r>
      <w:r>
        <w:rPr>
          <w:rFonts w:hint="eastAsia"/>
          <w:spacing w:val="-3"/>
          <w:sz w:val="18"/>
        </w:rPr>
        <w:t>交货期：</w:t>
      </w:r>
    </w:p>
    <w:p>
      <w:pPr>
        <w:pStyle w:val="329"/>
        <w:numPr>
          <w:ilvl w:val="0"/>
          <w:numId w:val="0"/>
        </w:numPr>
        <w:tabs>
          <w:tab w:val="left" w:pos="522"/>
        </w:tabs>
        <w:spacing w:before="0" w:line="240" w:lineRule="atLeast"/>
        <w:ind w:firstLine="348" w:firstLineChars="200"/>
        <w:rPr>
          <w:rFonts w:hint="eastAsia"/>
          <w:sz w:val="18"/>
        </w:rPr>
      </w:pPr>
      <w:r>
        <w:rPr>
          <w:rFonts w:hint="eastAsia"/>
          <w:spacing w:val="-3"/>
          <w:sz w:val="18"/>
          <w:lang w:eastAsia="zh-CN"/>
        </w:rPr>
        <w:t>（</w:t>
      </w:r>
      <w:r>
        <w:rPr>
          <w:rFonts w:hint="eastAsia"/>
          <w:spacing w:val="-3"/>
          <w:sz w:val="18"/>
          <w:lang w:val="en-US" w:eastAsia="zh-CN"/>
        </w:rPr>
        <w:t>1</w:t>
      </w:r>
      <w:r>
        <w:rPr>
          <w:rFonts w:hint="eastAsia"/>
          <w:spacing w:val="-3"/>
          <w:sz w:val="18"/>
          <w:lang w:eastAsia="zh-CN"/>
        </w:rPr>
        <w:t>）耗材：</w:t>
      </w:r>
      <w:r>
        <w:rPr>
          <w:rFonts w:hint="eastAsia"/>
          <w:spacing w:val="-3"/>
          <w:sz w:val="18"/>
        </w:rPr>
        <w:t>合同签订后</w:t>
      </w:r>
      <w:r>
        <w:rPr>
          <w:rFonts w:ascii="Verdana"/>
          <w:sz w:val="18"/>
          <w:u w:val="single"/>
        </w:rPr>
        <w:t xml:space="preserve">    </w:t>
      </w:r>
      <w:r>
        <w:rPr>
          <w:rFonts w:hint="eastAsia"/>
          <w:sz w:val="18"/>
        </w:rPr>
        <w:t>个工作日</w:t>
      </w:r>
    </w:p>
    <w:p>
      <w:pPr>
        <w:pStyle w:val="329"/>
        <w:numPr>
          <w:ilvl w:val="0"/>
          <w:numId w:val="0"/>
        </w:numPr>
        <w:tabs>
          <w:tab w:val="left" w:pos="522"/>
        </w:tabs>
        <w:spacing w:before="0" w:line="240" w:lineRule="atLeast"/>
        <w:ind w:firstLine="360" w:firstLineChars="200"/>
        <w:rPr>
          <w:rFonts w:hint="eastAsia"/>
          <w:sz w:val="18"/>
        </w:rPr>
      </w:pPr>
      <w:r>
        <w:rPr>
          <w:rFonts w:hint="eastAsia"/>
          <w:sz w:val="18"/>
          <w:lang w:eastAsia="zh-CN"/>
        </w:rPr>
        <w:t>（</w:t>
      </w:r>
      <w:r>
        <w:rPr>
          <w:rFonts w:hint="eastAsia"/>
          <w:sz w:val="18"/>
          <w:lang w:val="en-US" w:eastAsia="zh-CN"/>
        </w:rPr>
        <w:t>2</w:t>
      </w:r>
      <w:r>
        <w:rPr>
          <w:rFonts w:hint="eastAsia"/>
          <w:sz w:val="18"/>
          <w:lang w:eastAsia="zh-CN"/>
        </w:rPr>
        <w:t>）设备：</w:t>
      </w:r>
      <w:r>
        <w:rPr>
          <w:rFonts w:hint="eastAsia"/>
          <w:spacing w:val="-3"/>
          <w:sz w:val="18"/>
        </w:rPr>
        <w:t>合同签订后</w:t>
      </w:r>
      <w:r>
        <w:rPr>
          <w:rFonts w:ascii="Verdana"/>
          <w:sz w:val="18"/>
          <w:u w:val="single"/>
        </w:rPr>
        <w:t xml:space="preserve">    </w:t>
      </w:r>
      <w:r>
        <w:rPr>
          <w:rFonts w:hint="eastAsia"/>
          <w:sz w:val="18"/>
        </w:rPr>
        <w:t>个工作日</w:t>
      </w:r>
    </w:p>
    <w:p>
      <w:pPr>
        <w:pStyle w:val="329"/>
        <w:numPr>
          <w:ilvl w:val="0"/>
          <w:numId w:val="0"/>
        </w:numPr>
        <w:tabs>
          <w:tab w:val="left" w:pos="522"/>
        </w:tabs>
        <w:spacing w:before="0" w:line="240" w:lineRule="atLeast"/>
        <w:ind w:firstLine="340" w:firstLineChars="200"/>
        <w:rPr>
          <w:sz w:val="18"/>
        </w:rPr>
      </w:pPr>
      <w:r>
        <w:rPr>
          <w:rFonts w:hint="eastAsia"/>
          <w:spacing w:val="-5"/>
          <w:sz w:val="18"/>
          <w:lang w:val="en-US" w:eastAsia="zh-CN"/>
        </w:rPr>
        <w:t>2、</w:t>
      </w:r>
      <w:r>
        <w:rPr>
          <w:rFonts w:hint="eastAsia"/>
          <w:spacing w:val="-5"/>
          <w:sz w:val="18"/>
        </w:rPr>
        <w:t>交货方式：</w:t>
      </w:r>
      <w:r>
        <w:rPr>
          <w:spacing w:val="-5"/>
          <w:sz w:val="18"/>
        </w:rPr>
        <w:t xml:space="preserve"> </w:t>
      </w:r>
      <w:r>
        <w:rPr>
          <w:rFonts w:hint="eastAsia"/>
          <w:spacing w:val="-5"/>
          <w:sz w:val="18"/>
        </w:rPr>
        <w:t>按甲方指定地点</w:t>
      </w:r>
      <w:r>
        <w:rPr>
          <w:rFonts w:hint="eastAsia"/>
          <w:sz w:val="18"/>
        </w:rPr>
        <w:t>送货上门</w:t>
      </w:r>
    </w:p>
    <w:p>
      <w:pPr>
        <w:pStyle w:val="329"/>
        <w:numPr>
          <w:ilvl w:val="0"/>
          <w:numId w:val="0"/>
        </w:numPr>
        <w:tabs>
          <w:tab w:val="left" w:pos="522"/>
        </w:tabs>
        <w:spacing w:before="0" w:line="240" w:lineRule="atLeast"/>
        <w:ind w:firstLine="316" w:firstLineChars="200"/>
        <w:rPr>
          <w:sz w:val="18"/>
        </w:rPr>
      </w:pPr>
      <w:r>
        <w:rPr>
          <w:rFonts w:hint="eastAsia"/>
          <w:spacing w:val="-11"/>
          <w:sz w:val="18"/>
          <w:lang w:val="en-US" w:eastAsia="zh-CN"/>
        </w:rPr>
        <w:t>3、</w:t>
      </w:r>
      <w:r>
        <w:rPr>
          <w:rFonts w:hint="eastAsia"/>
          <w:spacing w:val="-11"/>
          <w:sz w:val="18"/>
        </w:rPr>
        <w:t>交货地点：</w:t>
      </w:r>
      <w:r>
        <w:rPr>
          <w:rFonts w:hint="eastAsia"/>
          <w:spacing w:val="-11"/>
          <w:sz w:val="18"/>
          <w:lang w:eastAsia="zh-CN"/>
        </w:rPr>
        <w:t>甲方指定地点</w:t>
      </w:r>
    </w:p>
    <w:p>
      <w:pPr>
        <w:tabs>
          <w:tab w:val="left" w:pos="522"/>
        </w:tabs>
        <w:spacing w:line="240" w:lineRule="atLeast"/>
        <w:ind w:right="5231" w:rightChars="2491"/>
        <w:rPr>
          <w:b/>
          <w:sz w:val="18"/>
        </w:rPr>
      </w:pPr>
      <w:r>
        <w:rPr>
          <w:rFonts w:hint="eastAsia"/>
          <w:b/>
          <w:spacing w:val="10"/>
          <w:sz w:val="18"/>
        </w:rPr>
        <w:t>八、货款支付</w:t>
      </w:r>
    </w:p>
    <w:p>
      <w:pPr>
        <w:pStyle w:val="22"/>
        <w:numPr>
          <w:ilvl w:val="0"/>
          <w:numId w:val="0"/>
        </w:numPr>
        <w:spacing w:line="240" w:lineRule="atLeast"/>
        <w:ind w:leftChars="0" w:firstLine="361" w:firstLineChars="200"/>
        <w:rPr>
          <w:sz w:val="18"/>
          <w:highlight w:val="none"/>
        </w:rPr>
      </w:pPr>
      <w:r>
        <w:rPr>
          <w:rFonts w:hint="eastAsia"/>
          <w:sz w:val="18"/>
          <w:highlight w:val="none"/>
          <w:lang w:val="en-US" w:eastAsia="zh-CN"/>
        </w:rPr>
        <w:t>1、</w:t>
      </w:r>
      <w:r>
        <w:rPr>
          <w:rFonts w:hint="eastAsia"/>
          <w:sz w:val="18"/>
          <w:highlight w:val="none"/>
        </w:rPr>
        <w:t>耗材付款：甲方对耗材验收合格后每月</w:t>
      </w:r>
      <w:r>
        <w:rPr>
          <w:rFonts w:hint="eastAsia"/>
          <w:sz w:val="18"/>
          <w:highlight w:val="none"/>
          <w:lang w:eastAsia="zh-CN"/>
        </w:rPr>
        <w:t>按</w:t>
      </w:r>
      <w:r>
        <w:rPr>
          <w:rFonts w:hint="eastAsia"/>
          <w:sz w:val="18"/>
          <w:highlight w:val="none"/>
        </w:rPr>
        <w:t>实际使用量乘以成交单价进行计算。乙方开具发票，甲方在收到乙方发票后</w:t>
      </w:r>
      <w:r>
        <w:rPr>
          <w:rFonts w:hint="eastAsia"/>
          <w:sz w:val="18"/>
          <w:highlight w:val="none"/>
          <w:u w:val="single"/>
          <w:lang w:val="en-US" w:eastAsia="zh-CN"/>
        </w:rPr>
        <w:t xml:space="preserve">       </w:t>
      </w:r>
      <w:r>
        <w:rPr>
          <w:rFonts w:hint="eastAsia"/>
          <w:sz w:val="18"/>
          <w:highlight w:val="none"/>
          <w:u w:val="none"/>
          <w:lang w:val="en-US" w:eastAsia="zh-CN"/>
        </w:rPr>
        <w:t>日</w:t>
      </w:r>
      <w:r>
        <w:rPr>
          <w:rFonts w:hint="eastAsia"/>
          <w:sz w:val="18"/>
          <w:highlight w:val="none"/>
        </w:rPr>
        <w:t>内支付。（乙方必须开具</w:t>
      </w:r>
      <w:r>
        <w:rPr>
          <w:rFonts w:hint="eastAsia"/>
          <w:sz w:val="18"/>
          <w:highlight w:val="none"/>
          <w:lang w:eastAsia="zh-CN"/>
        </w:rPr>
        <w:t>相应</w:t>
      </w:r>
      <w:r>
        <w:rPr>
          <w:rFonts w:hint="eastAsia"/>
          <w:sz w:val="18"/>
          <w:highlight w:val="none"/>
        </w:rPr>
        <w:t>金额100%的增值税</w:t>
      </w:r>
      <w:r>
        <w:rPr>
          <w:rFonts w:hint="eastAsia"/>
          <w:sz w:val="18"/>
          <w:highlight w:val="none"/>
          <w:lang w:eastAsia="zh-CN"/>
        </w:rPr>
        <w:t>专用</w:t>
      </w:r>
      <w:r>
        <w:rPr>
          <w:rFonts w:hint="eastAsia"/>
          <w:sz w:val="18"/>
          <w:highlight w:val="none"/>
        </w:rPr>
        <w:t>发票）</w:t>
      </w:r>
    </w:p>
    <w:p>
      <w:pPr>
        <w:pStyle w:val="22"/>
        <w:numPr>
          <w:ilvl w:val="0"/>
          <w:numId w:val="0"/>
        </w:numPr>
        <w:spacing w:line="240" w:lineRule="atLeast"/>
        <w:ind w:leftChars="0" w:firstLine="361" w:firstLineChars="200"/>
        <w:rPr>
          <w:sz w:val="18"/>
          <w:highlight w:val="none"/>
        </w:rPr>
      </w:pPr>
      <w:r>
        <w:rPr>
          <w:rFonts w:hint="eastAsia"/>
          <w:sz w:val="18"/>
          <w:highlight w:val="none"/>
          <w:lang w:val="en-US" w:eastAsia="zh-CN"/>
        </w:rPr>
        <w:t>2、</w:t>
      </w:r>
      <w:r>
        <w:rPr>
          <w:rFonts w:hint="eastAsia"/>
          <w:sz w:val="18"/>
          <w:highlight w:val="none"/>
          <w:lang w:eastAsia="zh-CN"/>
        </w:rPr>
        <w:t>租赁设备付款：</w:t>
      </w:r>
      <w:r>
        <w:rPr>
          <w:rFonts w:hint="eastAsia"/>
          <w:sz w:val="18"/>
          <w:highlight w:val="none"/>
        </w:rPr>
        <w:t>设备租赁费在合作期满后</w:t>
      </w:r>
      <w:r>
        <w:rPr>
          <w:rFonts w:hint="eastAsia"/>
          <w:sz w:val="18"/>
          <w:highlight w:val="none"/>
          <w:u w:val="single"/>
          <w:lang w:val="en-US" w:eastAsia="zh-CN"/>
        </w:rPr>
        <w:t xml:space="preserve">     </w:t>
      </w:r>
      <w:r>
        <w:rPr>
          <w:rFonts w:hint="eastAsia"/>
          <w:sz w:val="18"/>
          <w:highlight w:val="none"/>
          <w:u w:val="none"/>
          <w:lang w:val="en-US" w:eastAsia="zh-CN"/>
        </w:rPr>
        <w:t>日内</w:t>
      </w:r>
      <w:r>
        <w:rPr>
          <w:rFonts w:hint="eastAsia"/>
          <w:sz w:val="18"/>
          <w:highlight w:val="none"/>
        </w:rPr>
        <w:t>，</w:t>
      </w:r>
      <w:r>
        <w:rPr>
          <w:rFonts w:hint="eastAsia"/>
          <w:sz w:val="18"/>
          <w:highlight w:val="none"/>
          <w:lang w:eastAsia="zh-CN"/>
        </w:rPr>
        <w:t>按实际租赁期限计算租赁费，</w:t>
      </w:r>
      <w:r>
        <w:rPr>
          <w:rFonts w:hint="eastAsia"/>
          <w:sz w:val="18"/>
          <w:highlight w:val="none"/>
        </w:rPr>
        <w:t>乙方开具发票，甲方在收到乙方发票后</w:t>
      </w:r>
      <w:r>
        <w:rPr>
          <w:rFonts w:hint="eastAsia"/>
          <w:sz w:val="18"/>
          <w:highlight w:val="none"/>
          <w:u w:val="single"/>
          <w:lang w:val="en-US" w:eastAsia="zh-CN"/>
        </w:rPr>
        <w:t xml:space="preserve">       </w:t>
      </w:r>
      <w:r>
        <w:rPr>
          <w:rFonts w:hint="eastAsia"/>
          <w:sz w:val="18"/>
          <w:highlight w:val="none"/>
          <w:u w:val="none"/>
          <w:lang w:val="en-US" w:eastAsia="zh-CN"/>
        </w:rPr>
        <w:t>日</w:t>
      </w:r>
      <w:r>
        <w:rPr>
          <w:rFonts w:hint="eastAsia"/>
          <w:sz w:val="18"/>
          <w:highlight w:val="none"/>
        </w:rPr>
        <w:t>内一次性支付</w:t>
      </w:r>
      <w:r>
        <w:rPr>
          <w:rFonts w:hint="eastAsia"/>
          <w:sz w:val="18"/>
          <w:highlight w:val="none"/>
          <w:lang w:eastAsia="zh-CN"/>
        </w:rPr>
        <w:t>。</w:t>
      </w:r>
    </w:p>
    <w:p>
      <w:pPr>
        <w:pStyle w:val="5"/>
        <w:spacing w:before="0" w:line="240" w:lineRule="atLeast"/>
        <w:ind w:left="0"/>
        <w:rPr>
          <w:sz w:val="18"/>
        </w:rPr>
      </w:pPr>
      <w:r>
        <w:rPr>
          <w:rFonts w:hint="eastAsia"/>
          <w:sz w:val="18"/>
        </w:rPr>
        <w:t>九、税费</w:t>
      </w:r>
    </w:p>
    <w:p>
      <w:pPr>
        <w:pStyle w:val="22"/>
        <w:spacing w:line="240" w:lineRule="atLeast"/>
        <w:ind w:firstLine="361" w:firstLineChars="200"/>
        <w:rPr>
          <w:sz w:val="18"/>
        </w:rPr>
      </w:pPr>
      <w:r>
        <w:rPr>
          <w:rFonts w:hint="eastAsia"/>
          <w:sz w:val="18"/>
        </w:rPr>
        <w:t>本合同执行中相关的一切税费均由乙方负担。</w:t>
      </w:r>
    </w:p>
    <w:p>
      <w:pPr>
        <w:pStyle w:val="5"/>
        <w:spacing w:before="0" w:line="240" w:lineRule="atLeast"/>
        <w:ind w:left="0"/>
        <w:rPr>
          <w:sz w:val="18"/>
        </w:rPr>
      </w:pPr>
      <w:r>
        <w:rPr>
          <w:rFonts w:hint="eastAsia"/>
          <w:sz w:val="18"/>
        </w:rPr>
        <w:t>十、质量保证及售后服务</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乙方保证本合同中所供应的</w:t>
      </w:r>
      <w:r>
        <w:rPr>
          <w:rFonts w:hint="eastAsia"/>
          <w:sz w:val="18"/>
          <w:lang w:eastAsia="zh-CN"/>
        </w:rPr>
        <w:t>货物</w:t>
      </w:r>
      <w:r>
        <w:rPr>
          <w:rFonts w:hint="eastAsia"/>
          <w:sz w:val="18"/>
        </w:rPr>
        <w:t>是最新生产的符合国家技术规格和质量标准的出厂原装合格产品。如发生所供</w:t>
      </w:r>
      <w:r>
        <w:rPr>
          <w:rFonts w:hint="eastAsia"/>
          <w:sz w:val="18"/>
          <w:lang w:eastAsia="zh-CN"/>
        </w:rPr>
        <w:t>货物</w:t>
      </w:r>
      <w:r>
        <w:rPr>
          <w:rFonts w:hint="eastAsia"/>
          <w:sz w:val="18"/>
        </w:rPr>
        <w:t>与合同不符，甲方有权拒收或退货，由此产生的一切责任和后果由乙方承担。</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乙方提供的货物在质保期内因货物本身质量</w:t>
      </w:r>
      <w:r>
        <w:rPr>
          <w:rFonts w:hint="eastAsia"/>
          <w:sz w:val="18"/>
          <w:lang w:eastAsia="zh-CN"/>
        </w:rPr>
        <w:t>存在问题</w:t>
      </w:r>
      <w:r>
        <w:rPr>
          <w:rFonts w:hint="eastAsia"/>
          <w:sz w:val="18"/>
        </w:rPr>
        <w:t>，乙方应负责免费更换。对达不到</w:t>
      </w:r>
      <w:r>
        <w:rPr>
          <w:rFonts w:hint="eastAsia"/>
          <w:sz w:val="18"/>
          <w:lang w:eastAsia="zh-CN"/>
        </w:rPr>
        <w:t>质量标准</w:t>
      </w:r>
      <w:r>
        <w:rPr>
          <w:rFonts w:hint="eastAsia"/>
          <w:sz w:val="18"/>
        </w:rPr>
        <w:t>要求者，根据实际情况，经双方协商，可按以下办法处理：</w:t>
      </w:r>
    </w:p>
    <w:p>
      <w:pPr>
        <w:pStyle w:val="329"/>
        <w:numPr>
          <w:ilvl w:val="0"/>
          <w:numId w:val="0"/>
        </w:numPr>
        <w:tabs>
          <w:tab w:val="left" w:pos="797"/>
        </w:tabs>
        <w:spacing w:before="0" w:line="240" w:lineRule="atLeast"/>
        <w:ind w:firstLine="360" w:firstLineChars="200"/>
        <w:rPr>
          <w:sz w:val="18"/>
        </w:rPr>
      </w:pPr>
      <w:r>
        <w:rPr>
          <w:rFonts w:hint="eastAsia"/>
          <w:sz w:val="18"/>
          <w:lang w:eastAsia="zh-CN"/>
        </w:rPr>
        <w:t>（</w:t>
      </w:r>
      <w:r>
        <w:rPr>
          <w:rFonts w:hint="eastAsia"/>
          <w:sz w:val="18"/>
          <w:lang w:val="en-US" w:eastAsia="zh-CN"/>
        </w:rPr>
        <w:t>1</w:t>
      </w:r>
      <w:r>
        <w:rPr>
          <w:rFonts w:hint="eastAsia"/>
          <w:sz w:val="18"/>
          <w:lang w:eastAsia="zh-CN"/>
        </w:rPr>
        <w:t>）</w:t>
      </w:r>
      <w:r>
        <w:rPr>
          <w:rFonts w:hint="eastAsia"/>
          <w:sz w:val="18"/>
        </w:rPr>
        <w:t>更换：由乙方承担所发生的全部费用。</w:t>
      </w:r>
    </w:p>
    <w:p>
      <w:pPr>
        <w:pStyle w:val="329"/>
        <w:numPr>
          <w:ilvl w:val="0"/>
          <w:numId w:val="0"/>
        </w:numPr>
        <w:tabs>
          <w:tab w:val="left" w:pos="797"/>
        </w:tabs>
        <w:spacing w:before="0" w:line="240" w:lineRule="atLeast"/>
        <w:ind w:firstLine="360" w:firstLineChars="200"/>
        <w:rPr>
          <w:sz w:val="18"/>
        </w:rPr>
      </w:pPr>
      <w:r>
        <w:rPr>
          <w:rFonts w:hint="eastAsia"/>
          <w:sz w:val="18"/>
          <w:lang w:eastAsia="zh-CN"/>
        </w:rPr>
        <w:t>（</w:t>
      </w:r>
      <w:r>
        <w:rPr>
          <w:rFonts w:hint="eastAsia"/>
          <w:sz w:val="18"/>
          <w:lang w:val="en-US" w:eastAsia="zh-CN"/>
        </w:rPr>
        <w:t>2</w:t>
      </w:r>
      <w:r>
        <w:rPr>
          <w:rFonts w:hint="eastAsia"/>
          <w:sz w:val="18"/>
          <w:lang w:eastAsia="zh-CN"/>
        </w:rPr>
        <w:t>）</w:t>
      </w:r>
      <w:r>
        <w:rPr>
          <w:rFonts w:hint="eastAsia"/>
          <w:sz w:val="18"/>
        </w:rPr>
        <w:t>退货处理：乙方应退还甲方支付的合同款，同时应承担该货物的直接费用（运输、保险、检验、货款利息及银行手续费等）。</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在质保期内，乙方应对货物出现的质量及安全问题负责处理解决并承担一切费用。</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lang w:eastAsia="zh-CN"/>
        </w:rPr>
        <w:t>租赁的设备</w:t>
      </w:r>
      <w:r>
        <w:rPr>
          <w:rFonts w:hint="eastAsia"/>
          <w:sz w:val="18"/>
        </w:rPr>
        <w:t>在</w:t>
      </w:r>
      <w:r>
        <w:rPr>
          <w:rFonts w:hint="eastAsia"/>
          <w:sz w:val="18"/>
          <w:lang w:eastAsia="zh-CN"/>
        </w:rPr>
        <w:t>租赁</w:t>
      </w:r>
      <w:r>
        <w:rPr>
          <w:rFonts w:hint="eastAsia"/>
          <w:sz w:val="18"/>
        </w:rPr>
        <w:t>期内免费保修，因人为因素出现的故障不在免费保修范围内。</w:t>
      </w:r>
      <w:r>
        <w:rPr>
          <w:rFonts w:hint="eastAsia"/>
          <w:sz w:val="18"/>
          <w:lang w:eastAsia="zh-CN"/>
        </w:rPr>
        <w:t>若设备发生故障，</w:t>
      </w:r>
      <w:r>
        <w:rPr>
          <w:rFonts w:hint="eastAsia"/>
          <w:sz w:val="18"/>
        </w:rPr>
        <w:t>乙方应当在甲方通知维修后</w:t>
      </w:r>
      <w:r>
        <w:rPr>
          <w:rFonts w:hint="eastAsia"/>
          <w:sz w:val="18"/>
          <w:lang w:val="en-US" w:eastAsia="zh-CN"/>
        </w:rPr>
        <w:t>2小时</w:t>
      </w:r>
      <w:r>
        <w:rPr>
          <w:rFonts w:hint="eastAsia"/>
          <w:sz w:val="18"/>
        </w:rPr>
        <w:t>内到达</w:t>
      </w:r>
      <w:r>
        <w:rPr>
          <w:rFonts w:hint="eastAsia"/>
          <w:sz w:val="18"/>
          <w:lang w:eastAsia="zh-CN"/>
        </w:rPr>
        <w:t>设备</w:t>
      </w:r>
      <w:r>
        <w:rPr>
          <w:rFonts w:hint="eastAsia"/>
          <w:sz w:val="18"/>
        </w:rPr>
        <w:t>所在地进行维修。</w:t>
      </w:r>
      <w:r>
        <w:rPr>
          <w:rFonts w:hint="eastAsia"/>
          <w:color w:val="FF0000"/>
          <w:sz w:val="18"/>
          <w:lang w:eastAsia="zh-CN"/>
        </w:rPr>
        <w:t>若设备在</w:t>
      </w:r>
      <w:r>
        <w:rPr>
          <w:rFonts w:hint="eastAsia"/>
          <w:color w:val="FF0000"/>
          <w:sz w:val="18"/>
          <w:lang w:val="en-US" w:eastAsia="zh-CN"/>
        </w:rPr>
        <w:t>X小时内无法维修，</w:t>
      </w:r>
      <w:r>
        <w:rPr>
          <w:rFonts w:hint="eastAsia"/>
          <w:sz w:val="18"/>
          <w:lang w:val="en-US" w:eastAsia="zh-CN"/>
        </w:rPr>
        <w:t>乙方应当提供备用的设备供甲方使用。</w:t>
      </w:r>
    </w:p>
    <w:p>
      <w:pPr>
        <w:pStyle w:val="5"/>
        <w:spacing w:before="0" w:line="240" w:lineRule="atLeast"/>
        <w:ind w:left="0"/>
        <w:rPr>
          <w:sz w:val="18"/>
        </w:rPr>
      </w:pPr>
      <w:r>
        <w:rPr>
          <w:rFonts w:hint="eastAsia"/>
          <w:sz w:val="18"/>
        </w:rPr>
        <w:t>十一、调试和验收</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甲方对乙方提交的货物依据招标文件上的技术规格要求和国家有关质量标准进行现场验收。货到后，甲方需在二十个工作日内验收（质量等隐蔽瑕疵除外）。</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乙方交货前应对</w:t>
      </w:r>
      <w:r>
        <w:rPr>
          <w:rFonts w:hint="eastAsia"/>
          <w:sz w:val="18"/>
          <w:lang w:eastAsia="zh-CN"/>
        </w:rPr>
        <w:t>货物</w:t>
      </w:r>
      <w:r>
        <w:rPr>
          <w:rFonts w:hint="eastAsia"/>
          <w:sz w:val="18"/>
        </w:rPr>
        <w:t>作出全面检查和对验收文件进行整理，并列出清单，作为甲方收货验收和使用的技术条件依据，检验的结果应随货物交甲方。</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甲方对乙方提供的</w:t>
      </w:r>
      <w:r>
        <w:rPr>
          <w:rFonts w:hint="eastAsia"/>
          <w:sz w:val="18"/>
          <w:lang w:eastAsia="zh-CN"/>
        </w:rPr>
        <w:t>设备</w:t>
      </w:r>
      <w:r>
        <w:rPr>
          <w:rFonts w:hint="eastAsia"/>
          <w:sz w:val="18"/>
        </w:rPr>
        <w:t>在使用前进行调试时，乙方需负责安装并培训甲方的使用操作人员，并协助甲方一起调试，直到符合技术要求，甲方才做最终验收。</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rPr>
        <w:t>对技术复杂的货物，甲方应请国家认可的专业检测机构参与验收，并由其出具质量检测报告。</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5、</w:t>
      </w:r>
      <w:r>
        <w:rPr>
          <w:rFonts w:hint="eastAsia"/>
          <w:sz w:val="18"/>
        </w:rPr>
        <w:t>验收时乙方必须在现场，验收完毕后作出验收结果报告；验收费用由乙方负责。</w:t>
      </w:r>
    </w:p>
    <w:p>
      <w:pPr>
        <w:pStyle w:val="5"/>
        <w:spacing w:before="0" w:line="240" w:lineRule="atLeast"/>
        <w:ind w:left="0"/>
        <w:rPr>
          <w:sz w:val="18"/>
        </w:rPr>
      </w:pPr>
      <w:r>
        <w:rPr>
          <w:rFonts w:hint="eastAsia"/>
          <w:sz w:val="18"/>
        </w:rPr>
        <w:t>十二、货物包装</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乙方应在货物发运前对其进行满足运输距离、防潮、防震、防锈和防破损装卸等要求包装，以保证货物安全运达甲方指定地点。</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使用说明书、质量检验证明书、随配附件和工具以及清单一并附于货物内</w:t>
      </w:r>
      <w:r>
        <w:rPr>
          <w:rFonts w:hint="eastAsia"/>
          <w:spacing w:val="-1"/>
          <w:w w:val="95"/>
          <w:sz w:val="18"/>
        </w:rPr>
        <w:t>。</w:t>
      </w:r>
    </w:p>
    <w:p>
      <w:pPr>
        <w:pStyle w:val="329"/>
        <w:tabs>
          <w:tab w:val="left" w:pos="522"/>
        </w:tabs>
        <w:spacing w:before="0" w:line="240" w:lineRule="atLeast"/>
        <w:ind w:left="0" w:right="4267" w:rightChars="2032" w:firstLine="0"/>
        <w:rPr>
          <w:b/>
          <w:sz w:val="18"/>
        </w:rPr>
      </w:pPr>
      <w:r>
        <w:rPr>
          <w:rFonts w:hint="eastAsia"/>
          <w:b/>
          <w:spacing w:val="10"/>
          <w:sz w:val="18"/>
        </w:rPr>
        <w:t>十三、违约责任</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甲方无正当理由拒收货物的，甲方向乙方偿付拒收货款总值的</w:t>
      </w:r>
      <w:r>
        <w:rPr>
          <w:spacing w:val="3"/>
          <w:sz w:val="18"/>
          <w:u w:val="single"/>
        </w:rPr>
        <w:t xml:space="preserve"> </w:t>
      </w:r>
      <w:r>
        <w:rPr>
          <w:rFonts w:hint="eastAsia"/>
          <w:spacing w:val="3"/>
          <w:sz w:val="18"/>
          <w:u w:val="single"/>
        </w:rPr>
        <w:t>百分之五</w:t>
      </w:r>
      <w:r>
        <w:rPr>
          <w:spacing w:val="45"/>
          <w:sz w:val="18"/>
        </w:rPr>
        <w:t xml:space="preserve"> </w:t>
      </w:r>
      <w:r>
        <w:rPr>
          <w:rFonts w:hint="eastAsia"/>
          <w:sz w:val="18"/>
        </w:rPr>
        <w:t>违约金。</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乙方逾期交付货物的，乙方应按逾期交货总额每日</w:t>
      </w:r>
      <w:r>
        <w:rPr>
          <w:spacing w:val="15"/>
          <w:sz w:val="18"/>
          <w:u w:val="single"/>
        </w:rPr>
        <w:t xml:space="preserve"> </w:t>
      </w:r>
      <w:r>
        <w:rPr>
          <w:rFonts w:hint="eastAsia"/>
          <w:spacing w:val="15"/>
          <w:sz w:val="18"/>
          <w:u w:val="single"/>
        </w:rPr>
        <w:t>千分之六</w:t>
      </w:r>
      <w:r>
        <w:rPr>
          <w:spacing w:val="29"/>
          <w:sz w:val="18"/>
        </w:rPr>
        <w:t xml:space="preserve"> </w:t>
      </w:r>
      <w:r>
        <w:rPr>
          <w:rFonts w:hint="eastAsia"/>
          <w:sz w:val="18"/>
        </w:rPr>
        <w:t>向甲方支付违约金，由甲方从待付货款中扣除。逾期超过约定日期</w:t>
      </w:r>
      <w:r>
        <w:rPr>
          <w:rFonts w:ascii="Times New Roman" w:eastAsia="Times New Roman"/>
          <w:w w:val="98"/>
          <w:sz w:val="18"/>
          <w:u w:val="single"/>
        </w:rPr>
        <w:t xml:space="preserve"> </w:t>
      </w:r>
      <w:r>
        <w:rPr>
          <w:rFonts w:ascii="Times New Roman" w:eastAsia="Times New Roman"/>
          <w:sz w:val="18"/>
          <w:u w:val="single"/>
        </w:rPr>
        <w:t xml:space="preserve">  </w:t>
      </w:r>
      <w:r>
        <w:rPr>
          <w:rFonts w:ascii="Verdana" w:eastAsia="Times New Roman"/>
          <w:sz w:val="18"/>
          <w:u w:val="single"/>
        </w:rPr>
        <w:t xml:space="preserve">10 </w:t>
      </w:r>
      <w:r>
        <w:rPr>
          <w:rFonts w:hint="eastAsia"/>
          <w:sz w:val="18"/>
        </w:rPr>
        <w:t>个工作日不能交货的，甲方可解除本合同。乙方因逾期交货或因其他违约行为导致甲方解除合同的，乙方应向甲方支付合同总值</w:t>
      </w:r>
      <w:r>
        <w:rPr>
          <w:rFonts w:hint="eastAsia"/>
          <w:sz w:val="18"/>
          <w:lang w:val="en-US" w:eastAsia="zh-CN"/>
        </w:rPr>
        <w:t xml:space="preserve"> </w:t>
      </w:r>
      <w:r>
        <w:rPr>
          <w:rFonts w:ascii="Verdana" w:eastAsia="Times New Roman"/>
          <w:sz w:val="18"/>
          <w:u w:val="single"/>
        </w:rPr>
        <w:t>5</w:t>
      </w:r>
      <w:r>
        <w:rPr>
          <w:rFonts w:hint="eastAsia" w:ascii="Verdana"/>
          <w:sz w:val="18"/>
          <w:u w:val="single"/>
          <w:lang w:val="en-US" w:eastAsia="zh-CN"/>
        </w:rPr>
        <w:t xml:space="preserve"> </w:t>
      </w:r>
      <w:r>
        <w:rPr>
          <w:rFonts w:ascii="Verdana" w:eastAsia="Times New Roman"/>
          <w:sz w:val="18"/>
        </w:rPr>
        <w:t>%</w:t>
      </w:r>
      <w:r>
        <w:rPr>
          <w:rFonts w:hint="eastAsia"/>
          <w:sz w:val="18"/>
        </w:rPr>
        <w:t>的违约金，如造成甲方损失超过违约金的，超出部分由乙方继续承担赔偿责任。</w:t>
      </w:r>
    </w:p>
    <w:p>
      <w:pPr>
        <w:pStyle w:val="329"/>
        <w:numPr>
          <w:ilvl w:val="0"/>
          <w:numId w:val="0"/>
        </w:numPr>
        <w:tabs>
          <w:tab w:val="left" w:pos="522"/>
        </w:tabs>
        <w:spacing w:before="0" w:line="240" w:lineRule="atLeast"/>
        <w:ind w:firstLine="360" w:firstLineChars="200"/>
        <w:rPr>
          <w:sz w:val="18"/>
        </w:rPr>
      </w:pPr>
      <w:r>
        <w:rPr>
          <w:rFonts w:hint="eastAsia"/>
          <w:sz w:val="18"/>
          <w:szCs w:val="17"/>
          <w:lang w:val="en-US" w:eastAsia="zh-CN"/>
        </w:rPr>
        <w:t>3、</w:t>
      </w:r>
      <w:r>
        <w:rPr>
          <w:rFonts w:hint="eastAsia"/>
          <w:sz w:val="18"/>
          <w:szCs w:val="17"/>
        </w:rPr>
        <w:t>乙方所交的货物品种、型号、规格、技术参数、质量不符合合同规定及招标文件规定标准的，甲方有权拒收该货物，乙方愿意更换货物，</w:t>
      </w:r>
      <w:r>
        <w:rPr>
          <w:rFonts w:hint="eastAsia"/>
          <w:sz w:val="18"/>
        </w:rPr>
        <w:t>但逾期交货的，按乙方逾期交货处理。乙方拒绝更换货物的，甲方可单方面解除合同。</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lang w:eastAsia="zh-CN"/>
        </w:rPr>
        <w:t>由于乙方所提供的货物存在问题，给第三人人身或财产造成损害的，由乙方承担赔偿责任。若甲方承担赔偿责任后，有权向乙方追偿，包括但不限于律师费、诉讼费、交通费等。</w:t>
      </w:r>
    </w:p>
    <w:p>
      <w:pPr>
        <w:pStyle w:val="5"/>
        <w:spacing w:before="0" w:line="240" w:lineRule="atLeast"/>
        <w:ind w:left="0"/>
        <w:rPr>
          <w:sz w:val="18"/>
        </w:rPr>
      </w:pPr>
      <w:r>
        <w:rPr>
          <w:rFonts w:hint="eastAsia"/>
          <w:sz w:val="18"/>
        </w:rPr>
        <w:t>十四、不可抗力事件处理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1、</w:t>
      </w:r>
      <w:r>
        <w:rPr>
          <w:rFonts w:hint="eastAsia"/>
          <w:sz w:val="18"/>
        </w:rPr>
        <w:t>在合同有效期内，任何一方因不可抗力事件导致不能履行合同，则合同履行期可延长，其延长期与不可抗力影响期相同。</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2、</w:t>
      </w:r>
      <w:r>
        <w:rPr>
          <w:rFonts w:hint="eastAsia"/>
          <w:sz w:val="18"/>
        </w:rPr>
        <w:t>不可抗力事件发生后，应立即通知对方，并寄送有关权威机构出具的证明。</w:t>
      </w:r>
    </w:p>
    <w:p>
      <w:pPr>
        <w:pStyle w:val="329"/>
        <w:numPr>
          <w:ilvl w:val="0"/>
          <w:numId w:val="0"/>
        </w:numPr>
        <w:tabs>
          <w:tab w:val="left" w:pos="522"/>
        </w:tabs>
        <w:spacing w:before="0" w:line="240" w:lineRule="atLeast"/>
        <w:ind w:firstLine="348" w:firstLineChars="200"/>
        <w:rPr>
          <w:sz w:val="18"/>
        </w:rPr>
      </w:pPr>
      <w:r>
        <w:rPr>
          <w:rFonts w:hint="eastAsia"/>
          <w:spacing w:val="-3"/>
          <w:sz w:val="18"/>
          <w:lang w:val="en-US" w:eastAsia="zh-CN"/>
        </w:rPr>
        <w:t>3、</w:t>
      </w:r>
      <w:r>
        <w:rPr>
          <w:rFonts w:hint="eastAsia"/>
          <w:spacing w:val="-3"/>
          <w:sz w:val="18"/>
        </w:rPr>
        <w:t>不可抗力事件延续</w:t>
      </w:r>
      <w:r>
        <w:rPr>
          <w:spacing w:val="-3"/>
          <w:sz w:val="18"/>
        </w:rPr>
        <w:t xml:space="preserve"> </w:t>
      </w:r>
      <w:r>
        <w:rPr>
          <w:rFonts w:ascii="Verdana" w:eastAsia="Times New Roman"/>
          <w:sz w:val="18"/>
        </w:rPr>
        <w:t>120</w:t>
      </w:r>
      <w:r>
        <w:rPr>
          <w:rFonts w:hint="eastAsia"/>
          <w:sz w:val="18"/>
        </w:rPr>
        <w:t>天以上，双方应通过友好协商，确定是否继续履行合同。</w:t>
      </w:r>
    </w:p>
    <w:p>
      <w:pPr>
        <w:pStyle w:val="5"/>
        <w:spacing w:before="0" w:line="240" w:lineRule="atLeast"/>
        <w:ind w:left="0"/>
        <w:rPr>
          <w:sz w:val="18"/>
        </w:rPr>
      </w:pPr>
      <w:r>
        <w:rPr>
          <w:rFonts w:hint="eastAsia"/>
          <w:sz w:val="18"/>
        </w:rPr>
        <w:t>十五、诉讼</w:t>
      </w:r>
    </w:p>
    <w:p>
      <w:pPr>
        <w:pStyle w:val="22"/>
        <w:spacing w:line="240" w:lineRule="atLeast"/>
        <w:ind w:firstLine="361" w:firstLineChars="200"/>
        <w:rPr>
          <w:sz w:val="18"/>
        </w:rPr>
      </w:pPr>
      <w:r>
        <w:rPr>
          <w:rFonts w:hint="eastAsia"/>
          <w:sz w:val="18"/>
        </w:rPr>
        <w:t>双方在</w:t>
      </w:r>
      <w:r>
        <w:rPr>
          <w:rFonts w:hint="eastAsia"/>
          <w:sz w:val="18"/>
          <w:lang w:eastAsia="zh-CN"/>
        </w:rPr>
        <w:t>履行</w:t>
      </w:r>
      <w:r>
        <w:rPr>
          <w:rFonts w:hint="eastAsia"/>
          <w:sz w:val="18"/>
        </w:rPr>
        <w:t>合同中所发生的一切争议，应通过协商解决。如协商不成，可向甲方所在地法院起诉。</w:t>
      </w:r>
    </w:p>
    <w:p>
      <w:pPr>
        <w:pStyle w:val="5"/>
        <w:spacing w:before="0" w:line="240" w:lineRule="atLeast"/>
        <w:ind w:left="0"/>
        <w:rPr>
          <w:sz w:val="18"/>
        </w:rPr>
      </w:pPr>
      <w:r>
        <w:rPr>
          <w:rFonts w:hint="eastAsia"/>
          <w:sz w:val="18"/>
        </w:rPr>
        <w:t>十六、合同生效及其它</w:t>
      </w:r>
    </w:p>
    <w:p>
      <w:pPr>
        <w:pStyle w:val="329"/>
        <w:numPr>
          <w:ilvl w:val="0"/>
          <w:numId w:val="0"/>
        </w:numPr>
        <w:tabs>
          <w:tab w:val="left" w:pos="522"/>
        </w:tabs>
        <w:spacing w:before="0" w:line="240" w:lineRule="atLeast"/>
        <w:ind w:firstLine="360" w:firstLineChars="200"/>
        <w:rPr>
          <w:sz w:val="18"/>
          <w:highlight w:val="none"/>
        </w:rPr>
      </w:pPr>
      <w:r>
        <w:rPr>
          <w:rFonts w:hint="eastAsia"/>
          <w:sz w:val="18"/>
          <w:highlight w:val="none"/>
          <w:lang w:val="en-US" w:eastAsia="zh-CN"/>
        </w:rPr>
        <w:t>1、</w:t>
      </w:r>
      <w:r>
        <w:rPr>
          <w:rFonts w:hint="eastAsia"/>
          <w:sz w:val="18"/>
          <w:highlight w:val="none"/>
        </w:rPr>
        <w:t>本合同经甲、乙双方签字并加盖单位公章后生效。</w:t>
      </w:r>
    </w:p>
    <w:p>
      <w:pPr>
        <w:pStyle w:val="329"/>
        <w:numPr>
          <w:ilvl w:val="0"/>
          <w:numId w:val="0"/>
        </w:numPr>
        <w:tabs>
          <w:tab w:val="left" w:pos="522"/>
        </w:tabs>
        <w:spacing w:before="0" w:line="240" w:lineRule="atLeast"/>
        <w:ind w:firstLine="360" w:firstLineChars="200"/>
        <w:rPr>
          <w:sz w:val="18"/>
          <w:highlight w:val="none"/>
        </w:rPr>
      </w:pPr>
      <w:r>
        <w:rPr>
          <w:rFonts w:hint="eastAsia"/>
          <w:sz w:val="18"/>
          <w:highlight w:val="none"/>
          <w:lang w:val="en-US" w:eastAsia="zh-CN"/>
        </w:rPr>
        <w:t>2、</w:t>
      </w:r>
      <w:r>
        <w:rPr>
          <w:rFonts w:hint="eastAsia"/>
          <w:sz w:val="18"/>
          <w:highlight w:val="none"/>
        </w:rPr>
        <w:t>本合同期限：</w:t>
      </w:r>
      <w:r>
        <w:rPr>
          <w:rFonts w:hint="eastAsia"/>
          <w:sz w:val="18"/>
          <w:highlight w:val="none"/>
          <w:u w:val="single"/>
          <w:lang w:val="en-US" w:eastAsia="zh-CN"/>
        </w:rPr>
        <w:t xml:space="preserve">   </w:t>
      </w:r>
      <w:r>
        <w:rPr>
          <w:rFonts w:hint="eastAsia"/>
          <w:sz w:val="18"/>
          <w:highlight w:val="none"/>
        </w:rPr>
        <w:t>年，自</w:t>
      </w:r>
      <w:r>
        <w:rPr>
          <w:rFonts w:hint="eastAsia"/>
          <w:sz w:val="18"/>
          <w:highlight w:val="none"/>
          <w:u w:val="single"/>
        </w:rPr>
        <w:t xml:space="preserve">    </w:t>
      </w:r>
      <w:r>
        <w:rPr>
          <w:rFonts w:hint="eastAsia"/>
          <w:sz w:val="18"/>
          <w:highlight w:val="none"/>
        </w:rPr>
        <w:t>年</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u w:val="single"/>
        </w:rPr>
        <w:t xml:space="preserve"> </w:t>
      </w:r>
      <w:r>
        <w:rPr>
          <w:rFonts w:hint="eastAsia"/>
          <w:sz w:val="18"/>
          <w:highlight w:val="none"/>
        </w:rPr>
        <w:t>月</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日起至</w:t>
      </w:r>
      <w:r>
        <w:rPr>
          <w:rFonts w:hint="eastAsia"/>
          <w:sz w:val="18"/>
          <w:highlight w:val="none"/>
          <w:u w:val="single"/>
        </w:rPr>
        <w:t xml:space="preserve">    </w:t>
      </w:r>
      <w:r>
        <w:rPr>
          <w:rFonts w:hint="eastAsia"/>
          <w:sz w:val="18"/>
          <w:highlight w:val="none"/>
        </w:rPr>
        <w:t>年</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月</w:t>
      </w:r>
      <w:r>
        <w:rPr>
          <w:rFonts w:hint="eastAsia"/>
          <w:sz w:val="18"/>
          <w:highlight w:val="none"/>
          <w:u w:val="single"/>
        </w:rPr>
        <w:t xml:space="preserve">  </w:t>
      </w:r>
      <w:r>
        <w:rPr>
          <w:rFonts w:hint="eastAsia"/>
          <w:sz w:val="18"/>
          <w:highlight w:val="none"/>
          <w:u w:val="single"/>
          <w:lang w:val="en-US" w:eastAsia="zh-CN"/>
        </w:rPr>
        <w:t xml:space="preserve"> </w:t>
      </w:r>
      <w:r>
        <w:rPr>
          <w:rFonts w:hint="eastAsia"/>
          <w:sz w:val="18"/>
          <w:highlight w:val="none"/>
        </w:rPr>
        <w:t>日止。合同签订后，设备验收合格后合作期</w:t>
      </w:r>
      <w:r>
        <w:rPr>
          <w:rFonts w:hint="eastAsia"/>
          <w:sz w:val="18"/>
          <w:highlight w:val="none"/>
          <w:lang w:eastAsia="zh-CN"/>
        </w:rPr>
        <w:t>满</w:t>
      </w:r>
      <w:r>
        <w:rPr>
          <w:rFonts w:hint="eastAsia"/>
          <w:sz w:val="18"/>
          <w:highlight w:val="none"/>
        </w:rPr>
        <w:t>1年或耗材采购量达到合同金额，任一条件达到即视为合作期结束。合作期内如</w:t>
      </w:r>
      <w:r>
        <w:rPr>
          <w:rFonts w:hint="eastAsia"/>
          <w:sz w:val="18"/>
          <w:highlight w:val="none"/>
          <w:lang w:eastAsia="zh-CN"/>
        </w:rPr>
        <w:t>因政策变更</w:t>
      </w:r>
      <w:r>
        <w:rPr>
          <w:rFonts w:hint="eastAsia"/>
          <w:sz w:val="18"/>
          <w:highlight w:val="none"/>
        </w:rPr>
        <w:t>，导致合同无法履行，则合同自行终止</w:t>
      </w:r>
      <w:r>
        <w:rPr>
          <w:rFonts w:hint="eastAsia"/>
          <w:sz w:val="18"/>
          <w:highlight w:val="none"/>
          <w:lang w:eastAsia="zh-CN"/>
        </w:rPr>
        <w:t>，双方互不承担责任。</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3、</w:t>
      </w:r>
      <w:r>
        <w:rPr>
          <w:rFonts w:hint="eastAsia"/>
          <w:sz w:val="18"/>
        </w:rPr>
        <w:t>招标文件、投标文件、项目采购协议或入围承诺书与本合同具有同等法律效力。如前述各项文件之间约定不一致的，应以最新签署的文件内容为准。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4、</w:t>
      </w:r>
      <w:r>
        <w:rPr>
          <w:rFonts w:hint="eastAsia"/>
          <w:sz w:val="18"/>
        </w:rPr>
        <w:t>本合同未尽事宜，以招投标文件为准。</w:t>
      </w:r>
    </w:p>
    <w:p>
      <w:pPr>
        <w:pStyle w:val="329"/>
        <w:numPr>
          <w:ilvl w:val="0"/>
          <w:numId w:val="0"/>
        </w:numPr>
        <w:tabs>
          <w:tab w:val="left" w:pos="522"/>
        </w:tabs>
        <w:spacing w:before="0" w:line="240" w:lineRule="atLeast"/>
        <w:ind w:firstLine="360" w:firstLineChars="200"/>
        <w:rPr>
          <w:sz w:val="18"/>
        </w:rPr>
      </w:pPr>
      <w:r>
        <w:rPr>
          <w:rFonts w:hint="eastAsia"/>
          <w:sz w:val="18"/>
          <w:lang w:val="en-US" w:eastAsia="zh-CN"/>
        </w:rPr>
        <w:t>5、</w:t>
      </w:r>
      <w:r>
        <w:rPr>
          <w:rFonts w:hint="eastAsia"/>
          <w:sz w:val="18"/>
        </w:rPr>
        <w:t>本合同一式三份，甲方执二份，乙方执一份，具有同等法律效力。</w:t>
      </w:r>
    </w:p>
    <w:p>
      <w:pPr>
        <w:tabs>
          <w:tab w:val="left" w:pos="522"/>
        </w:tabs>
        <w:spacing w:line="240" w:lineRule="atLeast"/>
        <w:rPr>
          <w:sz w:val="18"/>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tabs>
          <w:tab w:val="left" w:pos="522"/>
        </w:tabs>
        <w:spacing w:line="240" w:lineRule="atLeast"/>
        <w:rPr>
          <w:sz w:val="16"/>
        </w:rPr>
      </w:pPr>
    </w:p>
    <w:p>
      <w:pPr>
        <w:spacing w:line="240" w:lineRule="atLeast"/>
        <w:rPr>
          <w:sz w:val="18"/>
        </w:rPr>
      </w:pPr>
      <w:r>
        <w:rPr>
          <w:rFonts w:hint="eastAsia"/>
          <w:sz w:val="18"/>
        </w:rPr>
        <w:t>甲方（盖章）：</w:t>
      </w:r>
      <w:r>
        <w:rPr>
          <w:sz w:val="18"/>
        </w:rPr>
        <w:t xml:space="preserve"> </w:t>
      </w:r>
      <w:r>
        <w:rPr>
          <w:rFonts w:hint="eastAsia"/>
          <w:sz w:val="18"/>
        </w:rPr>
        <w:t>温州市中医院</w:t>
      </w:r>
      <w:r>
        <w:rPr>
          <w:sz w:val="18"/>
        </w:rPr>
        <w:tab/>
      </w:r>
      <w:r>
        <w:rPr>
          <w:sz w:val="18"/>
        </w:rPr>
        <w:tab/>
      </w:r>
      <w:r>
        <w:rPr>
          <w:sz w:val="18"/>
        </w:rPr>
        <w:tab/>
      </w:r>
      <w:r>
        <w:rPr>
          <w:sz w:val="18"/>
        </w:rPr>
        <w:tab/>
      </w:r>
      <w:r>
        <w:rPr>
          <w:sz w:val="18"/>
        </w:rPr>
        <w:tab/>
      </w:r>
      <w:r>
        <w:rPr>
          <w:sz w:val="18"/>
        </w:rPr>
        <w:tab/>
      </w:r>
      <w:r>
        <w:rPr>
          <w:rFonts w:hint="eastAsia"/>
          <w:sz w:val="18"/>
        </w:rPr>
        <w:t>乙方（盖章）：</w:t>
      </w:r>
      <w:r>
        <w:rPr>
          <w:sz w:val="18"/>
        </w:rPr>
        <w:t xml:space="preserve"> </w:t>
      </w:r>
    </w:p>
    <w:p>
      <w:pPr>
        <w:spacing w:line="240" w:lineRule="atLeast"/>
        <w:rPr>
          <w:sz w:val="18"/>
        </w:rPr>
      </w:pPr>
    </w:p>
    <w:p>
      <w:pPr>
        <w:spacing w:line="240" w:lineRule="atLeast"/>
        <w:rPr>
          <w:sz w:val="18"/>
        </w:rPr>
      </w:pPr>
      <w:r>
        <w:rPr>
          <w:rFonts w:hint="eastAsia"/>
          <w:sz w:val="18"/>
        </w:rPr>
        <w:t>地址：温州市六虹桥路蛟尾路</w:t>
      </w:r>
      <w:r>
        <w:rPr>
          <w:sz w:val="18"/>
        </w:rPr>
        <w:t>9</w:t>
      </w:r>
      <w:r>
        <w:rPr>
          <w:rFonts w:hint="eastAsia"/>
          <w:sz w:val="18"/>
        </w:rPr>
        <w:t>号</w:t>
      </w:r>
      <w:r>
        <w:rPr>
          <w:sz w:val="18"/>
        </w:rPr>
        <w:tab/>
      </w:r>
      <w:r>
        <w:rPr>
          <w:sz w:val="18"/>
        </w:rPr>
        <w:tab/>
      </w:r>
      <w:r>
        <w:rPr>
          <w:sz w:val="18"/>
        </w:rPr>
        <w:tab/>
      </w:r>
      <w:r>
        <w:rPr>
          <w:sz w:val="18"/>
        </w:rPr>
        <w:tab/>
      </w:r>
      <w:r>
        <w:rPr>
          <w:sz w:val="18"/>
        </w:rPr>
        <w:tab/>
      </w:r>
      <w:r>
        <w:rPr>
          <w:rFonts w:hint="eastAsia"/>
          <w:sz w:val="18"/>
        </w:rPr>
        <w:t>地址：</w:t>
      </w:r>
    </w:p>
    <w:p>
      <w:pPr>
        <w:spacing w:line="240" w:lineRule="atLeast"/>
        <w:rPr>
          <w:sz w:val="18"/>
        </w:rPr>
      </w:pPr>
    </w:p>
    <w:p>
      <w:pPr>
        <w:spacing w:line="240" w:lineRule="atLeast"/>
        <w:rPr>
          <w:sz w:val="18"/>
        </w:rPr>
      </w:pPr>
      <w:r>
        <w:rPr>
          <w:rFonts w:hint="eastAsia"/>
          <w:sz w:val="18"/>
        </w:rPr>
        <w:t>法定（授权）代表人：</w:t>
      </w:r>
      <w:r>
        <w:rPr>
          <w:sz w:val="18"/>
        </w:rPr>
        <w:tab/>
      </w:r>
      <w:r>
        <w:rPr>
          <w:sz w:val="18"/>
        </w:rPr>
        <w:tab/>
      </w:r>
      <w:r>
        <w:rPr>
          <w:sz w:val="18"/>
        </w:rPr>
        <w:tab/>
      </w:r>
      <w:r>
        <w:rPr>
          <w:sz w:val="18"/>
        </w:rPr>
        <w:tab/>
      </w:r>
      <w:r>
        <w:rPr>
          <w:sz w:val="18"/>
        </w:rPr>
        <w:tab/>
      </w:r>
      <w:r>
        <w:rPr>
          <w:sz w:val="18"/>
        </w:rPr>
        <w:tab/>
      </w:r>
      <w:r>
        <w:rPr>
          <w:sz w:val="18"/>
        </w:rPr>
        <w:tab/>
      </w:r>
      <w:r>
        <w:rPr>
          <w:rFonts w:hint="eastAsia"/>
          <w:sz w:val="18"/>
        </w:rPr>
        <w:t>法定（授权）代表人：</w:t>
      </w:r>
    </w:p>
    <w:p>
      <w:pPr>
        <w:spacing w:line="240" w:lineRule="atLeast"/>
        <w:rPr>
          <w:sz w:val="18"/>
        </w:rPr>
      </w:pPr>
    </w:p>
    <w:p>
      <w:pPr>
        <w:spacing w:line="240" w:lineRule="atLeast"/>
        <w:rPr>
          <w:sz w:val="18"/>
        </w:rPr>
      </w:pPr>
      <w:r>
        <w:rPr>
          <w:rFonts w:hint="eastAsia"/>
          <w:sz w:val="18"/>
        </w:rPr>
        <w:t>签字日期：</w:t>
      </w:r>
      <w:r>
        <w:rPr>
          <w:sz w:val="18"/>
        </w:rPr>
        <w:t xml:space="preserve"> </w:t>
      </w:r>
      <w:r>
        <w:rPr>
          <w:rFonts w:hint="eastAsia"/>
          <w:sz w:val="18"/>
          <w:lang w:val="en-US" w:eastAsia="zh-CN"/>
        </w:rPr>
        <w:t xml:space="preserve">  </w:t>
      </w:r>
      <w:r>
        <w:rPr>
          <w:sz w:val="18"/>
        </w:rPr>
        <w:t xml:space="preserve"> </w:t>
      </w:r>
      <w:r>
        <w:rPr>
          <w:rFonts w:hint="eastAsia"/>
          <w:sz w:val="18"/>
        </w:rPr>
        <w:t>年</w:t>
      </w:r>
      <w:r>
        <w:rPr>
          <w:sz w:val="18"/>
        </w:rPr>
        <w:t xml:space="preserve">  </w:t>
      </w:r>
      <w:r>
        <w:rPr>
          <w:rFonts w:hint="eastAsia"/>
          <w:sz w:val="18"/>
          <w:lang w:val="en-US" w:eastAsia="zh-CN"/>
        </w:rPr>
        <w:t xml:space="preserve"> </w:t>
      </w:r>
      <w:r>
        <w:rPr>
          <w:rFonts w:hint="eastAsia"/>
          <w:sz w:val="18"/>
        </w:rPr>
        <w:t>月</w:t>
      </w:r>
      <w:r>
        <w:rPr>
          <w:sz w:val="18"/>
        </w:rPr>
        <w:t xml:space="preserve">  </w:t>
      </w:r>
      <w:r>
        <w:rPr>
          <w:rFonts w:hint="eastAsia"/>
          <w:sz w:val="18"/>
          <w:lang w:val="en-US" w:eastAsia="zh-CN"/>
        </w:rPr>
        <w:t xml:space="preserve"> </w:t>
      </w:r>
      <w:r>
        <w:rPr>
          <w:rFonts w:hint="eastAsia"/>
          <w:sz w:val="18"/>
        </w:rPr>
        <w:t>日</w:t>
      </w:r>
      <w:r>
        <w:rPr>
          <w:sz w:val="18"/>
        </w:rPr>
        <w:tab/>
      </w:r>
      <w:r>
        <w:rPr>
          <w:sz w:val="18"/>
        </w:rPr>
        <w:tab/>
      </w:r>
      <w:r>
        <w:rPr>
          <w:sz w:val="18"/>
        </w:rPr>
        <w:tab/>
      </w:r>
      <w:r>
        <w:rPr>
          <w:sz w:val="18"/>
        </w:rPr>
        <w:tab/>
      </w:r>
      <w:r>
        <w:rPr>
          <w:sz w:val="18"/>
        </w:rPr>
        <w:tab/>
      </w:r>
      <w:r>
        <w:rPr>
          <w:sz w:val="18"/>
        </w:rPr>
        <w:tab/>
      </w:r>
      <w:r>
        <w:rPr>
          <w:rFonts w:hint="eastAsia"/>
          <w:sz w:val="18"/>
        </w:rPr>
        <w:t>签字日期：</w:t>
      </w:r>
      <w:r>
        <w:rPr>
          <w:sz w:val="18"/>
        </w:rPr>
        <w:t xml:space="preserve">  </w:t>
      </w:r>
      <w:r>
        <w:rPr>
          <w:rFonts w:hint="eastAsia"/>
          <w:sz w:val="18"/>
          <w:lang w:val="en-US" w:eastAsia="zh-CN"/>
        </w:rPr>
        <w:t xml:space="preserve">  </w:t>
      </w:r>
      <w:r>
        <w:rPr>
          <w:rFonts w:hint="eastAsia"/>
          <w:sz w:val="18"/>
        </w:rPr>
        <w:t>年</w:t>
      </w:r>
      <w:r>
        <w:rPr>
          <w:sz w:val="18"/>
        </w:rPr>
        <w:t xml:space="preserve"> </w:t>
      </w:r>
      <w:r>
        <w:rPr>
          <w:rFonts w:hint="eastAsia"/>
          <w:sz w:val="18"/>
          <w:lang w:val="en-US" w:eastAsia="zh-CN"/>
        </w:rPr>
        <w:t xml:space="preserve"> </w:t>
      </w:r>
      <w:r>
        <w:rPr>
          <w:sz w:val="18"/>
        </w:rPr>
        <w:t xml:space="preserve"> </w:t>
      </w:r>
      <w:r>
        <w:rPr>
          <w:rFonts w:hint="eastAsia"/>
          <w:sz w:val="18"/>
        </w:rPr>
        <w:t>月</w:t>
      </w:r>
      <w:r>
        <w:rPr>
          <w:sz w:val="18"/>
        </w:rPr>
        <w:t xml:space="preserve">  </w:t>
      </w:r>
      <w:r>
        <w:rPr>
          <w:rFonts w:hint="eastAsia"/>
          <w:sz w:val="18"/>
          <w:lang w:val="en-US" w:eastAsia="zh-CN"/>
        </w:rPr>
        <w:t xml:space="preserve"> </w:t>
      </w:r>
      <w:r>
        <w:rPr>
          <w:rFonts w:hint="eastAsia"/>
          <w:sz w:val="18"/>
        </w:rPr>
        <w:t>日</w:t>
      </w:r>
    </w:p>
    <w:p/>
    <w:p>
      <w:pPr>
        <w:spacing w:line="360" w:lineRule="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28" w:name="_Toc19081"/>
      <w:bookmarkStart w:id="29" w:name="_Toc18439"/>
      <w:r>
        <w:rPr>
          <w:rFonts w:hint="eastAsia" w:ascii="宋体" w:hAnsi="宋体" w:eastAsia="宋体" w:cs="宋体"/>
        </w:rPr>
        <w:t>第三部分    附件</w:t>
      </w:r>
      <w:bookmarkEnd w:id="28"/>
      <w:bookmarkEnd w:id="29"/>
    </w:p>
    <w:p>
      <w:pPr>
        <w:pStyle w:val="23"/>
        <w:spacing w:line="460" w:lineRule="exact"/>
        <w:ind w:left="433" w:hanging="433" w:hangingChars="196"/>
        <w:outlineLvl w:val="1"/>
        <w:rPr>
          <w:rFonts w:hint="eastAsia" w:ascii="宋体" w:hAnsi="宋体" w:eastAsia="宋体" w:cs="宋体"/>
          <w:b/>
          <w:color w:val="auto"/>
          <w:sz w:val="22"/>
          <w:highlight w:val="none"/>
        </w:rPr>
      </w:pPr>
      <w:bookmarkStart w:id="30" w:name="_Toc7056"/>
      <w:bookmarkStart w:id="31" w:name="_Toc6368"/>
      <w:r>
        <w:rPr>
          <w:rFonts w:hint="eastAsia" w:ascii="宋体" w:hAnsi="宋体" w:eastAsia="宋体" w:cs="宋体"/>
          <w:b/>
          <w:color w:val="auto"/>
          <w:sz w:val="22"/>
          <w:highlight w:val="none"/>
        </w:rPr>
        <w:t>附件一</w:t>
      </w:r>
      <w:bookmarkEnd w:id="30"/>
      <w:bookmarkEnd w:id="31"/>
    </w:p>
    <w:p>
      <w:pPr>
        <w:spacing w:line="400" w:lineRule="exact"/>
        <w:jc w:val="center"/>
        <w:outlineLvl w:val="2"/>
        <w:rPr>
          <w:rFonts w:hint="eastAsia" w:ascii="宋体" w:hAnsi="宋体" w:eastAsia="宋体" w:cs="宋体"/>
          <w:b/>
          <w:bCs/>
          <w:color w:val="auto"/>
          <w:sz w:val="28"/>
          <w:szCs w:val="28"/>
          <w:highlight w:val="none"/>
        </w:rPr>
      </w:pPr>
      <w:bookmarkStart w:id="32" w:name="_Toc13365"/>
      <w:bookmarkStart w:id="33" w:name="_Toc5430"/>
      <w:r>
        <w:rPr>
          <w:rFonts w:hint="eastAsia" w:ascii="宋体" w:hAnsi="宋体" w:eastAsia="宋体" w:cs="宋体"/>
          <w:b/>
          <w:bCs/>
          <w:color w:val="auto"/>
          <w:sz w:val="28"/>
          <w:szCs w:val="28"/>
          <w:highlight w:val="none"/>
        </w:rPr>
        <w:t>报价文件</w:t>
      </w:r>
      <w:bookmarkEnd w:id="32"/>
      <w:bookmarkEnd w:id="33"/>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pStyle w:val="23"/>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3"/>
        <w:ind w:left="0" w:firstLine="0" w:firstLineChars="0"/>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419"/>
        <w:gridCol w:w="2710"/>
        <w:gridCol w:w="1296"/>
        <w:gridCol w:w="133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7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419"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2710" w:type="dxa"/>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项目内容</w:t>
            </w:r>
          </w:p>
        </w:tc>
        <w:tc>
          <w:tcPr>
            <w:tcW w:w="1296" w:type="dxa"/>
            <w:vAlign w:val="top"/>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themeColor="text1"/>
                <w:sz w:val="22"/>
                <w:szCs w:val="22"/>
                <w:highlight w:val="none"/>
                <w14:textFill>
                  <w14:solidFill>
                    <w14:schemeClr w14:val="tx1"/>
                  </w14:solidFill>
                </w14:textFill>
              </w:rPr>
              <w:t>单价</w:t>
            </w:r>
            <w:r>
              <w:rPr>
                <w:rFonts w:hint="eastAsia" w:ascii="新宋体" w:hAnsi="新宋体" w:eastAsia="新宋体" w:cs="新宋体"/>
                <w:b/>
                <w:color w:val="000000" w:themeColor="text1"/>
                <w:sz w:val="22"/>
                <w:szCs w:val="22"/>
                <w:highlight w:val="none"/>
                <w:lang w:val="en-US" w:eastAsia="zh-CN"/>
                <w14:textFill>
                  <w14:solidFill>
                    <w14:schemeClr w14:val="tx1"/>
                  </w14:solidFill>
                </w14:textFill>
              </w:rPr>
              <w:t>报价</w:t>
            </w:r>
          </w:p>
        </w:tc>
        <w:tc>
          <w:tcPr>
            <w:tcW w:w="1338" w:type="dxa"/>
            <w:vAlign w:val="top"/>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600" w:type="dxa"/>
            <w:vAlign w:val="top"/>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themeColor="text1"/>
                <w:sz w:val="22"/>
                <w:szCs w:val="22"/>
                <w14:textFill>
                  <w14:solidFill>
                    <w14:schemeClr w14:val="tx1"/>
                  </w14:solidFill>
                </w14:textFill>
              </w:rPr>
              <w:t>合价</w:t>
            </w:r>
            <w:r>
              <w:rPr>
                <w:rFonts w:hint="eastAsia" w:ascii="新宋体" w:hAnsi="新宋体" w:eastAsia="新宋体" w:cs="新宋体"/>
                <w:b/>
                <w:color w:val="000000" w:themeColor="text1"/>
                <w:sz w:val="22"/>
                <w:szCs w:val="22"/>
                <w:lang w:val="en-US" w:eastAsia="zh-CN"/>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2"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419" w:type="dxa"/>
            <w:vMerge w:val="restart"/>
            <w:vAlign w:val="center"/>
          </w:tcPr>
          <w:p>
            <w:pPr>
              <w:tabs>
                <w:tab w:val="left" w:pos="360"/>
              </w:tabs>
              <w:spacing w:line="440" w:lineRule="exact"/>
              <w:jc w:val="center"/>
              <w:rPr>
                <w:rFonts w:hint="eastAsia" w:ascii="宋体" w:hAnsi="宋体" w:eastAsia="宋体" w:cs="宋体"/>
                <w:color w:val="auto"/>
                <w:sz w:val="22"/>
                <w:highlight w:val="none"/>
                <w:lang w:eastAsia="zh-CN"/>
              </w:rPr>
            </w:pPr>
            <w:r>
              <w:rPr>
                <w:rFonts w:hint="eastAsia" w:ascii="新宋体" w:hAnsi="新宋体" w:eastAsia="新宋体" w:cs="新宋体"/>
                <w:bCs/>
                <w:color w:val="000000"/>
                <w:sz w:val="22"/>
                <w:szCs w:val="22"/>
                <w:highlight w:val="none"/>
                <w:lang w:eastAsia="zh-CN"/>
              </w:rPr>
              <w:t>血糖仪及信息化管理系统设备租赁费+血糖试纸（采血针）（重）</w:t>
            </w:r>
          </w:p>
        </w:tc>
        <w:tc>
          <w:tcPr>
            <w:tcW w:w="271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296"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1338"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p>
        </w:tc>
        <w:tc>
          <w:tcPr>
            <w:tcW w:w="160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2" w:type="dxa"/>
            <w:vMerge w:val="continue"/>
            <w:vAlign w:val="center"/>
          </w:tcPr>
          <w:p>
            <w:pPr>
              <w:spacing w:line="380" w:lineRule="exact"/>
              <w:jc w:val="center"/>
              <w:rPr>
                <w:rFonts w:hint="eastAsia" w:ascii="宋体" w:hAnsi="宋体" w:eastAsia="宋体" w:cs="宋体"/>
                <w:color w:val="auto"/>
                <w:sz w:val="22"/>
                <w:highlight w:val="none"/>
                <w:lang w:val="en-US" w:eastAsia="zh-CN"/>
              </w:rPr>
            </w:pPr>
          </w:p>
        </w:tc>
        <w:tc>
          <w:tcPr>
            <w:tcW w:w="2419" w:type="dxa"/>
            <w:vMerge w:val="continue"/>
            <w:vAlign w:val="center"/>
          </w:tcPr>
          <w:p>
            <w:pPr>
              <w:tabs>
                <w:tab w:val="left" w:pos="360"/>
              </w:tabs>
              <w:spacing w:line="440" w:lineRule="exact"/>
              <w:jc w:val="center"/>
              <w:rPr>
                <w:rFonts w:hint="eastAsia" w:ascii="宋体" w:hAnsi="宋体" w:eastAsia="宋体" w:cs="宋体"/>
                <w:color w:val="auto"/>
                <w:sz w:val="22"/>
                <w:highlight w:val="none"/>
              </w:rPr>
            </w:pPr>
          </w:p>
        </w:tc>
        <w:tc>
          <w:tcPr>
            <w:tcW w:w="271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296"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元</w:t>
            </w:r>
          </w:p>
        </w:tc>
        <w:tc>
          <w:tcPr>
            <w:tcW w:w="1338"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600" w:type="dxa"/>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themeColor="text1"/>
                <w:sz w:val="22"/>
                <w:szCs w:val="22"/>
                <w:highlight w:val="none"/>
                <w:u w:val="single"/>
                <w:lang w:val="en-US" w:eastAsia="zh-CN"/>
                <w14:textFill>
                  <w14:solidFill>
                    <w14:schemeClr w14:val="tx1"/>
                  </w14:solidFill>
                </w14:textFill>
              </w:rPr>
              <w:t xml:space="preserve">     </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191" w:type="dxa"/>
            <w:gridSpan w:val="2"/>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总报价</w:t>
            </w:r>
            <w:r>
              <w:rPr>
                <w:rFonts w:hint="eastAsia" w:ascii="新宋体" w:hAnsi="新宋体" w:eastAsia="新宋体" w:cs="新宋体"/>
                <w:bCs/>
                <w:color w:val="000000"/>
                <w:sz w:val="22"/>
                <w:szCs w:val="22"/>
                <w:highlight w:val="none"/>
              </w:rPr>
              <w:t>（以上各报价之和）</w:t>
            </w:r>
          </w:p>
        </w:tc>
        <w:tc>
          <w:tcPr>
            <w:tcW w:w="6944" w:type="dxa"/>
            <w:gridSpan w:val="4"/>
            <w:vAlign w:val="center"/>
          </w:tcPr>
          <w:p>
            <w:pPr>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p>
            <w:pPr>
              <w:spacing w:line="360" w:lineRule="auto"/>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7"/>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3、分项报价表</w:t>
      </w:r>
    </w:p>
    <w:p>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419"/>
        <w:gridCol w:w="12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项目</w:t>
            </w:r>
          </w:p>
        </w:tc>
        <w:tc>
          <w:tcPr>
            <w:tcW w:w="16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147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708"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出厂单价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1605"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widowControl/>
              <w:spacing w:line="460" w:lineRule="exact"/>
              <w:jc w:val="center"/>
              <w:textAlignment w:val="center"/>
              <w:rPr>
                <w:rFonts w:hint="eastAsia" w:ascii="新宋体" w:hAnsi="新宋体" w:eastAsia="新宋体" w:cs="新宋体"/>
                <w:color w:val="000000"/>
                <w:kern w:val="0"/>
                <w:sz w:val="22"/>
                <w:szCs w:val="22"/>
                <w:highlight w:val="none"/>
                <w:lang w:bidi="ar"/>
              </w:rPr>
            </w:pPr>
          </w:p>
        </w:tc>
        <w:tc>
          <w:tcPr>
            <w:tcW w:w="1605" w:type="dxa"/>
            <w:noWrap w:val="0"/>
            <w:vAlign w:val="center"/>
          </w:tcPr>
          <w:p>
            <w:pPr>
              <w:widowControl/>
              <w:spacing w:line="460" w:lineRule="exact"/>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9"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3707"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bl>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outlineLvl w:val="9"/>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20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pStyle w:val="23"/>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3"/>
        <w:spacing w:line="460" w:lineRule="exact"/>
        <w:ind w:left="433" w:hanging="433" w:hangingChars="196"/>
        <w:outlineLvl w:val="1"/>
        <w:rPr>
          <w:rFonts w:hint="eastAsia" w:ascii="宋体" w:hAnsi="宋体" w:eastAsia="宋体" w:cs="宋体"/>
          <w:b/>
          <w:color w:val="auto"/>
          <w:sz w:val="22"/>
          <w:szCs w:val="22"/>
          <w:highlight w:val="none"/>
        </w:rPr>
      </w:pPr>
      <w:bookmarkStart w:id="34" w:name="_Toc19402"/>
      <w:bookmarkStart w:id="35" w:name="_Toc12035"/>
      <w:r>
        <w:rPr>
          <w:rFonts w:hint="eastAsia" w:ascii="宋体" w:hAnsi="宋体" w:eastAsia="宋体" w:cs="宋体"/>
          <w:b/>
          <w:color w:val="auto"/>
          <w:sz w:val="22"/>
          <w:szCs w:val="22"/>
          <w:highlight w:val="none"/>
        </w:rPr>
        <w:t>附件二</w:t>
      </w:r>
      <w:bookmarkEnd w:id="34"/>
      <w:bookmarkEnd w:id="35"/>
    </w:p>
    <w:p>
      <w:pPr>
        <w:spacing w:line="460" w:lineRule="exact"/>
        <w:jc w:val="center"/>
        <w:outlineLvl w:val="2"/>
        <w:rPr>
          <w:rFonts w:hint="eastAsia" w:ascii="宋体" w:hAnsi="宋体" w:eastAsia="宋体" w:cs="宋体"/>
          <w:color w:val="auto"/>
          <w:sz w:val="28"/>
          <w:szCs w:val="28"/>
          <w:highlight w:val="none"/>
        </w:rPr>
      </w:pPr>
      <w:bookmarkStart w:id="36" w:name="_Toc25309"/>
      <w:bookmarkStart w:id="37" w:name="_Toc4718"/>
      <w:r>
        <w:rPr>
          <w:rFonts w:hint="eastAsia" w:ascii="宋体" w:hAnsi="宋体" w:eastAsia="宋体" w:cs="宋体"/>
          <w:b/>
          <w:bCs/>
          <w:color w:val="auto"/>
          <w:sz w:val="28"/>
          <w:szCs w:val="28"/>
          <w:highlight w:val="none"/>
        </w:rPr>
        <w:t>资格证明文件</w:t>
      </w:r>
      <w:bookmarkEnd w:id="36"/>
      <w:bookmarkEnd w:id="37"/>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4、提供食品药品监督管理部门核发的完整有效的医疗器械注册或备案证明；（适用于按医疗器械管理的设备）</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val="en-US" w:eastAsia="zh-CN"/>
        </w:rPr>
        <w:t>须提供血糖仪、血糖试纸、采血针、质控液</w:t>
      </w:r>
      <w:r>
        <w:rPr>
          <w:rFonts w:hint="eastAsia" w:ascii="宋体" w:hAnsi="宋体" w:cs="宋体"/>
          <w:b/>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5、货物制造商或其它有销售资格（提供证明材料）的供应商出具的授权书（适用于投标人是进口货物代理商的情形）</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3"/>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rPr>
        <w:t>、单位负责人为同一人或者存在直接控股、管理关系的不同供应商，不得参加同一合同项下的政府采购活动承诺函；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3"/>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0" w:firstLine="0" w:firstLineChars="0"/>
        <w:rPr>
          <w:rFonts w:hint="eastAsia" w:ascii="宋体" w:hAnsi="宋体" w:eastAsia="宋体" w:cs="宋体"/>
          <w:color w:val="auto"/>
          <w:kern w:val="0"/>
          <w:highlight w:val="none"/>
        </w:rPr>
      </w:pPr>
    </w:p>
    <w:p>
      <w:pPr>
        <w:pStyle w:val="23"/>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pStyle w:val="23"/>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rPr>
        <w:t>、投标人信用查询：</w:t>
      </w:r>
    </w:p>
    <w:p>
      <w:pPr>
        <w:tabs>
          <w:tab w:val="left" w:pos="360"/>
        </w:tabs>
        <w:spacing w:line="460" w:lineRule="exact"/>
        <w:ind w:firstLine="550" w:firstLineChars="25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1、投标人信用信息查询的查询渠道：“信用中国”(www.creditchina.gov.cn)</w:t>
      </w:r>
      <w:r>
        <w:rPr>
          <w:rFonts w:hint="eastAsia" w:ascii="宋体" w:hAnsi="宋体" w:cs="宋体"/>
          <w:color w:val="auto"/>
          <w:sz w:val="22"/>
          <w:highlight w:val="none"/>
          <w:lang w:eastAsia="zh-CN"/>
        </w:rPr>
        <w:t>、</w:t>
      </w:r>
      <w:r>
        <w:rPr>
          <w:rFonts w:hint="eastAsia" w:ascii="宋体" w:hAnsi="宋体" w:eastAsia="宋体" w:cs="宋体"/>
          <w:color w:val="auto"/>
          <w:sz w:val="22"/>
          <w:highlight w:val="none"/>
        </w:rPr>
        <w:t>“中国政府采购网”（http://www.ccgp.gov.cn/）等有关政府曝光台</w:t>
      </w:r>
      <w:r>
        <w:rPr>
          <w:rFonts w:hint="eastAsia" w:ascii="宋体" w:hAnsi="宋体" w:cs="宋体"/>
          <w:color w:val="auto"/>
          <w:sz w:val="22"/>
          <w:highlight w:val="none"/>
          <w:lang w:eastAsia="zh-CN"/>
        </w:rPr>
        <w:t>。</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highlight w:val="none"/>
        </w:rPr>
      </w:pPr>
    </w:p>
    <w:p>
      <w:pPr>
        <w:rPr>
          <w:rFonts w:hint="eastAsia" w:ascii="宋体" w:hAnsi="宋体" w:eastAsia="宋体" w:cs="宋体"/>
          <w:color w:val="auto"/>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8"/>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3"/>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3"/>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color w:val="auto"/>
          <w:kern w:val="0"/>
          <w:sz w:val="22"/>
          <w:szCs w:val="22"/>
          <w:highlight w:val="none"/>
        </w:rPr>
      </w:pPr>
    </w:p>
    <w:p>
      <w:pPr>
        <w:pStyle w:val="23"/>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8" w:name="_Toc16516"/>
      <w:bookmarkStart w:id="39" w:name="_Toc31356"/>
      <w:r>
        <w:rPr>
          <w:rFonts w:hint="eastAsia" w:ascii="宋体" w:hAnsi="宋体" w:eastAsia="宋体" w:cs="宋体"/>
          <w:b/>
          <w:bCs/>
          <w:color w:val="auto"/>
          <w:sz w:val="22"/>
          <w:szCs w:val="22"/>
          <w:highlight w:val="none"/>
        </w:rPr>
        <w:t>附件三</w:t>
      </w:r>
      <w:bookmarkEnd w:id="38"/>
      <w:bookmarkEnd w:id="39"/>
    </w:p>
    <w:p>
      <w:pPr>
        <w:spacing w:line="460" w:lineRule="exact"/>
        <w:jc w:val="center"/>
        <w:outlineLvl w:val="2"/>
        <w:rPr>
          <w:rFonts w:hint="eastAsia" w:ascii="宋体" w:hAnsi="宋体" w:eastAsia="宋体" w:cs="宋体"/>
          <w:b/>
          <w:bCs/>
          <w:color w:val="auto"/>
          <w:sz w:val="28"/>
          <w:szCs w:val="28"/>
          <w:highlight w:val="none"/>
          <w:lang w:val="zh-CN"/>
        </w:rPr>
      </w:pPr>
      <w:bookmarkStart w:id="40" w:name="_Toc29102"/>
      <w:bookmarkStart w:id="41" w:name="_Toc13639"/>
      <w:r>
        <w:rPr>
          <w:rFonts w:hint="eastAsia" w:ascii="宋体" w:hAnsi="宋体" w:eastAsia="宋体" w:cs="宋体"/>
          <w:b/>
          <w:bCs/>
          <w:color w:val="auto"/>
          <w:sz w:val="28"/>
          <w:szCs w:val="28"/>
          <w:highlight w:val="none"/>
          <w:lang w:val="zh-CN"/>
        </w:rPr>
        <w:t>商务技术文件</w:t>
      </w:r>
      <w:bookmarkEnd w:id="40"/>
      <w:bookmarkEnd w:id="41"/>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新宋体" w:hAnsi="新宋体" w:eastAsia="新宋体" w:cs="新宋体"/>
          <w:b/>
          <w:bCs/>
          <w:color w:val="000000"/>
          <w:sz w:val="28"/>
          <w:szCs w:val="28"/>
          <w:highlight w:val="none"/>
        </w:rPr>
      </w:pPr>
      <w:r>
        <w:rPr>
          <w:rFonts w:hint="eastAsia" w:ascii="宋体" w:hAnsi="宋体" w:eastAsia="宋体" w:cs="宋体"/>
          <w:b/>
          <w:color w:val="auto"/>
          <w:sz w:val="24"/>
          <w:highlight w:val="none"/>
        </w:rPr>
        <w:br w:type="page"/>
      </w:r>
      <w:r>
        <w:rPr>
          <w:rFonts w:hint="eastAsia" w:ascii="新宋体" w:hAnsi="新宋体" w:eastAsia="新宋体" w:cs="新宋体"/>
          <w:b/>
          <w:bCs/>
          <w:color w:val="000000"/>
          <w:sz w:val="28"/>
          <w:szCs w:val="28"/>
          <w:highlight w:val="none"/>
        </w:rPr>
        <w:t>4、详细供货清单说明一览表</w:t>
      </w:r>
    </w:p>
    <w:p>
      <w:pPr>
        <w:rPr>
          <w:rFonts w:hint="eastAsia" w:ascii="新宋体" w:hAnsi="新宋体" w:eastAsia="新宋体" w:cs="新宋体"/>
          <w:b/>
          <w:bCs/>
          <w:color w:val="000000"/>
          <w:sz w:val="22"/>
          <w:szCs w:val="22"/>
          <w:highlight w:val="none"/>
        </w:rPr>
      </w:pPr>
      <w:r>
        <w:rPr>
          <w:rFonts w:hint="eastAsia" w:ascii="新宋体" w:hAnsi="新宋体" w:eastAsia="新宋体" w:cs="新宋体"/>
          <w:b/>
          <w:color w:val="000000"/>
          <w:sz w:val="22"/>
          <w:szCs w:val="22"/>
          <w:highlight w:val="none"/>
        </w:rPr>
        <w:t>项目名称：                                                       项目编号：</w:t>
      </w:r>
    </w:p>
    <w:tbl>
      <w:tblPr>
        <w:tblStyle w:val="53"/>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46"/>
        <w:gridCol w:w="1812"/>
        <w:gridCol w:w="1825"/>
        <w:gridCol w:w="1975"/>
        <w:gridCol w:w="100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63"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74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设备名称/规格型号（与注册证一致）</w:t>
            </w:r>
          </w:p>
        </w:tc>
        <w:tc>
          <w:tcPr>
            <w:tcW w:w="1812"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货物注册证名称</w:t>
            </w:r>
          </w:p>
        </w:tc>
        <w:tc>
          <w:tcPr>
            <w:tcW w:w="182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规格及技术参数</w:t>
            </w:r>
          </w:p>
        </w:tc>
        <w:tc>
          <w:tcPr>
            <w:tcW w:w="1975"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w:t>
            </w:r>
          </w:p>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（生产厂家/品牌）</w:t>
            </w:r>
          </w:p>
        </w:tc>
        <w:tc>
          <w:tcPr>
            <w:tcW w:w="1009"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976" w:type="dxa"/>
            <w:shd w:val="clear" w:color="auto" w:fill="FFFFFF"/>
            <w:noWrap w:val="0"/>
            <w:vAlign w:val="center"/>
          </w:tcPr>
          <w:p>
            <w:pPr>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812" w:type="dxa"/>
            <w:noWrap w:val="0"/>
            <w:vAlign w:val="top"/>
          </w:tcPr>
          <w:p>
            <w:pPr>
              <w:spacing w:line="360" w:lineRule="auto"/>
              <w:jc w:val="center"/>
              <w:rPr>
                <w:rFonts w:hint="eastAsia" w:ascii="新宋体" w:hAnsi="新宋体" w:eastAsia="新宋体" w:cs="新宋体"/>
                <w:color w:val="000000"/>
                <w:sz w:val="22"/>
                <w:szCs w:val="22"/>
                <w:highlight w:val="none"/>
              </w:rPr>
            </w:pPr>
          </w:p>
        </w:tc>
        <w:tc>
          <w:tcPr>
            <w:tcW w:w="1825" w:type="dxa"/>
            <w:noWrap w:val="0"/>
            <w:vAlign w:val="top"/>
          </w:tcPr>
          <w:p>
            <w:pPr>
              <w:spacing w:line="360" w:lineRule="auto"/>
              <w:rPr>
                <w:rFonts w:hint="eastAsia" w:ascii="新宋体" w:hAnsi="新宋体" w:eastAsia="新宋体" w:cs="新宋体"/>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b/>
                <w:bCs/>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rPr>
                <w:rFonts w:hint="eastAsia" w:ascii="新宋体" w:hAnsi="新宋体" w:eastAsia="新宋体" w:cs="新宋体"/>
                <w:color w:val="000000"/>
                <w:sz w:val="22"/>
                <w:szCs w:val="22"/>
                <w:highlight w:val="none"/>
              </w:rPr>
            </w:pPr>
          </w:p>
        </w:tc>
        <w:tc>
          <w:tcPr>
            <w:tcW w:w="1746" w:type="dxa"/>
            <w:noWrap w:val="0"/>
            <w:vAlign w:val="center"/>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663"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746" w:type="dxa"/>
            <w:noWrap w:val="0"/>
            <w:vAlign w:val="top"/>
          </w:tcPr>
          <w:p>
            <w:pPr>
              <w:spacing w:line="360" w:lineRule="auto"/>
              <w:rPr>
                <w:rFonts w:hint="eastAsia" w:ascii="新宋体" w:hAnsi="新宋体" w:eastAsia="新宋体" w:cs="新宋体"/>
                <w:color w:val="000000"/>
                <w:sz w:val="22"/>
                <w:szCs w:val="22"/>
                <w:highlight w:val="none"/>
              </w:rPr>
            </w:pPr>
          </w:p>
        </w:tc>
        <w:tc>
          <w:tcPr>
            <w:tcW w:w="1812" w:type="dxa"/>
            <w:noWrap w:val="0"/>
            <w:vAlign w:val="center"/>
          </w:tcPr>
          <w:p>
            <w:pPr>
              <w:spacing w:line="360" w:lineRule="auto"/>
              <w:rPr>
                <w:rFonts w:hint="eastAsia" w:ascii="新宋体" w:hAnsi="新宋体" w:eastAsia="新宋体" w:cs="新宋体"/>
                <w:color w:val="000000"/>
                <w:sz w:val="22"/>
                <w:szCs w:val="22"/>
                <w:highlight w:val="none"/>
              </w:rPr>
            </w:pPr>
          </w:p>
        </w:tc>
        <w:tc>
          <w:tcPr>
            <w:tcW w:w="182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975"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1009" w:type="dxa"/>
            <w:noWrap w:val="0"/>
            <w:vAlign w:val="center"/>
          </w:tcPr>
          <w:p>
            <w:pPr>
              <w:spacing w:line="360" w:lineRule="auto"/>
              <w:jc w:val="center"/>
              <w:rPr>
                <w:rFonts w:hint="eastAsia" w:ascii="新宋体" w:hAnsi="新宋体" w:eastAsia="新宋体" w:cs="新宋体"/>
                <w:b/>
                <w:bCs/>
                <w:color w:val="000000"/>
                <w:sz w:val="22"/>
                <w:szCs w:val="22"/>
                <w:highlight w:val="none"/>
              </w:rPr>
            </w:pPr>
          </w:p>
        </w:tc>
        <w:tc>
          <w:tcPr>
            <w:tcW w:w="976" w:type="dxa"/>
            <w:noWrap w:val="0"/>
            <w:vAlign w:val="top"/>
          </w:tcPr>
          <w:p>
            <w:pPr>
              <w:rPr>
                <w:rFonts w:hint="eastAsia" w:ascii="新宋体" w:hAnsi="新宋体" w:eastAsia="新宋体" w:cs="新宋体"/>
                <w:color w:val="000000"/>
                <w:sz w:val="22"/>
                <w:szCs w:val="22"/>
                <w:highlight w:val="none"/>
              </w:rPr>
            </w:pPr>
          </w:p>
        </w:tc>
      </w:tr>
    </w:tbl>
    <w:p>
      <w:pPr>
        <w:pStyle w:val="29"/>
        <w:spacing w:line="400" w:lineRule="atLeast"/>
        <w:rPr>
          <w:rFonts w:hint="eastAsia" w:ascii="新宋体" w:hAnsi="新宋体" w:eastAsia="新宋体" w:cs="新宋体"/>
          <w:color w:val="000000"/>
          <w:sz w:val="22"/>
          <w:szCs w:val="22"/>
          <w:highlight w:val="none"/>
        </w:rPr>
      </w:pPr>
    </w:p>
    <w:p>
      <w:pPr>
        <w:pStyle w:val="29"/>
        <w:spacing w:line="400" w:lineRule="atLeast"/>
        <w:ind w:left="5360" w:leftChars="2500" w:hanging="110" w:hangingChars="50"/>
        <w:rPr>
          <w:rFonts w:hint="eastAsia" w:ascii="新宋体" w:hAnsi="新宋体" w:eastAsia="新宋体" w:cs="新宋体"/>
          <w:b w:val="0"/>
          <w:bCs/>
          <w:color w:val="000000"/>
          <w:sz w:val="22"/>
          <w:szCs w:val="22"/>
          <w:highlight w:val="none"/>
        </w:rPr>
      </w:pPr>
      <w:r>
        <w:rPr>
          <w:rFonts w:hint="eastAsia" w:ascii="新宋体" w:hAnsi="新宋体" w:eastAsia="新宋体" w:cs="新宋体"/>
          <w:b w:val="0"/>
          <w:bCs/>
          <w:color w:val="000000"/>
          <w:sz w:val="22"/>
          <w:szCs w:val="22"/>
          <w:highlight w:val="none"/>
        </w:rPr>
        <w:t>投标人全称（盖章）：</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投标人代表（签字）：</w:t>
      </w:r>
    </w:p>
    <w:p>
      <w:pPr>
        <w:spacing w:line="400" w:lineRule="exact"/>
        <w:rPr>
          <w:rFonts w:hint="eastAsia" w:ascii="新宋体" w:hAnsi="新宋体" w:eastAsia="新宋体" w:cs="新宋体"/>
          <w:bCs/>
          <w:color w:val="000000"/>
          <w:sz w:val="22"/>
          <w:szCs w:val="22"/>
          <w:highlight w:val="none"/>
        </w:rPr>
      </w:pPr>
      <w:r>
        <w:rPr>
          <w:rFonts w:hint="eastAsia" w:ascii="新宋体" w:hAnsi="新宋体" w:eastAsia="新宋体" w:cs="新宋体"/>
          <w:bCs/>
          <w:color w:val="000000"/>
          <w:sz w:val="22"/>
          <w:szCs w:val="22"/>
          <w:highlight w:val="none"/>
        </w:rPr>
        <w:t xml:space="preserve">                                                日   期：</w:t>
      </w:r>
    </w:p>
    <w:p>
      <w:pPr>
        <w:keepNext/>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rPr>
          <w:rFonts w:hint="eastAsia"/>
          <w:color w:val="000000"/>
          <w:highlight w:val="none"/>
        </w:rPr>
      </w:pPr>
    </w:p>
    <w:p>
      <w:pPr>
        <w:spacing w:line="400" w:lineRule="exact"/>
        <w:jc w:val="both"/>
        <w:outlineLvl w:val="3"/>
        <w:rPr>
          <w:rFonts w:hint="eastAsia" w:ascii="新宋体" w:hAnsi="新宋体" w:eastAsia="新宋体" w:cs="新宋体"/>
          <w:b/>
          <w:bCs/>
          <w:color w:val="000000"/>
          <w:sz w:val="28"/>
          <w:szCs w:val="28"/>
          <w:highlight w:val="none"/>
        </w:rPr>
      </w:pPr>
      <w:r>
        <w:rPr>
          <w:rFonts w:hint="eastAsia" w:ascii="新宋体" w:hAnsi="新宋体" w:eastAsia="新宋体" w:cs="新宋体"/>
          <w:b/>
          <w:bCs/>
          <w:color w:val="000000"/>
          <w:sz w:val="28"/>
          <w:szCs w:val="28"/>
          <w:highlight w:val="none"/>
        </w:rPr>
        <w:br w:type="page"/>
      </w:r>
      <w:r>
        <w:rPr>
          <w:rFonts w:hint="eastAsia" w:ascii="新宋体" w:hAnsi="新宋体" w:eastAsia="新宋体" w:cs="新宋体"/>
          <w:b/>
          <w:bCs/>
          <w:color w:val="000000"/>
          <w:sz w:val="28"/>
          <w:szCs w:val="28"/>
          <w:highlight w:val="none"/>
        </w:rPr>
        <w:t>5、备品、易损件、备件、专用工具清单</w:t>
      </w:r>
    </w:p>
    <w:p>
      <w:pPr>
        <w:spacing w:line="400" w:lineRule="exact"/>
        <w:ind w:left="139" w:leftChars="66" w:firstLine="166" w:firstLineChars="75"/>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000000"/>
                <w:sz w:val="22"/>
                <w:szCs w:val="22"/>
                <w:highlight w:val="none"/>
              </w:rPr>
            </w:pPr>
            <w:r>
              <w:rPr>
                <w:rFonts w:hint="eastAsia" w:ascii="新宋体" w:hAnsi="新宋体" w:eastAsia="新宋体" w:cs="新宋体"/>
                <w:b/>
                <w:bCs/>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000000"/>
                <w:sz w:val="22"/>
                <w:szCs w:val="22"/>
                <w:highlight w:val="none"/>
              </w:rPr>
            </w:pPr>
          </w:p>
        </w:tc>
        <w:tc>
          <w:tcPr>
            <w:tcW w:w="1240" w:type="dxa"/>
            <w:noWrap w:val="0"/>
            <w:vAlign w:val="top"/>
          </w:tcPr>
          <w:p>
            <w:pPr>
              <w:spacing w:line="400" w:lineRule="exact"/>
              <w:rPr>
                <w:rFonts w:hint="eastAsia" w:ascii="新宋体" w:hAnsi="新宋体" w:eastAsia="新宋体" w:cs="新宋体"/>
                <w:color w:val="000000"/>
                <w:sz w:val="22"/>
                <w:szCs w:val="22"/>
                <w:highlight w:val="none"/>
              </w:rPr>
            </w:pPr>
          </w:p>
        </w:tc>
        <w:tc>
          <w:tcPr>
            <w:tcW w:w="1404" w:type="dxa"/>
            <w:noWrap w:val="0"/>
            <w:vAlign w:val="top"/>
          </w:tcPr>
          <w:p>
            <w:pPr>
              <w:spacing w:line="400" w:lineRule="exact"/>
              <w:rPr>
                <w:rFonts w:hint="eastAsia" w:ascii="新宋体" w:hAnsi="新宋体" w:eastAsia="新宋体" w:cs="新宋体"/>
                <w:color w:val="000000"/>
                <w:sz w:val="22"/>
                <w:szCs w:val="22"/>
                <w:highlight w:val="none"/>
              </w:rPr>
            </w:pPr>
          </w:p>
        </w:tc>
        <w:tc>
          <w:tcPr>
            <w:tcW w:w="796" w:type="dxa"/>
            <w:noWrap w:val="0"/>
            <w:vAlign w:val="top"/>
          </w:tcPr>
          <w:p>
            <w:pPr>
              <w:spacing w:line="400" w:lineRule="exact"/>
              <w:rPr>
                <w:rFonts w:hint="eastAsia" w:ascii="新宋体" w:hAnsi="新宋体" w:eastAsia="新宋体" w:cs="新宋体"/>
                <w:color w:val="000000"/>
                <w:sz w:val="22"/>
                <w:szCs w:val="22"/>
                <w:highlight w:val="none"/>
              </w:rPr>
            </w:pPr>
          </w:p>
        </w:tc>
        <w:tc>
          <w:tcPr>
            <w:tcW w:w="3704" w:type="dxa"/>
            <w:noWrap w:val="0"/>
            <w:vAlign w:val="top"/>
          </w:tcPr>
          <w:p>
            <w:pPr>
              <w:spacing w:line="400" w:lineRule="exact"/>
              <w:rPr>
                <w:rFonts w:hint="eastAsia" w:ascii="新宋体" w:hAnsi="新宋体" w:eastAsia="新宋体" w:cs="新宋体"/>
                <w:color w:val="000000"/>
                <w:sz w:val="22"/>
                <w:szCs w:val="22"/>
                <w:highlight w:val="none"/>
              </w:rPr>
            </w:pPr>
          </w:p>
        </w:tc>
        <w:tc>
          <w:tcPr>
            <w:tcW w:w="1568" w:type="dxa"/>
            <w:noWrap w:val="0"/>
            <w:vAlign w:val="top"/>
          </w:tcPr>
          <w:p>
            <w:pPr>
              <w:spacing w:line="400" w:lineRule="exact"/>
              <w:rPr>
                <w:rFonts w:hint="eastAsia" w:ascii="新宋体" w:hAnsi="新宋体" w:eastAsia="新宋体" w:cs="新宋体"/>
                <w:color w:val="000000"/>
                <w:sz w:val="22"/>
                <w:szCs w:val="22"/>
                <w:highlight w:val="none"/>
              </w:rPr>
            </w:pPr>
          </w:p>
        </w:tc>
      </w:tr>
    </w:tbl>
    <w:p>
      <w:pPr>
        <w:spacing w:line="400" w:lineRule="exact"/>
        <w:ind w:firstLine="4620" w:firstLineChars="2100"/>
        <w:rPr>
          <w:rFonts w:hint="eastAsia" w:ascii="新宋体" w:hAnsi="新宋体" w:eastAsia="新宋体" w:cs="新宋体"/>
          <w:color w:val="000000"/>
          <w:sz w:val="22"/>
          <w:szCs w:val="22"/>
          <w:highlight w:val="none"/>
        </w:rPr>
      </w:pPr>
    </w:p>
    <w:p>
      <w:pPr>
        <w:spacing w:line="400" w:lineRule="exact"/>
        <w:ind w:firstLine="5280" w:firstLineChars="2400"/>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投标人全称（盖章）：</w:t>
      </w:r>
    </w:p>
    <w:p>
      <w:pPr>
        <w:spacing w:line="40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投标人代表（签字）：</w:t>
      </w:r>
    </w:p>
    <w:p>
      <w:pPr>
        <w:spacing w:line="38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xml:space="preserve">                                                日    期：</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4、投标设备配套的合理性，技术指标的先进性</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5、设备档次</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tabs>
          <w:tab w:val="left" w:pos="360"/>
        </w:tabs>
        <w:spacing w:line="460" w:lineRule="exact"/>
        <w:ind w:firstLine="552" w:firstLineChars="250"/>
        <w:rPr>
          <w:rFonts w:hint="eastAsia" w:ascii="宋体" w:hAnsi="宋体" w:eastAsia="宋体" w:cs="宋体"/>
          <w:b/>
          <w:color w:val="auto"/>
          <w:sz w:val="22"/>
          <w:szCs w:val="22"/>
          <w:highlight w:val="none"/>
        </w:rPr>
      </w:pPr>
    </w:p>
    <w:p>
      <w:pPr>
        <w:spacing w:line="400" w:lineRule="exact"/>
        <w:ind w:firstLine="4620" w:firstLineChars="2100"/>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20" w:lineRule="exact"/>
        <w:rPr>
          <w:rFonts w:hint="eastAsia" w:ascii="宋体" w:hAnsi="宋体" w:eastAsia="宋体" w:cs="宋体"/>
          <w:b/>
          <w:color w:val="auto"/>
          <w:sz w:val="24"/>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、耗材试剂配送服务方案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1"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新宋体" w:hAnsi="新宋体" w:eastAsia="新宋体" w:cs="Times New Roman"/>
          <w:b/>
          <w:sz w:val="22"/>
          <w:szCs w:val="22"/>
          <w:lang w:val="en-US" w:eastAsia="zh-CN"/>
        </w:rPr>
        <w:t>7</w:t>
      </w:r>
      <w:r>
        <w:rPr>
          <w:rFonts w:hint="eastAsia" w:ascii="新宋体" w:hAnsi="新宋体" w:eastAsia="新宋体" w:cs="Times New Roman"/>
          <w:b/>
          <w:sz w:val="22"/>
          <w:szCs w:val="22"/>
        </w:rPr>
        <w:t>、运行应急方案</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7" w:hRule="atLeast"/>
          <w:jc w:val="center"/>
        </w:trPr>
        <w:tc>
          <w:tcPr>
            <w:tcW w:w="9242"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、市场占有率</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29"/>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29"/>
        <w:spacing w:line="400" w:lineRule="atLeast"/>
        <w:ind w:left="657" w:leftChars="313" w:firstLine="3975" w:firstLineChars="1800"/>
        <w:rPr>
          <w:rFonts w:hint="eastAsia" w:ascii="宋体" w:hAnsi="宋体" w:eastAsia="宋体" w:cs="宋体"/>
          <w:color w:val="auto"/>
          <w:sz w:val="22"/>
          <w:highlight w:val="none"/>
        </w:rPr>
      </w:pPr>
    </w:p>
    <w:p>
      <w:pPr>
        <w:pStyle w:val="29"/>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29"/>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29"/>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9"/>
        <w:rPr>
          <w:rFonts w:hint="eastAsia"/>
          <w:lang w:val="en-US" w:eastAsia="zh-CN"/>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9、售后服务</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29"/>
        <w:spacing w:line="400" w:lineRule="atLeast"/>
        <w:rPr>
          <w:rFonts w:hint="eastAsia" w:ascii="宋体" w:hAnsi="宋体" w:eastAsia="宋体" w:cs="宋体"/>
          <w:color w:val="auto"/>
          <w:sz w:val="22"/>
          <w:highlight w:val="none"/>
        </w:rPr>
      </w:pPr>
    </w:p>
    <w:p>
      <w:pPr>
        <w:spacing w:line="40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、投标人提供的超出招标文件的优惠条件</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29"/>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、环境标志产品、节能产品</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0"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4"/>
        <w:numPr>
          <w:ilvl w:val="0"/>
          <w:numId w:val="9"/>
        </w:numPr>
        <w:bidi w:val="0"/>
        <w:rPr>
          <w:rFonts w:hint="eastAsia" w:ascii="宋体" w:hAnsi="宋体" w:eastAsia="宋体" w:cs="宋体"/>
          <w:b/>
          <w:color w:val="auto"/>
          <w:highlight w:val="none"/>
        </w:rPr>
      </w:pPr>
      <w:r>
        <w:rPr>
          <w:rFonts w:hint="eastAsia" w:ascii="宋体" w:hAnsi="宋体" w:eastAsia="宋体" w:cs="宋体"/>
        </w:rPr>
        <w:t xml:space="preserve">  </w:t>
      </w:r>
      <w:bookmarkStart w:id="42" w:name="_Toc3381"/>
      <w:bookmarkStart w:id="43" w:name="_Toc10142"/>
      <w:bookmarkStart w:id="44" w:name="_Toc221356958"/>
      <w:bookmarkStart w:id="45" w:name="_Toc221356895"/>
      <w:r>
        <w:rPr>
          <w:rFonts w:hint="eastAsia" w:ascii="宋体" w:hAnsi="宋体" w:eastAsia="宋体" w:cs="宋体"/>
        </w:rPr>
        <w:t>项目技术规范和服务要求</w:t>
      </w:r>
      <w:bookmarkEnd w:id="42"/>
      <w:bookmarkEnd w:id="43"/>
    </w:p>
    <w:bookmarkEnd w:id="44"/>
    <w:bookmarkEnd w:id="45"/>
    <w:p>
      <w:pPr>
        <w:spacing w:line="460" w:lineRule="exact"/>
        <w:outlineLvl w:val="1"/>
        <w:rPr>
          <w:rFonts w:hint="eastAsia" w:ascii="新宋体" w:hAnsi="新宋体" w:eastAsia="新宋体" w:cs="新宋体"/>
          <w:b/>
          <w:sz w:val="22"/>
          <w:szCs w:val="22"/>
        </w:rPr>
      </w:pPr>
      <w:bookmarkStart w:id="46" w:name="_Toc30323"/>
      <w:bookmarkStart w:id="47" w:name="_Toc18194"/>
      <w:r>
        <w:rPr>
          <w:rFonts w:hint="eastAsia" w:ascii="新宋体" w:hAnsi="新宋体" w:eastAsia="新宋体" w:cs="新宋体"/>
          <w:b/>
          <w:sz w:val="22"/>
          <w:szCs w:val="22"/>
        </w:rPr>
        <w:t>一、项目概况</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为满足临床血糖检测，区域血糖信息化管理需求，规范血糖仪在临床上的使用，做好血糖数据存储及仪器质量控制工作，我院拟就目前医院在用血糖仪品牌进行规范，选择其中一家具有血糖信息化管理功能的设备厂家做为医院血糖仪及试纸的供应商，规范临床血糖检测操作、数据管理及检验质控工作，确保临床及区域管理及患者安全。</w:t>
      </w:r>
    </w:p>
    <w:p>
      <w:p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rPr>
        <w:t>二、采购数量</w:t>
      </w:r>
    </w:p>
    <w:p>
      <w:pPr>
        <w:tabs>
          <w:tab w:val="left" w:pos="360"/>
        </w:tabs>
        <w:spacing w:line="460" w:lineRule="exact"/>
        <w:rPr>
          <w:rFonts w:hint="eastAsia" w:ascii="新宋体" w:hAnsi="新宋体" w:eastAsia="新宋体" w:cs="新宋体"/>
          <w:b/>
          <w:color w:val="000000" w:themeColor="text1"/>
          <w:sz w:val="22"/>
          <w:szCs w:val="22"/>
          <w:lang w:eastAsia="zh-CN"/>
          <w14:textFill>
            <w14:solidFill>
              <w14:schemeClr w14:val="tx1"/>
            </w14:solidFill>
          </w14:textFill>
        </w:rPr>
      </w:pPr>
      <w:r>
        <w:rPr>
          <w:rFonts w:hint="eastAsia" w:ascii="新宋体" w:hAnsi="新宋体" w:eastAsia="新宋体" w:cs="新宋体"/>
          <w:b/>
          <w:color w:val="000000" w:themeColor="text1"/>
          <w:sz w:val="22"/>
          <w:szCs w:val="22"/>
          <w:lang w:eastAsia="zh-CN"/>
          <w14:textFill>
            <w14:solidFill>
              <w14:schemeClr w14:val="tx1"/>
            </w14:solidFill>
          </w14:textFill>
        </w:rPr>
        <w:t>血糖仪及信息化管理系统设备租赁费+血糖试纸（采血针）（重）</w:t>
      </w:r>
    </w:p>
    <w:tbl>
      <w:tblPr>
        <w:tblStyle w:val="53"/>
        <w:tblW w:w="977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825"/>
        <w:gridCol w:w="1300"/>
        <w:gridCol w:w="251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序号</w:t>
            </w:r>
          </w:p>
        </w:tc>
        <w:tc>
          <w:tcPr>
            <w:tcW w:w="3825"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设备（系统）名称</w:t>
            </w:r>
          </w:p>
        </w:tc>
        <w:tc>
          <w:tcPr>
            <w:tcW w:w="1300" w:type="dxa"/>
            <w:noWrap w:val="0"/>
            <w:vAlign w:val="center"/>
          </w:tcPr>
          <w:p>
            <w:pPr>
              <w:tabs>
                <w:tab w:val="left" w:pos="360"/>
              </w:tabs>
              <w:spacing w:line="460" w:lineRule="exact"/>
              <w:jc w:val="center"/>
              <w:rPr>
                <w:rFonts w:ascii="新宋体" w:hAnsi="新宋体" w:eastAsia="新宋体" w:cs="新宋体"/>
                <w:b/>
                <w:color w:val="000000" w:themeColor="text1"/>
                <w:sz w:val="22"/>
                <w:szCs w:val="22"/>
                <w:highlight w:val="none"/>
                <w14:textFill>
                  <w14:solidFill>
                    <w14:schemeClr w14:val="tx1"/>
                  </w14:solidFill>
                </w14:textFill>
              </w:rPr>
            </w:pPr>
            <w:r>
              <w:rPr>
                <w:rFonts w:hint="eastAsia" w:ascii="新宋体" w:hAnsi="新宋体" w:eastAsia="新宋体" w:cs="新宋体"/>
                <w:b/>
                <w:color w:val="000000" w:themeColor="text1"/>
                <w:sz w:val="22"/>
                <w:szCs w:val="22"/>
                <w:highlight w:val="none"/>
                <w14:textFill>
                  <w14:solidFill>
                    <w14:schemeClr w14:val="tx1"/>
                  </w14:solidFill>
                </w14:textFill>
              </w:rPr>
              <w:t>预算单价</w:t>
            </w:r>
          </w:p>
        </w:tc>
        <w:tc>
          <w:tcPr>
            <w:tcW w:w="2513"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数量</w:t>
            </w:r>
          </w:p>
        </w:tc>
        <w:tc>
          <w:tcPr>
            <w:tcW w:w="1337" w:type="dxa"/>
            <w:noWrap w:val="0"/>
            <w:vAlign w:val="center"/>
          </w:tcPr>
          <w:p>
            <w:pPr>
              <w:tabs>
                <w:tab w:val="left" w:pos="360"/>
              </w:tabs>
              <w:spacing w:line="460" w:lineRule="exact"/>
              <w:jc w:val="center"/>
              <w:rPr>
                <w:rFonts w:ascii="新宋体" w:hAnsi="新宋体" w:eastAsia="新宋体" w:cs="新宋体"/>
                <w:b/>
                <w:color w:val="000000" w:themeColor="text1"/>
                <w:sz w:val="22"/>
                <w:szCs w:val="22"/>
                <w14:textFill>
                  <w14:solidFill>
                    <w14:schemeClr w14:val="tx1"/>
                  </w14:solidFill>
                </w14:textFill>
              </w:rPr>
            </w:pPr>
            <w:r>
              <w:rPr>
                <w:rFonts w:hint="eastAsia" w:ascii="新宋体" w:hAnsi="新宋体" w:eastAsia="新宋体" w:cs="新宋体"/>
                <w:b/>
                <w:color w:val="000000" w:themeColor="text1"/>
                <w:sz w:val="22"/>
                <w:szCs w:val="22"/>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bottom w:val="single" w:color="auto" w:sz="4" w:space="0"/>
            </w:tcBorders>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1</w:t>
            </w:r>
          </w:p>
        </w:tc>
        <w:tc>
          <w:tcPr>
            <w:tcW w:w="38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血糖</w:t>
            </w:r>
            <w:r>
              <w:rPr>
                <w:rFonts w:hint="eastAsia" w:ascii="新宋体" w:hAnsi="新宋体" w:eastAsia="新宋体" w:cs="新宋体"/>
                <w:b w:val="0"/>
                <w:bCs/>
                <w:color w:val="000000" w:themeColor="text1"/>
                <w:sz w:val="22"/>
                <w:szCs w:val="22"/>
                <w:lang w:eastAsia="zh-CN"/>
                <w14:textFill>
                  <w14:solidFill>
                    <w14:schemeClr w14:val="tx1"/>
                  </w14:solidFill>
                </w14:textFill>
              </w:rPr>
              <w:t>仪及</w:t>
            </w:r>
            <w:r>
              <w:rPr>
                <w:rFonts w:hint="eastAsia" w:ascii="新宋体" w:hAnsi="新宋体" w:eastAsia="新宋体" w:cs="新宋体"/>
                <w:b w:val="0"/>
                <w:bCs/>
                <w:color w:val="000000" w:themeColor="text1"/>
                <w:sz w:val="22"/>
                <w:szCs w:val="22"/>
                <w14:textFill>
                  <w14:solidFill>
                    <w14:schemeClr w14:val="tx1"/>
                  </w14:solidFill>
                </w14:textFill>
              </w:rPr>
              <w:t>信息化管理系统设备租赁费</w:t>
            </w:r>
          </w:p>
        </w:tc>
        <w:tc>
          <w:tcPr>
            <w:tcW w:w="1300"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none"/>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c>
          <w:tcPr>
            <w:tcW w:w="2513"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lang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1套</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含血糖仪70台</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33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5000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tcBorders>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lang w:val="en-US" w:eastAsia="zh-CN"/>
                <w14:textFill>
                  <w14:solidFill>
                    <w14:schemeClr w14:val="tx1"/>
                  </w14:solidFill>
                </w14:textFill>
              </w:rPr>
              <w:t>2</w:t>
            </w:r>
          </w:p>
        </w:tc>
        <w:tc>
          <w:tcPr>
            <w:tcW w:w="3825"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14:textFill>
                  <w14:solidFill>
                    <w14:schemeClr w14:val="tx1"/>
                  </w14:solidFill>
                </w14:textFill>
              </w:rPr>
              <w:t>血糖试纸</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采血针</w:t>
            </w:r>
            <w:r>
              <w:rPr>
                <w:rFonts w:hint="eastAsia" w:ascii="新宋体" w:hAnsi="新宋体" w:eastAsia="新宋体" w:cs="新宋体"/>
                <w:b w:val="0"/>
                <w:bCs/>
                <w:color w:val="000000" w:themeColor="text1"/>
                <w:sz w:val="22"/>
                <w:szCs w:val="22"/>
                <w:highlight w:val="none"/>
                <w:lang w:eastAsia="zh-CN"/>
                <w14:textFill>
                  <w14:solidFill>
                    <w14:schemeClr w14:val="tx1"/>
                  </w14:solidFill>
                </w14:textFill>
              </w:rPr>
              <w:t>）</w:t>
            </w:r>
          </w:p>
        </w:tc>
        <w:tc>
          <w:tcPr>
            <w:tcW w:w="1300" w:type="dxa"/>
            <w:noWrap w:val="0"/>
            <w:vAlign w:val="center"/>
          </w:tcPr>
          <w:p>
            <w:pPr>
              <w:tabs>
                <w:tab w:val="left" w:pos="360"/>
              </w:tabs>
              <w:spacing w:line="460" w:lineRule="exact"/>
              <w:jc w:val="center"/>
              <w:rPr>
                <w:rFonts w:hint="default" w:ascii="新宋体" w:hAnsi="新宋体" w:eastAsia="新宋体" w:cs="新宋体"/>
                <w:b w:val="0"/>
                <w:bCs/>
                <w:color w:val="000000" w:themeColor="text1"/>
                <w:sz w:val="22"/>
                <w:szCs w:val="22"/>
                <w:highlight w:val="yellow"/>
                <w:lang w:val="en-US" w:eastAsia="zh-CN"/>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1.6元</w:t>
            </w:r>
          </w:p>
        </w:tc>
        <w:tc>
          <w:tcPr>
            <w:tcW w:w="2513" w:type="dxa"/>
            <w:noWrap w:val="0"/>
            <w:vAlign w:val="center"/>
          </w:tcPr>
          <w:p>
            <w:pPr>
              <w:tabs>
                <w:tab w:val="left" w:pos="360"/>
              </w:tabs>
              <w:spacing w:line="460" w:lineRule="exact"/>
              <w:jc w:val="center"/>
              <w:rPr>
                <w:rFonts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600000</w:t>
            </w:r>
            <w:r>
              <w:rPr>
                <w:rFonts w:hint="eastAsia" w:ascii="新宋体" w:hAnsi="新宋体" w:eastAsia="新宋体" w:cs="新宋体"/>
                <w:b w:val="0"/>
                <w:bCs/>
                <w:color w:val="000000" w:themeColor="text1"/>
                <w:sz w:val="22"/>
                <w:szCs w:val="22"/>
                <w:highlight w:val="none"/>
                <w14:textFill>
                  <w14:solidFill>
                    <w14:schemeClr w14:val="tx1"/>
                  </w14:solidFill>
                </w14:textFill>
              </w:rPr>
              <w:t>片</w:t>
            </w:r>
          </w:p>
        </w:tc>
        <w:tc>
          <w:tcPr>
            <w:tcW w:w="1337" w:type="dxa"/>
            <w:noWrap w:val="0"/>
            <w:vAlign w:val="center"/>
          </w:tcPr>
          <w:p>
            <w:pPr>
              <w:tabs>
                <w:tab w:val="left" w:pos="360"/>
              </w:tabs>
              <w:spacing w:line="460" w:lineRule="exact"/>
              <w:jc w:val="center"/>
              <w:rPr>
                <w:rFonts w:hint="eastAsia" w:ascii="新宋体" w:hAnsi="新宋体" w:eastAsia="新宋体" w:cs="新宋体"/>
                <w:b w:val="0"/>
                <w:bCs/>
                <w:color w:val="000000" w:themeColor="text1"/>
                <w:sz w:val="22"/>
                <w:szCs w:val="22"/>
                <w:highlight w:val="yellow"/>
                <w14:textFill>
                  <w14:solidFill>
                    <w14:schemeClr w14:val="tx1"/>
                  </w14:solidFill>
                </w14:textFill>
              </w:rPr>
            </w:pPr>
            <w:r>
              <w:rPr>
                <w:rFonts w:hint="eastAsia" w:ascii="新宋体" w:hAnsi="新宋体" w:eastAsia="新宋体" w:cs="新宋体"/>
                <w:b w:val="0"/>
                <w:bCs/>
                <w:color w:val="000000" w:themeColor="text1"/>
                <w:sz w:val="22"/>
                <w:szCs w:val="22"/>
                <w:highlight w:val="none"/>
                <w:lang w:val="en-US" w:eastAsia="zh-CN"/>
                <w14:textFill>
                  <w14:solidFill>
                    <w14:schemeClr w14:val="tx1"/>
                  </w14:solidFill>
                </w14:textFill>
              </w:rPr>
              <w:t>960000</w:t>
            </w:r>
            <w:r>
              <w:rPr>
                <w:rFonts w:hint="eastAsia" w:ascii="新宋体" w:hAnsi="新宋体" w:eastAsia="新宋体" w:cs="新宋体"/>
                <w:b w:val="0"/>
                <w:bCs/>
                <w:color w:val="000000" w:themeColor="text1"/>
                <w:sz w:val="22"/>
                <w:szCs w:val="22"/>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5" w:type="dxa"/>
            <w:gridSpan w:val="5"/>
            <w:noWrap w:val="0"/>
            <w:vAlign w:val="top"/>
          </w:tcPr>
          <w:p>
            <w:pPr>
              <w:tabs>
                <w:tab w:val="left" w:pos="360"/>
              </w:tabs>
              <w:spacing w:line="460" w:lineRule="exact"/>
              <w:rPr>
                <w:rFonts w:hint="eastAsia" w:ascii="新宋体" w:hAnsi="新宋体" w:eastAsia="新宋体" w:cs="新宋体"/>
                <w:b w:val="0"/>
                <w:bCs/>
                <w:color w:val="000000" w:themeColor="text1"/>
                <w:sz w:val="22"/>
                <w:szCs w:val="22"/>
                <w14:textFill>
                  <w14:solidFill>
                    <w14:schemeClr w14:val="tx1"/>
                  </w14:solidFill>
                </w14:textFill>
              </w:rPr>
            </w:pPr>
            <w:r>
              <w:rPr>
                <w:rFonts w:hint="eastAsia" w:ascii="新宋体" w:hAnsi="新宋体" w:eastAsia="新宋体" w:cs="新宋体"/>
                <w:b w:val="0"/>
                <w:bCs/>
                <w:color w:val="000000" w:themeColor="text1"/>
                <w:sz w:val="22"/>
                <w:szCs w:val="22"/>
                <w14:textFill>
                  <w14:solidFill>
                    <w14:schemeClr w14:val="tx1"/>
                  </w14:solidFill>
                </w14:textFill>
              </w:rPr>
              <w:t>项目总预算为</w:t>
            </w:r>
            <w:r>
              <w:rPr>
                <w:rFonts w:hint="eastAsia" w:ascii="新宋体" w:hAnsi="新宋体" w:eastAsia="新宋体"/>
                <w:b w:val="0"/>
                <w:bCs/>
                <w:color w:val="000000" w:themeColor="text1"/>
                <w:sz w:val="22"/>
                <w:szCs w:val="22"/>
                <w14:textFill>
                  <w14:solidFill>
                    <w14:schemeClr w14:val="tx1"/>
                  </w14:solidFill>
                </w14:textFill>
              </w:rPr>
              <w:t>（¥</w:t>
            </w:r>
            <w:r>
              <w:rPr>
                <w:rFonts w:hint="eastAsia" w:ascii="新宋体" w:hAnsi="新宋体" w:eastAsia="新宋体"/>
                <w:b w:val="0"/>
                <w:bCs/>
                <w:color w:val="000000" w:themeColor="text1"/>
                <w:sz w:val="22"/>
                <w:szCs w:val="22"/>
                <w:lang w:val="en-US" w:eastAsia="zh-CN"/>
                <w14:textFill>
                  <w14:solidFill>
                    <w14:schemeClr w14:val="tx1"/>
                  </w14:solidFill>
                </w14:textFill>
              </w:rPr>
              <w:t>965</w:t>
            </w:r>
            <w:r>
              <w:rPr>
                <w:rFonts w:hint="eastAsia" w:ascii="新宋体" w:hAnsi="新宋体" w:eastAsia="新宋体"/>
                <w:b w:val="0"/>
                <w:bCs/>
                <w:color w:val="000000" w:themeColor="text1"/>
                <w:sz w:val="22"/>
                <w:szCs w:val="22"/>
                <w14:textFill>
                  <w14:solidFill>
                    <w14:schemeClr w14:val="tx1"/>
                  </w14:solidFill>
                </w14:textFill>
              </w:rPr>
              <w:t>000.00元）</w:t>
            </w:r>
          </w:p>
        </w:tc>
      </w:tr>
    </w:tbl>
    <w:p>
      <w:pPr>
        <w:tabs>
          <w:tab w:val="left" w:pos="360"/>
        </w:tabs>
        <w:spacing w:line="460" w:lineRule="exact"/>
        <w:rPr>
          <w:rFonts w:hint="eastAsia" w:ascii="新宋体" w:hAnsi="新宋体" w:eastAsia="新宋体" w:cs="新宋体"/>
          <w:b/>
          <w:bCs/>
          <w:sz w:val="22"/>
          <w:szCs w:val="22"/>
          <w:u w:val="single"/>
        </w:rPr>
      </w:pPr>
      <w:r>
        <w:rPr>
          <w:rFonts w:hint="eastAsia" w:ascii="新宋体" w:hAnsi="新宋体" w:eastAsia="新宋体" w:cs="新宋体"/>
          <w:b/>
          <w:sz w:val="22"/>
          <w:szCs w:val="22"/>
          <w:u w:val="single"/>
        </w:rPr>
        <w:t>如投标人报价超过预算或预算单价按无效标处理</w:t>
      </w:r>
    </w:p>
    <w:p>
      <w:pPr>
        <w:numPr>
          <w:ilvl w:val="0"/>
          <w:numId w:val="10"/>
        </w:num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rPr>
        <w:t>技术参数要求</w:t>
      </w:r>
    </w:p>
    <w:tbl>
      <w:tblPr>
        <w:tblStyle w:val="53"/>
        <w:tblW w:w="97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8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序号</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设备名称</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系统软件</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★1、患者管理：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支持与HIS单向或双向信息传输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支持病区／床位方式批量管理患者</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支持不同性别患者识别管理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 xml:space="preserve">支持危急值阈值和演示颜色个性化设置，并进行提醒功能 </w:t>
            </w:r>
          </w:p>
          <w:p>
            <w:pPr>
              <w:pStyle w:val="9"/>
              <w:keepNext w:val="0"/>
              <w:keepLines w:val="0"/>
              <w:pageBreakBefore w:val="0"/>
              <w:kinsoku/>
              <w:wordWrap/>
              <w:overflowPunct/>
              <w:topLinePunct w:val="0"/>
              <w:autoSpaceDE/>
              <w:autoSpaceDN/>
              <w:bidi w:val="0"/>
              <w:spacing w:line="460" w:lineRule="exact"/>
              <w:ind w:firstLine="0"/>
              <w:rPr>
                <w:rFonts w:ascii="新宋体" w:hAnsi="新宋体" w:eastAsia="新宋体"/>
                <w:b w:val="0"/>
                <w:color w:val="000000" w:themeColor="text1"/>
                <w:sz w:val="22"/>
                <w:szCs w:val="22"/>
                <w14:textFill>
                  <w14:solidFill>
                    <w14:schemeClr w14:val="tx1"/>
                  </w14:solidFill>
                </w14:textFill>
              </w:rPr>
            </w:pPr>
            <w:r>
              <w:rPr>
                <w:rFonts w:hint="eastAsia" w:ascii="新宋体" w:hAnsi="新宋体" w:eastAsia="新宋体"/>
                <w:b w:val="0"/>
                <w:color w:val="000000" w:themeColor="text1"/>
                <w:sz w:val="22"/>
                <w:szCs w:val="22"/>
                <w14:textFill>
                  <w14:solidFill>
                    <w14:schemeClr w14:val="tx1"/>
                  </w14:solidFill>
                </w14:textFill>
              </w:rPr>
              <w:t>支持患者多次住院和转科数据查询</w:t>
            </w:r>
          </w:p>
          <w:p>
            <w:pPr>
              <w:keepNext w:val="0"/>
              <w:keepLines w:val="0"/>
              <w:pageBreakBefore w:val="0"/>
              <w:kinsoku/>
              <w:wordWrap/>
              <w:overflowPunct/>
              <w:topLinePunct w:val="0"/>
              <w:autoSpaceDE/>
              <w:autoSpaceDN/>
              <w:bidi w:val="0"/>
              <w:spacing w:line="460" w:lineRule="exact"/>
              <w:rPr>
                <w:rFonts w:hint="eastAsia" w:ascii="新宋体" w:hAnsi="新宋体" w:eastAsia="新宋体"/>
                <w:color w:val="000000" w:themeColor="text1"/>
                <w:kern w:val="0"/>
                <w:sz w:val="22"/>
                <w:szCs w:val="22"/>
                <w14:textFill>
                  <w14:solidFill>
                    <w14:schemeClr w14:val="tx1"/>
                  </w14:solidFill>
                </w14:textFill>
              </w:rPr>
            </w:pPr>
            <w:r>
              <w:rPr>
                <w:rFonts w:ascii="新宋体" w:hAnsi="新宋体" w:eastAsia="新宋体"/>
                <w:color w:val="000000" w:themeColor="text1"/>
                <w:kern w:val="0"/>
                <w:sz w:val="22"/>
                <w:szCs w:val="22"/>
                <w14:textFill>
                  <w14:solidFill>
                    <w14:schemeClr w14:val="tx1"/>
                  </w14:solidFill>
                </w14:textFill>
              </w:rPr>
              <w:t>报告单模可根据医院定制化</w:t>
            </w:r>
          </w:p>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b w:val="0"/>
                <w:color w:val="000000" w:themeColor="text1"/>
                <w:sz w:val="22"/>
                <w:szCs w:val="22"/>
                <w14:textFill>
                  <w14:solidFill>
                    <w14:schemeClr w14:val="tx1"/>
                  </w14:solidFill>
                </w14:textFill>
              </w:rPr>
            </w:pPr>
            <w:r>
              <w:rPr>
                <w:rFonts w:ascii="新宋体" w:hAnsi="新宋体" w:eastAsia="新宋体"/>
                <w:b w:val="0"/>
                <w:color w:val="000000" w:themeColor="text1"/>
                <w:sz w:val="22"/>
                <w:szCs w:val="22"/>
                <w14:textFill>
                  <w14:solidFill>
                    <w14:schemeClr w14:val="tx1"/>
                  </w14:solidFill>
                </w14:textFill>
              </w:rPr>
              <w:t>患者定期回访提醒</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★2、质量控制：</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支持标准品质控</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支持自动接收仪器的质控结果</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支持绘制质控图／标本结果失控或在控状态并输出打印</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★3、分析统计：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支持患者动态趋势分析、时间段分析及整体趋势分析</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支持详细血糖报告的形成，并可与医院打印模版统一，进行打印输出</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支持医护人员工作量与单个／多个患者检测量统计</w:t>
            </w:r>
          </w:p>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cs="新宋体"/>
                <w:b w:val="0"/>
                <w:color w:val="000000" w:themeColor="text1"/>
                <w:sz w:val="22"/>
                <w:szCs w:val="22"/>
                <w14:textFill>
                  <w14:solidFill>
                    <w14:schemeClr w14:val="tx1"/>
                  </w14:solidFill>
                </w14:textFill>
              </w:rPr>
            </w:pPr>
            <w:r>
              <w:rPr>
                <w:rFonts w:ascii="新宋体" w:hAnsi="新宋体" w:eastAsia="新宋体" w:cs="新宋体"/>
                <w:b w:val="0"/>
                <w:color w:val="000000" w:themeColor="text1"/>
                <w:sz w:val="22"/>
                <w:szCs w:val="22"/>
                <w14:textFill>
                  <w14:solidFill>
                    <w14:schemeClr w14:val="tx1"/>
                  </w14:solidFill>
                </w14:textFill>
              </w:rPr>
              <w:t>支持试纸条用量统计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支持患者检测平均值、标准差、血糖过高或过低频率的计算</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支持所有样本各时间段内检测数据汇总</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支持试纸和设备使用情况的统计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支持年龄、性别、科室和高低血糖发生率、出入院血糖平均值、血糖达标率等交叉分析</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★4、耗材／设备管理：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支持耗材名称、不同批号、不同效期信息的记录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支持根据检测次数对耗材消耗量进行统计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支持不同编码的设备管理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支持各设备使用频率及耗材使用量的记录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★5、与医院网络系统对接免费</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★6、全院会诊：可接受科室可随时查看到申请科室的的会诊申请，以及该患者的详细的血糖数据和相关情况，在线给予指导意见或床旁会诊。还可以根据患者病情和管理流程建立虚拟病房进行患者精细化管理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7</w:t>
            </w:r>
            <w:r>
              <w:rPr>
                <w:rFonts w:hint="eastAsia" w:ascii="新宋体" w:hAnsi="新宋体" w:eastAsia="新宋体" w:cs="新宋体"/>
                <w:color w:val="000000" w:themeColor="text1"/>
                <w:kern w:val="0"/>
                <w:sz w:val="22"/>
                <w:szCs w:val="22"/>
                <w14:textFill>
                  <w14:solidFill>
                    <w14:schemeClr w14:val="tx1"/>
                  </w14:solidFill>
                </w14:textFill>
              </w:rPr>
              <w:t>、可实现与门诊、住院的网络对接，实现区域血糖管理，并有成功落地实施经验</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、有个人患者管理软件，实现区域管理个人家庭管理；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9</w:t>
            </w:r>
            <w:r>
              <w:rPr>
                <w:rFonts w:hint="eastAsia" w:ascii="新宋体" w:hAnsi="新宋体" w:eastAsia="新宋体" w:cs="新宋体"/>
                <w:color w:val="000000" w:themeColor="text1"/>
                <w:kern w:val="0"/>
                <w:sz w:val="22"/>
                <w:szCs w:val="22"/>
                <w14:textFill>
                  <w14:solidFill>
                    <w14:schemeClr w14:val="tx1"/>
                  </w14:solidFill>
                </w14:textFill>
              </w:rPr>
              <w:t>、需要与his系统做到无缝对接，所需费用由中标方和医院his系统进行对接沟通。</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、所有接口永久免费，免费提供接口文档，永久无条件配合院方跟其它系统做到无缝对接。</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w:t>
            </w:r>
            <w:r>
              <w:rPr>
                <w:rFonts w:hint="eastAsia" w:ascii="新宋体" w:hAnsi="新宋体" w:eastAsia="新宋体" w:cs="新宋体"/>
                <w:color w:val="000000" w:themeColor="text1"/>
                <w:kern w:val="0"/>
                <w:sz w:val="22"/>
                <w:szCs w:val="22"/>
                <w14:textFill>
                  <w14:solidFill>
                    <w14:schemeClr w14:val="tx1"/>
                  </w14:solidFill>
                </w14:textFill>
              </w:rPr>
              <w:t>、系统应包含PC端和移动端，移动端功能应该和PC端功能保持一致，两者需要一样。</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2</w:t>
            </w:r>
            <w:r>
              <w:rPr>
                <w:rFonts w:hint="eastAsia" w:ascii="新宋体" w:hAnsi="新宋体" w:eastAsia="新宋体" w:cs="新宋体"/>
                <w:color w:val="000000" w:themeColor="text1"/>
                <w:kern w:val="0"/>
                <w:sz w:val="22"/>
                <w:szCs w:val="22"/>
                <w14:textFill>
                  <w14:solidFill>
                    <w14:schemeClr w14:val="tx1"/>
                  </w14:solidFill>
                </w14:textFill>
              </w:rPr>
              <w:t>、应免费提供所需的服务器（配置内存不少于8GB,硬盘不低于1TB，包括正版服务器系统），包括但不限于硬件VPN（能够保证多分支接入，接入数量大于等于300以上）等必须设备。</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3</w:t>
            </w:r>
            <w:r>
              <w:rPr>
                <w:rFonts w:hint="eastAsia" w:ascii="新宋体" w:hAnsi="新宋体" w:eastAsia="新宋体" w:cs="新宋体"/>
                <w:color w:val="000000" w:themeColor="text1"/>
                <w:kern w:val="0"/>
                <w:sz w:val="22"/>
                <w:szCs w:val="22"/>
                <w14:textFill>
                  <w14:solidFill>
                    <w14:schemeClr w14:val="tx1"/>
                  </w14:solidFill>
                </w14:textFill>
              </w:rPr>
              <w:t>、保证血糖管理系统随时更新，以保证其永远在最新状态。</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4</w:t>
            </w:r>
            <w:r>
              <w:rPr>
                <w:rFonts w:hint="eastAsia" w:ascii="新宋体" w:hAnsi="新宋体" w:eastAsia="新宋体" w:cs="新宋体"/>
                <w:color w:val="000000" w:themeColor="text1"/>
                <w:kern w:val="0"/>
                <w:sz w:val="22"/>
                <w:szCs w:val="22"/>
                <w14:textFill>
                  <w14:solidFill>
                    <w14:schemeClr w14:val="tx1"/>
                  </w14:solidFill>
                </w14:textFill>
              </w:rPr>
              <w:t>、血糖信息化软件需具备软件著作权证</w:t>
            </w:r>
          </w:p>
          <w:p>
            <w:pPr>
              <w:keepNext w:val="0"/>
              <w:keepLines w:val="0"/>
              <w:pageBreakBefore w:val="0"/>
              <w:widowControl/>
              <w:kinsoku/>
              <w:wordWrap/>
              <w:overflowPunct/>
              <w:topLinePunct w:val="0"/>
              <w:autoSpaceDE/>
              <w:autoSpaceDN/>
              <w:bidi w:val="0"/>
              <w:spacing w:line="460" w:lineRule="exact"/>
              <w:jc w:val="lef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b/>
                <w:color w:val="000000" w:themeColor="text1"/>
                <w:kern w:val="0"/>
                <w:sz w:val="22"/>
                <w:szCs w:val="22"/>
                <w14:textFill>
                  <w14:solidFill>
                    <w14:schemeClr w14:val="tx1"/>
                  </w14:solidFill>
                </w14:textFill>
              </w:rPr>
              <w:t>售后：</w:t>
            </w:r>
            <w:r>
              <w:rPr>
                <w:rFonts w:hint="eastAsia" w:ascii="新宋体" w:hAnsi="新宋体" w:eastAsia="新宋体" w:cs="新宋体"/>
                <w:color w:val="000000" w:themeColor="text1"/>
                <w:kern w:val="0"/>
                <w:sz w:val="22"/>
                <w:szCs w:val="22"/>
                <w14:textFill>
                  <w14:solidFill>
                    <w14:schemeClr w14:val="tx1"/>
                  </w14:solidFill>
                </w14:textFill>
              </w:rPr>
              <w:t>能免费提供软件维护与系统升级</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b/>
                <w:color w:val="000000" w:themeColor="text1"/>
                <w:kern w:val="0"/>
                <w:sz w:val="22"/>
                <w:szCs w:val="22"/>
                <w14:textFill>
                  <w14:solidFill>
                    <w14:schemeClr w14:val="tx1"/>
                  </w14:solidFill>
                </w14:textFill>
              </w:rPr>
              <w:t>质控与培训：</w:t>
            </w:r>
            <w:r>
              <w:rPr>
                <w:rFonts w:hint="eastAsia" w:ascii="新宋体" w:hAnsi="新宋体" w:eastAsia="新宋体" w:cs="新宋体"/>
                <w:color w:val="000000" w:themeColor="text1"/>
                <w:kern w:val="0"/>
                <w:sz w:val="22"/>
                <w:szCs w:val="22"/>
                <w14:textFill>
                  <w14:solidFill>
                    <w14:schemeClr w14:val="tx1"/>
                  </w14:solidFill>
                </w14:textFill>
              </w:rPr>
              <w:t>1、免费提供质控液</w:t>
            </w:r>
          </w:p>
          <w:p>
            <w:pPr>
              <w:keepNext w:val="0"/>
              <w:keepLines w:val="0"/>
              <w:pageBreakBefore w:val="0"/>
              <w:kinsoku/>
              <w:wordWrap/>
              <w:overflowPunct/>
              <w:topLinePunct w:val="0"/>
              <w:autoSpaceDE/>
              <w:autoSpaceDN/>
              <w:bidi w:val="0"/>
              <w:snapToGrid w:val="0"/>
              <w:spacing w:line="460" w:lineRule="exact"/>
              <w:ind w:firstLine="1320" w:firstLineChars="600"/>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2、培训计划（使科室医护达到熟练操作）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lang w:eastAsia="zh-CN"/>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血糖仪</w:t>
            </w:r>
            <w:r>
              <w:rPr>
                <w:rFonts w:hint="eastAsia" w:ascii="新宋体" w:hAnsi="新宋体" w:eastAsia="新宋体" w:cs="新宋体"/>
                <w:color w:val="000000" w:themeColor="text1"/>
                <w:kern w:val="0"/>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70台</w:t>
            </w:r>
            <w:r>
              <w:rPr>
                <w:rFonts w:hint="eastAsia" w:ascii="新宋体" w:hAnsi="新宋体" w:eastAsia="新宋体" w:cs="新宋体"/>
                <w:color w:val="000000" w:themeColor="text1"/>
                <w:kern w:val="0"/>
                <w:sz w:val="22"/>
                <w:szCs w:val="22"/>
                <w:lang w:eastAsia="zh-CN"/>
                <w14:textFill>
                  <w14:solidFill>
                    <w14:schemeClr w14:val="tx1"/>
                  </w14:solidFill>
                </w14:textFill>
              </w:rPr>
              <w:t>）</w:t>
            </w:r>
          </w:p>
        </w:tc>
        <w:tc>
          <w:tcPr>
            <w:tcW w:w="7304" w:type="dxa"/>
            <w:noWrap w:val="0"/>
            <w:vAlign w:val="top"/>
          </w:tcPr>
          <w:p>
            <w:pPr>
              <w:pStyle w:val="9"/>
              <w:keepNext w:val="0"/>
              <w:keepLines w:val="0"/>
              <w:pageBreakBefore w:val="0"/>
              <w:kinsoku/>
              <w:wordWrap/>
              <w:overflowPunct/>
              <w:topLinePunct w:val="0"/>
              <w:autoSpaceDE/>
              <w:autoSpaceDN/>
              <w:bidi w:val="0"/>
              <w:spacing w:line="460" w:lineRule="exact"/>
              <w:ind w:firstLine="0"/>
              <w:rPr>
                <w:rFonts w:hint="eastAsia"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★1、智能血糖仪需有注册证，相关的软件系统必须具备计算机软件著作权登记证书和信息系统等级保护证明等保证数据安全。</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2、全中文操作界面，界面中含患者姓名、床位及ID号等信息</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★3、采用工业级硬件平台，保证可以根据临床需求定制化开发。</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4、仪器可通过床位、姓名、ID号、住院号等多种方式识别患者</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★5、血糖仪可支持4G、WiFi（5G可用）</w:t>
            </w:r>
            <w:r>
              <w:rPr>
                <w:rFonts w:hint="eastAsia" w:ascii="新宋体" w:hAnsi="新宋体" w:eastAsia="新宋体" w:cs="新宋体"/>
                <w:color w:val="000000" w:themeColor="text1"/>
                <w:kern w:val="0"/>
                <w:sz w:val="22"/>
                <w:szCs w:val="22"/>
                <w:highlight w:val="yellow"/>
                <w:lang w:val="en-US" w:eastAsia="zh-CN"/>
                <w14:textFill>
                  <w14:solidFill>
                    <w14:schemeClr w14:val="tx1"/>
                  </w14:solidFill>
                </w14:textFill>
              </w:rPr>
              <w:t>二</w:t>
            </w:r>
            <w:r>
              <w:rPr>
                <w:rFonts w:hint="eastAsia" w:ascii="新宋体" w:hAnsi="新宋体" w:eastAsia="新宋体" w:cs="新宋体"/>
                <w:color w:val="000000" w:themeColor="text1"/>
                <w:kern w:val="0"/>
                <w:sz w:val="22"/>
                <w:szCs w:val="22"/>
                <w:highlight w:val="yellow"/>
                <w14:textFill>
                  <w14:solidFill>
                    <w14:schemeClr w14:val="tx1"/>
                  </w14:solidFill>
                </w14:textFill>
              </w:rPr>
              <w:t>种</w:t>
            </w:r>
            <w:r>
              <w:rPr>
                <w:rFonts w:hint="eastAsia" w:ascii="新宋体" w:hAnsi="新宋体" w:eastAsia="新宋体" w:cs="新宋体"/>
                <w:color w:val="000000" w:themeColor="text1"/>
                <w:kern w:val="0"/>
                <w:sz w:val="22"/>
                <w:szCs w:val="22"/>
                <w14:textFill>
                  <w14:solidFill>
                    <w14:schemeClr w14:val="tx1"/>
                  </w14:solidFill>
                </w14:textFill>
              </w:rPr>
              <w:t>数据接口传输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6、具有血糖检测时间及大事件备注功能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7、血糖异常值提醒，可手动添加测血糖提醒功能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8、未上传数据自动保存功能（避免数据丢失）</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★9、支持同一科室多台仪器检测结果互通</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10、无床患者血糖检测并存储传输</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★11、具有测血糖医嘱显示功能：未测及已测数据的颜色标记；</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12、具有特殊时间段、随机、糖耐量测试血糖标注</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13、测血糖提示显示，外出或拒测提醒功能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14、仪器具有查看血糖报告功能：查看所有住院患者血糖数据</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★15、仪器内数据可进行曲线分析和血糖报告的形成</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16、具有高低血糖设置功能：可设置患者血糖控制目标，超出目标以颜色标注</w:t>
            </w:r>
          </w:p>
          <w:p>
            <w:pPr>
              <w:pStyle w:val="9"/>
              <w:keepNext w:val="0"/>
              <w:keepLines w:val="0"/>
              <w:pageBreakBefore w:val="0"/>
              <w:kinsoku/>
              <w:wordWrap/>
              <w:overflowPunct/>
              <w:topLinePunct w:val="0"/>
              <w:autoSpaceDE/>
              <w:autoSpaceDN/>
              <w:bidi w:val="0"/>
              <w:spacing w:line="460" w:lineRule="exact"/>
              <w:ind w:firstLine="0"/>
              <w:rPr>
                <w:rFonts w:ascii="新宋体" w:hAnsi="新宋体" w:eastAsia="新宋体" w:cs="新宋体"/>
                <w:b w:val="0"/>
                <w:color w:val="000000" w:themeColor="text1"/>
                <w:sz w:val="22"/>
                <w:szCs w:val="22"/>
                <w14:textFill>
                  <w14:solidFill>
                    <w14:schemeClr w14:val="tx1"/>
                  </w14:solidFill>
                </w14:textFill>
              </w:rPr>
            </w:pPr>
            <w:r>
              <w:rPr>
                <w:rFonts w:hint="eastAsia" w:ascii="新宋体" w:hAnsi="新宋体" w:eastAsia="新宋体" w:cs="新宋体"/>
                <w:color w:val="000000" w:themeColor="text1"/>
                <w:sz w:val="22"/>
                <w:szCs w:val="22"/>
                <w14:textFill>
                  <w14:solidFill>
                    <w14:schemeClr w14:val="tx1"/>
                  </w14:solidFill>
                </w14:textFill>
              </w:rPr>
              <w:t>★1</w:t>
            </w:r>
            <w:r>
              <w:rPr>
                <w:rFonts w:hint="eastAsia" w:ascii="新宋体" w:hAnsi="新宋体" w:eastAsia="新宋体" w:cs="新宋体"/>
                <w:color w:val="000000" w:themeColor="text1"/>
                <w:sz w:val="22"/>
                <w:szCs w:val="22"/>
                <w:lang w:val="en-US" w:eastAsia="zh-CN"/>
                <w14:textFill>
                  <w14:solidFill>
                    <w14:schemeClr w14:val="tx1"/>
                  </w14:solidFill>
                </w14:textFill>
              </w:rPr>
              <w:t>7</w:t>
            </w:r>
            <w:r>
              <w:rPr>
                <w:rFonts w:hint="eastAsia" w:ascii="新宋体" w:hAnsi="新宋体" w:eastAsia="新宋体" w:cs="新宋体"/>
                <w:color w:val="000000" w:themeColor="text1"/>
                <w:sz w:val="22"/>
                <w:szCs w:val="22"/>
                <w14:textFill>
                  <w14:solidFill>
                    <w14:schemeClr w14:val="tx1"/>
                  </w14:solidFill>
                </w14:textFill>
              </w:rPr>
              <w:t>、</w:t>
            </w:r>
            <w:r>
              <w:rPr>
                <w:rFonts w:ascii="新宋体" w:hAnsi="新宋体" w:eastAsia="新宋体" w:cs="新宋体"/>
                <w:b w:val="0"/>
                <w:color w:val="000000" w:themeColor="text1"/>
                <w:sz w:val="22"/>
                <w:szCs w:val="22"/>
                <w14:textFill>
                  <w14:solidFill>
                    <w14:schemeClr w14:val="tx1"/>
                  </w14:solidFill>
                </w14:textFill>
              </w:rPr>
              <w:t>血糖仪集床位、门诊功能一体，方便设备管理</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sz w:val="22"/>
                <w:szCs w:val="22"/>
                <w14:textFill>
                  <w14:solidFill>
                    <w14:schemeClr w14:val="tx1"/>
                  </w14:solidFill>
                </w14:textFill>
              </w:rPr>
              <w:t>1</w:t>
            </w:r>
            <w:r>
              <w:rPr>
                <w:rFonts w:hint="eastAsia" w:ascii="新宋体" w:hAnsi="新宋体" w:eastAsia="新宋体" w:cs="新宋体"/>
                <w:color w:val="000000" w:themeColor="text1"/>
                <w:sz w:val="22"/>
                <w:szCs w:val="22"/>
                <w:lang w:val="en-US" w:eastAsia="zh-CN"/>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w:t>
            </w:r>
            <w:r>
              <w:rPr>
                <w:rFonts w:ascii="新宋体" w:hAnsi="新宋体" w:eastAsia="新宋体" w:cs="新宋体"/>
                <w:color w:val="000000" w:themeColor="text1"/>
                <w:kern w:val="0"/>
                <w:sz w:val="22"/>
                <w:szCs w:val="22"/>
                <w14:textFill>
                  <w14:solidFill>
                    <w14:schemeClr w14:val="tx1"/>
                  </w14:solidFill>
                </w14:textFill>
              </w:rPr>
              <w:t>血糖仪上可以查看不同科室患者血糖信息</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19</w:t>
            </w:r>
            <w:r>
              <w:rPr>
                <w:rFonts w:hint="eastAsia" w:ascii="新宋体" w:hAnsi="新宋体" w:eastAsia="新宋体" w:cs="新宋体"/>
                <w:color w:val="000000" w:themeColor="text1"/>
                <w:kern w:val="0"/>
                <w:sz w:val="22"/>
                <w:szCs w:val="22"/>
                <w14:textFill>
                  <w14:solidFill>
                    <w14:schemeClr w14:val="tx1"/>
                  </w14:solidFill>
                </w14:textFill>
              </w:rPr>
              <w:t>、有个人患者管理软件，实现区域管理个人家庭管理；</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、血糖仪需支持质控锁机功能。</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1</w:t>
            </w:r>
            <w:r>
              <w:rPr>
                <w:rFonts w:hint="eastAsia" w:ascii="新宋体" w:hAnsi="新宋体" w:eastAsia="新宋体" w:cs="新宋体"/>
                <w:color w:val="000000" w:themeColor="text1"/>
                <w:kern w:val="0"/>
                <w:sz w:val="22"/>
                <w:szCs w:val="22"/>
                <w14:textFill>
                  <w14:solidFill>
                    <w14:schemeClr w14:val="tx1"/>
                  </w14:solidFill>
                </w14:textFill>
              </w:rPr>
              <w:t>、血糖仪触摸屏需支持带手套进行触屏操作。</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2</w:t>
            </w:r>
            <w:r>
              <w:rPr>
                <w:rFonts w:hint="eastAsia" w:ascii="新宋体" w:hAnsi="新宋体" w:eastAsia="新宋体" w:cs="新宋体"/>
                <w:color w:val="000000" w:themeColor="text1"/>
                <w:kern w:val="0"/>
                <w:sz w:val="22"/>
                <w:szCs w:val="22"/>
                <w14:textFill>
                  <w14:solidFill>
                    <w14:schemeClr w14:val="tx1"/>
                  </w14:solidFill>
                </w14:textFill>
              </w:rPr>
              <w:t>、血糖仪需支持院感表面酒精和紫外线杀菌消毒处理。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w:t>
            </w:r>
          </w:p>
        </w:tc>
        <w:tc>
          <w:tcPr>
            <w:tcW w:w="1681" w:type="dxa"/>
            <w:noWrap w:val="0"/>
            <w:vAlign w:val="center"/>
          </w:tcPr>
          <w:p>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000000" w:themeColor="text1"/>
                <w:kern w:val="0"/>
                <w:sz w:val="22"/>
                <w:szCs w:val="22"/>
                <w:lang w:eastAsia="zh-CN"/>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血糖试纸</w:t>
            </w:r>
            <w:r>
              <w:rPr>
                <w:rFonts w:hint="eastAsia" w:ascii="新宋体" w:hAnsi="新宋体" w:eastAsia="新宋体" w:cs="新宋体"/>
                <w:color w:val="000000" w:themeColor="text1"/>
                <w:kern w:val="0"/>
                <w:sz w:val="22"/>
                <w:szCs w:val="22"/>
                <w:lang w:eastAsia="zh-CN"/>
                <w14:textFill>
                  <w14:solidFill>
                    <w14:schemeClr w14:val="tx1"/>
                  </w14:solidFill>
                </w14:textFill>
              </w:rPr>
              <w:t>（</w:t>
            </w:r>
            <w:r>
              <w:rPr>
                <w:rFonts w:hint="eastAsia" w:ascii="新宋体" w:hAnsi="新宋体" w:eastAsia="新宋体" w:cs="新宋体"/>
                <w:color w:val="000000" w:themeColor="text1"/>
                <w:kern w:val="0"/>
                <w:sz w:val="22"/>
                <w:szCs w:val="22"/>
                <w:lang w:val="en-US" w:eastAsia="zh-CN"/>
                <w14:textFill>
                  <w14:solidFill>
                    <w14:schemeClr w14:val="tx1"/>
                  </w14:solidFill>
                </w14:textFill>
              </w:rPr>
              <w:t>采血针</w:t>
            </w:r>
            <w:r>
              <w:rPr>
                <w:rFonts w:hint="eastAsia" w:ascii="新宋体" w:hAnsi="新宋体" w:eastAsia="新宋体" w:cs="新宋体"/>
                <w:color w:val="000000" w:themeColor="text1"/>
                <w:kern w:val="0"/>
                <w:sz w:val="22"/>
                <w:szCs w:val="22"/>
                <w:lang w:eastAsia="zh-CN"/>
                <w14:textFill>
                  <w14:solidFill>
                    <w14:schemeClr w14:val="tx1"/>
                  </w14:solidFill>
                </w14:textFill>
              </w:rPr>
              <w:t>）</w:t>
            </w:r>
          </w:p>
        </w:tc>
        <w:tc>
          <w:tcPr>
            <w:tcW w:w="7304" w:type="dxa"/>
            <w:noWrap w:val="0"/>
            <w:vAlign w:val="top"/>
          </w:tcPr>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1.检测范围:1.1mmol/l-</w:t>
            </w:r>
            <w:r>
              <w:rPr>
                <w:rFonts w:ascii="新宋体" w:hAnsi="新宋体" w:eastAsia="新宋体" w:cs="新宋体"/>
                <w:b/>
                <w:bCs/>
                <w:color w:val="000000" w:themeColor="text1"/>
                <w:kern w:val="0"/>
                <w:sz w:val="22"/>
                <w:szCs w:val="22"/>
                <w14:textFill>
                  <w14:solidFill>
                    <w14:schemeClr w14:val="tx1"/>
                  </w14:solidFill>
                </w14:textFill>
              </w:rPr>
              <w:t>27</w:t>
            </w:r>
            <w:r>
              <w:rPr>
                <w:rFonts w:hint="eastAsia" w:ascii="新宋体" w:hAnsi="新宋体" w:eastAsia="新宋体" w:cs="新宋体"/>
                <w:b/>
                <w:bCs/>
                <w:color w:val="000000" w:themeColor="text1"/>
                <w:kern w:val="0"/>
                <w:sz w:val="22"/>
                <w:szCs w:val="22"/>
                <w14:textFill>
                  <w14:solidFill>
                    <w14:schemeClr w14:val="tx1"/>
                  </w14:solidFill>
                </w14:textFill>
              </w:rPr>
              <w:t>.</w:t>
            </w:r>
            <w:r>
              <w:rPr>
                <w:rFonts w:ascii="新宋体" w:hAnsi="新宋体" w:eastAsia="新宋体" w:cs="新宋体"/>
                <w:b/>
                <w:bCs/>
                <w:color w:val="000000" w:themeColor="text1"/>
                <w:kern w:val="0"/>
                <w:sz w:val="22"/>
                <w:szCs w:val="22"/>
                <w14:textFill>
                  <w14:solidFill>
                    <w14:schemeClr w14:val="tx1"/>
                  </w14:solidFill>
                </w14:textFill>
              </w:rPr>
              <w:t>8</w:t>
            </w:r>
            <w:r>
              <w:rPr>
                <w:rFonts w:hint="eastAsia" w:ascii="新宋体" w:hAnsi="新宋体" w:eastAsia="新宋体" w:cs="新宋体"/>
                <w:color w:val="000000" w:themeColor="text1"/>
                <w:kern w:val="0"/>
                <w:sz w:val="22"/>
                <w:szCs w:val="22"/>
                <w14:textFill>
                  <w14:solidFill>
                    <w14:schemeClr w14:val="tx1"/>
                  </w14:solidFill>
                </w14:textFill>
              </w:rPr>
              <w:t xml:space="preserve"> mmol/l</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2.试纸检测方法：干化学法</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3.保质期：开封3个月、未开封18个月</w:t>
            </w:r>
          </w:p>
          <w:p>
            <w:pPr>
              <w:keepNext w:val="0"/>
              <w:keepLines w:val="0"/>
              <w:pageBreakBefore w:val="0"/>
              <w:kinsoku/>
              <w:wordWrap/>
              <w:overflowPunct/>
              <w:topLinePunct w:val="0"/>
              <w:autoSpaceDE/>
              <w:autoSpaceDN/>
              <w:bidi w:val="0"/>
              <w:spacing w:line="460" w:lineRule="exact"/>
              <w:rPr>
                <w:rFonts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★4.储存条件：相对湿度</w:t>
            </w:r>
            <w:r>
              <w:rPr>
                <w:rFonts w:ascii="新宋体" w:hAnsi="新宋体" w:eastAsia="新宋体" w:cs="新宋体"/>
                <w:color w:val="000000" w:themeColor="text1"/>
                <w:kern w:val="0"/>
                <w:sz w:val="22"/>
                <w:szCs w:val="22"/>
                <w14:textFill>
                  <w14:solidFill>
                    <w14:schemeClr w14:val="tx1"/>
                  </w14:solidFill>
                </w14:textFill>
              </w:rPr>
              <w:t>10%--90%</w:t>
            </w:r>
            <w:r>
              <w:rPr>
                <w:rFonts w:hint="eastAsia" w:ascii="新宋体" w:hAnsi="新宋体" w:eastAsia="新宋体" w:cs="新宋体"/>
                <w:color w:val="000000" w:themeColor="text1"/>
                <w:kern w:val="0"/>
                <w:sz w:val="22"/>
                <w:szCs w:val="22"/>
                <w14:textFill>
                  <w14:solidFill>
                    <w14:schemeClr w14:val="tx1"/>
                  </w14:solidFill>
                </w14:textFill>
              </w:rPr>
              <w:t>、温度4℃-3</w:t>
            </w:r>
            <w:r>
              <w:rPr>
                <w:rFonts w:ascii="新宋体" w:hAnsi="新宋体" w:eastAsia="新宋体" w:cs="新宋体"/>
                <w:color w:val="000000" w:themeColor="text1"/>
                <w:kern w:val="0"/>
                <w:sz w:val="22"/>
                <w:szCs w:val="22"/>
                <w14:textFill>
                  <w14:solidFill>
                    <w14:schemeClr w14:val="tx1"/>
                  </w14:solidFill>
                </w14:textFill>
              </w:rPr>
              <w:t>0</w:t>
            </w:r>
            <w:r>
              <w:rPr>
                <w:rFonts w:hint="eastAsia" w:ascii="新宋体" w:hAnsi="新宋体" w:eastAsia="新宋体" w:cs="新宋体"/>
                <w:color w:val="000000" w:themeColor="text1"/>
                <w:kern w:val="0"/>
                <w:sz w:val="22"/>
                <w:szCs w:val="22"/>
                <w14:textFill>
                  <w14:solidFill>
                    <w14:schemeClr w14:val="tx1"/>
                  </w14:solidFill>
                </w14:textFill>
              </w:rPr>
              <w:t>℃</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5.用血量：≤1微升</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6.检测时间：≤6S</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★7.红细胞压积率：</w:t>
            </w:r>
            <w:r>
              <w:rPr>
                <w:rFonts w:ascii="新宋体" w:hAnsi="新宋体" w:eastAsia="新宋体" w:cs="新宋体"/>
                <w:color w:val="000000" w:themeColor="text1"/>
                <w:kern w:val="0"/>
                <w:sz w:val="22"/>
                <w:szCs w:val="22"/>
                <w14:textFill>
                  <w14:solidFill>
                    <w14:schemeClr w14:val="tx1"/>
                  </w14:solidFill>
                </w14:textFill>
              </w:rPr>
              <w:t>15</w:t>
            </w:r>
            <w:r>
              <w:rPr>
                <w:rFonts w:hint="eastAsia" w:ascii="新宋体" w:hAnsi="新宋体" w:eastAsia="新宋体" w:cs="新宋体"/>
                <w:color w:val="000000" w:themeColor="text1"/>
                <w:kern w:val="0"/>
                <w:sz w:val="22"/>
                <w:szCs w:val="22"/>
                <w14:textFill>
                  <w14:solidFill>
                    <w14:schemeClr w14:val="tx1"/>
                  </w14:solidFill>
                </w14:textFill>
              </w:rPr>
              <w:t>%-</w:t>
            </w:r>
            <w:r>
              <w:rPr>
                <w:rFonts w:ascii="新宋体" w:hAnsi="新宋体" w:eastAsia="新宋体" w:cs="新宋体"/>
                <w:color w:val="000000" w:themeColor="text1"/>
                <w:kern w:val="0"/>
                <w:sz w:val="22"/>
                <w:szCs w:val="22"/>
                <w14:textFill>
                  <w14:solidFill>
                    <w14:schemeClr w14:val="tx1"/>
                  </w14:solidFill>
                </w14:textFill>
              </w:rPr>
              <w:t>65</w:t>
            </w:r>
            <w:r>
              <w:rPr>
                <w:rFonts w:hint="eastAsia" w:ascii="新宋体" w:hAnsi="新宋体" w:eastAsia="新宋体" w:cs="新宋体"/>
                <w:color w:val="000000" w:themeColor="text1"/>
                <w:kern w:val="0"/>
                <w:sz w:val="22"/>
                <w:szCs w:val="22"/>
                <w14:textFill>
                  <w14:solidFill>
                    <w14:schemeClr w14:val="tx1"/>
                  </w14:solidFill>
                </w14:textFill>
              </w:rPr>
              <w:t>%</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8.批间差：不同批号血糖试纸的批间差不大于15%</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重复性：重复性需通过五个不同浓度范围的抗凝静脉全血样本进行测量，每个浓度的样本重复测量20次</w:t>
            </w:r>
          </w:p>
          <w:p>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000000" w:themeColor="text1"/>
                <w:kern w:val="0"/>
                <w:sz w:val="22"/>
                <w:szCs w:val="22"/>
                <w14:textFill>
                  <w14:solidFill>
                    <w14:schemeClr w14:val="tx1"/>
                  </w14:solidFill>
                </w14:textFill>
              </w:rPr>
            </w:pPr>
            <w:r>
              <w:rPr>
                <w:rFonts w:hint="eastAsia" w:ascii="新宋体" w:hAnsi="新宋体" w:eastAsia="新宋体" w:cs="新宋体"/>
                <w:color w:val="000000" w:themeColor="text1"/>
                <w:kern w:val="0"/>
                <w:sz w:val="22"/>
                <w:szCs w:val="22"/>
                <w14:textFill>
                  <w14:solidFill>
                    <w14:schemeClr w14:val="tx1"/>
                  </w14:solidFill>
                </w14:textFill>
              </w:rPr>
              <w:t>★9、保证试纸随时更新。</w:t>
            </w:r>
          </w:p>
        </w:tc>
      </w:tr>
    </w:tbl>
    <w:p>
      <w:pPr>
        <w:keepNext w:val="0"/>
        <w:keepLines w:val="0"/>
        <w:pageBreakBefore w:val="0"/>
        <w:widowControl w:val="0"/>
        <w:kinsoku/>
        <w:wordWrap/>
        <w:overflowPunct/>
        <w:topLinePunct w:val="0"/>
        <w:autoSpaceDE/>
        <w:autoSpaceDN w:val="0"/>
        <w:bidi w:val="0"/>
        <w:adjustRightInd/>
        <w:snapToGrid/>
        <w:spacing w:line="460" w:lineRule="exact"/>
        <w:textAlignment w:val="auto"/>
        <w:outlineLvl w:val="1"/>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四、</w:t>
      </w:r>
      <w:r>
        <w:rPr>
          <w:rFonts w:hint="eastAsia" w:ascii="新宋体" w:hAnsi="新宋体" w:eastAsia="新宋体" w:cs="新宋体"/>
          <w:b/>
          <w:sz w:val="22"/>
          <w:szCs w:val="22"/>
        </w:rPr>
        <w:t>血糖信息化系统功能需求</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1.1血糖信息管理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血糖信息管理可以把所有关于血糖信息的功能整合在一起的功能模块，包含今日报告、血糖数据、血糖医嘱、查找数据、危急值、最新情况、时段管理等功能；</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当日报告</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当日报告中可查看病区权限范围内的当日测血糖情况，如病区床位数、测血糖人数、测血糖比例、病区高低血糖及比例、病区时间段高低血糖及比例等。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血糖管理</w:t>
      </w:r>
    </w:p>
    <w:p>
      <w:pPr>
        <w:autoSpaceDN w:val="0"/>
        <w:spacing w:line="460" w:lineRule="exact"/>
        <w:ind w:firstLine="660" w:firstLineChars="300"/>
        <w:rPr>
          <w:rFonts w:hint="eastAsia" w:ascii="新宋体" w:hAnsi="新宋体" w:eastAsia="新宋体" w:cs="新宋体"/>
          <w:bCs/>
          <w:sz w:val="22"/>
          <w:szCs w:val="22"/>
          <w:lang w:eastAsia="zh-CN"/>
        </w:rPr>
      </w:pPr>
      <w:r>
        <w:rPr>
          <w:rFonts w:hint="eastAsia" w:ascii="新宋体" w:hAnsi="新宋体" w:eastAsia="新宋体" w:cs="新宋体"/>
          <w:bCs/>
          <w:sz w:val="22"/>
          <w:szCs w:val="22"/>
        </w:rPr>
        <w:t>血糖管理模块可根据病区查找在院患者信息，根据选择的患者信息显示血糖数据、血糖报告、血糖曲线、医嘱数据、血糖医嘱</w:t>
      </w:r>
      <w:r>
        <w:rPr>
          <w:rFonts w:hint="eastAsia" w:ascii="新宋体" w:hAnsi="新宋体" w:eastAsia="新宋体" w:cs="新宋体"/>
          <w:bCs/>
          <w:sz w:val="22"/>
          <w:szCs w:val="22"/>
          <w:lang w:eastAsia="zh-CN"/>
        </w:rPr>
        <w:t>。</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血糖管理中可以筛选床位列表，根据病区进行床位筛选。病区筛选支持汉字、拼音快速检索；</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病区筛选也可根据病区管理中的拼音简码进行筛选；</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选择好病区后，显示该病区的床位列表（根据床位排序规则排序）。有颜色区分；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患者后，显示患者的血糖数据，患者有入院时间，根据入院时间进行血糖数据显示，没有入院时间，可以显示所有数据；血糖数据中，高、低、正常血糖要有颜色区分。高低血糖判定标准为用户设置的高低血糖范围；</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在血糖数据管理，进行新建血糖、修改血糖、删除血糖、导出 Excel 等操作；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血糖报告页签显示选择患者的血糖报告，此报告可以根据报告管理自定义。根据选择的报告模板不同，显示的报告内容不同。可以扩展很多显示内容， 并且可以显示 PPGE 等统计信息；</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血糖曲线默认加载血糖趋势图，根据血糖曲线类型选择不同的曲线进行加载。血糖曲线类型必须是根据血糖时间段自动生成。可以点击血糖标签显示每个点的具体血糖数值。同时可以设置高低血糖的正常范围；</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医嘱数据从 HIS 中读取的医嘱数据显示，方便医生查看； </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血糖医嘱可以根据患者哪个时间段需要测血糖的手动编辑功能，一些用户无法对接 HIS 医嘱或者 HIS 医嘱不完善，则可以使用血糖医嘱这个功能，可以手动编辑患者的血糖医嘱。同时可以预设一些医嘱模板，快速设置患者医嘱列表；</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血糖医嘱</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根据用户选择的病区，显示在院血糖医嘱情况。血糖医嘱可以通过用户手动编辑，或者通过同步 HIS 数据的方式获取到。血糖医嘱可以打印、导出等操作；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查找数据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可根据选择采血时间、同步时间进行血糖数据查询，并显示表格；</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危急值</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显示当天血糖危急值，危急值判断标准是根据当前登录用户设置的血糖危急值进行判断，红色背景为低血糖、黄色背景为高血糖；</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最新情况</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通过选择病区，可查看该病区在院患者最后一次血糖数据，双击可以查看该患者的历史血糖数据；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时段管理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管理和配置系统中的时间段，时间段把 24 小时均匀分割，两个时间段之间算做前面的一个时间段里；</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可根据进行编辑，对应字段仅供 PPGE 计算使用。其中对应字段为固定时间段（早餐前、早餐后、午餐前、午餐后、晚餐前、晚餐后）； </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2.</w:t>
      </w:r>
      <w:r>
        <w:rPr>
          <w:rFonts w:hint="eastAsia" w:ascii="新宋体" w:hAnsi="新宋体" w:eastAsia="新宋体" w:cs="新宋体"/>
          <w:b/>
          <w:sz w:val="22"/>
          <w:szCs w:val="22"/>
          <w:lang w:val="en-US" w:eastAsia="zh-CN"/>
        </w:rPr>
        <w:t>1</w:t>
      </w:r>
      <w:r>
        <w:rPr>
          <w:rFonts w:hint="eastAsia" w:ascii="新宋体" w:hAnsi="新宋体" w:eastAsia="新宋体" w:cs="新宋体"/>
          <w:b/>
          <w:sz w:val="22"/>
          <w:szCs w:val="22"/>
        </w:rPr>
        <w:t>病区、床位、患者管理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可对病区、床位、患者进行查找、管理，方便用户手动添加病区、床位、患者等信息；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病区管理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支持手动编辑病区，并且可以自定义病区编号、上下级病区的关系。病区可分多级，级别可自定义，也可手动更改；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床位管理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通过选择病区进行床位信息查看，可调整查看床位卡缩略、详细信息，</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可手动新建、修改、删除床位，床位信息一般通过 HIS 系统读取；</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患者管理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在院、出院患者血糖</w:t>
      </w:r>
      <w:r>
        <w:rPr>
          <w:rFonts w:hint="eastAsia" w:ascii="新宋体" w:hAnsi="新宋体" w:eastAsia="新宋体" w:cs="新宋体"/>
          <w:bCs/>
          <w:sz w:val="22"/>
          <w:szCs w:val="22"/>
        </w:rPr>
        <w:tab/>
      </w:r>
      <w:r>
        <w:rPr>
          <w:rFonts w:hint="eastAsia" w:ascii="新宋体" w:hAnsi="新宋体" w:eastAsia="新宋体" w:cs="新宋体"/>
          <w:bCs/>
          <w:sz w:val="22"/>
          <w:szCs w:val="22"/>
        </w:rPr>
        <w:t>数据，都通过患者管理进行查看。根据选择的病区、编号、姓名等信息查找患者信息，选中即可查看患者历史血糖数据，点击管理可管理患者详细信息，编辑过的患者详细信息，同步 HIS 数据后不会丢失；</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3.1统计图表</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可以以不同的角度，对血糖数据进行统计分析、统计；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血糖数据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选择病区、主治医生、采血时间进行科室血糖数据查看。主治医生可根据HIS 同步过来的主治医生进行筛选；</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患者分析</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选择病区、采血时间进行病区血糖统计，血糖统计报告中包含病区、时间段高低血糖比例、餐前餐后高低血糖比例；</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护士工作量统计</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选择病区、采血时间、护士进行护士工作量统计，统计选择的护士测血糖次数等功能；</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试纸用量</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可以选择病区、采血时间、显示试纸条用量，根据月份计算纸条用量（有床的根据患者科室进行计算，无床数据根据设备编号进行计算），；</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数据分析</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选择病区、采血时间、主治医生，统计数据库中年龄段、性别、高低血糖分布情况；</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自定义统计</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选择病区、血糖时间和（时间段、年龄、性别、诊断、主治医生）进行高低血糖比例统计；</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3.2质控管理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可查看质控数据、质控报告、质控曲线，并且可根据设备设定的质控失效时间进行质控时效查询；</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质控管理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可根据设备编号、采血时间进行质控数据查询，并可查看曲线图（SD 质控曲线图、质控值图）和质控报告，并且质控报告可自定义。选择质控数据可更改质控数据；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质控设备管理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根据病区查看设备质控状态，状态分为未按规定时间进行质控、质控未通过、在控中等几个状态；</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新建质控数据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选择质控类别，填写质控数值、时间、质控人员、设备编号、质控上下限；</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3.3会诊</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会诊管理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会诊管理需要包含新建会诊信息、编辑会诊信息、取消会诊信息、查看会诊信息、打印会诊信息，为主要功能。 </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3.4同步数据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同步数据模块可同步 HIS、血糖仪数据。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 HIS</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设置好 HIS 接口后，点击同步数据即可同步所有 HIS 数据。</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同步血糖仪</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点击血糖仪同步数据后会出现读取血糖仪数据对话框；</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3.5用户管理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管理用户、设置密码、设置角色、设置资源、批量导入用户等功能。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用户管理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 xml:space="preserve">根据病区选择用户（无病区用户也会显示），可以设置用户角色、病区权限等功能，并且可以初始化用户密码； </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高低血糖</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用户可自行设置自己的高低血糖及血糖危急值，所有系统中显示的高低血糖都是根据用户设置进行显示的；</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导入用户</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可使用 EXCEL 文件批量导入用户，通过选择对应字段进行用户数据对应；</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3．6系统管理</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设备管理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可管理设备使用状态、绑定设备病区、记录设备 MAC 地址、设置多表同步条件、设置质控时效时间等；</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同步 HIS 设置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输入密码可进入同步 HIS 设置界面，设置好 HIS 数据库类型、用户名密码等信息，并添加好视图名称、条件及数据库字段对应即可；</w:t>
      </w:r>
    </w:p>
    <w:p>
      <w:pPr>
        <w:numPr>
          <w:ilvl w:val="0"/>
          <w:numId w:val="11"/>
        </w:numPr>
        <w:autoSpaceDN w:val="0"/>
        <w:spacing w:line="460" w:lineRule="exact"/>
        <w:ind w:firstLine="220"/>
        <w:rPr>
          <w:rFonts w:hint="eastAsia" w:ascii="新宋体" w:hAnsi="新宋体" w:eastAsia="新宋体" w:cs="新宋体"/>
          <w:bCs/>
          <w:sz w:val="22"/>
          <w:szCs w:val="22"/>
        </w:rPr>
      </w:pPr>
      <w:r>
        <w:rPr>
          <w:rFonts w:hint="eastAsia" w:ascii="新宋体" w:hAnsi="新宋体" w:eastAsia="新宋体" w:cs="新宋体"/>
          <w:bCs/>
          <w:sz w:val="22"/>
          <w:szCs w:val="22"/>
        </w:rPr>
        <w:t>设置本地备份</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设置本地备份，每天备份血糖、患者数据；</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3.7报告管理</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根据程序命名空间，设置程序报告位置，并编辑报告说明（血糖报告模块可进行多报告设置，命名空间后面增加数字即可）；</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3.8报告参数</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根据报告管理中的报告数量，针对每个报告进行参数设置，参数分为数据集和参数两种，设置所要查询数据的 SQL 语句即可；</w:t>
      </w:r>
    </w:p>
    <w:p>
      <w:pPr>
        <w:autoSpaceDN w:val="0"/>
        <w:spacing w:line="460" w:lineRule="exact"/>
        <w:ind w:firstLine="663" w:firstLineChars="300"/>
        <w:rPr>
          <w:rFonts w:hint="eastAsia" w:ascii="新宋体" w:hAnsi="新宋体" w:eastAsia="新宋体" w:cs="新宋体"/>
          <w:b/>
          <w:sz w:val="22"/>
          <w:szCs w:val="22"/>
        </w:rPr>
      </w:pPr>
      <w:r>
        <w:rPr>
          <w:rFonts w:hint="eastAsia" w:ascii="新宋体" w:hAnsi="新宋体" w:eastAsia="新宋体" w:cs="新宋体"/>
          <w:b/>
          <w:sz w:val="22"/>
          <w:szCs w:val="22"/>
        </w:rPr>
        <w:t>3.9异常日志</w:t>
      </w:r>
    </w:p>
    <w:p>
      <w:pPr>
        <w:autoSpaceDN w:val="0"/>
        <w:spacing w:line="460" w:lineRule="exact"/>
        <w:ind w:firstLine="660" w:firstLineChars="300"/>
        <w:rPr>
          <w:rFonts w:hint="eastAsia" w:ascii="新宋体" w:hAnsi="新宋体" w:eastAsia="新宋体" w:cs="新宋体"/>
          <w:bCs/>
          <w:color w:val="FF0000"/>
          <w:sz w:val="22"/>
          <w:szCs w:val="22"/>
        </w:rPr>
      </w:pPr>
      <w:r>
        <w:rPr>
          <w:rFonts w:hint="eastAsia" w:ascii="新宋体" w:hAnsi="新宋体" w:eastAsia="新宋体" w:cs="新宋体"/>
          <w:bCs/>
          <w:sz w:val="22"/>
          <w:szCs w:val="22"/>
        </w:rPr>
        <w:t>整个系统解决方案中的信息都可以通过异常日志进行查询，异常信息、日志记录等，可分别查询 机器、软件、WebService 等异常；</w:t>
      </w:r>
    </w:p>
    <w:p>
      <w:pPr>
        <w:autoSpaceDN w:val="0"/>
        <w:spacing w:line="460" w:lineRule="exact"/>
        <w:ind w:firstLine="660" w:firstLineChars="300"/>
        <w:rPr>
          <w:rFonts w:hint="eastAsia" w:ascii="新宋体" w:hAnsi="新宋体" w:eastAsia="新宋体" w:cs="新宋体"/>
          <w:bCs/>
          <w:sz w:val="22"/>
          <w:szCs w:val="22"/>
        </w:rPr>
      </w:pPr>
    </w:p>
    <w:p>
      <w:pPr>
        <w:spacing w:line="460" w:lineRule="exact"/>
        <w:ind w:firstLine="541" w:firstLineChars="245"/>
        <w:rPr>
          <w:rFonts w:hint="eastAsia" w:ascii="新宋体" w:hAnsi="新宋体" w:eastAsia="新宋体" w:cs="新宋体"/>
          <w:b/>
          <w:sz w:val="22"/>
          <w:szCs w:val="22"/>
          <w:lang w:val="zh-CN"/>
        </w:rPr>
      </w:pPr>
      <w:r>
        <w:rPr>
          <w:rFonts w:hint="eastAsia" w:ascii="新宋体" w:hAnsi="新宋体" w:eastAsia="新宋体" w:cs="新宋体"/>
          <w:b/>
          <w:sz w:val="22"/>
          <w:szCs w:val="22"/>
        </w:rPr>
        <w:t>注：以上标段</w:t>
      </w:r>
      <w:r>
        <w:rPr>
          <w:rFonts w:hint="eastAsia" w:ascii="新宋体" w:hAnsi="新宋体" w:eastAsia="新宋体" w:cs="新宋体"/>
          <w:b/>
          <w:sz w:val="22"/>
          <w:szCs w:val="22"/>
          <w:lang w:val="zh-CN"/>
        </w:rPr>
        <w:t>投标人可根据以上所列设备的技术配置及技术性能要求</w:t>
      </w:r>
      <w:r>
        <w:rPr>
          <w:rFonts w:hint="eastAsia" w:ascii="新宋体" w:hAnsi="新宋体" w:eastAsia="新宋体" w:cs="新宋体"/>
          <w:b/>
          <w:sz w:val="22"/>
          <w:szCs w:val="22"/>
        </w:rPr>
        <w:t>作为</w:t>
      </w:r>
      <w:r>
        <w:rPr>
          <w:rFonts w:hint="eastAsia" w:ascii="新宋体" w:hAnsi="新宋体" w:eastAsia="新宋体" w:cs="新宋体"/>
          <w:b/>
          <w:sz w:val="22"/>
          <w:szCs w:val="22"/>
          <w:lang w:val="zh-CN"/>
        </w:rPr>
        <w:t>参考选用投标产品，但所选投标产品的技术配置及技术性能应相当于或高于招标文件要求，并满足采购需求，否则将可能作出对投标人不利的评定。</w:t>
      </w:r>
    </w:p>
    <w:p>
      <w:pPr>
        <w:rPr>
          <w:rFonts w:hint="eastAsia" w:ascii="宋体" w:hAnsi="宋体" w:cs="宋体"/>
          <w:kern w:val="0"/>
          <w:sz w:val="22"/>
          <w:szCs w:val="22"/>
          <w:lang w:bidi="ar"/>
        </w:rPr>
      </w:pPr>
    </w:p>
    <w:p>
      <w:pPr>
        <w:spacing w:line="460" w:lineRule="exact"/>
        <w:outlineLvl w:val="1"/>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五</w:t>
      </w:r>
      <w:r>
        <w:rPr>
          <w:rFonts w:hint="eastAsia" w:ascii="新宋体" w:hAnsi="新宋体" w:eastAsia="新宋体" w:cs="新宋体"/>
          <w:b/>
          <w:sz w:val="22"/>
          <w:szCs w:val="22"/>
        </w:rPr>
        <w:t>、商务需求</w:t>
      </w:r>
    </w:p>
    <w:tbl>
      <w:tblPr>
        <w:tblStyle w:val="53"/>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caps/>
                <w:kern w:val="0"/>
                <w:sz w:val="22"/>
                <w:szCs w:val="22"/>
              </w:rPr>
            </w:pPr>
            <w:r>
              <w:rPr>
                <w:rFonts w:hint="eastAsia" w:ascii="新宋体" w:hAnsi="新宋体" w:eastAsia="新宋体" w:cs="新宋体"/>
                <w:bCs/>
                <w:caps/>
                <w:kern w:val="0"/>
                <w:sz w:val="22"/>
                <w:szCs w:val="22"/>
              </w:rPr>
              <w:t>序号</w:t>
            </w:r>
          </w:p>
        </w:tc>
        <w:tc>
          <w:tcPr>
            <w:tcW w:w="8741" w:type="dxa"/>
            <w:noWrap w:val="0"/>
            <w:vAlign w:val="center"/>
          </w:tcPr>
          <w:p>
            <w:pPr>
              <w:widowControl/>
              <w:snapToGrid w:val="0"/>
              <w:spacing w:line="460" w:lineRule="exact"/>
              <w:ind w:firstLine="420"/>
              <w:jc w:val="center"/>
              <w:rPr>
                <w:rFonts w:hint="eastAsia" w:ascii="新宋体" w:hAnsi="新宋体" w:eastAsia="新宋体" w:cs="新宋体"/>
                <w:bCs/>
                <w:caps/>
                <w:kern w:val="0"/>
                <w:sz w:val="22"/>
                <w:szCs w:val="22"/>
              </w:rPr>
            </w:pPr>
            <w:r>
              <w:rPr>
                <w:rFonts w:hint="eastAsia" w:ascii="新宋体" w:hAnsi="新宋体" w:eastAsia="新宋体" w:cs="新宋体"/>
                <w:bCs/>
                <w:caps/>
                <w:kern w:val="0"/>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一</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合同总金额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货到</w:t>
            </w:r>
            <w:r>
              <w:rPr>
                <w:rFonts w:hint="eastAsia" w:ascii="新宋体" w:hAnsi="新宋体" w:eastAsia="新宋体" w:cs="新宋体"/>
                <w:kern w:val="0"/>
                <w:sz w:val="22"/>
                <w:szCs w:val="22"/>
                <w:u w:val="single"/>
              </w:rPr>
              <w:t>温州市中医院</w:t>
            </w:r>
            <w:r>
              <w:rPr>
                <w:rFonts w:hint="eastAsia" w:ascii="新宋体" w:hAnsi="新宋体" w:eastAsia="新宋体" w:cs="新宋体"/>
                <w:bCs/>
                <w:kern w:val="0"/>
                <w:sz w:val="22"/>
                <w:szCs w:val="22"/>
                <w:u w:val="singl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不高于我院采购同品牌同型号同等配置的最低单价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提供所有消耗品、配件详细价格清单，今后购买价不高于此价格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二</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质保期及售后服务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autoSpaceDN w:val="0"/>
              <w:spacing w:line="460" w:lineRule="exact"/>
              <w:rPr>
                <w:rFonts w:hint="eastAsia" w:ascii="新宋体" w:hAnsi="新宋体" w:eastAsia="新宋体" w:cs="新宋体"/>
                <w:bCs/>
                <w:sz w:val="22"/>
                <w:szCs w:val="22"/>
              </w:rPr>
            </w:pPr>
            <w:r>
              <w:rPr>
                <w:rFonts w:hint="eastAsia" w:ascii="新宋体" w:hAnsi="新宋体" w:eastAsia="新宋体" w:cs="新宋体"/>
                <w:bCs/>
                <w:sz w:val="22"/>
                <w:szCs w:val="22"/>
              </w:rPr>
              <w:t>1、血糖仪系统和血糖仪质保：永久</w:t>
            </w:r>
          </w:p>
          <w:p>
            <w:pPr>
              <w:autoSpaceDN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Cs/>
                <w:sz w:val="22"/>
                <w:szCs w:val="22"/>
              </w:rPr>
              <w:t>2、血糖试纸质保：未开封18个月，开封3个月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投标人提供全部选购件及成交价格清单，未列出则视为已包含在本次投标总价中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质保期</w:t>
            </w:r>
            <w:r>
              <w:rPr>
                <w:rFonts w:hint="eastAsia" w:ascii="新宋体" w:hAnsi="新宋体" w:eastAsia="新宋体" w:cs="新宋体"/>
                <w:sz w:val="22"/>
                <w:szCs w:val="22"/>
              </w:rPr>
              <w:t>内厂家维修免差旅费，若出现需返厂维修的情况，需提供备用机保障临床正常使用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每年定期对机器使用质量回访2—4次，并记录备案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三</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val="0"/>
                <w:bCs/>
                <w:kern w:val="0"/>
                <w:sz w:val="22"/>
                <w:szCs w:val="22"/>
              </w:rPr>
            </w:pPr>
            <w:r>
              <w:rPr>
                <w:rFonts w:hint="eastAsia" w:ascii="新宋体" w:hAnsi="新宋体" w:eastAsia="新宋体" w:cs="新宋体"/>
                <w:b w:val="0"/>
                <w:bCs/>
                <w:kern w:val="0"/>
                <w:sz w:val="22"/>
                <w:szCs w:val="22"/>
              </w:rPr>
              <w:t>1</w:t>
            </w:r>
          </w:p>
        </w:tc>
        <w:tc>
          <w:tcPr>
            <w:tcW w:w="8741" w:type="dxa"/>
            <w:noWrap w:val="0"/>
            <w:vAlign w:val="center"/>
          </w:tcPr>
          <w:p>
            <w:pPr>
              <w:pStyle w:val="22"/>
              <w:spacing w:after="0" w:line="460" w:lineRule="exact"/>
              <w:ind w:right="161"/>
              <w:rPr>
                <w:rFonts w:hint="eastAsia" w:ascii="新宋体" w:hAnsi="新宋体" w:eastAsia="新宋体" w:cs="新宋体"/>
                <w:b w:val="0"/>
                <w:bCs/>
                <w:sz w:val="22"/>
                <w:szCs w:val="22"/>
              </w:rPr>
            </w:pPr>
            <w:r>
              <w:rPr>
                <w:rFonts w:hint="eastAsia" w:ascii="新宋体" w:hAnsi="新宋体" w:eastAsia="新宋体" w:cs="新宋体"/>
                <w:b w:val="0"/>
                <w:bCs/>
                <w:sz w:val="22"/>
                <w:szCs w:val="22"/>
              </w:rPr>
              <w:t>血糖信息化管理系统及血糖仪全部货物安装调试完毕并经最终验收合格后2个月内，招标人向中标人支付血糖信息化管理系统及血糖仪合同价款。</w:t>
            </w:r>
          </w:p>
          <w:p>
            <w:pPr>
              <w:widowControl/>
              <w:snapToGrid w:val="0"/>
              <w:spacing w:line="460" w:lineRule="exact"/>
              <w:rPr>
                <w:rFonts w:hint="eastAsia" w:ascii="新宋体" w:hAnsi="新宋体" w:eastAsia="新宋体" w:cs="新宋体"/>
                <w:b w:val="0"/>
                <w:bCs/>
                <w:kern w:val="0"/>
                <w:sz w:val="22"/>
                <w:szCs w:val="22"/>
              </w:rPr>
            </w:pPr>
            <w:r>
              <w:rPr>
                <w:rFonts w:hint="eastAsia" w:ascii="新宋体" w:hAnsi="新宋体" w:eastAsia="新宋体" w:cs="新宋体"/>
                <w:b w:val="0"/>
                <w:bCs/>
                <w:sz w:val="22"/>
                <w:szCs w:val="22"/>
              </w:rPr>
              <w:t>血糖试纸按月实际消耗试纸量支付，收到发票30日内支付。（以实际消耗试纸量为准）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sz w:val="22"/>
                <w:szCs w:val="22"/>
              </w:rPr>
            </w:pPr>
            <w:r>
              <w:rPr>
                <w:rFonts w:hint="eastAsia" w:ascii="新宋体" w:hAnsi="新宋体" w:eastAsia="新宋体" w:cs="新宋体"/>
                <w:kern w:val="0"/>
                <w:sz w:val="22"/>
                <w:szCs w:val="22"/>
              </w:rPr>
              <w:t>履约保证金：中标金额的5%，验收合格后，如无质量问题，则无息退还履约保证金。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四</w:t>
            </w:r>
          </w:p>
        </w:tc>
        <w:tc>
          <w:tcPr>
            <w:tcW w:w="8741" w:type="dxa"/>
            <w:noWrap w:val="0"/>
            <w:vAlign w:val="center"/>
          </w:tcPr>
          <w:p>
            <w:pPr>
              <w:widowControl/>
              <w:snapToGrid w:val="0"/>
              <w:spacing w:line="460" w:lineRule="exact"/>
              <w:rPr>
                <w:rFonts w:hint="eastAsia" w:ascii="新宋体" w:hAnsi="新宋体" w:eastAsia="新宋体" w:cs="新宋体"/>
                <w:b/>
                <w:bCs w:val="0"/>
                <w:kern w:val="0"/>
                <w:sz w:val="22"/>
                <w:szCs w:val="22"/>
              </w:rPr>
            </w:pPr>
            <w:r>
              <w:rPr>
                <w:rFonts w:hint="eastAsia" w:ascii="新宋体" w:hAnsi="新宋体" w:eastAsia="新宋体" w:cs="新宋体"/>
                <w:b/>
                <w:bCs w:val="0"/>
                <w:kern w:val="0"/>
                <w:sz w:val="22"/>
                <w:szCs w:val="22"/>
              </w:rPr>
              <w:t>到货期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spacing w:line="460" w:lineRule="exact"/>
              <w:rPr>
                <w:rFonts w:ascii="新宋体" w:hAnsi="新宋体" w:eastAsia="仿宋" w:cs="新宋体"/>
                <w:sz w:val="22"/>
                <w:szCs w:val="22"/>
              </w:rPr>
            </w:pPr>
            <w:r>
              <w:rPr>
                <w:rFonts w:hint="eastAsia" w:ascii="新宋体" w:hAnsi="新宋体" w:eastAsia="新宋体" w:cs="新宋体"/>
                <w:bCs/>
                <w:kern w:val="0"/>
                <w:sz w:val="22"/>
                <w:szCs w:val="22"/>
              </w:rPr>
              <w:t>交货期</w:t>
            </w:r>
            <w:r>
              <w:rPr>
                <w:rFonts w:hint="eastAsia" w:ascii="新宋体" w:hAnsi="新宋体" w:eastAsia="新宋体" w:cs="新宋体"/>
                <w:kern w:val="0"/>
                <w:sz w:val="22"/>
                <w:szCs w:val="22"/>
              </w:rPr>
              <w:t>：合同签订后 60 天内</w:t>
            </w:r>
          </w:p>
          <w:p>
            <w:p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到货地点：温州市中医院指定；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由买方指定的外贸委托代理商签定外贸合同（如适用）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sz w:val="22"/>
              </w:rPr>
              <w:t>合同签订后，设备验收合格后合作期1年或</w:t>
            </w:r>
            <w:r>
              <w:rPr>
                <w:rFonts w:hint="eastAsia"/>
                <w:sz w:val="24"/>
              </w:rPr>
              <w:t>耗材</w:t>
            </w:r>
            <w:r>
              <w:rPr>
                <w:rFonts w:hint="eastAsia" w:ascii="新宋体" w:hAnsi="新宋体" w:eastAsia="新宋体"/>
                <w:sz w:val="22"/>
              </w:rPr>
              <w:t>采购量达到合同金额，任一条件达到即视为合作期结束。合作期内如遇政策性原因，导致合同无法履行，则合同自行终止。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五</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安装地点：温州市中医院指定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卖方须对买方现场进行查勘，在合同签定后十日内书面提供买方认可的运输方案及安装方案，费用含在合同总价中。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安装完成时间：卖方在设备到货后5个工作日内完成安装调试，并正常运行，如果超出上述期限，卖方负责由此给买方造成的所有损失。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安装标准：符合我国国家有关技术规范要求和技术标准。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5</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安装过程中发生的装卸、搬运和设备保险等费用全部由卖方负责。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六</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卖方提供的</w:t>
            </w:r>
            <w:r>
              <w:rPr>
                <w:rFonts w:hint="eastAsia" w:ascii="新宋体" w:hAnsi="新宋体" w:eastAsia="新宋体" w:cs="新宋体"/>
                <w:kern w:val="0"/>
                <w:sz w:val="22"/>
                <w:szCs w:val="22"/>
              </w:rPr>
              <w:t>整套系统</w:t>
            </w:r>
            <w:r>
              <w:rPr>
                <w:rFonts w:hint="eastAsia" w:ascii="新宋体" w:hAnsi="新宋体" w:eastAsia="新宋体" w:cs="新宋体"/>
                <w:bCs/>
                <w:kern w:val="0"/>
                <w:sz w:val="22"/>
                <w:szCs w:val="22"/>
              </w:rPr>
              <w:t>必须是全新的未使用过的设备。投标机型须配置最新硬件、软件版本产品，投标时须提供原厂技术参数和产品彩页。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卖方提供经买方认可的且具有资质的检测机构出具的检测合格报告，检测费用包含在合同总价中。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设备应符合国家相关标准、投标文件的性能指标及功能要求，并根据合同条款逐项验收。买方对设备验收合格后，双方共同签署验收报告。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验收过程中发现货物性能或功能达不到要求，卖方必须更换有关部件，使货物最终达到规定的性能指标和功能要求，但必须在发现问题后5个工作日内完成。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5</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验收时间：货物到齐，设备工作正常后1个月内。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6</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验收过程中所发生的所有费用（含检测、耗材等）由卖方承担，含在合同总价中。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val="0"/>
                <w:kern w:val="0"/>
                <w:sz w:val="22"/>
                <w:szCs w:val="22"/>
              </w:rPr>
              <w:t>七</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操作应用培训：卖方负责在医院现场提供累计不少于2小时的操作和临床应用培训，使操作人员熟练掌握设备的操作规程及临床应用，并提供培训记录。所有培训费用已含入总价中。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维修培训：卖方负责在医院现场提供维修人员的培训，使医院维修工程人员掌握日常设备故障的排除及设备维护技能。所有培训费用已含入总价中。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培训完成后，卖方须提供详细培训记录，培训记录应有培训内容、参加人员（签字）、培训地点、培训时间以及操作人员考核情况。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八</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技术资料及服务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所有软件的备份光盘、license及所有口令信息，同时提供这些软件安装、调试及相关维护所需要的所有硬件和软件工具。不能提供上述内容的，则现场提供所有软件终生免费安装（含硬件更换后软件重新安装调试）、调试、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卖方提供纸质版设备操作说明书及维保说明书各2份。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3</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卖方提供设备操作规程，放置于设备操作现场。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4</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sz w:val="22"/>
                <w:szCs w:val="22"/>
              </w:rPr>
              <w:t>提供电子版三证、电子版使用说明书、维修手册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九</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卖方所提供的产品应具有知识产权的合法产品，且卖方保证所提供的设备或其任何一部分均不会侵犯任何第三方的知识产权。设备所含的软件买方具有永久使用权。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产权担保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卖方保证所交付的所有设备的所有权完全属于卖方且无任何抵押、查封等产权瑕疵。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十一</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转包或分包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本合同范围的货物，应由卖方直接供应，不得转让他人供应。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十二</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合同未涉及条款，按照投标文件及招标文件执行。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十三</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由于卖方及其关联公司（单位）原因导致未按期到货，则视作违约，卖方须支付买方违约款，违约金为合同总价的5%；且买方有权终止全部合同，卖方必须退还全部货款，并承担由此产生的买方的所有损失。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kern w:val="0"/>
                <w:sz w:val="22"/>
                <w:szCs w:val="22"/>
              </w:rPr>
              <w:t>在货物到货后7个工作日内，设备安装调试未达到合同规定的性能指标和功能要求的，每超出1天，卖方赔偿给买方合同总金额的0.5%。当累计赔偿金额到合同总价的5%时，买方有权终止全部合同，卖方必须退还全部货款，并承担由此产生的买方的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b/>
                <w:bCs/>
                <w:kern w:val="0"/>
                <w:sz w:val="22"/>
                <w:szCs w:val="22"/>
              </w:rPr>
              <w:t>十四</w:t>
            </w:r>
          </w:p>
        </w:tc>
        <w:tc>
          <w:tcPr>
            <w:tcW w:w="8741" w:type="dxa"/>
            <w:noWrap w:val="0"/>
            <w:vAlign w:val="center"/>
          </w:tcPr>
          <w:p>
            <w:pPr>
              <w:widowControl/>
              <w:snapToGrid w:val="0"/>
              <w:spacing w:line="460" w:lineRule="exact"/>
              <w:rPr>
                <w:rFonts w:hint="eastAsia" w:ascii="新宋体" w:hAnsi="新宋体" w:eastAsia="新宋体" w:cs="新宋体"/>
                <w:b/>
                <w:kern w:val="0"/>
                <w:sz w:val="22"/>
                <w:szCs w:val="22"/>
              </w:rPr>
            </w:pPr>
            <w:r>
              <w:rPr>
                <w:rFonts w:hint="eastAsia" w:ascii="新宋体" w:hAnsi="新宋体" w:eastAsia="新宋体" w:cs="新宋体"/>
                <w:b/>
                <w:bCs/>
                <w:kern w:val="0"/>
                <w:sz w:val="22"/>
                <w:szCs w:val="22"/>
              </w:rPr>
              <w:t>特别约定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十五</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合同的终止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合同执行期内，经向检察机关查询，发现中标人或供应商有行贿犯罪记录的，即取消中标资格或停止采购合同。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十六</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法律适用及争议解决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本合同的一切事项适用中华人民共和国合同法，对合同双方均具有约束力。与本合同有关的一切争议，双方须通过友好协商解决。如协商不能解决时，向买方当地法院诉讼解决。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十七</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合同签订地：买方所在地。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十八</w:t>
            </w:r>
          </w:p>
        </w:tc>
        <w:tc>
          <w:tcPr>
            <w:tcW w:w="8741" w:type="dxa"/>
            <w:noWrap w:val="0"/>
            <w:vAlign w:val="center"/>
          </w:tcPr>
          <w:p>
            <w:pPr>
              <w:widowControl/>
              <w:snapToGrid w:val="0"/>
              <w:spacing w:line="460" w:lineRule="exac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合同附件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设备配置清单、消耗品、备件价格清单、售后服务承诺书；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2</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附件为本合同的不可分割的组成部分，具有同等法律效力。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 w:hRule="atLeast"/>
          <w:jc w:val="center"/>
        </w:trPr>
        <w:tc>
          <w:tcPr>
            <w:tcW w:w="1100" w:type="dxa"/>
            <w:noWrap w:val="0"/>
            <w:vAlign w:val="center"/>
          </w:tcPr>
          <w:p>
            <w:pPr>
              <w:widowControl/>
              <w:snapToGrid w:val="0"/>
              <w:spacing w:line="460" w:lineRule="exact"/>
              <w:jc w:val="center"/>
              <w:rPr>
                <w:rFonts w:hint="eastAsia" w:ascii="新宋体" w:hAnsi="新宋体" w:eastAsia="新宋体" w:cs="新宋体"/>
                <w:bCs/>
                <w:kern w:val="0"/>
                <w:sz w:val="22"/>
                <w:szCs w:val="22"/>
              </w:rPr>
            </w:pPr>
            <w:r>
              <w:rPr>
                <w:rFonts w:hint="eastAsia" w:ascii="新宋体" w:hAnsi="新宋体" w:eastAsia="新宋体" w:cs="新宋体"/>
                <w:b/>
                <w:bCs/>
                <w:kern w:val="0"/>
                <w:sz w:val="22"/>
                <w:szCs w:val="22"/>
              </w:rPr>
              <w:t>十九</w:t>
            </w:r>
          </w:p>
        </w:tc>
        <w:tc>
          <w:tcPr>
            <w:tcW w:w="8741" w:type="dxa"/>
            <w:noWrap w:val="0"/>
            <w:vAlign w:val="center"/>
          </w:tcPr>
          <w:p>
            <w:pPr>
              <w:widowControl/>
              <w:snapToGrid w:val="0"/>
              <w:spacing w:line="460" w:lineRule="exact"/>
              <w:rPr>
                <w:rFonts w:hint="eastAsia" w:ascii="新宋体" w:hAnsi="新宋体" w:eastAsia="新宋体" w:cs="新宋体"/>
                <w:bCs/>
                <w:kern w:val="0"/>
                <w:sz w:val="22"/>
                <w:szCs w:val="22"/>
              </w:rPr>
            </w:pPr>
            <w:r>
              <w:rPr>
                <w:rFonts w:hint="eastAsia" w:ascii="新宋体" w:hAnsi="新宋体" w:eastAsia="新宋体" w:cs="新宋体"/>
                <w:spacing w:val="2"/>
                <w:kern w:val="0"/>
                <w:sz w:val="22"/>
                <w:szCs w:val="22"/>
              </w:rPr>
              <w:t>合同应在</w:t>
            </w:r>
            <w:r>
              <w:rPr>
                <w:rFonts w:hint="eastAsia" w:ascii="新宋体" w:hAnsi="新宋体" w:eastAsia="新宋体" w:cs="新宋体"/>
                <w:kern w:val="0"/>
                <w:sz w:val="22"/>
                <w:szCs w:val="22"/>
              </w:rPr>
              <w:t>最终成交结果通知书</w:t>
            </w:r>
            <w:r>
              <w:rPr>
                <w:rFonts w:hint="eastAsia" w:ascii="新宋体" w:hAnsi="新宋体" w:eastAsia="新宋体" w:cs="新宋体"/>
                <w:spacing w:val="2"/>
                <w:kern w:val="0"/>
                <w:sz w:val="22"/>
                <w:szCs w:val="22"/>
              </w:rPr>
              <w:t>发出之日起30日内签定完毕，另立合同内容不应与采购响应文件及承诺书内容有抵触，未在采购响应文件中列出、且不被用户所认可的内容，将不能作为合同条款的一部分。</w:t>
            </w:r>
          </w:p>
        </w:tc>
      </w:tr>
    </w:tbl>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第五部分   评标原则及方法</w:t>
      </w:r>
      <w:bookmarkEnd w:id="46"/>
      <w:bookmarkEnd w:id="4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48" w:name="_Toc4407"/>
      <w:bookmarkStart w:id="49" w:name="_Toc15713"/>
      <w:r>
        <w:rPr>
          <w:rFonts w:hint="eastAsia" w:ascii="宋体" w:hAnsi="宋体" w:eastAsia="宋体" w:cs="宋体"/>
          <w:b/>
          <w:color w:val="auto"/>
          <w:sz w:val="22"/>
          <w:szCs w:val="22"/>
          <w:highlight w:val="none"/>
        </w:rPr>
        <w:t>一、总 则</w:t>
      </w:r>
      <w:bookmarkEnd w:id="48"/>
      <w:bookmarkEnd w:id="49"/>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24468"/>
      <w:bookmarkStart w:id="51" w:name="_Toc23152"/>
      <w:r>
        <w:rPr>
          <w:rFonts w:hint="eastAsia" w:ascii="宋体" w:hAnsi="宋体" w:eastAsia="宋体" w:cs="宋体"/>
          <w:b/>
          <w:color w:val="auto"/>
          <w:sz w:val="22"/>
          <w:szCs w:val="22"/>
          <w:highlight w:val="none"/>
        </w:rPr>
        <w:t>二、评标组织</w:t>
      </w:r>
      <w:bookmarkEnd w:id="50"/>
      <w:bookmarkEnd w:id="5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67"/>
      <w:bookmarkStart w:id="53" w:name="_Toc15153"/>
      <w:r>
        <w:rPr>
          <w:rFonts w:hint="eastAsia" w:ascii="宋体" w:hAnsi="宋体" w:eastAsia="宋体" w:cs="宋体"/>
          <w:b/>
          <w:color w:val="auto"/>
          <w:sz w:val="22"/>
          <w:szCs w:val="22"/>
          <w:highlight w:val="none"/>
        </w:rPr>
        <w:t>三、评标程序</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41" w:firstLineChars="245"/>
        <w:rPr>
          <w:rFonts w:hint="eastAsia" w:ascii="宋体" w:hAnsi="宋体" w:eastAsia="宋体" w:cs="宋体"/>
          <w:b/>
          <w:bCs/>
          <w:color w:val="auto"/>
          <w:sz w:val="22"/>
          <w:szCs w:val="22"/>
          <w:highlight w:val="none"/>
          <w:u w:val="none"/>
        </w:rPr>
      </w:pPr>
      <w:r>
        <w:rPr>
          <w:rFonts w:hint="eastAsia" w:ascii="宋体" w:hAnsi="宋体" w:eastAsia="宋体" w:cs="宋体"/>
          <w:b/>
          <w:bCs/>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41" w:firstLineChars="245"/>
        <w:rPr>
          <w:rFonts w:hint="eastAsia" w:ascii="宋体" w:hAnsi="宋体" w:eastAsia="宋体" w:cs="宋体"/>
          <w:color w:val="auto"/>
          <w:sz w:val="22"/>
          <w:szCs w:val="22"/>
          <w:highlight w:val="none"/>
          <w:u w:val="none"/>
        </w:rPr>
      </w:pPr>
      <w:r>
        <w:rPr>
          <w:rFonts w:hint="eastAsia" w:ascii="宋体" w:hAnsi="宋体" w:eastAsia="宋体" w:cs="宋体"/>
          <w:b/>
          <w:bCs/>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1306"/>
      <w:bookmarkStart w:id="55" w:name="_Toc24825"/>
      <w:r>
        <w:rPr>
          <w:rFonts w:hint="eastAsia" w:ascii="宋体" w:hAnsi="宋体" w:eastAsia="宋体" w:cs="宋体"/>
          <w:b/>
          <w:color w:val="auto"/>
          <w:sz w:val="22"/>
          <w:szCs w:val="22"/>
          <w:highlight w:val="none"/>
        </w:rPr>
        <w:t>四、评标办法</w:t>
      </w:r>
      <w:bookmarkEnd w:id="54"/>
      <w:bookmarkEnd w:id="5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11450"/>
      <w:bookmarkStart w:id="57" w:name="_Toc1535"/>
      <w:r>
        <w:rPr>
          <w:rFonts w:hint="eastAsia" w:ascii="宋体" w:hAnsi="宋体" w:eastAsia="宋体" w:cs="宋体"/>
          <w:b/>
          <w:color w:val="auto"/>
          <w:sz w:val="22"/>
          <w:szCs w:val="22"/>
          <w:highlight w:val="none"/>
        </w:rPr>
        <w:t>评分细则</w:t>
      </w:r>
      <w:bookmarkEnd w:id="56"/>
      <w:bookmarkEnd w:id="5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23"/>
        <w:gridCol w:w="818"/>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评分内容</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分值</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bCs/>
                <w:color w:val="000000"/>
                <w:kern w:val="0"/>
                <w:sz w:val="22"/>
                <w:szCs w:val="22"/>
                <w:highlight w:val="none"/>
              </w:rPr>
            </w:pPr>
            <w:r>
              <w:rPr>
                <w:rFonts w:hint="eastAsia" w:ascii="新宋体" w:hAnsi="新宋体" w:eastAsia="新宋体" w:cs="新宋体"/>
                <w:b/>
                <w:bCs/>
                <w:color w:val="000000"/>
                <w:kern w:val="0"/>
                <w:sz w:val="22"/>
                <w:szCs w:val="22"/>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1</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对应于招标文件设备技术规格及配置的偏离度</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sz w:val="22"/>
                <w:szCs w:val="22"/>
                <w:highlight w:val="none"/>
              </w:rPr>
              <w:t>28分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kern w:val="0"/>
                <w:sz w:val="22"/>
                <w:szCs w:val="22"/>
                <w:highlight w:val="none"/>
                <w:lang w:val="en-US" w:eastAsia="zh-CN"/>
              </w:rPr>
            </w:pPr>
            <w:r>
              <w:rPr>
                <w:rFonts w:hint="eastAsia" w:ascii="新宋体" w:hAnsi="新宋体" w:eastAsia="新宋体" w:cs="新宋体"/>
                <w:color w:val="000000"/>
                <w:sz w:val="22"/>
                <w:szCs w:val="22"/>
                <w:highlight w:val="none"/>
              </w:rPr>
              <w:t>与招标文件招标内容及要求的设备技术规格及配置对比，实质性条款除外，标注★的技术指标偏离扣2分，一项一般技术指标偏离扣1分，一项功能偏离扣2分，扣完为止。</w:t>
            </w:r>
            <w:r>
              <w:rPr>
                <w:rFonts w:hint="eastAsia" w:ascii="新宋体" w:hAnsi="新宋体" w:eastAsia="新宋体" w:cs="新宋体"/>
                <w:color w:val="000000"/>
                <w:sz w:val="22"/>
                <w:szCs w:val="22"/>
                <w:highlight w:val="none"/>
                <w:lang w:val="en-US" w:eastAsia="zh-CN"/>
              </w:rPr>
              <w:t>注：投标人须在偏离表中明确。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2</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投标设备配套的合理性，技术指标的先进性</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10分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评委对投标设备配套的合理性，技术指标的先进性酌情打分</w:t>
            </w:r>
            <w:r>
              <w:rPr>
                <w:rFonts w:hint="eastAsia" w:ascii="新宋体" w:hAnsi="新宋体" w:eastAsia="新宋体" w:cs="新宋体"/>
                <w:bCs/>
                <w:color w:val="000000"/>
                <w:sz w:val="22"/>
                <w:szCs w:val="22"/>
                <w:highlight w:val="none"/>
              </w:rPr>
              <w:t>A档:10-</w:t>
            </w:r>
            <w:r>
              <w:rPr>
                <w:rFonts w:hint="eastAsia" w:ascii="新宋体" w:hAnsi="新宋体" w:eastAsia="新宋体" w:cs="新宋体"/>
                <w:bCs/>
                <w:color w:val="000000"/>
                <w:sz w:val="22"/>
                <w:szCs w:val="22"/>
                <w:highlight w:val="none"/>
                <w:lang w:val="en-US" w:eastAsia="zh-CN"/>
              </w:rPr>
              <w:t>8</w:t>
            </w:r>
            <w:r>
              <w:rPr>
                <w:rFonts w:hint="eastAsia" w:ascii="新宋体" w:hAnsi="新宋体" w:eastAsia="新宋体" w:cs="新宋体"/>
                <w:bCs/>
                <w:color w:val="000000"/>
                <w:sz w:val="22"/>
                <w:szCs w:val="22"/>
                <w:highlight w:val="none"/>
              </w:rPr>
              <w:t>分；B档：</w:t>
            </w:r>
            <w:r>
              <w:rPr>
                <w:rFonts w:hint="eastAsia" w:ascii="新宋体" w:hAnsi="新宋体" w:eastAsia="新宋体" w:cs="新宋体"/>
                <w:bCs/>
                <w:color w:val="000000"/>
                <w:sz w:val="22"/>
                <w:szCs w:val="22"/>
                <w:highlight w:val="none"/>
                <w:lang w:val="en-US" w:eastAsia="zh-CN"/>
              </w:rPr>
              <w:t>7</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4</w:t>
            </w:r>
            <w:r>
              <w:rPr>
                <w:rFonts w:hint="eastAsia" w:ascii="新宋体" w:hAnsi="新宋体" w:eastAsia="新宋体" w:cs="新宋体"/>
                <w:bCs/>
                <w:color w:val="000000"/>
                <w:sz w:val="22"/>
                <w:szCs w:val="22"/>
                <w:highlight w:val="none"/>
              </w:rPr>
              <w:t>分 ；C档：3-0分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3</w:t>
            </w:r>
          </w:p>
        </w:tc>
        <w:tc>
          <w:tcPr>
            <w:tcW w:w="2523"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设备档次</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评委对投标机型酌情打分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p>
        </w:tc>
        <w:tc>
          <w:tcPr>
            <w:tcW w:w="2523"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5</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评委对投标品牌酌情打分</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4</w:t>
            </w:r>
          </w:p>
        </w:tc>
        <w:tc>
          <w:tcPr>
            <w:tcW w:w="2523" w:type="dxa"/>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耗材试剂配送服务方案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服务期内耗材试剂配送服务方案进行评审，包括服务响应及时性、方案可靠性、人员车辆配置等</w:t>
            </w:r>
            <w:r>
              <w:rPr>
                <w:rFonts w:hint="eastAsia" w:ascii="新宋体" w:hAnsi="新宋体" w:eastAsia="新宋体" w:cs="新宋体"/>
                <w:bCs/>
                <w:color w:val="000000"/>
                <w:sz w:val="22"/>
                <w:szCs w:val="22"/>
                <w:highlight w:val="none"/>
              </w:rPr>
              <w:t>A档:5-4分；B档：</w:t>
            </w:r>
            <w:r>
              <w:rPr>
                <w:rFonts w:hint="eastAsia" w:ascii="新宋体" w:hAnsi="新宋体" w:eastAsia="新宋体" w:cs="新宋体"/>
                <w:bCs/>
                <w:color w:val="000000"/>
                <w:sz w:val="22"/>
                <w:szCs w:val="22"/>
                <w:highlight w:val="none"/>
                <w:lang w:val="en-US" w:eastAsia="zh-CN"/>
              </w:rPr>
              <w:t>3</w:t>
            </w:r>
            <w:r>
              <w:rPr>
                <w:rFonts w:hint="eastAsia" w:ascii="新宋体" w:hAnsi="新宋体" w:eastAsia="新宋体" w:cs="新宋体"/>
                <w:bCs/>
                <w:color w:val="000000"/>
                <w:sz w:val="22"/>
                <w:szCs w:val="22"/>
                <w:highlight w:val="none"/>
              </w:rPr>
              <w:t>-2分 ；C档：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-0分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5</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运行应急方案</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4分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评委对投标机型的运行故障应急方案等酌情打分</w:t>
            </w:r>
          </w:p>
          <w:p>
            <w:pPr>
              <w:widowControl/>
              <w:spacing w:line="460" w:lineRule="exact"/>
              <w:rPr>
                <w:rFonts w:hint="eastAsia" w:ascii="新宋体" w:hAnsi="新宋体" w:eastAsia="新宋体" w:cs="新宋体"/>
                <w:color w:val="000000"/>
                <w:sz w:val="22"/>
                <w:szCs w:val="22"/>
                <w:highlight w:val="none"/>
                <w:lang w:eastAsia="zh-CN"/>
              </w:rPr>
            </w:pPr>
            <w:r>
              <w:rPr>
                <w:rFonts w:hint="eastAsia" w:ascii="新宋体" w:hAnsi="新宋体" w:eastAsia="新宋体" w:cs="新宋体"/>
                <w:bCs/>
                <w:color w:val="000000"/>
                <w:sz w:val="22"/>
                <w:szCs w:val="22"/>
                <w:highlight w:val="none"/>
              </w:rPr>
              <w:t>A档:4-3分；B档：</w:t>
            </w:r>
            <w:r>
              <w:rPr>
                <w:rFonts w:hint="eastAsia" w:ascii="新宋体" w:hAnsi="新宋体" w:eastAsia="新宋体" w:cs="新宋体"/>
                <w:bCs/>
                <w:color w:val="000000"/>
                <w:sz w:val="22"/>
                <w:szCs w:val="22"/>
                <w:highlight w:val="none"/>
                <w:lang w:val="en-US" w:eastAsia="zh-CN"/>
              </w:rPr>
              <w:t>2</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6</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市场占有率</w:t>
            </w:r>
          </w:p>
        </w:tc>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rPr>
              <w:t>提供201</w:t>
            </w:r>
            <w:r>
              <w:rPr>
                <w:rFonts w:hint="eastAsia" w:ascii="新宋体" w:hAnsi="新宋体" w:eastAsia="新宋体" w:cs="新宋体"/>
                <w:color w:val="000000"/>
                <w:sz w:val="22"/>
                <w:szCs w:val="22"/>
                <w:highlight w:val="none"/>
                <w:lang w:val="en-US" w:eastAsia="zh-CN"/>
              </w:rPr>
              <w:t>9</w:t>
            </w:r>
            <w:r>
              <w:rPr>
                <w:rFonts w:hint="eastAsia" w:ascii="新宋体" w:hAnsi="新宋体" w:eastAsia="新宋体" w:cs="新宋体"/>
                <w:color w:val="000000"/>
                <w:sz w:val="22"/>
                <w:szCs w:val="22"/>
                <w:highlight w:val="none"/>
              </w:rPr>
              <w:t>年1月1日起至今与最终</w:t>
            </w:r>
            <w:r>
              <w:rPr>
                <w:rFonts w:hint="eastAsia" w:ascii="新宋体" w:hAnsi="新宋体" w:eastAsia="新宋体" w:cs="新宋体"/>
                <w:color w:val="000000"/>
                <w:sz w:val="22"/>
                <w:szCs w:val="22"/>
                <w:highlight w:val="none"/>
                <w:lang w:val="en-US" w:eastAsia="zh-CN"/>
              </w:rPr>
              <w:t>不同</w:t>
            </w:r>
            <w:r>
              <w:rPr>
                <w:rFonts w:hint="eastAsia" w:ascii="新宋体" w:hAnsi="新宋体" w:eastAsia="新宋体" w:cs="新宋体"/>
                <w:color w:val="000000"/>
                <w:sz w:val="22"/>
                <w:szCs w:val="22"/>
                <w:highlight w:val="none"/>
              </w:rPr>
              <w:t>用户签订的投标机型合同复印件，每份有效合同得1分，最多</w:t>
            </w:r>
            <w:r>
              <w:rPr>
                <w:rFonts w:hint="eastAsia" w:ascii="新宋体" w:hAnsi="新宋体" w:eastAsia="新宋体" w:cs="新宋体"/>
                <w:color w:val="000000"/>
                <w:sz w:val="22"/>
                <w:szCs w:val="22"/>
                <w:highlight w:val="none"/>
                <w:lang w:val="en-US" w:eastAsia="zh-CN"/>
              </w:rPr>
              <w:t>3</w:t>
            </w:r>
            <w:r>
              <w:rPr>
                <w:rFonts w:hint="eastAsia" w:ascii="新宋体" w:hAnsi="新宋体" w:eastAsia="新宋体" w:cs="新宋体"/>
                <w:color w:val="000000"/>
                <w:sz w:val="22"/>
                <w:szCs w:val="22"/>
                <w:highlight w:val="none"/>
              </w:rPr>
              <w:t>分。</w:t>
            </w:r>
            <w:r>
              <w:rPr>
                <w:rFonts w:hint="eastAsia" w:ascii="新宋体" w:hAnsi="新宋体" w:eastAsia="新宋体" w:cs="新宋体"/>
                <w:color w:val="000000"/>
                <w:sz w:val="22"/>
                <w:szCs w:val="22"/>
                <w:highlight w:val="none"/>
                <w:lang w:val="en-US" w:eastAsia="zh-CN"/>
              </w:rPr>
              <w:t>注：须提供合同复印件并加盖公章。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7</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售后服务</w:t>
            </w:r>
          </w:p>
          <w:p>
            <w:pPr>
              <w:widowControl/>
              <w:spacing w:line="460" w:lineRule="exact"/>
              <w:jc w:val="center"/>
              <w:rPr>
                <w:rFonts w:hint="eastAsia" w:ascii="新宋体" w:hAnsi="新宋体" w:eastAsia="新宋体" w:cs="新宋体"/>
                <w:color w:val="000000"/>
                <w:sz w:val="22"/>
                <w:szCs w:val="22"/>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5分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根据售后服务承诺的范围和完善程度：</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保修年限、保修范围、 (1-0分)；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服务标准，备品情况、人员配备（1-0分）；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故障响应修复时间方式、产品维护及保障措施（1-0分）；</w:t>
            </w:r>
          </w:p>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服务网点（2-0分）</w:t>
            </w:r>
            <w:r>
              <w:rPr>
                <w:rFonts w:hint="eastAsia" w:ascii="新宋体" w:hAnsi="新宋体" w:eastAsia="新宋体" w:cs="新宋体"/>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8</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投标人提供的超出招标文件的优惠条件</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3分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lang w:eastAsia="zh-CN"/>
              </w:rPr>
            </w:pPr>
            <w:r>
              <w:rPr>
                <w:rFonts w:hint="eastAsia" w:ascii="新宋体" w:hAnsi="新宋体" w:eastAsia="新宋体" w:cs="新宋体"/>
                <w:color w:val="000000"/>
                <w:sz w:val="22"/>
                <w:szCs w:val="22"/>
                <w:highlight w:val="none"/>
              </w:rPr>
              <w:t>评委对投标文件中是否有超出招标文件的优惠条件进行评议，没有实质性优惠条件得0分；有优惠条件的，根据优惠内容得</w:t>
            </w:r>
            <w:r>
              <w:rPr>
                <w:rFonts w:hint="eastAsia" w:ascii="新宋体" w:hAnsi="新宋体" w:eastAsia="新宋体" w:cs="新宋体"/>
                <w:bCs/>
                <w:color w:val="000000"/>
                <w:sz w:val="22"/>
                <w:szCs w:val="22"/>
                <w:highlight w:val="none"/>
              </w:rPr>
              <w:t>A档:3-2分；B档：</w:t>
            </w:r>
            <w:r>
              <w:rPr>
                <w:rFonts w:hint="eastAsia" w:ascii="新宋体" w:hAnsi="新宋体" w:eastAsia="新宋体" w:cs="新宋体"/>
                <w:bCs/>
                <w:color w:val="000000"/>
                <w:sz w:val="22"/>
                <w:szCs w:val="22"/>
                <w:highlight w:val="none"/>
                <w:lang w:val="en-US" w:eastAsia="zh-CN"/>
              </w:rPr>
              <w:t>1</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0</w:t>
            </w:r>
            <w:r>
              <w:rPr>
                <w:rFonts w:hint="eastAsia" w:ascii="新宋体" w:hAnsi="新宋体" w:eastAsia="新宋体" w:cs="新宋体"/>
                <w:bCs/>
                <w:color w:val="000000"/>
                <w:sz w:val="22"/>
                <w:szCs w:val="22"/>
                <w:highlight w:val="none"/>
              </w:rPr>
              <w:t>分</w:t>
            </w:r>
            <w:r>
              <w:rPr>
                <w:rFonts w:hint="eastAsia" w:ascii="新宋体" w:hAnsi="新宋体" w:eastAsia="新宋体" w:cs="新宋体"/>
                <w:bCs/>
                <w:color w:val="00000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kern w:val="0"/>
                <w:sz w:val="22"/>
                <w:szCs w:val="22"/>
                <w:highlight w:val="none"/>
              </w:rPr>
            </w:pPr>
            <w:r>
              <w:rPr>
                <w:rFonts w:hint="eastAsia" w:ascii="新宋体" w:hAnsi="新宋体" w:eastAsia="新宋体" w:cs="新宋体"/>
                <w:color w:val="000000"/>
                <w:kern w:val="0"/>
                <w:sz w:val="22"/>
                <w:szCs w:val="22"/>
                <w:highlight w:val="none"/>
              </w:rPr>
              <w:t>9</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环境标志产品、节能产品</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2分</w:t>
            </w:r>
          </w:p>
        </w:tc>
        <w:tc>
          <w:tcPr>
            <w:tcW w:w="6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投标产品主体列入财政部、环境保护部“环境标志产品政府采购清单”的、列入财政部、国家发展改革委“节能产品政府采购清单”的，每项</w:t>
            </w:r>
            <w:r>
              <w:rPr>
                <w:rFonts w:hint="eastAsia" w:ascii="新宋体" w:hAnsi="新宋体" w:eastAsia="新宋体" w:cs="新宋体"/>
                <w:color w:val="000000"/>
                <w:sz w:val="22"/>
                <w:szCs w:val="22"/>
                <w:highlight w:val="none"/>
                <w:lang w:val="en-US" w:eastAsia="zh-CN"/>
              </w:rPr>
              <w:t>得0-1</w:t>
            </w:r>
            <w:r>
              <w:rPr>
                <w:rFonts w:hint="eastAsia" w:ascii="新宋体" w:hAnsi="新宋体" w:eastAsia="新宋体" w:cs="新宋体"/>
                <w:color w:val="000000"/>
                <w:sz w:val="22"/>
                <w:szCs w:val="22"/>
                <w:highlight w:val="none"/>
              </w:rPr>
              <w:t>分；</w:t>
            </w:r>
          </w:p>
          <w:p>
            <w:pPr>
              <w:spacing w:line="460" w:lineRule="exact"/>
              <w:ind w:left="105" w:leftChars="50" w:right="10" w:rightChars="5"/>
              <w:rPr>
                <w:rFonts w:hint="eastAsia" w:ascii="新宋体" w:hAnsi="新宋体" w:eastAsia="新宋体" w:cs="新宋体"/>
                <w:color w:val="000000"/>
                <w:sz w:val="22"/>
                <w:szCs w:val="22"/>
                <w:highlight w:val="none"/>
              </w:rPr>
            </w:pPr>
            <w:r>
              <w:rPr>
                <w:rFonts w:hint="eastAsia" w:ascii="Times New Roman" w:hAnsi="Times New Roman" w:eastAsia="宋体" w:cs="Times New Roman"/>
                <w:color w:val="auto"/>
                <w:sz w:val="22"/>
                <w:szCs w:val="22"/>
                <w:highlight w:val="none"/>
                <w:lang w:val="en-US" w:eastAsia="zh-CN"/>
              </w:rPr>
              <w:t>投标人</w:t>
            </w:r>
            <w:r>
              <w:rPr>
                <w:rFonts w:hint="eastAsia" w:ascii="Times New Roman" w:hAnsi="Times New Roman" w:eastAsia="宋体" w:cs="Times New Roman"/>
                <w:color w:val="auto"/>
                <w:sz w:val="22"/>
                <w:szCs w:val="22"/>
                <w:highlight w:val="none"/>
              </w:rPr>
              <w:t>自行提供证明材料（如标注本次投标产品的清单），未提供证明材料或不能清楚辨析的不得分。</w:t>
            </w:r>
          </w:p>
        </w:tc>
      </w:tr>
    </w:tbl>
    <w:p>
      <w:pPr>
        <w:pStyle w:val="23"/>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rPr>
        <w:t>20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bCs/>
          <w:color w:val="auto"/>
          <w:sz w:val="22"/>
          <w:szCs w:val="22"/>
          <w:highlight w:val="none"/>
          <w:u w:val="single"/>
        </w:rPr>
      </w:pPr>
      <w:r>
        <w:rPr>
          <w:rFonts w:hint="eastAsia" w:ascii="宋体" w:hAnsi="宋体" w:eastAsia="宋体" w:cs="宋体"/>
          <w:b/>
          <w:color w:val="auto"/>
          <w:sz w:val="22"/>
          <w:szCs w:val="22"/>
          <w:highlight w:val="none"/>
        </w:rPr>
        <w:t xml:space="preserve">   </w:t>
      </w:r>
      <w:r>
        <w:rPr>
          <w:rFonts w:hint="eastAsia" w:ascii="宋体" w:hAnsi="宋体" w:eastAsia="宋体" w:cs="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58" w:name="_Toc4727"/>
      <w:bookmarkStart w:id="59" w:name="_Toc2482"/>
      <w:r>
        <w:rPr>
          <w:rFonts w:hint="eastAsia" w:ascii="宋体" w:hAnsi="宋体" w:eastAsia="宋体" w:cs="宋体"/>
          <w:b/>
          <w:bCs/>
          <w:color w:val="auto"/>
          <w:sz w:val="22"/>
          <w:szCs w:val="22"/>
          <w:highlight w:val="none"/>
        </w:rPr>
        <w:t>六、定标办法</w:t>
      </w:r>
      <w:bookmarkEnd w:id="58"/>
      <w:bookmarkEnd w:id="59"/>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0" w:name="_Toc17587"/>
      <w:bookmarkStart w:id="61" w:name="_Toc3629"/>
      <w:r>
        <w:rPr>
          <w:rFonts w:hint="eastAsia" w:ascii="宋体" w:hAnsi="宋体" w:eastAsia="宋体" w:cs="宋体"/>
          <w:b/>
          <w:color w:val="auto"/>
          <w:sz w:val="22"/>
          <w:szCs w:val="22"/>
          <w:highlight w:val="none"/>
        </w:rPr>
        <w:t>七、投标人义务</w:t>
      </w:r>
      <w:bookmarkEnd w:id="60"/>
      <w:bookmarkEnd w:id="61"/>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WZLCZB（W）-2022-12642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WZLCZB（W）-2022-12642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A75933D4"/>
    <w:multiLevelType w:val="singleLevel"/>
    <w:tmpl w:val="A75933D4"/>
    <w:lvl w:ilvl="0" w:tentative="0">
      <w:start w:val="3"/>
      <w:numFmt w:val="chineseCounting"/>
      <w:suff w:val="nothing"/>
      <w:lvlText w:val="%1、"/>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92E0991"/>
    <w:multiLevelType w:val="singleLevel"/>
    <w:tmpl w:val="C92E0991"/>
    <w:lvl w:ilvl="0" w:tentative="0">
      <w:start w:val="3"/>
      <w:numFmt w:val="decimal"/>
      <w:lvlText w:val="%1."/>
      <w:lvlJc w:val="left"/>
      <w:pPr>
        <w:tabs>
          <w:tab w:val="left" w:pos="312"/>
        </w:tabs>
      </w:pPr>
    </w:lvl>
  </w:abstractNum>
  <w:abstractNum w:abstractNumId="5">
    <w:nsid w:val="CD31F181"/>
    <w:multiLevelType w:val="singleLevel"/>
    <w:tmpl w:val="CD31F181"/>
    <w:lvl w:ilvl="0" w:tentative="0">
      <w:start w:val="1"/>
      <w:numFmt w:val="decimal"/>
      <w:suff w:val="nothing"/>
      <w:lvlText w:val="%1、"/>
      <w:lvlJc w:val="left"/>
    </w:lvl>
  </w:abstractNum>
  <w:abstractNum w:abstractNumId="6">
    <w:nsid w:val="D49EA414"/>
    <w:multiLevelType w:val="singleLevel"/>
    <w:tmpl w:val="D49EA414"/>
    <w:lvl w:ilvl="0" w:tentative="0">
      <w:start w:val="12"/>
      <w:numFmt w:val="decimal"/>
      <w:suff w:val="nothing"/>
      <w:lvlText w:val="（%1）"/>
      <w:lvlJc w:val="left"/>
    </w:lvl>
  </w:abstractNum>
  <w:abstractNum w:abstractNumId="7">
    <w:nsid w:val="F79F6931"/>
    <w:multiLevelType w:val="singleLevel"/>
    <w:tmpl w:val="F79F6931"/>
    <w:lvl w:ilvl="0" w:tentative="0">
      <w:start w:val="1"/>
      <w:numFmt w:val="bullet"/>
      <w:lvlText w:val=""/>
      <w:lvlJc w:val="left"/>
      <w:pPr>
        <w:ind w:left="420" w:hanging="420"/>
      </w:pPr>
      <w:rPr>
        <w:rFonts w:hint="default" w:ascii="Wingdings" w:hAnsi="Wingdings"/>
      </w:rPr>
    </w:lvl>
  </w:abstractNum>
  <w:abstractNum w:abstractNumId="8">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10">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2D7A3B6"/>
    <w:multiLevelType w:val="singleLevel"/>
    <w:tmpl w:val="52D7A3B6"/>
    <w:lvl w:ilvl="0" w:tentative="0">
      <w:start w:val="1"/>
      <w:numFmt w:val="decimal"/>
      <w:suff w:val="nothing"/>
      <w:lvlText w:val="（%1）"/>
      <w:lvlJc w:val="left"/>
    </w:lvl>
  </w:abstractNum>
  <w:num w:numId="1">
    <w:abstractNumId w:val="9"/>
  </w:num>
  <w:num w:numId="2">
    <w:abstractNumId w:val="8"/>
  </w:num>
  <w:num w:numId="3">
    <w:abstractNumId w:val="10"/>
  </w:num>
  <w:num w:numId="4">
    <w:abstractNumId w:val="4"/>
  </w:num>
  <w:num w:numId="5">
    <w:abstractNumId w:val="11"/>
  </w:num>
  <w:num w:numId="6">
    <w:abstractNumId w:val="6"/>
  </w:num>
  <w:num w:numId="7">
    <w:abstractNumId w:val="5"/>
  </w:num>
  <w:num w:numId="8">
    <w:abstractNumId w:val="3"/>
  </w:num>
  <w:num w:numId="9">
    <w:abstractNumId w:val="0"/>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95B50"/>
    <w:rsid w:val="053A30CA"/>
    <w:rsid w:val="057D25F0"/>
    <w:rsid w:val="05936339"/>
    <w:rsid w:val="05992721"/>
    <w:rsid w:val="05D76F02"/>
    <w:rsid w:val="06075169"/>
    <w:rsid w:val="062F7E7F"/>
    <w:rsid w:val="0650016B"/>
    <w:rsid w:val="06695ADA"/>
    <w:rsid w:val="067D145E"/>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68440A"/>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AF2FEE"/>
    <w:rsid w:val="0AD95380"/>
    <w:rsid w:val="0BAC1F4C"/>
    <w:rsid w:val="0BBE4F63"/>
    <w:rsid w:val="0BDA530A"/>
    <w:rsid w:val="0C0247C0"/>
    <w:rsid w:val="0C353302"/>
    <w:rsid w:val="0C3E7749"/>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72629"/>
    <w:rsid w:val="109A2257"/>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763711"/>
    <w:rsid w:val="17800AEC"/>
    <w:rsid w:val="18245E40"/>
    <w:rsid w:val="184F1816"/>
    <w:rsid w:val="186B461D"/>
    <w:rsid w:val="188B4950"/>
    <w:rsid w:val="18C7387D"/>
    <w:rsid w:val="18C75C51"/>
    <w:rsid w:val="18C76564"/>
    <w:rsid w:val="19087A11"/>
    <w:rsid w:val="191B7534"/>
    <w:rsid w:val="196E2C37"/>
    <w:rsid w:val="1974690A"/>
    <w:rsid w:val="1A510684"/>
    <w:rsid w:val="1A6171B2"/>
    <w:rsid w:val="1AA65F2A"/>
    <w:rsid w:val="1AA666F2"/>
    <w:rsid w:val="1AC73C81"/>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03A6D"/>
    <w:rsid w:val="1C13053F"/>
    <w:rsid w:val="1C162BF5"/>
    <w:rsid w:val="1C212DFA"/>
    <w:rsid w:val="1C3065A1"/>
    <w:rsid w:val="1C32514E"/>
    <w:rsid w:val="1C536B8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1F4869"/>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D93FB0"/>
    <w:rsid w:val="20F3606E"/>
    <w:rsid w:val="20F85F56"/>
    <w:rsid w:val="213009EF"/>
    <w:rsid w:val="213D75BE"/>
    <w:rsid w:val="217A33A1"/>
    <w:rsid w:val="21872636"/>
    <w:rsid w:val="218F2648"/>
    <w:rsid w:val="21AB5C9B"/>
    <w:rsid w:val="21B427AB"/>
    <w:rsid w:val="21BD46E0"/>
    <w:rsid w:val="227C0C68"/>
    <w:rsid w:val="227D1F07"/>
    <w:rsid w:val="22AE5DFE"/>
    <w:rsid w:val="22BD440B"/>
    <w:rsid w:val="23025E80"/>
    <w:rsid w:val="235C31B0"/>
    <w:rsid w:val="23C16FD2"/>
    <w:rsid w:val="242C445B"/>
    <w:rsid w:val="248B6BF0"/>
    <w:rsid w:val="24975A35"/>
    <w:rsid w:val="24A451C8"/>
    <w:rsid w:val="24B0777F"/>
    <w:rsid w:val="24B80E3D"/>
    <w:rsid w:val="24BA3A6C"/>
    <w:rsid w:val="24C04FDC"/>
    <w:rsid w:val="24C14262"/>
    <w:rsid w:val="24DB11B1"/>
    <w:rsid w:val="24DB1DC1"/>
    <w:rsid w:val="254579AD"/>
    <w:rsid w:val="25550995"/>
    <w:rsid w:val="255572F5"/>
    <w:rsid w:val="25916749"/>
    <w:rsid w:val="25BD246C"/>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8E7537"/>
    <w:rsid w:val="28D51CE9"/>
    <w:rsid w:val="28E0382C"/>
    <w:rsid w:val="28FB2940"/>
    <w:rsid w:val="2935387C"/>
    <w:rsid w:val="29923BE6"/>
    <w:rsid w:val="29D70027"/>
    <w:rsid w:val="29E4565C"/>
    <w:rsid w:val="2A217644"/>
    <w:rsid w:val="2A5522DC"/>
    <w:rsid w:val="2A6D7AE4"/>
    <w:rsid w:val="2A7647B8"/>
    <w:rsid w:val="2A81126C"/>
    <w:rsid w:val="2A9A509F"/>
    <w:rsid w:val="2ABE75C5"/>
    <w:rsid w:val="2AC54EDF"/>
    <w:rsid w:val="2ADE1592"/>
    <w:rsid w:val="2AE72478"/>
    <w:rsid w:val="2AFE6BB2"/>
    <w:rsid w:val="2AFF547A"/>
    <w:rsid w:val="2B0F5BE3"/>
    <w:rsid w:val="2B194010"/>
    <w:rsid w:val="2B1A0A86"/>
    <w:rsid w:val="2B4654C8"/>
    <w:rsid w:val="2B766889"/>
    <w:rsid w:val="2B7B3036"/>
    <w:rsid w:val="2BB62C14"/>
    <w:rsid w:val="2BB82208"/>
    <w:rsid w:val="2BC1544C"/>
    <w:rsid w:val="2BF83122"/>
    <w:rsid w:val="2C451800"/>
    <w:rsid w:val="2C4D4422"/>
    <w:rsid w:val="2C61592A"/>
    <w:rsid w:val="2CF23348"/>
    <w:rsid w:val="2CFF2E26"/>
    <w:rsid w:val="2D0212AF"/>
    <w:rsid w:val="2D0721CE"/>
    <w:rsid w:val="2D2D0FB8"/>
    <w:rsid w:val="2D5369A4"/>
    <w:rsid w:val="2D553E12"/>
    <w:rsid w:val="2D563294"/>
    <w:rsid w:val="2D572DE8"/>
    <w:rsid w:val="2D7657B0"/>
    <w:rsid w:val="2DA92533"/>
    <w:rsid w:val="2DC542FD"/>
    <w:rsid w:val="2E027319"/>
    <w:rsid w:val="2E740C9C"/>
    <w:rsid w:val="2E912614"/>
    <w:rsid w:val="2EB82B9B"/>
    <w:rsid w:val="2EC0752C"/>
    <w:rsid w:val="2EDB211E"/>
    <w:rsid w:val="2F92082D"/>
    <w:rsid w:val="2FAF734F"/>
    <w:rsid w:val="2FB74538"/>
    <w:rsid w:val="2FF16930"/>
    <w:rsid w:val="30255652"/>
    <w:rsid w:val="302A5959"/>
    <w:rsid w:val="305B0C4B"/>
    <w:rsid w:val="306F34C7"/>
    <w:rsid w:val="3080195E"/>
    <w:rsid w:val="31024AE6"/>
    <w:rsid w:val="31170808"/>
    <w:rsid w:val="313F60CD"/>
    <w:rsid w:val="316C164E"/>
    <w:rsid w:val="31AC33EA"/>
    <w:rsid w:val="31B469D0"/>
    <w:rsid w:val="31CA2AA5"/>
    <w:rsid w:val="31D64F96"/>
    <w:rsid w:val="31EC51C6"/>
    <w:rsid w:val="32017181"/>
    <w:rsid w:val="3202578C"/>
    <w:rsid w:val="322F554F"/>
    <w:rsid w:val="326D3B31"/>
    <w:rsid w:val="327021FA"/>
    <w:rsid w:val="3292519B"/>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3B3818"/>
    <w:rsid w:val="343C1893"/>
    <w:rsid w:val="3449265D"/>
    <w:rsid w:val="356521C2"/>
    <w:rsid w:val="358526AE"/>
    <w:rsid w:val="35B54B22"/>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033549"/>
    <w:rsid w:val="3A3457E8"/>
    <w:rsid w:val="3A3F0320"/>
    <w:rsid w:val="3A536E24"/>
    <w:rsid w:val="3A565A98"/>
    <w:rsid w:val="3A5D7130"/>
    <w:rsid w:val="3A810ECA"/>
    <w:rsid w:val="3A871F8A"/>
    <w:rsid w:val="3AA31206"/>
    <w:rsid w:val="3AB57780"/>
    <w:rsid w:val="3AC65AD2"/>
    <w:rsid w:val="3ACF5A26"/>
    <w:rsid w:val="3B3575B2"/>
    <w:rsid w:val="3B4764C1"/>
    <w:rsid w:val="3B54731C"/>
    <w:rsid w:val="3B67428D"/>
    <w:rsid w:val="3B713350"/>
    <w:rsid w:val="3B7A26BE"/>
    <w:rsid w:val="3BBD2198"/>
    <w:rsid w:val="3BE767A5"/>
    <w:rsid w:val="3C1701DB"/>
    <w:rsid w:val="3C2E25AC"/>
    <w:rsid w:val="3C33699A"/>
    <w:rsid w:val="3C41291B"/>
    <w:rsid w:val="3C447C27"/>
    <w:rsid w:val="3C4E3440"/>
    <w:rsid w:val="3E225ED0"/>
    <w:rsid w:val="3E29108F"/>
    <w:rsid w:val="3E530817"/>
    <w:rsid w:val="3E763568"/>
    <w:rsid w:val="3EB341AB"/>
    <w:rsid w:val="3EC20226"/>
    <w:rsid w:val="3EC451E1"/>
    <w:rsid w:val="3EC47F80"/>
    <w:rsid w:val="3F1E63B0"/>
    <w:rsid w:val="3F2226EC"/>
    <w:rsid w:val="3F601C75"/>
    <w:rsid w:val="3FA47469"/>
    <w:rsid w:val="3FAC6CE4"/>
    <w:rsid w:val="3FDA48AC"/>
    <w:rsid w:val="3FE53BD5"/>
    <w:rsid w:val="400C6F8F"/>
    <w:rsid w:val="402A3DD6"/>
    <w:rsid w:val="402E363B"/>
    <w:rsid w:val="403A7A13"/>
    <w:rsid w:val="40883F9A"/>
    <w:rsid w:val="40A6403B"/>
    <w:rsid w:val="40C31767"/>
    <w:rsid w:val="40D11C13"/>
    <w:rsid w:val="40D14228"/>
    <w:rsid w:val="40E32648"/>
    <w:rsid w:val="413F338F"/>
    <w:rsid w:val="415D3A83"/>
    <w:rsid w:val="418A5114"/>
    <w:rsid w:val="41A50FA5"/>
    <w:rsid w:val="41B113E8"/>
    <w:rsid w:val="41CC07BC"/>
    <w:rsid w:val="41DD5AAF"/>
    <w:rsid w:val="420569A4"/>
    <w:rsid w:val="42144F10"/>
    <w:rsid w:val="4246080B"/>
    <w:rsid w:val="42CE24FD"/>
    <w:rsid w:val="42F302DD"/>
    <w:rsid w:val="43260C43"/>
    <w:rsid w:val="438034F8"/>
    <w:rsid w:val="4388321A"/>
    <w:rsid w:val="441A31FF"/>
    <w:rsid w:val="446A3759"/>
    <w:rsid w:val="446B4961"/>
    <w:rsid w:val="449428DA"/>
    <w:rsid w:val="44AC074C"/>
    <w:rsid w:val="44BF2B1E"/>
    <w:rsid w:val="45132E7E"/>
    <w:rsid w:val="456F7A14"/>
    <w:rsid w:val="45787455"/>
    <w:rsid w:val="45B725A0"/>
    <w:rsid w:val="462E25CA"/>
    <w:rsid w:val="46303A17"/>
    <w:rsid w:val="465A58CC"/>
    <w:rsid w:val="46620428"/>
    <w:rsid w:val="46D637ED"/>
    <w:rsid w:val="46DD3F38"/>
    <w:rsid w:val="46F16F1D"/>
    <w:rsid w:val="46FD2CBF"/>
    <w:rsid w:val="472910BD"/>
    <w:rsid w:val="47553E8E"/>
    <w:rsid w:val="477C293C"/>
    <w:rsid w:val="47CA2F97"/>
    <w:rsid w:val="47D84675"/>
    <w:rsid w:val="47E17B3A"/>
    <w:rsid w:val="47FF4104"/>
    <w:rsid w:val="48114111"/>
    <w:rsid w:val="481379C4"/>
    <w:rsid w:val="4816651B"/>
    <w:rsid w:val="481947FE"/>
    <w:rsid w:val="483B043E"/>
    <w:rsid w:val="486B0826"/>
    <w:rsid w:val="486B1D8E"/>
    <w:rsid w:val="48A93D74"/>
    <w:rsid w:val="48D139F6"/>
    <w:rsid w:val="48F56DD6"/>
    <w:rsid w:val="491916C6"/>
    <w:rsid w:val="49573AC8"/>
    <w:rsid w:val="49AA7971"/>
    <w:rsid w:val="49FE240E"/>
    <w:rsid w:val="4A0A0AC4"/>
    <w:rsid w:val="4A141151"/>
    <w:rsid w:val="4A316318"/>
    <w:rsid w:val="4A643B84"/>
    <w:rsid w:val="4A777A6A"/>
    <w:rsid w:val="4A791AFA"/>
    <w:rsid w:val="4AC017AB"/>
    <w:rsid w:val="4AC9062D"/>
    <w:rsid w:val="4AE52C42"/>
    <w:rsid w:val="4AF2187D"/>
    <w:rsid w:val="4AFC3953"/>
    <w:rsid w:val="4B103205"/>
    <w:rsid w:val="4B1E385E"/>
    <w:rsid w:val="4B425A6C"/>
    <w:rsid w:val="4B4B4F3A"/>
    <w:rsid w:val="4B6870F9"/>
    <w:rsid w:val="4B6C2969"/>
    <w:rsid w:val="4BCF6DCB"/>
    <w:rsid w:val="4BD06B38"/>
    <w:rsid w:val="4BDF321A"/>
    <w:rsid w:val="4BE962F6"/>
    <w:rsid w:val="4C0065CE"/>
    <w:rsid w:val="4C18241E"/>
    <w:rsid w:val="4C227943"/>
    <w:rsid w:val="4C472142"/>
    <w:rsid w:val="4C5F22C4"/>
    <w:rsid w:val="4C9463A6"/>
    <w:rsid w:val="4CA5648E"/>
    <w:rsid w:val="4CE617D5"/>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AB5944"/>
    <w:rsid w:val="56D976B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42F12"/>
    <w:rsid w:val="5AE51758"/>
    <w:rsid w:val="5B581F93"/>
    <w:rsid w:val="5B6B529B"/>
    <w:rsid w:val="5BB250E2"/>
    <w:rsid w:val="5BB3320D"/>
    <w:rsid w:val="5BC31A45"/>
    <w:rsid w:val="5BC772C9"/>
    <w:rsid w:val="5C3F6538"/>
    <w:rsid w:val="5C465FA2"/>
    <w:rsid w:val="5C544090"/>
    <w:rsid w:val="5C726BB6"/>
    <w:rsid w:val="5C7322D1"/>
    <w:rsid w:val="5CEF4070"/>
    <w:rsid w:val="5CFC28A8"/>
    <w:rsid w:val="5D246FFC"/>
    <w:rsid w:val="5D36426B"/>
    <w:rsid w:val="5DDA696A"/>
    <w:rsid w:val="5E0C55BA"/>
    <w:rsid w:val="5E410FFD"/>
    <w:rsid w:val="5E544606"/>
    <w:rsid w:val="5E8E05EA"/>
    <w:rsid w:val="5EFB61FA"/>
    <w:rsid w:val="5F2C7D02"/>
    <w:rsid w:val="5F7663E9"/>
    <w:rsid w:val="5FB656F9"/>
    <w:rsid w:val="5FBC2CFA"/>
    <w:rsid w:val="5FC53466"/>
    <w:rsid w:val="5FC85BDE"/>
    <w:rsid w:val="5FD13015"/>
    <w:rsid w:val="5FDE21DF"/>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3613B5"/>
    <w:rsid w:val="635C575B"/>
    <w:rsid w:val="636863CF"/>
    <w:rsid w:val="63752C12"/>
    <w:rsid w:val="637A0016"/>
    <w:rsid w:val="638C1080"/>
    <w:rsid w:val="63B413CF"/>
    <w:rsid w:val="63C832E6"/>
    <w:rsid w:val="63FF6C27"/>
    <w:rsid w:val="6405263C"/>
    <w:rsid w:val="642454D9"/>
    <w:rsid w:val="644A58BB"/>
    <w:rsid w:val="64613942"/>
    <w:rsid w:val="6464336B"/>
    <w:rsid w:val="64B81776"/>
    <w:rsid w:val="653C5193"/>
    <w:rsid w:val="655C7828"/>
    <w:rsid w:val="65652A5B"/>
    <w:rsid w:val="65CB1350"/>
    <w:rsid w:val="66330E7B"/>
    <w:rsid w:val="66351622"/>
    <w:rsid w:val="663E7042"/>
    <w:rsid w:val="665A2304"/>
    <w:rsid w:val="669C6349"/>
    <w:rsid w:val="66A80AC6"/>
    <w:rsid w:val="66F70CBF"/>
    <w:rsid w:val="67144976"/>
    <w:rsid w:val="67202357"/>
    <w:rsid w:val="67603F26"/>
    <w:rsid w:val="67977208"/>
    <w:rsid w:val="67D3264E"/>
    <w:rsid w:val="68024DD3"/>
    <w:rsid w:val="680F332B"/>
    <w:rsid w:val="6832253F"/>
    <w:rsid w:val="685C3C4D"/>
    <w:rsid w:val="687102AD"/>
    <w:rsid w:val="68724B40"/>
    <w:rsid w:val="68902798"/>
    <w:rsid w:val="690C7142"/>
    <w:rsid w:val="69412846"/>
    <w:rsid w:val="695907E9"/>
    <w:rsid w:val="6964290E"/>
    <w:rsid w:val="69706994"/>
    <w:rsid w:val="698304CD"/>
    <w:rsid w:val="69932BAE"/>
    <w:rsid w:val="69A06126"/>
    <w:rsid w:val="69A16FDB"/>
    <w:rsid w:val="69BA6060"/>
    <w:rsid w:val="69D62885"/>
    <w:rsid w:val="69ED079D"/>
    <w:rsid w:val="6A223F21"/>
    <w:rsid w:val="6A4771F0"/>
    <w:rsid w:val="6A641277"/>
    <w:rsid w:val="6A985E45"/>
    <w:rsid w:val="6AAD0001"/>
    <w:rsid w:val="6AB84C10"/>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2745D"/>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C3141"/>
    <w:rsid w:val="71104E62"/>
    <w:rsid w:val="71357785"/>
    <w:rsid w:val="713927A1"/>
    <w:rsid w:val="71426CAF"/>
    <w:rsid w:val="71673F9F"/>
    <w:rsid w:val="719525E5"/>
    <w:rsid w:val="71C43EDF"/>
    <w:rsid w:val="71D12B7B"/>
    <w:rsid w:val="72047D57"/>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CB3C90"/>
    <w:rsid w:val="74F727ED"/>
    <w:rsid w:val="75395A4F"/>
    <w:rsid w:val="75A62599"/>
    <w:rsid w:val="75C718AC"/>
    <w:rsid w:val="75E5168E"/>
    <w:rsid w:val="75E65018"/>
    <w:rsid w:val="75FD7923"/>
    <w:rsid w:val="760C615E"/>
    <w:rsid w:val="764536B8"/>
    <w:rsid w:val="764C1E95"/>
    <w:rsid w:val="765340BE"/>
    <w:rsid w:val="76600B0B"/>
    <w:rsid w:val="76AC2216"/>
    <w:rsid w:val="76EC025F"/>
    <w:rsid w:val="76F84AA9"/>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F651E3"/>
    <w:rsid w:val="7A0539F1"/>
    <w:rsid w:val="7A4A0DFD"/>
    <w:rsid w:val="7A552236"/>
    <w:rsid w:val="7A735659"/>
    <w:rsid w:val="7A7E0068"/>
    <w:rsid w:val="7AC17447"/>
    <w:rsid w:val="7AD70C9B"/>
    <w:rsid w:val="7ADA5B3C"/>
    <w:rsid w:val="7B4531F1"/>
    <w:rsid w:val="7B4D07FD"/>
    <w:rsid w:val="7BAB3DF5"/>
    <w:rsid w:val="7BD26364"/>
    <w:rsid w:val="7BDB29F1"/>
    <w:rsid w:val="7BF87D2D"/>
    <w:rsid w:val="7C2F53CB"/>
    <w:rsid w:val="7C3A3603"/>
    <w:rsid w:val="7C461D0D"/>
    <w:rsid w:val="7C485C63"/>
    <w:rsid w:val="7C921903"/>
    <w:rsid w:val="7CA834CE"/>
    <w:rsid w:val="7CB9036C"/>
    <w:rsid w:val="7D047631"/>
    <w:rsid w:val="7D3475DB"/>
    <w:rsid w:val="7D771F95"/>
    <w:rsid w:val="7D942460"/>
    <w:rsid w:val="7DDD5D1F"/>
    <w:rsid w:val="7DEF4A1C"/>
    <w:rsid w:val="7E0B3754"/>
    <w:rsid w:val="7E3C4D54"/>
    <w:rsid w:val="7E563F68"/>
    <w:rsid w:val="7EC40A24"/>
    <w:rsid w:val="7EDF5F74"/>
    <w:rsid w:val="7F171963"/>
    <w:rsid w:val="7F270DFD"/>
    <w:rsid w:val="7F5F072D"/>
    <w:rsid w:val="7F711C25"/>
    <w:rsid w:val="7F733C1D"/>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2">
    <w:name w:val="heading 4"/>
    <w:basedOn w:val="1"/>
    <w:next w:val="1"/>
    <w:link w:val="149"/>
    <w:qFormat/>
    <w:uiPriority w:val="0"/>
    <w:pPr>
      <w:keepNext/>
      <w:keepLines/>
      <w:spacing w:line="540" w:lineRule="atLeast"/>
      <w:outlineLvl w:val="3"/>
    </w:pPr>
    <w:rPr>
      <w:sz w:val="28"/>
      <w:szCs w:val="28"/>
    </w:rPr>
  </w:style>
  <w:style w:type="paragraph" w:styleId="7">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0"/>
    <w:qFormat/>
    <w:uiPriority w:val="0"/>
    <w:pPr>
      <w:keepNext/>
      <w:keepLines/>
      <w:spacing w:before="240" w:after="64" w:line="317" w:lineRule="auto"/>
      <w:outlineLvl w:val="6"/>
    </w:pPr>
    <w:rPr>
      <w:b/>
      <w:sz w:val="24"/>
      <w:szCs w:val="20"/>
    </w:rPr>
  </w:style>
  <w:style w:type="paragraph" w:styleId="11">
    <w:name w:val="heading 8"/>
    <w:basedOn w:val="1"/>
    <w:next w:val="9"/>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1"/>
    <w:link w:val="164"/>
    <w:qFormat/>
    <w:uiPriority w:val="0"/>
    <w:pPr>
      <w:spacing w:after="120"/>
    </w:pPr>
    <w:rPr>
      <w:rFonts w:ascii="仿宋_GB2312"/>
      <w:b/>
    </w:rPr>
  </w:style>
  <w:style w:type="paragraph" w:styleId="23">
    <w:name w:val="Body Text Indent"/>
    <w:basedOn w:val="1"/>
    <w:link w:val="144"/>
    <w:qFormat/>
    <w:uiPriority w:val="0"/>
    <w:pPr>
      <w:ind w:left="480" w:hanging="480" w:hangingChars="200"/>
    </w:pPr>
    <w:rPr>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3"/>
    <w:qFormat/>
    <w:uiPriority w:val="0"/>
    <w:pPr>
      <w:ind w:left="100" w:leftChars="2500"/>
    </w:pPr>
  </w:style>
  <w:style w:type="paragraph" w:styleId="33">
    <w:name w:val="Body Text Indent 2"/>
    <w:basedOn w:val="1"/>
    <w:link w:val="178"/>
    <w:qFormat/>
    <w:uiPriority w:val="0"/>
    <w:pPr>
      <w:spacing w:line="500" w:lineRule="exact"/>
      <w:ind w:firstLine="511" w:firstLineChars="213"/>
    </w:pPr>
    <w:rPr>
      <w:sz w:val="24"/>
    </w:rPr>
  </w:style>
  <w:style w:type="paragraph" w:styleId="34">
    <w:name w:val="Balloon Text"/>
    <w:basedOn w:val="1"/>
    <w:link w:val="151"/>
    <w:qFormat/>
    <w:uiPriority w:val="0"/>
    <w:rPr>
      <w:sz w:val="18"/>
      <w:szCs w:val="18"/>
    </w:rPr>
  </w:style>
  <w:style w:type="paragraph" w:styleId="35">
    <w:name w:val="footer"/>
    <w:basedOn w:val="1"/>
    <w:link w:val="120"/>
    <w:qFormat/>
    <w:uiPriority w:val="0"/>
    <w:pPr>
      <w:tabs>
        <w:tab w:val="center" w:pos="4153"/>
        <w:tab w:val="right" w:pos="8306"/>
      </w:tabs>
      <w:snapToGrid w:val="0"/>
      <w:jc w:val="left"/>
    </w:pPr>
    <w:rPr>
      <w:sz w:val="18"/>
      <w:szCs w:val="18"/>
    </w:rPr>
  </w:style>
  <w:style w:type="paragraph" w:styleId="36">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qFormat/>
    <w:uiPriority w:val="0"/>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qFormat/>
    <w:uiPriority w:val="0"/>
    <w:pPr>
      <w:ind w:left="200" w:hanging="200" w:hangingChars="200"/>
    </w:pPr>
  </w:style>
  <w:style w:type="paragraph" w:styleId="43">
    <w:name w:val="toc 6"/>
    <w:basedOn w:val="1"/>
    <w:next w:val="1"/>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6"/>
    <w:qFormat/>
    <w:uiPriority w:val="0"/>
    <w:pPr>
      <w:spacing w:line="500" w:lineRule="exact"/>
      <w:ind w:left="511" w:hanging="511" w:hangingChars="213"/>
    </w:pPr>
    <w:rPr>
      <w:sz w:val="24"/>
    </w:rPr>
  </w:style>
  <w:style w:type="paragraph" w:styleId="45">
    <w:name w:val="toc 2"/>
    <w:basedOn w:val="1"/>
    <w:next w:val="1"/>
    <w:qFormat/>
    <w:uiPriority w:val="0"/>
    <w:pPr>
      <w:ind w:left="420" w:leftChars="200"/>
    </w:pPr>
  </w:style>
  <w:style w:type="paragraph" w:styleId="46">
    <w:name w:val="toc 9"/>
    <w:basedOn w:val="1"/>
    <w:next w:val="1"/>
    <w:qFormat/>
    <w:uiPriority w:val="0"/>
    <w:pPr>
      <w:autoSpaceDE w:val="0"/>
      <w:autoSpaceDN w:val="0"/>
      <w:adjustRightInd w:val="0"/>
      <w:ind w:left="3360" w:leftChars="1600"/>
      <w:jc w:val="left"/>
    </w:pPr>
    <w:rPr>
      <w:kern w:val="0"/>
      <w:sz w:val="20"/>
      <w:szCs w:val="20"/>
    </w:rPr>
  </w:style>
  <w:style w:type="paragraph" w:styleId="47">
    <w:name w:val="Body Text 2"/>
    <w:basedOn w:val="1"/>
    <w:link w:val="198"/>
    <w:qFormat/>
    <w:uiPriority w:val="0"/>
    <w:pPr>
      <w:autoSpaceDE w:val="0"/>
      <w:autoSpaceDN w:val="0"/>
      <w:adjustRightInd w:val="0"/>
      <w:spacing w:after="120" w:line="480" w:lineRule="auto"/>
      <w:jc w:val="left"/>
    </w:p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1"/>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qFormat/>
    <w:uiPriority w:val="0"/>
    <w:rPr>
      <w:b/>
      <w:bCs/>
    </w:rPr>
  </w:style>
  <w:style w:type="paragraph" w:styleId="51">
    <w:name w:val="Body Text First Indent"/>
    <w:basedOn w:val="22"/>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52">
    <w:name w:val="Body Text First Indent 2"/>
    <w:basedOn w:val="23"/>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0"/>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9"/>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49"/>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5"/>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7"/>
    <w:qFormat/>
    <w:uiPriority w:val="0"/>
    <w:rPr>
      <w:rFonts w:eastAsia="宋体"/>
      <w:b/>
      <w:bCs/>
      <w:sz w:val="28"/>
      <w:szCs w:val="28"/>
      <w:lang w:bidi="ar-SA"/>
    </w:rPr>
  </w:style>
  <w:style w:type="character" w:customStyle="1" w:styleId="133">
    <w:name w:val="日期 Char"/>
    <w:link w:val="32"/>
    <w:qFormat/>
    <w:uiPriority w:val="0"/>
    <w:rPr>
      <w:rFonts w:eastAsia="宋体"/>
      <w:kern w:val="2"/>
      <w:sz w:val="21"/>
      <w:szCs w:val="24"/>
      <w:lang w:val="en-US" w:eastAsia="zh-CN" w:bidi="ar-SA"/>
    </w:rPr>
  </w:style>
  <w:style w:type="character" w:customStyle="1" w:styleId="134">
    <w:name w:val="副标题 Char"/>
    <w:link w:val="40"/>
    <w:qFormat/>
    <w:uiPriority w:val="0"/>
    <w:rPr>
      <w:rFonts w:ascii="Cambria" w:hAnsi="Cambria" w:eastAsia="宋体"/>
      <w:b/>
      <w:bCs/>
      <w:kern w:val="28"/>
      <w:sz w:val="32"/>
      <w:szCs w:val="32"/>
      <w:lang w:val="en-US" w:eastAsia="zh-CN" w:bidi="ar-SA"/>
    </w:rPr>
  </w:style>
  <w:style w:type="character" w:customStyle="1" w:styleId="135">
    <w:name w:val="页眉 Char"/>
    <w:link w:val="36"/>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3"/>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4"/>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2"/>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4"/>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7"/>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8"/>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3"/>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29"/>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51"/>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7"/>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9"/>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9"/>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66</Pages>
  <Words>32614</Words>
  <Characters>33964</Characters>
  <Lines>322</Lines>
  <Paragraphs>90</Paragraphs>
  <TotalTime>150</TotalTime>
  <ScaleCrop>false</ScaleCrop>
  <LinksUpToDate>false</LinksUpToDate>
  <CharactersWithSpaces>36922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2022-12-14T06:56:21Z</cp:lastPrinted>
  <dcterms:modified xsi:type="dcterms:W3CDTF">2022-12-14T09:26:32Z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BC1BA64C697642BF92F420CC9F67FF35</vt:lpwstr>
  </property>
</Properties>
</file>