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eastAsia="宋体" w:cs="宋体"/>
          <w:b/>
          <w:bCs/>
          <w:color w:val="auto"/>
          <w:sz w:val="52"/>
          <w:szCs w:val="52"/>
          <w:highlight w:val="none"/>
          <w:lang w:eastAsia="zh-CN"/>
        </w:rPr>
      </w:pPr>
      <w:r>
        <w:rPr>
          <w:rFonts w:hint="eastAsia" w:ascii="宋体" w:hAnsi="宋体" w:cs="宋体"/>
          <w:color w:val="auto"/>
          <w:spacing w:val="20"/>
          <w:sz w:val="84"/>
          <w:highlight w:val="none"/>
          <w:lang w:eastAsia="zh-CN"/>
        </w:rPr>
        <w:t>温州市中医院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4"/>
        <w:tblW w:w="10500"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5"/>
        <w:gridCol w:w="7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7665"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z w:val="30"/>
                <w:szCs w:val="30"/>
                <w:highlight w:val="none"/>
                <w:lang w:eastAsia="zh-CN"/>
              </w:rPr>
              <w:t>WZLCZB（W）-2022-11575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766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血糖仪及信息化管理系统设备租赁费+血糖试纸（</w:t>
            </w:r>
            <w:r>
              <w:rPr>
                <w:rFonts w:hint="eastAsia" w:ascii="宋体" w:hAnsi="宋体" w:cs="宋体"/>
                <w:b w:val="0"/>
                <w:bCs w:val="0"/>
                <w:color w:val="auto"/>
                <w:sz w:val="30"/>
                <w:szCs w:val="30"/>
                <w:highlight w:val="none"/>
                <w:lang w:val="en-US" w:eastAsia="zh-CN"/>
              </w:rPr>
              <w:t>采血针</w:t>
            </w:r>
            <w:r>
              <w:rPr>
                <w:rFonts w:hint="eastAsia" w:ascii="宋体" w:hAnsi="宋体" w:cs="宋体"/>
                <w:b w:val="0"/>
                <w:bCs w:val="0"/>
                <w:color w:val="auto"/>
                <w:sz w:val="30"/>
                <w:szCs w:val="30"/>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766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766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pStyle w:val="2"/>
        <w:rPr>
          <w:rFonts w:hint="eastAsia" w:ascii="宋体" w:hAnsi="宋体" w:eastAsia="宋体" w:cs="宋体"/>
          <w:b/>
          <w:color w:val="auto"/>
          <w:spacing w:val="40"/>
          <w:sz w:val="30"/>
          <w:szCs w:val="30"/>
          <w:highlight w:val="none"/>
        </w:rPr>
      </w:pPr>
    </w:p>
    <w:p>
      <w:pPr>
        <w:rPr>
          <w:rFonts w:hint="eastAsia"/>
        </w:rPr>
      </w:pPr>
    </w:p>
    <w:p>
      <w:pPr>
        <w:pStyle w:val="9"/>
        <w:rPr>
          <w:rFonts w:hint="eastAsia"/>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二</w:t>
      </w:r>
      <w:r>
        <w:rPr>
          <w:rFonts w:hint="eastAsia" w:ascii="宋体" w:hAnsi="宋体" w:eastAsia="宋体" w:cs="宋体"/>
          <w:color w:val="auto"/>
          <w:spacing w:val="30"/>
          <w:sz w:val="30"/>
          <w:highlight w:val="none"/>
        </w:rPr>
        <w:t>年</w:t>
      </w:r>
    </w:p>
    <w:p>
      <w:pPr>
        <w:rPr>
          <w:rFonts w:hint="eastAsia"/>
        </w:rPr>
      </w:pPr>
      <w:r>
        <w:rPr>
          <w:rFonts w:hint="eastAsia" w:ascii="宋体" w:hAnsi="宋体" w:eastAsia="宋体" w:cs="宋体"/>
          <w:b/>
          <w:color w:val="auto"/>
          <w:sz w:val="36"/>
          <w:szCs w:val="36"/>
          <w:highlight w:val="none"/>
        </w:rPr>
        <w:br w:type="page"/>
      </w:r>
    </w:p>
    <w:sdt>
      <w:sdtPr>
        <w:rPr>
          <w:rFonts w:hint="eastAsia" w:ascii="宋体" w:hAnsi="宋体" w:eastAsia="宋体" w:cs="宋体"/>
          <w:kern w:val="2"/>
          <w:sz w:val="21"/>
          <w:szCs w:val="24"/>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38"/>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38"/>
            <w:tabs>
              <w:tab w:val="right" w:leader="dot" w:pos="9638"/>
            </w:tabs>
            <w:spacing w:line="360" w:lineRule="auto"/>
            <w:rPr>
              <w:sz w:val="22"/>
              <w:szCs w:val="28"/>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_Toc6599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招</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标</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公</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告</w:t>
          </w:r>
          <w:r>
            <w:rPr>
              <w:sz w:val="22"/>
              <w:szCs w:val="28"/>
            </w:rPr>
            <w:tab/>
          </w:r>
          <w:r>
            <w:rPr>
              <w:sz w:val="22"/>
              <w:szCs w:val="28"/>
            </w:rPr>
            <w:fldChar w:fldCharType="begin"/>
          </w:r>
          <w:r>
            <w:rPr>
              <w:sz w:val="22"/>
              <w:szCs w:val="28"/>
            </w:rPr>
            <w:instrText xml:space="preserve"> PAGEREF _Toc6599 \h </w:instrText>
          </w:r>
          <w:r>
            <w:rPr>
              <w:sz w:val="22"/>
              <w:szCs w:val="28"/>
            </w:rPr>
            <w:fldChar w:fldCharType="separate"/>
          </w:r>
          <w:r>
            <w:rPr>
              <w:sz w:val="22"/>
              <w:szCs w:val="28"/>
            </w:rPr>
            <w:t>3</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_Toc10401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第一部分  投标人须知</w:t>
          </w:r>
          <w:r>
            <w:rPr>
              <w:sz w:val="22"/>
              <w:szCs w:val="28"/>
            </w:rPr>
            <w:tab/>
          </w:r>
          <w:r>
            <w:rPr>
              <w:sz w:val="22"/>
              <w:szCs w:val="28"/>
            </w:rPr>
            <w:fldChar w:fldCharType="begin"/>
          </w:r>
          <w:r>
            <w:rPr>
              <w:sz w:val="22"/>
              <w:szCs w:val="28"/>
            </w:rPr>
            <w:instrText xml:space="preserve"> PAGEREF _Toc10401 \h </w:instrText>
          </w:r>
          <w:r>
            <w:rPr>
              <w:sz w:val="22"/>
              <w:szCs w:val="28"/>
            </w:rPr>
            <w:fldChar w:fldCharType="separate"/>
          </w:r>
          <w:r>
            <w:rPr>
              <w:sz w:val="22"/>
              <w:szCs w:val="28"/>
            </w:rPr>
            <w:t>7</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_Toc6224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前 附 表</w:t>
          </w:r>
          <w:r>
            <w:rPr>
              <w:sz w:val="22"/>
              <w:szCs w:val="28"/>
            </w:rPr>
            <w:tab/>
          </w:r>
          <w:r>
            <w:rPr>
              <w:sz w:val="22"/>
              <w:szCs w:val="28"/>
            </w:rPr>
            <w:fldChar w:fldCharType="begin"/>
          </w:r>
          <w:r>
            <w:rPr>
              <w:sz w:val="22"/>
              <w:szCs w:val="28"/>
            </w:rPr>
            <w:instrText xml:space="preserve"> PAGEREF _Toc6224 \h </w:instrText>
          </w:r>
          <w:r>
            <w:rPr>
              <w:sz w:val="22"/>
              <w:szCs w:val="28"/>
            </w:rPr>
            <w:fldChar w:fldCharType="separate"/>
          </w:r>
          <w:r>
            <w:rPr>
              <w:sz w:val="22"/>
              <w:szCs w:val="28"/>
            </w:rPr>
            <w:t>7</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_Toc19070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一、 说   明</w:t>
          </w:r>
          <w:r>
            <w:rPr>
              <w:sz w:val="22"/>
              <w:szCs w:val="28"/>
            </w:rPr>
            <w:tab/>
          </w:r>
          <w:r>
            <w:rPr>
              <w:sz w:val="22"/>
              <w:szCs w:val="28"/>
            </w:rPr>
            <w:fldChar w:fldCharType="begin"/>
          </w:r>
          <w:r>
            <w:rPr>
              <w:sz w:val="22"/>
              <w:szCs w:val="28"/>
            </w:rPr>
            <w:instrText xml:space="preserve"> PAGEREF _Toc19070 \h </w:instrText>
          </w:r>
          <w:r>
            <w:rPr>
              <w:sz w:val="22"/>
              <w:szCs w:val="28"/>
            </w:rPr>
            <w:fldChar w:fldCharType="separate"/>
          </w:r>
          <w:r>
            <w:rPr>
              <w:sz w:val="22"/>
              <w:szCs w:val="28"/>
            </w:rPr>
            <w:t>11</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_Toc28278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二、 招标文件</w:t>
          </w:r>
          <w:r>
            <w:rPr>
              <w:sz w:val="22"/>
              <w:szCs w:val="28"/>
            </w:rPr>
            <w:tab/>
          </w:r>
          <w:r>
            <w:rPr>
              <w:sz w:val="22"/>
              <w:szCs w:val="28"/>
            </w:rPr>
            <w:fldChar w:fldCharType="begin"/>
          </w:r>
          <w:r>
            <w:rPr>
              <w:sz w:val="22"/>
              <w:szCs w:val="28"/>
            </w:rPr>
            <w:instrText xml:space="preserve"> PAGEREF _Toc28278 \h </w:instrText>
          </w:r>
          <w:r>
            <w:rPr>
              <w:sz w:val="22"/>
              <w:szCs w:val="28"/>
            </w:rPr>
            <w:fldChar w:fldCharType="separate"/>
          </w:r>
          <w:r>
            <w:rPr>
              <w:sz w:val="22"/>
              <w:szCs w:val="28"/>
            </w:rPr>
            <w:t>11</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_Toc22646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三、 投标文件的编制</w:t>
          </w:r>
          <w:r>
            <w:rPr>
              <w:sz w:val="22"/>
              <w:szCs w:val="28"/>
            </w:rPr>
            <w:tab/>
          </w:r>
          <w:r>
            <w:rPr>
              <w:sz w:val="22"/>
              <w:szCs w:val="28"/>
            </w:rPr>
            <w:fldChar w:fldCharType="begin"/>
          </w:r>
          <w:r>
            <w:rPr>
              <w:sz w:val="22"/>
              <w:szCs w:val="28"/>
            </w:rPr>
            <w:instrText xml:space="preserve"> PAGEREF _Toc22646 \h </w:instrText>
          </w:r>
          <w:r>
            <w:rPr>
              <w:sz w:val="22"/>
              <w:szCs w:val="28"/>
            </w:rPr>
            <w:fldChar w:fldCharType="separate"/>
          </w:r>
          <w:r>
            <w:rPr>
              <w:sz w:val="22"/>
              <w:szCs w:val="28"/>
            </w:rPr>
            <w:t>12</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_Toc18542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四、 投标文件的递交</w:t>
          </w:r>
          <w:r>
            <w:rPr>
              <w:sz w:val="22"/>
              <w:szCs w:val="28"/>
            </w:rPr>
            <w:tab/>
          </w:r>
          <w:r>
            <w:rPr>
              <w:sz w:val="22"/>
              <w:szCs w:val="28"/>
            </w:rPr>
            <w:fldChar w:fldCharType="begin"/>
          </w:r>
          <w:r>
            <w:rPr>
              <w:sz w:val="22"/>
              <w:szCs w:val="28"/>
            </w:rPr>
            <w:instrText xml:space="preserve"> PAGEREF _Toc18542 \h </w:instrText>
          </w:r>
          <w:r>
            <w:rPr>
              <w:sz w:val="22"/>
              <w:szCs w:val="28"/>
            </w:rPr>
            <w:fldChar w:fldCharType="separate"/>
          </w:r>
          <w:r>
            <w:rPr>
              <w:sz w:val="22"/>
              <w:szCs w:val="28"/>
            </w:rPr>
            <w:t>16</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_Toc8079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五、 开标和评标</w:t>
          </w:r>
          <w:r>
            <w:rPr>
              <w:sz w:val="22"/>
              <w:szCs w:val="28"/>
            </w:rPr>
            <w:tab/>
          </w:r>
          <w:r>
            <w:rPr>
              <w:sz w:val="22"/>
              <w:szCs w:val="28"/>
            </w:rPr>
            <w:fldChar w:fldCharType="begin"/>
          </w:r>
          <w:r>
            <w:rPr>
              <w:sz w:val="22"/>
              <w:szCs w:val="28"/>
            </w:rPr>
            <w:instrText xml:space="preserve"> PAGEREF _Toc8079 \h </w:instrText>
          </w:r>
          <w:r>
            <w:rPr>
              <w:sz w:val="22"/>
              <w:szCs w:val="28"/>
            </w:rPr>
            <w:fldChar w:fldCharType="separate"/>
          </w:r>
          <w:r>
            <w:rPr>
              <w:sz w:val="22"/>
              <w:szCs w:val="28"/>
            </w:rPr>
            <w:t>16</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_Toc21056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六、 授予合同</w:t>
          </w:r>
          <w:r>
            <w:rPr>
              <w:sz w:val="22"/>
              <w:szCs w:val="28"/>
            </w:rPr>
            <w:tab/>
          </w:r>
          <w:r>
            <w:rPr>
              <w:sz w:val="22"/>
              <w:szCs w:val="28"/>
            </w:rPr>
            <w:fldChar w:fldCharType="begin"/>
          </w:r>
          <w:r>
            <w:rPr>
              <w:sz w:val="22"/>
              <w:szCs w:val="28"/>
            </w:rPr>
            <w:instrText xml:space="preserve"> PAGEREF _Toc21056 \h </w:instrText>
          </w:r>
          <w:r>
            <w:rPr>
              <w:sz w:val="22"/>
              <w:szCs w:val="28"/>
            </w:rPr>
            <w:fldChar w:fldCharType="separate"/>
          </w:r>
          <w:r>
            <w:rPr>
              <w:sz w:val="22"/>
              <w:szCs w:val="28"/>
            </w:rPr>
            <w:t>20</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_Toc19043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第二部分  合同主要条款</w:t>
          </w:r>
          <w:r>
            <w:rPr>
              <w:sz w:val="22"/>
              <w:szCs w:val="28"/>
            </w:rPr>
            <w:tab/>
          </w:r>
          <w:r>
            <w:rPr>
              <w:sz w:val="22"/>
              <w:szCs w:val="28"/>
            </w:rPr>
            <w:fldChar w:fldCharType="begin"/>
          </w:r>
          <w:r>
            <w:rPr>
              <w:sz w:val="22"/>
              <w:szCs w:val="28"/>
            </w:rPr>
            <w:instrText xml:space="preserve"> PAGEREF _Toc19043 \h </w:instrText>
          </w:r>
          <w:r>
            <w:rPr>
              <w:sz w:val="22"/>
              <w:szCs w:val="28"/>
            </w:rPr>
            <w:fldChar w:fldCharType="separate"/>
          </w:r>
          <w:r>
            <w:rPr>
              <w:sz w:val="22"/>
              <w:szCs w:val="28"/>
            </w:rPr>
            <w:t>22</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_Toc18439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第三部分  附件</w:t>
          </w:r>
          <w:r>
            <w:rPr>
              <w:sz w:val="22"/>
              <w:szCs w:val="28"/>
            </w:rPr>
            <w:tab/>
          </w:r>
          <w:r>
            <w:rPr>
              <w:sz w:val="22"/>
              <w:szCs w:val="28"/>
            </w:rPr>
            <w:fldChar w:fldCharType="begin"/>
          </w:r>
          <w:r>
            <w:rPr>
              <w:sz w:val="22"/>
              <w:szCs w:val="28"/>
            </w:rPr>
            <w:instrText xml:space="preserve"> PAGEREF _Toc18439 \h </w:instrText>
          </w:r>
          <w:r>
            <w:rPr>
              <w:sz w:val="22"/>
              <w:szCs w:val="28"/>
            </w:rPr>
            <w:fldChar w:fldCharType="separate"/>
          </w:r>
          <w:r>
            <w:rPr>
              <w:sz w:val="22"/>
              <w:szCs w:val="28"/>
            </w:rPr>
            <w:t>26</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_Toc6368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highlight w:val="none"/>
            </w:rPr>
            <w:t>附件一</w:t>
          </w:r>
          <w:r>
            <w:rPr>
              <w:sz w:val="22"/>
              <w:szCs w:val="28"/>
            </w:rPr>
            <w:tab/>
          </w:r>
          <w:r>
            <w:rPr>
              <w:sz w:val="22"/>
              <w:szCs w:val="28"/>
            </w:rPr>
            <w:fldChar w:fldCharType="begin"/>
          </w:r>
          <w:r>
            <w:rPr>
              <w:sz w:val="22"/>
              <w:szCs w:val="28"/>
            </w:rPr>
            <w:instrText xml:space="preserve"> PAGEREF _Toc6368 \h </w:instrText>
          </w:r>
          <w:r>
            <w:rPr>
              <w:sz w:val="22"/>
              <w:szCs w:val="28"/>
            </w:rPr>
            <w:fldChar w:fldCharType="separate"/>
          </w:r>
          <w:r>
            <w:rPr>
              <w:sz w:val="22"/>
              <w:szCs w:val="28"/>
            </w:rPr>
            <w:t>26</w:t>
          </w:r>
          <w:r>
            <w:rPr>
              <w:sz w:val="22"/>
              <w:szCs w:val="28"/>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_Toc5430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报价文件</w:t>
          </w:r>
          <w:r>
            <w:rPr>
              <w:sz w:val="22"/>
              <w:szCs w:val="28"/>
            </w:rPr>
            <w:tab/>
          </w:r>
          <w:r>
            <w:rPr>
              <w:sz w:val="22"/>
              <w:szCs w:val="28"/>
            </w:rPr>
            <w:fldChar w:fldCharType="begin"/>
          </w:r>
          <w:r>
            <w:rPr>
              <w:sz w:val="22"/>
              <w:szCs w:val="28"/>
            </w:rPr>
            <w:instrText xml:space="preserve"> PAGEREF _Toc5430 \h </w:instrText>
          </w:r>
          <w:r>
            <w:rPr>
              <w:sz w:val="22"/>
              <w:szCs w:val="28"/>
            </w:rPr>
            <w:fldChar w:fldCharType="separate"/>
          </w:r>
          <w:r>
            <w:rPr>
              <w:sz w:val="22"/>
              <w:szCs w:val="28"/>
            </w:rPr>
            <w:t>26</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_Toc12035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附件二</w:t>
          </w:r>
          <w:r>
            <w:rPr>
              <w:sz w:val="22"/>
              <w:szCs w:val="28"/>
            </w:rPr>
            <w:tab/>
          </w:r>
          <w:r>
            <w:rPr>
              <w:sz w:val="22"/>
              <w:szCs w:val="28"/>
            </w:rPr>
            <w:fldChar w:fldCharType="begin"/>
          </w:r>
          <w:r>
            <w:rPr>
              <w:sz w:val="22"/>
              <w:szCs w:val="28"/>
            </w:rPr>
            <w:instrText xml:space="preserve"> PAGEREF _Toc12035 \h </w:instrText>
          </w:r>
          <w:r>
            <w:rPr>
              <w:sz w:val="22"/>
              <w:szCs w:val="28"/>
            </w:rPr>
            <w:fldChar w:fldCharType="separate"/>
          </w:r>
          <w:r>
            <w:rPr>
              <w:sz w:val="22"/>
              <w:szCs w:val="28"/>
            </w:rPr>
            <w:t>34</w:t>
          </w:r>
          <w:r>
            <w:rPr>
              <w:sz w:val="22"/>
              <w:szCs w:val="28"/>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_Toc25309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资格证明文件</w:t>
          </w:r>
          <w:r>
            <w:rPr>
              <w:sz w:val="22"/>
              <w:szCs w:val="28"/>
            </w:rPr>
            <w:tab/>
          </w:r>
          <w:r>
            <w:rPr>
              <w:sz w:val="22"/>
              <w:szCs w:val="28"/>
            </w:rPr>
            <w:fldChar w:fldCharType="begin"/>
          </w:r>
          <w:r>
            <w:rPr>
              <w:sz w:val="22"/>
              <w:szCs w:val="28"/>
            </w:rPr>
            <w:instrText xml:space="preserve"> PAGEREF _Toc25309 \h </w:instrText>
          </w:r>
          <w:r>
            <w:rPr>
              <w:sz w:val="22"/>
              <w:szCs w:val="28"/>
            </w:rPr>
            <w:fldChar w:fldCharType="separate"/>
          </w:r>
          <w:r>
            <w:rPr>
              <w:sz w:val="22"/>
              <w:szCs w:val="28"/>
            </w:rPr>
            <w:t>34</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_Toc31356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附件三</w:t>
          </w:r>
          <w:r>
            <w:rPr>
              <w:sz w:val="22"/>
              <w:szCs w:val="28"/>
            </w:rPr>
            <w:tab/>
          </w:r>
          <w:r>
            <w:rPr>
              <w:sz w:val="22"/>
              <w:szCs w:val="28"/>
            </w:rPr>
            <w:fldChar w:fldCharType="begin"/>
          </w:r>
          <w:r>
            <w:rPr>
              <w:sz w:val="22"/>
              <w:szCs w:val="28"/>
            </w:rPr>
            <w:instrText xml:space="preserve"> PAGEREF _Toc31356 \h </w:instrText>
          </w:r>
          <w:r>
            <w:rPr>
              <w:sz w:val="22"/>
              <w:szCs w:val="28"/>
            </w:rPr>
            <w:fldChar w:fldCharType="separate"/>
          </w:r>
          <w:r>
            <w:rPr>
              <w:sz w:val="22"/>
              <w:szCs w:val="28"/>
            </w:rPr>
            <w:t>39</w:t>
          </w:r>
          <w:r>
            <w:rPr>
              <w:sz w:val="22"/>
              <w:szCs w:val="28"/>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_Toc13639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lang w:val="zh-CN"/>
            </w:rPr>
            <w:t>商务技术文件</w:t>
          </w:r>
          <w:r>
            <w:rPr>
              <w:sz w:val="22"/>
              <w:szCs w:val="28"/>
            </w:rPr>
            <w:tab/>
          </w:r>
          <w:r>
            <w:rPr>
              <w:sz w:val="22"/>
              <w:szCs w:val="28"/>
            </w:rPr>
            <w:fldChar w:fldCharType="begin"/>
          </w:r>
          <w:r>
            <w:rPr>
              <w:sz w:val="22"/>
              <w:szCs w:val="28"/>
            </w:rPr>
            <w:instrText xml:space="preserve"> PAGEREF _Toc13639 \h </w:instrText>
          </w:r>
          <w:r>
            <w:rPr>
              <w:sz w:val="22"/>
              <w:szCs w:val="28"/>
            </w:rPr>
            <w:fldChar w:fldCharType="separate"/>
          </w:r>
          <w:r>
            <w:rPr>
              <w:sz w:val="22"/>
              <w:szCs w:val="28"/>
            </w:rPr>
            <w:t>39</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_Toc3381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第四部分 项目技术规范和服务要求</w:t>
          </w:r>
          <w:r>
            <w:rPr>
              <w:sz w:val="22"/>
              <w:szCs w:val="28"/>
            </w:rPr>
            <w:tab/>
          </w:r>
          <w:r>
            <w:rPr>
              <w:sz w:val="22"/>
              <w:szCs w:val="28"/>
            </w:rPr>
            <w:fldChar w:fldCharType="begin"/>
          </w:r>
          <w:r>
            <w:rPr>
              <w:sz w:val="22"/>
              <w:szCs w:val="28"/>
            </w:rPr>
            <w:instrText xml:space="preserve"> PAGEREF _Toc3381 \h </w:instrText>
          </w:r>
          <w:r>
            <w:rPr>
              <w:sz w:val="22"/>
              <w:szCs w:val="28"/>
            </w:rPr>
            <w:fldChar w:fldCharType="separate"/>
          </w:r>
          <w:r>
            <w:rPr>
              <w:sz w:val="22"/>
              <w:szCs w:val="28"/>
            </w:rPr>
            <w:t>56</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_Toc18194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第五部分 评标原则及方法</w:t>
          </w:r>
          <w:r>
            <w:rPr>
              <w:sz w:val="22"/>
              <w:szCs w:val="28"/>
            </w:rPr>
            <w:tab/>
          </w:r>
          <w:r>
            <w:rPr>
              <w:sz w:val="22"/>
              <w:szCs w:val="28"/>
            </w:rPr>
            <w:fldChar w:fldCharType="begin"/>
          </w:r>
          <w:r>
            <w:rPr>
              <w:sz w:val="22"/>
              <w:szCs w:val="28"/>
            </w:rPr>
            <w:instrText xml:space="preserve"> PAGEREF _Toc18194 \h </w:instrText>
          </w:r>
          <w:r>
            <w:rPr>
              <w:sz w:val="22"/>
              <w:szCs w:val="28"/>
            </w:rPr>
            <w:fldChar w:fldCharType="separate"/>
          </w:r>
          <w:r>
            <w:rPr>
              <w:sz w:val="22"/>
              <w:szCs w:val="28"/>
            </w:rPr>
            <w:t>56</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_Toc15713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一、总 则</w:t>
          </w:r>
          <w:r>
            <w:rPr>
              <w:sz w:val="22"/>
              <w:szCs w:val="28"/>
            </w:rPr>
            <w:tab/>
          </w:r>
          <w:r>
            <w:rPr>
              <w:sz w:val="22"/>
              <w:szCs w:val="28"/>
            </w:rPr>
            <w:fldChar w:fldCharType="begin"/>
          </w:r>
          <w:r>
            <w:rPr>
              <w:sz w:val="22"/>
              <w:szCs w:val="28"/>
            </w:rPr>
            <w:instrText xml:space="preserve"> PAGEREF _Toc15713 \h </w:instrText>
          </w:r>
          <w:r>
            <w:rPr>
              <w:sz w:val="22"/>
              <w:szCs w:val="28"/>
            </w:rPr>
            <w:fldChar w:fldCharType="separate"/>
          </w:r>
          <w:r>
            <w:rPr>
              <w:sz w:val="22"/>
              <w:szCs w:val="28"/>
            </w:rPr>
            <w:t>67</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_Toc23152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二、评标组织</w:t>
          </w:r>
          <w:r>
            <w:rPr>
              <w:sz w:val="22"/>
              <w:szCs w:val="28"/>
            </w:rPr>
            <w:tab/>
          </w:r>
          <w:r>
            <w:rPr>
              <w:sz w:val="22"/>
              <w:szCs w:val="28"/>
            </w:rPr>
            <w:fldChar w:fldCharType="begin"/>
          </w:r>
          <w:r>
            <w:rPr>
              <w:sz w:val="22"/>
              <w:szCs w:val="28"/>
            </w:rPr>
            <w:instrText xml:space="preserve"> PAGEREF _Toc23152 \h </w:instrText>
          </w:r>
          <w:r>
            <w:rPr>
              <w:sz w:val="22"/>
              <w:szCs w:val="28"/>
            </w:rPr>
            <w:fldChar w:fldCharType="separate"/>
          </w:r>
          <w:r>
            <w:rPr>
              <w:sz w:val="22"/>
              <w:szCs w:val="28"/>
            </w:rPr>
            <w:t>67</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_Toc67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三、评标程序</w:t>
          </w:r>
          <w:r>
            <w:rPr>
              <w:sz w:val="22"/>
              <w:szCs w:val="28"/>
            </w:rPr>
            <w:tab/>
          </w:r>
          <w:r>
            <w:rPr>
              <w:sz w:val="22"/>
              <w:szCs w:val="28"/>
            </w:rPr>
            <w:fldChar w:fldCharType="begin"/>
          </w:r>
          <w:r>
            <w:rPr>
              <w:sz w:val="22"/>
              <w:szCs w:val="28"/>
            </w:rPr>
            <w:instrText xml:space="preserve"> PAGEREF _Toc67 \h </w:instrText>
          </w:r>
          <w:r>
            <w:rPr>
              <w:sz w:val="22"/>
              <w:szCs w:val="28"/>
            </w:rPr>
            <w:fldChar w:fldCharType="separate"/>
          </w:r>
          <w:r>
            <w:rPr>
              <w:sz w:val="22"/>
              <w:szCs w:val="28"/>
            </w:rPr>
            <w:t>67</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_Toc24825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四、评标办法</w:t>
          </w:r>
          <w:r>
            <w:rPr>
              <w:sz w:val="22"/>
              <w:szCs w:val="28"/>
            </w:rPr>
            <w:tab/>
          </w:r>
          <w:r>
            <w:rPr>
              <w:sz w:val="22"/>
              <w:szCs w:val="28"/>
            </w:rPr>
            <w:fldChar w:fldCharType="begin"/>
          </w:r>
          <w:r>
            <w:rPr>
              <w:sz w:val="22"/>
              <w:szCs w:val="28"/>
            </w:rPr>
            <w:instrText xml:space="preserve"> PAGEREF _Toc24825 \h </w:instrText>
          </w:r>
          <w:r>
            <w:rPr>
              <w:sz w:val="22"/>
              <w:szCs w:val="28"/>
            </w:rPr>
            <w:fldChar w:fldCharType="separate"/>
          </w:r>
          <w:r>
            <w:rPr>
              <w:sz w:val="22"/>
              <w:szCs w:val="28"/>
            </w:rPr>
            <w:t>67</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_Toc11450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rPr>
            <w:t xml:space="preserve">五、 </w:t>
          </w:r>
          <w:r>
            <w:rPr>
              <w:rFonts w:hint="eastAsia" w:ascii="宋体" w:hAnsi="宋体" w:eastAsia="宋体" w:cs="宋体"/>
              <w:sz w:val="22"/>
              <w:szCs w:val="24"/>
              <w:highlight w:val="none"/>
            </w:rPr>
            <w:t>评分细则</w:t>
          </w:r>
          <w:r>
            <w:rPr>
              <w:sz w:val="22"/>
              <w:szCs w:val="28"/>
            </w:rPr>
            <w:tab/>
          </w:r>
          <w:r>
            <w:rPr>
              <w:sz w:val="22"/>
              <w:szCs w:val="28"/>
            </w:rPr>
            <w:fldChar w:fldCharType="begin"/>
          </w:r>
          <w:r>
            <w:rPr>
              <w:sz w:val="22"/>
              <w:szCs w:val="28"/>
            </w:rPr>
            <w:instrText xml:space="preserve"> PAGEREF _Toc11450 \h </w:instrText>
          </w:r>
          <w:r>
            <w:rPr>
              <w:sz w:val="22"/>
              <w:szCs w:val="28"/>
            </w:rPr>
            <w:fldChar w:fldCharType="separate"/>
          </w:r>
          <w:r>
            <w:rPr>
              <w:sz w:val="22"/>
              <w:szCs w:val="28"/>
            </w:rPr>
            <w:t>67</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_Toc4727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六、定标办法</w:t>
          </w:r>
          <w:r>
            <w:rPr>
              <w:sz w:val="22"/>
              <w:szCs w:val="28"/>
            </w:rPr>
            <w:tab/>
          </w:r>
          <w:r>
            <w:rPr>
              <w:sz w:val="22"/>
              <w:szCs w:val="28"/>
            </w:rPr>
            <w:fldChar w:fldCharType="begin"/>
          </w:r>
          <w:r>
            <w:rPr>
              <w:sz w:val="22"/>
              <w:szCs w:val="28"/>
            </w:rPr>
            <w:instrText xml:space="preserve"> PAGEREF _Toc4727 \h </w:instrText>
          </w:r>
          <w:r>
            <w:rPr>
              <w:sz w:val="22"/>
              <w:szCs w:val="28"/>
            </w:rPr>
            <w:fldChar w:fldCharType="separate"/>
          </w:r>
          <w:r>
            <w:rPr>
              <w:sz w:val="22"/>
              <w:szCs w:val="28"/>
            </w:rPr>
            <w:t>69</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_Toc3629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七、投标人义务</w:t>
          </w:r>
          <w:r>
            <w:rPr>
              <w:sz w:val="22"/>
              <w:szCs w:val="28"/>
            </w:rPr>
            <w:tab/>
          </w:r>
          <w:r>
            <w:rPr>
              <w:sz w:val="22"/>
              <w:szCs w:val="28"/>
            </w:rPr>
            <w:fldChar w:fldCharType="begin"/>
          </w:r>
          <w:r>
            <w:rPr>
              <w:sz w:val="22"/>
              <w:szCs w:val="28"/>
            </w:rPr>
            <w:instrText xml:space="preserve"> PAGEREF _Toc3629 \h </w:instrText>
          </w:r>
          <w:r>
            <w:rPr>
              <w:sz w:val="22"/>
              <w:szCs w:val="28"/>
            </w:rPr>
            <w:fldChar w:fldCharType="separate"/>
          </w:r>
          <w:r>
            <w:rPr>
              <w:sz w:val="22"/>
              <w:szCs w:val="28"/>
            </w:rPr>
            <w:t>70</w:t>
          </w:r>
          <w:r>
            <w:rPr>
              <w:sz w:val="22"/>
              <w:szCs w:val="28"/>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36"/>
              <w:szCs w:val="36"/>
              <w:highlight w:val="none"/>
            </w:rPr>
          </w:pPr>
          <w:r>
            <w:rPr>
              <w:rFonts w:hint="eastAsia" w:ascii="宋体" w:hAnsi="宋体" w:eastAsia="宋体" w:cs="宋体"/>
              <w:color w:val="auto"/>
              <w:sz w:val="22"/>
              <w:szCs w:val="40"/>
              <w:highlight w:val="none"/>
            </w:rPr>
            <w:fldChar w:fldCharType="end"/>
          </w:r>
        </w:p>
      </w:sdtContent>
    </w:sdt>
    <w:p>
      <w:pPr>
        <w:spacing w:line="360" w:lineRule="auto"/>
        <w:jc w:val="center"/>
        <w:rPr>
          <w:rFonts w:hint="eastAsia" w:ascii="宋体" w:hAnsi="宋体" w:eastAsia="宋体" w:cs="宋体"/>
          <w:b/>
          <w:color w:val="auto"/>
          <w:sz w:val="22"/>
          <w:szCs w:val="22"/>
          <w:highlight w:val="none"/>
        </w:rPr>
      </w:pPr>
    </w:p>
    <w:p>
      <w:pPr>
        <w:pStyle w:val="4"/>
        <w:bidi w:val="0"/>
        <w:rPr>
          <w:rFonts w:hint="eastAsia" w:ascii="宋体" w:hAnsi="宋体" w:eastAsia="宋体" w:cs="宋体"/>
          <w:b/>
          <w:color w:val="auto"/>
          <w:highlight w:val="none"/>
        </w:rPr>
      </w:pPr>
      <w:bookmarkStart w:id="0" w:name="_Toc6599"/>
      <w:bookmarkStart w:id="1" w:name="_Toc32649"/>
      <w:r>
        <w:rPr>
          <w:rFonts w:hint="eastAsia" w:ascii="宋体" w:hAnsi="宋体" w:eastAsia="宋体" w:cs="宋体"/>
        </w:rPr>
        <w:t>招</w:t>
      </w:r>
      <w:r>
        <w:rPr>
          <w:rFonts w:hint="eastAsia" w:ascii="宋体" w:hAnsi="宋体" w:eastAsia="宋体" w:cs="宋体"/>
          <w:lang w:val="en-US" w:eastAsia="zh-CN"/>
        </w:rPr>
        <w:t xml:space="preserve"> </w:t>
      </w:r>
      <w:r>
        <w:rPr>
          <w:rFonts w:hint="eastAsia" w:ascii="宋体" w:hAnsi="宋体" w:eastAsia="宋体" w:cs="宋体"/>
        </w:rPr>
        <w:t>标</w:t>
      </w:r>
      <w:r>
        <w:rPr>
          <w:rFonts w:hint="eastAsia" w:ascii="宋体" w:hAnsi="宋体" w:eastAsia="宋体" w:cs="宋体"/>
          <w:lang w:val="en-US" w:eastAsia="zh-CN"/>
        </w:rPr>
        <w:t xml:space="preserve"> </w:t>
      </w:r>
      <w:r>
        <w:rPr>
          <w:rFonts w:hint="eastAsia" w:ascii="宋体" w:hAnsi="宋体" w:eastAsia="宋体" w:cs="宋体"/>
        </w:rPr>
        <w:t>公</w:t>
      </w:r>
      <w:r>
        <w:rPr>
          <w:rFonts w:hint="eastAsia" w:ascii="宋体" w:hAnsi="宋体" w:eastAsia="宋体" w:cs="宋体"/>
          <w:lang w:val="en-US" w:eastAsia="zh-CN"/>
        </w:rPr>
        <w:t xml:space="preserve"> </w:t>
      </w:r>
      <w:r>
        <w:rPr>
          <w:rFonts w:hint="eastAsia" w:ascii="宋体" w:hAnsi="宋体" w:eastAsia="宋体" w:cs="宋体"/>
        </w:rPr>
        <w:t>告</w:t>
      </w:r>
      <w:bookmarkEnd w:id="0"/>
      <w:bookmarkEnd w:id="1"/>
    </w:p>
    <w:p>
      <w:pPr>
        <w:tabs>
          <w:tab w:val="left" w:pos="360"/>
        </w:tabs>
        <w:spacing w:line="4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b/>
          <w:bCs/>
          <w:sz w:val="22"/>
          <w:szCs w:val="22"/>
          <w:u w:val="none"/>
        </w:rPr>
      </w:pPr>
      <w:r>
        <w:rPr>
          <w:rFonts w:hint="eastAsia" w:ascii="宋体" w:hAnsi="宋体" w:cs="宋体"/>
          <w:color w:val="auto"/>
          <w:sz w:val="22"/>
          <w:highlight w:val="none"/>
          <w:lang w:eastAsia="zh-CN"/>
        </w:rPr>
        <w:t>血糖仪及信息化管理系统设备租赁费+血糖试纸（</w:t>
      </w:r>
      <w:r>
        <w:rPr>
          <w:rFonts w:hint="eastAsia" w:ascii="宋体" w:hAnsi="宋体" w:cs="宋体"/>
          <w:color w:val="auto"/>
          <w:sz w:val="22"/>
          <w:highlight w:val="none"/>
          <w:lang w:val="en-US" w:eastAsia="zh-CN"/>
        </w:rPr>
        <w:t>采血针</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招标项目的潜在投标人应在浙江政府采购网获取（下载）招标文件，</w:t>
      </w:r>
      <w:r>
        <w:rPr>
          <w:rFonts w:hint="eastAsia" w:ascii="宋体" w:hAnsi="宋体" w:eastAsia="宋体" w:cs="宋体"/>
          <w:color w:val="000000" w:themeColor="text1"/>
          <w:sz w:val="22"/>
          <w:highlight w:val="none"/>
          <w14:textFill>
            <w14:solidFill>
              <w14:schemeClr w14:val="tx1"/>
            </w14:solidFill>
          </w14:textFill>
        </w:rPr>
        <w:t>并于</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ascii="宋体" w:hAnsi="宋体" w:cs="宋体"/>
          <w:color w:val="000000" w:themeColor="text1"/>
          <w:sz w:val="22"/>
          <w:highlight w:val="none"/>
          <w:lang w:val="en-US" w:eastAsia="zh-CN"/>
          <w14:textFill>
            <w14:solidFill>
              <w14:schemeClr w14:val="tx1"/>
            </w14:solidFill>
          </w14:textFill>
        </w:rPr>
        <w:t>12</w:t>
      </w:r>
      <w:r>
        <w:rPr>
          <w:rFonts w:hint="eastAsia" w:ascii="宋体" w:hAnsi="宋体" w:eastAsia="宋体" w:cs="宋体"/>
          <w:color w:val="000000" w:themeColor="text1"/>
          <w:sz w:val="22"/>
          <w:highlight w:val="none"/>
          <w14:textFill>
            <w14:solidFill>
              <w14:schemeClr w14:val="tx1"/>
            </w14:solidFill>
          </w14:textFill>
        </w:rPr>
        <w:t>月</w:t>
      </w:r>
      <w:r>
        <w:rPr>
          <w:rFonts w:hint="eastAsia" w:ascii="宋体" w:hAnsi="宋体" w:cs="宋体"/>
          <w:color w:val="000000" w:themeColor="text1"/>
          <w:sz w:val="22"/>
          <w:highlight w:val="none"/>
          <w:lang w:val="en-US" w:eastAsia="zh-CN"/>
          <w14:textFill>
            <w14:solidFill>
              <w14:schemeClr w14:val="tx1"/>
            </w14:solidFill>
          </w14:textFill>
        </w:rPr>
        <w:t>14</w:t>
      </w:r>
      <w:r>
        <w:rPr>
          <w:rFonts w:hint="eastAsia" w:ascii="宋体" w:hAnsi="宋体" w:eastAsia="宋体" w:cs="宋体"/>
          <w:color w:val="000000" w:themeColor="text1"/>
          <w:sz w:val="22"/>
          <w:highlight w:val="none"/>
          <w14:textFill>
            <w14:solidFill>
              <w14:schemeClr w14:val="tx1"/>
            </w14:solidFill>
          </w14:textFill>
        </w:rPr>
        <w:t>日</w:t>
      </w:r>
      <w:r>
        <w:rPr>
          <w:rFonts w:hint="eastAsia" w:ascii="宋体" w:hAnsi="宋体"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:30（北京时间）前递交（上传）投标文件。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rPr>
        <w:t>一、项目基本情况</w:t>
      </w:r>
      <w:r>
        <w:rPr>
          <w:rFonts w:hint="eastAsia"/>
          <w:sz w:val="22"/>
          <w:szCs w:val="22"/>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项目编号：</w:t>
      </w:r>
      <w:r>
        <w:rPr>
          <w:rFonts w:hint="eastAsia"/>
          <w:sz w:val="22"/>
          <w:szCs w:val="22"/>
          <w:u w:val="none"/>
          <w:lang w:eastAsia="zh-CN"/>
        </w:rPr>
        <w:t>WZLCZB（W）-2022-11575</w:t>
      </w:r>
      <w:r>
        <w:rPr>
          <w:rFonts w:hint="eastAsia"/>
          <w:sz w:val="22"/>
          <w:szCs w:val="22"/>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eastAsia="zh-CN"/>
        </w:rPr>
      </w:pPr>
      <w:r>
        <w:rPr>
          <w:rFonts w:hint="eastAsia"/>
          <w:sz w:val="22"/>
          <w:szCs w:val="22"/>
          <w:u w:val="none"/>
          <w:lang w:val="en-US" w:eastAsia="zh-CN"/>
        </w:rPr>
        <w:t>项目名称：</w:t>
      </w:r>
      <w:r>
        <w:rPr>
          <w:rFonts w:hint="eastAsia"/>
          <w:sz w:val="22"/>
          <w:szCs w:val="22"/>
          <w:u w:val="none"/>
          <w:lang w:eastAsia="zh-CN"/>
        </w:rPr>
        <w:t>血糖仪及信息化管理系统设备租赁费+血糖试纸（</w:t>
      </w:r>
      <w:r>
        <w:rPr>
          <w:rFonts w:hint="eastAsia"/>
          <w:sz w:val="22"/>
          <w:szCs w:val="22"/>
          <w:u w:val="none"/>
          <w:lang w:val="en-US" w:eastAsia="zh-CN"/>
        </w:rPr>
        <w:t>采血针</w:t>
      </w:r>
      <w:r>
        <w:rPr>
          <w:rFonts w:hint="eastAsia"/>
          <w:sz w:val="22"/>
          <w:szCs w:val="22"/>
          <w:u w:val="none"/>
          <w:lang w:eastAsia="zh-CN"/>
        </w:rPr>
        <w:t>）</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ascii="新宋体" w:hAnsi="新宋体" w:eastAsia="新宋体" w:cs="新宋体"/>
          <w:color w:val="000000"/>
          <w:sz w:val="22"/>
          <w:highlight w:val="none"/>
        </w:rPr>
        <w:t>采购需求：</w:t>
      </w:r>
    </w:p>
    <w:tbl>
      <w:tblPr>
        <w:tblStyle w:val="53"/>
        <w:tblW w:w="9500"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971"/>
        <w:gridCol w:w="1162"/>
        <w:gridCol w:w="1825"/>
        <w:gridCol w:w="152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792" w:type="dxa"/>
            <w:noWrap w:val="0"/>
            <w:vAlign w:val="top"/>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序号</w:t>
            </w:r>
          </w:p>
        </w:tc>
        <w:tc>
          <w:tcPr>
            <w:tcW w:w="2971" w:type="dxa"/>
            <w:noWrap w:val="0"/>
            <w:vAlign w:val="top"/>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设备（系统）名称</w:t>
            </w:r>
          </w:p>
        </w:tc>
        <w:tc>
          <w:tcPr>
            <w:tcW w:w="1162" w:type="dxa"/>
            <w:noWrap w:val="0"/>
            <w:vAlign w:val="top"/>
          </w:tcPr>
          <w:p>
            <w:pPr>
              <w:tabs>
                <w:tab w:val="left" w:pos="360"/>
              </w:tabs>
              <w:spacing w:line="460" w:lineRule="exact"/>
              <w:jc w:val="center"/>
              <w:rPr>
                <w:rFonts w:ascii="新宋体" w:hAnsi="新宋体" w:eastAsia="新宋体" w:cs="新宋体"/>
                <w:b/>
                <w:color w:val="000000" w:themeColor="text1"/>
                <w:sz w:val="22"/>
                <w:szCs w:val="22"/>
                <w:highlight w:val="none"/>
                <w14:textFill>
                  <w14:solidFill>
                    <w14:schemeClr w14:val="tx1"/>
                  </w14:solidFill>
                </w14:textFill>
              </w:rPr>
            </w:pPr>
            <w:r>
              <w:rPr>
                <w:rFonts w:hint="eastAsia" w:ascii="新宋体" w:hAnsi="新宋体" w:eastAsia="新宋体" w:cs="新宋体"/>
                <w:b/>
                <w:color w:val="000000" w:themeColor="text1"/>
                <w:sz w:val="22"/>
                <w:szCs w:val="22"/>
                <w:highlight w:val="none"/>
                <w14:textFill>
                  <w14:solidFill>
                    <w14:schemeClr w14:val="tx1"/>
                  </w14:solidFill>
                </w14:textFill>
              </w:rPr>
              <w:t>预算单价</w:t>
            </w:r>
          </w:p>
        </w:tc>
        <w:tc>
          <w:tcPr>
            <w:tcW w:w="1825" w:type="dxa"/>
            <w:noWrap w:val="0"/>
            <w:vAlign w:val="top"/>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数量</w:t>
            </w:r>
          </w:p>
        </w:tc>
        <w:tc>
          <w:tcPr>
            <w:tcW w:w="1525" w:type="dxa"/>
            <w:noWrap w:val="0"/>
            <w:vAlign w:val="top"/>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合价</w:t>
            </w:r>
          </w:p>
        </w:tc>
        <w:tc>
          <w:tcPr>
            <w:tcW w:w="1225" w:type="dxa"/>
            <w:noWrap w:val="0"/>
            <w:vAlign w:val="top"/>
          </w:tcPr>
          <w:p>
            <w:pPr>
              <w:tabs>
                <w:tab w:val="left" w:pos="360"/>
              </w:tabs>
              <w:spacing w:line="460" w:lineRule="exact"/>
              <w:jc w:val="center"/>
              <w:rPr>
                <w:rFonts w:hint="eastAsia" w:ascii="新宋体" w:hAnsi="新宋体" w:eastAsia="新宋体" w:cs="新宋体"/>
                <w:b/>
                <w:color w:val="000000" w:themeColor="text1"/>
                <w:sz w:val="22"/>
                <w:szCs w:val="22"/>
                <w:lang w:val="en-US" w:eastAsia="zh-CN"/>
                <w14:textFill>
                  <w14:solidFill>
                    <w14:schemeClr w14:val="tx1"/>
                  </w14:solidFill>
                </w14:textFill>
              </w:rPr>
            </w:pPr>
            <w:r>
              <w:rPr>
                <w:rFonts w:hint="eastAsia" w:ascii="新宋体" w:hAnsi="新宋体" w:eastAsia="新宋体" w:cs="新宋体"/>
                <w:b/>
                <w:color w:val="000000" w:themeColor="text1"/>
                <w:sz w:val="22"/>
                <w:szCs w:val="22"/>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92" w:type="dxa"/>
            <w:tcBorders>
              <w:bottom w:val="single" w:color="auto" w:sz="4" w:space="0"/>
            </w:tcBorders>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1</w:t>
            </w:r>
          </w:p>
        </w:tc>
        <w:tc>
          <w:tcPr>
            <w:tcW w:w="2971"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14:textFill>
                  <w14:solidFill>
                    <w14:schemeClr w14:val="tx1"/>
                  </w14:solidFill>
                </w14:textFill>
              </w:rPr>
              <w:t>血糖</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仪及</w:t>
            </w:r>
            <w:r>
              <w:rPr>
                <w:rFonts w:hint="eastAsia" w:ascii="新宋体" w:hAnsi="新宋体" w:eastAsia="新宋体" w:cs="新宋体"/>
                <w:b w:val="0"/>
                <w:bCs/>
                <w:color w:val="000000" w:themeColor="text1"/>
                <w:sz w:val="22"/>
                <w:szCs w:val="22"/>
                <w:highlight w:val="none"/>
                <w14:textFill>
                  <w14:solidFill>
                    <w14:schemeClr w14:val="tx1"/>
                  </w14:solidFill>
                </w14:textFill>
              </w:rPr>
              <w:t>信息化管理系统设备租赁费</w:t>
            </w:r>
          </w:p>
        </w:tc>
        <w:tc>
          <w:tcPr>
            <w:tcW w:w="1162" w:type="dxa"/>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5000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c>
          <w:tcPr>
            <w:tcW w:w="1825" w:type="dxa"/>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14:textFill>
                  <w14:solidFill>
                    <w14:schemeClr w14:val="tx1"/>
                  </w14:solidFill>
                </w14:textFill>
              </w:rPr>
              <w:t>1套</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含血糖仪70台</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p>
        </w:tc>
        <w:tc>
          <w:tcPr>
            <w:tcW w:w="1525"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5000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c>
          <w:tcPr>
            <w:tcW w:w="1225" w:type="dxa"/>
            <w:vMerge w:val="restart"/>
            <w:noWrap w:val="0"/>
            <w:vAlign w:val="center"/>
          </w:tcPr>
          <w:p>
            <w:pPr>
              <w:tabs>
                <w:tab w:val="left" w:pos="360"/>
              </w:tabs>
              <w:spacing w:line="460" w:lineRule="exact"/>
              <w:jc w:val="center"/>
              <w:rPr>
                <w:rFonts w:hint="default" w:ascii="新宋体" w:hAnsi="新宋体" w:eastAsia="新宋体" w:cs="新宋体"/>
                <w:b w:val="0"/>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92" w:type="dxa"/>
            <w:tcBorders>
              <w:top w:val="single" w:color="auto" w:sz="4" w:space="0"/>
            </w:tcBorders>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lang w:val="en-US" w:eastAsia="zh-CN"/>
                <w14:textFill>
                  <w14:solidFill>
                    <w14:schemeClr w14:val="tx1"/>
                  </w14:solidFill>
                </w14:textFill>
              </w:rPr>
              <w:t>2</w:t>
            </w:r>
          </w:p>
        </w:tc>
        <w:tc>
          <w:tcPr>
            <w:tcW w:w="2971"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14:textFill>
                  <w14:solidFill>
                    <w14:schemeClr w14:val="tx1"/>
                  </w14:solidFill>
                </w14:textFill>
              </w:rPr>
              <w:t>血糖试纸</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采血针</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p>
        </w:tc>
        <w:tc>
          <w:tcPr>
            <w:tcW w:w="1162" w:type="dxa"/>
            <w:noWrap w:val="0"/>
            <w:vAlign w:val="center"/>
          </w:tcPr>
          <w:p>
            <w:pPr>
              <w:tabs>
                <w:tab w:val="left" w:pos="360"/>
              </w:tabs>
              <w:spacing w:line="460" w:lineRule="exact"/>
              <w:jc w:val="center"/>
              <w:rPr>
                <w:rFonts w:hint="default" w:ascii="新宋体" w:hAnsi="新宋体" w:eastAsia="新宋体" w:cs="新宋体"/>
                <w:b w:val="0"/>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1.6元</w:t>
            </w:r>
          </w:p>
        </w:tc>
        <w:tc>
          <w:tcPr>
            <w:tcW w:w="1825" w:type="dxa"/>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600000</w:t>
            </w:r>
            <w:r>
              <w:rPr>
                <w:rFonts w:hint="eastAsia" w:ascii="新宋体" w:hAnsi="新宋体" w:eastAsia="新宋体" w:cs="新宋体"/>
                <w:b w:val="0"/>
                <w:bCs/>
                <w:color w:val="000000" w:themeColor="text1"/>
                <w:sz w:val="22"/>
                <w:szCs w:val="22"/>
                <w:highlight w:val="none"/>
                <w14:textFill>
                  <w14:solidFill>
                    <w14:schemeClr w14:val="tx1"/>
                  </w14:solidFill>
                </w14:textFill>
              </w:rPr>
              <w:t>片</w:t>
            </w:r>
          </w:p>
        </w:tc>
        <w:tc>
          <w:tcPr>
            <w:tcW w:w="1525"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960000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c>
          <w:tcPr>
            <w:tcW w:w="1225" w:type="dxa"/>
            <w:vMerge w:val="continue"/>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00" w:type="dxa"/>
            <w:gridSpan w:val="6"/>
            <w:noWrap w:val="0"/>
            <w:vAlign w:val="top"/>
          </w:tcPr>
          <w:p>
            <w:pPr>
              <w:tabs>
                <w:tab w:val="left" w:pos="360"/>
              </w:tabs>
              <w:spacing w:line="460" w:lineRule="exact"/>
              <w:rPr>
                <w:rFonts w:hint="eastAsia"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项目总预算为</w:t>
            </w:r>
            <w:r>
              <w:rPr>
                <w:rFonts w:hint="eastAsia" w:ascii="新宋体" w:hAnsi="新宋体" w:eastAsia="新宋体"/>
                <w:b w:val="0"/>
                <w:bCs/>
                <w:color w:val="000000" w:themeColor="text1"/>
                <w:sz w:val="22"/>
                <w:szCs w:val="22"/>
                <w14:textFill>
                  <w14:solidFill>
                    <w14:schemeClr w14:val="tx1"/>
                  </w14:solidFill>
                </w14:textFill>
              </w:rPr>
              <w:t>（¥</w:t>
            </w:r>
            <w:r>
              <w:rPr>
                <w:rFonts w:hint="eastAsia" w:ascii="新宋体" w:hAnsi="新宋体" w:eastAsia="新宋体"/>
                <w:b w:val="0"/>
                <w:bCs/>
                <w:color w:val="000000" w:themeColor="text1"/>
                <w:sz w:val="22"/>
                <w:szCs w:val="22"/>
                <w:lang w:val="en-US" w:eastAsia="zh-CN"/>
                <w14:textFill>
                  <w14:solidFill>
                    <w14:schemeClr w14:val="tx1"/>
                  </w14:solidFill>
                </w14:textFill>
              </w:rPr>
              <w:t>965</w:t>
            </w:r>
            <w:r>
              <w:rPr>
                <w:rFonts w:hint="eastAsia" w:ascii="新宋体" w:hAnsi="新宋体" w:eastAsia="新宋体"/>
                <w:b w:val="0"/>
                <w:bCs/>
                <w:color w:val="000000" w:themeColor="text1"/>
                <w:sz w:val="22"/>
                <w:szCs w:val="22"/>
                <w14:textFill>
                  <w14:solidFill>
                    <w14:schemeClr w14:val="tx1"/>
                  </w14:solidFill>
                </w14:textFill>
              </w:rPr>
              <w:t>000.00元）</w:t>
            </w:r>
          </w:p>
        </w:tc>
      </w:tr>
    </w:tbl>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val="en-US" w:eastAsia="zh-CN"/>
        </w:rPr>
      </w:pPr>
      <w:r>
        <w:rPr>
          <w:rFonts w:hint="eastAsia" w:ascii="宋体" w:hAnsi="宋体" w:eastAsia="宋体" w:cs="宋体"/>
          <w:color w:val="auto"/>
          <w:kern w:val="0"/>
          <w:sz w:val="22"/>
          <w:szCs w:val="22"/>
          <w:highlight w:val="none"/>
        </w:rPr>
        <w:t>简要技术要求、用途</w:t>
      </w:r>
      <w:r>
        <w:rPr>
          <w:rFonts w:hint="eastAsia" w:cs="宋体"/>
          <w:color w:val="auto"/>
          <w:kern w:val="0"/>
          <w:sz w:val="22"/>
          <w:szCs w:val="22"/>
          <w:highlight w:val="none"/>
          <w:lang w:eastAsia="zh-CN"/>
        </w:rPr>
        <w:t>：</w:t>
      </w: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合同履约期限：标项 1，具体详见招标文件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lang w:val="en-US" w:eastAsia="zh-CN"/>
        </w:rPr>
        <w:t>本项目（否）接受联合体投标。</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lang w:val="en-US" w:eastAsia="zh-CN"/>
        </w:rPr>
        <w:t>二、申请人的资格要求：</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1.满足《中华人民共和国政府采购法》第二十二条规定；未被“信用中国”（www.creditchina.gov.cn)、中国政府采购网（www.ccgp.gov.cn）等有关政府曝光台列入失信被执行人、重大税收违法案件当事人名单、政府采购严重违法失信行为记录名单。</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2.落实政府采购政策需满足的资格要求：无 </w:t>
      </w:r>
    </w:p>
    <w:p>
      <w:pPr>
        <w:tabs>
          <w:tab w:val="left" w:pos="360"/>
        </w:tabs>
        <w:spacing w:line="460" w:lineRule="exact"/>
        <w:ind w:firstLine="440" w:firstLineChars="200"/>
        <w:rPr>
          <w:rFonts w:hint="eastAsia"/>
          <w:sz w:val="22"/>
          <w:szCs w:val="22"/>
          <w:u w:val="none"/>
          <w:lang w:val="en-US" w:eastAsia="zh-CN"/>
        </w:rPr>
      </w:pPr>
      <w:r>
        <w:rPr>
          <w:rFonts w:hint="eastAsia"/>
          <w:sz w:val="22"/>
          <w:szCs w:val="22"/>
          <w:u w:val="none"/>
          <w:lang w:val="en-US" w:eastAsia="zh-CN"/>
        </w:rPr>
        <w:t>3.本项目的特定资格要求：</w:t>
      </w:r>
      <w:r>
        <w:rPr>
          <w:rFonts w:hint="eastAsia" w:ascii="Times New Roman" w:hAnsi="Times New Roman" w:eastAsia="新宋体"/>
          <w:sz w:val="22"/>
          <w:szCs w:val="22"/>
          <w:lang w:val="en-US" w:eastAsia="zh-CN"/>
        </w:rPr>
        <w:t>①</w:t>
      </w:r>
      <w:r>
        <w:rPr>
          <w:rFonts w:ascii="Times New Roman" w:hAnsi="Times New Roman" w:eastAsia="新宋体"/>
          <w:sz w:val="22"/>
          <w:szCs w:val="22"/>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r>
        <w:rPr>
          <w:rFonts w:hint="eastAsia" w:ascii="Times New Roman" w:hAnsi="Times New Roman" w:eastAsia="新宋体"/>
          <w:sz w:val="22"/>
          <w:szCs w:val="22"/>
          <w:lang w:val="en-US" w:eastAsia="zh-CN"/>
        </w:rPr>
        <w:t>②</w:t>
      </w:r>
      <w:r>
        <w:rPr>
          <w:rFonts w:ascii="Times New Roman" w:hAnsi="Times New Roman" w:eastAsia="新宋体"/>
          <w:sz w:val="22"/>
          <w:szCs w:val="22"/>
        </w:rPr>
        <w:t>提供食品药品监督管理部门核发的完整有效的医疗器械注册或备案证明；（适用于按医疗器械管理的设备）</w:t>
      </w:r>
      <w:r>
        <w:rPr>
          <w:rFonts w:hint="eastAsia" w:ascii="Times New Roman" w:hAnsi="Times New Roman" w:eastAsia="新宋体"/>
          <w:sz w:val="22"/>
          <w:szCs w:val="22"/>
          <w:lang w:val="en-US" w:eastAsia="zh-CN"/>
        </w:rPr>
        <w:t>③</w:t>
      </w:r>
      <w:r>
        <w:rPr>
          <w:rFonts w:ascii="Times New Roman" w:hAnsi="Times New Roman" w:eastAsia="新宋体"/>
          <w:sz w:val="22"/>
          <w:szCs w:val="22"/>
        </w:rPr>
        <w:t>货物制造商或其它有销售资格（提供证明材料）的供应商出具的授权书（适用于投标人是进口货物代理商的情形）；</w:t>
      </w:r>
      <w:r>
        <w:rPr>
          <w:rFonts w:hint="eastAsia"/>
          <w:sz w:val="22"/>
          <w:szCs w:val="22"/>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三、获取招标文件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时间：</w:t>
      </w:r>
      <w:r>
        <w:rPr>
          <w:rFonts w:hint="eastAsia" w:cs="宋体"/>
          <w:color w:val="000000" w:themeColor="text1"/>
          <w:sz w:val="22"/>
          <w:highlight w:val="none"/>
          <w:lang w:val="en-US" w:eastAsia="zh-CN"/>
          <w14:textFill>
            <w14:solidFill>
              <w14:schemeClr w14:val="tx1"/>
            </w14:solidFill>
          </w14:textFill>
        </w:rPr>
        <w:t>2022年11月23日</w:t>
      </w:r>
      <w:r>
        <w:rPr>
          <w:rFonts w:hint="eastAsia"/>
          <w:sz w:val="22"/>
          <w:szCs w:val="22"/>
          <w:u w:val="none"/>
        </w:rPr>
        <w:t>至</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cs="宋体"/>
          <w:color w:val="000000" w:themeColor="text1"/>
          <w:sz w:val="22"/>
          <w:highlight w:val="none"/>
          <w:lang w:val="en-US" w:eastAsia="zh-CN"/>
          <w14:textFill>
            <w14:solidFill>
              <w14:schemeClr w14:val="tx1"/>
            </w14:solidFill>
          </w14:textFill>
        </w:rPr>
        <w:t>12</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14</w:t>
      </w:r>
      <w:r>
        <w:rPr>
          <w:rFonts w:hint="eastAsia" w:ascii="宋体" w:hAnsi="宋体" w:eastAsia="宋体" w:cs="宋体"/>
          <w:color w:val="000000" w:themeColor="text1"/>
          <w:sz w:val="22"/>
          <w:highlight w:val="none"/>
          <w14:textFill>
            <w14:solidFill>
              <w14:schemeClr w14:val="tx1"/>
            </w14:solidFill>
          </w14:textFill>
        </w:rPr>
        <w:t>日</w:t>
      </w:r>
      <w:r>
        <w:rPr>
          <w:rFonts w:hint="eastAsia"/>
          <w:sz w:val="22"/>
          <w:szCs w:val="22"/>
          <w:u w:val="none"/>
        </w:rPr>
        <w:t>，每天上午00:00至12:00，下午12:00至23:59（北京时间，线上获取法定节假日均可，线下获取文件法定节假日除外）</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地点（网址）：浙江政府采购网（https://zfcg.czt.zj.gov.cn/）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方式：供应商登录政采云平台https://www.zcygov.cn/在线申请获取采购文件（进入“项目采购”应用，在获取采购文件菜单中选择项目，申请获取采购文件）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售价（元）：0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四、提交投标文件截止时间、开标时间和地点</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提交投标文件截止时间：</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cs="宋体"/>
          <w:color w:val="000000" w:themeColor="text1"/>
          <w:sz w:val="22"/>
          <w:highlight w:val="none"/>
          <w:lang w:val="en-US" w:eastAsia="zh-CN"/>
          <w14:textFill>
            <w14:solidFill>
              <w14:schemeClr w14:val="tx1"/>
            </w14:solidFill>
          </w14:textFill>
        </w:rPr>
        <w:t>12</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14</w:t>
      </w:r>
      <w:r>
        <w:rPr>
          <w:rFonts w:hint="eastAsia" w:ascii="宋体" w:hAnsi="宋体" w:eastAsia="宋体" w:cs="宋体"/>
          <w:color w:val="000000" w:themeColor="text1"/>
          <w:sz w:val="22"/>
          <w:highlight w:val="none"/>
          <w14:textFill>
            <w14:solidFill>
              <w14:schemeClr w14:val="tx1"/>
            </w14:solidFill>
          </w14:textFill>
        </w:rPr>
        <w:t>日</w:t>
      </w:r>
      <w:r>
        <w:rPr>
          <w:rFonts w:hint="eastAsia"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:30</w:t>
      </w:r>
      <w:r>
        <w:rPr>
          <w:rFonts w:hint="eastAsia"/>
          <w:sz w:val="22"/>
          <w:szCs w:val="22"/>
          <w:u w:val="none"/>
        </w:rPr>
        <w:t>（北京时间）</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投标地点（网址）：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开标时间：</w:t>
      </w:r>
      <w:r>
        <w:rPr>
          <w:rFonts w:hint="eastAsia" w:ascii="宋体" w:hAnsi="宋体" w:cs="宋体"/>
          <w:color w:val="000000" w:themeColor="text1"/>
          <w:sz w:val="22"/>
          <w:highlight w:val="none"/>
          <w:lang w:eastAsia="zh-CN"/>
          <w14:textFill>
            <w14:solidFill>
              <w14:schemeClr w14:val="tx1"/>
            </w14:solidFill>
          </w14:textFill>
        </w:rPr>
        <w:t>2022年</w:t>
      </w:r>
      <w:r>
        <w:rPr>
          <w:rFonts w:hint="eastAsia" w:cs="宋体"/>
          <w:color w:val="000000" w:themeColor="text1"/>
          <w:sz w:val="22"/>
          <w:highlight w:val="none"/>
          <w:lang w:val="en-US" w:eastAsia="zh-CN"/>
          <w14:textFill>
            <w14:solidFill>
              <w14:schemeClr w14:val="tx1"/>
            </w14:solidFill>
          </w14:textFill>
        </w:rPr>
        <w:t>12</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14</w:t>
      </w:r>
      <w:r>
        <w:rPr>
          <w:rFonts w:hint="eastAsia" w:ascii="宋体" w:hAnsi="宋体" w:eastAsia="宋体" w:cs="宋体"/>
          <w:color w:val="000000" w:themeColor="text1"/>
          <w:sz w:val="22"/>
          <w:highlight w:val="none"/>
          <w14:textFill>
            <w14:solidFill>
              <w14:schemeClr w14:val="tx1"/>
            </w14:solidFill>
          </w14:textFill>
        </w:rPr>
        <w:t>日</w:t>
      </w:r>
      <w:r>
        <w:rPr>
          <w:rFonts w:hint="eastAsia"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:30</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b/>
          <w:bCs/>
          <w:sz w:val="22"/>
          <w:szCs w:val="22"/>
          <w:u w:val="none"/>
        </w:rPr>
        <w:t>五、公告期限</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自本公告发布之日起5个工作日。</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六、其他补充事宜</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1.采购人信息</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eastAsia="zh-CN"/>
        </w:rPr>
      </w:pPr>
      <w:r>
        <w:rPr>
          <w:rFonts w:hint="eastAsia"/>
          <w:sz w:val="22"/>
          <w:szCs w:val="22"/>
          <w:u w:val="none"/>
        </w:rPr>
        <w:t>名  称：</w:t>
      </w:r>
      <w:r>
        <w:rPr>
          <w:rFonts w:hint="eastAsia"/>
          <w:sz w:val="22"/>
          <w:szCs w:val="22"/>
          <w:u w:val="none"/>
          <w:lang w:eastAsia="zh-CN"/>
        </w:rPr>
        <w:t>温州市中医院</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  址：</w:t>
      </w:r>
      <w:r>
        <w:rPr>
          <w:rFonts w:hint="eastAsia" w:ascii="宋体" w:hAnsi="宋体" w:eastAsia="宋体" w:cs="宋体"/>
          <w:i w:val="0"/>
          <w:iCs w:val="0"/>
          <w:caps w:val="0"/>
          <w:spacing w:val="0"/>
          <w:sz w:val="22"/>
          <w:szCs w:val="22"/>
          <w:shd w:val="clear" w:fill="FFFFFF"/>
        </w:rPr>
        <w:t>温州市六虹桥蛟尾路9号</w:t>
      </w:r>
      <w:r>
        <w:rPr>
          <w:rFonts w:hint="eastAsia"/>
          <w:sz w:val="22"/>
          <w:szCs w:val="22"/>
          <w:u w:val="none"/>
        </w:rPr>
        <w:t xml:space="preserve">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传  真：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项目联系人（询问）：</w:t>
      </w:r>
      <w:r>
        <w:rPr>
          <w:rFonts w:hint="eastAsia" w:cs="宋体"/>
          <w:i w:val="0"/>
          <w:iCs w:val="0"/>
          <w:caps w:val="0"/>
          <w:spacing w:val="0"/>
          <w:sz w:val="22"/>
          <w:szCs w:val="22"/>
          <w:shd w:val="clear" w:fill="FFFFFF"/>
          <w:lang w:val="en-US" w:eastAsia="zh-CN"/>
        </w:rPr>
        <w:t>徐</w:t>
      </w:r>
      <w:r>
        <w:rPr>
          <w:rFonts w:hint="eastAsia" w:ascii="宋体" w:hAnsi="宋体" w:eastAsia="宋体" w:cs="宋体"/>
          <w:i w:val="0"/>
          <w:iCs w:val="0"/>
          <w:caps w:val="0"/>
          <w:spacing w:val="0"/>
          <w:sz w:val="22"/>
          <w:szCs w:val="22"/>
          <w:shd w:val="clear" w:fill="FFFFFF"/>
        </w:rPr>
        <w:t>先生</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项目联系方式（询问）：0577-56671591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sz w:val="22"/>
          <w:szCs w:val="22"/>
          <w:u w:val="none"/>
        </w:rPr>
        <w:t>  2.采购代理机构信息</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名  称：</w:t>
      </w:r>
      <w:r>
        <w:rPr>
          <w:rFonts w:hint="eastAsia"/>
          <w:sz w:val="22"/>
          <w:szCs w:val="22"/>
          <w:u w:val="none"/>
          <w:lang w:val="en-US" w:eastAsia="zh-CN"/>
        </w:rPr>
        <w:t>温州历程招标有限公司</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  址：</w:t>
      </w:r>
      <w:r>
        <w:rPr>
          <w:rFonts w:hint="eastAsia"/>
          <w:sz w:val="22"/>
          <w:szCs w:val="22"/>
          <w:lang w:eastAsia="zh-CN"/>
        </w:rPr>
        <w:t>温州市鹿城区学院中路229号三想集团5楼</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 xml:space="preserve">传  真：0577-89887255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项目联系人（询问）： 郑永强、温碧霞</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项目联系方式（询问）：0577-89887322、13757727199</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sz w:val="22"/>
          <w:szCs w:val="22"/>
          <w:u w:val="none"/>
          <w:lang w:val="en-US" w:eastAsia="zh-CN"/>
        </w:rPr>
      </w:pPr>
      <w:r>
        <w:rPr>
          <w:rFonts w:hint="eastAsia"/>
          <w:sz w:val="22"/>
          <w:szCs w:val="22"/>
          <w:u w:val="none"/>
        </w:rPr>
        <w:t>质疑联系人：</w:t>
      </w:r>
      <w:r>
        <w:rPr>
          <w:rFonts w:hint="eastAsia"/>
          <w:sz w:val="22"/>
          <w:szCs w:val="22"/>
          <w:u w:val="none"/>
          <w:lang w:val="en-US" w:eastAsia="zh-CN"/>
        </w:rPr>
        <w:t>肖忠文</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质疑联系方式：13757727199 </w:t>
      </w:r>
    </w:p>
    <w:p>
      <w:pPr>
        <w:numPr>
          <w:ilvl w:val="0"/>
          <w:numId w:val="4"/>
        </w:numPr>
        <w:tabs>
          <w:tab w:val="left" w:pos="360"/>
          <w:tab w:val="clear" w:pos="312"/>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同级采购监督管理部门</w:t>
      </w:r>
    </w:p>
    <w:p>
      <w:pPr>
        <w:numPr>
          <w:ilvl w:val="0"/>
          <w:numId w:val="0"/>
        </w:numPr>
        <w:tabs>
          <w:tab w:val="left" w:pos="360"/>
        </w:tabs>
        <w:spacing w:line="460" w:lineRule="exact"/>
        <w:ind w:firstLine="440" w:firstLineChars="200"/>
        <w:rPr>
          <w:rFonts w:hint="eastAsia"/>
          <w:color w:val="auto"/>
          <w:sz w:val="22"/>
          <w:szCs w:val="22"/>
          <w:highlight w:val="none"/>
        </w:rPr>
      </w:pPr>
      <w:r>
        <w:rPr>
          <w:rFonts w:hint="eastAsia"/>
          <w:color w:val="auto"/>
          <w:sz w:val="22"/>
          <w:szCs w:val="22"/>
          <w:highlight w:val="none"/>
        </w:rPr>
        <w:t>名   称：温州市卫生健康委员会</w:t>
      </w:r>
    </w:p>
    <w:p>
      <w:pPr>
        <w:pStyle w:val="48"/>
        <w:shd w:val="clear" w:color="auto" w:fill="auto"/>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lang w:val="en-US" w:eastAsia="zh-CN"/>
        </w:rPr>
        <w:t>地   址：</w:t>
      </w:r>
      <w:r>
        <w:rPr>
          <w:rFonts w:hint="eastAsia"/>
          <w:color w:val="auto"/>
          <w:sz w:val="22"/>
          <w:highlight w:val="none"/>
          <w:lang w:val="en-US" w:eastAsia="zh-CN"/>
        </w:rPr>
        <w:t>温州市市府路490号市行政中心18号楼7楼717室</w:t>
      </w:r>
      <w:r>
        <w:rPr>
          <w:rFonts w:hint="eastAsia"/>
          <w:color w:val="auto"/>
          <w:sz w:val="22"/>
          <w:szCs w:val="22"/>
          <w:highlight w:val="none"/>
        </w:rPr>
        <w:t xml:space="preserve">       </w:t>
      </w:r>
    </w:p>
    <w:p>
      <w:pPr>
        <w:pStyle w:val="48"/>
        <w:shd w:val="clear" w:color="auto" w:fill="auto"/>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联系人 ：王先生</w:t>
      </w:r>
    </w:p>
    <w:p>
      <w:pPr>
        <w:shd w:val="clear" w:color="auto" w:fill="auto"/>
        <w:spacing w:line="420" w:lineRule="exact"/>
        <w:ind w:firstLine="440" w:firstLineChars="200"/>
        <w:rPr>
          <w:rFonts w:ascii="新宋体" w:hAnsi="新宋体" w:eastAsia="新宋体" w:cs="新宋体"/>
          <w:color w:val="auto"/>
          <w:sz w:val="22"/>
          <w:highlight w:val="none"/>
        </w:rPr>
      </w:pPr>
      <w:r>
        <w:rPr>
          <w:rFonts w:hint="eastAsia"/>
          <w:color w:val="auto"/>
          <w:sz w:val="22"/>
          <w:szCs w:val="22"/>
          <w:highlight w:val="none"/>
        </w:rPr>
        <w:t>监督投诉电话：</w:t>
      </w:r>
      <w:r>
        <w:rPr>
          <w:rFonts w:ascii="新宋体" w:hAnsi="新宋体" w:eastAsia="新宋体"/>
          <w:color w:val="auto"/>
          <w:sz w:val="22"/>
          <w:highlight w:val="none"/>
        </w:rPr>
        <w:t>0577-</w:t>
      </w:r>
      <w:r>
        <w:rPr>
          <w:rFonts w:hint="eastAsia" w:ascii="新宋体" w:hAnsi="新宋体" w:eastAsia="新宋体"/>
          <w:color w:val="auto"/>
          <w:sz w:val="22"/>
          <w:highlight w:val="none"/>
        </w:rPr>
        <w:t>88580125</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p>
      <w:pPr>
        <w:rPr>
          <w:rFonts w:hint="eastAsia" w:ascii="宋体" w:hAnsi="宋体" w:eastAsia="宋体" w:cs="宋体"/>
        </w:rPr>
      </w:pPr>
      <w:bookmarkStart w:id="2" w:name="_Toc5772"/>
      <w:bookmarkStart w:id="3" w:name="_Toc10401"/>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6224"/>
      <w:bookmarkStart w:id="5" w:name="_Toc33194387"/>
      <w:bookmarkStart w:id="6" w:name="_Toc1839"/>
      <w:bookmarkStart w:id="7" w:name="_Toc354996695"/>
      <w:bookmarkStart w:id="8" w:name="_Toc233618971"/>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9"/>
        <w:gridCol w:w="9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条款</w:t>
            </w:r>
          </w:p>
        </w:tc>
        <w:tc>
          <w:tcPr>
            <w:tcW w:w="9676"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676"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血糖仪及信息化管理系统设备租赁费+血糖试纸（</w:t>
            </w:r>
            <w:r>
              <w:rPr>
                <w:rFonts w:hint="eastAsia" w:ascii="宋体" w:hAnsi="宋体" w:cs="宋体"/>
                <w:color w:val="auto"/>
                <w:sz w:val="22"/>
                <w:szCs w:val="22"/>
                <w:highlight w:val="none"/>
                <w:lang w:val="en-US" w:eastAsia="zh-CN"/>
              </w:rPr>
              <w:t>采血针</w:t>
            </w:r>
            <w:r>
              <w:rPr>
                <w:rFonts w:hint="eastAsia" w:ascii="宋体" w:hAnsi="宋体" w:cs="宋体"/>
                <w:color w:val="auto"/>
                <w:sz w:val="22"/>
                <w:szCs w:val="22"/>
                <w:highlight w:val="none"/>
                <w:lang w:eastAsia="zh-CN"/>
              </w:rPr>
              <w:t>）</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3"/>
              <w:tblW w:w="9475"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87"/>
              <w:gridCol w:w="1200"/>
              <w:gridCol w:w="1600"/>
              <w:gridCol w:w="148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800" w:type="dxa"/>
                  <w:noWrap w:val="0"/>
                  <w:vAlign w:val="top"/>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序号</w:t>
                  </w:r>
                </w:p>
              </w:tc>
              <w:tc>
                <w:tcPr>
                  <w:tcW w:w="3187" w:type="dxa"/>
                  <w:noWrap w:val="0"/>
                  <w:vAlign w:val="top"/>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设备（系统）名称</w:t>
                  </w:r>
                </w:p>
              </w:tc>
              <w:tc>
                <w:tcPr>
                  <w:tcW w:w="1200" w:type="dxa"/>
                  <w:noWrap w:val="0"/>
                  <w:vAlign w:val="top"/>
                </w:tcPr>
                <w:p>
                  <w:pPr>
                    <w:tabs>
                      <w:tab w:val="left" w:pos="360"/>
                    </w:tabs>
                    <w:spacing w:line="460" w:lineRule="exact"/>
                    <w:jc w:val="center"/>
                    <w:rPr>
                      <w:rFonts w:ascii="新宋体" w:hAnsi="新宋体" w:eastAsia="新宋体" w:cs="新宋体"/>
                      <w:b/>
                      <w:color w:val="000000" w:themeColor="text1"/>
                      <w:sz w:val="22"/>
                      <w:szCs w:val="22"/>
                      <w:highlight w:val="none"/>
                      <w14:textFill>
                        <w14:solidFill>
                          <w14:schemeClr w14:val="tx1"/>
                        </w14:solidFill>
                      </w14:textFill>
                    </w:rPr>
                  </w:pPr>
                  <w:r>
                    <w:rPr>
                      <w:rFonts w:hint="eastAsia" w:ascii="新宋体" w:hAnsi="新宋体" w:eastAsia="新宋体" w:cs="新宋体"/>
                      <w:b/>
                      <w:color w:val="000000" w:themeColor="text1"/>
                      <w:sz w:val="22"/>
                      <w:szCs w:val="22"/>
                      <w:highlight w:val="none"/>
                      <w14:textFill>
                        <w14:solidFill>
                          <w14:schemeClr w14:val="tx1"/>
                        </w14:solidFill>
                      </w14:textFill>
                    </w:rPr>
                    <w:t>预算单价</w:t>
                  </w:r>
                </w:p>
              </w:tc>
              <w:tc>
                <w:tcPr>
                  <w:tcW w:w="1600" w:type="dxa"/>
                  <w:noWrap w:val="0"/>
                  <w:vAlign w:val="top"/>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数量</w:t>
                  </w:r>
                </w:p>
              </w:tc>
              <w:tc>
                <w:tcPr>
                  <w:tcW w:w="1488" w:type="dxa"/>
                  <w:noWrap w:val="0"/>
                  <w:vAlign w:val="top"/>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合价</w:t>
                  </w:r>
                </w:p>
              </w:tc>
              <w:tc>
                <w:tcPr>
                  <w:tcW w:w="1200" w:type="dxa"/>
                  <w:noWrap w:val="0"/>
                  <w:vAlign w:val="top"/>
                </w:tcPr>
                <w:p>
                  <w:pPr>
                    <w:tabs>
                      <w:tab w:val="left" w:pos="360"/>
                    </w:tabs>
                    <w:spacing w:line="460" w:lineRule="exact"/>
                    <w:jc w:val="center"/>
                    <w:rPr>
                      <w:rFonts w:hint="eastAsia" w:ascii="新宋体" w:hAnsi="新宋体" w:eastAsia="新宋体" w:cs="新宋体"/>
                      <w:b/>
                      <w:color w:val="000000" w:themeColor="text1"/>
                      <w:sz w:val="22"/>
                      <w:szCs w:val="22"/>
                      <w:lang w:val="en-US" w:eastAsia="zh-CN"/>
                      <w14:textFill>
                        <w14:solidFill>
                          <w14:schemeClr w14:val="tx1"/>
                        </w14:solidFill>
                      </w14:textFill>
                    </w:rPr>
                  </w:pPr>
                  <w:r>
                    <w:rPr>
                      <w:rFonts w:hint="eastAsia" w:ascii="新宋体" w:hAnsi="新宋体" w:eastAsia="新宋体" w:cs="新宋体"/>
                      <w:b/>
                      <w:color w:val="000000" w:themeColor="text1"/>
                      <w:sz w:val="22"/>
                      <w:szCs w:val="22"/>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0" w:type="dxa"/>
                  <w:tcBorders>
                    <w:bottom w:val="single" w:color="auto" w:sz="4" w:space="0"/>
                  </w:tcBorders>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1</w:t>
                  </w:r>
                </w:p>
              </w:tc>
              <w:tc>
                <w:tcPr>
                  <w:tcW w:w="3187"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血糖</w:t>
                  </w:r>
                  <w:r>
                    <w:rPr>
                      <w:rFonts w:hint="eastAsia" w:ascii="新宋体" w:hAnsi="新宋体" w:eastAsia="新宋体" w:cs="新宋体"/>
                      <w:b w:val="0"/>
                      <w:bCs/>
                      <w:color w:val="000000" w:themeColor="text1"/>
                      <w:sz w:val="22"/>
                      <w:szCs w:val="22"/>
                      <w:lang w:eastAsia="zh-CN"/>
                      <w14:textFill>
                        <w14:solidFill>
                          <w14:schemeClr w14:val="tx1"/>
                        </w14:solidFill>
                      </w14:textFill>
                    </w:rPr>
                    <w:t>仪及</w:t>
                  </w:r>
                  <w:r>
                    <w:rPr>
                      <w:rFonts w:hint="eastAsia" w:ascii="新宋体" w:hAnsi="新宋体" w:eastAsia="新宋体" w:cs="新宋体"/>
                      <w:b w:val="0"/>
                      <w:bCs/>
                      <w:color w:val="000000" w:themeColor="text1"/>
                      <w:sz w:val="22"/>
                      <w:szCs w:val="22"/>
                      <w14:textFill>
                        <w14:solidFill>
                          <w14:schemeClr w14:val="tx1"/>
                        </w14:solidFill>
                      </w14:textFill>
                    </w:rPr>
                    <w:t>信息化管理系统设备租赁费</w:t>
                  </w:r>
                </w:p>
              </w:tc>
              <w:tc>
                <w:tcPr>
                  <w:tcW w:w="1200" w:type="dxa"/>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5000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c>
                <w:tcPr>
                  <w:tcW w:w="1600" w:type="dxa"/>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highlight w:val="none"/>
                      <w14:textFill>
                        <w14:solidFill>
                          <w14:schemeClr w14:val="tx1"/>
                        </w14:solidFill>
                      </w14:textFill>
                    </w:rPr>
                    <w:t>1套</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含血糖仪70台</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p>
              </w:tc>
              <w:tc>
                <w:tcPr>
                  <w:tcW w:w="1488"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5000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c>
                <w:tcPr>
                  <w:tcW w:w="1200" w:type="dxa"/>
                  <w:vMerge w:val="restart"/>
                  <w:noWrap w:val="0"/>
                  <w:vAlign w:val="center"/>
                </w:tcPr>
                <w:p>
                  <w:pPr>
                    <w:tabs>
                      <w:tab w:val="left" w:pos="360"/>
                    </w:tabs>
                    <w:spacing w:line="460" w:lineRule="exact"/>
                    <w:jc w:val="center"/>
                    <w:rPr>
                      <w:rFonts w:hint="default" w:ascii="新宋体" w:hAnsi="新宋体" w:eastAsia="新宋体" w:cs="新宋体"/>
                      <w:b w:val="0"/>
                      <w:bCs/>
                      <w:color w:val="000000" w:themeColor="text1"/>
                      <w:sz w:val="22"/>
                      <w:szCs w:val="22"/>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lang w:val="en-US" w:eastAsia="zh-CN"/>
                      <w14:textFill>
                        <w14:solidFill>
                          <w14:schemeClr w14:val="tx1"/>
                        </w14:solidFill>
                      </w14:textFill>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0" w:type="dxa"/>
                  <w:tcBorders>
                    <w:top w:val="single" w:color="auto" w:sz="4" w:space="0"/>
                  </w:tcBorders>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lang w:val="en-US" w:eastAsia="zh-CN"/>
                      <w14:textFill>
                        <w14:solidFill>
                          <w14:schemeClr w14:val="tx1"/>
                        </w14:solidFill>
                      </w14:textFill>
                    </w:rPr>
                    <w:t>2</w:t>
                  </w:r>
                </w:p>
              </w:tc>
              <w:tc>
                <w:tcPr>
                  <w:tcW w:w="3187"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yellow"/>
                      <w:lang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14:textFill>
                        <w14:solidFill>
                          <w14:schemeClr w14:val="tx1"/>
                        </w14:solidFill>
                      </w14:textFill>
                    </w:rPr>
                    <w:t>血糖试纸</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采血针</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p>
              </w:tc>
              <w:tc>
                <w:tcPr>
                  <w:tcW w:w="1200" w:type="dxa"/>
                  <w:noWrap w:val="0"/>
                  <w:vAlign w:val="center"/>
                </w:tcPr>
                <w:p>
                  <w:pPr>
                    <w:tabs>
                      <w:tab w:val="left" w:pos="360"/>
                    </w:tabs>
                    <w:spacing w:line="460" w:lineRule="exact"/>
                    <w:jc w:val="center"/>
                    <w:rPr>
                      <w:rFonts w:hint="default" w:ascii="新宋体" w:hAnsi="新宋体" w:eastAsia="新宋体" w:cs="新宋体"/>
                      <w:b w:val="0"/>
                      <w:bCs/>
                      <w:color w:val="000000" w:themeColor="text1"/>
                      <w:sz w:val="22"/>
                      <w:szCs w:val="22"/>
                      <w:highlight w:val="yellow"/>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1.6元</w:t>
                  </w:r>
                </w:p>
              </w:tc>
              <w:tc>
                <w:tcPr>
                  <w:tcW w:w="1600" w:type="dxa"/>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highlight w:val="yellow"/>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600000</w:t>
                  </w:r>
                  <w:r>
                    <w:rPr>
                      <w:rFonts w:hint="eastAsia" w:ascii="新宋体" w:hAnsi="新宋体" w:eastAsia="新宋体" w:cs="新宋体"/>
                      <w:b w:val="0"/>
                      <w:bCs/>
                      <w:color w:val="000000" w:themeColor="text1"/>
                      <w:sz w:val="22"/>
                      <w:szCs w:val="22"/>
                      <w:highlight w:val="none"/>
                      <w14:textFill>
                        <w14:solidFill>
                          <w14:schemeClr w14:val="tx1"/>
                        </w14:solidFill>
                      </w14:textFill>
                    </w:rPr>
                    <w:t>片</w:t>
                  </w:r>
                </w:p>
              </w:tc>
              <w:tc>
                <w:tcPr>
                  <w:tcW w:w="1488"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yellow"/>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960000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c>
                <w:tcPr>
                  <w:tcW w:w="1200" w:type="dxa"/>
                  <w:vMerge w:val="continue"/>
                  <w:noWrap w:val="0"/>
                  <w:vAlign w:val="top"/>
                </w:tcPr>
                <w:p>
                  <w:pPr>
                    <w:tabs>
                      <w:tab w:val="left" w:pos="360"/>
                    </w:tabs>
                    <w:spacing w:line="460" w:lineRule="exact"/>
                    <w:jc w:val="center"/>
                    <w:rPr>
                      <w:rFonts w:hint="eastAsia" w:ascii="新宋体" w:hAnsi="新宋体" w:eastAsia="新宋体" w:cs="新宋体"/>
                      <w:b w:val="0"/>
                      <w:bCs/>
                      <w:color w:val="000000" w:themeColor="text1"/>
                      <w:sz w:val="22"/>
                      <w:szCs w:val="22"/>
                      <w:highlight w:val="yellow"/>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475" w:type="dxa"/>
                  <w:gridSpan w:val="6"/>
                  <w:noWrap w:val="0"/>
                  <w:vAlign w:val="top"/>
                </w:tcPr>
                <w:p>
                  <w:pPr>
                    <w:tabs>
                      <w:tab w:val="left" w:pos="360"/>
                    </w:tabs>
                    <w:spacing w:line="460" w:lineRule="exact"/>
                    <w:rPr>
                      <w:rFonts w:hint="eastAsia"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项目总预算为</w:t>
                  </w:r>
                  <w:r>
                    <w:rPr>
                      <w:rFonts w:hint="eastAsia" w:ascii="新宋体" w:hAnsi="新宋体" w:eastAsia="新宋体"/>
                      <w:b w:val="0"/>
                      <w:bCs/>
                      <w:color w:val="000000" w:themeColor="text1"/>
                      <w:sz w:val="22"/>
                      <w:szCs w:val="22"/>
                      <w14:textFill>
                        <w14:solidFill>
                          <w14:schemeClr w14:val="tx1"/>
                        </w14:solidFill>
                      </w14:textFill>
                    </w:rPr>
                    <w:t>（¥</w:t>
                  </w:r>
                  <w:r>
                    <w:rPr>
                      <w:rFonts w:hint="eastAsia" w:ascii="新宋体" w:hAnsi="新宋体" w:eastAsia="新宋体"/>
                      <w:b w:val="0"/>
                      <w:bCs/>
                      <w:color w:val="000000" w:themeColor="text1"/>
                      <w:sz w:val="22"/>
                      <w:szCs w:val="22"/>
                      <w:lang w:val="en-US" w:eastAsia="zh-CN"/>
                      <w14:textFill>
                        <w14:solidFill>
                          <w14:schemeClr w14:val="tx1"/>
                        </w14:solidFill>
                      </w14:textFill>
                    </w:rPr>
                    <w:t>965</w:t>
                  </w:r>
                  <w:r>
                    <w:rPr>
                      <w:rFonts w:hint="eastAsia" w:ascii="新宋体" w:hAnsi="新宋体" w:eastAsia="新宋体"/>
                      <w:b w:val="0"/>
                      <w:bCs/>
                      <w:color w:val="000000" w:themeColor="text1"/>
                      <w:sz w:val="22"/>
                      <w:szCs w:val="22"/>
                      <w14:textFill>
                        <w14:solidFill>
                          <w14:schemeClr w14:val="tx1"/>
                        </w14:solidFill>
                      </w14:textFill>
                    </w:rPr>
                    <w:t>000.00元）</w:t>
                  </w:r>
                </w:p>
              </w:tc>
            </w:tr>
          </w:tbl>
          <w:p>
            <w:pPr>
              <w:tabs>
                <w:tab w:val="left" w:pos="360"/>
              </w:tabs>
              <w:spacing w:line="460" w:lineRule="exact"/>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w:t>
            </w:r>
            <w:r>
              <w:rPr>
                <w:rFonts w:hint="eastAsia" w:ascii="宋体" w:hAnsi="宋体" w:cs="宋体"/>
                <w:b/>
                <w:color w:val="auto"/>
                <w:sz w:val="22"/>
                <w:szCs w:val="22"/>
                <w:highlight w:val="none"/>
                <w:lang w:val="en-US" w:eastAsia="zh-CN"/>
              </w:rPr>
              <w:t>或单价限价</w:t>
            </w:r>
            <w:r>
              <w:rPr>
                <w:rFonts w:hint="eastAsia" w:ascii="宋体" w:hAnsi="宋体" w:eastAsia="宋体" w:cs="宋体"/>
                <w:b/>
                <w:color w:val="auto"/>
                <w:sz w:val="22"/>
                <w:szCs w:val="22"/>
                <w:highlight w:val="none"/>
              </w:rPr>
              <w:t>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招标服务费：根据国家计委计价格【2002】1980号《招标代理服务收费管理暂行办法》规定</w:t>
            </w:r>
            <w:r>
              <w:rPr>
                <w:rFonts w:hint="eastAsia" w:ascii="宋体" w:hAnsi="宋体" w:eastAsia="宋体" w:cs="宋体"/>
                <w:b/>
                <w:bCs/>
                <w:color w:val="auto"/>
                <w:sz w:val="22"/>
                <w:szCs w:val="22"/>
                <w:highlight w:val="none"/>
                <w:lang w:val="en-US" w:eastAsia="zh-CN"/>
              </w:rPr>
              <w:t>标准</w:t>
            </w:r>
            <w:r>
              <w:rPr>
                <w:rFonts w:hint="eastAsia" w:ascii="宋体" w:hAnsi="宋体" w:cs="宋体"/>
                <w:b/>
                <w:bCs/>
                <w:color w:val="auto"/>
                <w:sz w:val="22"/>
                <w:szCs w:val="22"/>
                <w:highlight w:val="none"/>
                <w:lang w:val="en-US" w:eastAsia="zh-CN"/>
              </w:rPr>
              <w:t>的75%</w:t>
            </w:r>
            <w:r>
              <w:rPr>
                <w:rFonts w:hint="eastAsia" w:ascii="宋体" w:hAnsi="宋体" w:eastAsia="宋体" w:cs="宋体"/>
                <w:b/>
                <w:bCs/>
                <w:color w:val="auto"/>
                <w:sz w:val="22"/>
                <w:szCs w:val="22"/>
                <w:highlight w:val="none"/>
              </w:rPr>
              <w:t>收取,由中标人在领取中标通知书时支付。</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开户行：中国建设银行温州黎明支行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sz w:val="22"/>
                <w:szCs w:val="28"/>
              </w:rPr>
            </w:pPr>
            <w:r>
              <w:rPr>
                <w:rFonts w:hint="eastAsia"/>
                <w:sz w:val="22"/>
                <w:szCs w:val="28"/>
              </w:rPr>
              <w:t>投标文件份数：</w:t>
            </w:r>
          </w:p>
          <w:p>
            <w:pPr>
              <w:numPr>
                <w:ilvl w:val="0"/>
                <w:numId w:val="5"/>
              </w:numPr>
              <w:spacing w:line="460" w:lineRule="exact"/>
              <w:rPr>
                <w:rFonts w:hint="eastAsia"/>
                <w:sz w:val="22"/>
                <w:szCs w:val="28"/>
              </w:rPr>
            </w:pPr>
            <w:r>
              <w:rPr>
                <w:rFonts w:hint="eastAsia"/>
                <w:sz w:val="22"/>
                <w:szCs w:val="28"/>
              </w:rPr>
              <w:t>“电子加密投标文件”：在线上传递交、一份。</w:t>
            </w:r>
          </w:p>
          <w:p>
            <w:pPr>
              <w:numPr>
                <w:ilvl w:val="0"/>
                <w:numId w:val="5"/>
              </w:numPr>
              <w:spacing w:line="460" w:lineRule="exact"/>
              <w:rPr>
                <w:rFonts w:hint="eastAsia"/>
                <w:sz w:val="22"/>
                <w:szCs w:val="28"/>
              </w:rPr>
            </w:pPr>
            <w:r>
              <w:rPr>
                <w:rFonts w:hint="eastAsia"/>
                <w:sz w:val="22"/>
                <w:szCs w:val="28"/>
              </w:rPr>
              <w:t>“备份投标文件”：密封包装后投标截止时间前递交、一份</w:t>
            </w:r>
          </w:p>
          <w:p>
            <w:pPr>
              <w:spacing w:line="460" w:lineRule="exact"/>
              <w:rPr>
                <w:rFonts w:hint="eastAsia"/>
                <w:sz w:val="22"/>
                <w:szCs w:val="28"/>
              </w:rPr>
            </w:pPr>
            <w:r>
              <w:rPr>
                <w:rFonts w:hint="eastAsia"/>
                <w:sz w:val="22"/>
                <w:szCs w:val="28"/>
              </w:rPr>
              <w:t>（若不提供备份投标文件，开标当天电子加密投标文件解密失败，投标人自行负责。）</w:t>
            </w:r>
          </w:p>
          <w:p>
            <w:pPr>
              <w:tabs>
                <w:tab w:val="left" w:pos="360"/>
              </w:tabs>
              <w:spacing w:line="460" w:lineRule="exact"/>
              <w:rPr>
                <w:rFonts w:hint="eastAsia"/>
                <w:sz w:val="22"/>
                <w:szCs w:val="28"/>
              </w:rPr>
            </w:pPr>
            <w:r>
              <w:rPr>
                <w:rFonts w:hint="eastAsia"/>
                <w:sz w:val="22"/>
                <w:szCs w:val="28"/>
              </w:rPr>
              <w:t>可以（邮寄形式，建议顺丰）在投标截止时间前递交，并需采购代理机构确认是否收到，</w:t>
            </w:r>
          </w:p>
          <w:p>
            <w:pPr>
              <w:spacing w:line="460" w:lineRule="exact"/>
              <w:rPr>
                <w:rFonts w:hint="eastAsia"/>
                <w:sz w:val="22"/>
                <w:szCs w:val="28"/>
                <w:lang w:eastAsia="zh-CN"/>
              </w:rPr>
            </w:pPr>
            <w:r>
              <w:rPr>
                <w:rFonts w:hint="eastAsia"/>
                <w:sz w:val="22"/>
                <w:szCs w:val="28"/>
              </w:rPr>
              <w:t>邮寄地址：</w:t>
            </w:r>
            <w:r>
              <w:rPr>
                <w:rFonts w:hint="eastAsia"/>
                <w:sz w:val="22"/>
                <w:szCs w:val="28"/>
                <w:lang w:eastAsia="zh-CN"/>
              </w:rPr>
              <w:t>温州市鹿城区学院中路229号三想集团5楼</w:t>
            </w:r>
          </w:p>
          <w:p>
            <w:pPr>
              <w:spacing w:line="460" w:lineRule="exact"/>
              <w:rPr>
                <w:rFonts w:hint="default" w:eastAsia="宋体"/>
                <w:lang w:val="en-US" w:eastAsia="zh-CN"/>
              </w:rPr>
            </w:pPr>
            <w:r>
              <w:rPr>
                <w:rFonts w:hint="eastAsia"/>
                <w:sz w:val="22"/>
                <w:szCs w:val="28"/>
                <w:lang w:val="en-US" w:eastAsia="zh-CN"/>
              </w:rPr>
              <w:t>联系人：温先生    联系电话</w:t>
            </w:r>
            <w:r>
              <w:rPr>
                <w:rFonts w:hint="eastAsia"/>
                <w:b w:val="0"/>
                <w:bCs w:val="0"/>
                <w:sz w:val="22"/>
                <w:szCs w:val="28"/>
                <w:lang w:val="en-US" w:eastAsia="zh-CN"/>
              </w:rPr>
              <w:t>：13868508737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9676"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eastAsia="宋体" w:cs="宋体"/>
                <w:color w:val="auto"/>
                <w:sz w:val="22"/>
                <w:szCs w:val="22"/>
                <w:highlight w:val="none"/>
                <w:lang w:eastAsia="zh-CN"/>
              </w:rPr>
              <w:t>2022年</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09</w:t>
            </w:r>
            <w:r>
              <w:rPr>
                <w:rFonts w:hint="eastAsia" w:ascii="宋体" w:hAnsi="宋体" w:eastAsia="宋体" w:cs="宋体"/>
                <w:color w:val="auto"/>
                <w:sz w:val="22"/>
                <w:szCs w:val="22"/>
                <w:highlight w:val="none"/>
              </w:rPr>
              <w:t>:30</w:t>
            </w:r>
            <w:r>
              <w:rPr>
                <w:rFonts w:hint="eastAsia"/>
                <w:sz w:val="22"/>
                <w:szCs w:val="22"/>
                <w:u w:val="none"/>
              </w:rPr>
              <w:t>（北京时间）</w:t>
            </w:r>
            <w:r>
              <w:rPr>
                <w:rFonts w:hint="eastAsia" w:ascii="宋体" w:hAnsi="宋体" w:eastAsia="宋体" w:cs="宋体"/>
                <w:color w:val="auto"/>
                <w:sz w:val="22"/>
                <w:szCs w:val="22"/>
                <w:highlight w:val="none"/>
              </w:rPr>
              <w:t> </w:t>
            </w:r>
          </w:p>
          <w:p>
            <w:pPr>
              <w:widowControl/>
              <w:snapToGrid w:val="0"/>
              <w:spacing w:line="460" w:lineRule="exact"/>
              <w:jc w:val="left"/>
              <w:rPr>
                <w:rFonts w:hint="eastAsia"/>
                <w:color w:val="auto"/>
              </w:rPr>
            </w:pPr>
            <w:r>
              <w:rPr>
                <w:rFonts w:hint="eastAsia" w:ascii="宋体" w:hAnsi="宋体" w:eastAsia="宋体" w:cs="宋体"/>
                <w:color w:val="auto"/>
                <w:sz w:val="22"/>
                <w:szCs w:val="22"/>
                <w:highlight w:val="none"/>
              </w:rPr>
              <w:t>投标地点（网址）：</w:t>
            </w:r>
            <w:r>
              <w:rPr>
                <w:rFonts w:hint="eastAsia" w:ascii="宋体" w:hAnsi="宋体" w:eastAsia="宋体" w:cs="宋体"/>
                <w:color w:val="auto"/>
                <w:sz w:val="22"/>
                <w:szCs w:val="22"/>
                <w:highlight w:val="none"/>
                <w:lang w:eastAsia="zh-CN"/>
              </w:rPr>
              <w:t>温州市鹿城区学院中路229号三想集团5楼（</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3</w:t>
            </w:r>
          </w:p>
        </w:tc>
        <w:tc>
          <w:tcPr>
            <w:tcW w:w="9676"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：2022年</w:t>
            </w:r>
            <w:r>
              <w:rPr>
                <w:rFonts w:hint="eastAsia" w:ascii="宋体" w:hAns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lang w:eastAsia="zh-CN"/>
              </w:rPr>
              <w:t>月</w:t>
            </w:r>
            <w:r>
              <w:rPr>
                <w:rFonts w:hint="eastAsia" w:ascii="宋体" w:hAnsi="宋体" w:eastAsia="宋体" w:cs="宋体"/>
                <w:b w:val="0"/>
                <w:bCs w:val="0"/>
                <w:color w:val="auto"/>
                <w:sz w:val="22"/>
                <w:szCs w:val="22"/>
                <w:highlight w:val="none"/>
                <w:lang w:val="en-US" w:eastAsia="zh-CN"/>
              </w:rPr>
              <w:t>14</w:t>
            </w:r>
            <w:r>
              <w:rPr>
                <w:rFonts w:hint="eastAsia" w:ascii="宋体" w:hAnsi="宋体" w:eastAsia="宋体" w:cs="宋体"/>
                <w:b w:val="0"/>
                <w:bCs w:val="0"/>
                <w:color w:val="auto"/>
                <w:sz w:val="22"/>
                <w:szCs w:val="22"/>
                <w:highlight w:val="none"/>
                <w:lang w:eastAsia="zh-CN"/>
              </w:rPr>
              <w:t>日</w:t>
            </w:r>
            <w:r>
              <w:rPr>
                <w:rFonts w:hint="eastAsia" w:ascii="宋体" w:hAnsi="宋体" w:eastAsia="宋体" w:cs="宋体"/>
                <w:b w:val="0"/>
                <w:bCs w:val="0"/>
                <w:color w:val="auto"/>
                <w:sz w:val="22"/>
                <w:szCs w:val="22"/>
                <w:highlight w:val="none"/>
                <w:lang w:val="en-US" w:eastAsia="zh-CN"/>
              </w:rPr>
              <w:t>09</w:t>
            </w:r>
            <w:r>
              <w:rPr>
                <w:rFonts w:hint="eastAsia" w:ascii="宋体" w:hAnsi="宋体" w:eastAsia="宋体" w:cs="宋体"/>
                <w:b w:val="0"/>
                <w:bCs w:val="0"/>
                <w:color w:val="auto"/>
                <w:sz w:val="22"/>
                <w:szCs w:val="22"/>
                <w:highlight w:val="none"/>
                <w:lang w:eastAsia="zh-CN"/>
              </w:rPr>
              <w:t>:30</w:t>
            </w:r>
            <w:bookmarkStart w:id="62" w:name="_GoBack"/>
            <w:bookmarkEnd w:id="62"/>
            <w:r>
              <w:rPr>
                <w:rFonts w:hint="eastAsia"/>
                <w:sz w:val="22"/>
                <w:szCs w:val="22"/>
                <w:u w:val="none"/>
              </w:rPr>
              <w:t>（北京时间）</w:t>
            </w:r>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eastAsia="宋体" w:cs="宋体"/>
                <w:color w:val="auto"/>
                <w:sz w:val="22"/>
                <w:highlight w:val="none"/>
                <w:lang w:eastAsia="zh-CN"/>
              </w:rPr>
              <w:t>温州市鹿城区学院中路229号三想集团5楼（</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4</w:t>
            </w:r>
          </w:p>
        </w:tc>
        <w:tc>
          <w:tcPr>
            <w:tcW w:w="9676"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5</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6</w:t>
            </w:r>
          </w:p>
        </w:tc>
        <w:tc>
          <w:tcPr>
            <w:tcW w:w="9676"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1、本项目对符合财政扶持政策的中小企业（小型、微型）、监狱企业、残疾人福利性单位给予价格优惠扶持，价格优惠扶持</w:t>
            </w:r>
            <w:r>
              <w:rPr>
                <w:rFonts w:hint="eastAsia" w:ascii="宋体" w:hAnsi="宋体" w:cs="宋体"/>
                <w:color w:val="auto"/>
                <w:kern w:val="0"/>
                <w:sz w:val="22"/>
                <w:szCs w:val="22"/>
                <w:highlight w:val="none"/>
                <w:lang w:eastAsia="zh-CN"/>
              </w:rPr>
              <w:t>：</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满足转发财政部 工业和信息化部关于印发《</w:t>
            </w:r>
            <w:r>
              <w:rPr>
                <w:rFonts w:hint="eastAsia" w:ascii="宋体" w:hAnsi="宋体" w:eastAsia="宋体" w:cs="宋体"/>
                <w:color w:val="auto"/>
                <w:kern w:val="0"/>
                <w:sz w:val="22"/>
                <w:szCs w:val="22"/>
                <w:highlight w:val="none"/>
                <w:lang w:eastAsia="zh-CN"/>
              </w:rPr>
              <w:t>政府采购促进中小企业发展管理办法</w:t>
            </w:r>
            <w:r>
              <w:rPr>
                <w:rFonts w:hint="eastAsia" w:ascii="宋体" w:hAnsi="宋体" w:eastAsia="宋体" w:cs="宋体"/>
                <w:color w:val="auto"/>
                <w:kern w:val="0"/>
                <w:sz w:val="22"/>
                <w:szCs w:val="22"/>
                <w:highlight w:val="none"/>
              </w:rPr>
              <w:t>》的通知（</w:t>
            </w:r>
            <w:r>
              <w:rPr>
                <w:rFonts w:hint="eastAsia" w:ascii="宋体" w:hAnsi="宋体" w:eastAsia="宋体" w:cs="宋体"/>
                <w:color w:val="auto"/>
                <w:kern w:val="0"/>
                <w:sz w:val="22"/>
                <w:szCs w:val="22"/>
                <w:highlight w:val="none"/>
                <w:lang w:eastAsia="zh-CN"/>
              </w:rPr>
              <w:t>财库﹝2020﹞46号</w:t>
            </w:r>
            <w:r>
              <w:rPr>
                <w:rFonts w:hint="eastAsia" w:ascii="宋体" w:hAnsi="宋体" w:eastAsia="宋体" w:cs="宋体"/>
                <w:color w:val="auto"/>
                <w:kern w:val="0"/>
                <w:sz w:val="22"/>
                <w:szCs w:val="22"/>
                <w:highlight w:val="none"/>
              </w:rPr>
              <w:t>）的规定的中小企业可享受优惠扶持。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满足关于政府采购支持监狱企业发展有关问题的通知（财库[2014]68号）的规定的供应商可享受优惠扶持。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满足关于促进残疾人就业政府采购政策的通知（财库[2017]141号）的规定的供应商可享受优惠扶持。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7</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1）招标人或采购代理机构将对本项目供应商的信用记录进行查询。查询渠道为信用中国网站（www.creditchina.gov.cn）、中国政府采购网（www.ccgp.gov.cn）等有关政府曝光台；</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20846"/>
      <w:bookmarkStart w:id="11" w:name="_Toc19070"/>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3.1</w:t>
      </w:r>
      <w:r>
        <w:rPr>
          <w:rFonts w:hint="eastAsia" w:ascii="宋体" w:hAnsi="宋体" w:eastAsia="宋体" w:cs="宋体"/>
          <w:b/>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4.1</w:t>
      </w:r>
      <w:r>
        <w:rPr>
          <w:rFonts w:hint="eastAsia" w:ascii="宋体" w:hAnsi="宋体" w:eastAsia="宋体" w:cs="宋体"/>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28278"/>
      <w:bookmarkStart w:id="13" w:name="_Toc9899"/>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12726"/>
      <w:bookmarkStart w:id="15" w:name="_Toc2264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1、投标人应认真阅读招标文件中所有事项、格式、条款和技术规范等。</w:t>
      </w:r>
      <w:r>
        <w:rPr>
          <w:rFonts w:hint="eastAsia" w:ascii="宋体" w:hAnsi="宋体" w:eastAsia="宋体" w:cs="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zh-CN"/>
        </w:rPr>
      </w:pPr>
      <w:r>
        <w:rPr>
          <w:rFonts w:hint="eastAsia" w:ascii="宋体" w:hAnsi="宋体" w:eastAsia="宋体" w:cs="宋体"/>
          <w:color w:val="auto"/>
          <w:kern w:val="0"/>
          <w:sz w:val="22"/>
          <w:szCs w:val="22"/>
          <w:highlight w:val="none"/>
          <w:u w:val="non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w:t>
      </w:r>
      <w:r>
        <w:rPr>
          <w:rFonts w:hint="eastAsia" w:ascii="宋体" w:hAnsi="宋体" w:eastAsia="宋体" w:cs="宋体"/>
          <w:bCs/>
          <w:color w:val="auto"/>
          <w:sz w:val="22"/>
          <w:szCs w:val="22"/>
          <w:highlight w:val="none"/>
          <w:u w:val="none"/>
        </w:rPr>
        <w:t>营业执照</w:t>
      </w:r>
      <w:r>
        <w:rPr>
          <w:rFonts w:hint="eastAsia" w:ascii="宋体" w:hAnsi="宋体" w:eastAsia="宋体" w:cs="宋体"/>
          <w:color w:val="auto"/>
          <w:sz w:val="22"/>
          <w:szCs w:val="22"/>
          <w:highlight w:val="none"/>
          <w:u w:val="non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（2）最近一年财务报表(复印件，新成立的公司提供情况说明)；</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（3）具有履行合同所必需的场地、设备和专业技术能力的承诺函；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5</w:t>
      </w:r>
      <w:r>
        <w:rPr>
          <w:rFonts w:hint="eastAsia" w:ascii="宋体" w:hAnsi="宋体" w:eastAsia="宋体" w:cs="宋体"/>
          <w:color w:val="auto"/>
          <w:sz w:val="22"/>
          <w:szCs w:val="22"/>
          <w:highlight w:val="none"/>
          <w:u w:val="none"/>
        </w:rPr>
        <w:t>）提供食品药品监督管理部门核发的完整有效的医疗器械注册或备案证明；（适用于按医疗器械管理的设备）</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6</w:t>
      </w:r>
      <w:r>
        <w:rPr>
          <w:rFonts w:hint="eastAsia" w:ascii="宋体" w:hAnsi="宋体" w:eastAsia="宋体" w:cs="宋体"/>
          <w:color w:val="auto"/>
          <w:sz w:val="22"/>
          <w:szCs w:val="22"/>
          <w:highlight w:val="none"/>
          <w:u w:val="none"/>
        </w:rPr>
        <w:t>）货物制造商或其它有销售资格（提供证明材料）的供应商出具的授权书（适用于投标人是进口货物代理商的情形）</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7</w:t>
      </w:r>
      <w:r>
        <w:rPr>
          <w:rFonts w:hint="eastAsia" w:ascii="宋体" w:hAnsi="宋体" w:eastAsia="宋体" w:cs="宋体"/>
          <w:color w:val="auto"/>
          <w:sz w:val="22"/>
          <w:szCs w:val="22"/>
          <w:highlight w:val="none"/>
          <w:u w:val="none"/>
        </w:rPr>
        <w:t>）依法缴纳税收和社会保障资金的承诺函；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8</w:t>
      </w:r>
      <w:r>
        <w:rPr>
          <w:rFonts w:hint="eastAsia" w:ascii="宋体" w:hAnsi="宋体" w:eastAsia="宋体" w:cs="宋体"/>
          <w:color w:val="auto"/>
          <w:sz w:val="22"/>
          <w:szCs w:val="22"/>
          <w:highlight w:val="none"/>
          <w:u w:val="none"/>
        </w:rPr>
        <w:t>）参加政府采购活动前3年内在经营活动中没有重大违法记录的声明函；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9</w:t>
      </w:r>
      <w:r>
        <w:rPr>
          <w:rFonts w:hint="eastAsia" w:ascii="宋体" w:hAnsi="宋体" w:eastAsia="宋体" w:cs="宋体"/>
          <w:color w:val="auto"/>
          <w:sz w:val="22"/>
          <w:szCs w:val="22"/>
          <w:highlight w:val="none"/>
          <w:u w:val="none"/>
        </w:rPr>
        <w:t>）单位负责人为同一人或者存在直接控股、管理关系的不同供应商，不得参加同一合同项下的政府采购活动承诺函；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10</w:t>
      </w:r>
      <w:r>
        <w:rPr>
          <w:rFonts w:hint="eastAsia" w:ascii="宋体" w:hAnsi="宋体" w:eastAsia="宋体" w:cs="宋体"/>
          <w:color w:val="auto"/>
          <w:sz w:val="22"/>
          <w:szCs w:val="22"/>
          <w:highlight w:val="none"/>
          <w:u w:val="none"/>
        </w:rPr>
        <w:t>）供应商不属于公益一类事业单位承诺函。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11</w:t>
      </w:r>
      <w:r>
        <w:rPr>
          <w:rFonts w:hint="eastAsia" w:ascii="宋体" w:hAnsi="宋体" w:eastAsia="宋体" w:cs="宋体"/>
          <w:color w:val="auto"/>
          <w:sz w:val="22"/>
          <w:szCs w:val="22"/>
          <w:highlight w:val="none"/>
          <w:u w:val="none"/>
        </w:rPr>
        <w:t>）未被“信用中国”（www.creditchina.gov.cn）、中国政府采购网（www.ccgp.gov.cn）等有关政府曝光台列入失信被执行人、重大税收违法案件当事人名单、政府采购严重违法失信行为记录名单.</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信用信息查询记录和证据以项目公告发出日期后的网页截图为准；</w:t>
      </w:r>
    </w:p>
    <w:p>
      <w:pPr>
        <w:numPr>
          <w:ilvl w:val="0"/>
          <w:numId w:val="6"/>
        </w:num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采购活动确认声明书</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pPr>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3.3</w:t>
      </w:r>
      <w:r>
        <w:rPr>
          <w:rFonts w:hint="eastAsia" w:ascii="宋体" w:hAnsi="宋体" w:eastAsia="宋体" w:cs="宋体"/>
          <w:color w:val="auto"/>
          <w:kern w:val="0"/>
          <w:sz w:val="22"/>
          <w:szCs w:val="22"/>
          <w:highlight w:val="none"/>
          <w:lang w:val="zh-CN"/>
        </w:rPr>
        <w:t>投标人的</w:t>
      </w:r>
      <w:r>
        <w:rPr>
          <w:rFonts w:hint="eastAsia" w:ascii="宋体" w:hAnsi="宋体" w:eastAsia="宋体" w:cs="宋体"/>
          <w:b/>
          <w:bCs/>
          <w:color w:val="auto"/>
          <w:kern w:val="0"/>
          <w:sz w:val="22"/>
          <w:szCs w:val="22"/>
          <w:highlight w:val="none"/>
          <w:lang w:val="zh-CN"/>
        </w:rPr>
        <w:t>商务技术文件</w:t>
      </w:r>
      <w:r>
        <w:rPr>
          <w:rFonts w:hint="eastAsia" w:ascii="宋体" w:hAnsi="宋体" w:eastAsia="宋体" w:cs="宋体"/>
          <w:color w:val="auto"/>
          <w:kern w:val="0"/>
          <w:sz w:val="22"/>
          <w:szCs w:val="22"/>
          <w:highlight w:val="none"/>
          <w:lang w:val="zh-CN"/>
        </w:rPr>
        <w:t xml:space="preserve">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详细供货清单说明一览表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备品、易损件、备件、专用工具清单</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投标设备配套的合理性，技术指标的先进性</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设备档次</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耗材试剂配送服务方案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运行应急方案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市场占有率</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售后服务</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投标人提供的超出招标文件的优惠条件</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环境标志产品、节能产品</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）其他必要提供的资料。</w:t>
      </w:r>
    </w:p>
    <w:p>
      <w:pPr>
        <w:spacing w:line="460" w:lineRule="exac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投标文件中所需的各种证书、证件、证明资料如是复印件，须在复印件上加盖有效公章。</w:t>
      </w:r>
    </w:p>
    <w:p>
      <w:pPr>
        <w:pStyle w:val="29"/>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投标人的</w:t>
      </w:r>
      <w:r>
        <w:rPr>
          <w:rFonts w:hint="eastAsia" w:ascii="宋体" w:hAnsi="宋体" w:eastAsia="宋体" w:cs="宋体"/>
          <w:color w:val="auto"/>
          <w:sz w:val="22"/>
          <w:szCs w:val="22"/>
          <w:highlight w:val="none"/>
        </w:rPr>
        <w:t>投标文件必须按照招标文件要求制作</w:t>
      </w:r>
      <w:r>
        <w:rPr>
          <w:rFonts w:hint="eastAsia" w:ascii="宋体" w:hAnsi="宋体" w:eastAsia="宋体" w:cs="宋体"/>
          <w:bCs/>
          <w:color w:val="auto"/>
          <w:sz w:val="22"/>
          <w:szCs w:val="22"/>
          <w:highlight w:val="none"/>
        </w:rPr>
        <w:t>。</w:t>
      </w:r>
    </w:p>
    <w:p>
      <w:pPr>
        <w:pStyle w:val="29"/>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highlight w:val="none"/>
        </w:rPr>
        <w:t>4.1投标人应根据国家的有关规定和招标文件要求并结合企业的实际情况进行投标报价。投标报价以人民币为结算货币，供货、税金、包装、运输、保险、装卸、验收（含第三方验收）、技术服务、售后服务、质保期保障、材料费等合同所需的一切本身和不可或缺的所有工作开支、政策性文件规定及合同包含的所有风险、责任等各项全部费用并承担一切风险责任。在合同服务期间内不得违反国家相关政策规定，磋商供应商应根据上述因素自行考虑含入磋商报价。</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b/>
          <w:color w:val="auto"/>
          <w:sz w:val="22"/>
          <w:highlight w:val="none"/>
        </w:rPr>
        <w:t>投标货币以人民币进行投标</w:t>
      </w:r>
      <w:r>
        <w:rPr>
          <w:rFonts w:hint="eastAsia" w:ascii="宋体" w:hAnsi="宋体" w:eastAsia="宋体" w:cs="宋体"/>
          <w:b/>
          <w:color w:val="auto"/>
          <w:sz w:val="22"/>
          <w:szCs w:val="22"/>
          <w:highlight w:val="none"/>
        </w:rPr>
        <w:t>。</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4.4</w:t>
      </w:r>
      <w:r>
        <w:rPr>
          <w:rFonts w:hint="eastAsia" w:ascii="宋体" w:hAnsi="宋体" w:eastAsia="宋体" w:cs="宋体"/>
          <w:b/>
          <w:color w:val="auto"/>
          <w:sz w:val="22"/>
          <w:highlight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4.7最低报价不能作为中标的保证。</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5.1自开标之日起</w:t>
      </w:r>
      <w:r>
        <w:rPr>
          <w:rFonts w:hint="eastAsia" w:ascii="宋体" w:hAnsi="宋体" w:eastAsia="宋体" w:cs="宋体"/>
          <w:b/>
          <w:bCs/>
          <w:color w:val="auto"/>
          <w:sz w:val="22"/>
          <w:szCs w:val="22"/>
          <w:highlight w:val="none"/>
        </w:rPr>
        <w:t xml:space="preserve"> 120 </w:t>
      </w:r>
      <w:r>
        <w:rPr>
          <w:rFonts w:hint="eastAsia" w:ascii="宋体" w:hAnsi="宋体" w:eastAsia="宋体" w:cs="宋体"/>
          <w:b/>
          <w:color w:val="auto"/>
          <w:sz w:val="22"/>
          <w:szCs w:val="22"/>
          <w:highlight w:val="none"/>
        </w:rPr>
        <w:t>天内投标应保持有效。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7.4《投标文件》内容不完整、编排混乱导致《投标文件》被误读、漏读或者查找不到相关内容的，投标人自行负责。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7.5《投标文件》因字迹潦草或表达不清所引起的后果由投标人负责。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8.1《投标文件》的签章：见《前附表》；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8.2《投标文件》应由投标人法定代表人或其授权代表签字（或盖章），并时加盖投标人公章。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8.3电子签章操作指南详见采购公告附件《供应商项目采购-电子招投标操作指南》。</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9.1投标文件的形式：见《前附表》；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30172"/>
      <w:bookmarkStart w:id="19" w:name="_Toc8079"/>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3、开标形式</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4、开标准备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w:t>
      </w:r>
      <w:r>
        <w:rPr>
          <w:rFonts w:hint="eastAsia" w:ascii="宋体" w:hAnsi="宋体" w:eastAsia="宋体" w:cs="宋体"/>
          <w:b/>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5.1开标、评标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pPr>
        <w:spacing w:line="460" w:lineRule="exact"/>
        <w:ind w:firstLine="541" w:firstLineChars="245"/>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color w:val="auto"/>
          <w:sz w:val="22"/>
          <w:szCs w:val="22"/>
          <w:highlight w:val="none"/>
        </w:rPr>
      </w:pPr>
      <w:bookmarkStart w:id="20" w:name="_Toc33194393"/>
      <w:bookmarkStart w:id="21" w:name="_Toc24550037"/>
      <w:r>
        <w:rPr>
          <w:rFonts w:hint="eastAsia" w:ascii="宋体" w:hAnsi="宋体" w:eastAsia="宋体" w:cs="宋体"/>
          <w:color w:val="auto"/>
          <w:sz w:val="22"/>
          <w:szCs w:val="22"/>
          <w:highlight w:val="none"/>
        </w:rPr>
        <w:t>6、投标人资格审查</w:t>
      </w:r>
      <w:bookmarkEnd w:id="20"/>
      <w:bookmarkEnd w:id="21"/>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宋体" w:hAnsi="宋体" w:eastAsia="宋体" w:cs="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color w:val="auto"/>
          <w:kern w:val="0"/>
          <w:sz w:val="22"/>
          <w:szCs w:val="22"/>
          <w:highlight w:val="none"/>
        </w:rPr>
        <w:t>将对其作资格审查不通过处理（无效投标），并不再将其投标提交评标委员会进行后续评审。</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6</w:t>
      </w:r>
      <w:r>
        <w:rPr>
          <w:rFonts w:hint="eastAsia" w:ascii="宋体" w:hAnsi="宋体" w:eastAsia="宋体" w:cs="宋体"/>
          <w:b/>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12.2</w:t>
      </w:r>
      <w:r>
        <w:rPr>
          <w:rFonts w:hint="eastAsia" w:ascii="宋体" w:hAnsi="宋体" w:eastAsia="宋体" w:cs="宋体"/>
          <w:b/>
          <w:color w:val="auto"/>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13、评审结果的修改</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13.2书面评标报告签署前，经复核发现存在以上情形之一的，评标委员会将当场修改评标结果，并在</w:t>
      </w:r>
      <w:r>
        <w:rPr>
          <w:rFonts w:hint="eastAsia" w:ascii="宋体" w:hAnsi="宋体" w:eastAsia="宋体" w:cs="宋体"/>
          <w:b/>
          <w:color w:val="auto"/>
          <w:sz w:val="22"/>
          <w:szCs w:val="22"/>
          <w:highlight w:val="none"/>
        </w:rPr>
        <w:t>评标报告中记载。</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15、确定中标人</w:t>
      </w:r>
    </w:p>
    <w:p>
      <w:pPr>
        <w:spacing w:line="460" w:lineRule="exact"/>
        <w:ind w:firstLine="762" w:firstLineChars="3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15</w:t>
      </w:r>
      <w:r>
        <w:rPr>
          <w:rFonts w:hint="eastAsia" w:ascii="宋体" w:hAnsi="宋体" w:eastAsia="宋体" w:cs="宋体"/>
          <w:b/>
          <w:bCs/>
          <w:color w:val="auto"/>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18、</w:t>
      </w:r>
      <w:r>
        <w:rPr>
          <w:rFonts w:hint="eastAsia" w:ascii="宋体" w:hAnsi="宋体" w:eastAsia="宋体" w:cs="宋体"/>
          <w:b/>
          <w:color w:val="auto"/>
          <w:sz w:val="22"/>
          <w:szCs w:val="22"/>
          <w:highlight w:val="none"/>
        </w:rPr>
        <w:t>招标人对决标结果不做任何解释，也不保证最低价中标。</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1056"/>
      <w:bookmarkStart w:id="23" w:name="_Toc26836"/>
      <w:r>
        <w:rPr>
          <w:rFonts w:hint="eastAsia" w:ascii="宋体" w:hAnsi="宋体" w:eastAsia="宋体" w:cs="宋体"/>
          <w:b/>
          <w:bCs/>
          <w:color w:val="auto"/>
          <w:sz w:val="26"/>
          <w:szCs w:val="26"/>
          <w:highlight w:val="none"/>
        </w:rPr>
        <w:t>六、 授予合同</w:t>
      </w:r>
      <w:bookmarkEnd w:id="22"/>
      <w:bookmarkEnd w:id="2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1、中标通知书</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1.1</w:t>
      </w:r>
      <w:r>
        <w:rPr>
          <w:rFonts w:hint="eastAsia" w:ascii="宋体" w:hAnsi="宋体" w:eastAsia="宋体" w:cs="宋体"/>
          <w:color w:val="auto"/>
          <w:sz w:val="22"/>
          <w:szCs w:val="22"/>
          <w:highlight w:val="none"/>
        </w:rPr>
        <w:t xml:space="preserve">中标人确定后，招标人将向中标人发出中标通知书。 </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1.2</w:t>
      </w:r>
      <w:r>
        <w:rPr>
          <w:rFonts w:hint="eastAsia" w:ascii="宋体" w:hAnsi="宋体" w:eastAsia="宋体" w:cs="宋体"/>
          <w:color w:val="auto"/>
          <w:sz w:val="22"/>
          <w:szCs w:val="22"/>
          <w:highlight w:val="none"/>
        </w:rPr>
        <w:t>中标通知书是合同的一个组成部分,对招标人和中标人均具有同等法律效力。</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2、授标时更改采购货物数量的权力</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eastAsia="宋体" w:cs="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3.4拒签合同的违约责任</w:t>
      </w:r>
    </w:p>
    <w:p>
      <w:pPr>
        <w:spacing w:line="460" w:lineRule="exact"/>
        <w:ind w:firstLine="571" w:firstLineChars="245"/>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4.1中标人在收到中标通知书后，须向招标人提交合同总价</w:t>
      </w:r>
      <w:r>
        <w:rPr>
          <w:rFonts w:hint="eastAsia" w:ascii="宋体" w:hAnsi="宋体" w:eastAsia="宋体" w:cs="宋体"/>
          <w:bCs/>
          <w:color w:val="auto"/>
          <w:sz w:val="22"/>
          <w:highlight w:val="none"/>
          <w:lang w:val="en-US" w:eastAsia="zh-CN"/>
        </w:rPr>
        <w:t>5</w:t>
      </w:r>
      <w:r>
        <w:rPr>
          <w:rFonts w:hint="eastAsia" w:ascii="宋体" w:hAnsi="宋体" w:eastAsia="宋体" w:cs="宋体"/>
          <w:bCs/>
          <w:color w:val="auto"/>
          <w:sz w:val="22"/>
          <w:highlight w:val="none"/>
        </w:rPr>
        <w:t>%的履约保证金。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4.2履约保证金用于补偿招标人因中标人不能履行其合同义务而蒙受的损失。</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highlight w:val="none"/>
        </w:rPr>
        <w:t>4.3履约保证金自合同签订之日起至货物验收合格止有效。有效期满后，</w:t>
      </w:r>
      <w:r>
        <w:rPr>
          <w:rFonts w:hint="eastAsia" w:ascii="宋体" w:hAnsi="宋体" w:eastAsia="宋体" w:cs="宋体"/>
          <w:bCs/>
          <w:color w:val="auto"/>
          <w:sz w:val="22"/>
          <w:highlight w:val="none"/>
          <w:lang w:eastAsia="zh-CN"/>
        </w:rPr>
        <w:t>招标人</w:t>
      </w:r>
      <w:r>
        <w:rPr>
          <w:rFonts w:hint="eastAsia" w:ascii="宋体" w:hAnsi="宋体" w:eastAsia="宋体" w:cs="宋体"/>
          <w:bCs/>
          <w:color w:val="auto"/>
          <w:sz w:val="22"/>
          <w:highlight w:val="none"/>
        </w:rPr>
        <w:t>应及时将履约保证金无息退还给中标人。</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5、质疑与投诉</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color w:val="auto"/>
          <w:sz w:val="22"/>
          <w:highlight w:val="none"/>
        </w:rPr>
      </w:pPr>
    </w:p>
    <w:p>
      <w:pPr>
        <w:rPr>
          <w:rFonts w:hint="eastAsia" w:ascii="宋体" w:hAnsi="宋体" w:eastAsia="宋体" w:cs="宋体"/>
        </w:rPr>
      </w:pPr>
      <w:bookmarkStart w:id="24" w:name="_Toc28194"/>
      <w:bookmarkStart w:id="25" w:name="_Toc19043"/>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第二部分    合同主要条款</w:t>
      </w:r>
      <w:bookmarkEnd w:id="24"/>
      <w:bookmarkEnd w:id="25"/>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pPr>
        <w:pStyle w:val="23"/>
        <w:spacing w:line="460" w:lineRule="exact"/>
        <w:ind w:left="430" w:leftChars="205" w:firstLine="0" w:firstLineChars="0"/>
        <w:jc w:val="center"/>
        <w:rPr>
          <w:rFonts w:hint="eastAsia" w:ascii="新宋体" w:hAnsi="新宋体" w:eastAsia="新宋体"/>
          <w:b/>
          <w:sz w:val="30"/>
          <w:lang w:val="zh-CN"/>
        </w:rPr>
      </w:pPr>
    </w:p>
    <w:p>
      <w:pPr>
        <w:spacing w:before="131"/>
        <w:jc w:val="center"/>
        <w:rPr>
          <w:rFonts w:hint="eastAsia" w:eastAsia="宋体"/>
          <w:b/>
          <w:sz w:val="38"/>
          <w:highlight w:val="yellow"/>
          <w:lang w:eastAsia="zh-CN"/>
        </w:rPr>
      </w:pPr>
      <w:bookmarkStart w:id="26" w:name="_Toc9247341"/>
      <w:bookmarkStart w:id="27" w:name="_Toc527802469"/>
      <w:r>
        <w:rPr>
          <w:rFonts w:hint="eastAsia"/>
          <w:b/>
          <w:sz w:val="38"/>
        </w:rPr>
        <w:t>温州市中医院</w:t>
      </w:r>
      <w:r>
        <w:rPr>
          <w:rFonts w:hint="eastAsia"/>
          <w:b/>
          <w:sz w:val="38"/>
          <w:lang w:val="en-US" w:eastAsia="zh-CN"/>
        </w:rPr>
        <w:t>XX</w:t>
      </w:r>
      <w:r>
        <w:rPr>
          <w:rFonts w:hint="eastAsia"/>
          <w:b/>
          <w:sz w:val="38"/>
          <w:highlight w:val="none"/>
          <w:lang w:val="en-US" w:eastAsia="zh-CN"/>
        </w:rPr>
        <w:t>X</w:t>
      </w:r>
      <w:r>
        <w:rPr>
          <w:rFonts w:hint="eastAsia"/>
          <w:b/>
          <w:sz w:val="38"/>
          <w:highlight w:val="none"/>
        </w:rPr>
        <w:t>耗材采购及设备租赁</w:t>
      </w:r>
      <w:r>
        <w:rPr>
          <w:rFonts w:hint="eastAsia"/>
          <w:b/>
          <w:sz w:val="38"/>
          <w:highlight w:val="none"/>
          <w:lang w:eastAsia="zh-CN"/>
        </w:rPr>
        <w:t>合同</w:t>
      </w:r>
    </w:p>
    <w:p>
      <w:pPr>
        <w:keepNext w:val="0"/>
        <w:keepLines w:val="0"/>
        <w:pageBreakBefore w:val="0"/>
        <w:widowControl w:val="0"/>
        <w:kinsoku/>
        <w:wordWrap/>
        <w:overflowPunct/>
        <w:topLinePunct w:val="0"/>
        <w:autoSpaceDE w:val="0"/>
        <w:autoSpaceDN w:val="0"/>
        <w:bidi w:val="0"/>
        <w:adjustRightInd/>
        <w:snapToGrid/>
        <w:spacing w:before="98" w:line="460" w:lineRule="exact"/>
        <w:ind w:left="5212" w:leftChars="2482" w:right="405" w:rightChars="193" w:firstLine="2518" w:firstLineChars="1200"/>
        <w:jc w:val="left"/>
        <w:textAlignment w:val="auto"/>
        <w:rPr>
          <w:rFonts w:hint="eastAsia" w:ascii="宋体" w:hAnsi="宋体" w:eastAsia="宋体" w:cs="宋体"/>
          <w:b/>
          <w:bCs/>
          <w:kern w:val="0"/>
          <w:sz w:val="22"/>
          <w:szCs w:val="22"/>
          <w:lang w:val="zh-CN"/>
        </w:rPr>
      </w:pPr>
      <w:r>
        <w:rPr>
          <w:rFonts w:hint="eastAsia" w:ascii="宋体" w:hAnsi="宋体" w:eastAsia="宋体" w:cs="宋体"/>
          <w:b/>
          <w:bCs/>
          <w:w w:val="95"/>
          <w:kern w:val="0"/>
          <w:sz w:val="22"/>
          <w:szCs w:val="22"/>
          <w:lang w:val="zh-CN"/>
        </w:rPr>
        <w:t>合同编号：</w:t>
      </w:r>
      <w:bookmarkEnd w:id="26"/>
      <w:bookmarkEnd w:id="27"/>
      <w:r>
        <w:rPr>
          <w:rFonts w:hint="eastAsia" w:ascii="宋体" w:hAnsi="宋体" w:eastAsia="宋体" w:cs="宋体"/>
          <w:b/>
          <w:bCs/>
          <w:w w:val="95"/>
          <w:kern w:val="0"/>
          <w:sz w:val="22"/>
          <w:szCs w:val="22"/>
          <w:lang w:val="zh-CN"/>
        </w:rPr>
        <w:t xml:space="preserve"> </w:t>
      </w:r>
    </w:p>
    <w:p>
      <w:pPr>
        <w:spacing w:line="240" w:lineRule="atLeast"/>
        <w:rPr>
          <w:b/>
          <w:sz w:val="18"/>
        </w:rPr>
      </w:pPr>
      <w:r>
        <w:rPr>
          <w:rFonts w:hint="eastAsia"/>
          <w:b/>
          <w:sz w:val="18"/>
        </w:rPr>
        <w:t>甲方（采购单位）：温州市中医院</w:t>
      </w:r>
    </w:p>
    <w:p>
      <w:pPr>
        <w:spacing w:line="240" w:lineRule="atLeast"/>
        <w:rPr>
          <w:b/>
          <w:sz w:val="18"/>
        </w:rPr>
      </w:pPr>
      <w:r>
        <w:rPr>
          <w:rFonts w:hint="eastAsia"/>
          <w:b/>
          <w:sz w:val="18"/>
        </w:rPr>
        <w:t>乙方（供应商）：</w:t>
      </w:r>
      <w:r>
        <w:rPr>
          <w:b/>
          <w:sz w:val="18"/>
          <w:u w:val="single"/>
        </w:rPr>
        <w:t xml:space="preserve">              </w:t>
      </w:r>
      <w:r>
        <w:rPr>
          <w:b/>
          <w:sz w:val="18"/>
        </w:rPr>
        <w:t xml:space="preserve"> </w:t>
      </w:r>
    </w:p>
    <w:p>
      <w:pPr>
        <w:pStyle w:val="22"/>
        <w:spacing w:line="240" w:lineRule="atLeast"/>
        <w:ind w:right="199" w:rightChars="95" w:firstLine="240"/>
        <w:rPr>
          <w:sz w:val="18"/>
        </w:rPr>
      </w:pPr>
      <w:r>
        <w:rPr>
          <w:rFonts w:hint="eastAsia"/>
          <w:sz w:val="18"/>
        </w:rPr>
        <w:t>根据《中华人民共和国政府采购法》、《中华人民共和国</w:t>
      </w:r>
      <w:r>
        <w:rPr>
          <w:rFonts w:hint="eastAsia"/>
          <w:sz w:val="18"/>
          <w:lang w:eastAsia="zh-CN"/>
        </w:rPr>
        <w:t>民法典</w:t>
      </w:r>
      <w:r>
        <w:rPr>
          <w:rFonts w:hint="eastAsia"/>
          <w:sz w:val="18"/>
        </w:rPr>
        <w:t>》等相关法律法规，以及</w:t>
      </w:r>
      <w:r>
        <w:rPr>
          <w:w w:val="95"/>
          <w:sz w:val="18"/>
          <w:u w:val="single"/>
        </w:rPr>
        <w:t xml:space="preserve">           </w:t>
      </w:r>
      <w:r>
        <w:rPr>
          <w:rFonts w:hint="eastAsia"/>
          <w:w w:val="95"/>
          <w:sz w:val="18"/>
        </w:rPr>
        <w:t>项</w:t>
      </w:r>
      <w:r>
        <w:rPr>
          <w:rFonts w:hint="eastAsia"/>
          <w:sz w:val="18"/>
        </w:rPr>
        <w:t>目（以下简称</w:t>
      </w:r>
      <w:r>
        <w:rPr>
          <w:rFonts w:hint="eastAsia" w:ascii="Verdana" w:hAnsi="Verdana"/>
          <w:sz w:val="18"/>
          <w:lang w:eastAsia="zh-CN"/>
        </w:rPr>
        <w:t>“项目”</w:t>
      </w:r>
      <w:r>
        <w:rPr>
          <w:rFonts w:hint="eastAsia"/>
          <w:sz w:val="18"/>
        </w:rPr>
        <w:t>）招标文件、中标供应商投标文件、项目采购协议，或入围承诺书，甲乙双方经协商一致，签署本合同。</w:t>
      </w:r>
    </w:p>
    <w:p>
      <w:pPr>
        <w:pStyle w:val="5"/>
        <w:spacing w:before="0" w:after="13" w:line="240" w:lineRule="atLeast"/>
        <w:ind w:left="0"/>
        <w:rPr>
          <w:rFonts w:hint="default" w:eastAsia="宋体"/>
          <w:sz w:val="18"/>
          <w:lang w:val="en-US" w:eastAsia="zh-CN"/>
        </w:rPr>
      </w:pPr>
      <w:r>
        <w:rPr>
          <w:rFonts w:hint="eastAsia"/>
          <w:sz w:val="18"/>
        </w:rPr>
        <w:t>一、</w:t>
      </w:r>
      <w:r>
        <w:rPr>
          <w:rFonts w:hint="eastAsia"/>
          <w:sz w:val="18"/>
          <w:lang w:eastAsia="zh-CN"/>
        </w:rPr>
        <w:t>项目内容</w:t>
      </w:r>
    </w:p>
    <w:p>
      <w:pPr>
        <w:pStyle w:val="5"/>
        <w:spacing w:before="0" w:after="13" w:line="240" w:lineRule="atLeast"/>
        <w:ind w:left="0"/>
        <w:rPr>
          <w:rFonts w:hint="eastAsia" w:eastAsia="宋体"/>
          <w:sz w:val="18"/>
          <w:lang w:eastAsia="zh-CN"/>
        </w:rPr>
      </w:pPr>
      <w:r>
        <w:rPr>
          <w:rFonts w:hint="eastAsia"/>
          <w:sz w:val="18"/>
          <w:lang w:eastAsia="zh-CN"/>
        </w:rPr>
        <w:t>耗材：</w:t>
      </w:r>
    </w:p>
    <w:tbl>
      <w:tblPr>
        <w:tblStyle w:val="54"/>
        <w:tblW w:w="8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926"/>
        <w:gridCol w:w="1084"/>
        <w:gridCol w:w="1407"/>
        <w:gridCol w:w="1706"/>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94" w:type="dxa"/>
            <w:noWrap w:val="0"/>
            <w:vAlign w:val="center"/>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序号</w:t>
            </w:r>
          </w:p>
        </w:tc>
        <w:tc>
          <w:tcPr>
            <w:tcW w:w="1926" w:type="dxa"/>
            <w:noWrap w:val="0"/>
            <w:vAlign w:val="top"/>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货物名称</w:t>
            </w:r>
          </w:p>
        </w:tc>
        <w:tc>
          <w:tcPr>
            <w:tcW w:w="1084" w:type="dxa"/>
            <w:noWrap w:val="0"/>
            <w:vAlign w:val="top"/>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品牌</w:t>
            </w:r>
          </w:p>
        </w:tc>
        <w:tc>
          <w:tcPr>
            <w:tcW w:w="1407" w:type="dxa"/>
            <w:noWrap w:val="0"/>
            <w:vAlign w:val="top"/>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型号规格</w:t>
            </w:r>
          </w:p>
        </w:tc>
        <w:tc>
          <w:tcPr>
            <w:tcW w:w="1706" w:type="dxa"/>
            <w:noWrap w:val="0"/>
            <w:vAlign w:val="top"/>
          </w:tcPr>
          <w:p>
            <w:pPr>
              <w:pStyle w:val="5"/>
              <w:spacing w:before="0" w:after="13" w:line="240" w:lineRule="atLeast"/>
              <w:ind w:left="0"/>
              <w:jc w:val="center"/>
              <w:rPr>
                <w:rFonts w:hint="eastAsia"/>
                <w:b w:val="0"/>
                <w:bCs w:val="0"/>
                <w:sz w:val="18"/>
                <w:lang w:val="en-US" w:eastAsia="zh-CN"/>
              </w:rPr>
            </w:pPr>
            <w:r>
              <w:rPr>
                <w:rFonts w:hint="eastAsia"/>
                <w:b w:val="0"/>
                <w:bCs w:val="0"/>
                <w:sz w:val="18"/>
                <w:lang w:eastAsia="zh-CN"/>
              </w:rPr>
              <w:t>数量及单位</w:t>
            </w:r>
          </w:p>
        </w:tc>
        <w:tc>
          <w:tcPr>
            <w:tcW w:w="1219" w:type="dxa"/>
            <w:noWrap w:val="0"/>
            <w:vAlign w:val="top"/>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4" w:type="dxa"/>
            <w:noWrap w:val="0"/>
            <w:vAlign w:val="center"/>
          </w:tcPr>
          <w:p>
            <w:pPr>
              <w:pStyle w:val="5"/>
              <w:spacing w:before="0" w:after="13" w:line="240" w:lineRule="atLeast"/>
              <w:ind w:left="0"/>
              <w:rPr>
                <w:rFonts w:hint="eastAsia"/>
                <w:b w:val="0"/>
                <w:bCs w:val="0"/>
                <w:sz w:val="18"/>
                <w:lang w:eastAsia="zh-CN"/>
              </w:rPr>
            </w:pPr>
            <w:r>
              <w:rPr>
                <w:rFonts w:hint="eastAsia"/>
                <w:b w:val="0"/>
                <w:bCs w:val="0"/>
                <w:sz w:val="18"/>
                <w:lang w:eastAsia="zh-CN"/>
              </w:rPr>
              <w:t>1</w:t>
            </w:r>
          </w:p>
        </w:tc>
        <w:tc>
          <w:tcPr>
            <w:tcW w:w="1926" w:type="dxa"/>
            <w:noWrap w:val="0"/>
            <w:vAlign w:val="center"/>
          </w:tcPr>
          <w:p>
            <w:pPr>
              <w:pStyle w:val="5"/>
              <w:spacing w:before="0" w:after="13" w:line="240" w:lineRule="atLeast"/>
              <w:ind w:left="0"/>
              <w:rPr>
                <w:rFonts w:hint="eastAsia"/>
                <w:b w:val="0"/>
                <w:bCs w:val="0"/>
                <w:sz w:val="18"/>
                <w:lang w:eastAsia="zh-CN"/>
              </w:rPr>
            </w:pPr>
          </w:p>
        </w:tc>
        <w:tc>
          <w:tcPr>
            <w:tcW w:w="1084" w:type="dxa"/>
            <w:noWrap w:val="0"/>
            <w:vAlign w:val="center"/>
          </w:tcPr>
          <w:p>
            <w:pPr>
              <w:pStyle w:val="5"/>
              <w:spacing w:before="0" w:after="13" w:line="240" w:lineRule="atLeast"/>
              <w:ind w:left="0"/>
              <w:rPr>
                <w:rFonts w:hint="eastAsia"/>
                <w:b w:val="0"/>
                <w:bCs w:val="0"/>
                <w:sz w:val="18"/>
                <w:lang w:eastAsia="zh-CN"/>
              </w:rPr>
            </w:pPr>
          </w:p>
        </w:tc>
        <w:tc>
          <w:tcPr>
            <w:tcW w:w="1407" w:type="dxa"/>
            <w:noWrap w:val="0"/>
            <w:vAlign w:val="center"/>
          </w:tcPr>
          <w:p>
            <w:pPr>
              <w:pStyle w:val="5"/>
              <w:spacing w:before="0" w:after="13" w:line="240" w:lineRule="atLeast"/>
              <w:ind w:left="0"/>
              <w:rPr>
                <w:rFonts w:hint="eastAsia"/>
                <w:b w:val="0"/>
                <w:bCs w:val="0"/>
                <w:sz w:val="18"/>
                <w:lang w:eastAsia="zh-CN"/>
              </w:rPr>
            </w:pPr>
          </w:p>
        </w:tc>
        <w:tc>
          <w:tcPr>
            <w:tcW w:w="1706" w:type="dxa"/>
            <w:noWrap w:val="0"/>
            <w:vAlign w:val="center"/>
          </w:tcPr>
          <w:p>
            <w:pPr>
              <w:pStyle w:val="5"/>
              <w:spacing w:before="0" w:after="13" w:line="240" w:lineRule="atLeast"/>
              <w:ind w:left="0"/>
              <w:rPr>
                <w:rFonts w:hint="eastAsia"/>
                <w:b w:val="0"/>
                <w:bCs w:val="0"/>
                <w:sz w:val="18"/>
                <w:lang w:val="en-US" w:eastAsia="zh-CN"/>
              </w:rPr>
            </w:pPr>
          </w:p>
        </w:tc>
        <w:tc>
          <w:tcPr>
            <w:tcW w:w="1219" w:type="dxa"/>
            <w:noWrap w:val="0"/>
            <w:vAlign w:val="center"/>
          </w:tcPr>
          <w:p>
            <w:pPr>
              <w:pStyle w:val="5"/>
              <w:spacing w:before="0" w:after="13" w:line="240" w:lineRule="atLeast"/>
              <w:ind w:left="0"/>
              <w:rPr>
                <w:rFonts w:hint="eastAsia"/>
                <w:b w:val="0"/>
                <w:bCs w:val="0"/>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4" w:type="dxa"/>
            <w:noWrap w:val="0"/>
            <w:vAlign w:val="center"/>
          </w:tcPr>
          <w:p>
            <w:pPr>
              <w:pStyle w:val="5"/>
              <w:spacing w:before="0" w:after="13" w:line="240" w:lineRule="atLeast"/>
              <w:ind w:left="0"/>
              <w:rPr>
                <w:rFonts w:hint="eastAsia"/>
                <w:b w:val="0"/>
                <w:bCs w:val="0"/>
                <w:sz w:val="18"/>
                <w:lang w:eastAsia="zh-CN"/>
              </w:rPr>
            </w:pPr>
            <w:r>
              <w:rPr>
                <w:rFonts w:hint="eastAsia"/>
                <w:b w:val="0"/>
                <w:bCs w:val="0"/>
                <w:sz w:val="18"/>
                <w:lang w:eastAsia="zh-CN"/>
              </w:rPr>
              <w:t>2</w:t>
            </w:r>
          </w:p>
        </w:tc>
        <w:tc>
          <w:tcPr>
            <w:tcW w:w="1926" w:type="dxa"/>
            <w:noWrap w:val="0"/>
            <w:vAlign w:val="center"/>
          </w:tcPr>
          <w:p>
            <w:pPr>
              <w:pStyle w:val="5"/>
              <w:spacing w:before="0" w:after="13" w:line="240" w:lineRule="atLeast"/>
              <w:ind w:left="0"/>
              <w:rPr>
                <w:rFonts w:hint="eastAsia"/>
                <w:b w:val="0"/>
                <w:bCs w:val="0"/>
                <w:sz w:val="18"/>
                <w:lang w:eastAsia="zh-CN"/>
              </w:rPr>
            </w:pPr>
          </w:p>
        </w:tc>
        <w:tc>
          <w:tcPr>
            <w:tcW w:w="1084" w:type="dxa"/>
            <w:noWrap w:val="0"/>
            <w:vAlign w:val="center"/>
          </w:tcPr>
          <w:p>
            <w:pPr>
              <w:pStyle w:val="5"/>
              <w:spacing w:before="0" w:after="13" w:line="240" w:lineRule="atLeast"/>
              <w:ind w:left="0"/>
              <w:rPr>
                <w:rFonts w:hint="eastAsia"/>
                <w:b w:val="0"/>
                <w:bCs w:val="0"/>
                <w:sz w:val="18"/>
                <w:lang w:eastAsia="zh-CN"/>
              </w:rPr>
            </w:pPr>
          </w:p>
        </w:tc>
        <w:tc>
          <w:tcPr>
            <w:tcW w:w="1407" w:type="dxa"/>
            <w:noWrap w:val="0"/>
            <w:vAlign w:val="center"/>
          </w:tcPr>
          <w:p>
            <w:pPr>
              <w:pStyle w:val="5"/>
              <w:spacing w:before="0" w:after="13" w:line="240" w:lineRule="atLeast"/>
              <w:ind w:left="0"/>
              <w:rPr>
                <w:rFonts w:hint="eastAsia"/>
                <w:b w:val="0"/>
                <w:bCs w:val="0"/>
                <w:sz w:val="18"/>
                <w:lang w:eastAsia="zh-CN"/>
              </w:rPr>
            </w:pPr>
          </w:p>
        </w:tc>
        <w:tc>
          <w:tcPr>
            <w:tcW w:w="1706" w:type="dxa"/>
            <w:noWrap w:val="0"/>
            <w:vAlign w:val="center"/>
          </w:tcPr>
          <w:p>
            <w:pPr>
              <w:pStyle w:val="5"/>
              <w:spacing w:before="0" w:after="13" w:line="240" w:lineRule="atLeast"/>
              <w:ind w:left="0"/>
              <w:rPr>
                <w:rFonts w:hint="eastAsia"/>
                <w:b w:val="0"/>
                <w:bCs w:val="0"/>
                <w:sz w:val="18"/>
                <w:lang w:val="en-US" w:eastAsia="zh-CN"/>
              </w:rPr>
            </w:pPr>
          </w:p>
        </w:tc>
        <w:tc>
          <w:tcPr>
            <w:tcW w:w="1219" w:type="dxa"/>
            <w:noWrap w:val="0"/>
            <w:vAlign w:val="center"/>
          </w:tcPr>
          <w:p>
            <w:pPr>
              <w:pStyle w:val="5"/>
              <w:spacing w:before="0" w:after="13" w:line="240" w:lineRule="atLeast"/>
              <w:ind w:left="0"/>
              <w:rPr>
                <w:rFonts w:hint="eastAsia"/>
                <w:b w:val="0"/>
                <w:bCs w:val="0"/>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6" w:type="dxa"/>
            <w:gridSpan w:val="6"/>
            <w:noWrap w:val="0"/>
            <w:vAlign w:val="center"/>
          </w:tcPr>
          <w:p>
            <w:pPr>
              <w:pStyle w:val="5"/>
              <w:spacing w:before="0" w:after="13" w:line="240" w:lineRule="atLeast"/>
              <w:ind w:left="0"/>
              <w:rPr>
                <w:rFonts w:hint="default"/>
                <w:b w:val="0"/>
                <w:bCs w:val="0"/>
                <w:sz w:val="18"/>
                <w:lang w:val="en-US" w:eastAsia="zh-CN"/>
              </w:rPr>
            </w:pPr>
            <w:r>
              <w:rPr>
                <w:rFonts w:hint="eastAsia"/>
                <w:b w:val="0"/>
                <w:bCs w:val="0"/>
                <w:sz w:val="18"/>
                <w:lang w:eastAsia="zh-CN"/>
              </w:rPr>
              <w:t>小写：￥</w:t>
            </w:r>
            <w:r>
              <w:rPr>
                <w:rFonts w:hint="eastAsia"/>
                <w:b w:val="0"/>
                <w:bCs w:val="0"/>
                <w:sz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6" w:type="dxa"/>
            <w:gridSpan w:val="6"/>
            <w:noWrap w:val="0"/>
            <w:vAlign w:val="center"/>
          </w:tcPr>
          <w:p>
            <w:pPr>
              <w:pStyle w:val="5"/>
              <w:spacing w:before="0" w:after="13" w:line="240" w:lineRule="atLeast"/>
              <w:ind w:left="0"/>
              <w:rPr>
                <w:rFonts w:hint="eastAsia"/>
                <w:b w:val="0"/>
                <w:bCs w:val="0"/>
                <w:sz w:val="18"/>
                <w:lang w:eastAsia="zh-CN"/>
              </w:rPr>
            </w:pPr>
            <w:r>
              <w:rPr>
                <w:rFonts w:hint="eastAsia"/>
                <w:b w:val="0"/>
                <w:bCs w:val="0"/>
                <w:sz w:val="18"/>
                <w:lang w:eastAsia="zh-CN"/>
              </w:rPr>
              <w:t>大写：</w:t>
            </w:r>
          </w:p>
        </w:tc>
      </w:tr>
    </w:tbl>
    <w:p>
      <w:pPr>
        <w:pStyle w:val="5"/>
        <w:spacing w:before="0" w:after="13" w:line="240" w:lineRule="atLeast"/>
        <w:ind w:left="0"/>
        <w:rPr>
          <w:rFonts w:hint="eastAsia"/>
          <w:sz w:val="18"/>
          <w:lang w:eastAsia="zh-CN"/>
        </w:rPr>
      </w:pPr>
      <w:r>
        <w:rPr>
          <w:rFonts w:hint="eastAsia"/>
          <w:sz w:val="18"/>
          <w:lang w:eastAsia="zh-CN"/>
        </w:rPr>
        <w:t>租赁设备：</w:t>
      </w:r>
    </w:p>
    <w:tbl>
      <w:tblPr>
        <w:tblStyle w:val="54"/>
        <w:tblW w:w="8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926"/>
        <w:gridCol w:w="1084"/>
        <w:gridCol w:w="1407"/>
        <w:gridCol w:w="1706"/>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94" w:type="dxa"/>
            <w:noWrap w:val="0"/>
            <w:vAlign w:val="center"/>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序号</w:t>
            </w:r>
          </w:p>
        </w:tc>
        <w:tc>
          <w:tcPr>
            <w:tcW w:w="1926" w:type="dxa"/>
            <w:noWrap w:val="0"/>
            <w:vAlign w:val="top"/>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设备名称</w:t>
            </w:r>
          </w:p>
        </w:tc>
        <w:tc>
          <w:tcPr>
            <w:tcW w:w="1084" w:type="dxa"/>
            <w:noWrap w:val="0"/>
            <w:vAlign w:val="top"/>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品牌</w:t>
            </w:r>
          </w:p>
        </w:tc>
        <w:tc>
          <w:tcPr>
            <w:tcW w:w="1407" w:type="dxa"/>
            <w:noWrap w:val="0"/>
            <w:vAlign w:val="top"/>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型号规格</w:t>
            </w:r>
          </w:p>
        </w:tc>
        <w:tc>
          <w:tcPr>
            <w:tcW w:w="1706" w:type="dxa"/>
            <w:noWrap w:val="0"/>
            <w:vAlign w:val="top"/>
          </w:tcPr>
          <w:p>
            <w:pPr>
              <w:pStyle w:val="5"/>
              <w:spacing w:before="0" w:after="13" w:line="240" w:lineRule="atLeast"/>
              <w:ind w:left="0"/>
              <w:jc w:val="center"/>
              <w:rPr>
                <w:rFonts w:hint="eastAsia"/>
                <w:b w:val="0"/>
                <w:bCs w:val="0"/>
                <w:sz w:val="18"/>
                <w:lang w:val="en-US" w:eastAsia="zh-CN"/>
              </w:rPr>
            </w:pPr>
            <w:r>
              <w:rPr>
                <w:rFonts w:hint="eastAsia"/>
                <w:b w:val="0"/>
                <w:bCs w:val="0"/>
                <w:sz w:val="18"/>
                <w:lang w:eastAsia="zh-CN"/>
              </w:rPr>
              <w:t>数量及单位</w:t>
            </w:r>
          </w:p>
        </w:tc>
        <w:tc>
          <w:tcPr>
            <w:tcW w:w="1219" w:type="dxa"/>
            <w:noWrap w:val="0"/>
            <w:vAlign w:val="top"/>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4" w:type="dxa"/>
            <w:noWrap w:val="0"/>
            <w:vAlign w:val="center"/>
          </w:tcPr>
          <w:p>
            <w:pPr>
              <w:pStyle w:val="5"/>
              <w:spacing w:before="0" w:after="13" w:line="240" w:lineRule="atLeast"/>
              <w:ind w:left="0"/>
              <w:rPr>
                <w:rFonts w:hint="eastAsia"/>
                <w:b w:val="0"/>
                <w:bCs w:val="0"/>
                <w:sz w:val="18"/>
                <w:lang w:eastAsia="zh-CN"/>
              </w:rPr>
            </w:pPr>
            <w:r>
              <w:rPr>
                <w:rFonts w:hint="eastAsia"/>
                <w:b w:val="0"/>
                <w:bCs w:val="0"/>
                <w:sz w:val="18"/>
                <w:lang w:eastAsia="zh-CN"/>
              </w:rPr>
              <w:t>1</w:t>
            </w:r>
          </w:p>
        </w:tc>
        <w:tc>
          <w:tcPr>
            <w:tcW w:w="1926" w:type="dxa"/>
            <w:noWrap w:val="0"/>
            <w:vAlign w:val="center"/>
          </w:tcPr>
          <w:p>
            <w:pPr>
              <w:pStyle w:val="5"/>
              <w:spacing w:before="0" w:after="13" w:line="240" w:lineRule="atLeast"/>
              <w:ind w:left="0"/>
              <w:rPr>
                <w:rFonts w:hint="eastAsia"/>
                <w:b w:val="0"/>
                <w:bCs w:val="0"/>
                <w:sz w:val="18"/>
                <w:lang w:eastAsia="zh-CN"/>
              </w:rPr>
            </w:pPr>
          </w:p>
        </w:tc>
        <w:tc>
          <w:tcPr>
            <w:tcW w:w="1084" w:type="dxa"/>
            <w:noWrap w:val="0"/>
            <w:vAlign w:val="center"/>
          </w:tcPr>
          <w:p>
            <w:pPr>
              <w:pStyle w:val="5"/>
              <w:spacing w:before="0" w:after="13" w:line="240" w:lineRule="atLeast"/>
              <w:ind w:left="0"/>
              <w:rPr>
                <w:rFonts w:hint="eastAsia"/>
                <w:b w:val="0"/>
                <w:bCs w:val="0"/>
                <w:sz w:val="18"/>
                <w:lang w:eastAsia="zh-CN"/>
              </w:rPr>
            </w:pPr>
          </w:p>
        </w:tc>
        <w:tc>
          <w:tcPr>
            <w:tcW w:w="1407" w:type="dxa"/>
            <w:noWrap w:val="0"/>
            <w:vAlign w:val="center"/>
          </w:tcPr>
          <w:p>
            <w:pPr>
              <w:pStyle w:val="5"/>
              <w:spacing w:before="0" w:after="13" w:line="240" w:lineRule="atLeast"/>
              <w:ind w:left="0"/>
              <w:rPr>
                <w:rFonts w:hint="eastAsia"/>
                <w:b w:val="0"/>
                <w:bCs w:val="0"/>
                <w:sz w:val="18"/>
                <w:lang w:eastAsia="zh-CN"/>
              </w:rPr>
            </w:pPr>
          </w:p>
        </w:tc>
        <w:tc>
          <w:tcPr>
            <w:tcW w:w="1706" w:type="dxa"/>
            <w:noWrap w:val="0"/>
            <w:vAlign w:val="center"/>
          </w:tcPr>
          <w:p>
            <w:pPr>
              <w:pStyle w:val="5"/>
              <w:spacing w:before="0" w:after="13" w:line="240" w:lineRule="atLeast"/>
              <w:ind w:left="0"/>
              <w:rPr>
                <w:rFonts w:hint="eastAsia"/>
                <w:b w:val="0"/>
                <w:bCs w:val="0"/>
                <w:sz w:val="18"/>
                <w:lang w:val="en-US" w:eastAsia="zh-CN"/>
              </w:rPr>
            </w:pPr>
          </w:p>
        </w:tc>
        <w:tc>
          <w:tcPr>
            <w:tcW w:w="1219" w:type="dxa"/>
            <w:noWrap w:val="0"/>
            <w:vAlign w:val="center"/>
          </w:tcPr>
          <w:p>
            <w:pPr>
              <w:pStyle w:val="5"/>
              <w:spacing w:before="0" w:after="13" w:line="240" w:lineRule="atLeast"/>
              <w:ind w:left="0"/>
              <w:rPr>
                <w:rFonts w:hint="eastAsia"/>
                <w:b w:val="0"/>
                <w:bCs w:val="0"/>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4" w:type="dxa"/>
            <w:noWrap w:val="0"/>
            <w:vAlign w:val="center"/>
          </w:tcPr>
          <w:p>
            <w:pPr>
              <w:pStyle w:val="5"/>
              <w:spacing w:before="0" w:after="13" w:line="240" w:lineRule="atLeast"/>
              <w:ind w:left="0"/>
              <w:rPr>
                <w:rFonts w:hint="eastAsia"/>
                <w:b w:val="0"/>
                <w:bCs w:val="0"/>
                <w:sz w:val="18"/>
                <w:lang w:eastAsia="zh-CN"/>
              </w:rPr>
            </w:pPr>
            <w:r>
              <w:rPr>
                <w:rFonts w:hint="eastAsia"/>
                <w:b w:val="0"/>
                <w:bCs w:val="0"/>
                <w:sz w:val="18"/>
                <w:lang w:eastAsia="zh-CN"/>
              </w:rPr>
              <w:t>2</w:t>
            </w:r>
          </w:p>
        </w:tc>
        <w:tc>
          <w:tcPr>
            <w:tcW w:w="1926" w:type="dxa"/>
            <w:noWrap w:val="0"/>
            <w:vAlign w:val="center"/>
          </w:tcPr>
          <w:p>
            <w:pPr>
              <w:pStyle w:val="5"/>
              <w:spacing w:before="0" w:after="13" w:line="240" w:lineRule="atLeast"/>
              <w:ind w:left="0"/>
              <w:rPr>
                <w:rFonts w:hint="eastAsia"/>
                <w:b w:val="0"/>
                <w:bCs w:val="0"/>
                <w:sz w:val="18"/>
                <w:lang w:eastAsia="zh-CN"/>
              </w:rPr>
            </w:pPr>
          </w:p>
        </w:tc>
        <w:tc>
          <w:tcPr>
            <w:tcW w:w="1084" w:type="dxa"/>
            <w:noWrap w:val="0"/>
            <w:vAlign w:val="center"/>
          </w:tcPr>
          <w:p>
            <w:pPr>
              <w:pStyle w:val="5"/>
              <w:spacing w:before="0" w:after="13" w:line="240" w:lineRule="atLeast"/>
              <w:ind w:left="0"/>
              <w:rPr>
                <w:rFonts w:hint="eastAsia"/>
                <w:b w:val="0"/>
                <w:bCs w:val="0"/>
                <w:sz w:val="18"/>
                <w:lang w:eastAsia="zh-CN"/>
              </w:rPr>
            </w:pPr>
          </w:p>
        </w:tc>
        <w:tc>
          <w:tcPr>
            <w:tcW w:w="1407" w:type="dxa"/>
            <w:noWrap w:val="0"/>
            <w:vAlign w:val="center"/>
          </w:tcPr>
          <w:p>
            <w:pPr>
              <w:pStyle w:val="5"/>
              <w:spacing w:before="0" w:after="13" w:line="240" w:lineRule="atLeast"/>
              <w:ind w:left="0"/>
              <w:rPr>
                <w:rFonts w:hint="eastAsia"/>
                <w:b w:val="0"/>
                <w:bCs w:val="0"/>
                <w:sz w:val="18"/>
                <w:lang w:eastAsia="zh-CN"/>
              </w:rPr>
            </w:pPr>
          </w:p>
        </w:tc>
        <w:tc>
          <w:tcPr>
            <w:tcW w:w="1706" w:type="dxa"/>
            <w:noWrap w:val="0"/>
            <w:vAlign w:val="center"/>
          </w:tcPr>
          <w:p>
            <w:pPr>
              <w:pStyle w:val="5"/>
              <w:spacing w:before="0" w:after="13" w:line="240" w:lineRule="atLeast"/>
              <w:ind w:left="0"/>
              <w:rPr>
                <w:rFonts w:hint="eastAsia"/>
                <w:b w:val="0"/>
                <w:bCs w:val="0"/>
                <w:sz w:val="18"/>
                <w:lang w:val="en-US" w:eastAsia="zh-CN"/>
              </w:rPr>
            </w:pPr>
          </w:p>
        </w:tc>
        <w:tc>
          <w:tcPr>
            <w:tcW w:w="1219" w:type="dxa"/>
            <w:noWrap w:val="0"/>
            <w:vAlign w:val="center"/>
          </w:tcPr>
          <w:p>
            <w:pPr>
              <w:pStyle w:val="5"/>
              <w:spacing w:before="0" w:after="13" w:line="240" w:lineRule="atLeast"/>
              <w:ind w:left="0"/>
              <w:rPr>
                <w:rFonts w:hint="eastAsia"/>
                <w:b w:val="0"/>
                <w:bCs w:val="0"/>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6" w:type="dxa"/>
            <w:gridSpan w:val="6"/>
            <w:noWrap w:val="0"/>
            <w:vAlign w:val="center"/>
          </w:tcPr>
          <w:p>
            <w:pPr>
              <w:pStyle w:val="5"/>
              <w:spacing w:before="0" w:after="13" w:line="240" w:lineRule="atLeast"/>
              <w:ind w:left="0"/>
              <w:rPr>
                <w:rFonts w:hint="default"/>
                <w:b w:val="0"/>
                <w:bCs w:val="0"/>
                <w:sz w:val="18"/>
                <w:lang w:val="en-US" w:eastAsia="zh-CN"/>
              </w:rPr>
            </w:pPr>
            <w:r>
              <w:rPr>
                <w:rFonts w:hint="eastAsia"/>
                <w:b w:val="0"/>
                <w:bCs w:val="0"/>
                <w:sz w:val="18"/>
                <w:lang w:eastAsia="zh-CN"/>
              </w:rPr>
              <w:t>小写：￥</w:t>
            </w:r>
            <w:r>
              <w:rPr>
                <w:rFonts w:hint="eastAsia"/>
                <w:b w:val="0"/>
                <w:bCs w:val="0"/>
                <w:sz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6" w:type="dxa"/>
            <w:gridSpan w:val="6"/>
            <w:noWrap w:val="0"/>
            <w:vAlign w:val="center"/>
          </w:tcPr>
          <w:p>
            <w:pPr>
              <w:pStyle w:val="5"/>
              <w:spacing w:before="0" w:after="13" w:line="240" w:lineRule="atLeast"/>
              <w:ind w:left="0"/>
              <w:rPr>
                <w:rFonts w:hint="eastAsia"/>
                <w:b w:val="0"/>
                <w:bCs w:val="0"/>
                <w:sz w:val="18"/>
                <w:lang w:eastAsia="zh-CN"/>
              </w:rPr>
            </w:pPr>
            <w:r>
              <w:rPr>
                <w:rFonts w:hint="eastAsia"/>
                <w:b w:val="0"/>
                <w:bCs w:val="0"/>
                <w:sz w:val="18"/>
                <w:lang w:eastAsia="zh-CN"/>
              </w:rPr>
              <w:t>大写：</w:t>
            </w:r>
          </w:p>
        </w:tc>
      </w:tr>
    </w:tbl>
    <w:p>
      <w:pPr>
        <w:pStyle w:val="29"/>
        <w:snapToGrid w:val="0"/>
        <w:spacing w:beforeLines="0" w:afterLines="0" w:line="360" w:lineRule="auto"/>
        <w:ind w:left="6300" w:leftChars="0" w:firstLine="420" w:firstLineChars="0"/>
        <w:jc w:val="left"/>
        <w:rPr>
          <w:rFonts w:hint="eastAsia"/>
          <w:w w:val="95"/>
          <w:sz w:val="18"/>
          <w:szCs w:val="17"/>
        </w:rPr>
      </w:pPr>
      <w:r>
        <w:rPr>
          <w:rFonts w:hint="eastAsia"/>
          <w:w w:val="95"/>
          <w:sz w:val="18"/>
          <w:szCs w:val="17"/>
        </w:rPr>
        <w:t>金额单</w:t>
      </w:r>
      <w:r>
        <w:rPr>
          <w:rFonts w:hint="eastAsia"/>
          <w:w w:val="95"/>
          <w:sz w:val="18"/>
          <w:szCs w:val="17"/>
          <w:lang w:eastAsia="zh-CN"/>
        </w:rPr>
        <w:t>位</w:t>
      </w:r>
      <w:r>
        <w:rPr>
          <w:rFonts w:hint="eastAsia"/>
          <w:w w:val="95"/>
          <w:sz w:val="18"/>
          <w:szCs w:val="17"/>
        </w:rPr>
        <w:t>：元</w:t>
      </w:r>
    </w:p>
    <w:p>
      <w:pPr>
        <w:spacing w:line="240" w:lineRule="atLeast"/>
        <w:rPr>
          <w:sz w:val="18"/>
          <w:szCs w:val="17"/>
        </w:rPr>
      </w:pPr>
      <w:r>
        <w:rPr>
          <w:rFonts w:hint="eastAsia"/>
          <w:w w:val="95"/>
          <w:sz w:val="20"/>
        </w:rPr>
        <w:t>注：</w:t>
      </w:r>
      <w:r>
        <w:rPr>
          <w:sz w:val="18"/>
          <w:szCs w:val="17"/>
        </w:rPr>
        <w:t>1</w:t>
      </w:r>
      <w:r>
        <w:rPr>
          <w:rFonts w:hint="eastAsia"/>
          <w:sz w:val="18"/>
          <w:szCs w:val="17"/>
        </w:rPr>
        <w:t>、商品型号、数量、配置要求及使用单位地址等详见附件清单</w:t>
      </w:r>
    </w:p>
    <w:p>
      <w:pPr>
        <w:pStyle w:val="22"/>
        <w:spacing w:line="240" w:lineRule="atLeast"/>
        <w:ind w:left="126" w:leftChars="60" w:firstLine="288"/>
        <w:rPr>
          <w:sz w:val="18"/>
        </w:rPr>
      </w:pPr>
      <w:r>
        <w:rPr>
          <w:sz w:val="18"/>
        </w:rPr>
        <w:t>2</w:t>
      </w:r>
      <w:r>
        <w:rPr>
          <w:rFonts w:hint="eastAsia"/>
          <w:sz w:val="18"/>
        </w:rPr>
        <w:t>、以上合同总价包含货物到达</w:t>
      </w:r>
      <w:r>
        <w:rPr>
          <w:rFonts w:hint="eastAsia"/>
          <w:sz w:val="18"/>
          <w:lang w:eastAsia="zh-CN"/>
        </w:rPr>
        <w:t>甲方</w:t>
      </w:r>
      <w:r>
        <w:rPr>
          <w:rFonts w:hint="eastAsia"/>
          <w:sz w:val="18"/>
        </w:rPr>
        <w:t>并能正常使用所需的一切费用，包括但不限于包装费、运输费、装卸费、保险费、安装调试费、技术服务费、培训费以及保修费、税费等。</w:t>
      </w:r>
    </w:p>
    <w:p>
      <w:pPr>
        <w:pStyle w:val="5"/>
        <w:spacing w:before="0" w:line="240" w:lineRule="atLeast"/>
        <w:ind w:left="0"/>
        <w:rPr>
          <w:sz w:val="18"/>
        </w:rPr>
      </w:pPr>
      <w:r>
        <w:rPr>
          <w:rFonts w:hint="eastAsia"/>
          <w:sz w:val="18"/>
        </w:rPr>
        <w:t>二、技术资料</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1、</w:t>
      </w:r>
      <w:r>
        <w:rPr>
          <w:rFonts w:hint="eastAsia"/>
          <w:sz w:val="18"/>
        </w:rPr>
        <w:t>乙方应按招标文件规定的时间向甲方提供使用货物</w:t>
      </w:r>
      <w:r>
        <w:rPr>
          <w:rFonts w:hint="eastAsia"/>
          <w:sz w:val="18"/>
          <w:lang w:eastAsia="zh-CN"/>
        </w:rPr>
        <w:t>（货物包括耗材和设备）</w:t>
      </w:r>
      <w:r>
        <w:rPr>
          <w:rFonts w:hint="eastAsia"/>
          <w:sz w:val="18"/>
        </w:rPr>
        <w:t>的有关技术资料。</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2、</w:t>
      </w:r>
      <w:r>
        <w:rPr>
          <w:rFonts w:hint="eastAsia"/>
          <w:sz w:val="18"/>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
        <w:spacing w:before="0" w:line="240" w:lineRule="atLeast"/>
        <w:ind w:left="0"/>
        <w:rPr>
          <w:sz w:val="18"/>
        </w:rPr>
      </w:pPr>
      <w:r>
        <w:rPr>
          <w:rFonts w:hint="eastAsia"/>
          <w:sz w:val="18"/>
        </w:rPr>
        <w:t>三、知识产权</w:t>
      </w:r>
    </w:p>
    <w:p>
      <w:pPr>
        <w:spacing w:line="240" w:lineRule="auto"/>
        <w:ind w:left="0" w:leftChars="0" w:firstLine="360" w:firstLineChars="200"/>
        <w:rPr>
          <w:sz w:val="18"/>
          <w:highlight w:val="none"/>
        </w:rPr>
      </w:pPr>
      <w:r>
        <w:rPr>
          <w:rFonts w:hint="eastAsia"/>
          <w:sz w:val="18"/>
        </w:rPr>
        <w:t>乙方应保证所提供的货物或其任何一部分均不会侵犯任何第三方的知识产</w:t>
      </w:r>
      <w:r>
        <w:rPr>
          <w:rFonts w:hint="eastAsia" w:ascii="宋体" w:hAnsi="宋体" w:eastAsia="宋体" w:cs="宋体"/>
          <w:kern w:val="0"/>
          <w:sz w:val="18"/>
          <w:szCs w:val="22"/>
          <w:lang w:val="zh-CN" w:eastAsia="zh-CN" w:bidi="ar-SA"/>
        </w:rPr>
        <w:t>权。</w:t>
      </w:r>
      <w:r>
        <w:rPr>
          <w:rFonts w:hint="eastAsia" w:ascii="宋体" w:hAnsi="宋体" w:eastAsia="宋体" w:cs="宋体"/>
          <w:kern w:val="0"/>
          <w:sz w:val="18"/>
          <w:szCs w:val="22"/>
          <w:highlight w:val="none"/>
          <w:lang w:val="zh-CN" w:eastAsia="zh-CN" w:bidi="ar-SA"/>
        </w:rPr>
        <w:t>乙方应承担由此可能产生的一切法律责任和费用。</w:t>
      </w:r>
    </w:p>
    <w:p>
      <w:pPr>
        <w:pStyle w:val="5"/>
        <w:spacing w:before="0" w:line="240" w:lineRule="atLeast"/>
        <w:ind w:left="0"/>
        <w:rPr>
          <w:sz w:val="18"/>
        </w:rPr>
      </w:pPr>
      <w:r>
        <w:rPr>
          <w:rFonts w:hint="eastAsia"/>
          <w:sz w:val="18"/>
        </w:rPr>
        <w:t>四、产权担保</w:t>
      </w:r>
    </w:p>
    <w:p>
      <w:pPr>
        <w:pStyle w:val="22"/>
        <w:spacing w:line="240" w:lineRule="atLeast"/>
        <w:ind w:firstLine="361" w:firstLineChars="200"/>
        <w:rPr>
          <w:sz w:val="18"/>
        </w:rPr>
      </w:pPr>
      <w:r>
        <w:rPr>
          <w:rFonts w:hint="eastAsia"/>
          <w:sz w:val="18"/>
        </w:rPr>
        <w:t>乙方保证所交付的货物的所有权完全属于乙方且无任何抵押、查封等产权瑕疵。</w:t>
      </w:r>
    </w:p>
    <w:p>
      <w:pPr>
        <w:pStyle w:val="5"/>
        <w:spacing w:before="0" w:line="240" w:lineRule="atLeast"/>
        <w:ind w:left="0"/>
        <w:rPr>
          <w:sz w:val="18"/>
        </w:rPr>
      </w:pPr>
      <w:r>
        <w:rPr>
          <w:rFonts w:hint="eastAsia"/>
          <w:sz w:val="18"/>
        </w:rPr>
        <w:t>五、转包或分包</w:t>
      </w:r>
    </w:p>
    <w:p>
      <w:pPr>
        <w:pStyle w:val="22"/>
        <w:spacing w:line="240" w:lineRule="atLeast"/>
        <w:ind w:firstLine="361" w:firstLineChars="200"/>
        <w:rPr>
          <w:sz w:val="18"/>
        </w:rPr>
      </w:pPr>
      <w:r>
        <w:rPr>
          <w:rFonts w:hint="eastAsia"/>
          <w:sz w:val="18"/>
        </w:rPr>
        <w:t>本合同范围的货物，应由乙方直接供应，不得转让他人供应，否则，甲方有权解除合同，没收</w:t>
      </w:r>
      <w:r>
        <w:rPr>
          <w:rFonts w:hint="eastAsia"/>
          <w:sz w:val="18"/>
          <w:lang w:eastAsia="zh-CN"/>
        </w:rPr>
        <w:t>质量</w:t>
      </w:r>
      <w:r>
        <w:rPr>
          <w:rFonts w:hint="eastAsia"/>
          <w:sz w:val="18"/>
        </w:rPr>
        <w:t>保证金并追究乙方的违约责任。</w:t>
      </w:r>
    </w:p>
    <w:p>
      <w:pPr>
        <w:pStyle w:val="5"/>
        <w:spacing w:before="0" w:line="240" w:lineRule="atLeast"/>
        <w:ind w:left="0"/>
        <w:rPr>
          <w:sz w:val="18"/>
        </w:rPr>
      </w:pPr>
      <w:r>
        <w:rPr>
          <w:rFonts w:hint="eastAsia"/>
          <w:sz w:val="18"/>
        </w:rPr>
        <w:t>六、质保期和质保金</w:t>
      </w:r>
    </w:p>
    <w:p>
      <w:pPr>
        <w:pStyle w:val="329"/>
        <w:numPr>
          <w:ilvl w:val="0"/>
          <w:numId w:val="0"/>
        </w:numPr>
        <w:tabs>
          <w:tab w:val="left" w:pos="522"/>
        </w:tabs>
        <w:spacing w:before="0" w:line="240" w:lineRule="atLeast"/>
        <w:ind w:firstLine="336" w:firstLineChars="200"/>
        <w:rPr>
          <w:sz w:val="18"/>
          <w:highlight w:val="none"/>
        </w:rPr>
      </w:pPr>
      <w:r>
        <w:rPr>
          <w:rFonts w:hint="eastAsia"/>
          <w:spacing w:val="-6"/>
          <w:sz w:val="18"/>
          <w:highlight w:val="none"/>
          <w:lang w:val="en-US" w:eastAsia="zh-CN"/>
        </w:rPr>
        <w:t>1、</w:t>
      </w:r>
      <w:r>
        <w:rPr>
          <w:rFonts w:hint="eastAsia"/>
          <w:spacing w:val="-6"/>
          <w:sz w:val="18"/>
          <w:highlight w:val="none"/>
          <w:lang w:eastAsia="zh-CN"/>
        </w:rPr>
        <w:t>耗材</w:t>
      </w:r>
      <w:r>
        <w:rPr>
          <w:rFonts w:hint="eastAsia"/>
          <w:spacing w:val="-6"/>
          <w:sz w:val="18"/>
          <w:highlight w:val="none"/>
        </w:rPr>
        <w:t>质保期为</w:t>
      </w:r>
      <w:r>
        <w:rPr>
          <w:spacing w:val="-6"/>
          <w:sz w:val="18"/>
          <w:highlight w:val="none"/>
        </w:rPr>
        <w:t xml:space="preserve"> </w:t>
      </w:r>
      <w:r>
        <w:rPr>
          <w:rFonts w:ascii="Verdana"/>
          <w:sz w:val="18"/>
          <w:highlight w:val="none"/>
          <w:u w:val="single"/>
        </w:rPr>
        <w:t xml:space="preserve">     </w:t>
      </w:r>
      <w:r>
        <w:rPr>
          <w:rFonts w:hint="eastAsia"/>
          <w:sz w:val="18"/>
          <w:highlight w:val="none"/>
        </w:rPr>
        <w:t>年。（自交货验收合格之日起计）</w:t>
      </w:r>
    </w:p>
    <w:p>
      <w:pPr>
        <w:pStyle w:val="329"/>
        <w:numPr>
          <w:ilvl w:val="0"/>
          <w:numId w:val="0"/>
        </w:numPr>
        <w:tabs>
          <w:tab w:val="left" w:pos="522"/>
          <w:tab w:val="left" w:pos="1530"/>
        </w:tabs>
        <w:spacing w:before="0" w:line="240" w:lineRule="atLeast"/>
        <w:ind w:firstLine="360" w:firstLineChars="200"/>
        <w:rPr>
          <w:rFonts w:ascii="Verdana"/>
          <w:sz w:val="13"/>
          <w:highlight w:val="none"/>
        </w:rPr>
      </w:pPr>
      <w:r>
        <w:rPr>
          <w:rFonts w:hint="eastAsia"/>
          <w:sz w:val="18"/>
          <w:highlight w:val="none"/>
          <w:lang w:val="en-US" w:eastAsia="zh-CN"/>
        </w:rPr>
        <w:t>2、</w:t>
      </w:r>
      <w:r>
        <w:rPr>
          <w:rFonts w:hint="eastAsia"/>
          <w:sz w:val="18"/>
          <w:highlight w:val="none"/>
          <w:lang w:eastAsia="zh-CN"/>
        </w:rPr>
        <w:t>履约保证金</w:t>
      </w:r>
      <w:r>
        <w:rPr>
          <w:sz w:val="18"/>
          <w:highlight w:val="none"/>
          <w:u w:val="single"/>
        </w:rPr>
        <w:t xml:space="preserve">       </w:t>
      </w:r>
      <w:r>
        <w:rPr>
          <w:rFonts w:hint="eastAsia"/>
          <w:sz w:val="18"/>
          <w:highlight w:val="none"/>
        </w:rPr>
        <w:t>元。</w:t>
      </w:r>
      <w:r>
        <w:rPr>
          <w:rFonts w:ascii="Verdana" w:eastAsia="Times New Roman"/>
          <w:spacing w:val="-5"/>
          <w:sz w:val="18"/>
          <w:highlight w:val="none"/>
        </w:rPr>
        <w:t>[</w:t>
      </w:r>
      <w:r>
        <w:rPr>
          <w:rFonts w:hint="eastAsia"/>
          <w:sz w:val="18"/>
          <w:highlight w:val="none"/>
          <w:lang w:eastAsia="zh-CN"/>
        </w:rPr>
        <w:t>履约</w:t>
      </w:r>
      <w:r>
        <w:rPr>
          <w:rFonts w:hint="eastAsia"/>
          <w:sz w:val="18"/>
          <w:highlight w:val="none"/>
        </w:rPr>
        <w:t>保证金</w:t>
      </w:r>
      <w:r>
        <w:rPr>
          <w:rFonts w:hint="eastAsia"/>
          <w:sz w:val="18"/>
          <w:highlight w:val="none"/>
          <w:lang w:val="zh-CN"/>
        </w:rPr>
        <w:t>于合同签订后</w:t>
      </w:r>
      <w:r>
        <w:rPr>
          <w:rFonts w:hint="eastAsia"/>
          <w:sz w:val="18"/>
          <w:highlight w:val="none"/>
          <w:u w:val="single"/>
          <w:lang w:val="zh-CN"/>
        </w:rPr>
        <w:t xml:space="preserve">   </w:t>
      </w:r>
      <w:r>
        <w:rPr>
          <w:rFonts w:hint="eastAsia"/>
          <w:sz w:val="18"/>
          <w:highlight w:val="none"/>
          <w:u w:val="single"/>
          <w:lang w:val="en-US" w:eastAsia="zh-CN"/>
        </w:rPr>
        <w:t xml:space="preserve">  </w:t>
      </w:r>
      <w:r>
        <w:rPr>
          <w:rFonts w:hint="eastAsia"/>
          <w:sz w:val="18"/>
          <w:highlight w:val="none"/>
          <w:lang w:val="zh-CN"/>
        </w:rPr>
        <w:t>日</w:t>
      </w:r>
      <w:r>
        <w:rPr>
          <w:rFonts w:hint="eastAsia"/>
          <w:sz w:val="18"/>
          <w:highlight w:val="none"/>
        </w:rPr>
        <w:t>交给</w:t>
      </w:r>
      <w:r>
        <w:rPr>
          <w:rFonts w:hint="eastAsia"/>
          <w:sz w:val="18"/>
          <w:highlight w:val="none"/>
          <w:lang w:eastAsia="zh-CN"/>
        </w:rPr>
        <w:t>甲方</w:t>
      </w:r>
      <w:r>
        <w:rPr>
          <w:rFonts w:hint="eastAsia"/>
          <w:sz w:val="18"/>
          <w:highlight w:val="none"/>
        </w:rPr>
        <w:t>，</w:t>
      </w:r>
      <w:r>
        <w:rPr>
          <w:rFonts w:hint="eastAsia"/>
          <w:sz w:val="18"/>
          <w:szCs w:val="17"/>
          <w:highlight w:val="none"/>
        </w:rPr>
        <w:t>在验收合格</w:t>
      </w:r>
      <w:r>
        <w:rPr>
          <w:rFonts w:hint="eastAsia"/>
          <w:sz w:val="18"/>
          <w:szCs w:val="17"/>
          <w:highlight w:val="none"/>
          <w:lang w:eastAsia="zh-CN"/>
        </w:rPr>
        <w:t>后</w:t>
      </w:r>
      <w:r>
        <w:rPr>
          <w:rFonts w:hint="eastAsia" w:ascii="宋体" w:hAnsi="宋体"/>
          <w:sz w:val="18"/>
          <w:szCs w:val="17"/>
          <w:highlight w:val="none"/>
        </w:rPr>
        <w:t>履约保证金转为质量保证金；质保期满后，如无质量问题，则无息退还质量保证金。</w:t>
      </w:r>
      <w:r>
        <w:rPr>
          <w:rFonts w:ascii="Verdana" w:eastAsia="Times New Roman"/>
          <w:sz w:val="18"/>
          <w:highlight w:val="none"/>
        </w:rPr>
        <w:t>]</w:t>
      </w:r>
    </w:p>
    <w:p>
      <w:pPr>
        <w:pStyle w:val="5"/>
        <w:spacing w:before="0" w:line="240" w:lineRule="atLeast"/>
        <w:ind w:left="0"/>
        <w:rPr>
          <w:sz w:val="18"/>
        </w:rPr>
      </w:pPr>
      <w:r>
        <w:rPr>
          <w:rFonts w:hint="eastAsia"/>
          <w:sz w:val="18"/>
        </w:rPr>
        <w:t>七、交货期、交货方式及交货地点</w:t>
      </w:r>
    </w:p>
    <w:p>
      <w:pPr>
        <w:pStyle w:val="329"/>
        <w:numPr>
          <w:ilvl w:val="0"/>
          <w:numId w:val="0"/>
        </w:numPr>
        <w:tabs>
          <w:tab w:val="left" w:pos="522"/>
        </w:tabs>
        <w:spacing w:before="0" w:line="240" w:lineRule="atLeast"/>
        <w:ind w:firstLine="348" w:firstLineChars="200"/>
        <w:rPr>
          <w:rFonts w:hint="eastAsia"/>
          <w:spacing w:val="-3"/>
          <w:sz w:val="18"/>
        </w:rPr>
      </w:pPr>
      <w:r>
        <w:rPr>
          <w:rFonts w:hint="eastAsia"/>
          <w:spacing w:val="-3"/>
          <w:sz w:val="18"/>
          <w:lang w:val="en-US" w:eastAsia="zh-CN"/>
        </w:rPr>
        <w:t>1、</w:t>
      </w:r>
      <w:r>
        <w:rPr>
          <w:rFonts w:hint="eastAsia"/>
          <w:spacing w:val="-3"/>
          <w:sz w:val="18"/>
        </w:rPr>
        <w:t>交货期：</w:t>
      </w:r>
    </w:p>
    <w:p>
      <w:pPr>
        <w:pStyle w:val="329"/>
        <w:numPr>
          <w:ilvl w:val="0"/>
          <w:numId w:val="0"/>
        </w:numPr>
        <w:tabs>
          <w:tab w:val="left" w:pos="522"/>
        </w:tabs>
        <w:spacing w:before="0" w:line="240" w:lineRule="atLeast"/>
        <w:ind w:firstLine="348" w:firstLineChars="200"/>
        <w:rPr>
          <w:rFonts w:hint="eastAsia"/>
          <w:sz w:val="18"/>
        </w:rPr>
      </w:pPr>
      <w:r>
        <w:rPr>
          <w:rFonts w:hint="eastAsia"/>
          <w:spacing w:val="-3"/>
          <w:sz w:val="18"/>
          <w:lang w:eastAsia="zh-CN"/>
        </w:rPr>
        <w:t>（</w:t>
      </w:r>
      <w:r>
        <w:rPr>
          <w:rFonts w:hint="eastAsia"/>
          <w:spacing w:val="-3"/>
          <w:sz w:val="18"/>
          <w:lang w:val="en-US" w:eastAsia="zh-CN"/>
        </w:rPr>
        <w:t>1</w:t>
      </w:r>
      <w:r>
        <w:rPr>
          <w:rFonts w:hint="eastAsia"/>
          <w:spacing w:val="-3"/>
          <w:sz w:val="18"/>
          <w:lang w:eastAsia="zh-CN"/>
        </w:rPr>
        <w:t>）耗材：</w:t>
      </w:r>
      <w:r>
        <w:rPr>
          <w:rFonts w:hint="eastAsia"/>
          <w:spacing w:val="-3"/>
          <w:sz w:val="18"/>
        </w:rPr>
        <w:t>合同签订后</w:t>
      </w:r>
      <w:r>
        <w:rPr>
          <w:rFonts w:ascii="Verdana"/>
          <w:sz w:val="18"/>
          <w:u w:val="single"/>
        </w:rPr>
        <w:t xml:space="preserve">    </w:t>
      </w:r>
      <w:r>
        <w:rPr>
          <w:rFonts w:hint="eastAsia"/>
          <w:sz w:val="18"/>
        </w:rPr>
        <w:t>个工作日</w:t>
      </w:r>
    </w:p>
    <w:p>
      <w:pPr>
        <w:pStyle w:val="329"/>
        <w:numPr>
          <w:ilvl w:val="0"/>
          <w:numId w:val="0"/>
        </w:numPr>
        <w:tabs>
          <w:tab w:val="left" w:pos="522"/>
        </w:tabs>
        <w:spacing w:before="0" w:line="240" w:lineRule="atLeast"/>
        <w:ind w:firstLine="360" w:firstLineChars="200"/>
        <w:rPr>
          <w:rFonts w:hint="eastAsia"/>
          <w:sz w:val="18"/>
        </w:rPr>
      </w:pPr>
      <w:r>
        <w:rPr>
          <w:rFonts w:hint="eastAsia"/>
          <w:sz w:val="18"/>
          <w:lang w:eastAsia="zh-CN"/>
        </w:rPr>
        <w:t>（</w:t>
      </w:r>
      <w:r>
        <w:rPr>
          <w:rFonts w:hint="eastAsia"/>
          <w:sz w:val="18"/>
          <w:lang w:val="en-US" w:eastAsia="zh-CN"/>
        </w:rPr>
        <w:t>2</w:t>
      </w:r>
      <w:r>
        <w:rPr>
          <w:rFonts w:hint="eastAsia"/>
          <w:sz w:val="18"/>
          <w:lang w:eastAsia="zh-CN"/>
        </w:rPr>
        <w:t>）设备：</w:t>
      </w:r>
      <w:r>
        <w:rPr>
          <w:rFonts w:hint="eastAsia"/>
          <w:spacing w:val="-3"/>
          <w:sz w:val="18"/>
        </w:rPr>
        <w:t>合同签订后</w:t>
      </w:r>
      <w:r>
        <w:rPr>
          <w:rFonts w:ascii="Verdana"/>
          <w:sz w:val="18"/>
          <w:u w:val="single"/>
        </w:rPr>
        <w:t xml:space="preserve">    </w:t>
      </w:r>
      <w:r>
        <w:rPr>
          <w:rFonts w:hint="eastAsia"/>
          <w:sz w:val="18"/>
        </w:rPr>
        <w:t>个工作日</w:t>
      </w:r>
    </w:p>
    <w:p>
      <w:pPr>
        <w:pStyle w:val="329"/>
        <w:numPr>
          <w:ilvl w:val="0"/>
          <w:numId w:val="0"/>
        </w:numPr>
        <w:tabs>
          <w:tab w:val="left" w:pos="522"/>
        </w:tabs>
        <w:spacing w:before="0" w:line="240" w:lineRule="atLeast"/>
        <w:ind w:firstLine="340" w:firstLineChars="200"/>
        <w:rPr>
          <w:sz w:val="18"/>
        </w:rPr>
      </w:pPr>
      <w:r>
        <w:rPr>
          <w:rFonts w:hint="eastAsia"/>
          <w:spacing w:val="-5"/>
          <w:sz w:val="18"/>
          <w:lang w:val="en-US" w:eastAsia="zh-CN"/>
        </w:rPr>
        <w:t>2、</w:t>
      </w:r>
      <w:r>
        <w:rPr>
          <w:rFonts w:hint="eastAsia"/>
          <w:spacing w:val="-5"/>
          <w:sz w:val="18"/>
        </w:rPr>
        <w:t>交货方式：</w:t>
      </w:r>
      <w:r>
        <w:rPr>
          <w:spacing w:val="-5"/>
          <w:sz w:val="18"/>
        </w:rPr>
        <w:t xml:space="preserve"> </w:t>
      </w:r>
      <w:r>
        <w:rPr>
          <w:rFonts w:hint="eastAsia"/>
          <w:spacing w:val="-5"/>
          <w:sz w:val="18"/>
        </w:rPr>
        <w:t>按甲方指定地点</w:t>
      </w:r>
      <w:r>
        <w:rPr>
          <w:rFonts w:hint="eastAsia"/>
          <w:sz w:val="18"/>
        </w:rPr>
        <w:t>送货上门</w:t>
      </w:r>
    </w:p>
    <w:p>
      <w:pPr>
        <w:pStyle w:val="329"/>
        <w:numPr>
          <w:ilvl w:val="0"/>
          <w:numId w:val="0"/>
        </w:numPr>
        <w:tabs>
          <w:tab w:val="left" w:pos="522"/>
        </w:tabs>
        <w:spacing w:before="0" w:line="240" w:lineRule="atLeast"/>
        <w:ind w:firstLine="316" w:firstLineChars="200"/>
        <w:rPr>
          <w:sz w:val="18"/>
        </w:rPr>
      </w:pPr>
      <w:r>
        <w:rPr>
          <w:rFonts w:hint="eastAsia"/>
          <w:spacing w:val="-11"/>
          <w:sz w:val="18"/>
          <w:lang w:val="en-US" w:eastAsia="zh-CN"/>
        </w:rPr>
        <w:t>3、</w:t>
      </w:r>
      <w:r>
        <w:rPr>
          <w:rFonts w:hint="eastAsia"/>
          <w:spacing w:val="-11"/>
          <w:sz w:val="18"/>
        </w:rPr>
        <w:t>交货地点：</w:t>
      </w:r>
      <w:r>
        <w:rPr>
          <w:rFonts w:hint="eastAsia"/>
          <w:spacing w:val="-11"/>
          <w:sz w:val="18"/>
          <w:lang w:eastAsia="zh-CN"/>
        </w:rPr>
        <w:t>甲方指定地点</w:t>
      </w:r>
    </w:p>
    <w:p>
      <w:pPr>
        <w:tabs>
          <w:tab w:val="left" w:pos="522"/>
        </w:tabs>
        <w:spacing w:line="240" w:lineRule="atLeast"/>
        <w:ind w:right="5231" w:rightChars="2491"/>
        <w:rPr>
          <w:b/>
          <w:sz w:val="18"/>
        </w:rPr>
      </w:pPr>
      <w:r>
        <w:rPr>
          <w:rFonts w:hint="eastAsia"/>
          <w:b/>
          <w:spacing w:val="10"/>
          <w:sz w:val="18"/>
        </w:rPr>
        <w:t>八、货款支付</w:t>
      </w:r>
    </w:p>
    <w:p>
      <w:pPr>
        <w:pStyle w:val="22"/>
        <w:numPr>
          <w:ilvl w:val="0"/>
          <w:numId w:val="0"/>
        </w:numPr>
        <w:spacing w:line="240" w:lineRule="atLeast"/>
        <w:ind w:leftChars="0" w:firstLine="361" w:firstLineChars="200"/>
        <w:rPr>
          <w:sz w:val="18"/>
          <w:highlight w:val="none"/>
        </w:rPr>
      </w:pPr>
      <w:r>
        <w:rPr>
          <w:rFonts w:hint="eastAsia"/>
          <w:sz w:val="18"/>
          <w:highlight w:val="none"/>
          <w:lang w:val="en-US" w:eastAsia="zh-CN"/>
        </w:rPr>
        <w:t>1、</w:t>
      </w:r>
      <w:r>
        <w:rPr>
          <w:rFonts w:hint="eastAsia"/>
          <w:sz w:val="18"/>
          <w:highlight w:val="none"/>
        </w:rPr>
        <w:t>耗材付款：甲方对耗材验收合格后每月</w:t>
      </w:r>
      <w:r>
        <w:rPr>
          <w:rFonts w:hint="eastAsia"/>
          <w:sz w:val="18"/>
          <w:highlight w:val="none"/>
          <w:lang w:eastAsia="zh-CN"/>
        </w:rPr>
        <w:t>按</w:t>
      </w:r>
      <w:r>
        <w:rPr>
          <w:rFonts w:hint="eastAsia"/>
          <w:sz w:val="18"/>
          <w:highlight w:val="none"/>
        </w:rPr>
        <w:t>实际使用量乘以成交单价进行计算。乙方开具发票，甲方在收到乙方发票后</w:t>
      </w:r>
      <w:r>
        <w:rPr>
          <w:rFonts w:hint="eastAsia"/>
          <w:sz w:val="18"/>
          <w:highlight w:val="none"/>
          <w:u w:val="single"/>
          <w:lang w:val="en-US" w:eastAsia="zh-CN"/>
        </w:rPr>
        <w:t xml:space="preserve">       </w:t>
      </w:r>
      <w:r>
        <w:rPr>
          <w:rFonts w:hint="eastAsia"/>
          <w:sz w:val="18"/>
          <w:highlight w:val="none"/>
          <w:u w:val="none"/>
          <w:lang w:val="en-US" w:eastAsia="zh-CN"/>
        </w:rPr>
        <w:t>日</w:t>
      </w:r>
      <w:r>
        <w:rPr>
          <w:rFonts w:hint="eastAsia"/>
          <w:sz w:val="18"/>
          <w:highlight w:val="none"/>
        </w:rPr>
        <w:t>内支付。（乙方必须开具</w:t>
      </w:r>
      <w:r>
        <w:rPr>
          <w:rFonts w:hint="eastAsia"/>
          <w:sz w:val="18"/>
          <w:highlight w:val="none"/>
          <w:lang w:eastAsia="zh-CN"/>
        </w:rPr>
        <w:t>相应</w:t>
      </w:r>
      <w:r>
        <w:rPr>
          <w:rFonts w:hint="eastAsia"/>
          <w:sz w:val="18"/>
          <w:highlight w:val="none"/>
        </w:rPr>
        <w:t>金额100%的增值税</w:t>
      </w:r>
      <w:r>
        <w:rPr>
          <w:rFonts w:hint="eastAsia"/>
          <w:sz w:val="18"/>
          <w:highlight w:val="none"/>
          <w:lang w:eastAsia="zh-CN"/>
        </w:rPr>
        <w:t>专用</w:t>
      </w:r>
      <w:r>
        <w:rPr>
          <w:rFonts w:hint="eastAsia"/>
          <w:sz w:val="18"/>
          <w:highlight w:val="none"/>
        </w:rPr>
        <w:t>发票）</w:t>
      </w:r>
    </w:p>
    <w:p>
      <w:pPr>
        <w:pStyle w:val="22"/>
        <w:numPr>
          <w:ilvl w:val="0"/>
          <w:numId w:val="0"/>
        </w:numPr>
        <w:spacing w:line="240" w:lineRule="atLeast"/>
        <w:ind w:leftChars="0" w:firstLine="361" w:firstLineChars="200"/>
        <w:rPr>
          <w:sz w:val="18"/>
          <w:highlight w:val="none"/>
        </w:rPr>
      </w:pPr>
      <w:r>
        <w:rPr>
          <w:rFonts w:hint="eastAsia"/>
          <w:sz w:val="18"/>
          <w:highlight w:val="none"/>
          <w:lang w:val="en-US" w:eastAsia="zh-CN"/>
        </w:rPr>
        <w:t>2、</w:t>
      </w:r>
      <w:r>
        <w:rPr>
          <w:rFonts w:hint="eastAsia"/>
          <w:sz w:val="18"/>
          <w:highlight w:val="none"/>
          <w:lang w:eastAsia="zh-CN"/>
        </w:rPr>
        <w:t>租赁设备付款：</w:t>
      </w:r>
      <w:r>
        <w:rPr>
          <w:rFonts w:hint="eastAsia"/>
          <w:sz w:val="18"/>
          <w:highlight w:val="none"/>
        </w:rPr>
        <w:t>设备租赁费在合作期满后</w:t>
      </w:r>
      <w:r>
        <w:rPr>
          <w:rFonts w:hint="eastAsia"/>
          <w:sz w:val="18"/>
          <w:highlight w:val="none"/>
          <w:u w:val="single"/>
          <w:lang w:val="en-US" w:eastAsia="zh-CN"/>
        </w:rPr>
        <w:t xml:space="preserve">     </w:t>
      </w:r>
      <w:r>
        <w:rPr>
          <w:rFonts w:hint="eastAsia"/>
          <w:sz w:val="18"/>
          <w:highlight w:val="none"/>
          <w:u w:val="none"/>
          <w:lang w:val="en-US" w:eastAsia="zh-CN"/>
        </w:rPr>
        <w:t>日内</w:t>
      </w:r>
      <w:r>
        <w:rPr>
          <w:rFonts w:hint="eastAsia"/>
          <w:sz w:val="18"/>
          <w:highlight w:val="none"/>
        </w:rPr>
        <w:t>，</w:t>
      </w:r>
      <w:r>
        <w:rPr>
          <w:rFonts w:hint="eastAsia"/>
          <w:sz w:val="18"/>
          <w:highlight w:val="none"/>
          <w:lang w:eastAsia="zh-CN"/>
        </w:rPr>
        <w:t>按实际租赁期限计算租赁费，</w:t>
      </w:r>
      <w:r>
        <w:rPr>
          <w:rFonts w:hint="eastAsia"/>
          <w:sz w:val="18"/>
          <w:highlight w:val="none"/>
        </w:rPr>
        <w:t>乙方开具发票，甲方在收到乙方发票后</w:t>
      </w:r>
      <w:r>
        <w:rPr>
          <w:rFonts w:hint="eastAsia"/>
          <w:sz w:val="18"/>
          <w:highlight w:val="none"/>
          <w:u w:val="single"/>
          <w:lang w:val="en-US" w:eastAsia="zh-CN"/>
        </w:rPr>
        <w:t xml:space="preserve">       </w:t>
      </w:r>
      <w:r>
        <w:rPr>
          <w:rFonts w:hint="eastAsia"/>
          <w:sz w:val="18"/>
          <w:highlight w:val="none"/>
          <w:u w:val="none"/>
          <w:lang w:val="en-US" w:eastAsia="zh-CN"/>
        </w:rPr>
        <w:t>日</w:t>
      </w:r>
      <w:r>
        <w:rPr>
          <w:rFonts w:hint="eastAsia"/>
          <w:sz w:val="18"/>
          <w:highlight w:val="none"/>
        </w:rPr>
        <w:t>内一次性支付</w:t>
      </w:r>
      <w:r>
        <w:rPr>
          <w:rFonts w:hint="eastAsia"/>
          <w:sz w:val="18"/>
          <w:highlight w:val="none"/>
          <w:lang w:eastAsia="zh-CN"/>
        </w:rPr>
        <w:t>。</w:t>
      </w:r>
    </w:p>
    <w:p>
      <w:pPr>
        <w:pStyle w:val="5"/>
        <w:spacing w:before="0" w:line="240" w:lineRule="atLeast"/>
        <w:ind w:left="0"/>
        <w:rPr>
          <w:sz w:val="18"/>
        </w:rPr>
      </w:pPr>
      <w:r>
        <w:rPr>
          <w:rFonts w:hint="eastAsia"/>
          <w:sz w:val="18"/>
        </w:rPr>
        <w:t>九、税费</w:t>
      </w:r>
    </w:p>
    <w:p>
      <w:pPr>
        <w:pStyle w:val="22"/>
        <w:spacing w:line="240" w:lineRule="atLeast"/>
        <w:ind w:firstLine="361" w:firstLineChars="200"/>
        <w:rPr>
          <w:sz w:val="18"/>
        </w:rPr>
      </w:pPr>
      <w:r>
        <w:rPr>
          <w:rFonts w:hint="eastAsia"/>
          <w:sz w:val="18"/>
        </w:rPr>
        <w:t>本合同执行中相关的一切税费均由乙方负担。</w:t>
      </w:r>
    </w:p>
    <w:p>
      <w:pPr>
        <w:pStyle w:val="5"/>
        <w:spacing w:before="0" w:line="240" w:lineRule="atLeast"/>
        <w:ind w:left="0"/>
        <w:rPr>
          <w:sz w:val="18"/>
        </w:rPr>
      </w:pPr>
      <w:r>
        <w:rPr>
          <w:rFonts w:hint="eastAsia"/>
          <w:sz w:val="18"/>
        </w:rPr>
        <w:t>十、质量保证及售后服务</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1、</w:t>
      </w:r>
      <w:r>
        <w:rPr>
          <w:rFonts w:hint="eastAsia"/>
          <w:sz w:val="18"/>
        </w:rPr>
        <w:t>乙方保证本合同中所供应的</w:t>
      </w:r>
      <w:r>
        <w:rPr>
          <w:rFonts w:hint="eastAsia"/>
          <w:sz w:val="18"/>
          <w:lang w:eastAsia="zh-CN"/>
        </w:rPr>
        <w:t>货物</w:t>
      </w:r>
      <w:r>
        <w:rPr>
          <w:rFonts w:hint="eastAsia"/>
          <w:sz w:val="18"/>
        </w:rPr>
        <w:t>是最新生产的符合国家技术规格和质量标准的出厂原装合格产品。如发生所供</w:t>
      </w:r>
      <w:r>
        <w:rPr>
          <w:rFonts w:hint="eastAsia"/>
          <w:sz w:val="18"/>
          <w:lang w:eastAsia="zh-CN"/>
        </w:rPr>
        <w:t>货物</w:t>
      </w:r>
      <w:r>
        <w:rPr>
          <w:rFonts w:hint="eastAsia"/>
          <w:sz w:val="18"/>
        </w:rPr>
        <w:t>与合同不符，甲方有权拒收或退货，由此产生的一切责任和后果由乙方承担。</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2、</w:t>
      </w:r>
      <w:r>
        <w:rPr>
          <w:rFonts w:hint="eastAsia"/>
          <w:sz w:val="18"/>
        </w:rPr>
        <w:t>乙方提供的货物在质保期内因货物本身质量</w:t>
      </w:r>
      <w:r>
        <w:rPr>
          <w:rFonts w:hint="eastAsia"/>
          <w:sz w:val="18"/>
          <w:lang w:eastAsia="zh-CN"/>
        </w:rPr>
        <w:t>存在问题</w:t>
      </w:r>
      <w:r>
        <w:rPr>
          <w:rFonts w:hint="eastAsia"/>
          <w:sz w:val="18"/>
        </w:rPr>
        <w:t>，乙方应负责免费更换。对达不到</w:t>
      </w:r>
      <w:r>
        <w:rPr>
          <w:rFonts w:hint="eastAsia"/>
          <w:sz w:val="18"/>
          <w:lang w:eastAsia="zh-CN"/>
        </w:rPr>
        <w:t>质量标准</w:t>
      </w:r>
      <w:r>
        <w:rPr>
          <w:rFonts w:hint="eastAsia"/>
          <w:sz w:val="18"/>
        </w:rPr>
        <w:t>要求者，根据实际情况，经双方协商，可按以下办法处理：</w:t>
      </w:r>
    </w:p>
    <w:p>
      <w:pPr>
        <w:pStyle w:val="329"/>
        <w:numPr>
          <w:ilvl w:val="0"/>
          <w:numId w:val="0"/>
        </w:numPr>
        <w:tabs>
          <w:tab w:val="left" w:pos="797"/>
        </w:tabs>
        <w:spacing w:before="0" w:line="240" w:lineRule="atLeast"/>
        <w:ind w:firstLine="360" w:firstLineChars="200"/>
        <w:rPr>
          <w:sz w:val="18"/>
        </w:rPr>
      </w:pPr>
      <w:r>
        <w:rPr>
          <w:rFonts w:hint="eastAsia"/>
          <w:sz w:val="18"/>
          <w:lang w:eastAsia="zh-CN"/>
        </w:rPr>
        <w:t>（</w:t>
      </w:r>
      <w:r>
        <w:rPr>
          <w:rFonts w:hint="eastAsia"/>
          <w:sz w:val="18"/>
          <w:lang w:val="en-US" w:eastAsia="zh-CN"/>
        </w:rPr>
        <w:t>1</w:t>
      </w:r>
      <w:r>
        <w:rPr>
          <w:rFonts w:hint="eastAsia"/>
          <w:sz w:val="18"/>
          <w:lang w:eastAsia="zh-CN"/>
        </w:rPr>
        <w:t>）</w:t>
      </w:r>
      <w:r>
        <w:rPr>
          <w:rFonts w:hint="eastAsia"/>
          <w:sz w:val="18"/>
        </w:rPr>
        <w:t>更换：由乙方承担所发生的全部费用。</w:t>
      </w:r>
    </w:p>
    <w:p>
      <w:pPr>
        <w:pStyle w:val="329"/>
        <w:numPr>
          <w:ilvl w:val="0"/>
          <w:numId w:val="0"/>
        </w:numPr>
        <w:tabs>
          <w:tab w:val="left" w:pos="797"/>
        </w:tabs>
        <w:spacing w:before="0" w:line="240" w:lineRule="atLeast"/>
        <w:ind w:firstLine="360" w:firstLineChars="200"/>
        <w:rPr>
          <w:sz w:val="18"/>
        </w:rPr>
      </w:pPr>
      <w:r>
        <w:rPr>
          <w:rFonts w:hint="eastAsia"/>
          <w:sz w:val="18"/>
          <w:lang w:eastAsia="zh-CN"/>
        </w:rPr>
        <w:t>（</w:t>
      </w:r>
      <w:r>
        <w:rPr>
          <w:rFonts w:hint="eastAsia"/>
          <w:sz w:val="18"/>
          <w:lang w:val="en-US" w:eastAsia="zh-CN"/>
        </w:rPr>
        <w:t>2</w:t>
      </w:r>
      <w:r>
        <w:rPr>
          <w:rFonts w:hint="eastAsia"/>
          <w:sz w:val="18"/>
          <w:lang w:eastAsia="zh-CN"/>
        </w:rPr>
        <w:t>）</w:t>
      </w:r>
      <w:r>
        <w:rPr>
          <w:rFonts w:hint="eastAsia"/>
          <w:sz w:val="18"/>
        </w:rPr>
        <w:t>退货处理：乙方应退还甲方支付的合同款，同时应承担该货物的直接费用（运输、保险、检验、货款利息及银行手续费等）。</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3、</w:t>
      </w:r>
      <w:r>
        <w:rPr>
          <w:rFonts w:hint="eastAsia"/>
          <w:sz w:val="18"/>
        </w:rPr>
        <w:t>在质保期内，乙方应对货物出现的质量及安全问题负责处理解决并承担一切费用。</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4、</w:t>
      </w:r>
      <w:r>
        <w:rPr>
          <w:rFonts w:hint="eastAsia"/>
          <w:sz w:val="18"/>
          <w:lang w:eastAsia="zh-CN"/>
        </w:rPr>
        <w:t>租赁的设备</w:t>
      </w:r>
      <w:r>
        <w:rPr>
          <w:rFonts w:hint="eastAsia"/>
          <w:sz w:val="18"/>
        </w:rPr>
        <w:t>在</w:t>
      </w:r>
      <w:r>
        <w:rPr>
          <w:rFonts w:hint="eastAsia"/>
          <w:sz w:val="18"/>
          <w:lang w:eastAsia="zh-CN"/>
        </w:rPr>
        <w:t>租赁</w:t>
      </w:r>
      <w:r>
        <w:rPr>
          <w:rFonts w:hint="eastAsia"/>
          <w:sz w:val="18"/>
        </w:rPr>
        <w:t>期内免费保修，因人为因素出现的故障不在免费保修范围内。</w:t>
      </w:r>
      <w:r>
        <w:rPr>
          <w:rFonts w:hint="eastAsia"/>
          <w:sz w:val="18"/>
          <w:lang w:eastAsia="zh-CN"/>
        </w:rPr>
        <w:t>若设备发生故障，</w:t>
      </w:r>
      <w:r>
        <w:rPr>
          <w:rFonts w:hint="eastAsia"/>
          <w:sz w:val="18"/>
        </w:rPr>
        <w:t>乙方应当在甲方通知维修后</w:t>
      </w:r>
      <w:r>
        <w:rPr>
          <w:rFonts w:hint="eastAsia"/>
          <w:sz w:val="18"/>
          <w:lang w:val="en-US" w:eastAsia="zh-CN"/>
        </w:rPr>
        <w:t>2小时</w:t>
      </w:r>
      <w:r>
        <w:rPr>
          <w:rFonts w:hint="eastAsia"/>
          <w:sz w:val="18"/>
        </w:rPr>
        <w:t>内到达</w:t>
      </w:r>
      <w:r>
        <w:rPr>
          <w:rFonts w:hint="eastAsia"/>
          <w:sz w:val="18"/>
          <w:lang w:eastAsia="zh-CN"/>
        </w:rPr>
        <w:t>设备</w:t>
      </w:r>
      <w:r>
        <w:rPr>
          <w:rFonts w:hint="eastAsia"/>
          <w:sz w:val="18"/>
        </w:rPr>
        <w:t>所在地进行维修。</w:t>
      </w:r>
      <w:r>
        <w:rPr>
          <w:rFonts w:hint="eastAsia"/>
          <w:color w:val="FF0000"/>
          <w:sz w:val="18"/>
          <w:lang w:eastAsia="zh-CN"/>
        </w:rPr>
        <w:t>若设备在</w:t>
      </w:r>
      <w:r>
        <w:rPr>
          <w:rFonts w:hint="eastAsia"/>
          <w:color w:val="FF0000"/>
          <w:sz w:val="18"/>
          <w:lang w:val="en-US" w:eastAsia="zh-CN"/>
        </w:rPr>
        <w:t>X小时内无法维修，</w:t>
      </w:r>
      <w:r>
        <w:rPr>
          <w:rFonts w:hint="eastAsia"/>
          <w:sz w:val="18"/>
          <w:lang w:val="en-US" w:eastAsia="zh-CN"/>
        </w:rPr>
        <w:t>乙方应当提供备用的设备供甲方使用。</w:t>
      </w:r>
    </w:p>
    <w:p>
      <w:pPr>
        <w:pStyle w:val="5"/>
        <w:spacing w:before="0" w:line="240" w:lineRule="atLeast"/>
        <w:ind w:left="0"/>
        <w:rPr>
          <w:sz w:val="18"/>
        </w:rPr>
      </w:pPr>
      <w:r>
        <w:rPr>
          <w:rFonts w:hint="eastAsia"/>
          <w:sz w:val="18"/>
        </w:rPr>
        <w:t>十一、调试和验收</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1、</w:t>
      </w:r>
      <w:r>
        <w:rPr>
          <w:rFonts w:hint="eastAsia"/>
          <w:sz w:val="18"/>
        </w:rPr>
        <w:t>甲方对乙方提交的货物依据招标文件上的技术规格要求和国家有关质量标准进行现场验收。货到后，甲方需在二十个工作日内验收（质量等隐蔽瑕疵除外）。</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2、</w:t>
      </w:r>
      <w:r>
        <w:rPr>
          <w:rFonts w:hint="eastAsia"/>
          <w:sz w:val="18"/>
        </w:rPr>
        <w:t>乙方交货前应对</w:t>
      </w:r>
      <w:r>
        <w:rPr>
          <w:rFonts w:hint="eastAsia"/>
          <w:sz w:val="18"/>
          <w:lang w:eastAsia="zh-CN"/>
        </w:rPr>
        <w:t>货物</w:t>
      </w:r>
      <w:r>
        <w:rPr>
          <w:rFonts w:hint="eastAsia"/>
          <w:sz w:val="18"/>
        </w:rPr>
        <w:t>作出全面检查和对验收文件进行整理，并列出清单，作为甲方收货验收和使用的技术条件依据，检验的结果应随货物交甲方。</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3、</w:t>
      </w:r>
      <w:r>
        <w:rPr>
          <w:rFonts w:hint="eastAsia"/>
          <w:sz w:val="18"/>
        </w:rPr>
        <w:t>甲方对乙方提供的</w:t>
      </w:r>
      <w:r>
        <w:rPr>
          <w:rFonts w:hint="eastAsia"/>
          <w:sz w:val="18"/>
          <w:lang w:eastAsia="zh-CN"/>
        </w:rPr>
        <w:t>设备</w:t>
      </w:r>
      <w:r>
        <w:rPr>
          <w:rFonts w:hint="eastAsia"/>
          <w:sz w:val="18"/>
        </w:rPr>
        <w:t>在使用前进行调试时，乙方需负责安装并培训甲方的使用操作人员，并协助甲方一起调试，直到符合技术要求，甲方才做最终验收。</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4、</w:t>
      </w:r>
      <w:r>
        <w:rPr>
          <w:rFonts w:hint="eastAsia"/>
          <w:sz w:val="18"/>
        </w:rPr>
        <w:t>对技术复杂的货物，甲方应请国家认可的专业检测机构参与验收，并由其出具质量检测报告。</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5、</w:t>
      </w:r>
      <w:r>
        <w:rPr>
          <w:rFonts w:hint="eastAsia"/>
          <w:sz w:val="18"/>
        </w:rPr>
        <w:t>验收时乙方必须在现场，验收完毕后作出验收结果报告；验收费用由乙方负责。</w:t>
      </w:r>
    </w:p>
    <w:p>
      <w:pPr>
        <w:pStyle w:val="5"/>
        <w:spacing w:before="0" w:line="240" w:lineRule="atLeast"/>
        <w:ind w:left="0"/>
        <w:rPr>
          <w:sz w:val="18"/>
        </w:rPr>
      </w:pPr>
      <w:r>
        <w:rPr>
          <w:rFonts w:hint="eastAsia"/>
          <w:sz w:val="18"/>
        </w:rPr>
        <w:t>十二、货物包装</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1、</w:t>
      </w:r>
      <w:r>
        <w:rPr>
          <w:rFonts w:hint="eastAsia"/>
          <w:sz w:val="18"/>
        </w:rPr>
        <w:t>乙方应在货物发运前对其进行满足运输距离、防潮、防震、防锈和防破损装卸等要求包装，以保证货物安全运达甲方指定地点。</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2、</w:t>
      </w:r>
      <w:r>
        <w:rPr>
          <w:rFonts w:hint="eastAsia"/>
          <w:sz w:val="18"/>
        </w:rPr>
        <w:t>使用说明书、质量检验证明书、随配附件和工具以及清单一并附于货物内</w:t>
      </w:r>
      <w:r>
        <w:rPr>
          <w:rFonts w:hint="eastAsia"/>
          <w:spacing w:val="-1"/>
          <w:w w:val="95"/>
          <w:sz w:val="18"/>
        </w:rPr>
        <w:t>。</w:t>
      </w:r>
    </w:p>
    <w:p>
      <w:pPr>
        <w:pStyle w:val="329"/>
        <w:tabs>
          <w:tab w:val="left" w:pos="522"/>
        </w:tabs>
        <w:spacing w:before="0" w:line="240" w:lineRule="atLeast"/>
        <w:ind w:left="0" w:right="4267" w:rightChars="2032" w:firstLine="0"/>
        <w:rPr>
          <w:b/>
          <w:sz w:val="18"/>
        </w:rPr>
      </w:pPr>
      <w:r>
        <w:rPr>
          <w:rFonts w:hint="eastAsia"/>
          <w:b/>
          <w:spacing w:val="10"/>
          <w:sz w:val="18"/>
        </w:rPr>
        <w:t>十三、违约责任</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1、</w:t>
      </w:r>
      <w:r>
        <w:rPr>
          <w:rFonts w:hint="eastAsia"/>
          <w:sz w:val="18"/>
        </w:rPr>
        <w:t>甲方无正当理由拒收货物的，甲方向乙方偿付拒收货款总值的</w:t>
      </w:r>
      <w:r>
        <w:rPr>
          <w:spacing w:val="3"/>
          <w:sz w:val="18"/>
          <w:u w:val="single"/>
        </w:rPr>
        <w:t xml:space="preserve"> </w:t>
      </w:r>
      <w:r>
        <w:rPr>
          <w:rFonts w:hint="eastAsia"/>
          <w:spacing w:val="3"/>
          <w:sz w:val="18"/>
          <w:u w:val="single"/>
        </w:rPr>
        <w:t>百分之五</w:t>
      </w:r>
      <w:r>
        <w:rPr>
          <w:spacing w:val="45"/>
          <w:sz w:val="18"/>
        </w:rPr>
        <w:t xml:space="preserve"> </w:t>
      </w:r>
      <w:r>
        <w:rPr>
          <w:rFonts w:hint="eastAsia"/>
          <w:sz w:val="18"/>
        </w:rPr>
        <w:t>违约金。</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2、</w:t>
      </w:r>
      <w:r>
        <w:rPr>
          <w:rFonts w:hint="eastAsia"/>
          <w:sz w:val="18"/>
        </w:rPr>
        <w:t>乙方逾期交付货物的，乙方应按逾期交货总额每日</w:t>
      </w:r>
      <w:r>
        <w:rPr>
          <w:spacing w:val="15"/>
          <w:sz w:val="18"/>
          <w:u w:val="single"/>
        </w:rPr>
        <w:t xml:space="preserve"> </w:t>
      </w:r>
      <w:r>
        <w:rPr>
          <w:rFonts w:hint="eastAsia"/>
          <w:spacing w:val="15"/>
          <w:sz w:val="18"/>
          <w:u w:val="single"/>
        </w:rPr>
        <w:t>千分之六</w:t>
      </w:r>
      <w:r>
        <w:rPr>
          <w:spacing w:val="29"/>
          <w:sz w:val="18"/>
        </w:rPr>
        <w:t xml:space="preserve"> </w:t>
      </w:r>
      <w:r>
        <w:rPr>
          <w:rFonts w:hint="eastAsia"/>
          <w:sz w:val="18"/>
        </w:rPr>
        <w:t>向甲方支付违约金，由甲方从待付货款中扣除。逾期超过约定日期</w:t>
      </w:r>
      <w:r>
        <w:rPr>
          <w:rFonts w:ascii="Times New Roman" w:eastAsia="Times New Roman"/>
          <w:w w:val="98"/>
          <w:sz w:val="18"/>
          <w:u w:val="single"/>
        </w:rPr>
        <w:t xml:space="preserve"> </w:t>
      </w:r>
      <w:r>
        <w:rPr>
          <w:rFonts w:ascii="Times New Roman" w:eastAsia="Times New Roman"/>
          <w:sz w:val="18"/>
          <w:u w:val="single"/>
        </w:rPr>
        <w:t xml:space="preserve">  </w:t>
      </w:r>
      <w:r>
        <w:rPr>
          <w:rFonts w:ascii="Verdana" w:eastAsia="Times New Roman"/>
          <w:sz w:val="18"/>
          <w:u w:val="single"/>
        </w:rPr>
        <w:t xml:space="preserve">10 </w:t>
      </w:r>
      <w:r>
        <w:rPr>
          <w:rFonts w:hint="eastAsia"/>
          <w:sz w:val="18"/>
        </w:rPr>
        <w:t>个工作日不能交货的，甲方可解除本合同。乙方因逾期交货或因其他违约行为导致甲方解除合同的，乙方应向甲方支付合同总值</w:t>
      </w:r>
      <w:r>
        <w:rPr>
          <w:rFonts w:hint="eastAsia"/>
          <w:sz w:val="18"/>
          <w:lang w:val="en-US" w:eastAsia="zh-CN"/>
        </w:rPr>
        <w:t xml:space="preserve"> </w:t>
      </w:r>
      <w:r>
        <w:rPr>
          <w:rFonts w:ascii="Verdana" w:eastAsia="Times New Roman"/>
          <w:sz w:val="18"/>
          <w:u w:val="single"/>
        </w:rPr>
        <w:t>5</w:t>
      </w:r>
      <w:r>
        <w:rPr>
          <w:rFonts w:hint="eastAsia" w:ascii="Verdana"/>
          <w:sz w:val="18"/>
          <w:u w:val="single"/>
          <w:lang w:val="en-US" w:eastAsia="zh-CN"/>
        </w:rPr>
        <w:t xml:space="preserve"> </w:t>
      </w:r>
      <w:r>
        <w:rPr>
          <w:rFonts w:ascii="Verdana" w:eastAsia="Times New Roman"/>
          <w:sz w:val="18"/>
        </w:rPr>
        <w:t>%</w:t>
      </w:r>
      <w:r>
        <w:rPr>
          <w:rFonts w:hint="eastAsia"/>
          <w:sz w:val="18"/>
        </w:rPr>
        <w:t>的违约金，如造成甲方损失超过违约金的，超出部分由乙方继续承担赔偿责任。</w:t>
      </w:r>
    </w:p>
    <w:p>
      <w:pPr>
        <w:pStyle w:val="329"/>
        <w:numPr>
          <w:ilvl w:val="0"/>
          <w:numId w:val="0"/>
        </w:numPr>
        <w:tabs>
          <w:tab w:val="left" w:pos="522"/>
        </w:tabs>
        <w:spacing w:before="0" w:line="240" w:lineRule="atLeast"/>
        <w:ind w:firstLine="360" w:firstLineChars="200"/>
        <w:rPr>
          <w:sz w:val="18"/>
        </w:rPr>
      </w:pPr>
      <w:r>
        <w:rPr>
          <w:rFonts w:hint="eastAsia"/>
          <w:sz w:val="18"/>
          <w:szCs w:val="17"/>
          <w:lang w:val="en-US" w:eastAsia="zh-CN"/>
        </w:rPr>
        <w:t>3、</w:t>
      </w:r>
      <w:r>
        <w:rPr>
          <w:rFonts w:hint="eastAsia"/>
          <w:sz w:val="18"/>
          <w:szCs w:val="17"/>
        </w:rPr>
        <w:t>乙方所交的货物品种、型号、规格、技术参数、质量不符合合同规定及招标文件规定标准的，甲方有权拒收该货物，乙方愿意更换货物，</w:t>
      </w:r>
      <w:r>
        <w:rPr>
          <w:rFonts w:hint="eastAsia"/>
          <w:sz w:val="18"/>
        </w:rPr>
        <w:t>但逾期交货的，按乙方逾期交货处理。乙方拒绝更换货物的，甲方可单方面解除合同。</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4、</w:t>
      </w:r>
      <w:r>
        <w:rPr>
          <w:rFonts w:hint="eastAsia"/>
          <w:sz w:val="18"/>
          <w:lang w:eastAsia="zh-CN"/>
        </w:rPr>
        <w:t>由于乙方所提供的货物存在问题，给第三人人身或财产造成损害的，由乙方承担赔偿责任。若甲方承担赔偿责任后，有权向乙方追偿，包括但不限于律师费、诉讼费、交通费等。</w:t>
      </w:r>
    </w:p>
    <w:p>
      <w:pPr>
        <w:pStyle w:val="5"/>
        <w:spacing w:before="0" w:line="240" w:lineRule="atLeast"/>
        <w:ind w:left="0"/>
        <w:rPr>
          <w:sz w:val="18"/>
        </w:rPr>
      </w:pPr>
      <w:r>
        <w:rPr>
          <w:rFonts w:hint="eastAsia"/>
          <w:sz w:val="18"/>
        </w:rPr>
        <w:t>十四、不可抗力事件处理</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1、</w:t>
      </w:r>
      <w:r>
        <w:rPr>
          <w:rFonts w:hint="eastAsia"/>
          <w:sz w:val="18"/>
        </w:rPr>
        <w:t>在合同有效期内，任何一方因不可抗力事件导致不能履行合同，则合同履行期可延长，其延长期与不可抗力影响期相同。</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2、</w:t>
      </w:r>
      <w:r>
        <w:rPr>
          <w:rFonts w:hint="eastAsia"/>
          <w:sz w:val="18"/>
        </w:rPr>
        <w:t>不可抗力事件发生后，应立即通知对方，并寄送有关权威机构出具的证明。</w:t>
      </w:r>
    </w:p>
    <w:p>
      <w:pPr>
        <w:pStyle w:val="329"/>
        <w:numPr>
          <w:ilvl w:val="0"/>
          <w:numId w:val="0"/>
        </w:numPr>
        <w:tabs>
          <w:tab w:val="left" w:pos="522"/>
        </w:tabs>
        <w:spacing w:before="0" w:line="240" w:lineRule="atLeast"/>
        <w:ind w:firstLine="348" w:firstLineChars="200"/>
        <w:rPr>
          <w:sz w:val="18"/>
        </w:rPr>
      </w:pPr>
      <w:r>
        <w:rPr>
          <w:rFonts w:hint="eastAsia"/>
          <w:spacing w:val="-3"/>
          <w:sz w:val="18"/>
          <w:lang w:val="en-US" w:eastAsia="zh-CN"/>
        </w:rPr>
        <w:t>3、</w:t>
      </w:r>
      <w:r>
        <w:rPr>
          <w:rFonts w:hint="eastAsia"/>
          <w:spacing w:val="-3"/>
          <w:sz w:val="18"/>
        </w:rPr>
        <w:t>不可抗力事件延续</w:t>
      </w:r>
      <w:r>
        <w:rPr>
          <w:spacing w:val="-3"/>
          <w:sz w:val="18"/>
        </w:rPr>
        <w:t xml:space="preserve"> </w:t>
      </w:r>
      <w:r>
        <w:rPr>
          <w:rFonts w:ascii="Verdana" w:eastAsia="Times New Roman"/>
          <w:sz w:val="18"/>
        </w:rPr>
        <w:t>120</w:t>
      </w:r>
      <w:r>
        <w:rPr>
          <w:rFonts w:hint="eastAsia"/>
          <w:sz w:val="18"/>
        </w:rPr>
        <w:t>天以上，双方应通过友好协商，确定是否继续履行合同。</w:t>
      </w:r>
    </w:p>
    <w:p>
      <w:pPr>
        <w:pStyle w:val="5"/>
        <w:spacing w:before="0" w:line="240" w:lineRule="atLeast"/>
        <w:ind w:left="0"/>
        <w:rPr>
          <w:sz w:val="18"/>
        </w:rPr>
      </w:pPr>
      <w:r>
        <w:rPr>
          <w:rFonts w:hint="eastAsia"/>
          <w:sz w:val="18"/>
        </w:rPr>
        <w:t>十五、诉讼</w:t>
      </w:r>
    </w:p>
    <w:p>
      <w:pPr>
        <w:pStyle w:val="22"/>
        <w:spacing w:line="240" w:lineRule="atLeast"/>
        <w:ind w:firstLine="361" w:firstLineChars="200"/>
        <w:rPr>
          <w:sz w:val="18"/>
        </w:rPr>
      </w:pPr>
      <w:r>
        <w:rPr>
          <w:rFonts w:hint="eastAsia"/>
          <w:sz w:val="18"/>
        </w:rPr>
        <w:t>双方在</w:t>
      </w:r>
      <w:r>
        <w:rPr>
          <w:rFonts w:hint="eastAsia"/>
          <w:sz w:val="18"/>
          <w:lang w:eastAsia="zh-CN"/>
        </w:rPr>
        <w:t>履行</w:t>
      </w:r>
      <w:r>
        <w:rPr>
          <w:rFonts w:hint="eastAsia"/>
          <w:sz w:val="18"/>
        </w:rPr>
        <w:t>合同中所发生的一切争议，应通过协商解决。如协商不成，可向甲方所在地法院起诉。</w:t>
      </w:r>
    </w:p>
    <w:p>
      <w:pPr>
        <w:pStyle w:val="5"/>
        <w:spacing w:before="0" w:line="240" w:lineRule="atLeast"/>
        <w:ind w:left="0"/>
        <w:rPr>
          <w:sz w:val="18"/>
        </w:rPr>
      </w:pPr>
      <w:r>
        <w:rPr>
          <w:rFonts w:hint="eastAsia"/>
          <w:sz w:val="18"/>
        </w:rPr>
        <w:t>十六、合同生效及其它</w:t>
      </w:r>
    </w:p>
    <w:p>
      <w:pPr>
        <w:pStyle w:val="329"/>
        <w:numPr>
          <w:ilvl w:val="0"/>
          <w:numId w:val="0"/>
        </w:numPr>
        <w:tabs>
          <w:tab w:val="left" w:pos="522"/>
        </w:tabs>
        <w:spacing w:before="0" w:line="240" w:lineRule="atLeast"/>
        <w:ind w:firstLine="360" w:firstLineChars="200"/>
        <w:rPr>
          <w:sz w:val="18"/>
          <w:highlight w:val="none"/>
        </w:rPr>
      </w:pPr>
      <w:r>
        <w:rPr>
          <w:rFonts w:hint="eastAsia"/>
          <w:sz w:val="18"/>
          <w:highlight w:val="none"/>
          <w:lang w:val="en-US" w:eastAsia="zh-CN"/>
        </w:rPr>
        <w:t>1、</w:t>
      </w:r>
      <w:r>
        <w:rPr>
          <w:rFonts w:hint="eastAsia"/>
          <w:sz w:val="18"/>
          <w:highlight w:val="none"/>
        </w:rPr>
        <w:t>本合同经甲、乙双方签字并加盖单位公章后生效。</w:t>
      </w:r>
    </w:p>
    <w:p>
      <w:pPr>
        <w:pStyle w:val="329"/>
        <w:numPr>
          <w:ilvl w:val="0"/>
          <w:numId w:val="0"/>
        </w:numPr>
        <w:tabs>
          <w:tab w:val="left" w:pos="522"/>
        </w:tabs>
        <w:spacing w:before="0" w:line="240" w:lineRule="atLeast"/>
        <w:ind w:firstLine="360" w:firstLineChars="200"/>
        <w:rPr>
          <w:sz w:val="18"/>
          <w:highlight w:val="none"/>
        </w:rPr>
      </w:pPr>
      <w:r>
        <w:rPr>
          <w:rFonts w:hint="eastAsia"/>
          <w:sz w:val="18"/>
          <w:highlight w:val="none"/>
          <w:lang w:val="en-US" w:eastAsia="zh-CN"/>
        </w:rPr>
        <w:t>2、</w:t>
      </w:r>
      <w:r>
        <w:rPr>
          <w:rFonts w:hint="eastAsia"/>
          <w:sz w:val="18"/>
          <w:highlight w:val="none"/>
        </w:rPr>
        <w:t>本合同期限：</w:t>
      </w:r>
      <w:r>
        <w:rPr>
          <w:rFonts w:hint="eastAsia"/>
          <w:sz w:val="18"/>
          <w:highlight w:val="none"/>
          <w:u w:val="single"/>
          <w:lang w:val="en-US" w:eastAsia="zh-CN"/>
        </w:rPr>
        <w:t xml:space="preserve">   </w:t>
      </w:r>
      <w:r>
        <w:rPr>
          <w:rFonts w:hint="eastAsia"/>
          <w:sz w:val="18"/>
          <w:highlight w:val="none"/>
        </w:rPr>
        <w:t>年，自</w:t>
      </w:r>
      <w:r>
        <w:rPr>
          <w:rFonts w:hint="eastAsia"/>
          <w:sz w:val="18"/>
          <w:highlight w:val="none"/>
          <w:u w:val="single"/>
        </w:rPr>
        <w:t xml:space="preserve">    </w:t>
      </w:r>
      <w:r>
        <w:rPr>
          <w:rFonts w:hint="eastAsia"/>
          <w:sz w:val="18"/>
          <w:highlight w:val="none"/>
        </w:rPr>
        <w:t>年</w:t>
      </w:r>
      <w:r>
        <w:rPr>
          <w:rFonts w:hint="eastAsia"/>
          <w:sz w:val="18"/>
          <w:highlight w:val="none"/>
          <w:u w:val="single"/>
        </w:rPr>
        <w:t xml:space="preserve"> </w:t>
      </w:r>
      <w:r>
        <w:rPr>
          <w:rFonts w:hint="eastAsia"/>
          <w:sz w:val="18"/>
          <w:highlight w:val="none"/>
          <w:u w:val="single"/>
          <w:lang w:val="en-US" w:eastAsia="zh-CN"/>
        </w:rPr>
        <w:t xml:space="preserve"> </w:t>
      </w:r>
      <w:r>
        <w:rPr>
          <w:rFonts w:hint="eastAsia"/>
          <w:sz w:val="18"/>
          <w:highlight w:val="none"/>
          <w:u w:val="single"/>
        </w:rPr>
        <w:t xml:space="preserve"> </w:t>
      </w:r>
      <w:r>
        <w:rPr>
          <w:rFonts w:hint="eastAsia"/>
          <w:sz w:val="18"/>
          <w:highlight w:val="none"/>
        </w:rPr>
        <w:t>月</w:t>
      </w:r>
      <w:r>
        <w:rPr>
          <w:rFonts w:hint="eastAsia"/>
          <w:sz w:val="18"/>
          <w:highlight w:val="none"/>
          <w:u w:val="single"/>
        </w:rPr>
        <w:t xml:space="preserve">  </w:t>
      </w:r>
      <w:r>
        <w:rPr>
          <w:rFonts w:hint="eastAsia"/>
          <w:sz w:val="18"/>
          <w:highlight w:val="none"/>
          <w:u w:val="single"/>
          <w:lang w:val="en-US" w:eastAsia="zh-CN"/>
        </w:rPr>
        <w:t xml:space="preserve"> </w:t>
      </w:r>
      <w:r>
        <w:rPr>
          <w:rFonts w:hint="eastAsia"/>
          <w:sz w:val="18"/>
          <w:highlight w:val="none"/>
        </w:rPr>
        <w:t>日起至</w:t>
      </w:r>
      <w:r>
        <w:rPr>
          <w:rFonts w:hint="eastAsia"/>
          <w:sz w:val="18"/>
          <w:highlight w:val="none"/>
          <w:u w:val="single"/>
        </w:rPr>
        <w:t xml:space="preserve">    </w:t>
      </w:r>
      <w:r>
        <w:rPr>
          <w:rFonts w:hint="eastAsia"/>
          <w:sz w:val="18"/>
          <w:highlight w:val="none"/>
        </w:rPr>
        <w:t>年</w:t>
      </w:r>
      <w:r>
        <w:rPr>
          <w:rFonts w:hint="eastAsia"/>
          <w:sz w:val="18"/>
          <w:highlight w:val="none"/>
          <w:u w:val="single"/>
        </w:rPr>
        <w:t xml:space="preserve">  </w:t>
      </w:r>
      <w:r>
        <w:rPr>
          <w:rFonts w:hint="eastAsia"/>
          <w:sz w:val="18"/>
          <w:highlight w:val="none"/>
          <w:u w:val="single"/>
          <w:lang w:val="en-US" w:eastAsia="zh-CN"/>
        </w:rPr>
        <w:t xml:space="preserve"> </w:t>
      </w:r>
      <w:r>
        <w:rPr>
          <w:rFonts w:hint="eastAsia"/>
          <w:sz w:val="18"/>
          <w:highlight w:val="none"/>
        </w:rPr>
        <w:t>月</w:t>
      </w:r>
      <w:r>
        <w:rPr>
          <w:rFonts w:hint="eastAsia"/>
          <w:sz w:val="18"/>
          <w:highlight w:val="none"/>
          <w:u w:val="single"/>
        </w:rPr>
        <w:t xml:space="preserve">  </w:t>
      </w:r>
      <w:r>
        <w:rPr>
          <w:rFonts w:hint="eastAsia"/>
          <w:sz w:val="18"/>
          <w:highlight w:val="none"/>
          <w:u w:val="single"/>
          <w:lang w:val="en-US" w:eastAsia="zh-CN"/>
        </w:rPr>
        <w:t xml:space="preserve"> </w:t>
      </w:r>
      <w:r>
        <w:rPr>
          <w:rFonts w:hint="eastAsia"/>
          <w:sz w:val="18"/>
          <w:highlight w:val="none"/>
        </w:rPr>
        <w:t>日止。合同签订后，设备验收合格后合作期</w:t>
      </w:r>
      <w:r>
        <w:rPr>
          <w:rFonts w:hint="eastAsia"/>
          <w:sz w:val="18"/>
          <w:highlight w:val="none"/>
          <w:lang w:eastAsia="zh-CN"/>
        </w:rPr>
        <w:t>满</w:t>
      </w:r>
      <w:r>
        <w:rPr>
          <w:rFonts w:hint="eastAsia"/>
          <w:sz w:val="18"/>
          <w:highlight w:val="none"/>
        </w:rPr>
        <w:t>1年或耗材采购量达到合同金额，任一条件达到即视为合作期结束。合作期内如</w:t>
      </w:r>
      <w:r>
        <w:rPr>
          <w:rFonts w:hint="eastAsia"/>
          <w:sz w:val="18"/>
          <w:highlight w:val="none"/>
          <w:lang w:eastAsia="zh-CN"/>
        </w:rPr>
        <w:t>因政策变更</w:t>
      </w:r>
      <w:r>
        <w:rPr>
          <w:rFonts w:hint="eastAsia"/>
          <w:sz w:val="18"/>
          <w:highlight w:val="none"/>
        </w:rPr>
        <w:t>，导致合同无法履行，则合同自行终止</w:t>
      </w:r>
      <w:r>
        <w:rPr>
          <w:rFonts w:hint="eastAsia"/>
          <w:sz w:val="18"/>
          <w:highlight w:val="none"/>
          <w:lang w:eastAsia="zh-CN"/>
        </w:rPr>
        <w:t>，双方互不承担责任。</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3、</w:t>
      </w:r>
      <w:r>
        <w:rPr>
          <w:rFonts w:hint="eastAsia"/>
          <w:sz w:val="18"/>
        </w:rPr>
        <w:t>招标文件、投标文件、项目采购协议或入围承诺书与本合同具有同等法律效力。如前述各项文件之间约定不一致的，应以最新签署的文件内容为准。</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4、</w:t>
      </w:r>
      <w:r>
        <w:rPr>
          <w:rFonts w:hint="eastAsia"/>
          <w:sz w:val="18"/>
        </w:rPr>
        <w:t>本合同未尽事宜，以招投标文件为准。</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5、</w:t>
      </w:r>
      <w:r>
        <w:rPr>
          <w:rFonts w:hint="eastAsia"/>
          <w:sz w:val="18"/>
        </w:rPr>
        <w:t>本合同一式三份，甲方执二份，乙方执一份，具有同等法律效力。</w:t>
      </w:r>
    </w:p>
    <w:p>
      <w:pPr>
        <w:tabs>
          <w:tab w:val="left" w:pos="522"/>
        </w:tabs>
        <w:spacing w:line="240" w:lineRule="atLeast"/>
        <w:rPr>
          <w:sz w:val="18"/>
        </w:rPr>
      </w:pPr>
    </w:p>
    <w:p>
      <w:pPr>
        <w:tabs>
          <w:tab w:val="left" w:pos="522"/>
        </w:tabs>
        <w:spacing w:line="240" w:lineRule="atLeast"/>
        <w:rPr>
          <w:sz w:val="16"/>
        </w:rPr>
      </w:pPr>
    </w:p>
    <w:p>
      <w:pPr>
        <w:tabs>
          <w:tab w:val="left" w:pos="522"/>
        </w:tabs>
        <w:spacing w:line="240" w:lineRule="atLeast"/>
        <w:rPr>
          <w:sz w:val="16"/>
        </w:rPr>
      </w:pPr>
    </w:p>
    <w:p>
      <w:pPr>
        <w:tabs>
          <w:tab w:val="left" w:pos="522"/>
        </w:tabs>
        <w:spacing w:line="240" w:lineRule="atLeast"/>
        <w:rPr>
          <w:sz w:val="16"/>
        </w:rPr>
      </w:pPr>
    </w:p>
    <w:p>
      <w:pPr>
        <w:tabs>
          <w:tab w:val="left" w:pos="522"/>
        </w:tabs>
        <w:spacing w:line="240" w:lineRule="atLeast"/>
        <w:rPr>
          <w:sz w:val="16"/>
        </w:rPr>
      </w:pPr>
    </w:p>
    <w:p>
      <w:pPr>
        <w:tabs>
          <w:tab w:val="left" w:pos="522"/>
        </w:tabs>
        <w:spacing w:line="240" w:lineRule="atLeast"/>
        <w:rPr>
          <w:sz w:val="16"/>
        </w:rPr>
      </w:pPr>
    </w:p>
    <w:p>
      <w:pPr>
        <w:tabs>
          <w:tab w:val="left" w:pos="522"/>
        </w:tabs>
        <w:spacing w:line="240" w:lineRule="atLeast"/>
        <w:rPr>
          <w:sz w:val="16"/>
        </w:rPr>
      </w:pPr>
    </w:p>
    <w:p>
      <w:pPr>
        <w:spacing w:line="240" w:lineRule="atLeast"/>
        <w:rPr>
          <w:sz w:val="18"/>
        </w:rPr>
      </w:pPr>
      <w:r>
        <w:rPr>
          <w:rFonts w:hint="eastAsia"/>
          <w:sz w:val="18"/>
        </w:rPr>
        <w:t>甲方（盖章）：</w:t>
      </w:r>
      <w:r>
        <w:rPr>
          <w:sz w:val="18"/>
        </w:rPr>
        <w:t xml:space="preserve"> </w:t>
      </w:r>
      <w:r>
        <w:rPr>
          <w:rFonts w:hint="eastAsia"/>
          <w:sz w:val="18"/>
        </w:rPr>
        <w:t>温州市中医院</w:t>
      </w:r>
      <w:r>
        <w:rPr>
          <w:sz w:val="18"/>
        </w:rPr>
        <w:tab/>
      </w:r>
      <w:r>
        <w:rPr>
          <w:sz w:val="18"/>
        </w:rPr>
        <w:tab/>
      </w:r>
      <w:r>
        <w:rPr>
          <w:sz w:val="18"/>
        </w:rPr>
        <w:tab/>
      </w:r>
      <w:r>
        <w:rPr>
          <w:sz w:val="18"/>
        </w:rPr>
        <w:tab/>
      </w:r>
      <w:r>
        <w:rPr>
          <w:sz w:val="18"/>
        </w:rPr>
        <w:tab/>
      </w:r>
      <w:r>
        <w:rPr>
          <w:sz w:val="18"/>
        </w:rPr>
        <w:tab/>
      </w:r>
      <w:r>
        <w:rPr>
          <w:rFonts w:hint="eastAsia"/>
          <w:sz w:val="18"/>
        </w:rPr>
        <w:t>乙方（盖章）：</w:t>
      </w:r>
      <w:r>
        <w:rPr>
          <w:sz w:val="18"/>
        </w:rPr>
        <w:t xml:space="preserve"> </w:t>
      </w:r>
    </w:p>
    <w:p>
      <w:pPr>
        <w:spacing w:line="240" w:lineRule="atLeast"/>
        <w:rPr>
          <w:sz w:val="18"/>
        </w:rPr>
      </w:pPr>
    </w:p>
    <w:p>
      <w:pPr>
        <w:spacing w:line="240" w:lineRule="atLeast"/>
        <w:rPr>
          <w:sz w:val="18"/>
        </w:rPr>
      </w:pPr>
      <w:r>
        <w:rPr>
          <w:rFonts w:hint="eastAsia"/>
          <w:sz w:val="18"/>
        </w:rPr>
        <w:t>地址：温州市六虹桥路蛟尾路</w:t>
      </w:r>
      <w:r>
        <w:rPr>
          <w:sz w:val="18"/>
        </w:rPr>
        <w:t>9</w:t>
      </w:r>
      <w:r>
        <w:rPr>
          <w:rFonts w:hint="eastAsia"/>
          <w:sz w:val="18"/>
        </w:rPr>
        <w:t>号</w:t>
      </w:r>
      <w:r>
        <w:rPr>
          <w:sz w:val="18"/>
        </w:rPr>
        <w:tab/>
      </w:r>
      <w:r>
        <w:rPr>
          <w:sz w:val="18"/>
        </w:rPr>
        <w:tab/>
      </w:r>
      <w:r>
        <w:rPr>
          <w:sz w:val="18"/>
        </w:rPr>
        <w:tab/>
      </w:r>
      <w:r>
        <w:rPr>
          <w:sz w:val="18"/>
        </w:rPr>
        <w:tab/>
      </w:r>
      <w:r>
        <w:rPr>
          <w:sz w:val="18"/>
        </w:rPr>
        <w:tab/>
      </w:r>
      <w:r>
        <w:rPr>
          <w:rFonts w:hint="eastAsia"/>
          <w:sz w:val="18"/>
        </w:rPr>
        <w:t>地址：</w:t>
      </w:r>
    </w:p>
    <w:p>
      <w:pPr>
        <w:spacing w:line="240" w:lineRule="atLeast"/>
        <w:rPr>
          <w:sz w:val="18"/>
        </w:rPr>
      </w:pPr>
    </w:p>
    <w:p>
      <w:pPr>
        <w:spacing w:line="240" w:lineRule="atLeast"/>
        <w:rPr>
          <w:sz w:val="18"/>
        </w:rPr>
      </w:pPr>
      <w:r>
        <w:rPr>
          <w:rFonts w:hint="eastAsia"/>
          <w:sz w:val="18"/>
        </w:rPr>
        <w:t>法定（授权）代表人：</w:t>
      </w:r>
      <w:r>
        <w:rPr>
          <w:sz w:val="18"/>
        </w:rPr>
        <w:tab/>
      </w:r>
      <w:r>
        <w:rPr>
          <w:sz w:val="18"/>
        </w:rPr>
        <w:tab/>
      </w:r>
      <w:r>
        <w:rPr>
          <w:sz w:val="18"/>
        </w:rPr>
        <w:tab/>
      </w:r>
      <w:r>
        <w:rPr>
          <w:sz w:val="18"/>
        </w:rPr>
        <w:tab/>
      </w:r>
      <w:r>
        <w:rPr>
          <w:sz w:val="18"/>
        </w:rPr>
        <w:tab/>
      </w:r>
      <w:r>
        <w:rPr>
          <w:sz w:val="18"/>
        </w:rPr>
        <w:tab/>
      </w:r>
      <w:r>
        <w:rPr>
          <w:sz w:val="18"/>
        </w:rPr>
        <w:tab/>
      </w:r>
      <w:r>
        <w:rPr>
          <w:rFonts w:hint="eastAsia"/>
          <w:sz w:val="18"/>
        </w:rPr>
        <w:t>法定（授权）代表人：</w:t>
      </w:r>
    </w:p>
    <w:p>
      <w:pPr>
        <w:spacing w:line="240" w:lineRule="atLeast"/>
        <w:rPr>
          <w:sz w:val="18"/>
        </w:rPr>
      </w:pPr>
    </w:p>
    <w:p>
      <w:pPr>
        <w:spacing w:line="240" w:lineRule="atLeast"/>
        <w:rPr>
          <w:sz w:val="18"/>
        </w:rPr>
      </w:pPr>
      <w:r>
        <w:rPr>
          <w:rFonts w:hint="eastAsia"/>
          <w:sz w:val="18"/>
        </w:rPr>
        <w:t>签字日期：</w:t>
      </w:r>
      <w:r>
        <w:rPr>
          <w:sz w:val="18"/>
        </w:rPr>
        <w:t xml:space="preserve"> </w:t>
      </w:r>
      <w:r>
        <w:rPr>
          <w:rFonts w:hint="eastAsia"/>
          <w:sz w:val="18"/>
          <w:lang w:val="en-US" w:eastAsia="zh-CN"/>
        </w:rPr>
        <w:t xml:space="preserve">  </w:t>
      </w:r>
      <w:r>
        <w:rPr>
          <w:sz w:val="18"/>
        </w:rPr>
        <w:t xml:space="preserve"> </w:t>
      </w:r>
      <w:r>
        <w:rPr>
          <w:rFonts w:hint="eastAsia"/>
          <w:sz w:val="18"/>
        </w:rPr>
        <w:t>年</w:t>
      </w:r>
      <w:r>
        <w:rPr>
          <w:sz w:val="18"/>
        </w:rPr>
        <w:t xml:space="preserve">  </w:t>
      </w:r>
      <w:r>
        <w:rPr>
          <w:rFonts w:hint="eastAsia"/>
          <w:sz w:val="18"/>
          <w:lang w:val="en-US" w:eastAsia="zh-CN"/>
        </w:rPr>
        <w:t xml:space="preserve"> </w:t>
      </w:r>
      <w:r>
        <w:rPr>
          <w:rFonts w:hint="eastAsia"/>
          <w:sz w:val="18"/>
        </w:rPr>
        <w:t>月</w:t>
      </w:r>
      <w:r>
        <w:rPr>
          <w:sz w:val="18"/>
        </w:rPr>
        <w:t xml:space="preserve">  </w:t>
      </w:r>
      <w:r>
        <w:rPr>
          <w:rFonts w:hint="eastAsia"/>
          <w:sz w:val="18"/>
          <w:lang w:val="en-US" w:eastAsia="zh-CN"/>
        </w:rPr>
        <w:t xml:space="preserve"> </w:t>
      </w:r>
      <w:r>
        <w:rPr>
          <w:rFonts w:hint="eastAsia"/>
          <w:sz w:val="18"/>
        </w:rPr>
        <w:t>日</w:t>
      </w:r>
      <w:r>
        <w:rPr>
          <w:sz w:val="18"/>
        </w:rPr>
        <w:tab/>
      </w:r>
      <w:r>
        <w:rPr>
          <w:sz w:val="18"/>
        </w:rPr>
        <w:tab/>
      </w:r>
      <w:r>
        <w:rPr>
          <w:sz w:val="18"/>
        </w:rPr>
        <w:tab/>
      </w:r>
      <w:r>
        <w:rPr>
          <w:sz w:val="18"/>
        </w:rPr>
        <w:tab/>
      </w:r>
      <w:r>
        <w:rPr>
          <w:sz w:val="18"/>
        </w:rPr>
        <w:tab/>
      </w:r>
      <w:r>
        <w:rPr>
          <w:sz w:val="18"/>
        </w:rPr>
        <w:tab/>
      </w:r>
      <w:r>
        <w:rPr>
          <w:rFonts w:hint="eastAsia"/>
          <w:sz w:val="18"/>
        </w:rPr>
        <w:t>签字日期：</w:t>
      </w:r>
      <w:r>
        <w:rPr>
          <w:sz w:val="18"/>
        </w:rPr>
        <w:t xml:space="preserve">  </w:t>
      </w:r>
      <w:r>
        <w:rPr>
          <w:rFonts w:hint="eastAsia"/>
          <w:sz w:val="18"/>
          <w:lang w:val="en-US" w:eastAsia="zh-CN"/>
        </w:rPr>
        <w:t xml:space="preserve">  </w:t>
      </w:r>
      <w:r>
        <w:rPr>
          <w:rFonts w:hint="eastAsia"/>
          <w:sz w:val="18"/>
        </w:rPr>
        <w:t>年</w:t>
      </w:r>
      <w:r>
        <w:rPr>
          <w:sz w:val="18"/>
        </w:rPr>
        <w:t xml:space="preserve"> </w:t>
      </w:r>
      <w:r>
        <w:rPr>
          <w:rFonts w:hint="eastAsia"/>
          <w:sz w:val="18"/>
          <w:lang w:val="en-US" w:eastAsia="zh-CN"/>
        </w:rPr>
        <w:t xml:space="preserve"> </w:t>
      </w:r>
      <w:r>
        <w:rPr>
          <w:sz w:val="18"/>
        </w:rPr>
        <w:t xml:space="preserve"> </w:t>
      </w:r>
      <w:r>
        <w:rPr>
          <w:rFonts w:hint="eastAsia"/>
          <w:sz w:val="18"/>
        </w:rPr>
        <w:t>月</w:t>
      </w:r>
      <w:r>
        <w:rPr>
          <w:sz w:val="18"/>
        </w:rPr>
        <w:t xml:space="preserve">  </w:t>
      </w:r>
      <w:r>
        <w:rPr>
          <w:rFonts w:hint="eastAsia"/>
          <w:sz w:val="18"/>
          <w:lang w:val="en-US" w:eastAsia="zh-CN"/>
        </w:rPr>
        <w:t xml:space="preserve"> </w:t>
      </w:r>
      <w:r>
        <w:rPr>
          <w:rFonts w:hint="eastAsia"/>
          <w:sz w:val="18"/>
        </w:rPr>
        <w:t>日</w:t>
      </w:r>
    </w:p>
    <w:p/>
    <w:p>
      <w:pPr>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rPr>
      </w:pPr>
      <w:bookmarkStart w:id="28" w:name="_Toc19081"/>
      <w:bookmarkStart w:id="29" w:name="_Toc18439"/>
      <w:r>
        <w:rPr>
          <w:rFonts w:hint="eastAsia" w:ascii="宋体" w:hAnsi="宋体" w:eastAsia="宋体" w:cs="宋体"/>
        </w:rPr>
        <w:t>第三部分    附件</w:t>
      </w:r>
      <w:bookmarkEnd w:id="28"/>
      <w:bookmarkEnd w:id="29"/>
    </w:p>
    <w:p>
      <w:pPr>
        <w:pStyle w:val="23"/>
        <w:spacing w:line="460" w:lineRule="exact"/>
        <w:ind w:left="433" w:hanging="433" w:hangingChars="196"/>
        <w:outlineLvl w:val="1"/>
        <w:rPr>
          <w:rFonts w:hint="eastAsia" w:ascii="宋体" w:hAnsi="宋体" w:eastAsia="宋体" w:cs="宋体"/>
          <w:b/>
          <w:color w:val="auto"/>
          <w:sz w:val="22"/>
          <w:highlight w:val="none"/>
        </w:rPr>
      </w:pPr>
      <w:bookmarkStart w:id="30" w:name="_Toc7056"/>
      <w:bookmarkStart w:id="31" w:name="_Toc6368"/>
      <w:r>
        <w:rPr>
          <w:rFonts w:hint="eastAsia" w:ascii="宋体" w:hAnsi="宋体" w:eastAsia="宋体" w:cs="宋体"/>
          <w:b/>
          <w:color w:val="auto"/>
          <w:sz w:val="22"/>
          <w:highlight w:val="none"/>
        </w:rPr>
        <w:t>附件一</w:t>
      </w:r>
      <w:bookmarkEnd w:id="30"/>
      <w:bookmarkEnd w:id="31"/>
    </w:p>
    <w:p>
      <w:pPr>
        <w:spacing w:line="400" w:lineRule="exact"/>
        <w:jc w:val="center"/>
        <w:outlineLvl w:val="2"/>
        <w:rPr>
          <w:rFonts w:hint="eastAsia" w:ascii="宋体" w:hAnsi="宋体" w:eastAsia="宋体" w:cs="宋体"/>
          <w:b/>
          <w:bCs/>
          <w:color w:val="auto"/>
          <w:sz w:val="28"/>
          <w:szCs w:val="28"/>
          <w:highlight w:val="none"/>
        </w:rPr>
      </w:pPr>
      <w:bookmarkStart w:id="32" w:name="_Toc13365"/>
      <w:bookmarkStart w:id="33" w:name="_Toc5430"/>
      <w:r>
        <w:rPr>
          <w:rFonts w:hint="eastAsia" w:ascii="宋体" w:hAnsi="宋体" w:eastAsia="宋体" w:cs="宋体"/>
          <w:b/>
          <w:bCs/>
          <w:color w:val="auto"/>
          <w:sz w:val="28"/>
          <w:szCs w:val="28"/>
          <w:highlight w:val="none"/>
        </w:rPr>
        <w:t>报价文件</w:t>
      </w:r>
      <w:bookmarkEnd w:id="32"/>
      <w:bookmarkEnd w:id="33"/>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3"/>
        <w:ind w:left="0" w:firstLine="0" w:firstLineChars="0"/>
        <w:rPr>
          <w:rFonts w:hint="eastAsia" w:ascii="宋体" w:hAnsi="宋体" w:eastAsia="宋体" w:cs="宋体"/>
          <w:b/>
          <w:bCs/>
          <w:color w:val="auto"/>
          <w:sz w:val="22"/>
          <w:szCs w:val="22"/>
          <w:highlight w:val="none"/>
        </w:rPr>
      </w:pPr>
    </w:p>
    <w:p>
      <w:pPr>
        <w:pStyle w:val="23"/>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spacing w:line="380" w:lineRule="exact"/>
        <w:rPr>
          <w:rFonts w:hint="eastAsia" w:ascii="宋体" w:hAnsi="宋体" w:eastAsia="宋体" w:cs="宋体"/>
          <w:b/>
          <w:color w:val="auto"/>
          <w:sz w:val="22"/>
          <w:highlight w:val="none"/>
        </w:rPr>
      </w:pPr>
      <w:r>
        <w:rPr>
          <w:rFonts w:hint="eastAsia" w:ascii="宋体" w:hAnsi="宋体" w:eastAsia="宋体" w:cs="宋体"/>
          <w:b/>
          <w:bCs/>
          <w:color w:val="auto"/>
          <w:sz w:val="22"/>
          <w:szCs w:val="22"/>
          <w:highlight w:val="none"/>
        </w:rPr>
        <w:t>项目名称：                                         项目编号：</w:t>
      </w:r>
    </w:p>
    <w:tbl>
      <w:tblPr>
        <w:tblStyle w:val="53"/>
        <w:tblW w:w="10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419"/>
        <w:gridCol w:w="2710"/>
        <w:gridCol w:w="1296"/>
        <w:gridCol w:w="133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72"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419"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2710" w:type="dxa"/>
            <w:vAlign w:val="center"/>
          </w:tcPr>
          <w:p>
            <w:pPr>
              <w:spacing w:line="380" w:lineRule="exact"/>
              <w:jc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项目内容</w:t>
            </w:r>
          </w:p>
        </w:tc>
        <w:tc>
          <w:tcPr>
            <w:tcW w:w="1296" w:type="dxa"/>
            <w:vAlign w:val="top"/>
          </w:tcPr>
          <w:p>
            <w:pPr>
              <w:tabs>
                <w:tab w:val="left" w:pos="360"/>
              </w:tabs>
              <w:spacing w:line="460" w:lineRule="exact"/>
              <w:jc w:val="center"/>
              <w:rPr>
                <w:rFonts w:hint="eastAsia" w:ascii="宋体" w:hAnsi="宋体" w:eastAsia="新宋体" w:cs="宋体"/>
                <w:color w:val="auto"/>
                <w:sz w:val="22"/>
                <w:highlight w:val="none"/>
                <w:lang w:val="en-US" w:eastAsia="zh-CN"/>
              </w:rPr>
            </w:pPr>
            <w:r>
              <w:rPr>
                <w:rFonts w:hint="eastAsia" w:ascii="新宋体" w:hAnsi="新宋体" w:eastAsia="新宋体" w:cs="新宋体"/>
                <w:b/>
                <w:color w:val="000000" w:themeColor="text1"/>
                <w:sz w:val="22"/>
                <w:szCs w:val="22"/>
                <w:highlight w:val="none"/>
                <w14:textFill>
                  <w14:solidFill>
                    <w14:schemeClr w14:val="tx1"/>
                  </w14:solidFill>
                </w14:textFill>
              </w:rPr>
              <w:t>单价</w:t>
            </w:r>
            <w:r>
              <w:rPr>
                <w:rFonts w:hint="eastAsia" w:ascii="新宋体" w:hAnsi="新宋体" w:eastAsia="新宋体" w:cs="新宋体"/>
                <w:b/>
                <w:color w:val="000000" w:themeColor="text1"/>
                <w:sz w:val="22"/>
                <w:szCs w:val="22"/>
                <w:highlight w:val="none"/>
                <w:lang w:val="en-US" w:eastAsia="zh-CN"/>
                <w14:textFill>
                  <w14:solidFill>
                    <w14:schemeClr w14:val="tx1"/>
                  </w14:solidFill>
                </w14:textFill>
              </w:rPr>
              <w:t>报价</w:t>
            </w:r>
          </w:p>
        </w:tc>
        <w:tc>
          <w:tcPr>
            <w:tcW w:w="1338" w:type="dxa"/>
            <w:vAlign w:val="top"/>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color w:val="000000" w:themeColor="text1"/>
                <w:sz w:val="22"/>
                <w:szCs w:val="22"/>
                <w14:textFill>
                  <w14:solidFill>
                    <w14:schemeClr w14:val="tx1"/>
                  </w14:solidFill>
                </w14:textFill>
              </w:rPr>
              <w:t>数量</w:t>
            </w:r>
          </w:p>
        </w:tc>
        <w:tc>
          <w:tcPr>
            <w:tcW w:w="1600" w:type="dxa"/>
            <w:vAlign w:val="top"/>
          </w:tcPr>
          <w:p>
            <w:pPr>
              <w:tabs>
                <w:tab w:val="left" w:pos="360"/>
              </w:tabs>
              <w:spacing w:line="460" w:lineRule="exact"/>
              <w:jc w:val="center"/>
              <w:rPr>
                <w:rFonts w:hint="eastAsia" w:ascii="宋体" w:hAnsi="宋体" w:eastAsia="新宋体" w:cs="宋体"/>
                <w:color w:val="auto"/>
                <w:sz w:val="22"/>
                <w:highlight w:val="none"/>
                <w:lang w:val="en-US" w:eastAsia="zh-CN"/>
              </w:rPr>
            </w:pPr>
            <w:r>
              <w:rPr>
                <w:rFonts w:hint="eastAsia" w:ascii="新宋体" w:hAnsi="新宋体" w:eastAsia="新宋体" w:cs="新宋体"/>
                <w:b/>
                <w:color w:val="000000" w:themeColor="text1"/>
                <w:sz w:val="22"/>
                <w:szCs w:val="22"/>
                <w14:textFill>
                  <w14:solidFill>
                    <w14:schemeClr w14:val="tx1"/>
                  </w14:solidFill>
                </w14:textFill>
              </w:rPr>
              <w:t>合价</w:t>
            </w:r>
            <w:r>
              <w:rPr>
                <w:rFonts w:hint="eastAsia" w:ascii="新宋体" w:hAnsi="新宋体" w:eastAsia="新宋体" w:cs="新宋体"/>
                <w:b/>
                <w:color w:val="000000" w:themeColor="text1"/>
                <w:sz w:val="22"/>
                <w:szCs w:val="22"/>
                <w:lang w:val="en-US" w:eastAsia="zh-CN"/>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72" w:type="dxa"/>
            <w:vMerge w:val="restart"/>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2419" w:type="dxa"/>
            <w:vMerge w:val="restart"/>
            <w:vAlign w:val="center"/>
          </w:tcPr>
          <w:p>
            <w:pPr>
              <w:tabs>
                <w:tab w:val="left" w:pos="360"/>
              </w:tabs>
              <w:spacing w:line="440" w:lineRule="exact"/>
              <w:jc w:val="center"/>
              <w:rPr>
                <w:rFonts w:hint="eastAsia" w:ascii="宋体" w:hAnsi="宋体" w:eastAsia="宋体" w:cs="宋体"/>
                <w:color w:val="auto"/>
                <w:sz w:val="22"/>
                <w:highlight w:val="none"/>
                <w:lang w:eastAsia="zh-CN"/>
              </w:rPr>
            </w:pPr>
            <w:r>
              <w:rPr>
                <w:rFonts w:hint="eastAsia" w:ascii="新宋体" w:hAnsi="新宋体" w:eastAsia="新宋体" w:cs="新宋体"/>
                <w:bCs/>
                <w:color w:val="000000"/>
                <w:sz w:val="22"/>
                <w:szCs w:val="22"/>
                <w:highlight w:val="none"/>
                <w:lang w:eastAsia="zh-CN"/>
              </w:rPr>
              <w:t>血糖仪及信息化管理系统设备租赁费+血糖试纸（</w:t>
            </w:r>
            <w:r>
              <w:rPr>
                <w:rFonts w:hint="eastAsia" w:ascii="新宋体" w:hAnsi="新宋体" w:eastAsia="新宋体" w:cs="新宋体"/>
                <w:bCs/>
                <w:color w:val="000000"/>
                <w:sz w:val="22"/>
                <w:szCs w:val="22"/>
                <w:highlight w:val="none"/>
                <w:lang w:val="en-US" w:eastAsia="zh-CN"/>
              </w:rPr>
              <w:t>采血针</w:t>
            </w:r>
            <w:r>
              <w:rPr>
                <w:rFonts w:hint="eastAsia" w:ascii="新宋体" w:hAnsi="新宋体" w:eastAsia="新宋体" w:cs="新宋体"/>
                <w:bCs/>
                <w:color w:val="000000"/>
                <w:sz w:val="22"/>
                <w:szCs w:val="22"/>
                <w:highlight w:val="none"/>
                <w:lang w:eastAsia="zh-CN"/>
              </w:rPr>
              <w:t>）</w:t>
            </w:r>
          </w:p>
        </w:tc>
        <w:tc>
          <w:tcPr>
            <w:tcW w:w="2710" w:type="dxa"/>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themeColor="text1"/>
                <w:sz w:val="22"/>
                <w:szCs w:val="22"/>
                <w14:textFill>
                  <w14:solidFill>
                    <w14:schemeClr w14:val="tx1"/>
                  </w14:solidFill>
                </w14:textFill>
              </w:rPr>
              <w:t>血糖</w:t>
            </w:r>
            <w:r>
              <w:rPr>
                <w:rFonts w:hint="eastAsia" w:ascii="新宋体" w:hAnsi="新宋体" w:eastAsia="新宋体" w:cs="新宋体"/>
                <w:b w:val="0"/>
                <w:bCs/>
                <w:color w:val="000000" w:themeColor="text1"/>
                <w:sz w:val="22"/>
                <w:szCs w:val="22"/>
                <w:lang w:eastAsia="zh-CN"/>
                <w14:textFill>
                  <w14:solidFill>
                    <w14:schemeClr w14:val="tx1"/>
                  </w14:solidFill>
                </w14:textFill>
              </w:rPr>
              <w:t>仪及</w:t>
            </w:r>
            <w:r>
              <w:rPr>
                <w:rFonts w:hint="eastAsia" w:ascii="新宋体" w:hAnsi="新宋体" w:eastAsia="新宋体" w:cs="新宋体"/>
                <w:b w:val="0"/>
                <w:bCs/>
                <w:color w:val="000000" w:themeColor="text1"/>
                <w:sz w:val="22"/>
                <w:szCs w:val="22"/>
                <w14:textFill>
                  <w14:solidFill>
                    <w14:schemeClr w14:val="tx1"/>
                  </w14:solidFill>
                </w14:textFill>
              </w:rPr>
              <w:t>信息化管理系统设备租赁费</w:t>
            </w:r>
          </w:p>
        </w:tc>
        <w:tc>
          <w:tcPr>
            <w:tcW w:w="1296" w:type="dxa"/>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themeColor="text1"/>
                <w:sz w:val="22"/>
                <w:szCs w:val="22"/>
                <w:highlight w:val="none"/>
                <w:u w:val="single"/>
                <w:lang w:val="en-US" w:eastAsia="zh-CN"/>
                <w14:textFill>
                  <w14:solidFill>
                    <w14:schemeClr w14:val="tx1"/>
                  </w14:solidFill>
                </w14:textFill>
              </w:rPr>
              <w:t xml:space="preserve">   </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c>
          <w:tcPr>
            <w:tcW w:w="1338" w:type="dxa"/>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themeColor="text1"/>
                <w:sz w:val="22"/>
                <w:szCs w:val="22"/>
                <w:highlight w:val="none"/>
                <w14:textFill>
                  <w14:solidFill>
                    <w14:schemeClr w14:val="tx1"/>
                  </w14:solidFill>
                </w14:textFill>
              </w:rPr>
              <w:t>1套</w:t>
            </w:r>
          </w:p>
        </w:tc>
        <w:tc>
          <w:tcPr>
            <w:tcW w:w="1600" w:type="dxa"/>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themeColor="text1"/>
                <w:sz w:val="22"/>
                <w:szCs w:val="22"/>
                <w:highlight w:val="none"/>
                <w:u w:val="single"/>
                <w:lang w:val="en-US" w:eastAsia="zh-CN"/>
                <w14:textFill>
                  <w14:solidFill>
                    <w14:schemeClr w14:val="tx1"/>
                  </w14:solidFill>
                </w14:textFill>
              </w:rPr>
              <w:t xml:space="preserve">     </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2" w:type="dxa"/>
            <w:vMerge w:val="continue"/>
            <w:vAlign w:val="center"/>
          </w:tcPr>
          <w:p>
            <w:pPr>
              <w:spacing w:line="380" w:lineRule="exact"/>
              <w:jc w:val="center"/>
              <w:rPr>
                <w:rFonts w:hint="eastAsia" w:ascii="宋体" w:hAnsi="宋体" w:eastAsia="宋体" w:cs="宋体"/>
                <w:color w:val="auto"/>
                <w:sz w:val="22"/>
                <w:highlight w:val="none"/>
                <w:lang w:val="en-US" w:eastAsia="zh-CN"/>
              </w:rPr>
            </w:pPr>
          </w:p>
        </w:tc>
        <w:tc>
          <w:tcPr>
            <w:tcW w:w="2419" w:type="dxa"/>
            <w:vMerge w:val="continue"/>
            <w:vAlign w:val="center"/>
          </w:tcPr>
          <w:p>
            <w:pPr>
              <w:tabs>
                <w:tab w:val="left" w:pos="360"/>
              </w:tabs>
              <w:spacing w:line="440" w:lineRule="exact"/>
              <w:jc w:val="center"/>
              <w:rPr>
                <w:rFonts w:hint="eastAsia" w:ascii="宋体" w:hAnsi="宋体" w:eastAsia="宋体" w:cs="宋体"/>
                <w:color w:val="auto"/>
                <w:sz w:val="22"/>
                <w:highlight w:val="none"/>
              </w:rPr>
            </w:pPr>
          </w:p>
        </w:tc>
        <w:tc>
          <w:tcPr>
            <w:tcW w:w="2710" w:type="dxa"/>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themeColor="text1"/>
                <w:sz w:val="22"/>
                <w:szCs w:val="22"/>
                <w:highlight w:val="none"/>
                <w14:textFill>
                  <w14:solidFill>
                    <w14:schemeClr w14:val="tx1"/>
                  </w14:solidFill>
                </w14:textFill>
              </w:rPr>
              <w:t>血糖试纸</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采血针</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p>
        </w:tc>
        <w:tc>
          <w:tcPr>
            <w:tcW w:w="1296" w:type="dxa"/>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themeColor="text1"/>
                <w:sz w:val="22"/>
                <w:szCs w:val="22"/>
                <w:highlight w:val="none"/>
                <w:u w:val="single"/>
                <w:lang w:val="en-US" w:eastAsia="zh-CN"/>
                <w14:textFill>
                  <w14:solidFill>
                    <w14:schemeClr w14:val="tx1"/>
                  </w14:solidFill>
                </w14:textFill>
              </w:rPr>
              <w:t xml:space="preserve">   </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元</w:t>
            </w:r>
          </w:p>
        </w:tc>
        <w:tc>
          <w:tcPr>
            <w:tcW w:w="1338" w:type="dxa"/>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600000</w:t>
            </w:r>
            <w:r>
              <w:rPr>
                <w:rFonts w:hint="eastAsia" w:ascii="新宋体" w:hAnsi="新宋体" w:eastAsia="新宋体" w:cs="新宋体"/>
                <w:b w:val="0"/>
                <w:bCs/>
                <w:color w:val="000000" w:themeColor="text1"/>
                <w:sz w:val="22"/>
                <w:szCs w:val="22"/>
                <w:highlight w:val="none"/>
                <w14:textFill>
                  <w14:solidFill>
                    <w14:schemeClr w14:val="tx1"/>
                  </w14:solidFill>
                </w14:textFill>
              </w:rPr>
              <w:t>片</w:t>
            </w:r>
          </w:p>
        </w:tc>
        <w:tc>
          <w:tcPr>
            <w:tcW w:w="1600" w:type="dxa"/>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themeColor="text1"/>
                <w:sz w:val="22"/>
                <w:szCs w:val="22"/>
                <w:highlight w:val="none"/>
                <w:u w:val="single"/>
                <w:lang w:val="en-US" w:eastAsia="zh-CN"/>
                <w14:textFill>
                  <w14:solidFill>
                    <w14:schemeClr w14:val="tx1"/>
                  </w14:solidFill>
                </w14:textFill>
              </w:rPr>
              <w:t xml:space="preserve">     </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3191" w:type="dxa"/>
            <w:gridSpan w:val="2"/>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总报价</w:t>
            </w:r>
            <w:r>
              <w:rPr>
                <w:rFonts w:hint="eastAsia" w:ascii="新宋体" w:hAnsi="新宋体" w:eastAsia="新宋体" w:cs="新宋体"/>
                <w:bCs/>
                <w:color w:val="000000"/>
                <w:sz w:val="22"/>
                <w:szCs w:val="22"/>
                <w:highlight w:val="none"/>
              </w:rPr>
              <w:t>（以上各报价之和）</w:t>
            </w:r>
          </w:p>
        </w:tc>
        <w:tc>
          <w:tcPr>
            <w:tcW w:w="6944" w:type="dxa"/>
            <w:gridSpan w:val="4"/>
            <w:vAlign w:val="center"/>
          </w:tcPr>
          <w:p>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p>
            <w:pPr>
              <w:spacing w:line="360" w:lineRule="auto"/>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r>
    </w:tbl>
    <w:p>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numPr>
          <w:ilvl w:val="0"/>
          <w:numId w:val="7"/>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pPr>
        <w:numPr>
          <w:ilvl w:val="0"/>
          <w:numId w:val="7"/>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pPr>
        <w:spacing w:line="400" w:lineRule="exact"/>
        <w:jc w:val="center"/>
        <w:rPr>
          <w:rFonts w:hint="eastAsia" w:ascii="宋体" w:hAnsi="宋体" w:eastAsia="宋体" w:cs="宋体"/>
          <w:color w:val="auto"/>
          <w:sz w:val="22"/>
          <w:szCs w:val="22"/>
          <w:highlight w:val="none"/>
        </w:rPr>
      </w:pPr>
    </w:p>
    <w:p>
      <w:pPr>
        <w:spacing w:line="400" w:lineRule="exact"/>
        <w:jc w:val="center"/>
        <w:rPr>
          <w:rFonts w:hint="eastAsia" w:ascii="宋体" w:hAnsi="宋体" w:eastAsia="宋体" w:cs="宋体"/>
          <w:color w:val="auto"/>
          <w:sz w:val="22"/>
          <w:szCs w:val="22"/>
          <w:highlight w:val="none"/>
        </w:rPr>
      </w:pP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3、分项报价表</w:t>
      </w:r>
    </w:p>
    <w:p>
      <w:pPr>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1419"/>
        <w:gridCol w:w="1227"/>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项目</w:t>
            </w:r>
          </w:p>
        </w:tc>
        <w:tc>
          <w:tcPr>
            <w:tcW w:w="16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货物名称</w:t>
            </w:r>
          </w:p>
        </w:tc>
        <w:tc>
          <w:tcPr>
            <w:tcW w:w="147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品牌型号规格、产地</w:t>
            </w: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制造厂商名称</w:t>
            </w:r>
          </w:p>
        </w:tc>
        <w:tc>
          <w:tcPr>
            <w:tcW w:w="708"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数量</w:t>
            </w: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出厂单价</w:t>
            </w:r>
          </w:p>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（含税）</w:t>
            </w: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总价</w:t>
            </w:r>
          </w:p>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（含税）</w:t>
            </w: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免费</w:t>
            </w:r>
          </w:p>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1</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2</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3</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4</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5</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6</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kern w:val="0"/>
                <w:sz w:val="22"/>
                <w:szCs w:val="22"/>
                <w:highlight w:val="none"/>
                <w:lang w:bidi="ar"/>
              </w:rPr>
            </w:pPr>
          </w:p>
        </w:tc>
        <w:tc>
          <w:tcPr>
            <w:tcW w:w="1605" w:type="dxa"/>
            <w:noWrap w:val="0"/>
            <w:vAlign w:val="center"/>
          </w:tcPr>
          <w:p>
            <w:pPr>
              <w:widowControl/>
              <w:spacing w:line="460" w:lineRule="exact"/>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运杂及保险费（含卸货）</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安装调试费（包括设备的测试、调试、验收等费用）</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培训费、技术服务费、售后服务费等</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税金</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总计价</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bl>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日    期：</w:t>
      </w:r>
    </w:p>
    <w:p>
      <w:pPr>
        <w:outlineLvl w:val="9"/>
        <w:rPr>
          <w:rFonts w:hint="eastAsia" w:ascii="宋体" w:hAnsi="宋体" w:eastAsia="宋体" w:cs="宋体"/>
          <w:color w:val="auto"/>
          <w:sz w:val="22"/>
          <w:szCs w:val="22"/>
          <w:highlight w:val="none"/>
        </w:rPr>
      </w:pPr>
    </w:p>
    <w:p>
      <w:pPr>
        <w:outlineLvl w:val="9"/>
        <w:rPr>
          <w:rFonts w:hint="eastAsia" w:ascii="宋体" w:hAnsi="宋体" w:eastAsia="宋体" w:cs="宋体"/>
          <w:color w:val="auto"/>
          <w:sz w:val="22"/>
          <w:szCs w:val="22"/>
          <w:highlight w:val="none"/>
        </w:rPr>
      </w:pPr>
    </w:p>
    <w:p>
      <w:pPr>
        <w:outlineLvl w:val="9"/>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4、监狱企业的相关证明材料</w:t>
      </w:r>
    </w:p>
    <w:p>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pPr>
        <w:spacing w:line="380" w:lineRule="exact"/>
        <w:rPr>
          <w:rFonts w:hint="eastAsia" w:ascii="宋体" w:hAnsi="宋体" w:eastAsia="宋体" w:cs="宋体"/>
          <w:color w:val="auto"/>
          <w:sz w:val="22"/>
          <w:szCs w:val="22"/>
          <w:highlight w:val="none"/>
        </w:rPr>
      </w:pP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根据《政府采购促进中小企业发展管理办法》（财库﹝2020﹞46号），对投标产品为小型或微型企业生产的，</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20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jc w:val="center"/>
        <w:rPr>
          <w:rFonts w:hint="eastAsia" w:ascii="宋体" w:hAnsi="宋体" w:eastAsia="宋体" w:cs="宋体"/>
          <w:b/>
          <w:bCs/>
          <w:color w:val="auto"/>
          <w:sz w:val="22"/>
          <w:szCs w:val="22"/>
          <w:highlight w:val="none"/>
        </w:rPr>
      </w:pPr>
    </w:p>
    <w:p>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pPr>
        <w:spacing w:line="460" w:lineRule="exact"/>
        <w:rPr>
          <w:rFonts w:hint="eastAsia" w:ascii="宋体" w:hAnsi="宋体" w:eastAsia="宋体" w:cs="宋体"/>
          <w:color w:val="auto"/>
          <w:spacing w:val="20"/>
          <w:sz w:val="22"/>
          <w:szCs w:val="22"/>
          <w:highlight w:val="none"/>
        </w:rPr>
      </w:pPr>
    </w:p>
    <w:p>
      <w:pPr>
        <w:pStyle w:val="9"/>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pPr>
        <w:pStyle w:val="9"/>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pStyle w:val="9"/>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6、残疾人福利性单位的相关证明材料</w:t>
      </w:r>
    </w:p>
    <w:p>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460" w:lineRule="exact"/>
        <w:jc w:val="center"/>
        <w:rPr>
          <w:rFonts w:hint="eastAsia" w:ascii="宋体" w:hAnsi="宋体" w:eastAsia="宋体" w:cs="宋体"/>
          <w:b/>
          <w:bCs/>
          <w:color w:val="auto"/>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宋体" w:hAnsi="宋体" w:eastAsia="宋体" w:cs="宋体"/>
          <w:color w:val="auto"/>
          <w:spacing w:val="6"/>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p>
    <w:p>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pPr>
        <w:pStyle w:val="23"/>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pStyle w:val="23"/>
        <w:spacing w:line="460" w:lineRule="exact"/>
        <w:ind w:left="433" w:hanging="433" w:hangingChars="196"/>
        <w:outlineLvl w:val="1"/>
        <w:rPr>
          <w:rFonts w:hint="eastAsia" w:ascii="宋体" w:hAnsi="宋体" w:eastAsia="宋体" w:cs="宋体"/>
          <w:b/>
          <w:color w:val="auto"/>
          <w:sz w:val="22"/>
          <w:szCs w:val="22"/>
          <w:highlight w:val="none"/>
        </w:rPr>
      </w:pPr>
      <w:bookmarkStart w:id="34" w:name="_Toc19402"/>
      <w:bookmarkStart w:id="35" w:name="_Toc12035"/>
      <w:r>
        <w:rPr>
          <w:rFonts w:hint="eastAsia" w:ascii="宋体" w:hAnsi="宋体" w:eastAsia="宋体" w:cs="宋体"/>
          <w:b/>
          <w:color w:val="auto"/>
          <w:sz w:val="22"/>
          <w:szCs w:val="22"/>
          <w:highlight w:val="none"/>
        </w:rPr>
        <w:t>附件二</w:t>
      </w:r>
      <w:bookmarkEnd w:id="34"/>
      <w:bookmarkEnd w:id="35"/>
    </w:p>
    <w:p>
      <w:pPr>
        <w:spacing w:line="460" w:lineRule="exact"/>
        <w:jc w:val="center"/>
        <w:outlineLvl w:val="2"/>
        <w:rPr>
          <w:rFonts w:hint="eastAsia" w:ascii="宋体" w:hAnsi="宋体" w:eastAsia="宋体" w:cs="宋体"/>
          <w:color w:val="auto"/>
          <w:sz w:val="28"/>
          <w:szCs w:val="28"/>
          <w:highlight w:val="none"/>
        </w:rPr>
      </w:pPr>
      <w:bookmarkStart w:id="36" w:name="_Toc4718"/>
      <w:bookmarkStart w:id="37" w:name="_Toc25309"/>
      <w:r>
        <w:rPr>
          <w:rFonts w:hint="eastAsia" w:ascii="宋体" w:hAnsi="宋体" w:eastAsia="宋体" w:cs="宋体"/>
          <w:b/>
          <w:bCs/>
          <w:color w:val="auto"/>
          <w:sz w:val="28"/>
          <w:szCs w:val="28"/>
          <w:highlight w:val="none"/>
        </w:rPr>
        <w:t>资格证明文件</w:t>
      </w:r>
      <w:bookmarkEnd w:id="36"/>
      <w:bookmarkEnd w:id="37"/>
      <w:r>
        <w:rPr>
          <w:rFonts w:hint="eastAsia" w:ascii="宋体" w:hAnsi="宋体" w:eastAsia="宋体" w:cs="宋体"/>
          <w:color w:val="auto"/>
          <w:sz w:val="28"/>
          <w:szCs w:val="28"/>
          <w:highlight w:val="none"/>
        </w:rPr>
        <w:t xml:space="preserve"> </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1、有效营业执照（复印件盖单位公章）</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4"/>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2、最近一年财务报表(复印件，新成立的公司提供情况说明)；</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4"/>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4"/>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4、提供食品药品监督管理部门核发的完整有效的医疗器械注册或备案证明；（适用于按医疗器械管理的设备）</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4"/>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5、货物制造商或其它有销售资格（提供证明材料）的供应商出具的授权书（适用于投标人是进口货物代理商的情形）</w:t>
      </w:r>
    </w:p>
    <w:p>
      <w:pPr>
        <w:spacing w:line="460" w:lineRule="exact"/>
        <w:ind w:left="514" w:leftChars="245"/>
        <w:jc w:val="left"/>
        <w:rPr>
          <w:rFonts w:hint="eastAsia" w:ascii="宋体" w:hAnsi="宋体" w:eastAsia="宋体" w:cs="宋体"/>
          <w:b/>
          <w:bCs/>
          <w:color w:val="auto"/>
          <w:szCs w:val="21"/>
          <w:highlight w:val="none"/>
        </w:rPr>
      </w:pPr>
    </w:p>
    <w:p>
      <w:pPr>
        <w:spacing w:line="460" w:lineRule="exact"/>
        <w:jc w:val="left"/>
        <w:outlineLvl w:val="3"/>
        <w:rPr>
          <w:rFonts w:hint="eastAsia" w:ascii="宋体" w:hAnsi="宋体" w:eastAsia="宋体" w:cs="宋体"/>
          <w:color w:val="auto"/>
          <w:szCs w:val="21"/>
          <w:highlight w:val="none"/>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、具有履行合同所必需的场地、设备和专业技术能力的承诺函；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0" w:firstLine="0" w:firstLineChars="0"/>
        <w:rPr>
          <w:rFonts w:hint="eastAsia" w:ascii="宋体" w:hAnsi="宋体" w:eastAsia="宋体" w:cs="宋体"/>
          <w:color w:val="auto"/>
          <w:kern w:val="0"/>
          <w:highlight w:val="none"/>
        </w:rPr>
      </w:pPr>
    </w:p>
    <w:p>
      <w:pPr>
        <w:spacing w:line="460" w:lineRule="exact"/>
        <w:jc w:val="left"/>
        <w:outlineLvl w:val="3"/>
        <w:rPr>
          <w:rFonts w:hint="eastAsia" w:ascii="宋体" w:hAnsi="宋体" w:eastAsia="宋体" w:cs="宋体"/>
          <w:color w:val="auto"/>
          <w:sz w:val="20"/>
          <w:szCs w:val="22"/>
          <w:highlight w:val="none"/>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、依法缴纳税收和社会保障资金的承诺函；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hint="eastAsia" w:ascii="宋体" w:hAnsi="宋体" w:eastAsia="宋体" w:cs="宋体"/>
          <w:color w:val="auto"/>
          <w:kern w:val="0"/>
          <w:sz w:val="22"/>
          <w:szCs w:val="22"/>
          <w:highlight w:val="none"/>
        </w:rPr>
      </w:pP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420" w:leftChars="-200" w:firstLine="6160" w:firstLineChars="28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spacing w:line="460" w:lineRule="exact"/>
        <w:outlineLvl w:val="3"/>
        <w:rPr>
          <w:rFonts w:hint="eastAsia" w:ascii="宋体" w:hAnsi="宋体" w:eastAsia="宋体" w:cs="宋体"/>
          <w:b/>
          <w:bCs/>
          <w:color w:val="auto"/>
          <w:sz w:val="22"/>
          <w:szCs w:val="22"/>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、参加政府采购活动前3年内在经营活动中没有重大违法记录的声明函</w:t>
      </w:r>
      <w:r>
        <w:rPr>
          <w:rFonts w:hint="eastAsia" w:ascii="宋体" w:hAnsi="宋体" w:eastAsia="宋体" w:cs="宋体"/>
          <w:b/>
          <w:bCs/>
          <w:color w:val="auto"/>
          <w:sz w:val="22"/>
          <w:szCs w:val="22"/>
          <w:highlight w:val="none"/>
        </w:rPr>
        <w:t>；</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514" w:leftChars="245" w:firstLine="5720" w:firstLineChars="26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日期：     年  月  日</w:t>
      </w:r>
    </w:p>
    <w:p>
      <w:pPr>
        <w:spacing w:line="460" w:lineRule="exact"/>
        <w:ind w:left="514" w:leftChars="245"/>
        <w:rPr>
          <w:rFonts w:hint="eastAsia" w:ascii="宋体" w:hAnsi="宋体" w:eastAsia="宋体" w:cs="宋体"/>
          <w:b/>
          <w:bCs/>
          <w:color w:val="auto"/>
          <w:sz w:val="22"/>
          <w:szCs w:val="22"/>
          <w:highlight w:val="none"/>
        </w:rPr>
      </w:pPr>
    </w:p>
    <w:p>
      <w:pPr>
        <w:pStyle w:val="23"/>
        <w:ind w:left="0" w:firstLine="0" w:firstLineChars="0"/>
        <w:rPr>
          <w:rFonts w:hint="eastAsia" w:ascii="宋体" w:hAnsi="宋体" w:eastAsia="宋体" w:cs="宋体"/>
          <w:color w:val="auto"/>
          <w:highlight w:val="none"/>
        </w:rPr>
      </w:pPr>
    </w:p>
    <w:p>
      <w:pPr>
        <w:spacing w:line="460" w:lineRule="exact"/>
        <w:outlineLvl w:val="3"/>
        <w:rPr>
          <w:rFonts w:hint="eastAsia" w:ascii="宋体" w:hAnsi="宋体" w:eastAsia="宋体" w:cs="宋体"/>
          <w:b/>
          <w:bCs/>
          <w:color w:val="auto"/>
          <w:szCs w:val="21"/>
          <w:highlight w:val="none"/>
        </w:rPr>
      </w:pP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rPr>
        <w:t>、单位负责人为同一人或者存在直接控股、管理关系的不同供应商，不得参加同一合同项下的政府采购活动承诺函；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我方郑重承诺，我方此次参加</w:t>
      </w:r>
      <w:r>
        <w:rPr>
          <w:rFonts w:hint="eastAsia" w:ascii="宋体" w:hAnsi="宋体" w:cs="宋体"/>
          <w:color w:val="auto"/>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514" w:leftChars="245" w:firstLine="5720" w:firstLineChars="2600"/>
        <w:rPr>
          <w:rFonts w:hint="eastAsia" w:ascii="宋体" w:hAnsi="宋体" w:eastAsia="宋体" w:cs="宋体"/>
          <w:color w:val="auto"/>
          <w:kern w:val="0"/>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、投标人不属于公益一类事业单位承诺函；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我方郑重承诺，我单位不属于公益一类事业单位，可承接</w:t>
      </w:r>
      <w:r>
        <w:rPr>
          <w:rFonts w:hint="eastAsia" w:ascii="宋体" w:hAnsi="宋体" w:cs="宋体"/>
          <w:color w:val="auto"/>
          <w:kern w:val="0"/>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项目的相关服务内容。如有虚假或隐瞒，愿意承担一切后果。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adjustRightInd w:val="0"/>
        <w:snapToGrid w:val="0"/>
        <w:spacing w:line="460" w:lineRule="exact"/>
        <w:ind w:firstLine="6160" w:firstLineChars="28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514" w:leftChars="245" w:firstLine="0" w:firstLineChars="0"/>
        <w:rPr>
          <w:rFonts w:hint="eastAsia" w:ascii="宋体" w:hAnsi="宋体" w:eastAsia="宋体" w:cs="宋体"/>
          <w:color w:val="auto"/>
          <w:highlight w:val="none"/>
        </w:rPr>
      </w:pPr>
    </w:p>
    <w:p>
      <w:pPr>
        <w:pStyle w:val="23"/>
        <w:spacing w:line="460" w:lineRule="exact"/>
        <w:ind w:left="514" w:leftChars="245" w:firstLine="0" w:firstLineChars="0"/>
        <w:rPr>
          <w:rFonts w:hint="eastAsia" w:ascii="宋体" w:hAnsi="宋体" w:eastAsia="宋体" w:cs="宋体"/>
          <w:color w:val="auto"/>
          <w:highlight w:val="none"/>
        </w:rPr>
      </w:pPr>
    </w:p>
    <w:p>
      <w:pPr>
        <w:pStyle w:val="23"/>
        <w:spacing w:line="460" w:lineRule="exact"/>
        <w:ind w:left="514" w:leftChars="245" w:firstLine="0" w:firstLineChars="0"/>
        <w:rPr>
          <w:rFonts w:hint="eastAsia" w:ascii="宋体" w:hAnsi="宋体" w:eastAsia="宋体" w:cs="宋体"/>
          <w:color w:val="auto"/>
          <w:highlight w:val="none"/>
        </w:rPr>
      </w:pPr>
    </w:p>
    <w:p>
      <w:pPr>
        <w:pStyle w:val="23"/>
        <w:spacing w:line="460" w:lineRule="exact"/>
        <w:ind w:left="514" w:leftChars="245" w:firstLine="0" w:firstLineChars="0"/>
        <w:rPr>
          <w:rFonts w:hint="eastAsia" w:ascii="宋体" w:hAnsi="宋体" w:eastAsia="宋体" w:cs="宋体"/>
          <w:color w:val="auto"/>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rPr>
        <w:t>、投标人信用查询：</w:t>
      </w:r>
    </w:p>
    <w:p>
      <w:pPr>
        <w:tabs>
          <w:tab w:val="left" w:pos="360"/>
        </w:tabs>
        <w:spacing w:line="460" w:lineRule="exact"/>
        <w:ind w:firstLine="550" w:firstLineChars="25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1、投标人信用信息查询的查询渠道：“信用中国”(www.creditchina.gov.cn)</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“中国政府采购网”（http://www.ccgp.gov.cn/）等有关政府曝光台</w:t>
      </w:r>
      <w:r>
        <w:rPr>
          <w:rFonts w:hint="eastAsia" w:ascii="宋体" w:hAnsi="宋体" w:cs="宋体"/>
          <w:color w:val="auto"/>
          <w:sz w:val="22"/>
          <w:highlight w:val="none"/>
          <w:lang w:eastAsia="zh-CN"/>
        </w:rPr>
        <w:t>。</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3、投标人信用信息查询记录和证据留存的具体方式：网页截图；</w:t>
      </w:r>
    </w:p>
    <w:p>
      <w:pPr>
        <w:tabs>
          <w:tab w:val="left" w:pos="360"/>
        </w:tabs>
        <w:spacing w:line="460" w:lineRule="exact"/>
        <w:ind w:firstLine="552" w:firstLineChars="25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pStyle w:val="9"/>
        <w:rPr>
          <w:rFonts w:hint="eastAsia" w:ascii="宋体" w:hAnsi="宋体" w:eastAsia="宋体" w:cs="宋体"/>
          <w:bCs/>
          <w:color w:val="auto"/>
          <w:sz w:val="22"/>
          <w:szCs w:val="22"/>
          <w:highlight w:val="none"/>
        </w:rPr>
      </w:pPr>
    </w:p>
    <w:p>
      <w:pPr>
        <w:rPr>
          <w:rFonts w:hint="eastAsia" w:ascii="宋体" w:hAnsi="宋体" w:eastAsia="宋体" w:cs="宋体"/>
          <w:highlight w:val="none"/>
        </w:rPr>
      </w:pPr>
    </w:p>
    <w:p>
      <w:pPr>
        <w:rPr>
          <w:rFonts w:hint="eastAsia" w:ascii="宋体" w:hAnsi="宋体" w:eastAsia="宋体" w:cs="宋体"/>
          <w:color w:val="auto"/>
          <w:highlight w:val="none"/>
        </w:rPr>
      </w:pPr>
    </w:p>
    <w:p>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pPr>
        <w:spacing w:line="460" w:lineRule="exact"/>
        <w:jc w:val="center"/>
        <w:outlineLvl w:val="3"/>
        <w:rPr>
          <w:rFonts w:hint="eastAsia" w:ascii="宋体" w:hAnsi="宋体" w:eastAsia="宋体" w:cs="宋体"/>
          <w:b/>
          <w:bCs/>
          <w:color w:val="auto"/>
          <w:sz w:val="22"/>
          <w:szCs w:val="22"/>
          <w:highlight w:val="none"/>
        </w:rPr>
      </w:pPr>
      <w:r>
        <w:rPr>
          <w:rFonts w:hint="eastAsia" w:ascii="宋体" w:hAnsi="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rPr>
        <w:t>、采购活动现场确认声明书</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温州历程招标有限公司：</w:t>
      </w:r>
    </w:p>
    <w:p>
      <w:pPr>
        <w:spacing w:line="4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3"/>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□与其他所有供应商之间均不存在利害关系 </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pPr>
        <w:pStyle w:val="23"/>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pPr>
        <w:pStyle w:val="23"/>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3"/>
          <w:rFonts w:hint="eastAsia" w:ascii="宋体" w:hAnsi="宋体" w:eastAsia="宋体" w:cs="宋体"/>
          <w:color w:val="auto"/>
          <w:sz w:val="22"/>
          <w:szCs w:val="22"/>
          <w:highlight w:val="none"/>
        </w:rPr>
        <w:t xml:space="preserve">                  与                  （供应商名称）</w:t>
      </w:r>
      <w:r>
        <w:rPr>
          <w:rFonts w:hint="eastAsia" w:ascii="宋体" w:hAnsi="宋体" w:eastAsia="宋体" w:cs="宋体"/>
          <w:color w:val="auto"/>
          <w:kern w:val="0"/>
          <w:sz w:val="22"/>
          <w:szCs w:val="22"/>
          <w:highlight w:val="none"/>
        </w:rPr>
        <w:t>之间存在或可能存在上述第二条第</w:t>
      </w:r>
      <w:r>
        <w:rPr>
          <w:rStyle w:val="333"/>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项利害关系。</w:t>
      </w:r>
    </w:p>
    <w:p>
      <w:pPr>
        <w:pStyle w:val="23"/>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pPr>
        <w:pStyle w:val="23"/>
        <w:spacing w:line="460" w:lineRule="exact"/>
        <w:ind w:left="0" w:firstLine="0" w:firstLineChars="0"/>
        <w:jc w:val="right"/>
        <w:rPr>
          <w:rFonts w:hint="eastAsia" w:ascii="宋体" w:hAnsi="宋体" w:eastAsia="宋体" w:cs="宋体"/>
          <w:b/>
          <w:color w:val="auto"/>
          <w:kern w:val="0"/>
          <w:sz w:val="22"/>
          <w:szCs w:val="22"/>
          <w:highlight w:val="none"/>
        </w:rPr>
      </w:pPr>
    </w:p>
    <w:p>
      <w:pPr>
        <w:pStyle w:val="23"/>
        <w:spacing w:line="460" w:lineRule="exact"/>
        <w:ind w:left="0" w:firstLine="0" w:firstLineChars="0"/>
        <w:jc w:val="right"/>
        <w:rPr>
          <w:rFonts w:hint="eastAsia" w:ascii="宋体" w:hAnsi="宋体" w:eastAsia="宋体" w:cs="宋体"/>
          <w:b/>
          <w:color w:val="auto"/>
          <w:kern w:val="0"/>
          <w:sz w:val="22"/>
          <w:szCs w:val="22"/>
          <w:highlight w:val="none"/>
        </w:rPr>
      </w:pPr>
    </w:p>
    <w:p>
      <w:pPr>
        <w:pStyle w:val="23"/>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w:t>
      </w:r>
      <w:r>
        <w:rPr>
          <w:rFonts w:hint="eastAsia" w:ascii="宋体" w:hAnsi="宋体" w:cs="宋体"/>
          <w:b/>
          <w:color w:val="auto"/>
          <w:kern w:val="0"/>
          <w:sz w:val="22"/>
          <w:szCs w:val="22"/>
          <w:highlight w:val="none"/>
          <w:lang w:eastAsia="zh-CN"/>
        </w:rPr>
        <w:t>2022</w:t>
      </w:r>
      <w:r>
        <w:rPr>
          <w:rFonts w:hint="eastAsia" w:ascii="宋体" w:hAnsi="宋体" w:eastAsia="宋体" w:cs="宋体"/>
          <w:b/>
          <w:color w:val="auto"/>
          <w:kern w:val="0"/>
          <w:sz w:val="22"/>
          <w:szCs w:val="22"/>
          <w:highlight w:val="none"/>
        </w:rPr>
        <w:t>年    月    日</w:t>
      </w:r>
    </w:p>
    <w:p>
      <w:pPr>
        <w:rPr>
          <w:rFonts w:hint="eastAsia" w:ascii="宋体" w:hAnsi="宋体" w:eastAsia="宋体" w:cs="宋体"/>
          <w:b/>
          <w:bCs/>
          <w:color w:val="auto"/>
          <w:sz w:val="22"/>
          <w:szCs w:val="22"/>
          <w:highlight w:val="none"/>
        </w:rPr>
      </w:pPr>
    </w:p>
    <w:p>
      <w:pPr>
        <w:outlineLvl w:val="1"/>
        <w:rPr>
          <w:rFonts w:hint="eastAsia" w:ascii="宋体" w:hAnsi="宋体" w:eastAsia="宋体" w:cs="宋体"/>
          <w:b/>
          <w:bCs/>
          <w:color w:val="auto"/>
          <w:sz w:val="22"/>
          <w:szCs w:val="22"/>
          <w:highlight w:val="none"/>
        </w:rPr>
      </w:pPr>
      <w:bookmarkStart w:id="38" w:name="_Toc31356"/>
      <w:bookmarkStart w:id="39" w:name="_Toc16516"/>
      <w:r>
        <w:rPr>
          <w:rFonts w:hint="eastAsia" w:ascii="宋体" w:hAnsi="宋体" w:eastAsia="宋体" w:cs="宋体"/>
          <w:b/>
          <w:bCs/>
          <w:color w:val="auto"/>
          <w:sz w:val="22"/>
          <w:szCs w:val="22"/>
          <w:highlight w:val="none"/>
        </w:rPr>
        <w:t>附件三</w:t>
      </w:r>
      <w:bookmarkEnd w:id="38"/>
      <w:bookmarkEnd w:id="39"/>
    </w:p>
    <w:p>
      <w:pPr>
        <w:spacing w:line="460" w:lineRule="exact"/>
        <w:jc w:val="center"/>
        <w:outlineLvl w:val="2"/>
        <w:rPr>
          <w:rFonts w:hint="eastAsia" w:ascii="宋体" w:hAnsi="宋体" w:eastAsia="宋体" w:cs="宋体"/>
          <w:b/>
          <w:bCs/>
          <w:color w:val="auto"/>
          <w:sz w:val="28"/>
          <w:szCs w:val="28"/>
          <w:highlight w:val="none"/>
          <w:lang w:val="zh-CN"/>
        </w:rPr>
      </w:pPr>
      <w:bookmarkStart w:id="40" w:name="_Toc29102"/>
      <w:bookmarkStart w:id="41" w:name="_Toc13639"/>
      <w:r>
        <w:rPr>
          <w:rFonts w:hint="eastAsia" w:ascii="宋体" w:hAnsi="宋体" w:eastAsia="宋体" w:cs="宋体"/>
          <w:b/>
          <w:bCs/>
          <w:color w:val="auto"/>
          <w:sz w:val="28"/>
          <w:szCs w:val="28"/>
          <w:highlight w:val="none"/>
          <w:lang w:val="zh-CN"/>
        </w:rPr>
        <w:t>商务技术文件</w:t>
      </w:r>
      <w:bookmarkEnd w:id="40"/>
      <w:bookmarkEnd w:id="41"/>
    </w:p>
    <w:p>
      <w:pPr>
        <w:spacing w:line="380" w:lineRule="exact"/>
        <w:jc w:val="center"/>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4"/>
          <w:highlight w:val="none"/>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38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2、投标人情况表</w:t>
      </w:r>
    </w:p>
    <w:p>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zh-CN"/>
        </w:rPr>
        <w:t>偏离表（</w:t>
      </w:r>
      <w:r>
        <w:rPr>
          <w:rFonts w:hint="eastAsia" w:ascii="宋体" w:hAnsi="宋体" w:eastAsia="宋体" w:cs="宋体"/>
          <w:b/>
          <w:color w:val="auto"/>
          <w:sz w:val="24"/>
          <w:highlight w:val="none"/>
        </w:rPr>
        <w:t>商务、技术偏离</w:t>
      </w:r>
      <w:r>
        <w:rPr>
          <w:rFonts w:hint="eastAsia" w:ascii="宋体" w:hAnsi="宋体" w:eastAsia="宋体" w:cs="宋体"/>
          <w:b/>
          <w:color w:val="auto"/>
          <w:sz w:val="24"/>
          <w:highlight w:val="none"/>
          <w:lang w:val="zh-CN"/>
        </w:rPr>
        <w:t>）</w:t>
      </w:r>
    </w:p>
    <w:p>
      <w:pPr>
        <w:spacing w:line="560" w:lineRule="exact"/>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54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843"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Cs/>
          <w:color w:val="auto"/>
          <w:sz w:val="22"/>
          <w:szCs w:val="22"/>
          <w:highlight w:val="none"/>
        </w:rPr>
      </w:pPr>
    </w:p>
    <w:p>
      <w:pPr>
        <w:rPr>
          <w:rFonts w:hint="eastAsia" w:ascii="宋体" w:hAnsi="宋体" w:eastAsia="宋体" w:cs="宋体"/>
          <w:bCs/>
          <w:color w:val="auto"/>
          <w:sz w:val="22"/>
          <w:szCs w:val="22"/>
          <w:highlight w:val="none"/>
        </w:rPr>
      </w:pPr>
    </w:p>
    <w:p>
      <w:pPr>
        <w:rPr>
          <w:rFonts w:hint="eastAsia" w:ascii="新宋体" w:hAnsi="新宋体" w:eastAsia="新宋体" w:cs="新宋体"/>
          <w:b/>
          <w:bCs/>
          <w:color w:val="000000"/>
          <w:sz w:val="28"/>
          <w:szCs w:val="28"/>
          <w:highlight w:val="none"/>
        </w:rPr>
      </w:pPr>
      <w:r>
        <w:rPr>
          <w:rFonts w:hint="eastAsia" w:ascii="宋体" w:hAnsi="宋体" w:eastAsia="宋体" w:cs="宋体"/>
          <w:b/>
          <w:color w:val="auto"/>
          <w:sz w:val="24"/>
          <w:highlight w:val="none"/>
        </w:rPr>
        <w:br w:type="page"/>
      </w:r>
      <w:r>
        <w:rPr>
          <w:rFonts w:hint="eastAsia" w:ascii="新宋体" w:hAnsi="新宋体" w:eastAsia="新宋体" w:cs="新宋体"/>
          <w:b/>
          <w:bCs/>
          <w:color w:val="000000"/>
          <w:sz w:val="28"/>
          <w:szCs w:val="28"/>
          <w:highlight w:val="none"/>
        </w:rPr>
        <w:t>4、详细供货清单说明一览表</w:t>
      </w:r>
    </w:p>
    <w:p>
      <w:pPr>
        <w:rPr>
          <w:rFonts w:hint="eastAsia" w:ascii="新宋体" w:hAnsi="新宋体" w:eastAsia="新宋体" w:cs="新宋体"/>
          <w:b/>
          <w:bCs/>
          <w:color w:val="000000"/>
          <w:sz w:val="22"/>
          <w:szCs w:val="22"/>
          <w:highlight w:val="none"/>
        </w:rPr>
      </w:pPr>
      <w:r>
        <w:rPr>
          <w:rFonts w:hint="eastAsia" w:ascii="新宋体" w:hAnsi="新宋体" w:eastAsia="新宋体" w:cs="新宋体"/>
          <w:b/>
          <w:color w:val="000000"/>
          <w:sz w:val="22"/>
          <w:szCs w:val="22"/>
          <w:highlight w:val="none"/>
        </w:rPr>
        <w:t>项目名称：                                                       项目编号：</w:t>
      </w:r>
    </w:p>
    <w:tbl>
      <w:tblPr>
        <w:tblStyle w:val="53"/>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46"/>
        <w:gridCol w:w="1812"/>
        <w:gridCol w:w="1825"/>
        <w:gridCol w:w="1975"/>
        <w:gridCol w:w="1009"/>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663"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序号</w:t>
            </w:r>
          </w:p>
        </w:tc>
        <w:tc>
          <w:tcPr>
            <w:tcW w:w="1746"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设备名称/规格型号（与注册证一致）</w:t>
            </w:r>
          </w:p>
        </w:tc>
        <w:tc>
          <w:tcPr>
            <w:tcW w:w="1812"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货物注册证名称</w:t>
            </w:r>
          </w:p>
        </w:tc>
        <w:tc>
          <w:tcPr>
            <w:tcW w:w="1825"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规格及技术参数</w:t>
            </w:r>
          </w:p>
        </w:tc>
        <w:tc>
          <w:tcPr>
            <w:tcW w:w="1975"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原产地</w:t>
            </w:r>
          </w:p>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（生产厂家/品牌）</w:t>
            </w:r>
          </w:p>
        </w:tc>
        <w:tc>
          <w:tcPr>
            <w:tcW w:w="1009"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数量</w:t>
            </w:r>
          </w:p>
        </w:tc>
        <w:tc>
          <w:tcPr>
            <w:tcW w:w="976"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12" w:type="dxa"/>
            <w:noWrap w:val="0"/>
            <w:vAlign w:val="top"/>
          </w:tcPr>
          <w:p>
            <w:pPr>
              <w:spacing w:line="360" w:lineRule="auto"/>
              <w:jc w:val="center"/>
              <w:rPr>
                <w:rFonts w:hint="eastAsia" w:ascii="新宋体" w:hAnsi="新宋体" w:eastAsia="新宋体" w:cs="新宋体"/>
                <w:color w:val="000000"/>
                <w:sz w:val="22"/>
                <w:szCs w:val="22"/>
                <w:highlight w:val="none"/>
              </w:rPr>
            </w:pPr>
          </w:p>
        </w:tc>
        <w:tc>
          <w:tcPr>
            <w:tcW w:w="1825" w:type="dxa"/>
            <w:noWrap w:val="0"/>
            <w:vAlign w:val="top"/>
          </w:tcPr>
          <w:p>
            <w:pPr>
              <w:spacing w:line="360" w:lineRule="auto"/>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top"/>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top"/>
          </w:tcPr>
          <w:p>
            <w:pPr>
              <w:spacing w:line="360" w:lineRule="auto"/>
              <w:rPr>
                <w:rFonts w:hint="eastAsia" w:ascii="新宋体" w:hAnsi="新宋体" w:eastAsia="新宋体" w:cs="新宋体"/>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12" w:type="dxa"/>
            <w:noWrap w:val="0"/>
            <w:vAlign w:val="top"/>
          </w:tcPr>
          <w:p>
            <w:pPr>
              <w:spacing w:line="360" w:lineRule="auto"/>
              <w:jc w:val="center"/>
              <w:rPr>
                <w:rFonts w:hint="eastAsia" w:ascii="新宋体" w:hAnsi="新宋体" w:eastAsia="新宋体" w:cs="新宋体"/>
                <w:color w:val="000000"/>
                <w:sz w:val="22"/>
                <w:szCs w:val="22"/>
                <w:highlight w:val="none"/>
              </w:rPr>
            </w:pPr>
          </w:p>
        </w:tc>
        <w:tc>
          <w:tcPr>
            <w:tcW w:w="1825" w:type="dxa"/>
            <w:noWrap w:val="0"/>
            <w:vAlign w:val="top"/>
          </w:tcPr>
          <w:p>
            <w:pPr>
              <w:spacing w:line="360" w:lineRule="auto"/>
              <w:rPr>
                <w:rFonts w:hint="eastAsia" w:ascii="新宋体" w:hAnsi="新宋体" w:eastAsia="新宋体" w:cs="新宋体"/>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12" w:type="dxa"/>
            <w:noWrap w:val="0"/>
            <w:vAlign w:val="top"/>
          </w:tcPr>
          <w:p>
            <w:pPr>
              <w:spacing w:line="360" w:lineRule="auto"/>
              <w:jc w:val="center"/>
              <w:rPr>
                <w:rFonts w:hint="eastAsia" w:ascii="新宋体" w:hAnsi="新宋体" w:eastAsia="新宋体" w:cs="新宋体"/>
                <w:color w:val="000000"/>
                <w:sz w:val="22"/>
                <w:szCs w:val="22"/>
                <w:highlight w:val="none"/>
              </w:rPr>
            </w:pPr>
          </w:p>
        </w:tc>
        <w:tc>
          <w:tcPr>
            <w:tcW w:w="1825" w:type="dxa"/>
            <w:noWrap w:val="0"/>
            <w:vAlign w:val="top"/>
          </w:tcPr>
          <w:p>
            <w:pPr>
              <w:spacing w:line="360" w:lineRule="auto"/>
              <w:rPr>
                <w:rFonts w:hint="eastAsia" w:ascii="新宋体" w:hAnsi="新宋体" w:eastAsia="新宋体" w:cs="新宋体"/>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top"/>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bl>
    <w:p>
      <w:pPr>
        <w:pStyle w:val="29"/>
        <w:spacing w:line="400" w:lineRule="atLeast"/>
        <w:rPr>
          <w:rFonts w:hint="eastAsia" w:ascii="新宋体" w:hAnsi="新宋体" w:eastAsia="新宋体" w:cs="新宋体"/>
          <w:color w:val="000000"/>
          <w:sz w:val="22"/>
          <w:szCs w:val="22"/>
          <w:highlight w:val="none"/>
        </w:rPr>
      </w:pPr>
    </w:p>
    <w:p>
      <w:pPr>
        <w:pStyle w:val="29"/>
        <w:spacing w:line="400" w:lineRule="atLeast"/>
        <w:ind w:left="5360" w:leftChars="2500" w:hanging="110" w:hangingChars="50"/>
        <w:rPr>
          <w:rFonts w:hint="eastAsia" w:ascii="新宋体" w:hAnsi="新宋体" w:eastAsia="新宋体" w:cs="新宋体"/>
          <w:b w:val="0"/>
          <w:bCs/>
          <w:color w:val="000000"/>
          <w:sz w:val="22"/>
          <w:szCs w:val="22"/>
          <w:highlight w:val="none"/>
        </w:rPr>
      </w:pPr>
      <w:r>
        <w:rPr>
          <w:rFonts w:hint="eastAsia" w:ascii="新宋体" w:hAnsi="新宋体" w:eastAsia="新宋体" w:cs="新宋体"/>
          <w:b w:val="0"/>
          <w:bCs/>
          <w:color w:val="000000"/>
          <w:sz w:val="22"/>
          <w:szCs w:val="22"/>
          <w:highlight w:val="none"/>
        </w:rPr>
        <w:t>投标人全称（盖章）：</w:t>
      </w:r>
    </w:p>
    <w:p>
      <w:pPr>
        <w:spacing w:line="400" w:lineRule="exact"/>
        <w:rPr>
          <w:rFonts w:hint="eastAsia" w:ascii="新宋体" w:hAnsi="新宋体" w:eastAsia="新宋体" w:cs="新宋体"/>
          <w:bCs/>
          <w:color w:val="000000"/>
          <w:sz w:val="22"/>
          <w:szCs w:val="22"/>
          <w:highlight w:val="none"/>
        </w:rPr>
      </w:pPr>
      <w:r>
        <w:rPr>
          <w:rFonts w:hint="eastAsia" w:ascii="新宋体" w:hAnsi="新宋体" w:eastAsia="新宋体" w:cs="新宋体"/>
          <w:bCs/>
          <w:color w:val="000000"/>
          <w:sz w:val="22"/>
          <w:szCs w:val="22"/>
          <w:highlight w:val="none"/>
        </w:rPr>
        <w:t xml:space="preserve">                                                投标人代表（签字）：</w:t>
      </w:r>
    </w:p>
    <w:p>
      <w:pPr>
        <w:spacing w:line="400" w:lineRule="exact"/>
        <w:rPr>
          <w:rFonts w:hint="eastAsia" w:ascii="新宋体" w:hAnsi="新宋体" w:eastAsia="新宋体" w:cs="新宋体"/>
          <w:bCs/>
          <w:color w:val="000000"/>
          <w:sz w:val="22"/>
          <w:szCs w:val="22"/>
          <w:highlight w:val="none"/>
        </w:rPr>
      </w:pPr>
      <w:r>
        <w:rPr>
          <w:rFonts w:hint="eastAsia" w:ascii="新宋体" w:hAnsi="新宋体" w:eastAsia="新宋体" w:cs="新宋体"/>
          <w:bCs/>
          <w:color w:val="000000"/>
          <w:sz w:val="22"/>
          <w:szCs w:val="22"/>
          <w:highlight w:val="none"/>
        </w:rPr>
        <w:t xml:space="preserve">                                                日   期：</w:t>
      </w:r>
    </w:p>
    <w:p>
      <w:pPr>
        <w:keepNext/>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spacing w:line="400" w:lineRule="exact"/>
        <w:jc w:val="both"/>
        <w:outlineLvl w:val="3"/>
        <w:rPr>
          <w:rFonts w:hint="eastAsia" w:ascii="新宋体" w:hAnsi="新宋体" w:eastAsia="新宋体" w:cs="新宋体"/>
          <w:b/>
          <w:bCs/>
          <w:color w:val="000000"/>
          <w:sz w:val="28"/>
          <w:szCs w:val="28"/>
          <w:highlight w:val="none"/>
        </w:rPr>
      </w:pPr>
      <w:r>
        <w:rPr>
          <w:rFonts w:hint="eastAsia" w:ascii="新宋体" w:hAnsi="新宋体" w:eastAsia="新宋体" w:cs="新宋体"/>
          <w:b/>
          <w:bCs/>
          <w:color w:val="000000"/>
          <w:sz w:val="28"/>
          <w:szCs w:val="28"/>
          <w:highlight w:val="none"/>
        </w:rPr>
        <w:br w:type="page"/>
      </w:r>
      <w:r>
        <w:rPr>
          <w:rFonts w:hint="eastAsia" w:ascii="新宋体" w:hAnsi="新宋体" w:eastAsia="新宋体" w:cs="新宋体"/>
          <w:b/>
          <w:bCs/>
          <w:color w:val="000000"/>
          <w:sz w:val="28"/>
          <w:szCs w:val="28"/>
          <w:highlight w:val="none"/>
        </w:rPr>
        <w:t>5、备品、易损件、备件、专用工具清单</w:t>
      </w:r>
    </w:p>
    <w:p>
      <w:pPr>
        <w:spacing w:line="400" w:lineRule="exact"/>
        <w:ind w:left="139" w:leftChars="66" w:firstLine="166" w:firstLineChars="75"/>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序号</w:t>
            </w:r>
          </w:p>
        </w:tc>
        <w:tc>
          <w:tcPr>
            <w:tcW w:w="1240"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名  称</w:t>
            </w:r>
          </w:p>
        </w:tc>
        <w:tc>
          <w:tcPr>
            <w:tcW w:w="1404"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规格型号</w:t>
            </w:r>
          </w:p>
        </w:tc>
        <w:tc>
          <w:tcPr>
            <w:tcW w:w="796"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数量</w:t>
            </w:r>
          </w:p>
        </w:tc>
        <w:tc>
          <w:tcPr>
            <w:tcW w:w="3704"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原产地/制造商</w:t>
            </w:r>
          </w:p>
        </w:tc>
        <w:tc>
          <w:tcPr>
            <w:tcW w:w="1568"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bl>
    <w:p>
      <w:pPr>
        <w:spacing w:line="400" w:lineRule="exact"/>
        <w:ind w:firstLine="4620" w:firstLineChars="2100"/>
        <w:rPr>
          <w:rFonts w:hint="eastAsia" w:ascii="新宋体" w:hAnsi="新宋体" w:eastAsia="新宋体" w:cs="新宋体"/>
          <w:color w:val="000000"/>
          <w:sz w:val="22"/>
          <w:szCs w:val="22"/>
          <w:highlight w:val="none"/>
        </w:rPr>
      </w:pPr>
    </w:p>
    <w:p>
      <w:pPr>
        <w:spacing w:line="400" w:lineRule="exact"/>
        <w:ind w:firstLine="5280" w:firstLineChars="24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投标人全称（盖章）：</w:t>
      </w:r>
    </w:p>
    <w:p>
      <w:pPr>
        <w:spacing w:line="400" w:lineRule="exact"/>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xml:space="preserve">                                                投标人代表（签字）：</w:t>
      </w:r>
    </w:p>
    <w:p>
      <w:pPr>
        <w:spacing w:line="380" w:lineRule="exact"/>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xml:space="preserve">                                                日    期：</w:t>
      </w: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4、投标设备配套的合理性，技术指标的先进性</w:t>
      </w:r>
    </w:p>
    <w:p>
      <w:pPr>
        <w:spacing w:line="4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29"/>
        <w:spacing w:line="400" w:lineRule="atLeast"/>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5、设备档次</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tabs>
          <w:tab w:val="left" w:pos="360"/>
        </w:tabs>
        <w:spacing w:line="460" w:lineRule="exact"/>
        <w:ind w:firstLine="552" w:firstLineChars="250"/>
        <w:rPr>
          <w:rFonts w:hint="eastAsia" w:ascii="宋体" w:hAnsi="宋体" w:eastAsia="宋体" w:cs="宋体"/>
          <w:b/>
          <w:color w:val="auto"/>
          <w:sz w:val="22"/>
          <w:szCs w:val="22"/>
          <w:highlight w:val="none"/>
        </w:rPr>
      </w:pPr>
    </w:p>
    <w:p>
      <w:pPr>
        <w:spacing w:line="400" w:lineRule="exact"/>
        <w:ind w:firstLine="4620" w:firstLineChars="2100"/>
        <w:rPr>
          <w:rFonts w:hint="eastAsia" w:ascii="宋体" w:hAnsi="宋体" w:eastAsia="宋体" w:cs="宋体"/>
          <w:color w:val="auto"/>
          <w:sz w:val="22"/>
          <w:szCs w:val="22"/>
          <w:highlight w:val="none"/>
        </w:rPr>
      </w:pPr>
    </w:p>
    <w:p>
      <w:pPr>
        <w:spacing w:line="400" w:lineRule="exact"/>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投标人代表（签字）：</w:t>
      </w:r>
    </w:p>
    <w:p>
      <w:pPr>
        <w:spacing w:line="380" w:lineRule="exact"/>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20" w:lineRule="exact"/>
        <w:rPr>
          <w:rFonts w:hint="eastAsia" w:ascii="宋体" w:hAnsi="宋体" w:eastAsia="宋体" w:cs="宋体"/>
          <w:b/>
          <w:color w:val="auto"/>
          <w:sz w:val="24"/>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、耗材试剂配送服务方案</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1" w:hRule="atLeast"/>
        </w:trPr>
        <w:tc>
          <w:tcPr>
            <w:tcW w:w="10196" w:type="dxa"/>
            <w:vAlign w:val="center"/>
          </w:tcPr>
          <w:p>
            <w:pPr>
              <w:jc w:val="center"/>
              <w:rPr>
                <w:rFonts w:hint="eastAsia" w:ascii="宋体" w:hAnsi="宋体" w:eastAsia="宋体" w:cs="宋体"/>
                <w:b/>
                <w:color w:val="auto"/>
                <w:sz w:val="22"/>
                <w:szCs w:val="22"/>
                <w:highlight w:val="none"/>
              </w:rPr>
            </w:pPr>
          </w:p>
          <w:p>
            <w:pPr>
              <w:jc w:val="center"/>
              <w:rPr>
                <w:rFonts w:hint="eastAsia" w:ascii="宋体" w:hAnsi="宋体" w:eastAsia="宋体" w:cs="宋体"/>
                <w:b/>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新宋体" w:hAnsi="新宋体" w:eastAsia="新宋体" w:cs="Times New Roman"/>
          <w:b/>
          <w:sz w:val="22"/>
          <w:szCs w:val="22"/>
          <w:lang w:val="en-US" w:eastAsia="zh-CN"/>
        </w:rPr>
        <w:t>7</w:t>
      </w:r>
      <w:r>
        <w:rPr>
          <w:rFonts w:hint="eastAsia" w:ascii="新宋体" w:hAnsi="新宋体" w:eastAsia="新宋体" w:cs="Times New Roman"/>
          <w:b/>
          <w:sz w:val="22"/>
          <w:szCs w:val="22"/>
        </w:rPr>
        <w:t>、运行应急方案</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77" w:hRule="atLeast"/>
          <w:jc w:val="center"/>
        </w:trPr>
        <w:tc>
          <w:tcPr>
            <w:tcW w:w="9242" w:type="dxa"/>
            <w:vAlign w:val="center"/>
          </w:tcPr>
          <w:p>
            <w:pPr>
              <w:jc w:val="center"/>
              <w:rPr>
                <w:rFonts w:hint="eastAsia" w:ascii="宋体" w:hAnsi="宋体" w:eastAsia="宋体" w:cs="宋体"/>
                <w:b/>
                <w:color w:val="auto"/>
                <w:szCs w:val="21"/>
                <w:highlight w:val="none"/>
              </w:rPr>
            </w:pPr>
          </w:p>
        </w:tc>
      </w:tr>
    </w:tbl>
    <w:p>
      <w:pPr>
        <w:spacing w:line="380" w:lineRule="exact"/>
        <w:rPr>
          <w:rFonts w:hint="eastAsia" w:ascii="宋体" w:hAnsi="宋体" w:eastAsia="宋体" w:cs="宋体"/>
          <w:color w:val="auto"/>
          <w:sz w:val="36"/>
          <w:szCs w:val="36"/>
          <w:highlight w:val="none"/>
        </w:rPr>
      </w:pPr>
    </w:p>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、市场占有率</w:t>
      </w:r>
    </w:p>
    <w:p>
      <w:pPr>
        <w:spacing w:line="400" w:lineRule="exact"/>
        <w:jc w:val="center"/>
        <w:outlineLvl w:val="9"/>
        <w:rPr>
          <w:rFonts w:hint="eastAsia" w:ascii="宋体" w:hAnsi="宋体" w:eastAsia="宋体" w:cs="宋体"/>
          <w:b/>
          <w:color w:val="auto"/>
          <w:sz w:val="24"/>
          <w:highlight w:val="none"/>
          <w:lang w:val="zh-CN"/>
        </w:rPr>
      </w:pPr>
    </w:p>
    <w:p>
      <w:pP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29"/>
        <w:tabs>
          <w:tab w:val="left" w:pos="0"/>
          <w:tab w:val="left" w:pos="540"/>
        </w:tabs>
        <w:spacing w:line="300" w:lineRule="auto"/>
        <w:ind w:firstLine="221" w:firstLineChars="100"/>
        <w:rPr>
          <w:rFonts w:hint="eastAsia" w:ascii="宋体" w:hAnsi="宋体" w:eastAsia="宋体" w:cs="宋体"/>
          <w:color w:val="auto"/>
          <w:sz w:val="22"/>
          <w:szCs w:val="22"/>
          <w:highlight w:val="none"/>
        </w:rPr>
      </w:pPr>
    </w:p>
    <w:p>
      <w:pPr>
        <w:pStyle w:val="29"/>
        <w:spacing w:line="400" w:lineRule="atLeast"/>
        <w:ind w:left="657" w:leftChars="313" w:firstLine="3975" w:firstLineChars="1800"/>
        <w:rPr>
          <w:rFonts w:hint="eastAsia" w:ascii="宋体" w:hAnsi="宋体" w:eastAsia="宋体" w:cs="宋体"/>
          <w:color w:val="auto"/>
          <w:sz w:val="22"/>
          <w:highlight w:val="none"/>
        </w:rPr>
      </w:pPr>
    </w:p>
    <w:p>
      <w:pPr>
        <w:pStyle w:val="29"/>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pPr>
        <w:pStyle w:val="29"/>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投标人代表（签字）：   </w:t>
      </w:r>
    </w:p>
    <w:p>
      <w:pPr>
        <w:pStyle w:val="29"/>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pPr>
        <w:pStyle w:val="29"/>
        <w:spacing w:line="460" w:lineRule="atLeast"/>
        <w:ind w:left="660" w:hanging="660" w:hangingChars="300"/>
        <w:rPr>
          <w:rFonts w:hint="eastAsia" w:ascii="宋体" w:hAnsi="宋体" w:eastAsia="宋体" w:cs="宋体"/>
          <w:b w:val="0"/>
          <w:bCs/>
          <w:color w:val="auto"/>
          <w:sz w:val="22"/>
          <w:highlight w:val="none"/>
        </w:rPr>
      </w:pPr>
    </w:p>
    <w:p>
      <w:pPr>
        <w:rPr>
          <w:rFonts w:hint="eastAsia" w:ascii="宋体" w:hAnsi="宋体" w:eastAsia="宋体" w:cs="宋体"/>
          <w:b/>
          <w:color w:val="auto"/>
          <w:sz w:val="24"/>
          <w:highlight w:val="none"/>
          <w:lang w:val="en-US" w:eastAsia="zh-CN"/>
        </w:rPr>
      </w:pPr>
    </w:p>
    <w:p>
      <w:pPr>
        <w:pStyle w:val="9"/>
        <w:rPr>
          <w:rFonts w:hint="eastAsia"/>
          <w:lang w:val="en-US" w:eastAsia="zh-CN"/>
        </w:rPr>
      </w:pPr>
    </w:p>
    <w:p>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9、售后服务</w:t>
      </w:r>
    </w:p>
    <w:p>
      <w:pPr>
        <w:spacing w:line="400" w:lineRule="exact"/>
        <w:jc w:val="center"/>
        <w:outlineLvl w:val="9"/>
        <w:rPr>
          <w:rFonts w:hint="eastAsia" w:ascii="宋体" w:hAnsi="宋体" w:eastAsia="宋体" w:cs="宋体"/>
          <w:b/>
          <w:color w:val="auto"/>
          <w:sz w:val="24"/>
          <w:highlight w:val="none"/>
          <w:lang w:val="zh-CN" w:eastAsia="zh-CN"/>
        </w:rPr>
      </w:pPr>
    </w:p>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项目名称：                                          项目编号：</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spacing w:line="460" w:lineRule="exact"/>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29"/>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pStyle w:val="29"/>
        <w:spacing w:line="400" w:lineRule="atLeast"/>
        <w:rPr>
          <w:rFonts w:hint="eastAsia" w:ascii="宋体" w:hAnsi="宋体" w:eastAsia="宋体" w:cs="宋体"/>
          <w:color w:val="auto"/>
          <w:sz w:val="22"/>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、投标人提供的超出招标文件的优惠条件</w:t>
      </w:r>
    </w:p>
    <w:p>
      <w:pPr>
        <w:spacing w:line="400" w:lineRule="exact"/>
        <w:jc w:val="center"/>
        <w:outlineLvl w:val="9"/>
        <w:rPr>
          <w:rFonts w:hint="eastAsia" w:ascii="宋体" w:hAnsi="宋体" w:eastAsia="宋体" w:cs="宋体"/>
          <w:b/>
          <w:color w:val="auto"/>
          <w:sz w:val="24"/>
          <w:highlight w:val="none"/>
          <w:lang w:val="zh-CN"/>
        </w:rPr>
      </w:pPr>
    </w:p>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29"/>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、环境标志产品、节能产品</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20"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spacing w:line="38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pStyle w:val="4"/>
        <w:numPr>
          <w:ilvl w:val="0"/>
          <w:numId w:val="9"/>
        </w:numPr>
        <w:bidi w:val="0"/>
        <w:rPr>
          <w:rFonts w:hint="eastAsia" w:ascii="宋体" w:hAnsi="宋体" w:eastAsia="宋体" w:cs="宋体"/>
          <w:b/>
          <w:color w:val="auto"/>
          <w:highlight w:val="none"/>
        </w:rPr>
      </w:pPr>
      <w:r>
        <w:rPr>
          <w:rFonts w:hint="eastAsia" w:ascii="宋体" w:hAnsi="宋体" w:eastAsia="宋体" w:cs="宋体"/>
        </w:rPr>
        <w:t xml:space="preserve">  </w:t>
      </w:r>
      <w:bookmarkStart w:id="42" w:name="_Toc10142"/>
      <w:bookmarkStart w:id="43" w:name="_Toc3381"/>
      <w:bookmarkStart w:id="44" w:name="_Toc221356958"/>
      <w:bookmarkStart w:id="45" w:name="_Toc221356895"/>
      <w:r>
        <w:rPr>
          <w:rFonts w:hint="eastAsia" w:ascii="宋体" w:hAnsi="宋体" w:eastAsia="宋体" w:cs="宋体"/>
        </w:rPr>
        <w:t>项目技术规范和服务要求</w:t>
      </w:r>
      <w:bookmarkEnd w:id="42"/>
      <w:bookmarkEnd w:id="43"/>
    </w:p>
    <w:bookmarkEnd w:id="44"/>
    <w:bookmarkEnd w:id="45"/>
    <w:p>
      <w:pPr>
        <w:spacing w:line="460" w:lineRule="exact"/>
        <w:outlineLvl w:val="1"/>
        <w:rPr>
          <w:rFonts w:hint="eastAsia" w:ascii="新宋体" w:hAnsi="新宋体" w:eastAsia="新宋体" w:cs="新宋体"/>
          <w:b/>
          <w:sz w:val="22"/>
          <w:szCs w:val="22"/>
        </w:rPr>
      </w:pPr>
      <w:bookmarkStart w:id="46" w:name="_Toc30323"/>
      <w:bookmarkStart w:id="47" w:name="_Toc18194"/>
      <w:r>
        <w:rPr>
          <w:rFonts w:hint="eastAsia" w:ascii="新宋体" w:hAnsi="新宋体" w:eastAsia="新宋体" w:cs="新宋体"/>
          <w:b/>
          <w:sz w:val="22"/>
          <w:szCs w:val="22"/>
        </w:rPr>
        <w:t>一、项目概况</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为满足临床血糖检测，区域血糖信息化管理需求，规范血糖仪在临床上的使用，做好血糖数据存储及仪器质量控制工作，我院拟就目前医院在用血糖仪品牌进行规范，选择其中一家具有血糖信息化管理功能的设备厂家做为医院血糖仪及试纸的供应商，规范临床血糖检测操作、数据管理及检验质控工作，确保临床及区域管理及患者安全。</w:t>
      </w:r>
    </w:p>
    <w:p>
      <w:pPr>
        <w:spacing w:line="460" w:lineRule="exact"/>
        <w:outlineLvl w:val="1"/>
        <w:rPr>
          <w:rFonts w:hint="eastAsia" w:ascii="新宋体" w:hAnsi="新宋体" w:eastAsia="新宋体" w:cs="新宋体"/>
          <w:b/>
          <w:sz w:val="22"/>
          <w:szCs w:val="22"/>
        </w:rPr>
      </w:pPr>
      <w:r>
        <w:rPr>
          <w:rFonts w:hint="eastAsia" w:ascii="新宋体" w:hAnsi="新宋体" w:eastAsia="新宋体" w:cs="新宋体"/>
          <w:b/>
          <w:sz w:val="22"/>
          <w:szCs w:val="22"/>
        </w:rPr>
        <w:t>二、采购数量</w:t>
      </w:r>
    </w:p>
    <w:p>
      <w:pPr>
        <w:tabs>
          <w:tab w:val="left" w:pos="360"/>
        </w:tabs>
        <w:spacing w:line="460" w:lineRule="exact"/>
        <w:rPr>
          <w:rFonts w:hint="eastAsia" w:ascii="新宋体" w:hAnsi="新宋体" w:eastAsia="新宋体" w:cs="新宋体"/>
          <w:b/>
          <w:color w:val="000000" w:themeColor="text1"/>
          <w:sz w:val="22"/>
          <w:szCs w:val="22"/>
          <w:lang w:eastAsia="zh-CN"/>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血糖</w:t>
      </w:r>
      <w:r>
        <w:rPr>
          <w:rFonts w:hint="eastAsia" w:ascii="新宋体" w:hAnsi="新宋体" w:eastAsia="新宋体" w:cs="新宋体"/>
          <w:b/>
          <w:color w:val="000000" w:themeColor="text1"/>
          <w:sz w:val="22"/>
          <w:szCs w:val="22"/>
          <w:lang w:eastAsia="zh-CN"/>
          <w14:textFill>
            <w14:solidFill>
              <w14:schemeClr w14:val="tx1"/>
            </w14:solidFill>
          </w14:textFill>
        </w:rPr>
        <w:t>仪及</w:t>
      </w:r>
      <w:r>
        <w:rPr>
          <w:rFonts w:hint="eastAsia" w:ascii="新宋体" w:hAnsi="新宋体" w:eastAsia="新宋体" w:cs="新宋体"/>
          <w:b/>
          <w:color w:val="000000" w:themeColor="text1"/>
          <w:sz w:val="22"/>
          <w:szCs w:val="22"/>
          <w14:textFill>
            <w14:solidFill>
              <w14:schemeClr w14:val="tx1"/>
            </w14:solidFill>
          </w14:textFill>
        </w:rPr>
        <w:t>信息化管理系统设备租赁费+血糖试纸</w:t>
      </w:r>
      <w:r>
        <w:rPr>
          <w:rFonts w:hint="eastAsia" w:ascii="新宋体" w:hAnsi="新宋体" w:eastAsia="新宋体" w:cs="新宋体"/>
          <w:b/>
          <w:color w:val="000000" w:themeColor="text1"/>
          <w:sz w:val="22"/>
          <w:szCs w:val="22"/>
          <w:lang w:eastAsia="zh-CN"/>
          <w14:textFill>
            <w14:solidFill>
              <w14:schemeClr w14:val="tx1"/>
            </w14:solidFill>
          </w14:textFill>
        </w:rPr>
        <w:t>（</w:t>
      </w:r>
      <w:r>
        <w:rPr>
          <w:rFonts w:hint="eastAsia" w:ascii="新宋体" w:hAnsi="新宋体" w:eastAsia="新宋体" w:cs="新宋体"/>
          <w:b/>
          <w:color w:val="000000" w:themeColor="text1"/>
          <w:sz w:val="22"/>
          <w:szCs w:val="22"/>
          <w:lang w:val="en-US" w:eastAsia="zh-CN"/>
          <w14:textFill>
            <w14:solidFill>
              <w14:schemeClr w14:val="tx1"/>
            </w14:solidFill>
          </w14:textFill>
        </w:rPr>
        <w:t>采血针</w:t>
      </w:r>
      <w:r>
        <w:rPr>
          <w:rFonts w:hint="eastAsia" w:ascii="新宋体" w:hAnsi="新宋体" w:eastAsia="新宋体" w:cs="新宋体"/>
          <w:b/>
          <w:color w:val="000000" w:themeColor="text1"/>
          <w:sz w:val="22"/>
          <w:szCs w:val="22"/>
          <w:lang w:eastAsia="zh-CN"/>
          <w14:textFill>
            <w14:solidFill>
              <w14:schemeClr w14:val="tx1"/>
            </w14:solidFill>
          </w14:textFill>
        </w:rPr>
        <w:t>）</w:t>
      </w:r>
    </w:p>
    <w:tbl>
      <w:tblPr>
        <w:tblStyle w:val="53"/>
        <w:tblW w:w="9775"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825"/>
        <w:gridCol w:w="1300"/>
        <w:gridCol w:w="2513"/>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序号</w:t>
            </w:r>
          </w:p>
        </w:tc>
        <w:tc>
          <w:tcPr>
            <w:tcW w:w="3825" w:type="dxa"/>
            <w:noWrap w:val="0"/>
            <w:vAlign w:val="center"/>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设备（系统）名称</w:t>
            </w:r>
          </w:p>
        </w:tc>
        <w:tc>
          <w:tcPr>
            <w:tcW w:w="1300" w:type="dxa"/>
            <w:noWrap w:val="0"/>
            <w:vAlign w:val="center"/>
          </w:tcPr>
          <w:p>
            <w:pPr>
              <w:tabs>
                <w:tab w:val="left" w:pos="360"/>
              </w:tabs>
              <w:spacing w:line="460" w:lineRule="exact"/>
              <w:jc w:val="center"/>
              <w:rPr>
                <w:rFonts w:ascii="新宋体" w:hAnsi="新宋体" w:eastAsia="新宋体" w:cs="新宋体"/>
                <w:b/>
                <w:color w:val="000000" w:themeColor="text1"/>
                <w:sz w:val="22"/>
                <w:szCs w:val="22"/>
                <w:highlight w:val="none"/>
                <w14:textFill>
                  <w14:solidFill>
                    <w14:schemeClr w14:val="tx1"/>
                  </w14:solidFill>
                </w14:textFill>
              </w:rPr>
            </w:pPr>
            <w:r>
              <w:rPr>
                <w:rFonts w:hint="eastAsia" w:ascii="新宋体" w:hAnsi="新宋体" w:eastAsia="新宋体" w:cs="新宋体"/>
                <w:b/>
                <w:color w:val="000000" w:themeColor="text1"/>
                <w:sz w:val="22"/>
                <w:szCs w:val="22"/>
                <w:highlight w:val="none"/>
                <w14:textFill>
                  <w14:solidFill>
                    <w14:schemeClr w14:val="tx1"/>
                  </w14:solidFill>
                </w14:textFill>
              </w:rPr>
              <w:t>预算单价</w:t>
            </w:r>
          </w:p>
        </w:tc>
        <w:tc>
          <w:tcPr>
            <w:tcW w:w="2513" w:type="dxa"/>
            <w:noWrap w:val="0"/>
            <w:vAlign w:val="center"/>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数量</w:t>
            </w:r>
          </w:p>
        </w:tc>
        <w:tc>
          <w:tcPr>
            <w:tcW w:w="1337" w:type="dxa"/>
            <w:noWrap w:val="0"/>
            <w:vAlign w:val="center"/>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bottom w:val="single" w:color="auto" w:sz="4" w:space="0"/>
            </w:tcBorders>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1</w:t>
            </w:r>
          </w:p>
        </w:tc>
        <w:tc>
          <w:tcPr>
            <w:tcW w:w="3825"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血糖</w:t>
            </w:r>
            <w:r>
              <w:rPr>
                <w:rFonts w:hint="eastAsia" w:ascii="新宋体" w:hAnsi="新宋体" w:eastAsia="新宋体" w:cs="新宋体"/>
                <w:b w:val="0"/>
                <w:bCs/>
                <w:color w:val="000000" w:themeColor="text1"/>
                <w:sz w:val="22"/>
                <w:szCs w:val="22"/>
                <w:lang w:eastAsia="zh-CN"/>
                <w14:textFill>
                  <w14:solidFill>
                    <w14:schemeClr w14:val="tx1"/>
                  </w14:solidFill>
                </w14:textFill>
              </w:rPr>
              <w:t>仪及</w:t>
            </w:r>
            <w:r>
              <w:rPr>
                <w:rFonts w:hint="eastAsia" w:ascii="新宋体" w:hAnsi="新宋体" w:eastAsia="新宋体" w:cs="新宋体"/>
                <w:b w:val="0"/>
                <w:bCs/>
                <w:color w:val="000000" w:themeColor="text1"/>
                <w:sz w:val="22"/>
                <w:szCs w:val="22"/>
                <w14:textFill>
                  <w14:solidFill>
                    <w14:schemeClr w14:val="tx1"/>
                  </w14:solidFill>
                </w14:textFill>
              </w:rPr>
              <w:t>信息化管理系统设备租赁费</w:t>
            </w:r>
          </w:p>
        </w:tc>
        <w:tc>
          <w:tcPr>
            <w:tcW w:w="1300" w:type="dxa"/>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5000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c>
          <w:tcPr>
            <w:tcW w:w="2513"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yellow"/>
                <w:lang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14:textFill>
                  <w14:solidFill>
                    <w14:schemeClr w14:val="tx1"/>
                  </w14:solidFill>
                </w14:textFill>
              </w:rPr>
              <w:t>1套</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含血糖仪70台</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p>
        </w:tc>
        <w:tc>
          <w:tcPr>
            <w:tcW w:w="1337"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5000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tcBorders>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lang w:val="en-US" w:eastAsia="zh-CN"/>
                <w14:textFill>
                  <w14:solidFill>
                    <w14:schemeClr w14:val="tx1"/>
                  </w14:solidFill>
                </w14:textFill>
              </w:rPr>
              <w:t>2</w:t>
            </w:r>
          </w:p>
        </w:tc>
        <w:tc>
          <w:tcPr>
            <w:tcW w:w="3825"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yellow"/>
                <w14:textFill>
                  <w14:solidFill>
                    <w14:schemeClr w14:val="tx1"/>
                  </w14:solidFill>
                </w14:textFill>
              </w:rPr>
            </w:pPr>
            <w:r>
              <w:rPr>
                <w:rFonts w:hint="eastAsia" w:ascii="新宋体" w:hAnsi="新宋体" w:eastAsia="新宋体" w:cs="新宋体"/>
                <w:b w:val="0"/>
                <w:bCs/>
                <w:color w:val="000000" w:themeColor="text1"/>
                <w:sz w:val="22"/>
                <w:szCs w:val="22"/>
                <w:highlight w:val="none"/>
                <w14:textFill>
                  <w14:solidFill>
                    <w14:schemeClr w14:val="tx1"/>
                  </w14:solidFill>
                </w14:textFill>
              </w:rPr>
              <w:t>血糖试纸</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采血针</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p>
        </w:tc>
        <w:tc>
          <w:tcPr>
            <w:tcW w:w="1300" w:type="dxa"/>
            <w:noWrap w:val="0"/>
            <w:vAlign w:val="center"/>
          </w:tcPr>
          <w:p>
            <w:pPr>
              <w:tabs>
                <w:tab w:val="left" w:pos="360"/>
              </w:tabs>
              <w:spacing w:line="460" w:lineRule="exact"/>
              <w:jc w:val="center"/>
              <w:rPr>
                <w:rFonts w:hint="default" w:ascii="新宋体" w:hAnsi="新宋体" w:eastAsia="新宋体" w:cs="新宋体"/>
                <w:b w:val="0"/>
                <w:bCs/>
                <w:color w:val="000000" w:themeColor="text1"/>
                <w:sz w:val="22"/>
                <w:szCs w:val="22"/>
                <w:highlight w:val="yellow"/>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1.6元</w:t>
            </w:r>
          </w:p>
        </w:tc>
        <w:tc>
          <w:tcPr>
            <w:tcW w:w="2513" w:type="dxa"/>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highlight w:val="yellow"/>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600000</w:t>
            </w:r>
            <w:r>
              <w:rPr>
                <w:rFonts w:hint="eastAsia" w:ascii="新宋体" w:hAnsi="新宋体" w:eastAsia="新宋体" w:cs="新宋体"/>
                <w:b w:val="0"/>
                <w:bCs/>
                <w:color w:val="000000" w:themeColor="text1"/>
                <w:sz w:val="22"/>
                <w:szCs w:val="22"/>
                <w:highlight w:val="none"/>
                <w14:textFill>
                  <w14:solidFill>
                    <w14:schemeClr w14:val="tx1"/>
                  </w14:solidFill>
                </w14:textFill>
              </w:rPr>
              <w:t>片</w:t>
            </w:r>
          </w:p>
        </w:tc>
        <w:tc>
          <w:tcPr>
            <w:tcW w:w="1337"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yellow"/>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960000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5" w:type="dxa"/>
            <w:gridSpan w:val="5"/>
            <w:noWrap w:val="0"/>
            <w:vAlign w:val="top"/>
          </w:tcPr>
          <w:p>
            <w:pPr>
              <w:tabs>
                <w:tab w:val="left" w:pos="360"/>
              </w:tabs>
              <w:spacing w:line="460" w:lineRule="exact"/>
              <w:rPr>
                <w:rFonts w:hint="eastAsia"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项目总预算为</w:t>
            </w:r>
            <w:r>
              <w:rPr>
                <w:rFonts w:hint="eastAsia" w:ascii="新宋体" w:hAnsi="新宋体" w:eastAsia="新宋体"/>
                <w:b w:val="0"/>
                <w:bCs/>
                <w:color w:val="000000" w:themeColor="text1"/>
                <w:sz w:val="22"/>
                <w:szCs w:val="22"/>
                <w14:textFill>
                  <w14:solidFill>
                    <w14:schemeClr w14:val="tx1"/>
                  </w14:solidFill>
                </w14:textFill>
              </w:rPr>
              <w:t>（¥</w:t>
            </w:r>
            <w:r>
              <w:rPr>
                <w:rFonts w:hint="eastAsia" w:ascii="新宋体" w:hAnsi="新宋体" w:eastAsia="新宋体"/>
                <w:b w:val="0"/>
                <w:bCs/>
                <w:color w:val="000000" w:themeColor="text1"/>
                <w:sz w:val="22"/>
                <w:szCs w:val="22"/>
                <w:lang w:val="en-US" w:eastAsia="zh-CN"/>
                <w14:textFill>
                  <w14:solidFill>
                    <w14:schemeClr w14:val="tx1"/>
                  </w14:solidFill>
                </w14:textFill>
              </w:rPr>
              <w:t>965</w:t>
            </w:r>
            <w:r>
              <w:rPr>
                <w:rFonts w:hint="eastAsia" w:ascii="新宋体" w:hAnsi="新宋体" w:eastAsia="新宋体"/>
                <w:b w:val="0"/>
                <w:bCs/>
                <w:color w:val="000000" w:themeColor="text1"/>
                <w:sz w:val="22"/>
                <w:szCs w:val="22"/>
                <w14:textFill>
                  <w14:solidFill>
                    <w14:schemeClr w14:val="tx1"/>
                  </w14:solidFill>
                </w14:textFill>
              </w:rPr>
              <w:t>000.00元）</w:t>
            </w:r>
          </w:p>
        </w:tc>
      </w:tr>
    </w:tbl>
    <w:p>
      <w:pPr>
        <w:tabs>
          <w:tab w:val="left" w:pos="360"/>
        </w:tabs>
        <w:spacing w:line="460" w:lineRule="exact"/>
        <w:rPr>
          <w:rFonts w:hint="eastAsia" w:ascii="新宋体" w:hAnsi="新宋体" w:eastAsia="新宋体" w:cs="新宋体"/>
          <w:b/>
          <w:bCs/>
          <w:sz w:val="22"/>
          <w:szCs w:val="22"/>
          <w:u w:val="single"/>
        </w:rPr>
      </w:pPr>
      <w:r>
        <w:rPr>
          <w:rFonts w:hint="eastAsia" w:ascii="新宋体" w:hAnsi="新宋体" w:eastAsia="新宋体" w:cs="新宋体"/>
          <w:b/>
          <w:sz w:val="22"/>
          <w:szCs w:val="22"/>
          <w:u w:val="single"/>
        </w:rPr>
        <w:t>如投标人报价超过预算或预算单价按无效标处理</w:t>
      </w:r>
    </w:p>
    <w:p>
      <w:pPr>
        <w:numPr>
          <w:ilvl w:val="0"/>
          <w:numId w:val="10"/>
        </w:numPr>
        <w:spacing w:line="460" w:lineRule="exact"/>
        <w:outlineLvl w:val="1"/>
        <w:rPr>
          <w:rFonts w:hint="eastAsia" w:ascii="新宋体" w:hAnsi="新宋体" w:eastAsia="新宋体" w:cs="新宋体"/>
          <w:b/>
          <w:sz w:val="22"/>
          <w:szCs w:val="22"/>
        </w:rPr>
      </w:pPr>
      <w:r>
        <w:rPr>
          <w:rFonts w:hint="eastAsia" w:ascii="新宋体" w:hAnsi="新宋体" w:eastAsia="新宋体" w:cs="新宋体"/>
          <w:b/>
          <w:sz w:val="22"/>
          <w:szCs w:val="22"/>
        </w:rPr>
        <w:t>技术参数要求</w:t>
      </w:r>
    </w:p>
    <w:tbl>
      <w:tblPr>
        <w:tblStyle w:val="53"/>
        <w:tblW w:w="978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81"/>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序号</w:t>
            </w:r>
          </w:p>
        </w:tc>
        <w:tc>
          <w:tcPr>
            <w:tcW w:w="1681"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设备名称</w:t>
            </w:r>
          </w:p>
        </w:tc>
        <w:tc>
          <w:tcPr>
            <w:tcW w:w="7304" w:type="dxa"/>
            <w:noWrap w:val="0"/>
            <w:vAlign w:val="top"/>
          </w:tcPr>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w:t>
            </w:r>
          </w:p>
        </w:tc>
        <w:tc>
          <w:tcPr>
            <w:tcW w:w="1681"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系统软件</w:t>
            </w:r>
          </w:p>
        </w:tc>
        <w:tc>
          <w:tcPr>
            <w:tcW w:w="7304" w:type="dxa"/>
            <w:noWrap w:val="0"/>
            <w:vAlign w:val="top"/>
          </w:tcPr>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★1、患者管理：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支持与HIS单向或双向信息传输</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支持病区／床位方式批量管理患者</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支持不同性别患者识别管理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 xml:space="preserve">支持危急值阈值和演示颜色个性化设置，并进行提醒功能 </w:t>
            </w:r>
          </w:p>
          <w:p>
            <w:pPr>
              <w:pStyle w:val="9"/>
              <w:keepNext w:val="0"/>
              <w:keepLines w:val="0"/>
              <w:pageBreakBefore w:val="0"/>
              <w:kinsoku/>
              <w:wordWrap/>
              <w:overflowPunct/>
              <w:topLinePunct w:val="0"/>
              <w:autoSpaceDE/>
              <w:autoSpaceDN/>
              <w:bidi w:val="0"/>
              <w:spacing w:line="460" w:lineRule="exact"/>
              <w:ind w:firstLine="0"/>
              <w:rPr>
                <w:rFonts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支持患者多次住院和转科数据查询</w:t>
            </w:r>
          </w:p>
          <w:p>
            <w:pPr>
              <w:keepNext w:val="0"/>
              <w:keepLines w:val="0"/>
              <w:pageBreakBefore w:val="0"/>
              <w:kinsoku/>
              <w:wordWrap/>
              <w:overflowPunct/>
              <w:topLinePunct w:val="0"/>
              <w:autoSpaceDE/>
              <w:autoSpaceDN/>
              <w:bidi w:val="0"/>
              <w:spacing w:line="460" w:lineRule="exact"/>
              <w:rPr>
                <w:rFonts w:hint="eastAsia" w:ascii="新宋体" w:hAnsi="新宋体" w:eastAsia="新宋体"/>
                <w:color w:val="000000" w:themeColor="text1"/>
                <w:kern w:val="0"/>
                <w:sz w:val="22"/>
                <w:szCs w:val="22"/>
                <w14:textFill>
                  <w14:solidFill>
                    <w14:schemeClr w14:val="tx1"/>
                  </w14:solidFill>
                </w14:textFill>
              </w:rPr>
            </w:pPr>
            <w:r>
              <w:rPr>
                <w:rFonts w:ascii="新宋体" w:hAnsi="新宋体" w:eastAsia="新宋体"/>
                <w:color w:val="000000" w:themeColor="text1"/>
                <w:kern w:val="0"/>
                <w:sz w:val="22"/>
                <w:szCs w:val="22"/>
                <w14:textFill>
                  <w14:solidFill>
                    <w14:schemeClr w14:val="tx1"/>
                  </w14:solidFill>
                </w14:textFill>
              </w:rPr>
              <w:t>报告单模可根据医院定制化</w:t>
            </w:r>
          </w:p>
          <w:p>
            <w:pPr>
              <w:pStyle w:val="9"/>
              <w:keepNext w:val="0"/>
              <w:keepLines w:val="0"/>
              <w:pageBreakBefore w:val="0"/>
              <w:kinsoku/>
              <w:wordWrap/>
              <w:overflowPunct/>
              <w:topLinePunct w:val="0"/>
              <w:autoSpaceDE/>
              <w:autoSpaceDN/>
              <w:bidi w:val="0"/>
              <w:spacing w:line="460" w:lineRule="exact"/>
              <w:ind w:firstLine="0"/>
              <w:rPr>
                <w:rFonts w:hint="eastAsia"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患者定期回访提醒</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★2、质量控制：</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支持标准品质控</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支持自动接收仪器的质控结果</w:t>
            </w:r>
          </w:p>
          <w:p>
            <w:pPr>
              <w:keepNext w:val="0"/>
              <w:keepLines w:val="0"/>
              <w:pageBreakBefore w:val="0"/>
              <w:kinsoku/>
              <w:wordWrap/>
              <w:overflowPunct/>
              <w:topLinePunct w:val="0"/>
              <w:autoSpaceDE/>
              <w:autoSpaceDN/>
              <w:bidi w:val="0"/>
              <w:spacing w:line="460" w:lineRule="exact"/>
              <w:rPr>
                <w:rFonts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支持绘制质控图／标本结果失控或在控状态并输出打印</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★3、分析统计：</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支持患者动态趋势分析、时间段分析及整体趋势分析</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支持详细血糖报告的形成，并可与医院打印模版统一，进行打印输出</w:t>
            </w:r>
          </w:p>
          <w:p>
            <w:pPr>
              <w:keepNext w:val="0"/>
              <w:keepLines w:val="0"/>
              <w:pageBreakBefore w:val="0"/>
              <w:kinsoku/>
              <w:wordWrap/>
              <w:overflowPunct/>
              <w:topLinePunct w:val="0"/>
              <w:autoSpaceDE/>
              <w:autoSpaceDN/>
              <w:bidi w:val="0"/>
              <w:spacing w:line="460" w:lineRule="exact"/>
              <w:rPr>
                <w:rFonts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支持医护人员工作量与单个／多个患者检测量统计</w:t>
            </w:r>
          </w:p>
          <w:p>
            <w:pPr>
              <w:pStyle w:val="9"/>
              <w:keepNext w:val="0"/>
              <w:keepLines w:val="0"/>
              <w:pageBreakBefore w:val="0"/>
              <w:kinsoku/>
              <w:wordWrap/>
              <w:overflowPunct/>
              <w:topLinePunct w:val="0"/>
              <w:autoSpaceDE/>
              <w:autoSpaceDN/>
              <w:bidi w:val="0"/>
              <w:spacing w:line="460" w:lineRule="exact"/>
              <w:ind w:firstLine="0"/>
              <w:rPr>
                <w:rFonts w:hint="eastAsia" w:ascii="新宋体" w:hAnsi="新宋体" w:eastAsia="新宋体" w:cs="新宋体"/>
                <w:b w:val="0"/>
                <w:color w:val="000000" w:themeColor="text1"/>
                <w:sz w:val="22"/>
                <w:szCs w:val="22"/>
                <w14:textFill>
                  <w14:solidFill>
                    <w14:schemeClr w14:val="tx1"/>
                  </w14:solidFill>
                </w14:textFill>
              </w:rPr>
            </w:pPr>
            <w:r>
              <w:rPr>
                <w:rFonts w:ascii="新宋体" w:hAnsi="新宋体" w:eastAsia="新宋体" w:cs="新宋体"/>
                <w:b w:val="0"/>
                <w:color w:val="000000" w:themeColor="text1"/>
                <w:sz w:val="22"/>
                <w:szCs w:val="22"/>
                <w14:textFill>
                  <w14:solidFill>
                    <w14:schemeClr w14:val="tx1"/>
                  </w14:solidFill>
                </w14:textFill>
              </w:rPr>
              <w:t>支持试纸条用量统计</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支持患者检测平均值、标准差、血糖过高或过低频率的计算</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支持所有样本各时间段内检测数据汇总</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支持试纸和设备使用情况的统计</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支持年龄、性别、科室和高低血糖发生率、出入院血糖平均值、血糖达标率等交叉分析</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★4、耗材／设备管理：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支持耗材名称、不同批号、不同效期信息的记录</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支持根据检测次数对耗材消耗量进行统计</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支持不同编码的设备管理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支持各设备使用频率及耗材使用量的记录</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★5、与医院网络系统对接免费</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★6、全院会诊：可接受科室可随时查看到申请科室的的会诊申请，以及该患者的详细的血糖数据和相关情况，在线给予指导意见或床旁会诊。还可以根据患者病情和管理流程建立虚拟病房进行患者精细化管理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7</w:t>
            </w:r>
            <w:r>
              <w:rPr>
                <w:rFonts w:hint="eastAsia" w:ascii="新宋体" w:hAnsi="新宋体" w:eastAsia="新宋体" w:cs="新宋体"/>
                <w:color w:val="000000" w:themeColor="text1"/>
                <w:kern w:val="0"/>
                <w:sz w:val="22"/>
                <w:szCs w:val="22"/>
                <w14:textFill>
                  <w14:solidFill>
                    <w14:schemeClr w14:val="tx1"/>
                  </w14:solidFill>
                </w14:textFill>
              </w:rPr>
              <w:t>、可实现与门诊、住院的网络对接，实现区域血糖管理，并有成功落地实施经验</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8</w:t>
            </w:r>
            <w:r>
              <w:rPr>
                <w:rFonts w:hint="eastAsia" w:ascii="新宋体" w:hAnsi="新宋体" w:eastAsia="新宋体" w:cs="新宋体"/>
                <w:color w:val="000000" w:themeColor="text1"/>
                <w:kern w:val="0"/>
                <w:sz w:val="22"/>
                <w:szCs w:val="22"/>
                <w14:textFill>
                  <w14:solidFill>
                    <w14:schemeClr w14:val="tx1"/>
                  </w14:solidFill>
                </w14:textFill>
              </w:rPr>
              <w:t>、有个人患者管理软件，实现区域管理个人家庭管理；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9</w:t>
            </w:r>
            <w:r>
              <w:rPr>
                <w:rFonts w:hint="eastAsia" w:ascii="新宋体" w:hAnsi="新宋体" w:eastAsia="新宋体" w:cs="新宋体"/>
                <w:color w:val="000000" w:themeColor="text1"/>
                <w:kern w:val="0"/>
                <w:sz w:val="22"/>
                <w:szCs w:val="22"/>
                <w14:textFill>
                  <w14:solidFill>
                    <w14:schemeClr w14:val="tx1"/>
                  </w14:solidFill>
                </w14:textFill>
              </w:rPr>
              <w:t>、需要与his系统做到无缝对接，所需费用由中标方和医院his系统进行对接沟通。</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0</w:t>
            </w:r>
            <w:r>
              <w:rPr>
                <w:rFonts w:hint="eastAsia" w:ascii="新宋体" w:hAnsi="新宋体" w:eastAsia="新宋体" w:cs="新宋体"/>
                <w:color w:val="000000" w:themeColor="text1"/>
                <w:kern w:val="0"/>
                <w:sz w:val="22"/>
                <w:szCs w:val="22"/>
                <w14:textFill>
                  <w14:solidFill>
                    <w14:schemeClr w14:val="tx1"/>
                  </w14:solidFill>
                </w14:textFill>
              </w:rPr>
              <w:t>、所有接口永久免费，免费提供接口文档，永久无条件配合院方跟其它系统做到无缝对接。</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1</w:t>
            </w:r>
            <w:r>
              <w:rPr>
                <w:rFonts w:hint="eastAsia" w:ascii="新宋体" w:hAnsi="新宋体" w:eastAsia="新宋体" w:cs="新宋体"/>
                <w:color w:val="000000" w:themeColor="text1"/>
                <w:kern w:val="0"/>
                <w:sz w:val="22"/>
                <w:szCs w:val="22"/>
                <w14:textFill>
                  <w14:solidFill>
                    <w14:schemeClr w14:val="tx1"/>
                  </w14:solidFill>
                </w14:textFill>
              </w:rPr>
              <w:t>、系统应包含PC端和移动端，移动端功能应该和PC端功能保持一致，两者需要一样。</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2</w:t>
            </w:r>
            <w:r>
              <w:rPr>
                <w:rFonts w:hint="eastAsia" w:ascii="新宋体" w:hAnsi="新宋体" w:eastAsia="新宋体" w:cs="新宋体"/>
                <w:color w:val="000000" w:themeColor="text1"/>
                <w:kern w:val="0"/>
                <w:sz w:val="22"/>
                <w:szCs w:val="22"/>
                <w14:textFill>
                  <w14:solidFill>
                    <w14:schemeClr w14:val="tx1"/>
                  </w14:solidFill>
                </w14:textFill>
              </w:rPr>
              <w:t>、应免费提供所需的服务器（配置内存不少于8GB,硬盘不低于1TB，包括正版服务器系统），包括但不限于硬件VPN（能够保证多分支接入，接入数量大于等于300以上）等必须设备。</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3</w:t>
            </w:r>
            <w:r>
              <w:rPr>
                <w:rFonts w:hint="eastAsia" w:ascii="新宋体" w:hAnsi="新宋体" w:eastAsia="新宋体" w:cs="新宋体"/>
                <w:color w:val="000000" w:themeColor="text1"/>
                <w:kern w:val="0"/>
                <w:sz w:val="22"/>
                <w:szCs w:val="22"/>
                <w14:textFill>
                  <w14:solidFill>
                    <w14:schemeClr w14:val="tx1"/>
                  </w14:solidFill>
                </w14:textFill>
              </w:rPr>
              <w:t>、保证血糖管理系统随时更新，以保证其永远在最新状态。</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4</w:t>
            </w:r>
            <w:r>
              <w:rPr>
                <w:rFonts w:hint="eastAsia" w:ascii="新宋体" w:hAnsi="新宋体" w:eastAsia="新宋体" w:cs="新宋体"/>
                <w:color w:val="000000" w:themeColor="text1"/>
                <w:kern w:val="0"/>
                <w:sz w:val="22"/>
                <w:szCs w:val="22"/>
                <w14:textFill>
                  <w14:solidFill>
                    <w14:schemeClr w14:val="tx1"/>
                  </w14:solidFill>
                </w14:textFill>
              </w:rPr>
              <w:t>、血糖信息化软件需具备软件著作权证</w:t>
            </w:r>
          </w:p>
          <w:p>
            <w:pPr>
              <w:keepNext w:val="0"/>
              <w:keepLines w:val="0"/>
              <w:pageBreakBefore w:val="0"/>
              <w:widowControl/>
              <w:kinsoku/>
              <w:wordWrap/>
              <w:overflowPunct/>
              <w:topLinePunct w:val="0"/>
              <w:autoSpaceDE/>
              <w:autoSpaceDN/>
              <w:bidi w:val="0"/>
              <w:spacing w:line="460" w:lineRule="exact"/>
              <w:jc w:val="lef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b/>
                <w:color w:val="000000" w:themeColor="text1"/>
                <w:kern w:val="0"/>
                <w:sz w:val="22"/>
                <w:szCs w:val="22"/>
                <w14:textFill>
                  <w14:solidFill>
                    <w14:schemeClr w14:val="tx1"/>
                  </w14:solidFill>
                </w14:textFill>
              </w:rPr>
              <w:t>售后：</w:t>
            </w:r>
            <w:r>
              <w:rPr>
                <w:rFonts w:hint="eastAsia" w:ascii="新宋体" w:hAnsi="新宋体" w:eastAsia="新宋体" w:cs="新宋体"/>
                <w:color w:val="000000" w:themeColor="text1"/>
                <w:kern w:val="0"/>
                <w:sz w:val="22"/>
                <w:szCs w:val="22"/>
                <w14:textFill>
                  <w14:solidFill>
                    <w14:schemeClr w14:val="tx1"/>
                  </w14:solidFill>
                </w14:textFill>
              </w:rPr>
              <w:t>能免费提供软件维护与系统升级</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b/>
                <w:color w:val="000000" w:themeColor="text1"/>
                <w:kern w:val="0"/>
                <w:sz w:val="22"/>
                <w:szCs w:val="22"/>
                <w14:textFill>
                  <w14:solidFill>
                    <w14:schemeClr w14:val="tx1"/>
                  </w14:solidFill>
                </w14:textFill>
              </w:rPr>
              <w:t>质控与培训：</w:t>
            </w:r>
            <w:r>
              <w:rPr>
                <w:rFonts w:hint="eastAsia" w:ascii="新宋体" w:hAnsi="新宋体" w:eastAsia="新宋体" w:cs="新宋体"/>
                <w:color w:val="000000" w:themeColor="text1"/>
                <w:kern w:val="0"/>
                <w:sz w:val="22"/>
                <w:szCs w:val="22"/>
                <w14:textFill>
                  <w14:solidFill>
                    <w14:schemeClr w14:val="tx1"/>
                  </w14:solidFill>
                </w14:textFill>
              </w:rPr>
              <w:t>1、免费提供质控液</w:t>
            </w:r>
          </w:p>
          <w:p>
            <w:pPr>
              <w:keepNext w:val="0"/>
              <w:keepLines w:val="0"/>
              <w:pageBreakBefore w:val="0"/>
              <w:kinsoku/>
              <w:wordWrap/>
              <w:overflowPunct/>
              <w:topLinePunct w:val="0"/>
              <w:autoSpaceDE/>
              <w:autoSpaceDN/>
              <w:bidi w:val="0"/>
              <w:snapToGrid w:val="0"/>
              <w:spacing w:line="460" w:lineRule="exact"/>
              <w:ind w:firstLine="1320" w:firstLineChars="600"/>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2、培训计划（使科室医护达到熟练操作）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2</w:t>
            </w:r>
          </w:p>
        </w:tc>
        <w:tc>
          <w:tcPr>
            <w:tcW w:w="1681"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000000" w:themeColor="text1"/>
                <w:kern w:val="0"/>
                <w:sz w:val="22"/>
                <w:szCs w:val="22"/>
                <w:lang w:eastAsia="zh-CN"/>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血糖仪</w:t>
            </w:r>
            <w:r>
              <w:rPr>
                <w:rFonts w:hint="eastAsia" w:ascii="新宋体" w:hAnsi="新宋体" w:eastAsia="新宋体" w:cs="新宋体"/>
                <w:color w:val="000000" w:themeColor="text1"/>
                <w:kern w:val="0"/>
                <w:sz w:val="22"/>
                <w:szCs w:val="22"/>
                <w:lang w:eastAsia="zh-CN"/>
                <w14:textFill>
                  <w14:solidFill>
                    <w14:schemeClr w14:val="tx1"/>
                  </w14:solidFill>
                </w14:textFill>
              </w:rPr>
              <w:t>（</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70台</w:t>
            </w:r>
            <w:r>
              <w:rPr>
                <w:rFonts w:hint="eastAsia" w:ascii="新宋体" w:hAnsi="新宋体" w:eastAsia="新宋体" w:cs="新宋体"/>
                <w:color w:val="000000" w:themeColor="text1"/>
                <w:kern w:val="0"/>
                <w:sz w:val="22"/>
                <w:szCs w:val="22"/>
                <w:lang w:eastAsia="zh-CN"/>
                <w14:textFill>
                  <w14:solidFill>
                    <w14:schemeClr w14:val="tx1"/>
                  </w14:solidFill>
                </w14:textFill>
              </w:rPr>
              <w:t>）</w:t>
            </w:r>
          </w:p>
        </w:tc>
        <w:tc>
          <w:tcPr>
            <w:tcW w:w="7304" w:type="dxa"/>
            <w:noWrap w:val="0"/>
            <w:vAlign w:val="top"/>
          </w:tcPr>
          <w:p>
            <w:pPr>
              <w:pStyle w:val="9"/>
              <w:keepNext w:val="0"/>
              <w:keepLines w:val="0"/>
              <w:pageBreakBefore w:val="0"/>
              <w:kinsoku/>
              <w:wordWrap/>
              <w:overflowPunct/>
              <w:topLinePunct w:val="0"/>
              <w:autoSpaceDE/>
              <w:autoSpaceDN/>
              <w:bidi w:val="0"/>
              <w:spacing w:line="460" w:lineRule="exact"/>
              <w:ind w:firstLine="0"/>
              <w:rPr>
                <w:rFonts w:hint="eastAsia" w:ascii="新宋体" w:hAnsi="新宋体" w:eastAsia="新宋体" w:cs="新宋体"/>
                <w:color w:val="000000" w:themeColor="text1"/>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★1、智能血糖仪需有注册证，相关的软件系统必须具备计算机软件著作权登记证书和信息系统等级保护证明等保证数据安全。</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2、全中文操作界面，界面中含患者姓名、床位及ID号等信息</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★3、采用工业级硬件平台，保证可以根据临床需求定制化开发。</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4、仪器可通过床位、姓名、ID号、住院号等多种方式识别患者</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★5、血糖仪可支持4G、WiFi（5G可用）</w:t>
            </w:r>
            <w:r>
              <w:rPr>
                <w:rFonts w:hint="eastAsia" w:ascii="新宋体" w:hAnsi="新宋体" w:eastAsia="新宋体" w:cs="新宋体"/>
                <w:color w:val="000000" w:themeColor="text1"/>
                <w:kern w:val="0"/>
                <w:sz w:val="22"/>
                <w:szCs w:val="22"/>
                <w:highlight w:val="yellow"/>
                <w:lang w:val="en-US" w:eastAsia="zh-CN"/>
                <w14:textFill>
                  <w14:solidFill>
                    <w14:schemeClr w14:val="tx1"/>
                  </w14:solidFill>
                </w14:textFill>
              </w:rPr>
              <w:t>二</w:t>
            </w:r>
            <w:r>
              <w:rPr>
                <w:rFonts w:hint="eastAsia" w:ascii="新宋体" w:hAnsi="新宋体" w:eastAsia="新宋体" w:cs="新宋体"/>
                <w:color w:val="000000" w:themeColor="text1"/>
                <w:kern w:val="0"/>
                <w:sz w:val="22"/>
                <w:szCs w:val="22"/>
                <w:highlight w:val="yellow"/>
                <w14:textFill>
                  <w14:solidFill>
                    <w14:schemeClr w14:val="tx1"/>
                  </w14:solidFill>
                </w14:textFill>
              </w:rPr>
              <w:t>种</w:t>
            </w:r>
            <w:r>
              <w:rPr>
                <w:rFonts w:hint="eastAsia" w:ascii="新宋体" w:hAnsi="新宋体" w:eastAsia="新宋体" w:cs="新宋体"/>
                <w:color w:val="000000" w:themeColor="text1"/>
                <w:kern w:val="0"/>
                <w:sz w:val="22"/>
                <w:szCs w:val="22"/>
                <w14:textFill>
                  <w14:solidFill>
                    <w14:schemeClr w14:val="tx1"/>
                  </w14:solidFill>
                </w14:textFill>
              </w:rPr>
              <w:t>数据接口传输</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6、具有血糖检测时间及大事件备注功能</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7、血糖异常值提醒，可手动添加测血糖提醒功能</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8、未上传数据自动保存功能（避免数据丢失）</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★9、支持同一科室多台仪器检测结果互通</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10、无床患者血糖检测并存储传输</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★11、具有测血糖医嘱显示功能：未测及已测数据的颜色标记；</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12、具有特殊时间段、随机、糖耐量测试血糖标注</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13、测血糖提示显示，外出或拒测提醒功能</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14、仪器具有查看血糖报告功能：查看所有住院患者血糖数据</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★15、仪器内数据可进行曲线分析和血糖报告的形成</w:t>
            </w:r>
          </w:p>
          <w:p>
            <w:pPr>
              <w:keepNext w:val="0"/>
              <w:keepLines w:val="0"/>
              <w:pageBreakBefore w:val="0"/>
              <w:kinsoku/>
              <w:wordWrap/>
              <w:overflowPunct/>
              <w:topLinePunct w:val="0"/>
              <w:autoSpaceDE/>
              <w:autoSpaceDN/>
              <w:bidi w:val="0"/>
              <w:spacing w:line="460" w:lineRule="exact"/>
              <w:rPr>
                <w:rFonts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16、具有高低血糖设置功能：可设置患者血糖控制目标，超出目标以颜色标注</w:t>
            </w:r>
          </w:p>
          <w:p>
            <w:pPr>
              <w:pStyle w:val="9"/>
              <w:keepNext w:val="0"/>
              <w:keepLines w:val="0"/>
              <w:pageBreakBefore w:val="0"/>
              <w:kinsoku/>
              <w:wordWrap/>
              <w:overflowPunct/>
              <w:topLinePunct w:val="0"/>
              <w:autoSpaceDE/>
              <w:autoSpaceDN/>
              <w:bidi w:val="0"/>
              <w:spacing w:line="460" w:lineRule="exact"/>
              <w:ind w:firstLine="0"/>
              <w:rPr>
                <w:rFonts w:ascii="新宋体" w:hAnsi="新宋体" w:eastAsia="新宋体" w:cs="新宋体"/>
                <w:b w:val="0"/>
                <w:color w:val="000000" w:themeColor="text1"/>
                <w:sz w:val="22"/>
                <w:szCs w:val="22"/>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★1</w:t>
            </w:r>
            <w:r>
              <w:rPr>
                <w:rFonts w:hint="eastAsia" w:ascii="新宋体" w:hAnsi="新宋体" w:eastAsia="新宋体" w:cs="新宋体"/>
                <w:color w:val="000000" w:themeColor="text1"/>
                <w:sz w:val="22"/>
                <w:szCs w:val="22"/>
                <w:lang w:val="en-US" w:eastAsia="zh-CN"/>
                <w14:textFill>
                  <w14:solidFill>
                    <w14:schemeClr w14:val="tx1"/>
                  </w14:solidFill>
                </w14:textFill>
              </w:rPr>
              <w:t>7</w:t>
            </w:r>
            <w:r>
              <w:rPr>
                <w:rFonts w:hint="eastAsia" w:ascii="新宋体" w:hAnsi="新宋体" w:eastAsia="新宋体" w:cs="新宋体"/>
                <w:color w:val="000000" w:themeColor="text1"/>
                <w:sz w:val="22"/>
                <w:szCs w:val="22"/>
                <w14:textFill>
                  <w14:solidFill>
                    <w14:schemeClr w14:val="tx1"/>
                  </w14:solidFill>
                </w14:textFill>
              </w:rPr>
              <w:t>、</w:t>
            </w:r>
            <w:r>
              <w:rPr>
                <w:rFonts w:ascii="新宋体" w:hAnsi="新宋体" w:eastAsia="新宋体" w:cs="新宋体"/>
                <w:b w:val="0"/>
                <w:color w:val="000000" w:themeColor="text1"/>
                <w:sz w:val="22"/>
                <w:szCs w:val="22"/>
                <w14:textFill>
                  <w14:solidFill>
                    <w14:schemeClr w14:val="tx1"/>
                  </w14:solidFill>
                </w14:textFill>
              </w:rPr>
              <w:t>血糖仪集床位、门诊功能一体，方便设备管理</w:t>
            </w:r>
          </w:p>
          <w:p>
            <w:pPr>
              <w:keepNext w:val="0"/>
              <w:keepLines w:val="0"/>
              <w:pageBreakBefore w:val="0"/>
              <w:kinsoku/>
              <w:wordWrap/>
              <w:overflowPunct/>
              <w:topLinePunct w:val="0"/>
              <w:autoSpaceDE/>
              <w:autoSpaceDN/>
              <w:bidi w:val="0"/>
              <w:spacing w:line="460" w:lineRule="exact"/>
              <w:rPr>
                <w:rFonts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w:t>
            </w:r>
            <w:r>
              <w:rPr>
                <w:rFonts w:hint="eastAsia" w:ascii="新宋体" w:hAnsi="新宋体" w:eastAsia="新宋体" w:cs="新宋体"/>
                <w:color w:val="000000" w:themeColor="text1"/>
                <w:sz w:val="22"/>
                <w:szCs w:val="22"/>
                <w14:textFill>
                  <w14:solidFill>
                    <w14:schemeClr w14:val="tx1"/>
                  </w14:solidFill>
                </w14:textFill>
              </w:rPr>
              <w:t>1</w:t>
            </w:r>
            <w:r>
              <w:rPr>
                <w:rFonts w:hint="eastAsia" w:ascii="新宋体" w:hAnsi="新宋体" w:eastAsia="新宋体" w:cs="新宋体"/>
                <w:color w:val="000000" w:themeColor="text1"/>
                <w:sz w:val="22"/>
                <w:szCs w:val="22"/>
                <w:lang w:val="en-US" w:eastAsia="zh-CN"/>
                <w14:textFill>
                  <w14:solidFill>
                    <w14:schemeClr w14:val="tx1"/>
                  </w14:solidFill>
                </w14:textFill>
              </w:rPr>
              <w:t>8</w:t>
            </w:r>
            <w:r>
              <w:rPr>
                <w:rFonts w:hint="eastAsia" w:ascii="新宋体" w:hAnsi="新宋体" w:eastAsia="新宋体" w:cs="新宋体"/>
                <w:color w:val="000000" w:themeColor="text1"/>
                <w:kern w:val="0"/>
                <w:sz w:val="22"/>
                <w:szCs w:val="22"/>
                <w14:textFill>
                  <w14:solidFill>
                    <w14:schemeClr w14:val="tx1"/>
                  </w14:solidFill>
                </w14:textFill>
              </w:rPr>
              <w:t>、</w:t>
            </w:r>
            <w:r>
              <w:rPr>
                <w:rFonts w:ascii="新宋体" w:hAnsi="新宋体" w:eastAsia="新宋体" w:cs="新宋体"/>
                <w:color w:val="000000" w:themeColor="text1"/>
                <w:kern w:val="0"/>
                <w:sz w:val="22"/>
                <w:szCs w:val="22"/>
                <w14:textFill>
                  <w14:solidFill>
                    <w14:schemeClr w14:val="tx1"/>
                  </w14:solidFill>
                </w14:textFill>
              </w:rPr>
              <w:t>血糖仪上可以查看不同科室患者血糖信息</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19</w:t>
            </w:r>
            <w:r>
              <w:rPr>
                <w:rFonts w:hint="eastAsia" w:ascii="新宋体" w:hAnsi="新宋体" w:eastAsia="新宋体" w:cs="新宋体"/>
                <w:color w:val="000000" w:themeColor="text1"/>
                <w:kern w:val="0"/>
                <w:sz w:val="22"/>
                <w:szCs w:val="22"/>
                <w14:textFill>
                  <w14:solidFill>
                    <w14:schemeClr w14:val="tx1"/>
                  </w14:solidFill>
                </w14:textFill>
              </w:rPr>
              <w:t>、有个人患者管理软件，实现区域管理个人家庭管理；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★2</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0</w:t>
            </w:r>
            <w:r>
              <w:rPr>
                <w:rFonts w:hint="eastAsia" w:ascii="新宋体" w:hAnsi="新宋体" w:eastAsia="新宋体" w:cs="新宋体"/>
                <w:color w:val="000000" w:themeColor="text1"/>
                <w:kern w:val="0"/>
                <w:sz w:val="22"/>
                <w:szCs w:val="22"/>
                <w14:textFill>
                  <w14:solidFill>
                    <w14:schemeClr w14:val="tx1"/>
                  </w14:solidFill>
                </w14:textFill>
              </w:rPr>
              <w:t>、血糖仪需支持质控锁机功能。</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★2</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1</w:t>
            </w:r>
            <w:r>
              <w:rPr>
                <w:rFonts w:hint="eastAsia" w:ascii="新宋体" w:hAnsi="新宋体" w:eastAsia="新宋体" w:cs="新宋体"/>
                <w:color w:val="000000" w:themeColor="text1"/>
                <w:kern w:val="0"/>
                <w:sz w:val="22"/>
                <w:szCs w:val="22"/>
                <w14:textFill>
                  <w14:solidFill>
                    <w14:schemeClr w14:val="tx1"/>
                  </w14:solidFill>
                </w14:textFill>
              </w:rPr>
              <w:t>、血糖仪触摸屏需支持带手套进行触屏操作。</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★2</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2</w:t>
            </w:r>
            <w:r>
              <w:rPr>
                <w:rFonts w:hint="eastAsia" w:ascii="新宋体" w:hAnsi="新宋体" w:eastAsia="新宋体" w:cs="新宋体"/>
                <w:color w:val="000000" w:themeColor="text1"/>
                <w:kern w:val="0"/>
                <w:sz w:val="22"/>
                <w:szCs w:val="22"/>
                <w14:textFill>
                  <w14:solidFill>
                    <w14:schemeClr w14:val="tx1"/>
                  </w14:solidFill>
                </w14:textFill>
              </w:rPr>
              <w:t>、血糖仪需支持院感表面酒精和紫外线杀菌消毒处理。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3</w:t>
            </w:r>
          </w:p>
        </w:tc>
        <w:tc>
          <w:tcPr>
            <w:tcW w:w="1681"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000000" w:themeColor="text1"/>
                <w:kern w:val="0"/>
                <w:sz w:val="22"/>
                <w:szCs w:val="22"/>
                <w:lang w:eastAsia="zh-CN"/>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血糖试纸</w:t>
            </w:r>
            <w:r>
              <w:rPr>
                <w:rFonts w:hint="eastAsia" w:ascii="新宋体" w:hAnsi="新宋体" w:eastAsia="新宋体" w:cs="新宋体"/>
                <w:color w:val="000000" w:themeColor="text1"/>
                <w:kern w:val="0"/>
                <w:sz w:val="22"/>
                <w:szCs w:val="22"/>
                <w:lang w:eastAsia="zh-CN"/>
                <w14:textFill>
                  <w14:solidFill>
                    <w14:schemeClr w14:val="tx1"/>
                  </w14:solidFill>
                </w14:textFill>
              </w:rPr>
              <w:t>（</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采血针</w:t>
            </w:r>
            <w:r>
              <w:rPr>
                <w:rFonts w:hint="eastAsia" w:ascii="新宋体" w:hAnsi="新宋体" w:eastAsia="新宋体" w:cs="新宋体"/>
                <w:color w:val="000000" w:themeColor="text1"/>
                <w:kern w:val="0"/>
                <w:sz w:val="22"/>
                <w:szCs w:val="22"/>
                <w:lang w:eastAsia="zh-CN"/>
                <w14:textFill>
                  <w14:solidFill>
                    <w14:schemeClr w14:val="tx1"/>
                  </w14:solidFill>
                </w14:textFill>
              </w:rPr>
              <w:t>）</w:t>
            </w:r>
          </w:p>
        </w:tc>
        <w:tc>
          <w:tcPr>
            <w:tcW w:w="7304" w:type="dxa"/>
            <w:noWrap w:val="0"/>
            <w:vAlign w:val="top"/>
          </w:tcPr>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1.检测范围:1.1mmol/l-</w:t>
            </w:r>
            <w:r>
              <w:rPr>
                <w:rFonts w:ascii="新宋体" w:hAnsi="新宋体" w:eastAsia="新宋体" w:cs="新宋体"/>
                <w:b/>
                <w:bCs/>
                <w:color w:val="000000" w:themeColor="text1"/>
                <w:kern w:val="0"/>
                <w:sz w:val="22"/>
                <w:szCs w:val="22"/>
                <w14:textFill>
                  <w14:solidFill>
                    <w14:schemeClr w14:val="tx1"/>
                  </w14:solidFill>
                </w14:textFill>
              </w:rPr>
              <w:t>27</w:t>
            </w:r>
            <w:r>
              <w:rPr>
                <w:rFonts w:hint="eastAsia" w:ascii="新宋体" w:hAnsi="新宋体" w:eastAsia="新宋体" w:cs="新宋体"/>
                <w:b/>
                <w:bCs/>
                <w:color w:val="000000" w:themeColor="text1"/>
                <w:kern w:val="0"/>
                <w:sz w:val="22"/>
                <w:szCs w:val="22"/>
                <w14:textFill>
                  <w14:solidFill>
                    <w14:schemeClr w14:val="tx1"/>
                  </w14:solidFill>
                </w14:textFill>
              </w:rPr>
              <w:t>.</w:t>
            </w:r>
            <w:r>
              <w:rPr>
                <w:rFonts w:ascii="新宋体" w:hAnsi="新宋体" w:eastAsia="新宋体" w:cs="新宋体"/>
                <w:b/>
                <w:bCs/>
                <w:color w:val="000000" w:themeColor="text1"/>
                <w:kern w:val="0"/>
                <w:sz w:val="22"/>
                <w:szCs w:val="22"/>
                <w14:textFill>
                  <w14:solidFill>
                    <w14:schemeClr w14:val="tx1"/>
                  </w14:solidFill>
                </w14:textFill>
              </w:rPr>
              <w:t>8</w:t>
            </w:r>
            <w:r>
              <w:rPr>
                <w:rFonts w:hint="eastAsia" w:ascii="新宋体" w:hAnsi="新宋体" w:eastAsia="新宋体" w:cs="新宋体"/>
                <w:color w:val="000000" w:themeColor="text1"/>
                <w:kern w:val="0"/>
                <w:sz w:val="22"/>
                <w:szCs w:val="22"/>
                <w14:textFill>
                  <w14:solidFill>
                    <w14:schemeClr w14:val="tx1"/>
                  </w14:solidFill>
                </w14:textFill>
              </w:rPr>
              <w:t xml:space="preserve"> mmol/l</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2.试纸检测方法：干化学法</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3.保质期：开封3个月、未开封18个月</w:t>
            </w:r>
          </w:p>
          <w:p>
            <w:pPr>
              <w:keepNext w:val="0"/>
              <w:keepLines w:val="0"/>
              <w:pageBreakBefore w:val="0"/>
              <w:kinsoku/>
              <w:wordWrap/>
              <w:overflowPunct/>
              <w:topLinePunct w:val="0"/>
              <w:autoSpaceDE/>
              <w:autoSpaceDN/>
              <w:bidi w:val="0"/>
              <w:spacing w:line="460" w:lineRule="exact"/>
              <w:rPr>
                <w:rFonts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★4.储存条件：相对湿度</w:t>
            </w:r>
            <w:r>
              <w:rPr>
                <w:rFonts w:ascii="新宋体" w:hAnsi="新宋体" w:eastAsia="新宋体" w:cs="新宋体"/>
                <w:color w:val="000000" w:themeColor="text1"/>
                <w:kern w:val="0"/>
                <w:sz w:val="22"/>
                <w:szCs w:val="22"/>
                <w14:textFill>
                  <w14:solidFill>
                    <w14:schemeClr w14:val="tx1"/>
                  </w14:solidFill>
                </w14:textFill>
              </w:rPr>
              <w:t>10%--90%</w:t>
            </w:r>
            <w:r>
              <w:rPr>
                <w:rFonts w:hint="eastAsia" w:ascii="新宋体" w:hAnsi="新宋体" w:eastAsia="新宋体" w:cs="新宋体"/>
                <w:color w:val="000000" w:themeColor="text1"/>
                <w:kern w:val="0"/>
                <w:sz w:val="22"/>
                <w:szCs w:val="22"/>
                <w14:textFill>
                  <w14:solidFill>
                    <w14:schemeClr w14:val="tx1"/>
                  </w14:solidFill>
                </w14:textFill>
              </w:rPr>
              <w:t>、温度4℃-3</w:t>
            </w:r>
            <w:r>
              <w:rPr>
                <w:rFonts w:ascii="新宋体" w:hAnsi="新宋体" w:eastAsia="新宋体" w:cs="新宋体"/>
                <w:color w:val="000000" w:themeColor="text1"/>
                <w:kern w:val="0"/>
                <w:sz w:val="22"/>
                <w:szCs w:val="22"/>
                <w14:textFill>
                  <w14:solidFill>
                    <w14:schemeClr w14:val="tx1"/>
                  </w14:solidFill>
                </w14:textFill>
              </w:rPr>
              <w:t>0</w:t>
            </w:r>
            <w:r>
              <w:rPr>
                <w:rFonts w:hint="eastAsia" w:ascii="新宋体" w:hAnsi="新宋体" w:eastAsia="新宋体" w:cs="新宋体"/>
                <w:color w:val="000000" w:themeColor="text1"/>
                <w:kern w:val="0"/>
                <w:sz w:val="22"/>
                <w:szCs w:val="22"/>
                <w14:textFill>
                  <w14:solidFill>
                    <w14:schemeClr w14:val="tx1"/>
                  </w14:solidFill>
                </w14:textFill>
              </w:rPr>
              <w:t>℃</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5.用血量：≤1微升</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6.检测时间：≤6S</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★7.红细胞压积率：</w:t>
            </w:r>
            <w:r>
              <w:rPr>
                <w:rFonts w:ascii="新宋体" w:hAnsi="新宋体" w:eastAsia="新宋体" w:cs="新宋体"/>
                <w:color w:val="000000" w:themeColor="text1"/>
                <w:kern w:val="0"/>
                <w:sz w:val="22"/>
                <w:szCs w:val="22"/>
                <w14:textFill>
                  <w14:solidFill>
                    <w14:schemeClr w14:val="tx1"/>
                  </w14:solidFill>
                </w14:textFill>
              </w:rPr>
              <w:t>15</w:t>
            </w:r>
            <w:r>
              <w:rPr>
                <w:rFonts w:hint="eastAsia" w:ascii="新宋体" w:hAnsi="新宋体" w:eastAsia="新宋体" w:cs="新宋体"/>
                <w:color w:val="000000" w:themeColor="text1"/>
                <w:kern w:val="0"/>
                <w:sz w:val="22"/>
                <w:szCs w:val="22"/>
                <w14:textFill>
                  <w14:solidFill>
                    <w14:schemeClr w14:val="tx1"/>
                  </w14:solidFill>
                </w14:textFill>
              </w:rPr>
              <w:t>%-</w:t>
            </w:r>
            <w:r>
              <w:rPr>
                <w:rFonts w:ascii="新宋体" w:hAnsi="新宋体" w:eastAsia="新宋体" w:cs="新宋体"/>
                <w:color w:val="000000" w:themeColor="text1"/>
                <w:kern w:val="0"/>
                <w:sz w:val="22"/>
                <w:szCs w:val="22"/>
                <w14:textFill>
                  <w14:solidFill>
                    <w14:schemeClr w14:val="tx1"/>
                  </w14:solidFill>
                </w14:textFill>
              </w:rPr>
              <w:t>65</w:t>
            </w:r>
            <w:r>
              <w:rPr>
                <w:rFonts w:hint="eastAsia" w:ascii="新宋体" w:hAnsi="新宋体" w:eastAsia="新宋体" w:cs="新宋体"/>
                <w:color w:val="000000" w:themeColor="text1"/>
                <w:kern w:val="0"/>
                <w:sz w:val="22"/>
                <w:szCs w:val="22"/>
                <w14:textFill>
                  <w14:solidFill>
                    <w14:schemeClr w14:val="tx1"/>
                  </w14:solidFill>
                </w14:textFill>
              </w:rPr>
              <w:t>%</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8.批间差：不同批号血糖试纸的批间差不大于15%</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重复性：重复性需通过五个不同浓度范围的抗凝静脉全血样本进行测量，每个浓度的样本重复测量20次</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★9、保证试纸随时更新。</w:t>
            </w:r>
          </w:p>
        </w:tc>
      </w:tr>
    </w:tbl>
    <w:p>
      <w:pPr>
        <w:keepNext w:val="0"/>
        <w:keepLines w:val="0"/>
        <w:pageBreakBefore w:val="0"/>
        <w:widowControl w:val="0"/>
        <w:kinsoku/>
        <w:wordWrap/>
        <w:overflowPunct/>
        <w:topLinePunct w:val="0"/>
        <w:autoSpaceDE/>
        <w:autoSpaceDN w:val="0"/>
        <w:bidi w:val="0"/>
        <w:adjustRightInd/>
        <w:snapToGrid/>
        <w:spacing w:line="460" w:lineRule="exact"/>
        <w:textAlignment w:val="auto"/>
        <w:outlineLvl w:val="1"/>
        <w:rPr>
          <w:rFonts w:hint="eastAsia" w:ascii="新宋体" w:hAnsi="新宋体" w:eastAsia="新宋体" w:cs="新宋体"/>
          <w:b/>
          <w:sz w:val="22"/>
          <w:szCs w:val="22"/>
        </w:rPr>
      </w:pPr>
      <w:r>
        <w:rPr>
          <w:rFonts w:hint="eastAsia" w:ascii="新宋体" w:hAnsi="新宋体" w:eastAsia="新宋体" w:cs="新宋体"/>
          <w:b/>
          <w:sz w:val="22"/>
          <w:szCs w:val="22"/>
          <w:lang w:val="en-US" w:eastAsia="zh-CN"/>
        </w:rPr>
        <w:t>四、</w:t>
      </w:r>
      <w:r>
        <w:rPr>
          <w:rFonts w:hint="eastAsia" w:ascii="新宋体" w:hAnsi="新宋体" w:eastAsia="新宋体" w:cs="新宋体"/>
          <w:b/>
          <w:sz w:val="22"/>
          <w:szCs w:val="22"/>
        </w:rPr>
        <w:t>血糖信息化系统功能需求</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1.1血糖信息管理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血糖信息管理可以把所有关于血糖信息的功能整合在一起的功能模块，包含今日报告、血糖数据、血糖医嘱、查找数据、危急值、最新情况、时段管理等功能；</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当日报告</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当日报告中可查看病区权限范围内的当日测血糖情况，如病区床位数、测血糖人数、测血糖比例、病区高低血糖及比例、病区时间段高低血糖及比例等。 </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血糖管理</w:t>
      </w:r>
    </w:p>
    <w:p>
      <w:pPr>
        <w:autoSpaceDN w:val="0"/>
        <w:spacing w:line="460" w:lineRule="exact"/>
        <w:ind w:firstLine="660" w:firstLineChars="300"/>
        <w:rPr>
          <w:rFonts w:hint="eastAsia" w:ascii="新宋体" w:hAnsi="新宋体" w:eastAsia="新宋体" w:cs="新宋体"/>
          <w:bCs/>
          <w:sz w:val="22"/>
          <w:szCs w:val="22"/>
          <w:lang w:eastAsia="zh-CN"/>
        </w:rPr>
      </w:pPr>
      <w:r>
        <w:rPr>
          <w:rFonts w:hint="eastAsia" w:ascii="新宋体" w:hAnsi="新宋体" w:eastAsia="新宋体" w:cs="新宋体"/>
          <w:bCs/>
          <w:sz w:val="22"/>
          <w:szCs w:val="22"/>
        </w:rPr>
        <w:t>血糖管理模块可根据病区查找在院患者信息，根据选择的患者信息显示血糖数据、血糖报告、血糖曲线、医嘱数据、血糖医嘱</w:t>
      </w:r>
      <w:r>
        <w:rPr>
          <w:rFonts w:hint="eastAsia" w:ascii="新宋体" w:hAnsi="新宋体" w:eastAsia="新宋体" w:cs="新宋体"/>
          <w:bCs/>
          <w:sz w:val="22"/>
          <w:szCs w:val="22"/>
          <w:lang w:eastAsia="zh-CN"/>
        </w:rPr>
        <w:t>。</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血糖管理中可以筛选床位列表，根据病区进行床位筛选。病区筛选支持汉字、拼音快速检索；</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病区筛选也可根据病区管理中的拼音简码进行筛选；</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选择好病区后，显示该病区的床位列表（根据床位排序规则排序）。有颜色区分； </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选择患者后，显示患者的血糖数据，患者有入院时间，根据入院时间进行血糖数据显示，没有入院时间，可以显示所有数据；血糖数据中，高、低、正常血糖要有颜色区分。高低血糖判定标准为用户设置的高低血糖范围；</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在血糖数据管理，进行新建血糖、修改血糖、删除血糖、导出 Excel 等操作； </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血糖报告页签显示选择患者的血糖报告，此报告可以根据报告管理自定义。根据选择的报告模板不同，显示的报告内容不同。可以扩展很多显示内容， 并且可以显示 PPGE 等统计信息；</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血糖曲线默认加载血糖趋势图，根据血糖曲线类型选择不同的曲线进行加载。血糖曲线类型必须是根据血糖时间段自动生成。可以点击血糖标签显示每个点的具体血糖数值。同时可以设置高低血糖的正常范围；</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医嘱数据从 HIS 中读取的医嘱数据显示，方便医生查看； </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血糖医嘱可以根据患者哪个时间段需要测血糖的手动编辑功能，一些用户无法对接 HIS 医嘱或者 HIS 医嘱不完善，则可以使用血糖医嘱这个功能，可以手动编辑患者的血糖医嘱。同时可以预设一些医嘱模板，快速设置患者医嘱列表；</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血糖医嘱</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根据用户选择的病区，显示在院血糖医嘱情况。血糖医嘱可以通过用户手动编辑，或者通过同步 HIS 数据的方式获取到。血糖医嘱可以打印、导出等操作； </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查找数据</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可根据选择采血时间、同步时间进行血糖数据查询，并显示表格；</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危急值</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显示当天血糖危急值，危急值判断标准是根据当前登录用户设置的血糖危急值进行判断，红色背景为低血糖、黄色背景为高血糖；</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最新情况</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通过选择病区，可查看该病区在院患者最后一次血糖数据，双击可以查看该患者的历史血糖数据；</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时段管理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管理和配置系统中的时间段，时间段把 24 小时均匀分割，两个时间段之间算做前面的一个时间段里；</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可根据进行编辑，对应字段仅供 PPGE 计算使用。其中对应字段为固定时间段（早餐前、早餐后、午餐前、午餐后、晚餐前、晚餐后）； </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2.</w:t>
      </w:r>
      <w:r>
        <w:rPr>
          <w:rFonts w:hint="eastAsia" w:ascii="新宋体" w:hAnsi="新宋体" w:eastAsia="新宋体" w:cs="新宋体"/>
          <w:b/>
          <w:sz w:val="22"/>
          <w:szCs w:val="22"/>
          <w:lang w:val="en-US" w:eastAsia="zh-CN"/>
        </w:rPr>
        <w:t>1</w:t>
      </w:r>
      <w:r>
        <w:rPr>
          <w:rFonts w:hint="eastAsia" w:ascii="新宋体" w:hAnsi="新宋体" w:eastAsia="新宋体" w:cs="新宋体"/>
          <w:b/>
          <w:sz w:val="22"/>
          <w:szCs w:val="22"/>
        </w:rPr>
        <w:t>病区、床位、患者管理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可对病区、床位、患者进行查找、管理，方便用户手动添加病区、床位、患者等信息； </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病区管理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支持手动编辑病区，并且可以自定义病区编号、上下级病区的关系。病区可分多级，级别可自定义，也可手动更改； </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床位管理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通过选择病区进行床位信息查看，可调整查看床位卡缩略、详细信息，</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可手动新建、修改、删除床位，床位信息一般通过 HIS 系统读取；</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患者管理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在院、出院患者血糖</w:t>
      </w:r>
      <w:r>
        <w:rPr>
          <w:rFonts w:hint="eastAsia" w:ascii="新宋体" w:hAnsi="新宋体" w:eastAsia="新宋体" w:cs="新宋体"/>
          <w:bCs/>
          <w:sz w:val="22"/>
          <w:szCs w:val="22"/>
        </w:rPr>
        <w:tab/>
      </w:r>
      <w:r>
        <w:rPr>
          <w:rFonts w:hint="eastAsia" w:ascii="新宋体" w:hAnsi="新宋体" w:eastAsia="新宋体" w:cs="新宋体"/>
          <w:bCs/>
          <w:sz w:val="22"/>
          <w:szCs w:val="22"/>
        </w:rPr>
        <w:t>数据，都通过患者管理进行查看。根据选择的病区、编号、姓名等信息查找患者信息，选中即可查看患者历史血糖数据，点击管理可管理患者详细信息，编辑过的患者详细信息，同步 HIS 数据后不会丢失；</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3.1统计图表</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可以以不同的角度，对血糖数据进行统计分析、统计； </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血糖数据</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选择病区、主治医生、采血时间进行科室血糖数据查看。主治医生可根据HIS 同步过来的主治医生进行筛选；</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患者分析</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选择病区、采血时间进行病区血糖统计，血糖统计报告中包含病区、时间段高低血糖比例、餐前餐后高低血糖比例；</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护士工作量统计</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选择病区、采血时间、护士进行护士工作量统计，统计选择的护士测血糖次数等功能；</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试纸用量</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可以选择病区、采血时间、显示试纸条用量，根据月份计算纸条用量（有床的根据患者科室进行计算，无床数据根据设备编号进行计算），；</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数据分析</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选择病区、采血时间、主治医生，统计数据库中年龄段、性别、高低血糖分布情况；</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自定义统计</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选择病区、血糖时间和（时间段、年龄、性别、诊断、主治医生）进行高低血糖比例统计；</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3.2质控管理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可查看质控数据、质控报告、质控曲线，并且可根据设备设定的质控失效时间进行质控时效查询；</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质控管理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可根据设备编号、采血时间进行质控数据查询，并可查看曲线图（SD 质控曲线图、质控值图）和质控报告，并且质控报告可自定义。选择质控数据可更改质控数据；</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质控设备管理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根据病区查看设备质控状态，状态分为未按规定时间进行质控、质控未通过、在控中等几个状态；</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新建质控数据</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选择质控类别，填写质控数值、时间、质控人员、设备编号、质控上下限；</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3.3会诊</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会诊管理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会诊管理需要包含新建会诊信息、编辑会诊信息、取消会诊信息、查看会诊信息、打印会诊信息，为主要功能。 </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3.4同步数据</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同步数据模块可同步 HIS、血糖仪数据。</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同步 HIS</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设置好 HIS 接口后，点击同步数据即可同步所有 HIS 数据。</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同步血糖仪</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点击血糖仪同步数据后会出现读取血糖仪数据对话框；</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3.5用户管理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管理用户、设置密码、设置角色、设置资源、批量导入用户等功能。 </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用户管理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根据病区选择用户（无病区用户也会显示），可以设置用户角色、病区权限等功能，并且可以初始化用户密码； </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高低血糖</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用户可自行设置自己的高低血糖及血糖危急值，所有系统中显示的高低血糖都是根据用户设置进行显示的；</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导入用户</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可使用 EXCEL 文件批量导入用户，通过选择对应字段进行用户数据对应；</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3．6系统管理</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设备管理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可管理设备使用状态、绑定设备病区、记录设备 MAC 地址、设置多表同步条件、设置质控时效时间等；</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同步 HIS 设置</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输入密码可进入同步 HIS 设置界面，设置好 HIS 数据库类型、用户名密码等信息，并添加好视图名称、条件及数据库字段对应即可；</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设置本地备份</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设置本地备份，每天备份血糖、患者数据；</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3.7报告管理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根据程序命名空间，设置程序报告位置，并编辑报告说明（血糖报告模块可进行多报告设置，命名空间后面增加数字即可）；</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3.8报告参数</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根据报告管理中的报告数量，针对每个报告进行参数设置，参数分为数据集和参数两种，设置所要查询数据的 SQL 语句即可；</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3.9异常日志</w:t>
      </w:r>
    </w:p>
    <w:p>
      <w:pPr>
        <w:autoSpaceDN w:val="0"/>
        <w:spacing w:line="460" w:lineRule="exact"/>
        <w:ind w:firstLine="660" w:firstLineChars="300"/>
        <w:rPr>
          <w:rFonts w:hint="eastAsia" w:ascii="新宋体" w:hAnsi="新宋体" w:eastAsia="新宋体" w:cs="新宋体"/>
          <w:bCs/>
          <w:color w:val="FF0000"/>
          <w:sz w:val="22"/>
          <w:szCs w:val="22"/>
        </w:rPr>
      </w:pPr>
      <w:r>
        <w:rPr>
          <w:rFonts w:hint="eastAsia" w:ascii="新宋体" w:hAnsi="新宋体" w:eastAsia="新宋体" w:cs="新宋体"/>
          <w:bCs/>
          <w:sz w:val="22"/>
          <w:szCs w:val="22"/>
        </w:rPr>
        <w:t>整个系统解决方案中的信息都可以通过异常日志进行查询，异常信息、日志记录等，可分别查询 机器、软件、WebService 等异常；</w:t>
      </w:r>
    </w:p>
    <w:p>
      <w:pPr>
        <w:autoSpaceDN w:val="0"/>
        <w:spacing w:line="460" w:lineRule="exact"/>
        <w:ind w:firstLine="660" w:firstLineChars="300"/>
        <w:rPr>
          <w:rFonts w:hint="eastAsia" w:ascii="新宋体" w:hAnsi="新宋体" w:eastAsia="新宋体" w:cs="新宋体"/>
          <w:bCs/>
          <w:sz w:val="22"/>
          <w:szCs w:val="22"/>
        </w:rPr>
      </w:pPr>
    </w:p>
    <w:p>
      <w:pPr>
        <w:spacing w:line="460" w:lineRule="exact"/>
        <w:ind w:firstLine="541" w:firstLineChars="245"/>
        <w:rPr>
          <w:rFonts w:hint="eastAsia" w:ascii="新宋体" w:hAnsi="新宋体" w:eastAsia="新宋体" w:cs="新宋体"/>
          <w:b/>
          <w:sz w:val="22"/>
          <w:szCs w:val="22"/>
          <w:lang w:val="zh-CN"/>
        </w:rPr>
      </w:pPr>
      <w:r>
        <w:rPr>
          <w:rFonts w:hint="eastAsia" w:ascii="新宋体" w:hAnsi="新宋体" w:eastAsia="新宋体" w:cs="新宋体"/>
          <w:b/>
          <w:sz w:val="22"/>
          <w:szCs w:val="22"/>
        </w:rPr>
        <w:t>注：以上标段</w:t>
      </w:r>
      <w:r>
        <w:rPr>
          <w:rFonts w:hint="eastAsia" w:ascii="新宋体" w:hAnsi="新宋体" w:eastAsia="新宋体" w:cs="新宋体"/>
          <w:b/>
          <w:sz w:val="22"/>
          <w:szCs w:val="22"/>
          <w:lang w:val="zh-CN"/>
        </w:rPr>
        <w:t>投标人可根据以上所列设备的技术配置及技术性能要求</w:t>
      </w:r>
      <w:r>
        <w:rPr>
          <w:rFonts w:hint="eastAsia" w:ascii="新宋体" w:hAnsi="新宋体" w:eastAsia="新宋体" w:cs="新宋体"/>
          <w:b/>
          <w:sz w:val="22"/>
          <w:szCs w:val="22"/>
        </w:rPr>
        <w:t>作为</w:t>
      </w:r>
      <w:r>
        <w:rPr>
          <w:rFonts w:hint="eastAsia" w:ascii="新宋体" w:hAnsi="新宋体" w:eastAsia="新宋体" w:cs="新宋体"/>
          <w:b/>
          <w:sz w:val="22"/>
          <w:szCs w:val="22"/>
          <w:lang w:val="zh-CN"/>
        </w:rPr>
        <w:t>参考选用投标产品，但所选投标产品的技术配置及技术性能应相当于或高于招标文件要求，并满足采购需求，否则将可能作出对投标人不利的评定。</w:t>
      </w:r>
    </w:p>
    <w:p>
      <w:pPr>
        <w:rPr>
          <w:rFonts w:hint="eastAsia" w:ascii="宋体" w:hAnsi="宋体" w:cs="宋体"/>
          <w:kern w:val="0"/>
          <w:sz w:val="22"/>
          <w:szCs w:val="22"/>
          <w:lang w:bidi="ar"/>
        </w:rPr>
      </w:pPr>
    </w:p>
    <w:p>
      <w:pPr>
        <w:spacing w:line="460" w:lineRule="exact"/>
        <w:outlineLvl w:val="1"/>
        <w:rPr>
          <w:rFonts w:hint="eastAsia" w:ascii="新宋体" w:hAnsi="新宋体" w:eastAsia="新宋体" w:cs="新宋体"/>
          <w:b/>
          <w:sz w:val="22"/>
          <w:szCs w:val="22"/>
        </w:rPr>
      </w:pPr>
      <w:r>
        <w:rPr>
          <w:rFonts w:hint="eastAsia" w:ascii="新宋体" w:hAnsi="新宋体" w:eastAsia="新宋体" w:cs="新宋体"/>
          <w:b/>
          <w:sz w:val="22"/>
          <w:szCs w:val="22"/>
          <w:lang w:val="en-US" w:eastAsia="zh-CN"/>
        </w:rPr>
        <w:t>五</w:t>
      </w:r>
      <w:r>
        <w:rPr>
          <w:rFonts w:hint="eastAsia" w:ascii="新宋体" w:hAnsi="新宋体" w:eastAsia="新宋体" w:cs="新宋体"/>
          <w:b/>
          <w:sz w:val="22"/>
          <w:szCs w:val="22"/>
        </w:rPr>
        <w:t>、商务需求</w:t>
      </w:r>
    </w:p>
    <w:tbl>
      <w:tblPr>
        <w:tblStyle w:val="53"/>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8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caps/>
                <w:kern w:val="0"/>
                <w:sz w:val="22"/>
                <w:szCs w:val="22"/>
              </w:rPr>
            </w:pPr>
            <w:r>
              <w:rPr>
                <w:rFonts w:hint="eastAsia" w:ascii="新宋体" w:hAnsi="新宋体" w:eastAsia="新宋体" w:cs="新宋体"/>
                <w:bCs/>
                <w:caps/>
                <w:kern w:val="0"/>
                <w:sz w:val="22"/>
                <w:szCs w:val="22"/>
              </w:rPr>
              <w:t>序号</w:t>
            </w:r>
          </w:p>
        </w:tc>
        <w:tc>
          <w:tcPr>
            <w:tcW w:w="8741" w:type="dxa"/>
            <w:noWrap w:val="0"/>
            <w:vAlign w:val="center"/>
          </w:tcPr>
          <w:p>
            <w:pPr>
              <w:widowControl/>
              <w:snapToGrid w:val="0"/>
              <w:spacing w:line="460" w:lineRule="exact"/>
              <w:ind w:firstLine="420"/>
              <w:jc w:val="center"/>
              <w:rPr>
                <w:rFonts w:hint="eastAsia" w:ascii="新宋体" w:hAnsi="新宋体" w:eastAsia="新宋体" w:cs="新宋体"/>
                <w:bCs/>
                <w:caps/>
                <w:kern w:val="0"/>
                <w:sz w:val="22"/>
                <w:szCs w:val="22"/>
              </w:rPr>
            </w:pPr>
            <w:r>
              <w:rPr>
                <w:rFonts w:hint="eastAsia" w:ascii="新宋体" w:hAnsi="新宋体" w:eastAsia="新宋体" w:cs="新宋体"/>
                <w:bCs/>
                <w:caps/>
                <w:kern w:val="0"/>
                <w:sz w:val="22"/>
                <w:szCs w:val="22"/>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
                <w:bCs w:val="0"/>
                <w:kern w:val="0"/>
                <w:sz w:val="22"/>
                <w:szCs w:val="22"/>
              </w:rPr>
            </w:pPr>
            <w:r>
              <w:rPr>
                <w:rFonts w:hint="eastAsia" w:ascii="新宋体" w:hAnsi="新宋体" w:eastAsia="新宋体" w:cs="新宋体"/>
                <w:b/>
                <w:bCs w:val="0"/>
                <w:kern w:val="0"/>
                <w:sz w:val="22"/>
                <w:szCs w:val="22"/>
              </w:rPr>
              <w:t>一</w:t>
            </w:r>
          </w:p>
        </w:tc>
        <w:tc>
          <w:tcPr>
            <w:tcW w:w="8741" w:type="dxa"/>
            <w:noWrap w:val="0"/>
            <w:vAlign w:val="center"/>
          </w:tcPr>
          <w:p>
            <w:pPr>
              <w:widowControl/>
              <w:snapToGrid w:val="0"/>
              <w:spacing w:line="460" w:lineRule="exact"/>
              <w:rPr>
                <w:rFonts w:hint="eastAsia" w:ascii="新宋体" w:hAnsi="新宋体" w:eastAsia="新宋体" w:cs="新宋体"/>
                <w:b/>
                <w:bCs w:val="0"/>
                <w:kern w:val="0"/>
                <w:sz w:val="22"/>
                <w:szCs w:val="22"/>
              </w:rPr>
            </w:pPr>
            <w:r>
              <w:rPr>
                <w:rFonts w:hint="eastAsia" w:ascii="新宋体" w:hAnsi="新宋体" w:eastAsia="新宋体" w:cs="新宋体"/>
                <w:b/>
                <w:bCs w:val="0"/>
                <w:kern w:val="0"/>
                <w:sz w:val="22"/>
                <w:szCs w:val="22"/>
              </w:rPr>
              <w:t>合同总金额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货到</w:t>
            </w:r>
            <w:r>
              <w:rPr>
                <w:rFonts w:hint="eastAsia" w:ascii="新宋体" w:hAnsi="新宋体" w:eastAsia="新宋体" w:cs="新宋体"/>
                <w:kern w:val="0"/>
                <w:sz w:val="22"/>
                <w:szCs w:val="22"/>
                <w:u w:val="single"/>
              </w:rPr>
              <w:t>温州市中医院</w:t>
            </w:r>
            <w:r>
              <w:rPr>
                <w:rFonts w:hint="eastAsia" w:ascii="新宋体" w:hAnsi="新宋体" w:eastAsia="新宋体" w:cs="新宋体"/>
                <w:bCs/>
                <w:kern w:val="0"/>
                <w:sz w:val="22"/>
                <w:szCs w:val="22"/>
                <w:u w:val="singl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不高于我院采购同品牌同型号同等配置的最低单价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3</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提供所有消耗品、配件详细价格清单，今后购买价不高于此价格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
                <w:bCs w:val="0"/>
                <w:kern w:val="0"/>
                <w:sz w:val="22"/>
                <w:szCs w:val="22"/>
              </w:rPr>
            </w:pPr>
            <w:r>
              <w:rPr>
                <w:rFonts w:hint="eastAsia" w:ascii="新宋体" w:hAnsi="新宋体" w:eastAsia="新宋体" w:cs="新宋体"/>
                <w:b/>
                <w:bCs w:val="0"/>
                <w:kern w:val="0"/>
                <w:sz w:val="22"/>
                <w:szCs w:val="22"/>
              </w:rPr>
              <w:t>二</w:t>
            </w:r>
          </w:p>
        </w:tc>
        <w:tc>
          <w:tcPr>
            <w:tcW w:w="8741" w:type="dxa"/>
            <w:noWrap w:val="0"/>
            <w:vAlign w:val="center"/>
          </w:tcPr>
          <w:p>
            <w:pPr>
              <w:widowControl/>
              <w:snapToGrid w:val="0"/>
              <w:spacing w:line="460" w:lineRule="exact"/>
              <w:rPr>
                <w:rFonts w:hint="eastAsia" w:ascii="新宋体" w:hAnsi="新宋体" w:eastAsia="新宋体" w:cs="新宋体"/>
                <w:b/>
                <w:bCs w:val="0"/>
                <w:kern w:val="0"/>
                <w:sz w:val="22"/>
                <w:szCs w:val="22"/>
              </w:rPr>
            </w:pPr>
            <w:r>
              <w:rPr>
                <w:rFonts w:hint="eastAsia" w:ascii="新宋体" w:hAnsi="新宋体" w:eastAsia="新宋体" w:cs="新宋体"/>
                <w:b/>
                <w:bCs w:val="0"/>
                <w:kern w:val="0"/>
                <w:sz w:val="22"/>
                <w:szCs w:val="22"/>
              </w:rPr>
              <w:t>质保期及售后服务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autoSpaceDN w:val="0"/>
              <w:spacing w:line="460" w:lineRule="exact"/>
              <w:rPr>
                <w:rFonts w:hint="eastAsia" w:ascii="新宋体" w:hAnsi="新宋体" w:eastAsia="新宋体" w:cs="新宋体"/>
                <w:bCs/>
                <w:sz w:val="22"/>
                <w:szCs w:val="22"/>
              </w:rPr>
            </w:pPr>
            <w:r>
              <w:rPr>
                <w:rFonts w:hint="eastAsia" w:ascii="新宋体" w:hAnsi="新宋体" w:eastAsia="新宋体" w:cs="新宋体"/>
                <w:bCs/>
                <w:sz w:val="22"/>
                <w:szCs w:val="22"/>
              </w:rPr>
              <w:t>1、血糖仪系统和血糖仪质保：永久</w:t>
            </w:r>
          </w:p>
          <w:p>
            <w:pPr>
              <w:autoSpaceDN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Cs/>
                <w:sz w:val="22"/>
                <w:szCs w:val="22"/>
              </w:rPr>
              <w:t>2、血糖试纸质保：未开封18个月，开封3个月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投标人提供全部选购件及成交价格清单，未列出则视为已包含在本次投标总价中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3</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kern w:val="0"/>
                <w:sz w:val="22"/>
                <w:szCs w:val="22"/>
              </w:rPr>
              <w:t>质保期</w:t>
            </w:r>
            <w:r>
              <w:rPr>
                <w:rFonts w:hint="eastAsia" w:ascii="新宋体" w:hAnsi="新宋体" w:eastAsia="新宋体" w:cs="新宋体"/>
                <w:sz w:val="22"/>
                <w:szCs w:val="22"/>
              </w:rPr>
              <w:t>内厂家维修免差旅费，若出现需返厂维修的情况，需提供备用机保障临床正常使用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4</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kern w:val="0"/>
                <w:sz w:val="22"/>
                <w:szCs w:val="22"/>
              </w:rPr>
              <w:t>每年定期对机器使用质量回访2—4次，并记录备案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
                <w:bCs w:val="0"/>
                <w:kern w:val="0"/>
                <w:sz w:val="22"/>
                <w:szCs w:val="22"/>
              </w:rPr>
            </w:pPr>
            <w:r>
              <w:rPr>
                <w:rFonts w:hint="eastAsia" w:ascii="新宋体" w:hAnsi="新宋体" w:eastAsia="新宋体" w:cs="新宋体"/>
                <w:b/>
                <w:bCs w:val="0"/>
                <w:kern w:val="0"/>
                <w:sz w:val="22"/>
                <w:szCs w:val="22"/>
              </w:rPr>
              <w:t>三</w:t>
            </w:r>
          </w:p>
        </w:tc>
        <w:tc>
          <w:tcPr>
            <w:tcW w:w="8741" w:type="dxa"/>
            <w:noWrap w:val="0"/>
            <w:vAlign w:val="center"/>
          </w:tcPr>
          <w:p>
            <w:pPr>
              <w:widowControl/>
              <w:snapToGrid w:val="0"/>
              <w:spacing w:line="460" w:lineRule="exact"/>
              <w:rPr>
                <w:rFonts w:hint="eastAsia" w:ascii="新宋体" w:hAnsi="新宋体" w:eastAsia="新宋体" w:cs="新宋体"/>
                <w:b/>
                <w:bCs w:val="0"/>
                <w:kern w:val="0"/>
                <w:sz w:val="22"/>
                <w:szCs w:val="22"/>
              </w:rPr>
            </w:pPr>
            <w:r>
              <w:rPr>
                <w:rFonts w:hint="eastAsia" w:ascii="新宋体" w:hAnsi="新宋体" w:eastAsia="新宋体" w:cs="新宋体"/>
                <w:b/>
                <w:bCs w:val="0"/>
                <w:kern w:val="0"/>
                <w:sz w:val="22"/>
                <w:szCs w:val="22"/>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 w:val="0"/>
                <w:bCs/>
                <w:kern w:val="0"/>
                <w:sz w:val="22"/>
                <w:szCs w:val="22"/>
              </w:rPr>
            </w:pPr>
            <w:r>
              <w:rPr>
                <w:rFonts w:hint="eastAsia" w:ascii="新宋体" w:hAnsi="新宋体" w:eastAsia="新宋体" w:cs="新宋体"/>
                <w:b w:val="0"/>
                <w:bCs/>
                <w:kern w:val="0"/>
                <w:sz w:val="22"/>
                <w:szCs w:val="22"/>
              </w:rPr>
              <w:t>1</w:t>
            </w:r>
          </w:p>
        </w:tc>
        <w:tc>
          <w:tcPr>
            <w:tcW w:w="8741" w:type="dxa"/>
            <w:noWrap w:val="0"/>
            <w:vAlign w:val="center"/>
          </w:tcPr>
          <w:p>
            <w:pPr>
              <w:pStyle w:val="22"/>
              <w:spacing w:after="0" w:line="460" w:lineRule="exact"/>
              <w:ind w:right="161"/>
              <w:rPr>
                <w:rFonts w:hint="eastAsia" w:ascii="新宋体" w:hAnsi="新宋体" w:eastAsia="新宋体" w:cs="新宋体"/>
                <w:b w:val="0"/>
                <w:bCs/>
                <w:sz w:val="22"/>
                <w:szCs w:val="22"/>
              </w:rPr>
            </w:pPr>
            <w:r>
              <w:rPr>
                <w:rFonts w:hint="eastAsia" w:ascii="新宋体" w:hAnsi="新宋体" w:eastAsia="新宋体" w:cs="新宋体"/>
                <w:b w:val="0"/>
                <w:bCs/>
                <w:sz w:val="22"/>
                <w:szCs w:val="22"/>
              </w:rPr>
              <w:t>血糖信息化管理系统及血糖仪全部货物安装调试完毕并经最终验收合格后2个月内，招标人向中标人支付血糖信息化管理系统及血糖仪合同价款。</w:t>
            </w:r>
          </w:p>
          <w:p>
            <w:pPr>
              <w:widowControl/>
              <w:snapToGrid w:val="0"/>
              <w:spacing w:line="460" w:lineRule="exact"/>
              <w:rPr>
                <w:rFonts w:hint="eastAsia" w:ascii="新宋体" w:hAnsi="新宋体" w:eastAsia="新宋体" w:cs="新宋体"/>
                <w:b w:val="0"/>
                <w:bCs/>
                <w:kern w:val="0"/>
                <w:sz w:val="22"/>
                <w:szCs w:val="22"/>
              </w:rPr>
            </w:pPr>
            <w:r>
              <w:rPr>
                <w:rFonts w:hint="eastAsia" w:ascii="新宋体" w:hAnsi="新宋体" w:eastAsia="新宋体" w:cs="新宋体"/>
                <w:b w:val="0"/>
                <w:bCs/>
                <w:sz w:val="22"/>
                <w:szCs w:val="22"/>
              </w:rPr>
              <w:t>血糖试纸按月实际消耗试纸量支付，收到发票30日内支付。（以实际消耗试纸量为准）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sz w:val="22"/>
                <w:szCs w:val="22"/>
              </w:rPr>
            </w:pPr>
            <w:r>
              <w:rPr>
                <w:rFonts w:hint="eastAsia" w:ascii="新宋体" w:hAnsi="新宋体" w:eastAsia="新宋体" w:cs="新宋体"/>
                <w:kern w:val="0"/>
                <w:sz w:val="22"/>
                <w:szCs w:val="22"/>
              </w:rPr>
              <w:t>履约保证金：中标金额的5%，验收合格后，如无质量问题，则无息退还履约保证金。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
                <w:bCs w:val="0"/>
                <w:kern w:val="0"/>
                <w:sz w:val="22"/>
                <w:szCs w:val="22"/>
              </w:rPr>
            </w:pPr>
            <w:r>
              <w:rPr>
                <w:rFonts w:hint="eastAsia" w:ascii="新宋体" w:hAnsi="新宋体" w:eastAsia="新宋体" w:cs="新宋体"/>
                <w:b/>
                <w:bCs w:val="0"/>
                <w:kern w:val="0"/>
                <w:sz w:val="22"/>
                <w:szCs w:val="22"/>
              </w:rPr>
              <w:t>四</w:t>
            </w:r>
          </w:p>
        </w:tc>
        <w:tc>
          <w:tcPr>
            <w:tcW w:w="8741" w:type="dxa"/>
            <w:noWrap w:val="0"/>
            <w:vAlign w:val="center"/>
          </w:tcPr>
          <w:p>
            <w:pPr>
              <w:widowControl/>
              <w:snapToGrid w:val="0"/>
              <w:spacing w:line="460" w:lineRule="exact"/>
              <w:rPr>
                <w:rFonts w:hint="eastAsia" w:ascii="新宋体" w:hAnsi="新宋体" w:eastAsia="新宋体" w:cs="新宋体"/>
                <w:b/>
                <w:bCs w:val="0"/>
                <w:kern w:val="0"/>
                <w:sz w:val="22"/>
                <w:szCs w:val="22"/>
              </w:rPr>
            </w:pPr>
            <w:r>
              <w:rPr>
                <w:rFonts w:hint="eastAsia" w:ascii="新宋体" w:hAnsi="新宋体" w:eastAsia="新宋体" w:cs="新宋体"/>
                <w:b/>
                <w:bCs w:val="0"/>
                <w:kern w:val="0"/>
                <w:sz w:val="22"/>
                <w:szCs w:val="22"/>
              </w:rPr>
              <w:t>到货期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spacing w:line="460" w:lineRule="exact"/>
              <w:rPr>
                <w:rFonts w:ascii="新宋体" w:hAnsi="新宋体" w:eastAsia="仿宋" w:cs="新宋体"/>
                <w:sz w:val="22"/>
                <w:szCs w:val="22"/>
              </w:rPr>
            </w:pPr>
            <w:r>
              <w:rPr>
                <w:rFonts w:hint="eastAsia" w:ascii="新宋体" w:hAnsi="新宋体" w:eastAsia="新宋体" w:cs="新宋体"/>
                <w:bCs/>
                <w:kern w:val="0"/>
                <w:sz w:val="22"/>
                <w:szCs w:val="22"/>
              </w:rPr>
              <w:t>交货期</w:t>
            </w:r>
            <w:r>
              <w:rPr>
                <w:rFonts w:hint="eastAsia" w:ascii="新宋体" w:hAnsi="新宋体" w:eastAsia="新宋体" w:cs="新宋体"/>
                <w:kern w:val="0"/>
                <w:sz w:val="22"/>
                <w:szCs w:val="22"/>
              </w:rPr>
              <w:t>：合同签订后 60 天内</w:t>
            </w:r>
          </w:p>
          <w:p>
            <w:pPr>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到货地点：温州市中医院指定；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由买方指定的外贸委托代理商签定外贸合同（如适用）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3</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sz w:val="22"/>
              </w:rPr>
              <w:t>合同签订后，设备验收合格后合作期1年或</w:t>
            </w:r>
            <w:r>
              <w:rPr>
                <w:rFonts w:hint="eastAsia"/>
                <w:sz w:val="24"/>
              </w:rPr>
              <w:t>耗材</w:t>
            </w:r>
            <w:r>
              <w:rPr>
                <w:rFonts w:hint="eastAsia" w:ascii="新宋体" w:hAnsi="新宋体" w:eastAsia="新宋体"/>
                <w:sz w:val="22"/>
              </w:rPr>
              <w:t>采购量达到合同金额，任一条件达到即视为合作期结束。合作期内如遇政策性原因，导致合同无法履行，则合同自行终止。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val="0"/>
                <w:kern w:val="0"/>
                <w:sz w:val="22"/>
                <w:szCs w:val="22"/>
              </w:rPr>
              <w:t>五</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安装地点：温州市中医院指定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卖方须对买方现场进行查勘，在合同签定后十日内书面提供买方认可的运输方案及安装方案，费用含在合同总价中。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3</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安装完成时间：卖方在设备到货后5个工作日内完成安装调试，并正常运行，如果超出上述期限，卖方负责由此给买方造成的所有损失。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4</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安装标准：符合我国国家有关技术规范要求和技术标准。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5</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安装过程中发生的装卸、搬运和设备保险等费用全部由卖方负责。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val="0"/>
                <w:kern w:val="0"/>
                <w:sz w:val="22"/>
                <w:szCs w:val="22"/>
              </w:rPr>
              <w:t>六</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卖方提供的</w:t>
            </w:r>
            <w:r>
              <w:rPr>
                <w:rFonts w:hint="eastAsia" w:ascii="新宋体" w:hAnsi="新宋体" w:eastAsia="新宋体" w:cs="新宋体"/>
                <w:kern w:val="0"/>
                <w:sz w:val="22"/>
                <w:szCs w:val="22"/>
              </w:rPr>
              <w:t>整套系统</w:t>
            </w:r>
            <w:r>
              <w:rPr>
                <w:rFonts w:hint="eastAsia" w:ascii="新宋体" w:hAnsi="新宋体" w:eastAsia="新宋体" w:cs="新宋体"/>
                <w:bCs/>
                <w:kern w:val="0"/>
                <w:sz w:val="22"/>
                <w:szCs w:val="22"/>
              </w:rPr>
              <w:t>必须是全新的未使用过的设备。投标机型须配置最新硬件、软件版本产品，投标时须提供原厂技术参数和产品彩页。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卖方提供经买方认可的且具有资质的检测机构出具的检测合格报告，检测费用包含在合同总价中。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3</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设备应符合国家相关标准、投标文件的性能指标及功能要求，并根据合同条款逐项验收。买方对设备验收合格后，双方共同签署验收报告。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4</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kern w:val="0"/>
                <w:sz w:val="22"/>
                <w:szCs w:val="22"/>
              </w:rPr>
              <w:t>验收过程中发现货物性能或功能达不到要求，卖方必须更换有关部件，使货物最终达到规定的性能指标和功能要求，但必须在发现问题后5个工作日内完成。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5</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验收时间：货物到齐，设备工作正常后1个月内。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6</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验收过程中所发生的所有费用（含检测、耗材等）由卖方承担，含在合同总价中。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val="0"/>
                <w:kern w:val="0"/>
                <w:sz w:val="22"/>
                <w:szCs w:val="22"/>
              </w:rPr>
              <w:t>七</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培训考核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操作应用培训：卖方负责在医院现场提供累计不少于2小时的操作和临床应用培训，使操作人员熟练掌握设备的操作规程及临床应用，并提供培训记录。所有培训费用已含入总价中。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维修培训：卖方负责在医院现场提供维修人员的培训，使医院维修工程人员掌握日常设备故障的排除及设备维护技能。所有培训费用已含入总价中。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3</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培训完成后，卖方须提供详细培训记录，培训记录应有培训内容、参加人员（签字）、培训地点、培训时间以及操作人员考核情况。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八</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技术资料及服务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卖方提供所有软件的备份光盘、license及所有口令信息，同时提供这些软件安装、调试及相关维护所需要的所有硬件和软件工具。不能提供上述内容的，则现场提供所有软件终生免费安装（含硬件更换后软件重新安装调试）、调试、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卖方提供纸质版设备操作说明书及维保说明书各2份。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3</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卖方提供设备操作规程，放置于设备操作现场。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4</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sz w:val="22"/>
                <w:szCs w:val="22"/>
              </w:rPr>
              <w:t>提供电子版三证、电子版使用说明书、维修手册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九</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卖方所提供的产品应具有知识产权的合法产品，且卖方保证所提供的设备或其任何一部分均不会侵犯任何第三方的知识产权。设备所含的软件买方具有永久使用权。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十</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产权担保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卖方保证所交付的所有设备的所有权完全属于卖方且无任何抵押、查封等产权瑕疵。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十一</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转包或分包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本合同范围的货物，应由卖方直接供应，不得转让他人供应。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十二</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合同未涉及条款，按照投标文件及招标文件执行。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十三</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由于卖方及其关联公司（单位）原因导致未按期到货，则视作违约，卖方须支付买方违约款，违约金为合同总价的5%；且买方有权终止全部合同，卖方必须退还全部货款，并承担由此产生的买方的所有损失。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kern w:val="0"/>
                <w:sz w:val="22"/>
                <w:szCs w:val="22"/>
              </w:rPr>
              <w:t>在货物到货后7个工作日内，设备安装调试未达到合同规定的性能指标和功能要求的，每超出1天，卖方赔偿给买方合同总金额的0.5%。当累计赔偿金额到合同总价的5%时，买方有权终止全部合同，卖方必须退还全部货款，并承担由此产生的买方的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b/>
                <w:bCs/>
                <w:kern w:val="0"/>
                <w:sz w:val="22"/>
                <w:szCs w:val="22"/>
              </w:rPr>
              <w:t>十四</w:t>
            </w:r>
          </w:p>
        </w:tc>
        <w:tc>
          <w:tcPr>
            <w:tcW w:w="8741" w:type="dxa"/>
            <w:noWrap w:val="0"/>
            <w:vAlign w:val="center"/>
          </w:tcPr>
          <w:p>
            <w:pPr>
              <w:widowControl/>
              <w:snapToGrid w:val="0"/>
              <w:spacing w:line="460" w:lineRule="exact"/>
              <w:rPr>
                <w:rFonts w:hint="eastAsia" w:ascii="新宋体" w:hAnsi="新宋体" w:eastAsia="新宋体" w:cs="新宋体"/>
                <w:b/>
                <w:kern w:val="0"/>
                <w:sz w:val="22"/>
                <w:szCs w:val="22"/>
              </w:rPr>
            </w:pPr>
            <w:r>
              <w:rPr>
                <w:rFonts w:hint="eastAsia" w:ascii="新宋体" w:hAnsi="新宋体" w:eastAsia="新宋体" w:cs="新宋体"/>
                <w:b/>
                <w:bCs/>
                <w:kern w:val="0"/>
                <w:sz w:val="22"/>
                <w:szCs w:val="22"/>
              </w:rPr>
              <w:t>特别约定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十五</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合同的终止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合同执行期内，经向检察机关查询，发现中标人或供应商有行贿犯罪记录的，即取消中标资格或停止采购合同。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十六</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法律适用及争议解决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本合同的一切事项适用中华人民共和国合同法，对合同双方均具有约束力。与本合同有关的一切争议，双方须通过友好协商解决。如协商不能解决时，向买方当地法院诉讼解决。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十七</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合同签订地：买方所在地。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十八</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合同附件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设备配置清单、消耗品、备件价格清单、售后服务承诺书；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附件为本合同的不可分割的组成部分，具有同等法律效力。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十九</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spacing w:val="2"/>
                <w:kern w:val="0"/>
                <w:sz w:val="22"/>
                <w:szCs w:val="22"/>
              </w:rPr>
              <w:t>合同应在</w:t>
            </w:r>
            <w:r>
              <w:rPr>
                <w:rFonts w:hint="eastAsia" w:ascii="新宋体" w:hAnsi="新宋体" w:eastAsia="新宋体" w:cs="新宋体"/>
                <w:kern w:val="0"/>
                <w:sz w:val="22"/>
                <w:szCs w:val="22"/>
              </w:rPr>
              <w:t>最终成交结果通知书</w:t>
            </w:r>
            <w:r>
              <w:rPr>
                <w:rFonts w:hint="eastAsia" w:ascii="新宋体" w:hAnsi="新宋体" w:eastAsia="新宋体" w:cs="新宋体"/>
                <w:spacing w:val="2"/>
                <w:kern w:val="0"/>
                <w:sz w:val="22"/>
                <w:szCs w:val="22"/>
              </w:rPr>
              <w:t>发出之日起30日内签定完毕，另立合同内容不应与采购响应文件及承诺书内容有抵触，未在采购响应文件中列出、且不被用户所认可的内容，将不能作为合同条款的一部分。</w:t>
            </w:r>
          </w:p>
        </w:tc>
      </w:tr>
    </w:tbl>
    <w:p>
      <w:pPr>
        <w:rPr>
          <w:rFonts w:hint="eastAsia" w:ascii="宋体" w:hAnsi="宋体" w:eastAsia="宋体" w:cs="宋体"/>
        </w:rPr>
      </w:pPr>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第五部分   评标原则及方法</w:t>
      </w:r>
      <w:bookmarkEnd w:id="46"/>
      <w:bookmarkEnd w:id="47"/>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48" w:name="_Toc15713"/>
      <w:bookmarkStart w:id="49" w:name="_Toc4407"/>
      <w:r>
        <w:rPr>
          <w:rFonts w:hint="eastAsia" w:ascii="宋体" w:hAnsi="宋体" w:eastAsia="宋体" w:cs="宋体"/>
          <w:b/>
          <w:color w:val="auto"/>
          <w:sz w:val="22"/>
          <w:szCs w:val="22"/>
          <w:highlight w:val="none"/>
        </w:rPr>
        <w:t>一、总 则</w:t>
      </w:r>
      <w:bookmarkEnd w:id="48"/>
      <w:bookmarkEnd w:id="49"/>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0" w:name="_Toc24468"/>
      <w:bookmarkStart w:id="51" w:name="_Toc23152"/>
      <w:r>
        <w:rPr>
          <w:rFonts w:hint="eastAsia" w:ascii="宋体" w:hAnsi="宋体" w:eastAsia="宋体" w:cs="宋体"/>
          <w:b/>
          <w:color w:val="auto"/>
          <w:sz w:val="22"/>
          <w:szCs w:val="22"/>
          <w:highlight w:val="none"/>
        </w:rPr>
        <w:t>二、评标组织</w:t>
      </w:r>
      <w:bookmarkEnd w:id="50"/>
      <w:bookmarkEnd w:id="51"/>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2" w:name="_Toc15153"/>
      <w:bookmarkStart w:id="53" w:name="_Toc67"/>
      <w:r>
        <w:rPr>
          <w:rFonts w:hint="eastAsia" w:ascii="宋体" w:hAnsi="宋体" w:eastAsia="宋体" w:cs="宋体"/>
          <w:b/>
          <w:color w:val="auto"/>
          <w:sz w:val="22"/>
          <w:szCs w:val="22"/>
          <w:highlight w:val="none"/>
        </w:rPr>
        <w:t>三、评标程序</w:t>
      </w:r>
      <w:bookmarkEnd w:id="52"/>
      <w:bookmarkEnd w:id="53"/>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spacing w:line="460" w:lineRule="exact"/>
        <w:ind w:firstLine="541" w:firstLineChars="245"/>
        <w:rPr>
          <w:rFonts w:hint="eastAsia" w:ascii="宋体" w:hAnsi="宋体" w:eastAsia="宋体" w:cs="宋体"/>
          <w:b/>
          <w:bCs/>
          <w:color w:val="auto"/>
          <w:sz w:val="22"/>
          <w:szCs w:val="22"/>
          <w:highlight w:val="none"/>
          <w:u w:val="none"/>
        </w:rPr>
      </w:pPr>
      <w:r>
        <w:rPr>
          <w:rFonts w:hint="eastAsia" w:ascii="宋体" w:hAnsi="宋体" w:eastAsia="宋体" w:cs="宋体"/>
          <w:b/>
          <w:bCs/>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41" w:firstLineChars="245"/>
        <w:rPr>
          <w:rFonts w:hint="eastAsia" w:ascii="宋体" w:hAnsi="宋体" w:eastAsia="宋体" w:cs="宋体"/>
          <w:color w:val="auto"/>
          <w:sz w:val="22"/>
          <w:szCs w:val="22"/>
          <w:highlight w:val="none"/>
          <w:u w:val="none"/>
        </w:rPr>
      </w:pPr>
      <w:r>
        <w:rPr>
          <w:rFonts w:hint="eastAsia" w:ascii="宋体" w:hAnsi="宋体" w:eastAsia="宋体" w:cs="宋体"/>
          <w:b/>
          <w:bCs/>
          <w:color w:val="auto"/>
          <w:sz w:val="22"/>
          <w:szCs w:val="22"/>
          <w:highlight w:val="none"/>
          <w:u w:val="none"/>
        </w:rPr>
        <w:t>非单一产品采购项目，应当根据采购项目技术构成、产品价格比重等合理确定核心产品。多家投标人提供的核心产品品牌相同的，按前款规定处理。</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4" w:name="_Toc11306"/>
      <w:bookmarkStart w:id="55" w:name="_Toc24825"/>
      <w:r>
        <w:rPr>
          <w:rFonts w:hint="eastAsia" w:ascii="宋体" w:hAnsi="宋体" w:eastAsia="宋体" w:cs="宋体"/>
          <w:b/>
          <w:color w:val="auto"/>
          <w:sz w:val="22"/>
          <w:szCs w:val="22"/>
          <w:highlight w:val="none"/>
        </w:rPr>
        <w:t>四、评标办法</w:t>
      </w:r>
      <w:bookmarkEnd w:id="54"/>
      <w:bookmarkEnd w:id="55"/>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pPr>
        <w:keepNext w:val="0"/>
        <w:keepLines w:val="0"/>
        <w:pageBreakBefore w:val="0"/>
        <w:widowControl w:val="0"/>
        <w:numPr>
          <w:ilvl w:val="0"/>
          <w:numId w:val="12"/>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6" w:name="_Toc1535"/>
      <w:bookmarkStart w:id="57" w:name="_Toc11450"/>
      <w:r>
        <w:rPr>
          <w:rFonts w:hint="eastAsia" w:ascii="宋体" w:hAnsi="宋体" w:eastAsia="宋体" w:cs="宋体"/>
          <w:b/>
          <w:color w:val="auto"/>
          <w:sz w:val="22"/>
          <w:szCs w:val="22"/>
          <w:highlight w:val="none"/>
        </w:rPr>
        <w:t>评分细则</w:t>
      </w:r>
      <w:bookmarkEnd w:id="56"/>
      <w:bookmarkEnd w:id="57"/>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3"/>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523"/>
        <w:gridCol w:w="818"/>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序号</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评分内容</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分值</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sz w:val="22"/>
                <w:szCs w:val="22"/>
                <w:highlight w:val="none"/>
              </w:rPr>
              <w:t>对应于招标文件设备技术规格及配置的偏离度</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sz w:val="22"/>
                <w:szCs w:val="22"/>
                <w:highlight w:val="none"/>
              </w:rPr>
              <w:t>28分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sz w:val="22"/>
                <w:szCs w:val="22"/>
                <w:highlight w:val="none"/>
              </w:rPr>
              <w:t>与招标文件招标内容及要求的设备技术规格及配置对比，实质性条款除外，标注★的技术指标偏离扣2分，一项一般技术指标偏离扣1分，一项功能偏离扣2分，扣完为止。</w:t>
            </w:r>
            <w:r>
              <w:rPr>
                <w:rFonts w:hint="eastAsia" w:ascii="新宋体" w:hAnsi="新宋体" w:eastAsia="新宋体" w:cs="新宋体"/>
                <w:color w:val="000000"/>
                <w:sz w:val="22"/>
                <w:szCs w:val="22"/>
                <w:highlight w:val="none"/>
                <w:lang w:val="en-US" w:eastAsia="zh-CN"/>
              </w:rPr>
              <w:t>注：投标人须在偏离表中明确。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投标设备配套的合理性，技术指标的先进性</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10分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评委对投标设备配套的合理性，技术指标的先进性酌情打分</w:t>
            </w:r>
            <w:r>
              <w:rPr>
                <w:rFonts w:hint="eastAsia" w:ascii="新宋体" w:hAnsi="新宋体" w:eastAsia="新宋体" w:cs="新宋体"/>
                <w:bCs/>
                <w:color w:val="000000"/>
                <w:sz w:val="22"/>
                <w:szCs w:val="22"/>
                <w:highlight w:val="none"/>
              </w:rPr>
              <w:t>A档:10-</w:t>
            </w:r>
            <w:r>
              <w:rPr>
                <w:rFonts w:hint="eastAsia" w:ascii="新宋体" w:hAnsi="新宋体" w:eastAsia="新宋体" w:cs="新宋体"/>
                <w:bCs/>
                <w:color w:val="000000"/>
                <w:sz w:val="22"/>
                <w:szCs w:val="22"/>
                <w:highlight w:val="none"/>
                <w:lang w:val="en-US" w:eastAsia="zh-CN"/>
              </w:rPr>
              <w:t>8</w:t>
            </w:r>
            <w:r>
              <w:rPr>
                <w:rFonts w:hint="eastAsia" w:ascii="新宋体" w:hAnsi="新宋体" w:eastAsia="新宋体" w:cs="新宋体"/>
                <w:bCs/>
                <w:color w:val="000000"/>
                <w:sz w:val="22"/>
                <w:szCs w:val="22"/>
                <w:highlight w:val="none"/>
              </w:rPr>
              <w:t>分；B档：</w:t>
            </w:r>
            <w:r>
              <w:rPr>
                <w:rFonts w:hint="eastAsia" w:ascii="新宋体" w:hAnsi="新宋体" w:eastAsia="新宋体" w:cs="新宋体"/>
                <w:bCs/>
                <w:color w:val="000000"/>
                <w:sz w:val="22"/>
                <w:szCs w:val="22"/>
                <w:highlight w:val="none"/>
                <w:lang w:val="en-US" w:eastAsia="zh-CN"/>
              </w:rPr>
              <w:t>7</w:t>
            </w:r>
            <w:r>
              <w:rPr>
                <w:rFonts w:hint="eastAsia" w:ascii="新宋体" w:hAnsi="新宋体" w:eastAsia="新宋体" w:cs="新宋体"/>
                <w:bCs/>
                <w:color w:val="000000"/>
                <w:sz w:val="22"/>
                <w:szCs w:val="22"/>
                <w:highlight w:val="none"/>
              </w:rPr>
              <w:t>-</w:t>
            </w:r>
            <w:r>
              <w:rPr>
                <w:rFonts w:hint="eastAsia" w:ascii="新宋体" w:hAnsi="新宋体" w:eastAsia="新宋体" w:cs="新宋体"/>
                <w:bCs/>
                <w:color w:val="000000"/>
                <w:sz w:val="22"/>
                <w:szCs w:val="22"/>
                <w:highlight w:val="none"/>
                <w:lang w:val="en-US" w:eastAsia="zh-CN"/>
              </w:rPr>
              <w:t>4</w:t>
            </w:r>
            <w:r>
              <w:rPr>
                <w:rFonts w:hint="eastAsia" w:ascii="新宋体" w:hAnsi="新宋体" w:eastAsia="新宋体" w:cs="新宋体"/>
                <w:bCs/>
                <w:color w:val="000000"/>
                <w:sz w:val="22"/>
                <w:szCs w:val="22"/>
                <w:highlight w:val="none"/>
              </w:rPr>
              <w:t>分 ；C档：3-0分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vMerge w:val="restart"/>
            <w:tcBorders>
              <w:top w:val="single" w:color="auto" w:sz="4" w:space="0"/>
              <w:left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3</w:t>
            </w:r>
          </w:p>
        </w:tc>
        <w:tc>
          <w:tcPr>
            <w:tcW w:w="2523" w:type="dxa"/>
            <w:vMerge w:val="restart"/>
            <w:tcBorders>
              <w:top w:val="single" w:color="auto" w:sz="4" w:space="0"/>
              <w:left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设备档次</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评委对投标机型酌情打分</w:t>
            </w:r>
            <w:r>
              <w:rPr>
                <w:rFonts w:hint="eastAsia" w:ascii="新宋体" w:hAnsi="新宋体" w:eastAsia="新宋体" w:cs="新宋体"/>
                <w:bCs/>
                <w:color w:val="000000"/>
                <w:sz w:val="22"/>
                <w:szCs w:val="22"/>
                <w:highlight w:val="none"/>
              </w:rPr>
              <w:t>A档:5-4分；B档：</w:t>
            </w:r>
            <w:r>
              <w:rPr>
                <w:rFonts w:hint="eastAsia" w:ascii="新宋体" w:hAnsi="新宋体" w:eastAsia="新宋体" w:cs="新宋体"/>
                <w:bCs/>
                <w:color w:val="000000"/>
                <w:sz w:val="22"/>
                <w:szCs w:val="22"/>
                <w:highlight w:val="none"/>
                <w:lang w:val="en-US" w:eastAsia="zh-CN"/>
              </w:rPr>
              <w:t>3</w:t>
            </w:r>
            <w:r>
              <w:rPr>
                <w:rFonts w:hint="eastAsia" w:ascii="新宋体" w:hAnsi="新宋体" w:eastAsia="新宋体" w:cs="新宋体"/>
                <w:bCs/>
                <w:color w:val="000000"/>
                <w:sz w:val="22"/>
                <w:szCs w:val="22"/>
                <w:highlight w:val="none"/>
              </w:rPr>
              <w:t>-2分 ；C档：</w:t>
            </w:r>
            <w:r>
              <w:rPr>
                <w:rFonts w:hint="eastAsia" w:ascii="新宋体" w:hAnsi="新宋体" w:eastAsia="新宋体" w:cs="新宋体"/>
                <w:bCs/>
                <w:color w:val="000000"/>
                <w:sz w:val="22"/>
                <w:szCs w:val="22"/>
                <w:highlight w:val="none"/>
                <w:lang w:val="en-US" w:eastAsia="zh-CN"/>
              </w:rPr>
              <w:t>1</w:t>
            </w:r>
            <w:r>
              <w:rPr>
                <w:rFonts w:hint="eastAsia" w:ascii="新宋体" w:hAnsi="新宋体" w:eastAsia="新宋体" w:cs="新宋体"/>
                <w:bCs/>
                <w:color w:val="000000"/>
                <w:sz w:val="22"/>
                <w:szCs w:val="22"/>
                <w:highlight w:val="none"/>
              </w:rPr>
              <w:t>-0分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vMerge w:val="continue"/>
            <w:tcBorders>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p>
        </w:tc>
        <w:tc>
          <w:tcPr>
            <w:tcW w:w="2523" w:type="dxa"/>
            <w:vMerge w:val="continue"/>
            <w:tcBorders>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5</w:t>
            </w:r>
            <w:r>
              <w:rPr>
                <w:rFonts w:hint="eastAsia" w:ascii="新宋体" w:hAnsi="新宋体" w:eastAsia="新宋体" w:cs="新宋体"/>
                <w:color w:val="000000"/>
                <w:sz w:val="22"/>
                <w:szCs w:val="22"/>
                <w:highlight w:val="none"/>
              </w:rPr>
              <w:t>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评委对投标品牌酌情打分</w:t>
            </w:r>
            <w:r>
              <w:rPr>
                <w:rFonts w:hint="eastAsia" w:ascii="新宋体" w:hAnsi="新宋体" w:eastAsia="新宋体" w:cs="新宋体"/>
                <w:bCs/>
                <w:color w:val="000000"/>
                <w:sz w:val="22"/>
                <w:szCs w:val="22"/>
                <w:highlight w:val="none"/>
              </w:rPr>
              <w:t>A档:5-4分；B档：</w:t>
            </w:r>
            <w:r>
              <w:rPr>
                <w:rFonts w:hint="eastAsia" w:ascii="新宋体" w:hAnsi="新宋体" w:eastAsia="新宋体" w:cs="新宋体"/>
                <w:bCs/>
                <w:color w:val="000000"/>
                <w:sz w:val="22"/>
                <w:szCs w:val="22"/>
                <w:highlight w:val="none"/>
                <w:lang w:val="en-US" w:eastAsia="zh-CN"/>
              </w:rPr>
              <w:t>3</w:t>
            </w:r>
            <w:r>
              <w:rPr>
                <w:rFonts w:hint="eastAsia" w:ascii="新宋体" w:hAnsi="新宋体" w:eastAsia="新宋体" w:cs="新宋体"/>
                <w:bCs/>
                <w:color w:val="000000"/>
                <w:sz w:val="22"/>
                <w:szCs w:val="22"/>
                <w:highlight w:val="none"/>
              </w:rPr>
              <w:t>-2分 ；C档：</w:t>
            </w:r>
            <w:r>
              <w:rPr>
                <w:rFonts w:hint="eastAsia" w:ascii="新宋体" w:hAnsi="新宋体" w:eastAsia="新宋体" w:cs="新宋体"/>
                <w:bCs/>
                <w:color w:val="000000"/>
                <w:sz w:val="22"/>
                <w:szCs w:val="22"/>
                <w:highlight w:val="none"/>
                <w:lang w:val="en-US" w:eastAsia="zh-CN"/>
              </w:rPr>
              <w:t>1</w:t>
            </w:r>
            <w:r>
              <w:rPr>
                <w:rFonts w:hint="eastAsia" w:ascii="新宋体" w:hAnsi="新宋体" w:eastAsia="新宋体" w:cs="新宋体"/>
                <w:bCs/>
                <w:color w:val="000000"/>
                <w:sz w:val="22"/>
                <w:szCs w:val="22"/>
                <w:highlight w:val="none"/>
              </w:rPr>
              <w:t>-0分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4</w:t>
            </w:r>
          </w:p>
        </w:tc>
        <w:tc>
          <w:tcPr>
            <w:tcW w:w="2523" w:type="dxa"/>
            <w:tcBorders>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耗材试剂配送服务方案</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服务期内耗材试剂配送服务方案进行评审，包括服务响应及时性、方案可靠性、人员车辆配置等</w:t>
            </w:r>
            <w:r>
              <w:rPr>
                <w:rFonts w:hint="eastAsia" w:ascii="新宋体" w:hAnsi="新宋体" w:eastAsia="新宋体" w:cs="新宋体"/>
                <w:bCs/>
                <w:color w:val="000000"/>
                <w:sz w:val="22"/>
                <w:szCs w:val="22"/>
                <w:highlight w:val="none"/>
              </w:rPr>
              <w:t>A档:5-4分；B档：</w:t>
            </w:r>
            <w:r>
              <w:rPr>
                <w:rFonts w:hint="eastAsia" w:ascii="新宋体" w:hAnsi="新宋体" w:eastAsia="新宋体" w:cs="新宋体"/>
                <w:bCs/>
                <w:color w:val="000000"/>
                <w:sz w:val="22"/>
                <w:szCs w:val="22"/>
                <w:highlight w:val="none"/>
                <w:lang w:val="en-US" w:eastAsia="zh-CN"/>
              </w:rPr>
              <w:t>3</w:t>
            </w:r>
            <w:r>
              <w:rPr>
                <w:rFonts w:hint="eastAsia" w:ascii="新宋体" w:hAnsi="新宋体" w:eastAsia="新宋体" w:cs="新宋体"/>
                <w:bCs/>
                <w:color w:val="000000"/>
                <w:sz w:val="22"/>
                <w:szCs w:val="22"/>
                <w:highlight w:val="none"/>
              </w:rPr>
              <w:t>-2分 ；C档：</w:t>
            </w:r>
            <w:r>
              <w:rPr>
                <w:rFonts w:hint="eastAsia" w:ascii="新宋体" w:hAnsi="新宋体" w:eastAsia="新宋体" w:cs="新宋体"/>
                <w:bCs/>
                <w:color w:val="000000"/>
                <w:sz w:val="22"/>
                <w:szCs w:val="22"/>
                <w:highlight w:val="none"/>
                <w:lang w:val="en-US" w:eastAsia="zh-CN"/>
              </w:rPr>
              <w:t>1</w:t>
            </w:r>
            <w:r>
              <w:rPr>
                <w:rFonts w:hint="eastAsia" w:ascii="新宋体" w:hAnsi="新宋体" w:eastAsia="新宋体" w:cs="新宋体"/>
                <w:bCs/>
                <w:color w:val="000000"/>
                <w:sz w:val="22"/>
                <w:szCs w:val="22"/>
                <w:highlight w:val="none"/>
              </w:rPr>
              <w:t>-0分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运行应急方案</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评委对投标机型的运行故障应急方案等酌情打分</w:t>
            </w:r>
          </w:p>
          <w:p>
            <w:pPr>
              <w:widowControl/>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bCs/>
                <w:color w:val="000000"/>
                <w:sz w:val="22"/>
                <w:szCs w:val="22"/>
                <w:highlight w:val="none"/>
              </w:rPr>
              <w:t>A档:4-3分；B档：</w:t>
            </w:r>
            <w:r>
              <w:rPr>
                <w:rFonts w:hint="eastAsia" w:ascii="新宋体" w:hAnsi="新宋体" w:eastAsia="新宋体" w:cs="新宋体"/>
                <w:bCs/>
                <w:color w:val="000000"/>
                <w:sz w:val="22"/>
                <w:szCs w:val="22"/>
                <w:highlight w:val="none"/>
                <w:lang w:val="en-US" w:eastAsia="zh-CN"/>
              </w:rPr>
              <w:t>2</w:t>
            </w:r>
            <w:r>
              <w:rPr>
                <w:rFonts w:hint="eastAsia" w:ascii="新宋体" w:hAnsi="新宋体" w:eastAsia="新宋体" w:cs="新宋体"/>
                <w:bCs/>
                <w:color w:val="000000"/>
                <w:sz w:val="22"/>
                <w:szCs w:val="22"/>
                <w:highlight w:val="none"/>
              </w:rPr>
              <w:t>-</w:t>
            </w:r>
            <w:r>
              <w:rPr>
                <w:rFonts w:hint="eastAsia" w:ascii="新宋体" w:hAnsi="新宋体" w:eastAsia="新宋体" w:cs="新宋体"/>
                <w:bCs/>
                <w:color w:val="000000"/>
                <w:sz w:val="22"/>
                <w:szCs w:val="22"/>
                <w:highlight w:val="none"/>
                <w:lang w:val="en-US" w:eastAsia="zh-CN"/>
              </w:rPr>
              <w:t>0</w:t>
            </w:r>
            <w:r>
              <w:rPr>
                <w:rFonts w:hint="eastAsia" w:ascii="新宋体" w:hAnsi="新宋体" w:eastAsia="新宋体" w:cs="新宋体"/>
                <w:bCs/>
                <w:color w:val="000000"/>
                <w:sz w:val="22"/>
                <w:szCs w:val="22"/>
                <w:highlight w:val="none"/>
              </w:rPr>
              <w:t>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6</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市场占有率</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3</w:t>
            </w:r>
            <w:r>
              <w:rPr>
                <w:rFonts w:hint="eastAsia" w:ascii="新宋体" w:hAnsi="新宋体" w:eastAsia="新宋体" w:cs="新宋体"/>
                <w:color w:val="000000"/>
                <w:sz w:val="22"/>
                <w:szCs w:val="22"/>
                <w:highlight w:val="none"/>
              </w:rPr>
              <w:t>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rPr>
              <w:t>提供201</w:t>
            </w:r>
            <w:r>
              <w:rPr>
                <w:rFonts w:hint="eastAsia" w:ascii="新宋体" w:hAnsi="新宋体" w:eastAsia="新宋体" w:cs="新宋体"/>
                <w:color w:val="000000"/>
                <w:sz w:val="22"/>
                <w:szCs w:val="22"/>
                <w:highlight w:val="none"/>
                <w:lang w:val="en-US" w:eastAsia="zh-CN"/>
              </w:rPr>
              <w:t>9</w:t>
            </w:r>
            <w:r>
              <w:rPr>
                <w:rFonts w:hint="eastAsia" w:ascii="新宋体" w:hAnsi="新宋体" w:eastAsia="新宋体" w:cs="新宋体"/>
                <w:color w:val="000000"/>
                <w:sz w:val="22"/>
                <w:szCs w:val="22"/>
                <w:highlight w:val="none"/>
              </w:rPr>
              <w:t>年1月1日起至今与最终</w:t>
            </w:r>
            <w:r>
              <w:rPr>
                <w:rFonts w:hint="eastAsia" w:ascii="新宋体" w:hAnsi="新宋体" w:eastAsia="新宋体" w:cs="新宋体"/>
                <w:color w:val="000000"/>
                <w:sz w:val="22"/>
                <w:szCs w:val="22"/>
                <w:highlight w:val="none"/>
                <w:lang w:val="en-US" w:eastAsia="zh-CN"/>
              </w:rPr>
              <w:t>不同</w:t>
            </w:r>
            <w:r>
              <w:rPr>
                <w:rFonts w:hint="eastAsia" w:ascii="新宋体" w:hAnsi="新宋体" w:eastAsia="新宋体" w:cs="新宋体"/>
                <w:color w:val="000000"/>
                <w:sz w:val="22"/>
                <w:szCs w:val="22"/>
                <w:highlight w:val="none"/>
              </w:rPr>
              <w:t>用户签订的投标机型合同复印件，每份有效合同得1分，最多</w:t>
            </w:r>
            <w:r>
              <w:rPr>
                <w:rFonts w:hint="eastAsia" w:ascii="新宋体" w:hAnsi="新宋体" w:eastAsia="新宋体" w:cs="新宋体"/>
                <w:color w:val="000000"/>
                <w:sz w:val="22"/>
                <w:szCs w:val="22"/>
                <w:highlight w:val="none"/>
                <w:lang w:val="en-US" w:eastAsia="zh-CN"/>
              </w:rPr>
              <w:t>3</w:t>
            </w:r>
            <w:r>
              <w:rPr>
                <w:rFonts w:hint="eastAsia" w:ascii="新宋体" w:hAnsi="新宋体" w:eastAsia="新宋体" w:cs="新宋体"/>
                <w:color w:val="000000"/>
                <w:sz w:val="22"/>
                <w:szCs w:val="22"/>
                <w:highlight w:val="none"/>
              </w:rPr>
              <w:t>分。</w:t>
            </w:r>
            <w:r>
              <w:rPr>
                <w:rFonts w:hint="eastAsia" w:ascii="新宋体" w:hAnsi="新宋体" w:eastAsia="新宋体" w:cs="新宋体"/>
                <w:color w:val="000000"/>
                <w:sz w:val="22"/>
                <w:szCs w:val="22"/>
                <w:highlight w:val="none"/>
                <w:lang w:val="en-US" w:eastAsia="zh-CN"/>
              </w:rPr>
              <w:t>注：须提供合同复印件并加盖公章。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7</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售后服务</w:t>
            </w:r>
          </w:p>
          <w:p>
            <w:pPr>
              <w:widowControl/>
              <w:spacing w:line="460" w:lineRule="exact"/>
              <w:jc w:val="center"/>
              <w:rPr>
                <w:rFonts w:hint="eastAsia" w:ascii="新宋体" w:hAnsi="新宋体" w:eastAsia="新宋体" w:cs="新宋体"/>
                <w:color w:val="000000"/>
                <w:sz w:val="22"/>
                <w:szCs w:val="22"/>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05" w:leftChars="50" w:right="10" w:rightChars="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根据售后服务承诺的范围和完善程度：</w:t>
            </w:r>
          </w:p>
          <w:p>
            <w:pPr>
              <w:spacing w:line="460" w:lineRule="exact"/>
              <w:ind w:left="105" w:leftChars="50" w:right="10" w:rightChars="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保修年限、保修范围、 (1-0分)；</w:t>
            </w:r>
          </w:p>
          <w:p>
            <w:pPr>
              <w:spacing w:line="460" w:lineRule="exact"/>
              <w:ind w:left="105" w:leftChars="50" w:right="10" w:rightChars="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服务标准，备品情况、人员配备（1-0分）；</w:t>
            </w:r>
          </w:p>
          <w:p>
            <w:pPr>
              <w:spacing w:line="460" w:lineRule="exact"/>
              <w:ind w:left="105" w:leftChars="50" w:right="10" w:rightChars="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故障响应修复时间方式、产品维护及保障措施（1-0分）；</w:t>
            </w:r>
          </w:p>
          <w:p>
            <w:pPr>
              <w:spacing w:line="460" w:lineRule="exact"/>
              <w:ind w:left="105" w:leftChars="50" w:right="10" w:rightChars="5"/>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服务网点（2-0分）</w:t>
            </w:r>
            <w:r>
              <w:rPr>
                <w:rFonts w:hint="eastAsia" w:ascii="新宋体" w:hAnsi="新宋体" w:eastAsia="新宋体" w:cs="新宋体"/>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8</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投标人提供的超出招标文件的优惠条件</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05" w:leftChars="50" w:right="10" w:rightChars="5"/>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评委对投标文件中是否有超出招标文件的优惠条件进行评议，没有实质性优惠条件得0分；有优惠条件的，根据优惠内容得</w:t>
            </w:r>
            <w:r>
              <w:rPr>
                <w:rFonts w:hint="eastAsia" w:ascii="新宋体" w:hAnsi="新宋体" w:eastAsia="新宋体" w:cs="新宋体"/>
                <w:bCs/>
                <w:color w:val="000000"/>
                <w:sz w:val="22"/>
                <w:szCs w:val="22"/>
                <w:highlight w:val="none"/>
              </w:rPr>
              <w:t>A档:3-2分；B档：</w:t>
            </w:r>
            <w:r>
              <w:rPr>
                <w:rFonts w:hint="eastAsia" w:ascii="新宋体" w:hAnsi="新宋体" w:eastAsia="新宋体" w:cs="新宋体"/>
                <w:bCs/>
                <w:color w:val="000000"/>
                <w:sz w:val="22"/>
                <w:szCs w:val="22"/>
                <w:highlight w:val="none"/>
                <w:lang w:val="en-US" w:eastAsia="zh-CN"/>
              </w:rPr>
              <w:t>1</w:t>
            </w:r>
            <w:r>
              <w:rPr>
                <w:rFonts w:hint="eastAsia" w:ascii="新宋体" w:hAnsi="新宋体" w:eastAsia="新宋体" w:cs="新宋体"/>
                <w:bCs/>
                <w:color w:val="000000"/>
                <w:sz w:val="22"/>
                <w:szCs w:val="22"/>
                <w:highlight w:val="none"/>
              </w:rPr>
              <w:t>-</w:t>
            </w:r>
            <w:r>
              <w:rPr>
                <w:rFonts w:hint="eastAsia" w:ascii="新宋体" w:hAnsi="新宋体" w:eastAsia="新宋体" w:cs="新宋体"/>
                <w:bCs/>
                <w:color w:val="000000"/>
                <w:sz w:val="22"/>
                <w:szCs w:val="22"/>
                <w:highlight w:val="none"/>
                <w:lang w:val="en-US" w:eastAsia="zh-CN"/>
              </w:rPr>
              <w:t>0</w:t>
            </w:r>
            <w:r>
              <w:rPr>
                <w:rFonts w:hint="eastAsia" w:ascii="新宋体" w:hAnsi="新宋体" w:eastAsia="新宋体" w:cs="新宋体"/>
                <w:bCs/>
                <w:color w:val="000000"/>
                <w:sz w:val="22"/>
                <w:szCs w:val="22"/>
                <w:highlight w:val="none"/>
              </w:rPr>
              <w:t>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9</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环境标志产品、节能产品</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05" w:leftChars="50" w:right="10" w:rightChars="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投标产品主体列入财政部、环境保护部“环境标志产品政府采购清单”的、列入财政部、国家发展改革委“节能产品政府采购清单”的，每项</w:t>
            </w:r>
            <w:r>
              <w:rPr>
                <w:rFonts w:hint="eastAsia" w:ascii="新宋体" w:hAnsi="新宋体" w:eastAsia="新宋体" w:cs="新宋体"/>
                <w:color w:val="000000"/>
                <w:sz w:val="22"/>
                <w:szCs w:val="22"/>
                <w:highlight w:val="none"/>
                <w:lang w:val="en-US" w:eastAsia="zh-CN"/>
              </w:rPr>
              <w:t>得0-1</w:t>
            </w:r>
            <w:r>
              <w:rPr>
                <w:rFonts w:hint="eastAsia" w:ascii="新宋体" w:hAnsi="新宋体" w:eastAsia="新宋体" w:cs="新宋体"/>
                <w:color w:val="000000"/>
                <w:sz w:val="22"/>
                <w:szCs w:val="22"/>
                <w:highlight w:val="none"/>
              </w:rPr>
              <w:t>分；</w:t>
            </w:r>
          </w:p>
          <w:p>
            <w:pPr>
              <w:spacing w:line="460" w:lineRule="exact"/>
              <w:ind w:left="105" w:leftChars="50" w:right="10" w:rightChars="5"/>
              <w:rPr>
                <w:rFonts w:hint="eastAsia" w:ascii="新宋体" w:hAnsi="新宋体" w:eastAsia="新宋体" w:cs="新宋体"/>
                <w:color w:val="000000"/>
                <w:sz w:val="22"/>
                <w:szCs w:val="22"/>
                <w:highlight w:val="none"/>
              </w:rPr>
            </w:pPr>
            <w:r>
              <w:rPr>
                <w:rFonts w:hint="eastAsia" w:ascii="Times New Roman" w:hAnsi="Times New Roman" w:eastAsia="宋体" w:cs="Times New Roman"/>
                <w:color w:val="auto"/>
                <w:sz w:val="22"/>
                <w:szCs w:val="22"/>
                <w:highlight w:val="none"/>
                <w:lang w:val="en-US" w:eastAsia="zh-CN"/>
              </w:rPr>
              <w:t>投标人</w:t>
            </w:r>
            <w:r>
              <w:rPr>
                <w:rFonts w:hint="eastAsia" w:ascii="Times New Roman" w:hAnsi="Times New Roman" w:eastAsia="宋体" w:cs="Times New Roman"/>
                <w:color w:val="auto"/>
                <w:sz w:val="22"/>
                <w:szCs w:val="22"/>
                <w:highlight w:val="none"/>
              </w:rPr>
              <w:t>自行提供证明材料（如标注本次投标产品的清单），未提供证明材料或不能清楚辨析的不得分。</w:t>
            </w:r>
          </w:p>
        </w:tc>
      </w:tr>
    </w:tbl>
    <w:p>
      <w:pPr>
        <w:pStyle w:val="23"/>
        <w:spacing w:line="460" w:lineRule="exact"/>
        <w:ind w:left="0" w:lef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0分；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pPr>
        <w:spacing w:line="460" w:lineRule="exact"/>
        <w:ind w:firstLine="539" w:firstLineChars="245"/>
        <w:rPr>
          <w:rFonts w:hint="eastAsia" w:ascii="新宋体" w:hAnsi="新宋体" w:eastAsia="新宋体"/>
          <w:b w:val="0"/>
          <w:bCs w:val="0"/>
          <w:color w:val="auto"/>
          <w:sz w:val="22"/>
          <w:szCs w:val="22"/>
          <w:highlight w:val="none"/>
          <w:lang w:val="zh-CN"/>
        </w:rPr>
      </w:pPr>
      <w:r>
        <w:rPr>
          <w:rFonts w:hint="eastAsia" w:ascii="新宋体" w:hAnsi="新宋体" w:eastAsia="新宋体"/>
          <w:b w:val="0"/>
          <w:bCs w:val="0"/>
          <w:color w:val="auto"/>
          <w:sz w:val="22"/>
          <w:szCs w:val="22"/>
          <w:highlight w:val="none"/>
          <w:lang w:val="zh-CN"/>
        </w:rPr>
        <w:t>根据</w:t>
      </w:r>
      <w:r>
        <w:rPr>
          <w:rFonts w:hint="eastAsia" w:ascii="新宋体" w:hAnsi="新宋体" w:eastAsia="新宋体" w:cs="新宋体"/>
          <w:b w:val="0"/>
          <w:bCs w:val="0"/>
          <w:color w:val="auto"/>
          <w:kern w:val="0"/>
          <w:sz w:val="22"/>
          <w:szCs w:val="22"/>
          <w:highlight w:val="none"/>
        </w:rPr>
        <w:t>《政府采购促进中小企业发展管理办法》（财库〔2020〕46号）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《财政部关于进一步加大政府采购支持中小企业力度的通知》（财库〔2022〕19号）</w:t>
      </w:r>
      <w:r>
        <w:rPr>
          <w:rFonts w:hint="eastAsia" w:ascii="新宋体" w:hAnsi="新宋体" w:eastAsia="新宋体" w:cs="新宋体"/>
          <w:b w:val="0"/>
          <w:bCs w:val="0"/>
          <w:color w:val="auto"/>
          <w:kern w:val="0"/>
          <w:sz w:val="22"/>
          <w:szCs w:val="22"/>
          <w:highlight w:val="none"/>
          <w:lang w:eastAsia="zh-CN"/>
        </w:rPr>
        <w:t>、《浙江省财政厅关于进一步加大政府采购支持中小企业力度助力扎实稳住经济的通知》（</w:t>
      </w:r>
      <w:r>
        <w:rPr>
          <w:rFonts w:hint="eastAsia" w:ascii="新宋体" w:hAnsi="新宋体" w:eastAsia="新宋体" w:cs="新宋体"/>
          <w:b w:val="0"/>
          <w:bCs w:val="0"/>
          <w:color w:val="auto"/>
          <w:kern w:val="0"/>
          <w:sz w:val="22"/>
          <w:szCs w:val="22"/>
          <w:highlight w:val="none"/>
        </w:rPr>
        <w:t>浙财采监〔2022〕8号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en-US" w:eastAsia="zh-CN"/>
        </w:rPr>
        <w:t>等</w:t>
      </w:r>
      <w:r>
        <w:rPr>
          <w:rFonts w:hint="eastAsia" w:ascii="新宋体" w:hAnsi="新宋体" w:eastAsia="新宋体" w:cs="新宋体"/>
          <w:b w:val="0"/>
          <w:bCs w:val="0"/>
          <w:color w:val="auto"/>
          <w:kern w:val="0"/>
          <w:sz w:val="22"/>
          <w:szCs w:val="22"/>
          <w:highlight w:val="none"/>
        </w:rPr>
        <w:t>有关规定</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rPr>
        <w:t>20</w:t>
      </w:r>
      <w:r>
        <w:rPr>
          <w:rFonts w:hint="eastAsia" w:ascii="新宋体" w:hAnsi="新宋体" w:eastAsia="新宋体"/>
          <w:b w:val="0"/>
          <w:bCs w:val="0"/>
          <w:color w:val="auto"/>
          <w:sz w:val="22"/>
          <w:szCs w:val="22"/>
          <w:highlight w:val="none"/>
          <w:u w:val="single"/>
          <w:lang w:val="zh-CN"/>
        </w:rPr>
        <w:t>%的扣除</w:t>
      </w:r>
      <w:r>
        <w:rPr>
          <w:rFonts w:hint="eastAsia" w:ascii="新宋体" w:hAnsi="新宋体" w:eastAsia="新宋体"/>
          <w:b w:val="0"/>
          <w:bCs w:val="0"/>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监狱企业视同小微企业，其产品参加本项目投标的，享受小微企业同等的价格扣除。</w:t>
      </w:r>
    </w:p>
    <w:p>
      <w:pPr>
        <w:spacing w:line="460" w:lineRule="exact"/>
        <w:rPr>
          <w:rFonts w:hint="eastAsia" w:ascii="宋体" w:hAnsi="宋体" w:eastAsia="宋体" w:cs="宋体"/>
          <w:b/>
          <w:bCs/>
          <w:color w:val="auto"/>
          <w:sz w:val="22"/>
          <w:szCs w:val="22"/>
          <w:highlight w:val="none"/>
          <w:u w:val="single"/>
        </w:rPr>
      </w:pPr>
      <w:r>
        <w:rPr>
          <w:rFonts w:hint="eastAsia" w:ascii="宋体" w:hAnsi="宋体" w:eastAsia="宋体" w:cs="宋体"/>
          <w:b/>
          <w:color w:val="auto"/>
          <w:sz w:val="22"/>
          <w:szCs w:val="22"/>
          <w:highlight w:val="none"/>
        </w:rPr>
        <w:t xml:space="preserve">   </w:t>
      </w:r>
      <w:r>
        <w:rPr>
          <w:rFonts w:hint="eastAsia" w:ascii="宋体" w:hAnsi="宋体" w:eastAsia="宋体" w:cs="宋体"/>
          <w:b/>
          <w:bCs/>
          <w:color w:val="auto"/>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auto"/>
          <w:sz w:val="22"/>
          <w:szCs w:val="22"/>
          <w:highlight w:val="none"/>
        </w:rPr>
      </w:pPr>
      <w:bookmarkStart w:id="58" w:name="_Toc4727"/>
      <w:bookmarkStart w:id="59" w:name="_Toc2482"/>
      <w:r>
        <w:rPr>
          <w:rFonts w:hint="eastAsia" w:ascii="宋体" w:hAnsi="宋体" w:eastAsia="宋体" w:cs="宋体"/>
          <w:b/>
          <w:bCs/>
          <w:color w:val="auto"/>
          <w:sz w:val="22"/>
          <w:szCs w:val="22"/>
          <w:highlight w:val="none"/>
        </w:rPr>
        <w:t>六、定标办法</w:t>
      </w:r>
      <w:bookmarkEnd w:id="58"/>
      <w:bookmarkEnd w:id="59"/>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2、确定中标人</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宋体" w:hAnsi="宋体" w:eastAsia="宋体" w:cs="宋体"/>
          <w:b/>
          <w:color w:val="auto"/>
          <w:sz w:val="22"/>
          <w:szCs w:val="22"/>
          <w:highlight w:val="none"/>
        </w:rPr>
      </w:pPr>
      <w:bookmarkStart w:id="60" w:name="_Toc17587"/>
      <w:bookmarkStart w:id="61" w:name="_Toc3629"/>
      <w:r>
        <w:rPr>
          <w:rFonts w:hint="eastAsia" w:ascii="宋体" w:hAnsi="宋体" w:eastAsia="宋体" w:cs="宋体"/>
          <w:b/>
          <w:color w:val="auto"/>
          <w:sz w:val="22"/>
          <w:szCs w:val="22"/>
          <w:highlight w:val="none"/>
        </w:rPr>
        <w:t>七、投标人义务</w:t>
      </w:r>
      <w:bookmarkEnd w:id="60"/>
      <w:bookmarkEnd w:id="61"/>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pPr>
      <w:pStyle w:val="35"/>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WZLCZB（W）-2022-11575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WZLCZB（W）-2022-11575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A75933D4"/>
    <w:multiLevelType w:val="singleLevel"/>
    <w:tmpl w:val="A75933D4"/>
    <w:lvl w:ilvl="0" w:tentative="0">
      <w:start w:val="3"/>
      <w:numFmt w:val="chineseCounting"/>
      <w:suff w:val="nothing"/>
      <w:lvlText w:val="%1、"/>
      <w:lvlJc w:val="left"/>
      <w:rPr>
        <w:rFonts w:hint="eastAsia"/>
      </w:rPr>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C92E0991"/>
    <w:multiLevelType w:val="singleLevel"/>
    <w:tmpl w:val="C92E0991"/>
    <w:lvl w:ilvl="0" w:tentative="0">
      <w:start w:val="3"/>
      <w:numFmt w:val="decimal"/>
      <w:lvlText w:val="%1."/>
      <w:lvlJc w:val="left"/>
      <w:pPr>
        <w:tabs>
          <w:tab w:val="left" w:pos="312"/>
        </w:tabs>
      </w:pPr>
    </w:lvl>
  </w:abstractNum>
  <w:abstractNum w:abstractNumId="5">
    <w:nsid w:val="CD31F181"/>
    <w:multiLevelType w:val="singleLevel"/>
    <w:tmpl w:val="CD31F181"/>
    <w:lvl w:ilvl="0" w:tentative="0">
      <w:start w:val="1"/>
      <w:numFmt w:val="decimal"/>
      <w:suff w:val="nothing"/>
      <w:lvlText w:val="%1、"/>
      <w:lvlJc w:val="left"/>
    </w:lvl>
  </w:abstractNum>
  <w:abstractNum w:abstractNumId="6">
    <w:nsid w:val="D49EA414"/>
    <w:multiLevelType w:val="singleLevel"/>
    <w:tmpl w:val="D49EA414"/>
    <w:lvl w:ilvl="0" w:tentative="0">
      <w:start w:val="12"/>
      <w:numFmt w:val="decimal"/>
      <w:suff w:val="nothing"/>
      <w:lvlText w:val="（%1）"/>
      <w:lvlJc w:val="left"/>
    </w:lvl>
  </w:abstractNum>
  <w:abstractNum w:abstractNumId="7">
    <w:nsid w:val="F79F6931"/>
    <w:multiLevelType w:val="singleLevel"/>
    <w:tmpl w:val="F79F6931"/>
    <w:lvl w:ilvl="0" w:tentative="0">
      <w:start w:val="1"/>
      <w:numFmt w:val="bullet"/>
      <w:lvlText w:val=""/>
      <w:lvlJc w:val="left"/>
      <w:pPr>
        <w:ind w:left="420" w:hanging="420"/>
      </w:pPr>
      <w:rPr>
        <w:rFonts w:hint="default" w:ascii="Wingdings" w:hAnsi="Wingdings"/>
      </w:rPr>
    </w:lvl>
  </w:abstractNum>
  <w:abstractNum w:abstractNumId="8">
    <w:nsid w:val="2D177BD0"/>
    <w:multiLevelType w:val="multilevel"/>
    <w:tmpl w:val="2D177BD0"/>
    <w:lvl w:ilvl="0" w:tentative="0">
      <w:start w:val="1"/>
      <w:numFmt w:val="decimal"/>
      <w:pStyle w:val="341"/>
      <w:suff w:val="nothing"/>
      <w:lvlText w:val="%1"/>
      <w:lvlJc w:val="left"/>
      <w:pPr>
        <w:ind w:left="0" w:firstLine="0"/>
      </w:pPr>
      <w:rPr>
        <w:rFonts w:hint="eastAsia" w:ascii="微软雅黑" w:hAnsi="微软雅黑" w:eastAsia="微软雅黑"/>
        <w:b w:val="0"/>
        <w:sz w:val="24"/>
      </w:rPr>
    </w:lvl>
    <w:lvl w:ilvl="1" w:tentative="0">
      <w:start w:val="1"/>
      <w:numFmt w:val="decimal"/>
      <w:pStyle w:val="342"/>
      <w:suff w:val="nothing"/>
      <w:lvlText w:val="%1.%2"/>
      <w:lvlJc w:val="left"/>
      <w:pPr>
        <w:ind w:left="0" w:firstLine="0"/>
      </w:pPr>
      <w:rPr>
        <w:rFonts w:hint="eastAsia" w:ascii="微软雅黑" w:hAnsi="微软雅黑" w:eastAsia="微软雅黑"/>
        <w:sz w:val="24"/>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40515ABD"/>
    <w:multiLevelType w:val="singleLevel"/>
    <w:tmpl w:val="40515ABD"/>
    <w:lvl w:ilvl="0" w:tentative="0">
      <w:start w:val="1"/>
      <w:numFmt w:val="decimal"/>
      <w:pStyle w:val="14"/>
      <w:lvlText w:val="%1."/>
      <w:lvlJc w:val="left"/>
      <w:pPr>
        <w:tabs>
          <w:tab w:val="left" w:pos="780"/>
        </w:tabs>
        <w:ind w:left="780" w:hanging="360"/>
      </w:pPr>
    </w:lvl>
  </w:abstractNum>
  <w:abstractNum w:abstractNumId="10">
    <w:nsid w:val="4DF73F39"/>
    <w:multiLevelType w:val="multilevel"/>
    <w:tmpl w:val="4DF73F39"/>
    <w:lvl w:ilvl="0" w:tentative="0">
      <w:start w:val="1"/>
      <w:numFmt w:val="decimal"/>
      <w:suff w:val="nothing"/>
      <w:lvlText w:val="%1"/>
      <w:lvlJc w:val="left"/>
      <w:pPr>
        <w:ind w:left="0" w:firstLine="0"/>
      </w:pPr>
      <w:rPr>
        <w:rFonts w:hint="default"/>
        <w:b w:val="0"/>
      </w:rPr>
    </w:lvl>
    <w:lvl w:ilvl="1" w:tentative="0">
      <w:start w:val="1"/>
      <w:numFmt w:val="decimal"/>
      <w:pStyle w:val="343"/>
      <w:suff w:val="nothing"/>
      <w:lvlText w:val="%1.%2"/>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52D7A3B6"/>
    <w:multiLevelType w:val="singleLevel"/>
    <w:tmpl w:val="52D7A3B6"/>
    <w:lvl w:ilvl="0" w:tentative="0">
      <w:start w:val="1"/>
      <w:numFmt w:val="decimal"/>
      <w:suff w:val="nothing"/>
      <w:lvlText w:val="（%1）"/>
      <w:lvlJc w:val="left"/>
    </w:lvl>
  </w:abstractNum>
  <w:num w:numId="1">
    <w:abstractNumId w:val="9"/>
  </w:num>
  <w:num w:numId="2">
    <w:abstractNumId w:val="8"/>
  </w:num>
  <w:num w:numId="3">
    <w:abstractNumId w:val="10"/>
  </w:num>
  <w:num w:numId="4">
    <w:abstractNumId w:val="4"/>
  </w:num>
  <w:num w:numId="5">
    <w:abstractNumId w:val="11"/>
  </w:num>
  <w:num w:numId="6">
    <w:abstractNumId w:val="6"/>
  </w:num>
  <w:num w:numId="7">
    <w:abstractNumId w:val="5"/>
  </w:num>
  <w:num w:numId="8">
    <w:abstractNumId w:val="3"/>
  </w:num>
  <w:num w:numId="9">
    <w:abstractNumId w:val="0"/>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NWM0YjQ0NTJjNDY5ZjBmYTIzZWIyMWExMGIxOWEifQ=="/>
  </w:docVars>
  <w:rsids>
    <w:rsidRoot w:val="00172A27"/>
    <w:rsid w:val="000149E3"/>
    <w:rsid w:val="00020693"/>
    <w:rsid w:val="000217C7"/>
    <w:rsid w:val="00026A46"/>
    <w:rsid w:val="00027D0D"/>
    <w:rsid w:val="00031F49"/>
    <w:rsid w:val="00037B6F"/>
    <w:rsid w:val="000474B4"/>
    <w:rsid w:val="00063600"/>
    <w:rsid w:val="00090AE6"/>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9411C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D46D7"/>
    <w:rsid w:val="04A01243"/>
    <w:rsid w:val="04C27070"/>
    <w:rsid w:val="04E23C80"/>
    <w:rsid w:val="04FD6D0A"/>
    <w:rsid w:val="050751FC"/>
    <w:rsid w:val="05166806"/>
    <w:rsid w:val="0529508C"/>
    <w:rsid w:val="05395B50"/>
    <w:rsid w:val="053A30CA"/>
    <w:rsid w:val="057D25F0"/>
    <w:rsid w:val="05936339"/>
    <w:rsid w:val="05992721"/>
    <w:rsid w:val="05D76F02"/>
    <w:rsid w:val="06075169"/>
    <w:rsid w:val="062F7E7F"/>
    <w:rsid w:val="0650016B"/>
    <w:rsid w:val="06695ADA"/>
    <w:rsid w:val="067D145E"/>
    <w:rsid w:val="067F52AB"/>
    <w:rsid w:val="06E17425"/>
    <w:rsid w:val="06E81491"/>
    <w:rsid w:val="07081502"/>
    <w:rsid w:val="072046E3"/>
    <w:rsid w:val="07373C8C"/>
    <w:rsid w:val="074234A9"/>
    <w:rsid w:val="0747552D"/>
    <w:rsid w:val="07592C30"/>
    <w:rsid w:val="07791E20"/>
    <w:rsid w:val="078177D5"/>
    <w:rsid w:val="07924879"/>
    <w:rsid w:val="079C0E64"/>
    <w:rsid w:val="07D60F62"/>
    <w:rsid w:val="08621901"/>
    <w:rsid w:val="0868440A"/>
    <w:rsid w:val="08911C02"/>
    <w:rsid w:val="08913549"/>
    <w:rsid w:val="08B53A61"/>
    <w:rsid w:val="08E76FD5"/>
    <w:rsid w:val="08FD20E7"/>
    <w:rsid w:val="09101BCD"/>
    <w:rsid w:val="09315C91"/>
    <w:rsid w:val="09510BFE"/>
    <w:rsid w:val="097E368B"/>
    <w:rsid w:val="09816EE6"/>
    <w:rsid w:val="09A34824"/>
    <w:rsid w:val="09B85302"/>
    <w:rsid w:val="09B94936"/>
    <w:rsid w:val="09D26DBF"/>
    <w:rsid w:val="09F65854"/>
    <w:rsid w:val="0A07422F"/>
    <w:rsid w:val="0A1B49C1"/>
    <w:rsid w:val="0A3D0590"/>
    <w:rsid w:val="0A7416D8"/>
    <w:rsid w:val="0A8945EB"/>
    <w:rsid w:val="0AAF2FEE"/>
    <w:rsid w:val="0AD95380"/>
    <w:rsid w:val="0BAC1F4C"/>
    <w:rsid w:val="0BBE4F63"/>
    <w:rsid w:val="0BDA530A"/>
    <w:rsid w:val="0C0247C0"/>
    <w:rsid w:val="0C353302"/>
    <w:rsid w:val="0C3E7749"/>
    <w:rsid w:val="0C496297"/>
    <w:rsid w:val="0C660E5E"/>
    <w:rsid w:val="0C7C51F9"/>
    <w:rsid w:val="0C9A109E"/>
    <w:rsid w:val="0CA74D09"/>
    <w:rsid w:val="0CA9483B"/>
    <w:rsid w:val="0CC51217"/>
    <w:rsid w:val="0D0A01F7"/>
    <w:rsid w:val="0D1F1C9D"/>
    <w:rsid w:val="0D3F6C37"/>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972629"/>
    <w:rsid w:val="109A2257"/>
    <w:rsid w:val="10F47168"/>
    <w:rsid w:val="110264F1"/>
    <w:rsid w:val="1104198D"/>
    <w:rsid w:val="115434FF"/>
    <w:rsid w:val="115D3896"/>
    <w:rsid w:val="11B62E53"/>
    <w:rsid w:val="12103D4D"/>
    <w:rsid w:val="12345EA5"/>
    <w:rsid w:val="124027F2"/>
    <w:rsid w:val="125A673E"/>
    <w:rsid w:val="12775E6D"/>
    <w:rsid w:val="12A01322"/>
    <w:rsid w:val="12AB0828"/>
    <w:rsid w:val="12E05DF5"/>
    <w:rsid w:val="133616DD"/>
    <w:rsid w:val="13582BF6"/>
    <w:rsid w:val="13583E3E"/>
    <w:rsid w:val="136156A3"/>
    <w:rsid w:val="138356B4"/>
    <w:rsid w:val="13884680"/>
    <w:rsid w:val="13996DA4"/>
    <w:rsid w:val="13A56966"/>
    <w:rsid w:val="13B56A40"/>
    <w:rsid w:val="13D309B3"/>
    <w:rsid w:val="13EC3F05"/>
    <w:rsid w:val="14077D57"/>
    <w:rsid w:val="143079B7"/>
    <w:rsid w:val="14342819"/>
    <w:rsid w:val="14965811"/>
    <w:rsid w:val="14CE5CB2"/>
    <w:rsid w:val="14D92610"/>
    <w:rsid w:val="15001500"/>
    <w:rsid w:val="154A25D7"/>
    <w:rsid w:val="15525604"/>
    <w:rsid w:val="155E753C"/>
    <w:rsid w:val="156E5828"/>
    <w:rsid w:val="15B36E57"/>
    <w:rsid w:val="15B43A33"/>
    <w:rsid w:val="15C02CFA"/>
    <w:rsid w:val="15D02588"/>
    <w:rsid w:val="163004AD"/>
    <w:rsid w:val="164356BB"/>
    <w:rsid w:val="166F777C"/>
    <w:rsid w:val="169C21B8"/>
    <w:rsid w:val="169C6B59"/>
    <w:rsid w:val="16BB60A4"/>
    <w:rsid w:val="16D604C4"/>
    <w:rsid w:val="173A5387"/>
    <w:rsid w:val="17725C57"/>
    <w:rsid w:val="17755246"/>
    <w:rsid w:val="17763711"/>
    <w:rsid w:val="17800AEC"/>
    <w:rsid w:val="18245E40"/>
    <w:rsid w:val="184F1816"/>
    <w:rsid w:val="186B461D"/>
    <w:rsid w:val="188B4950"/>
    <w:rsid w:val="18C7387D"/>
    <w:rsid w:val="18C75C51"/>
    <w:rsid w:val="18C76564"/>
    <w:rsid w:val="19087A11"/>
    <w:rsid w:val="191B7534"/>
    <w:rsid w:val="196E2C37"/>
    <w:rsid w:val="1974690A"/>
    <w:rsid w:val="1A510684"/>
    <w:rsid w:val="1A6171B2"/>
    <w:rsid w:val="1AA65F2A"/>
    <w:rsid w:val="1AA666F2"/>
    <w:rsid w:val="1AC73C81"/>
    <w:rsid w:val="1ADC340E"/>
    <w:rsid w:val="1AED2C78"/>
    <w:rsid w:val="1AEF15D5"/>
    <w:rsid w:val="1B1F6B22"/>
    <w:rsid w:val="1B343FD0"/>
    <w:rsid w:val="1B356551"/>
    <w:rsid w:val="1B377F92"/>
    <w:rsid w:val="1B3E4ABA"/>
    <w:rsid w:val="1B9D2D2C"/>
    <w:rsid w:val="1BA800ED"/>
    <w:rsid w:val="1BAB13EA"/>
    <w:rsid w:val="1BBF1820"/>
    <w:rsid w:val="1BE02644"/>
    <w:rsid w:val="1BF27CE6"/>
    <w:rsid w:val="1BF57F17"/>
    <w:rsid w:val="1C103A6D"/>
    <w:rsid w:val="1C13053F"/>
    <w:rsid w:val="1C162BF5"/>
    <w:rsid w:val="1C212DFA"/>
    <w:rsid w:val="1C3065A1"/>
    <w:rsid w:val="1C32514E"/>
    <w:rsid w:val="1C536B8E"/>
    <w:rsid w:val="1C6074FD"/>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8A1B7B"/>
    <w:rsid w:val="1ED05FDD"/>
    <w:rsid w:val="1EDA4565"/>
    <w:rsid w:val="1F0115E6"/>
    <w:rsid w:val="1F1F4869"/>
    <w:rsid w:val="1F574D7C"/>
    <w:rsid w:val="1F8B73B9"/>
    <w:rsid w:val="1FC0508F"/>
    <w:rsid w:val="1FD17519"/>
    <w:rsid w:val="1FDE37FF"/>
    <w:rsid w:val="1FE87CF6"/>
    <w:rsid w:val="1FFE3B10"/>
    <w:rsid w:val="20142293"/>
    <w:rsid w:val="202875D1"/>
    <w:rsid w:val="203B6405"/>
    <w:rsid w:val="204042C4"/>
    <w:rsid w:val="204434A6"/>
    <w:rsid w:val="205143DE"/>
    <w:rsid w:val="208E2CB0"/>
    <w:rsid w:val="20C7192F"/>
    <w:rsid w:val="20D93FB0"/>
    <w:rsid w:val="20F3606E"/>
    <w:rsid w:val="20F85F56"/>
    <w:rsid w:val="213009EF"/>
    <w:rsid w:val="213D75BE"/>
    <w:rsid w:val="217A33A1"/>
    <w:rsid w:val="21872636"/>
    <w:rsid w:val="218F2648"/>
    <w:rsid w:val="21AB5C9B"/>
    <w:rsid w:val="21B427AB"/>
    <w:rsid w:val="21BD46E0"/>
    <w:rsid w:val="227C0C68"/>
    <w:rsid w:val="227D1F07"/>
    <w:rsid w:val="22AE5DFE"/>
    <w:rsid w:val="22BD440B"/>
    <w:rsid w:val="23025E80"/>
    <w:rsid w:val="235C31B0"/>
    <w:rsid w:val="23C16FD2"/>
    <w:rsid w:val="242C445B"/>
    <w:rsid w:val="248B6BF0"/>
    <w:rsid w:val="24975A35"/>
    <w:rsid w:val="24A451C8"/>
    <w:rsid w:val="24B0777F"/>
    <w:rsid w:val="24B80E3D"/>
    <w:rsid w:val="24BA3A6C"/>
    <w:rsid w:val="24C04FDC"/>
    <w:rsid w:val="24C14262"/>
    <w:rsid w:val="24DB11B1"/>
    <w:rsid w:val="24DB1DC1"/>
    <w:rsid w:val="254579AD"/>
    <w:rsid w:val="25550995"/>
    <w:rsid w:val="255572F5"/>
    <w:rsid w:val="25916749"/>
    <w:rsid w:val="25BD246C"/>
    <w:rsid w:val="25E5097B"/>
    <w:rsid w:val="25ED1CE2"/>
    <w:rsid w:val="25F220DD"/>
    <w:rsid w:val="260366CA"/>
    <w:rsid w:val="26190B1E"/>
    <w:rsid w:val="261954E5"/>
    <w:rsid w:val="26B25A04"/>
    <w:rsid w:val="26E86A48"/>
    <w:rsid w:val="2707113A"/>
    <w:rsid w:val="27101EDB"/>
    <w:rsid w:val="27450F96"/>
    <w:rsid w:val="27A03254"/>
    <w:rsid w:val="27A230C5"/>
    <w:rsid w:val="27A851CF"/>
    <w:rsid w:val="27F6755B"/>
    <w:rsid w:val="2835156C"/>
    <w:rsid w:val="285E7742"/>
    <w:rsid w:val="285F589C"/>
    <w:rsid w:val="2860075F"/>
    <w:rsid w:val="288E7537"/>
    <w:rsid w:val="28D51CE9"/>
    <w:rsid w:val="28E0382C"/>
    <w:rsid w:val="28FB2940"/>
    <w:rsid w:val="2935387C"/>
    <w:rsid w:val="29923BE6"/>
    <w:rsid w:val="29D70027"/>
    <w:rsid w:val="29E4565C"/>
    <w:rsid w:val="2A217644"/>
    <w:rsid w:val="2A5522DC"/>
    <w:rsid w:val="2A6D7AE4"/>
    <w:rsid w:val="2A7647B8"/>
    <w:rsid w:val="2A81126C"/>
    <w:rsid w:val="2A9A509F"/>
    <w:rsid w:val="2ABE75C5"/>
    <w:rsid w:val="2AC54EDF"/>
    <w:rsid w:val="2ADE1592"/>
    <w:rsid w:val="2AE72478"/>
    <w:rsid w:val="2AFE6BB2"/>
    <w:rsid w:val="2AFF547A"/>
    <w:rsid w:val="2B0F5BE3"/>
    <w:rsid w:val="2B194010"/>
    <w:rsid w:val="2B1A0A86"/>
    <w:rsid w:val="2B4654C8"/>
    <w:rsid w:val="2B766889"/>
    <w:rsid w:val="2B7B3036"/>
    <w:rsid w:val="2BB62C14"/>
    <w:rsid w:val="2BB82208"/>
    <w:rsid w:val="2BC1544C"/>
    <w:rsid w:val="2BF83122"/>
    <w:rsid w:val="2C451800"/>
    <w:rsid w:val="2C4D4422"/>
    <w:rsid w:val="2C61592A"/>
    <w:rsid w:val="2CF23348"/>
    <w:rsid w:val="2CFF2E26"/>
    <w:rsid w:val="2D0212AF"/>
    <w:rsid w:val="2D0721CE"/>
    <w:rsid w:val="2D2D0FB8"/>
    <w:rsid w:val="2D5369A4"/>
    <w:rsid w:val="2D553E12"/>
    <w:rsid w:val="2D563294"/>
    <w:rsid w:val="2D572DE8"/>
    <w:rsid w:val="2D7657B0"/>
    <w:rsid w:val="2DA92533"/>
    <w:rsid w:val="2DC542FD"/>
    <w:rsid w:val="2E027319"/>
    <w:rsid w:val="2E740C9C"/>
    <w:rsid w:val="2E912614"/>
    <w:rsid w:val="2EB82B9B"/>
    <w:rsid w:val="2EC0752C"/>
    <w:rsid w:val="2EDB211E"/>
    <w:rsid w:val="2F92082D"/>
    <w:rsid w:val="2FAF734F"/>
    <w:rsid w:val="2FB74538"/>
    <w:rsid w:val="2FF16930"/>
    <w:rsid w:val="30255652"/>
    <w:rsid w:val="302A5959"/>
    <w:rsid w:val="305B0C4B"/>
    <w:rsid w:val="306F34C7"/>
    <w:rsid w:val="3080195E"/>
    <w:rsid w:val="31024AE6"/>
    <w:rsid w:val="313F60CD"/>
    <w:rsid w:val="316C164E"/>
    <w:rsid w:val="31AC33EA"/>
    <w:rsid w:val="31B469D0"/>
    <w:rsid w:val="31CA2AA5"/>
    <w:rsid w:val="31D64F96"/>
    <w:rsid w:val="31EC51C6"/>
    <w:rsid w:val="32017181"/>
    <w:rsid w:val="3202578C"/>
    <w:rsid w:val="322F554F"/>
    <w:rsid w:val="326D3B31"/>
    <w:rsid w:val="327021FA"/>
    <w:rsid w:val="3292519B"/>
    <w:rsid w:val="329C1DF0"/>
    <w:rsid w:val="329E2BA3"/>
    <w:rsid w:val="32AE7A75"/>
    <w:rsid w:val="32E032B1"/>
    <w:rsid w:val="32EF11A3"/>
    <w:rsid w:val="32EF2028"/>
    <w:rsid w:val="33011C41"/>
    <w:rsid w:val="333C6A3D"/>
    <w:rsid w:val="33420402"/>
    <w:rsid w:val="33644CFD"/>
    <w:rsid w:val="33774568"/>
    <w:rsid w:val="33A0028D"/>
    <w:rsid w:val="33A570FA"/>
    <w:rsid w:val="33D32C1C"/>
    <w:rsid w:val="33D92429"/>
    <w:rsid w:val="343B3818"/>
    <w:rsid w:val="343C1893"/>
    <w:rsid w:val="3449265D"/>
    <w:rsid w:val="356521C2"/>
    <w:rsid w:val="358526AE"/>
    <w:rsid w:val="35B54B22"/>
    <w:rsid w:val="35DF0F8E"/>
    <w:rsid w:val="35E83CBD"/>
    <w:rsid w:val="35EF293B"/>
    <w:rsid w:val="35F13A2A"/>
    <w:rsid w:val="35FD564E"/>
    <w:rsid w:val="360453EB"/>
    <w:rsid w:val="362C0965"/>
    <w:rsid w:val="36495F37"/>
    <w:rsid w:val="36523501"/>
    <w:rsid w:val="366A6E58"/>
    <w:rsid w:val="37366041"/>
    <w:rsid w:val="373D0F4E"/>
    <w:rsid w:val="37625DAE"/>
    <w:rsid w:val="377717B0"/>
    <w:rsid w:val="379D7A74"/>
    <w:rsid w:val="37A03DDA"/>
    <w:rsid w:val="37DC389E"/>
    <w:rsid w:val="37E41DF1"/>
    <w:rsid w:val="37FC364E"/>
    <w:rsid w:val="38463090"/>
    <w:rsid w:val="3882116E"/>
    <w:rsid w:val="388234B9"/>
    <w:rsid w:val="38973473"/>
    <w:rsid w:val="38A56CC9"/>
    <w:rsid w:val="38C05F24"/>
    <w:rsid w:val="38D750B8"/>
    <w:rsid w:val="38F2240C"/>
    <w:rsid w:val="39171CC0"/>
    <w:rsid w:val="393F39C1"/>
    <w:rsid w:val="3941283A"/>
    <w:rsid w:val="395212E1"/>
    <w:rsid w:val="39976574"/>
    <w:rsid w:val="39A165F9"/>
    <w:rsid w:val="39B72706"/>
    <w:rsid w:val="39C84E5A"/>
    <w:rsid w:val="39FA0921"/>
    <w:rsid w:val="3A033549"/>
    <w:rsid w:val="3A3457E8"/>
    <w:rsid w:val="3A3F0320"/>
    <w:rsid w:val="3A536E24"/>
    <w:rsid w:val="3A565A98"/>
    <w:rsid w:val="3A5D7130"/>
    <w:rsid w:val="3A810ECA"/>
    <w:rsid w:val="3A871F8A"/>
    <w:rsid w:val="3AA31206"/>
    <w:rsid w:val="3AB57780"/>
    <w:rsid w:val="3AC65AD2"/>
    <w:rsid w:val="3ACF5A26"/>
    <w:rsid w:val="3B3575B2"/>
    <w:rsid w:val="3B4764C1"/>
    <w:rsid w:val="3B54731C"/>
    <w:rsid w:val="3B67428D"/>
    <w:rsid w:val="3B713350"/>
    <w:rsid w:val="3B7A26BE"/>
    <w:rsid w:val="3BBD2198"/>
    <w:rsid w:val="3BE767A5"/>
    <w:rsid w:val="3C1701DB"/>
    <w:rsid w:val="3C2E25AC"/>
    <w:rsid w:val="3C33699A"/>
    <w:rsid w:val="3C41291B"/>
    <w:rsid w:val="3C447C27"/>
    <w:rsid w:val="3C4E3440"/>
    <w:rsid w:val="3E225ED0"/>
    <w:rsid w:val="3E29108F"/>
    <w:rsid w:val="3E530817"/>
    <w:rsid w:val="3E763568"/>
    <w:rsid w:val="3EB341AB"/>
    <w:rsid w:val="3EC20226"/>
    <w:rsid w:val="3EC451E1"/>
    <w:rsid w:val="3EC47F80"/>
    <w:rsid w:val="3F1E63B0"/>
    <w:rsid w:val="3F2226EC"/>
    <w:rsid w:val="3F601C75"/>
    <w:rsid w:val="3FAC6CE4"/>
    <w:rsid w:val="3FDA48AC"/>
    <w:rsid w:val="3FE53BD5"/>
    <w:rsid w:val="400C6F8F"/>
    <w:rsid w:val="402A3DD6"/>
    <w:rsid w:val="402E363B"/>
    <w:rsid w:val="403A7A13"/>
    <w:rsid w:val="40883F9A"/>
    <w:rsid w:val="40A6403B"/>
    <w:rsid w:val="40C31767"/>
    <w:rsid w:val="40D11C13"/>
    <w:rsid w:val="40D14228"/>
    <w:rsid w:val="40E32648"/>
    <w:rsid w:val="413F338F"/>
    <w:rsid w:val="415D3A83"/>
    <w:rsid w:val="418A5114"/>
    <w:rsid w:val="41A50FA5"/>
    <w:rsid w:val="41B113E8"/>
    <w:rsid w:val="41CC07BC"/>
    <w:rsid w:val="41DD5AAF"/>
    <w:rsid w:val="420569A4"/>
    <w:rsid w:val="42144F10"/>
    <w:rsid w:val="4246080B"/>
    <w:rsid w:val="42CE24FD"/>
    <w:rsid w:val="42F302DD"/>
    <w:rsid w:val="43260C43"/>
    <w:rsid w:val="438034F8"/>
    <w:rsid w:val="4388321A"/>
    <w:rsid w:val="441A31FF"/>
    <w:rsid w:val="446A3759"/>
    <w:rsid w:val="446B4961"/>
    <w:rsid w:val="449428DA"/>
    <w:rsid w:val="44AC074C"/>
    <w:rsid w:val="44BF2B1E"/>
    <w:rsid w:val="45132E7E"/>
    <w:rsid w:val="456F7A14"/>
    <w:rsid w:val="45787455"/>
    <w:rsid w:val="45B725A0"/>
    <w:rsid w:val="462E25CA"/>
    <w:rsid w:val="46303A17"/>
    <w:rsid w:val="465A58CC"/>
    <w:rsid w:val="46620428"/>
    <w:rsid w:val="46D637ED"/>
    <w:rsid w:val="46DD3F38"/>
    <w:rsid w:val="46F16F1D"/>
    <w:rsid w:val="46FD2CBF"/>
    <w:rsid w:val="472910BD"/>
    <w:rsid w:val="47553E8E"/>
    <w:rsid w:val="477C293C"/>
    <w:rsid w:val="47CA2F97"/>
    <w:rsid w:val="47D84675"/>
    <w:rsid w:val="47E17B3A"/>
    <w:rsid w:val="47FF4104"/>
    <w:rsid w:val="48114111"/>
    <w:rsid w:val="481379C4"/>
    <w:rsid w:val="4816651B"/>
    <w:rsid w:val="481947FE"/>
    <w:rsid w:val="483B043E"/>
    <w:rsid w:val="486B0826"/>
    <w:rsid w:val="486B1D8E"/>
    <w:rsid w:val="48A93D74"/>
    <w:rsid w:val="48D139F6"/>
    <w:rsid w:val="48F56DD6"/>
    <w:rsid w:val="491916C6"/>
    <w:rsid w:val="49573AC8"/>
    <w:rsid w:val="49AA7971"/>
    <w:rsid w:val="49FE240E"/>
    <w:rsid w:val="4A0A0AC4"/>
    <w:rsid w:val="4A141151"/>
    <w:rsid w:val="4A316318"/>
    <w:rsid w:val="4A643B84"/>
    <w:rsid w:val="4A777A6A"/>
    <w:rsid w:val="4A791AFA"/>
    <w:rsid w:val="4AC017AB"/>
    <w:rsid w:val="4AC9062D"/>
    <w:rsid w:val="4AE52C42"/>
    <w:rsid w:val="4AF2187D"/>
    <w:rsid w:val="4AFC3953"/>
    <w:rsid w:val="4B103205"/>
    <w:rsid w:val="4B1E385E"/>
    <w:rsid w:val="4B425A6C"/>
    <w:rsid w:val="4B4B4F3A"/>
    <w:rsid w:val="4B6870F9"/>
    <w:rsid w:val="4B6C2969"/>
    <w:rsid w:val="4BCF6DCB"/>
    <w:rsid w:val="4BD06B38"/>
    <w:rsid w:val="4BDF321A"/>
    <w:rsid w:val="4BE962F6"/>
    <w:rsid w:val="4C0065CE"/>
    <w:rsid w:val="4C18241E"/>
    <w:rsid w:val="4C227943"/>
    <w:rsid w:val="4C472142"/>
    <w:rsid w:val="4C5F22C4"/>
    <w:rsid w:val="4C9463A6"/>
    <w:rsid w:val="4CA5648E"/>
    <w:rsid w:val="4CE617D5"/>
    <w:rsid w:val="4DC86CD0"/>
    <w:rsid w:val="4DD62C1F"/>
    <w:rsid w:val="4DF46D27"/>
    <w:rsid w:val="4E367509"/>
    <w:rsid w:val="4E5211BA"/>
    <w:rsid w:val="4E90713C"/>
    <w:rsid w:val="4E9D1D1E"/>
    <w:rsid w:val="4F0E0B1D"/>
    <w:rsid w:val="4FBD41CA"/>
    <w:rsid w:val="4FD246D2"/>
    <w:rsid w:val="50077D56"/>
    <w:rsid w:val="50131451"/>
    <w:rsid w:val="50831BFE"/>
    <w:rsid w:val="50B52FE4"/>
    <w:rsid w:val="50BF2E54"/>
    <w:rsid w:val="51390BE4"/>
    <w:rsid w:val="51C804DE"/>
    <w:rsid w:val="51CF0D4C"/>
    <w:rsid w:val="51E33826"/>
    <w:rsid w:val="51E71C22"/>
    <w:rsid w:val="520C6B50"/>
    <w:rsid w:val="522E62F3"/>
    <w:rsid w:val="52A33960"/>
    <w:rsid w:val="52B476CE"/>
    <w:rsid w:val="52F47A95"/>
    <w:rsid w:val="531645CA"/>
    <w:rsid w:val="531F2A96"/>
    <w:rsid w:val="53262EC9"/>
    <w:rsid w:val="53734149"/>
    <w:rsid w:val="53932760"/>
    <w:rsid w:val="539873E7"/>
    <w:rsid w:val="53B46D0C"/>
    <w:rsid w:val="54087353"/>
    <w:rsid w:val="54375044"/>
    <w:rsid w:val="544232E7"/>
    <w:rsid w:val="54837B70"/>
    <w:rsid w:val="549661B6"/>
    <w:rsid w:val="54D24E79"/>
    <w:rsid w:val="5503429F"/>
    <w:rsid w:val="551027C6"/>
    <w:rsid w:val="552F7315"/>
    <w:rsid w:val="554B0FDD"/>
    <w:rsid w:val="55631D2D"/>
    <w:rsid w:val="55BB1E97"/>
    <w:rsid w:val="55BE587F"/>
    <w:rsid w:val="55C8709D"/>
    <w:rsid w:val="560509A3"/>
    <w:rsid w:val="56126C00"/>
    <w:rsid w:val="56250237"/>
    <w:rsid w:val="564569EB"/>
    <w:rsid w:val="56AB5944"/>
    <w:rsid w:val="56D976B4"/>
    <w:rsid w:val="56F645A2"/>
    <w:rsid w:val="57214861"/>
    <w:rsid w:val="572B4616"/>
    <w:rsid w:val="57541EAD"/>
    <w:rsid w:val="577465D8"/>
    <w:rsid w:val="57AE5029"/>
    <w:rsid w:val="57C23486"/>
    <w:rsid w:val="57D123D3"/>
    <w:rsid w:val="58117CC1"/>
    <w:rsid w:val="581B6D8F"/>
    <w:rsid w:val="582C3384"/>
    <w:rsid w:val="58624A55"/>
    <w:rsid w:val="5881143C"/>
    <w:rsid w:val="59216A89"/>
    <w:rsid w:val="59671A3A"/>
    <w:rsid w:val="59A14E6F"/>
    <w:rsid w:val="59A175DF"/>
    <w:rsid w:val="59B819C2"/>
    <w:rsid w:val="59C7668D"/>
    <w:rsid w:val="59FC4729"/>
    <w:rsid w:val="5A0B75E4"/>
    <w:rsid w:val="5A575BFF"/>
    <w:rsid w:val="5A77586F"/>
    <w:rsid w:val="5AA12CBD"/>
    <w:rsid w:val="5ACA65CD"/>
    <w:rsid w:val="5ACC7A53"/>
    <w:rsid w:val="5AE42F12"/>
    <w:rsid w:val="5AE51758"/>
    <w:rsid w:val="5B581F93"/>
    <w:rsid w:val="5B6B529B"/>
    <w:rsid w:val="5BB250E2"/>
    <w:rsid w:val="5BB3320D"/>
    <w:rsid w:val="5BC31A45"/>
    <w:rsid w:val="5BC772C9"/>
    <w:rsid w:val="5C3F6538"/>
    <w:rsid w:val="5C465FA2"/>
    <w:rsid w:val="5C544090"/>
    <w:rsid w:val="5C726BB6"/>
    <w:rsid w:val="5C7322D1"/>
    <w:rsid w:val="5CEF4070"/>
    <w:rsid w:val="5CFC28A8"/>
    <w:rsid w:val="5D246FFC"/>
    <w:rsid w:val="5D36426B"/>
    <w:rsid w:val="5DDA696A"/>
    <w:rsid w:val="5E0C55BA"/>
    <w:rsid w:val="5E410FFD"/>
    <w:rsid w:val="5E544606"/>
    <w:rsid w:val="5E8E05EA"/>
    <w:rsid w:val="5EFB61FA"/>
    <w:rsid w:val="5F2C7D02"/>
    <w:rsid w:val="5F7663E9"/>
    <w:rsid w:val="5FB656F9"/>
    <w:rsid w:val="5FBC2CFA"/>
    <w:rsid w:val="5FC53466"/>
    <w:rsid w:val="5FD13015"/>
    <w:rsid w:val="5FDE21DF"/>
    <w:rsid w:val="60190EE3"/>
    <w:rsid w:val="601D48F2"/>
    <w:rsid w:val="601E31F8"/>
    <w:rsid w:val="602832C7"/>
    <w:rsid w:val="603D1F50"/>
    <w:rsid w:val="603F673E"/>
    <w:rsid w:val="605467C6"/>
    <w:rsid w:val="60D605A1"/>
    <w:rsid w:val="61464F6C"/>
    <w:rsid w:val="61515A7F"/>
    <w:rsid w:val="61633E93"/>
    <w:rsid w:val="61A4558D"/>
    <w:rsid w:val="61C32B70"/>
    <w:rsid w:val="61E045CD"/>
    <w:rsid w:val="62016875"/>
    <w:rsid w:val="628B7263"/>
    <w:rsid w:val="62902D58"/>
    <w:rsid w:val="62AE4BDA"/>
    <w:rsid w:val="62C97640"/>
    <w:rsid w:val="62D27C48"/>
    <w:rsid w:val="6307315E"/>
    <w:rsid w:val="63184211"/>
    <w:rsid w:val="631B5AD9"/>
    <w:rsid w:val="633613B5"/>
    <w:rsid w:val="635C575B"/>
    <w:rsid w:val="636863CF"/>
    <w:rsid w:val="63752C12"/>
    <w:rsid w:val="637A0016"/>
    <w:rsid w:val="638C1080"/>
    <w:rsid w:val="63B413CF"/>
    <w:rsid w:val="63C832E6"/>
    <w:rsid w:val="63FF6C27"/>
    <w:rsid w:val="6405263C"/>
    <w:rsid w:val="642454D9"/>
    <w:rsid w:val="644A58BB"/>
    <w:rsid w:val="64613942"/>
    <w:rsid w:val="6464336B"/>
    <w:rsid w:val="64B81776"/>
    <w:rsid w:val="653C5193"/>
    <w:rsid w:val="655C7828"/>
    <w:rsid w:val="65652A5B"/>
    <w:rsid w:val="65CB1350"/>
    <w:rsid w:val="66330E7B"/>
    <w:rsid w:val="66351622"/>
    <w:rsid w:val="663E7042"/>
    <w:rsid w:val="665A2304"/>
    <w:rsid w:val="669C6349"/>
    <w:rsid w:val="66A80AC6"/>
    <w:rsid w:val="66F70CBF"/>
    <w:rsid w:val="67144976"/>
    <w:rsid w:val="67202357"/>
    <w:rsid w:val="67603F26"/>
    <w:rsid w:val="67977208"/>
    <w:rsid w:val="67D3264E"/>
    <w:rsid w:val="68024DD3"/>
    <w:rsid w:val="680F332B"/>
    <w:rsid w:val="6832253F"/>
    <w:rsid w:val="685C3C4D"/>
    <w:rsid w:val="687102AD"/>
    <w:rsid w:val="68724B40"/>
    <w:rsid w:val="68902798"/>
    <w:rsid w:val="690C7142"/>
    <w:rsid w:val="69412846"/>
    <w:rsid w:val="695907E9"/>
    <w:rsid w:val="6964290E"/>
    <w:rsid w:val="69706994"/>
    <w:rsid w:val="698304CD"/>
    <w:rsid w:val="69932BAE"/>
    <w:rsid w:val="69A06126"/>
    <w:rsid w:val="69A16FDB"/>
    <w:rsid w:val="69BA6060"/>
    <w:rsid w:val="69D62885"/>
    <w:rsid w:val="69ED079D"/>
    <w:rsid w:val="6A223F21"/>
    <w:rsid w:val="6A4771F0"/>
    <w:rsid w:val="6A641277"/>
    <w:rsid w:val="6A985E45"/>
    <w:rsid w:val="6AAD0001"/>
    <w:rsid w:val="6AB84C10"/>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2745D"/>
    <w:rsid w:val="6C831486"/>
    <w:rsid w:val="6C8C7141"/>
    <w:rsid w:val="6C903E5F"/>
    <w:rsid w:val="6C92595F"/>
    <w:rsid w:val="6CA31D11"/>
    <w:rsid w:val="6CA820A8"/>
    <w:rsid w:val="6CE513BE"/>
    <w:rsid w:val="6CEE595E"/>
    <w:rsid w:val="6CF82160"/>
    <w:rsid w:val="6D094BFA"/>
    <w:rsid w:val="6D1D7324"/>
    <w:rsid w:val="6D283EB3"/>
    <w:rsid w:val="6D476F5C"/>
    <w:rsid w:val="6D524D35"/>
    <w:rsid w:val="6D631E8B"/>
    <w:rsid w:val="6DA45721"/>
    <w:rsid w:val="6DEF5724"/>
    <w:rsid w:val="6E2D7396"/>
    <w:rsid w:val="6E967068"/>
    <w:rsid w:val="6E977E1E"/>
    <w:rsid w:val="6E9A083E"/>
    <w:rsid w:val="6F1013D6"/>
    <w:rsid w:val="6F1830F3"/>
    <w:rsid w:val="6F2C4E6B"/>
    <w:rsid w:val="6F7502BE"/>
    <w:rsid w:val="6F8E346E"/>
    <w:rsid w:val="6F922D77"/>
    <w:rsid w:val="6FA85985"/>
    <w:rsid w:val="6FEA2DEF"/>
    <w:rsid w:val="70231C9D"/>
    <w:rsid w:val="70411BFE"/>
    <w:rsid w:val="708C386D"/>
    <w:rsid w:val="7093353E"/>
    <w:rsid w:val="70A25D2A"/>
    <w:rsid w:val="70EC15F1"/>
    <w:rsid w:val="70F606D1"/>
    <w:rsid w:val="710C3141"/>
    <w:rsid w:val="71104E62"/>
    <w:rsid w:val="71357785"/>
    <w:rsid w:val="713927A1"/>
    <w:rsid w:val="71426CAF"/>
    <w:rsid w:val="71673F9F"/>
    <w:rsid w:val="719525E5"/>
    <w:rsid w:val="71C43EDF"/>
    <w:rsid w:val="71D12B7B"/>
    <w:rsid w:val="72047D57"/>
    <w:rsid w:val="72563FB1"/>
    <w:rsid w:val="726E28BC"/>
    <w:rsid w:val="729701F7"/>
    <w:rsid w:val="72C13435"/>
    <w:rsid w:val="7332304C"/>
    <w:rsid w:val="73460DCF"/>
    <w:rsid w:val="736F51CC"/>
    <w:rsid w:val="73765DF7"/>
    <w:rsid w:val="739C093C"/>
    <w:rsid w:val="739D0315"/>
    <w:rsid w:val="73CE4F10"/>
    <w:rsid w:val="73DE0BF4"/>
    <w:rsid w:val="73EF72A5"/>
    <w:rsid w:val="740166CA"/>
    <w:rsid w:val="741606DE"/>
    <w:rsid w:val="74504BE3"/>
    <w:rsid w:val="746B4618"/>
    <w:rsid w:val="748E187D"/>
    <w:rsid w:val="74CB3C90"/>
    <w:rsid w:val="74F727ED"/>
    <w:rsid w:val="75395A4F"/>
    <w:rsid w:val="75A62599"/>
    <w:rsid w:val="75C718AC"/>
    <w:rsid w:val="75E5168E"/>
    <w:rsid w:val="75E65018"/>
    <w:rsid w:val="75FD7923"/>
    <w:rsid w:val="760C615E"/>
    <w:rsid w:val="764536B8"/>
    <w:rsid w:val="764C1E95"/>
    <w:rsid w:val="765340BE"/>
    <w:rsid w:val="76600B0B"/>
    <w:rsid w:val="76AC2216"/>
    <w:rsid w:val="76EC025F"/>
    <w:rsid w:val="76F84AA9"/>
    <w:rsid w:val="77104195"/>
    <w:rsid w:val="77532B5B"/>
    <w:rsid w:val="77A72B49"/>
    <w:rsid w:val="77BA48A1"/>
    <w:rsid w:val="77EA45C3"/>
    <w:rsid w:val="77F3515D"/>
    <w:rsid w:val="77F537AF"/>
    <w:rsid w:val="78427D95"/>
    <w:rsid w:val="78CE3373"/>
    <w:rsid w:val="78EA06B1"/>
    <w:rsid w:val="79303653"/>
    <w:rsid w:val="79332894"/>
    <w:rsid w:val="79432FDA"/>
    <w:rsid w:val="794E031B"/>
    <w:rsid w:val="796340FE"/>
    <w:rsid w:val="79F651E3"/>
    <w:rsid w:val="7A0539F1"/>
    <w:rsid w:val="7A4A0DFD"/>
    <w:rsid w:val="7A552236"/>
    <w:rsid w:val="7A735659"/>
    <w:rsid w:val="7A7E0068"/>
    <w:rsid w:val="7AC17447"/>
    <w:rsid w:val="7AD70C9B"/>
    <w:rsid w:val="7ADA5B3C"/>
    <w:rsid w:val="7B4531F1"/>
    <w:rsid w:val="7B4D07FD"/>
    <w:rsid w:val="7BAB3DF5"/>
    <w:rsid w:val="7BD26364"/>
    <w:rsid w:val="7BDB29F1"/>
    <w:rsid w:val="7BF87D2D"/>
    <w:rsid w:val="7C2F53CB"/>
    <w:rsid w:val="7C3A3603"/>
    <w:rsid w:val="7C461D0D"/>
    <w:rsid w:val="7C485C63"/>
    <w:rsid w:val="7C921903"/>
    <w:rsid w:val="7CA834CE"/>
    <w:rsid w:val="7CB9036C"/>
    <w:rsid w:val="7D047631"/>
    <w:rsid w:val="7D3475DB"/>
    <w:rsid w:val="7D771F95"/>
    <w:rsid w:val="7D942460"/>
    <w:rsid w:val="7DDD5D1F"/>
    <w:rsid w:val="7DEF4A1C"/>
    <w:rsid w:val="7E0B3754"/>
    <w:rsid w:val="7E3C4D54"/>
    <w:rsid w:val="7E563F68"/>
    <w:rsid w:val="7EC40A24"/>
    <w:rsid w:val="7EDF5F74"/>
    <w:rsid w:val="7F171963"/>
    <w:rsid w:val="7F270DFD"/>
    <w:rsid w:val="7F5F072D"/>
    <w:rsid w:val="7F711C25"/>
    <w:rsid w:val="7F733C1D"/>
    <w:rsid w:val="7FC5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jc w:val="center"/>
      <w:outlineLvl w:val="0"/>
    </w:pPr>
    <w:rPr>
      <w:rFonts w:eastAsia="黑体"/>
      <w:b/>
      <w:sz w:val="32"/>
      <w:szCs w:val="20"/>
    </w:rPr>
  </w:style>
  <w:style w:type="paragraph" w:styleId="5">
    <w:name w:val="heading 2"/>
    <w:basedOn w:val="1"/>
    <w:next w:val="1"/>
    <w:link w:val="67"/>
    <w:qFormat/>
    <w:uiPriority w:val="0"/>
    <w:pPr>
      <w:keepNext/>
      <w:outlineLvl w:val="1"/>
    </w:pPr>
    <w:rPr>
      <w:rFonts w:ascii="仿宋_GB2312"/>
      <w:b/>
      <w:sz w:val="28"/>
      <w:szCs w:val="32"/>
    </w:rPr>
  </w:style>
  <w:style w:type="paragraph" w:styleId="6">
    <w:name w:val="heading 3"/>
    <w:basedOn w:val="1"/>
    <w:next w:val="1"/>
    <w:link w:val="152"/>
    <w:qFormat/>
    <w:uiPriority w:val="0"/>
    <w:pPr>
      <w:keepNext/>
      <w:keepLines/>
      <w:spacing w:line="540" w:lineRule="atLeast"/>
      <w:outlineLvl w:val="2"/>
    </w:pPr>
    <w:rPr>
      <w:rFonts w:eastAsia="黑体"/>
      <w:b/>
      <w:sz w:val="28"/>
      <w:szCs w:val="20"/>
    </w:rPr>
  </w:style>
  <w:style w:type="paragraph" w:styleId="2">
    <w:name w:val="heading 4"/>
    <w:basedOn w:val="1"/>
    <w:next w:val="1"/>
    <w:link w:val="149"/>
    <w:qFormat/>
    <w:uiPriority w:val="0"/>
    <w:pPr>
      <w:keepNext/>
      <w:keepLines/>
      <w:spacing w:line="540" w:lineRule="atLeast"/>
      <w:outlineLvl w:val="3"/>
    </w:pPr>
    <w:rPr>
      <w:sz w:val="28"/>
      <w:szCs w:val="28"/>
    </w:rPr>
  </w:style>
  <w:style w:type="paragraph" w:styleId="7">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0"/>
    <w:qFormat/>
    <w:uiPriority w:val="0"/>
    <w:pPr>
      <w:keepNext/>
      <w:keepLines/>
      <w:spacing w:before="240" w:after="64" w:line="317" w:lineRule="auto"/>
      <w:outlineLvl w:val="6"/>
    </w:pPr>
    <w:rPr>
      <w:b/>
      <w:sz w:val="24"/>
      <w:szCs w:val="20"/>
    </w:rPr>
  </w:style>
  <w:style w:type="paragraph" w:styleId="11">
    <w:name w:val="heading 8"/>
    <w:basedOn w:val="1"/>
    <w:next w:val="9"/>
    <w:link w:val="176"/>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3"/>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3">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2"/>
    <w:basedOn w:val="1"/>
    <w:qFormat/>
    <w:uiPriority w:val="0"/>
    <w:pPr>
      <w:numPr>
        <w:ilvl w:val="0"/>
        <w:numId w:val="1"/>
      </w:numPr>
    </w:p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131"/>
    <w:qFormat/>
    <w:uiPriority w:val="0"/>
    <w:pPr>
      <w:shd w:val="clear" w:color="auto" w:fill="000080"/>
    </w:pPr>
  </w:style>
  <w:style w:type="paragraph" w:styleId="19">
    <w:name w:val="annotation text"/>
    <w:basedOn w:val="1"/>
    <w:link w:val="91"/>
    <w:qFormat/>
    <w:uiPriority w:val="0"/>
    <w:pPr>
      <w:jc w:val="left"/>
    </w:pPr>
  </w:style>
  <w:style w:type="paragraph" w:styleId="20">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5"/>
    <w:qFormat/>
    <w:uiPriority w:val="0"/>
    <w:pPr>
      <w:autoSpaceDE w:val="0"/>
      <w:autoSpaceDN w:val="0"/>
      <w:adjustRightInd w:val="0"/>
      <w:jc w:val="center"/>
    </w:pPr>
  </w:style>
  <w:style w:type="paragraph" w:styleId="22">
    <w:name w:val="Body Text"/>
    <w:basedOn w:val="1"/>
    <w:next w:val="1"/>
    <w:link w:val="164"/>
    <w:qFormat/>
    <w:uiPriority w:val="0"/>
    <w:pPr>
      <w:spacing w:after="120"/>
    </w:pPr>
    <w:rPr>
      <w:rFonts w:ascii="仿宋_GB2312"/>
      <w:b/>
    </w:rPr>
  </w:style>
  <w:style w:type="paragraph" w:styleId="23">
    <w:name w:val="Body Text Indent"/>
    <w:basedOn w:val="1"/>
    <w:link w:val="144"/>
    <w:qFormat/>
    <w:uiPriority w:val="0"/>
    <w:pPr>
      <w:ind w:left="480" w:hanging="480" w:hangingChars="200"/>
    </w:pPr>
    <w:rPr>
      <w:sz w:val="24"/>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line="520" w:lineRule="exact"/>
      <w:ind w:left="540" w:leftChars="257" w:right="-514"/>
    </w:pPr>
    <w:rPr>
      <w:rFonts w:ascii="宋体" w:hAnsi="宋体"/>
      <w:sz w:val="24"/>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33"/>
    <w:qFormat/>
    <w:uiPriority w:val="0"/>
    <w:pPr>
      <w:ind w:left="100" w:leftChars="2500"/>
    </w:pPr>
  </w:style>
  <w:style w:type="paragraph" w:styleId="33">
    <w:name w:val="Body Text Indent 2"/>
    <w:basedOn w:val="1"/>
    <w:link w:val="178"/>
    <w:qFormat/>
    <w:uiPriority w:val="0"/>
    <w:pPr>
      <w:spacing w:line="500" w:lineRule="exact"/>
      <w:ind w:firstLine="511" w:firstLineChars="213"/>
    </w:pPr>
    <w:rPr>
      <w:sz w:val="24"/>
    </w:rPr>
  </w:style>
  <w:style w:type="paragraph" w:styleId="34">
    <w:name w:val="Balloon Text"/>
    <w:basedOn w:val="1"/>
    <w:link w:val="151"/>
    <w:qFormat/>
    <w:uiPriority w:val="0"/>
    <w:rPr>
      <w:sz w:val="18"/>
      <w:szCs w:val="18"/>
    </w:rPr>
  </w:style>
  <w:style w:type="paragraph" w:styleId="35">
    <w:name w:val="footer"/>
    <w:basedOn w:val="1"/>
    <w:link w:val="120"/>
    <w:qFormat/>
    <w:uiPriority w:val="0"/>
    <w:pPr>
      <w:tabs>
        <w:tab w:val="center" w:pos="4153"/>
        <w:tab w:val="right" w:pos="8306"/>
      </w:tabs>
      <w:snapToGrid w:val="0"/>
      <w:jc w:val="left"/>
    </w:pPr>
    <w:rPr>
      <w:sz w:val="18"/>
      <w:szCs w:val="18"/>
    </w:rPr>
  </w:style>
  <w:style w:type="paragraph" w:styleId="36">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8">
    <w:name w:val="toc 1"/>
    <w:basedOn w:val="1"/>
    <w:next w:val="1"/>
    <w:qFormat/>
    <w:uiPriority w:val="0"/>
  </w:style>
  <w:style w:type="paragraph" w:styleId="39">
    <w:name w:val="toc 4"/>
    <w:basedOn w:val="1"/>
    <w:next w:val="1"/>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qFormat/>
    <w:uiPriority w:val="0"/>
    <w:pPr>
      <w:ind w:left="200" w:hanging="200" w:hangingChars="200"/>
    </w:pPr>
  </w:style>
  <w:style w:type="paragraph" w:styleId="43">
    <w:name w:val="toc 6"/>
    <w:basedOn w:val="1"/>
    <w:next w:val="1"/>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146"/>
    <w:qFormat/>
    <w:uiPriority w:val="0"/>
    <w:pPr>
      <w:spacing w:line="500" w:lineRule="exact"/>
      <w:ind w:left="511" w:hanging="511" w:hangingChars="213"/>
    </w:pPr>
    <w:rPr>
      <w:sz w:val="24"/>
    </w:rPr>
  </w:style>
  <w:style w:type="paragraph" w:styleId="45">
    <w:name w:val="toc 2"/>
    <w:basedOn w:val="1"/>
    <w:next w:val="1"/>
    <w:qFormat/>
    <w:uiPriority w:val="0"/>
    <w:pPr>
      <w:ind w:left="420" w:leftChars="200"/>
    </w:pPr>
  </w:style>
  <w:style w:type="paragraph" w:styleId="46">
    <w:name w:val="toc 9"/>
    <w:basedOn w:val="1"/>
    <w:next w:val="1"/>
    <w:qFormat/>
    <w:uiPriority w:val="0"/>
    <w:pPr>
      <w:autoSpaceDE w:val="0"/>
      <w:autoSpaceDN w:val="0"/>
      <w:adjustRightInd w:val="0"/>
      <w:ind w:left="3360" w:leftChars="1600"/>
      <w:jc w:val="left"/>
    </w:pPr>
    <w:rPr>
      <w:kern w:val="0"/>
      <w:sz w:val="20"/>
      <w:szCs w:val="20"/>
    </w:rPr>
  </w:style>
  <w:style w:type="paragraph" w:styleId="47">
    <w:name w:val="Body Text 2"/>
    <w:basedOn w:val="1"/>
    <w:link w:val="198"/>
    <w:qFormat/>
    <w:uiPriority w:val="0"/>
    <w:pPr>
      <w:autoSpaceDE w:val="0"/>
      <w:autoSpaceDN w:val="0"/>
      <w:adjustRightInd w:val="0"/>
      <w:spacing w:after="120" w:line="480" w:lineRule="auto"/>
      <w:jc w:val="left"/>
    </w:pPr>
  </w:style>
  <w:style w:type="paragraph" w:styleId="4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1"/>
    <w:qFormat/>
    <w:uiPriority w:val="0"/>
    <w:pPr>
      <w:spacing w:before="240" w:after="60"/>
      <w:jc w:val="center"/>
      <w:outlineLvl w:val="0"/>
    </w:pPr>
    <w:rPr>
      <w:rFonts w:ascii="Cambria" w:hAnsi="Cambria"/>
      <w:b/>
      <w:bCs/>
      <w:sz w:val="32"/>
      <w:szCs w:val="32"/>
    </w:rPr>
  </w:style>
  <w:style w:type="paragraph" w:styleId="50">
    <w:name w:val="annotation subject"/>
    <w:basedOn w:val="19"/>
    <w:next w:val="19"/>
    <w:link w:val="96"/>
    <w:qFormat/>
    <w:uiPriority w:val="0"/>
    <w:rPr>
      <w:b/>
      <w:bCs/>
    </w:rPr>
  </w:style>
  <w:style w:type="paragraph" w:styleId="51">
    <w:name w:val="Body Text First Indent"/>
    <w:basedOn w:val="22"/>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52">
    <w:name w:val="Body Text First Indent 2"/>
    <w:basedOn w:val="23"/>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5"/>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0"/>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20"/>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6"/>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19"/>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1"/>
    <w:qFormat/>
    <w:uiPriority w:val="0"/>
  </w:style>
  <w:style w:type="character" w:customStyle="1" w:styleId="96">
    <w:name w:val="批注主题 Char"/>
    <w:link w:val="50"/>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5"/>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9"/>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49"/>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5"/>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5"/>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3"/>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5"/>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5"/>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4"/>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18"/>
    <w:qFormat/>
    <w:uiPriority w:val="0"/>
    <w:rPr>
      <w:rFonts w:eastAsia="宋体"/>
      <w:kern w:val="2"/>
      <w:sz w:val="21"/>
      <w:szCs w:val="24"/>
      <w:lang w:val="en-US" w:eastAsia="zh-CN" w:bidi="ar-SA"/>
    </w:rPr>
  </w:style>
  <w:style w:type="character" w:customStyle="1" w:styleId="132">
    <w:name w:val="标题 5 Char"/>
    <w:link w:val="7"/>
    <w:qFormat/>
    <w:uiPriority w:val="0"/>
    <w:rPr>
      <w:rFonts w:eastAsia="宋体"/>
      <w:b/>
      <w:bCs/>
      <w:sz w:val="28"/>
      <w:szCs w:val="28"/>
      <w:lang w:bidi="ar-SA"/>
    </w:rPr>
  </w:style>
  <w:style w:type="character" w:customStyle="1" w:styleId="133">
    <w:name w:val="日期 Char"/>
    <w:link w:val="32"/>
    <w:qFormat/>
    <w:uiPriority w:val="0"/>
    <w:rPr>
      <w:rFonts w:eastAsia="宋体"/>
      <w:kern w:val="2"/>
      <w:sz w:val="21"/>
      <w:szCs w:val="24"/>
      <w:lang w:val="en-US" w:eastAsia="zh-CN" w:bidi="ar-SA"/>
    </w:rPr>
  </w:style>
  <w:style w:type="character" w:customStyle="1" w:styleId="134">
    <w:name w:val="副标题 Char"/>
    <w:link w:val="40"/>
    <w:qFormat/>
    <w:uiPriority w:val="0"/>
    <w:rPr>
      <w:rFonts w:ascii="Cambria" w:hAnsi="Cambria" w:eastAsia="宋体"/>
      <w:b/>
      <w:bCs/>
      <w:kern w:val="28"/>
      <w:sz w:val="32"/>
      <w:szCs w:val="32"/>
      <w:lang w:val="en-US" w:eastAsia="zh-CN" w:bidi="ar-SA"/>
    </w:rPr>
  </w:style>
  <w:style w:type="character" w:customStyle="1" w:styleId="135">
    <w:name w:val="页眉 Char"/>
    <w:link w:val="36"/>
    <w:qFormat/>
    <w:uiPriority w:val="0"/>
    <w:rPr>
      <w:rFonts w:eastAsia="宋体"/>
      <w:kern w:val="2"/>
      <w:sz w:val="18"/>
      <w:szCs w:val="18"/>
      <w:lang w:val="en-US" w:eastAsia="zh-CN" w:bidi="ar-SA"/>
    </w:rPr>
  </w:style>
  <w:style w:type="character" w:customStyle="1" w:styleId="136">
    <w:name w:val="style13"/>
    <w:basedOn w:val="55"/>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3"/>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4"/>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2"/>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4"/>
    <w:qFormat/>
    <w:uiPriority w:val="0"/>
    <w:rPr>
      <w:rFonts w:eastAsia="宋体"/>
      <w:kern w:val="2"/>
      <w:sz w:val="18"/>
      <w:szCs w:val="18"/>
      <w:lang w:val="en-US" w:eastAsia="zh-CN" w:bidi="ar-SA"/>
    </w:rPr>
  </w:style>
  <w:style w:type="character" w:customStyle="1" w:styleId="152">
    <w:name w:val="标题 3 Char"/>
    <w:link w:val="6"/>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7"/>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2"/>
    <w:qFormat/>
    <w:uiPriority w:val="0"/>
    <w:rPr>
      <w:rFonts w:ascii="Arial" w:hAnsi="Arial" w:eastAsia="黑体"/>
      <w:kern w:val="2"/>
      <w:sz w:val="21"/>
      <w:lang w:val="en-US" w:eastAsia="zh-CN" w:bidi="ar-SA"/>
    </w:rPr>
  </w:style>
  <w:style w:type="character" w:customStyle="1" w:styleId="164">
    <w:name w:val="正文文本 Char"/>
    <w:link w:val="22"/>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8"/>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1"/>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3"/>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29"/>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51"/>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5"/>
    <w:link w:val="47"/>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8"/>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3"/>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9"/>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9"/>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5"/>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2"/>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2"/>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列表编号1"/>
    <w:basedOn w:val="15"/>
    <w:qFormat/>
    <w:uiPriority w:val="0"/>
    <w:pPr>
      <w:numPr>
        <w:ilvl w:val="0"/>
        <w:numId w:val="2"/>
      </w:numPr>
      <w:adjustRightInd w:val="0"/>
      <w:snapToGrid w:val="0"/>
      <w:contextualSpacing w:val="0"/>
      <w:jc w:val="center"/>
    </w:pPr>
    <w:rPr>
      <w:rFonts w:eastAsia="微软雅黑"/>
      <w:sz w:val="24"/>
    </w:rPr>
  </w:style>
  <w:style w:type="paragraph" w:customStyle="1" w:styleId="342">
    <w:name w:val="列表编号2"/>
    <w:basedOn w:val="14"/>
    <w:next w:val="14"/>
    <w:qFormat/>
    <w:uiPriority w:val="0"/>
    <w:pPr>
      <w:numPr>
        <w:ilvl w:val="1"/>
        <w:numId w:val="2"/>
      </w:numPr>
      <w:adjustRightInd w:val="0"/>
      <w:snapToGrid w:val="0"/>
      <w:contextualSpacing w:val="0"/>
      <w:jc w:val="center"/>
    </w:pPr>
    <w:rPr>
      <w:rFonts w:eastAsia="微软雅黑"/>
      <w:sz w:val="24"/>
    </w:rPr>
  </w:style>
  <w:style w:type="paragraph" w:customStyle="1" w:styleId="343">
    <w:name w:val="列表段落2"/>
    <w:basedOn w:val="1"/>
    <w:next w:val="14"/>
    <w:qFormat/>
    <w:uiPriority w:val="99"/>
    <w:pPr>
      <w:widowControl/>
      <w:numPr>
        <w:ilvl w:val="1"/>
        <w:numId w:val="3"/>
      </w:numPr>
      <w:jc w:val="center"/>
    </w:pPr>
    <w:rPr>
      <w:rFonts w:ascii="宋体" w:hAnsi="宋体" w:eastAsia="宋体" w:cs="宋体"/>
      <w:kern w:val="0"/>
      <w:sz w:val="24"/>
      <w:szCs w:val="24"/>
    </w:rPr>
  </w:style>
  <w:style w:type="paragraph" w:customStyle="1" w:styleId="344">
    <w:name w:val="样式 正文缩进 + 首行缩进:  2 字符"/>
    <w:basedOn w:val="9"/>
    <w:qFormat/>
    <w:uiPriority w:val="0"/>
    <w:pPr>
      <w:spacing w:line="360" w:lineRule="auto"/>
      <w:ind w:firstLine="200"/>
    </w:pPr>
    <w:rPr>
      <w:rFonts w:ascii="Times New Roman" w:hAnsi="Times New Roman" w:eastAsia="仿宋" w:cs="Times New Roman"/>
      <w:sz w:val="24"/>
      <w:szCs w:val="20"/>
    </w:rPr>
  </w:style>
  <w:style w:type="paragraph" w:customStyle="1" w:styleId="34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66</Pages>
  <Words>32554</Words>
  <Characters>33902</Characters>
  <Lines>322</Lines>
  <Paragraphs>90</Paragraphs>
  <TotalTime>0</TotalTime>
  <ScaleCrop>false</ScaleCrop>
  <LinksUpToDate>false</LinksUpToDate>
  <CharactersWithSpaces>36843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巴西</cp:lastModifiedBy>
  <cp:lastPrinted>2021-03-22T07:00:00Z</cp:lastPrinted>
  <dcterms:modified xsi:type="dcterms:W3CDTF">2022-11-23T02:22:09Z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BC1BA64C697642BF92F420CC9F67FF35</vt:lpwstr>
  </property>
</Properties>
</file>