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宋体" w:hAnsi="宋体" w:eastAsia="宋体" w:cs="宋体"/>
          <w:b/>
          <w:bCs/>
          <w:color w:val="auto"/>
          <w:spacing w:val="120"/>
          <w:sz w:val="52"/>
          <w:szCs w:val="52"/>
          <w:highlight w:val="none"/>
        </w:rPr>
      </w:pPr>
    </w:p>
    <w:p>
      <w:pPr>
        <w:jc w:val="center"/>
        <w:rPr>
          <w:rFonts w:hint="eastAsia" w:ascii="宋体" w:hAnsi="宋体" w:eastAsia="宋体" w:cs="宋体"/>
          <w:b/>
          <w:bCs/>
          <w:color w:val="auto"/>
          <w:sz w:val="52"/>
          <w:szCs w:val="52"/>
          <w:highlight w:val="none"/>
        </w:rPr>
      </w:pPr>
      <w:r>
        <w:rPr>
          <w:rFonts w:hint="eastAsia" w:ascii="宋体" w:hAnsi="宋体" w:eastAsia="宋体" w:cs="宋体"/>
          <w:color w:val="auto"/>
          <w:spacing w:val="20"/>
          <w:sz w:val="84"/>
          <w:highlight w:val="none"/>
        </w:rPr>
        <w:t>温州市政府（分散）采购</w:t>
      </w:r>
    </w:p>
    <w:p>
      <w:pPr>
        <w:jc w:val="center"/>
        <w:rPr>
          <w:rFonts w:hint="eastAsia" w:ascii="宋体" w:hAnsi="宋体" w:eastAsia="宋体" w:cs="宋体"/>
          <w:b/>
          <w:bCs/>
          <w:i/>
          <w:iCs/>
          <w:color w:val="auto"/>
          <w:spacing w:val="26"/>
          <w:sz w:val="52"/>
          <w:highlight w:val="none"/>
        </w:rPr>
      </w:pPr>
    </w:p>
    <w:p>
      <w:pPr>
        <w:ind w:firstLine="2357" w:firstLineChars="235"/>
        <w:rPr>
          <w:rFonts w:hint="eastAsia" w:ascii="宋体" w:hAnsi="宋体" w:eastAsia="宋体" w:cs="宋体"/>
          <w:b/>
          <w:bCs/>
          <w:color w:val="auto"/>
          <w:spacing w:val="140"/>
          <w:sz w:val="72"/>
          <w:highlight w:val="none"/>
        </w:rPr>
      </w:pPr>
    </w:p>
    <w:p>
      <w:pPr>
        <w:adjustRightInd w:val="0"/>
        <w:snapToGrid w:val="0"/>
        <w:spacing w:line="480" w:lineRule="auto"/>
        <w:ind w:right="361"/>
        <w:jc w:val="center"/>
        <w:rPr>
          <w:rFonts w:hint="eastAsia" w:ascii="宋体" w:hAnsi="宋体" w:eastAsia="宋体" w:cs="宋体"/>
          <w:b w:val="0"/>
          <w:bCs w:val="0"/>
          <w:color w:val="auto"/>
          <w:sz w:val="72"/>
          <w:szCs w:val="72"/>
          <w:highlight w:val="none"/>
        </w:rPr>
      </w:pPr>
      <w:r>
        <w:rPr>
          <w:rFonts w:hint="eastAsia" w:ascii="宋体" w:hAnsi="宋体" w:eastAsia="宋体" w:cs="宋体"/>
          <w:b w:val="0"/>
          <w:bCs w:val="0"/>
          <w:color w:val="auto"/>
          <w:sz w:val="72"/>
          <w:szCs w:val="72"/>
          <w:highlight w:val="none"/>
        </w:rPr>
        <w:t>招 标 文 件</w:t>
      </w:r>
    </w:p>
    <w:tbl>
      <w:tblPr>
        <w:tblStyle w:val="53"/>
        <w:tblW w:w="0" w:type="auto"/>
        <w:tblInd w:w="9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0"/>
        <w:gridCol w:w="5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项 目 编 号</w:t>
            </w:r>
            <w:r>
              <w:rPr>
                <w:rFonts w:hint="eastAsia" w:ascii="宋体" w:hAnsi="宋体" w:eastAsia="宋体" w:cs="宋体"/>
                <w:b w:val="0"/>
                <w:bCs w:val="0"/>
                <w:color w:val="auto"/>
                <w:spacing w:val="40"/>
                <w:sz w:val="28"/>
                <w:highlight w:val="none"/>
              </w:rPr>
              <w:t>：</w:t>
            </w:r>
          </w:p>
        </w:tc>
        <w:tc>
          <w:tcPr>
            <w:tcW w:w="5730" w:type="dxa"/>
            <w:vAlign w:val="center"/>
          </w:tcPr>
          <w:p>
            <w:pPr>
              <w:spacing w:line="700" w:lineRule="exact"/>
              <w:jc w:val="center"/>
              <w:rPr>
                <w:rFonts w:hint="eastAsia" w:ascii="宋体" w:hAnsi="宋体" w:eastAsia="宋体" w:cs="宋体"/>
                <w:b w:val="0"/>
                <w:bCs w:val="0"/>
                <w:color w:val="auto"/>
                <w:sz w:val="24"/>
                <w:highlight w:val="none"/>
                <w:vertAlign w:val="baseline"/>
                <w:lang w:eastAsia="zh-CN"/>
              </w:rPr>
            </w:pPr>
            <w:r>
              <w:rPr>
                <w:rFonts w:hint="eastAsia" w:ascii="宋体" w:hAnsi="宋体" w:cs="宋体"/>
                <w:b w:val="0"/>
                <w:bCs w:val="0"/>
                <w:color w:val="auto"/>
                <w:sz w:val="30"/>
                <w:szCs w:val="30"/>
                <w:highlight w:val="none"/>
                <w:lang w:eastAsia="zh-CN"/>
              </w:rPr>
              <w:t>WZLCZB（W）-2021-04045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项 目 名 称：</w:t>
            </w:r>
          </w:p>
        </w:tc>
        <w:tc>
          <w:tcPr>
            <w:tcW w:w="573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cs="宋体"/>
                <w:b w:val="0"/>
                <w:bCs w:val="0"/>
                <w:color w:val="auto"/>
                <w:sz w:val="30"/>
                <w:szCs w:val="30"/>
                <w:highlight w:val="none"/>
                <w:lang w:eastAsia="zh-CN"/>
              </w:rPr>
              <w:t>2021年温州市市本级路灯设施维护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采 购 方 式：</w:t>
            </w:r>
          </w:p>
        </w:tc>
        <w:tc>
          <w:tcPr>
            <w:tcW w:w="573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公开招标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评 审 方 式：</w:t>
            </w:r>
          </w:p>
        </w:tc>
        <w:tc>
          <w:tcPr>
            <w:tcW w:w="5730" w:type="dxa"/>
            <w:vAlign w:val="center"/>
          </w:tcPr>
          <w:p>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线上电子招投标</w:t>
            </w:r>
          </w:p>
        </w:tc>
      </w:tr>
    </w:tbl>
    <w:p>
      <w:pPr>
        <w:spacing w:line="700" w:lineRule="exact"/>
        <w:ind w:firstLine="723" w:firstLineChars="300"/>
        <w:jc w:val="left"/>
        <w:rPr>
          <w:rFonts w:hint="eastAsia" w:ascii="宋体" w:hAnsi="宋体" w:eastAsia="宋体" w:cs="宋体"/>
          <w:b/>
          <w:bCs/>
          <w:color w:val="auto"/>
          <w:sz w:val="24"/>
          <w:highlight w:val="none"/>
        </w:rPr>
      </w:pPr>
    </w:p>
    <w:p>
      <w:pPr>
        <w:spacing w:line="700" w:lineRule="exact"/>
        <w:ind w:firstLine="904" w:firstLineChars="300"/>
        <w:jc w:val="left"/>
        <w:rPr>
          <w:rFonts w:hint="eastAsia" w:ascii="宋体" w:hAnsi="宋体" w:eastAsia="宋体" w:cs="宋体"/>
          <w:b/>
          <w:color w:val="auto"/>
          <w:spacing w:val="40"/>
          <w:sz w:val="30"/>
          <w:szCs w:val="30"/>
          <w:highlight w:val="none"/>
        </w:rPr>
      </w:pPr>
      <w:r>
        <w:rPr>
          <w:rFonts w:hint="eastAsia" w:ascii="宋体" w:hAnsi="宋体" w:eastAsia="宋体" w:cs="宋体"/>
          <w:b/>
          <w:bCs/>
          <w:color w:val="auto"/>
          <w:sz w:val="30"/>
          <w:szCs w:val="30"/>
          <w:highlight w:val="none"/>
          <w:lang w:eastAsia="zh-CN"/>
        </w:rPr>
        <w:t xml:space="preserve">   </w:t>
      </w:r>
      <w:r>
        <w:rPr>
          <w:rFonts w:hint="eastAsia" w:ascii="宋体" w:hAnsi="宋体" w:eastAsia="宋体" w:cs="宋体"/>
          <w:b/>
          <w:bCs/>
          <w:color w:val="auto"/>
          <w:sz w:val="30"/>
          <w:szCs w:val="30"/>
          <w:highlight w:val="none"/>
        </w:rPr>
        <w:t xml:space="preserve">  </w:t>
      </w:r>
    </w:p>
    <w:p>
      <w:pPr>
        <w:spacing w:line="700" w:lineRule="exact"/>
        <w:ind w:left="3802" w:leftChars="540" w:hanging="2668" w:hangingChars="700"/>
        <w:rPr>
          <w:rFonts w:hint="eastAsia" w:ascii="宋体" w:hAnsi="宋体" w:eastAsia="宋体" w:cs="宋体"/>
          <w:b/>
          <w:color w:val="auto"/>
          <w:spacing w:val="40"/>
          <w:sz w:val="30"/>
          <w:szCs w:val="30"/>
          <w:highlight w:val="none"/>
        </w:rPr>
      </w:pPr>
    </w:p>
    <w:p>
      <w:pPr>
        <w:keepNext/>
        <w:spacing w:line="700" w:lineRule="exact"/>
        <w:rPr>
          <w:rFonts w:hint="eastAsia" w:ascii="宋体" w:hAnsi="宋体" w:eastAsia="宋体" w:cs="宋体"/>
          <w:color w:val="auto"/>
          <w:spacing w:val="40"/>
          <w:sz w:val="30"/>
          <w:szCs w:val="30"/>
          <w:highlight w:val="none"/>
        </w:rPr>
      </w:pPr>
      <w:r>
        <w:rPr>
          <w:rFonts w:hint="eastAsia" w:ascii="宋体" w:hAnsi="宋体" w:eastAsia="宋体" w:cs="宋体"/>
          <w:b/>
          <w:color w:val="auto"/>
          <w:spacing w:val="40"/>
          <w:sz w:val="30"/>
          <w:szCs w:val="30"/>
          <w:highlight w:val="none"/>
        </w:rPr>
        <w:t xml:space="preserve">    </w:t>
      </w:r>
    </w:p>
    <w:p>
      <w:pPr>
        <w:spacing w:line="600" w:lineRule="exact"/>
        <w:jc w:val="center"/>
        <w:rPr>
          <w:rFonts w:hint="eastAsia" w:ascii="宋体" w:hAnsi="宋体" w:eastAsia="宋体" w:cs="宋体"/>
          <w:color w:val="auto"/>
          <w:spacing w:val="30"/>
          <w:sz w:val="30"/>
          <w:highlight w:val="none"/>
          <w:lang w:eastAsia="zh-CN"/>
        </w:rPr>
      </w:pPr>
      <w:r>
        <w:rPr>
          <w:rFonts w:hint="eastAsia" w:ascii="宋体" w:hAnsi="宋体" w:eastAsia="宋体" w:cs="宋体"/>
          <w:color w:val="auto"/>
          <w:spacing w:val="30"/>
          <w:sz w:val="30"/>
          <w:highlight w:val="none"/>
        </w:rPr>
        <w:t>招 标 人:</w:t>
      </w:r>
      <w:r>
        <w:rPr>
          <w:rFonts w:hint="eastAsia" w:ascii="宋体" w:hAnsi="宋体" w:cs="宋体"/>
          <w:color w:val="auto"/>
          <w:spacing w:val="30"/>
          <w:sz w:val="30"/>
          <w:highlight w:val="none"/>
          <w:lang w:val="en-US" w:eastAsia="zh-CN"/>
        </w:rPr>
        <w:t xml:space="preserve">  </w:t>
      </w:r>
      <w:r>
        <w:rPr>
          <w:rFonts w:hint="eastAsia" w:ascii="宋体" w:hAnsi="宋体" w:cs="宋体"/>
          <w:color w:val="auto"/>
          <w:spacing w:val="30"/>
          <w:sz w:val="30"/>
          <w:highlight w:val="none"/>
          <w:lang w:eastAsia="zh-CN"/>
        </w:rPr>
        <w:t>温州市市政管理中心</w:t>
      </w:r>
    </w:p>
    <w:p>
      <w:pPr>
        <w:spacing w:line="600" w:lineRule="exact"/>
        <w:jc w:val="center"/>
        <w:rPr>
          <w:rFonts w:hint="eastAsia" w:ascii="宋体" w:hAnsi="宋体" w:eastAsia="宋体" w:cs="宋体"/>
          <w:color w:val="auto"/>
          <w:spacing w:val="30"/>
          <w:sz w:val="30"/>
          <w:highlight w:val="none"/>
        </w:rPr>
      </w:pPr>
      <w:r>
        <w:rPr>
          <w:rFonts w:hint="eastAsia" w:ascii="宋体" w:hAnsi="宋体" w:eastAsia="宋体" w:cs="宋体"/>
          <w:color w:val="auto"/>
          <w:spacing w:val="30"/>
          <w:sz w:val="30"/>
          <w:highlight w:val="none"/>
        </w:rPr>
        <w:t>招标代理机构：温州历程招标有限公司</w:t>
      </w:r>
    </w:p>
    <w:p>
      <w:pPr>
        <w:spacing w:line="600" w:lineRule="exact"/>
        <w:jc w:val="center"/>
        <w:rPr>
          <w:rFonts w:hint="eastAsia" w:ascii="宋体" w:hAnsi="宋体" w:eastAsia="宋体" w:cs="宋体"/>
          <w:color w:val="auto"/>
          <w:spacing w:val="30"/>
          <w:sz w:val="30"/>
          <w:highlight w:val="none"/>
        </w:rPr>
      </w:pPr>
      <w:r>
        <w:rPr>
          <w:rFonts w:hint="eastAsia" w:ascii="宋体" w:hAnsi="宋体" w:eastAsia="宋体" w:cs="宋体"/>
          <w:color w:val="auto"/>
          <w:spacing w:val="30"/>
          <w:sz w:val="30"/>
          <w:highlight w:val="none"/>
        </w:rPr>
        <w:t>二0二</w:t>
      </w:r>
      <w:r>
        <w:rPr>
          <w:rFonts w:hint="eastAsia" w:ascii="宋体" w:hAnsi="宋体" w:eastAsia="宋体" w:cs="宋体"/>
          <w:color w:val="auto"/>
          <w:spacing w:val="30"/>
          <w:sz w:val="30"/>
          <w:highlight w:val="none"/>
          <w:lang w:val="en-US" w:eastAsia="zh-CN"/>
        </w:rPr>
        <w:t>一</w:t>
      </w:r>
      <w:r>
        <w:rPr>
          <w:rFonts w:hint="eastAsia" w:ascii="宋体" w:hAnsi="宋体" w:eastAsia="宋体" w:cs="宋体"/>
          <w:color w:val="auto"/>
          <w:spacing w:val="30"/>
          <w:sz w:val="30"/>
          <w:highlight w:val="none"/>
        </w:rPr>
        <w:t>年</w:t>
      </w:r>
      <w:r>
        <w:rPr>
          <w:rFonts w:hint="eastAsia" w:ascii="宋体" w:hAnsi="宋体" w:cs="宋体"/>
          <w:color w:val="auto"/>
          <w:spacing w:val="30"/>
          <w:sz w:val="30"/>
          <w:highlight w:val="none"/>
          <w:lang w:val="en-US" w:eastAsia="zh-CN"/>
        </w:rPr>
        <w:t>五</w:t>
      </w:r>
      <w:r>
        <w:rPr>
          <w:rFonts w:hint="eastAsia" w:ascii="宋体" w:hAnsi="宋体" w:eastAsia="宋体" w:cs="宋体"/>
          <w:color w:val="auto"/>
          <w:spacing w:val="30"/>
          <w:sz w:val="30"/>
          <w:highlight w:val="none"/>
        </w:rPr>
        <w:t>月</w:t>
      </w:r>
    </w:p>
    <w:p>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keepNext/>
        <w:keepLines/>
        <w:pageBreakBefore w:val="0"/>
        <w:widowControl w:val="0"/>
        <w:kinsoku/>
        <w:wordWrap/>
        <w:overflowPunct/>
        <w:topLinePunct w:val="0"/>
        <w:autoSpaceDE/>
        <w:autoSpaceDN/>
        <w:bidi w:val="0"/>
        <w:adjustRightInd/>
        <w:snapToGrid/>
        <w:textAlignment w:val="auto"/>
        <w:outlineLvl w:val="9"/>
        <w:rPr>
          <w:rFonts w:hint="eastAsia"/>
          <w:color w:val="auto"/>
          <w:highlight w:val="none"/>
        </w:rPr>
      </w:pPr>
    </w:p>
    <w:sdt>
      <w:sdtPr>
        <w:rPr>
          <w:rFonts w:hint="eastAsia" w:ascii="宋体" w:hAnsi="宋体" w:eastAsia="宋体" w:cs="宋体"/>
          <w:color w:val="auto"/>
          <w:kern w:val="2"/>
          <w:sz w:val="21"/>
          <w:szCs w:val="24"/>
          <w:highlight w:val="none"/>
          <w:lang w:val="en-US" w:eastAsia="zh-CN" w:bidi="ar-SA"/>
        </w:rPr>
        <w:id w:val="147459729"/>
        <w15:color w:val="DBDBDB"/>
        <w:docPartObj>
          <w:docPartGallery w:val="Table of Contents"/>
          <w:docPartUnique/>
        </w:docPartObj>
      </w:sdtPr>
      <w:sdtEndPr>
        <w:rPr>
          <w:rFonts w:hint="eastAsia" w:ascii="宋体" w:hAnsi="宋体" w:eastAsia="宋体" w:cs="宋体"/>
          <w:color w:val="auto"/>
          <w:kern w:val="2"/>
          <w:sz w:val="21"/>
          <w:szCs w:val="36"/>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p>
        <w:p>
          <w:pPr>
            <w:pStyle w:val="37"/>
            <w:tabs>
              <w:tab w:val="right" w:leader="dot" w:pos="9638"/>
            </w:tabs>
            <w:jc w:val="cente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目  录</w:t>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b/>
              <w:color w:val="auto"/>
              <w:sz w:val="36"/>
              <w:szCs w:val="36"/>
              <w:highlight w:val="none"/>
            </w:rPr>
            <w:fldChar w:fldCharType="begin"/>
          </w:r>
          <w:r>
            <w:rPr>
              <w:rFonts w:hint="eastAsia" w:ascii="宋体" w:hAnsi="宋体" w:eastAsia="宋体" w:cs="宋体"/>
              <w:b/>
              <w:color w:val="auto"/>
              <w:sz w:val="36"/>
              <w:szCs w:val="36"/>
              <w:highlight w:val="none"/>
            </w:rPr>
            <w:instrText xml:space="preserve">TOC \o "1-3" \h \u </w:instrText>
          </w:r>
          <w:r>
            <w:rPr>
              <w:rFonts w:hint="eastAsia" w:ascii="宋体" w:hAnsi="宋体" w:eastAsia="宋体" w:cs="宋体"/>
              <w:b/>
              <w:color w:val="auto"/>
              <w:sz w:val="36"/>
              <w:szCs w:val="36"/>
              <w:highlight w:val="none"/>
            </w:rPr>
            <w:fldChar w:fldCharType="separate"/>
          </w: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_Toc30205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招</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标</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公</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_Toc30205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_Toc1697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第一部分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_Toc1697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_Toc24588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highlight w:val="none"/>
            </w:rPr>
            <w:t>前 附 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_Toc24588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_Toc8506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6"/>
              <w:highlight w:val="none"/>
            </w:rPr>
            <w:t>一、 说   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_Toc8506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_Toc26381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6"/>
              <w:highlight w:val="none"/>
            </w:rPr>
            <w:t>二、 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_Toc26381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_Toc25707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6"/>
              <w:highlight w:val="none"/>
            </w:rPr>
            <w:t>三、 投标文件的编制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_Toc25707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_Toc32512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2"/>
              <w:highlight w:val="none"/>
            </w:rPr>
            <w:t>四、 投标文件的递交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_Toc32512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_Toc14760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2"/>
              <w:highlight w:val="none"/>
            </w:rPr>
            <w:t>五、 开标和评标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_Toc14760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_Toc25388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6"/>
              <w:highlight w:val="none"/>
            </w:rPr>
            <w:t>六、 授予合同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_Toc12315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第二部分 合同主要条款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_Toc12315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_Toc11024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第三部分 附件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_Toc11024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_Toc6743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附件一</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2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_Toc23482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8"/>
              <w:highlight w:val="none"/>
            </w:rPr>
            <w:t>报价文件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_Toc6876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附件二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_Toc6876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2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_Toc200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8"/>
              <w:highlight w:val="none"/>
            </w:rPr>
            <w:t>资格证明文件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_Toc7547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2"/>
              <w:highlight w:val="none"/>
            </w:rPr>
            <w:t>附件三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_Toc7547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2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_Toc29359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8"/>
              <w:highlight w:val="none"/>
              <w:lang w:val="zh-CN"/>
            </w:rPr>
            <w:t>商务技术文件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_Toc29359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_Toc27930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第四部分 项目技术规范和服务要求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_Toc27930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88</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37"/>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_Toc23544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highlight w:val="none"/>
            </w:rPr>
            <w:t>第五部分 评标原则及方法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_Toc23544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_Toc20590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一、总 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_Toc23948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二、评标组织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_Toc23948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_Toc11679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三、评标程序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_Toc11679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_Toc29263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四、评标办法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_Toc29263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_Toc29685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五、 评分细则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_Toc29685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119</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_Toc29842 </w:instrText>
          </w:r>
          <w:r>
            <w:rPr>
              <w:rFonts w:hint="eastAsia" w:ascii="宋体" w:hAnsi="宋体" w:eastAsia="宋体" w:cs="宋体"/>
              <w:color w:val="auto"/>
              <w:szCs w:val="36"/>
              <w:highlight w:val="none"/>
            </w:rPr>
            <w:fldChar w:fldCharType="separate"/>
          </w:r>
          <w:r>
            <w:rPr>
              <w:rFonts w:hint="eastAsia" w:ascii="宋体" w:hAnsi="宋体" w:eastAsia="宋体" w:cs="宋体"/>
              <w:bCs/>
              <w:color w:val="auto"/>
              <w:szCs w:val="22"/>
              <w:highlight w:val="none"/>
            </w:rPr>
            <w:t>六、定标办法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_Toc29842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123</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pStyle w:val="44"/>
            <w:tabs>
              <w:tab w:val="right" w:leader="dot" w:pos="9638"/>
            </w:tabs>
            <w:spacing w:line="360" w:lineRule="auto"/>
            <w:rPr>
              <w:rFonts w:hint="eastAsia" w:ascii="宋体" w:hAnsi="宋体" w:eastAsia="宋体" w:cs="宋体"/>
              <w:color w:val="auto"/>
              <w:highlight w:val="none"/>
            </w:rPr>
          </w:pPr>
          <w:r>
            <w:rPr>
              <w:rFonts w:hint="eastAsia" w:ascii="宋体" w:hAnsi="宋体" w:eastAsia="宋体" w:cs="宋体"/>
              <w:color w:val="auto"/>
              <w:szCs w:val="36"/>
              <w:highlight w:val="none"/>
            </w:rPr>
            <w:fldChar w:fldCharType="begin"/>
          </w:r>
          <w:r>
            <w:rPr>
              <w:rFonts w:hint="eastAsia" w:ascii="宋体" w:hAnsi="宋体" w:eastAsia="宋体" w:cs="宋体"/>
              <w:color w:val="auto"/>
              <w:szCs w:val="36"/>
              <w:highlight w:val="none"/>
            </w:rPr>
            <w:instrText xml:space="preserve"> HYPERLINK \l _Toc17404 </w:instrText>
          </w:r>
          <w:r>
            <w:rPr>
              <w:rFonts w:hint="eastAsia" w:ascii="宋体" w:hAnsi="宋体" w:eastAsia="宋体" w:cs="宋体"/>
              <w:color w:val="auto"/>
              <w:szCs w:val="36"/>
              <w:highlight w:val="none"/>
            </w:rPr>
            <w:fldChar w:fldCharType="separate"/>
          </w:r>
          <w:r>
            <w:rPr>
              <w:rFonts w:hint="eastAsia" w:ascii="宋体" w:hAnsi="宋体" w:eastAsia="宋体" w:cs="宋体"/>
              <w:color w:val="auto"/>
              <w:szCs w:val="22"/>
              <w:highlight w:val="none"/>
            </w:rPr>
            <w:t>七、投标人义务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_Toc17404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123</w:t>
          </w:r>
          <w:r>
            <w:rPr>
              <w:rFonts w:hint="eastAsia" w:ascii="宋体" w:hAnsi="宋体" w:eastAsia="宋体" w:cs="宋体"/>
              <w:color w:val="auto"/>
              <w:highlight w:val="none"/>
            </w:rPr>
            <w:fldChar w:fldCharType="end"/>
          </w:r>
          <w:r>
            <w:rPr>
              <w:rFonts w:hint="eastAsia" w:ascii="宋体" w:hAnsi="宋体" w:eastAsia="宋体" w:cs="宋体"/>
              <w:color w:val="auto"/>
              <w:szCs w:val="36"/>
              <w:highlight w:val="none"/>
            </w:rPr>
            <w:fldChar w:fldCharType="end"/>
          </w:r>
        </w:p>
        <w:p>
          <w:pPr>
            <w:spacing w:line="360" w:lineRule="auto"/>
            <w:ind w:firstLine="1785" w:firstLineChars="850"/>
            <w:rPr>
              <w:rFonts w:hint="eastAsia" w:ascii="宋体" w:hAnsi="宋体" w:eastAsia="宋体" w:cs="宋体"/>
              <w:b/>
              <w:color w:val="auto"/>
              <w:sz w:val="36"/>
              <w:szCs w:val="36"/>
              <w:highlight w:val="none"/>
            </w:rPr>
          </w:pPr>
          <w:r>
            <w:rPr>
              <w:rFonts w:hint="eastAsia" w:ascii="宋体" w:hAnsi="宋体" w:eastAsia="宋体" w:cs="宋体"/>
              <w:color w:val="auto"/>
              <w:szCs w:val="36"/>
              <w:highlight w:val="none"/>
            </w:rPr>
            <w:fldChar w:fldCharType="end"/>
          </w:r>
        </w:p>
      </w:sdtContent>
    </w:sdt>
    <w:p>
      <w:pPr>
        <w:pStyle w:val="4"/>
        <w:bidi w:val="0"/>
        <w:rPr>
          <w:rFonts w:hint="eastAsia" w:ascii="宋体" w:hAnsi="宋体" w:eastAsia="宋体" w:cs="宋体"/>
          <w:b/>
          <w:color w:val="auto"/>
          <w:highlight w:val="none"/>
        </w:rPr>
      </w:pPr>
      <w:bookmarkStart w:id="0" w:name="_Toc32649"/>
      <w:bookmarkStart w:id="1" w:name="_Toc30205"/>
      <w:r>
        <w:rPr>
          <w:rFonts w:hint="eastAsia" w:ascii="宋体" w:hAnsi="宋体" w:eastAsia="宋体" w:cs="宋体"/>
          <w:color w:val="auto"/>
          <w:highlight w:val="none"/>
        </w:rPr>
        <w:t>招</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标</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公</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告</w:t>
      </w:r>
      <w:bookmarkEnd w:id="0"/>
      <w:bookmarkEnd w:id="1"/>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color w:val="auto"/>
        </w:rPr>
      </w:pPr>
      <w:r>
        <w:rPr>
          <w:b/>
          <w:bCs/>
          <w:color w:val="auto"/>
          <w:sz w:val="22"/>
        </w:rPr>
        <mc:AlternateContent>
          <mc:Choice Requires="wps">
            <w:drawing>
              <wp:anchor distT="0" distB="0" distL="114300" distR="114300" simplePos="0" relativeHeight="251670528" behindDoc="0" locked="0" layoutInCell="1" allowOverlap="1">
                <wp:simplePos x="0" y="0"/>
                <wp:positionH relativeFrom="column">
                  <wp:posOffset>-194310</wp:posOffset>
                </wp:positionH>
                <wp:positionV relativeFrom="paragraph">
                  <wp:posOffset>160020</wp:posOffset>
                </wp:positionV>
                <wp:extent cx="6499225" cy="1194435"/>
                <wp:effectExtent l="6350" t="6350" r="9525" b="18415"/>
                <wp:wrapNone/>
                <wp:docPr id="16" name="矩形 16"/>
                <wp:cNvGraphicFramePr/>
                <a:graphic xmlns:a="http://schemas.openxmlformats.org/drawingml/2006/main">
                  <a:graphicData uri="http://schemas.microsoft.com/office/word/2010/wordprocessingShape">
                    <wps:wsp>
                      <wps:cNvSpPr/>
                      <wps:spPr>
                        <a:xfrm>
                          <a:off x="0" y="0"/>
                          <a:ext cx="6499225" cy="1194435"/>
                        </a:xfrm>
                        <a:prstGeom prst="rect">
                          <a:avLst/>
                        </a:prstGeom>
                        <a:no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5.3pt;margin-top:12.6pt;height:94.05pt;width:511.75pt;z-index:251670528;v-text-anchor:middle;mso-width-relative:page;mso-height-relative:page;" filled="f" stroked="t" coordsize="21600,21600" o:gfxdata="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o3OqNkAAAAKAQAADwAAAAAAAAABACAAAAAiAAAA&#10;ZHJzL2Rvd25yZXYueG1sUEsBAhQAFAAAAAgAh07iQPrLy5sGAgAAFAQAAA4AAAAAAAAAAQAgAAAA&#10;KAEAAGRycy9lMm9Eb2MueG1sUEsFBgAAAAAGAAYAWQEAAKAFAAAAAA==&#10;">
                <v:fill on="f" focussize="0,0"/>
                <v:stroke weight="1pt" color="#000000" joinstyle="round"/>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b/>
          <w:bCs/>
          <w:color w:val="auto"/>
        </w:rPr>
        <w:t xml:space="preserve">项目概况 </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2021年温州市市本级路灯设施维护招标项目的潜在投标人应在“政府采购云平台”在线获取获取（下载）招标文件，并于 2021年</w:t>
      </w:r>
      <w:r>
        <w:rPr>
          <w:rFonts w:hint="eastAsia"/>
          <w:color w:val="auto"/>
          <w:lang w:val="en-US" w:eastAsia="zh-CN"/>
        </w:rPr>
        <w:t>06</w:t>
      </w:r>
      <w:r>
        <w:rPr>
          <w:rFonts w:hint="eastAsia"/>
          <w:color w:val="auto"/>
        </w:rPr>
        <w:t>月</w:t>
      </w:r>
      <w:r>
        <w:rPr>
          <w:rFonts w:hint="eastAsia"/>
          <w:color w:val="auto"/>
          <w:lang w:val="en-US" w:eastAsia="zh-CN"/>
        </w:rPr>
        <w:t>16</w:t>
      </w:r>
      <w:r>
        <w:rPr>
          <w:rFonts w:hint="eastAsia"/>
          <w:color w:val="auto"/>
        </w:rPr>
        <w:t xml:space="preserve">日 09:30（北京时间）前递交（上传）投标文件。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b/>
          <w:bCs/>
          <w:color w:val="auto"/>
        </w:rPr>
        <w:t>一、项目基本情况</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项目编号：WZLCZB（W）-2021-04045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项目名称：2021年温州市市本级路灯设施维护</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预算金额（元）：</w:t>
      </w:r>
      <w:r>
        <w:rPr>
          <w:rFonts w:hint="eastAsia" w:ascii="新宋体" w:hAnsi="新宋体" w:eastAsia="新宋体" w:cs="新宋体"/>
          <w:b w:val="0"/>
          <w:bCs w:val="0"/>
          <w:color w:val="auto"/>
          <w:sz w:val="22"/>
          <w:szCs w:val="22"/>
          <w:highlight w:val="none"/>
          <w:lang w:val="en-US" w:eastAsia="zh-CN"/>
        </w:rPr>
        <w:t>21374800</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最高限价（元）：</w:t>
      </w:r>
      <w:r>
        <w:rPr>
          <w:rFonts w:hint="eastAsia" w:ascii="新宋体" w:hAnsi="新宋体" w:eastAsia="新宋体" w:cs="新宋体"/>
          <w:b w:val="0"/>
          <w:bCs w:val="0"/>
          <w:color w:val="auto"/>
          <w:sz w:val="22"/>
          <w:szCs w:val="22"/>
          <w:highlight w:val="none"/>
          <w:lang w:val="en-US" w:eastAsia="zh-CN"/>
        </w:rPr>
        <w:t>21374800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采购需求：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标项名称</w:t>
      </w:r>
      <w:r>
        <w:rPr>
          <w:rFonts w:hint="eastAsia"/>
          <w:color w:val="auto"/>
          <w:lang w:eastAsia="zh-CN"/>
        </w:rPr>
        <w:t>：</w:t>
      </w:r>
      <w:r>
        <w:rPr>
          <w:rFonts w:hint="eastAsia"/>
          <w:color w:val="auto"/>
        </w:rPr>
        <w:t xml:space="preserve">2021年温州市市本级路灯设施维护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数量: </w:t>
      </w:r>
      <w:r>
        <w:rPr>
          <w:rFonts w:hint="eastAsia"/>
          <w:color w:val="auto"/>
          <w:lang w:val="en-US" w:eastAsia="zh-CN"/>
        </w:rPr>
        <w:t>2年</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预算金额（元）: </w:t>
      </w:r>
      <w:r>
        <w:rPr>
          <w:rFonts w:hint="eastAsia" w:ascii="新宋体" w:hAnsi="新宋体" w:eastAsia="新宋体" w:cs="新宋体"/>
          <w:b w:val="0"/>
          <w:bCs w:val="0"/>
          <w:color w:val="auto"/>
          <w:sz w:val="22"/>
          <w:szCs w:val="22"/>
          <w:highlight w:val="none"/>
          <w:lang w:val="en-US" w:eastAsia="zh-CN"/>
        </w:rPr>
        <w:t>21374800</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简要规格描述或项目基本概况介绍、用途：</w:t>
      </w:r>
      <w:r>
        <w:rPr>
          <w:rFonts w:hint="eastAsia"/>
          <w:color w:val="auto"/>
          <w:lang w:val="en-US" w:eastAsia="zh-CN"/>
        </w:rPr>
        <w:t>具体详见</w:t>
      </w:r>
      <w:r>
        <w:rPr>
          <w:rFonts w:hint="eastAsia"/>
          <w:color w:val="auto"/>
        </w:rPr>
        <w:t xml:space="preserve">招标文件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lang w:val="en-US"/>
        </w:rPr>
      </w:pPr>
      <w:r>
        <w:rPr>
          <w:rFonts w:hint="eastAsia"/>
          <w:color w:val="auto"/>
        </w:rPr>
        <w:t xml:space="preserve">    备注：</w:t>
      </w:r>
      <w:r>
        <w:rPr>
          <w:rFonts w:hint="eastAsia"/>
          <w:color w:val="auto"/>
          <w:lang w:val="en-US" w:eastAsia="zh-CN"/>
        </w:rPr>
        <w:t xml:space="preserve"> 预算金额：路灯设施正常维修养护费：</w:t>
      </w:r>
      <w:r>
        <w:rPr>
          <w:rFonts w:hint="eastAsia" w:ascii="新宋体" w:hAnsi="新宋体" w:eastAsia="新宋体" w:cs="新宋体"/>
          <w:b w:val="0"/>
          <w:bCs w:val="0"/>
          <w:color w:val="auto"/>
          <w:sz w:val="22"/>
          <w:szCs w:val="22"/>
          <w:highlight w:val="none"/>
          <w:lang w:val="en-US" w:eastAsia="zh-CN"/>
        </w:rPr>
        <w:t>1737.48万元；</w:t>
      </w:r>
      <w:r>
        <w:rPr>
          <w:rFonts w:hint="eastAsia"/>
          <w:color w:val="auto"/>
          <w:lang w:val="en-US" w:eastAsia="zh-CN"/>
        </w:rPr>
        <w:t>路灯设施正常维修养护范围外的维修安装费（暂定价）：400万元。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合同履约期限：标项 1，</w:t>
      </w:r>
      <w:r>
        <w:rPr>
          <w:rFonts w:hint="eastAsia"/>
          <w:color w:val="auto"/>
          <w:lang w:val="en-US" w:eastAsia="zh-CN"/>
        </w:rPr>
        <w:t>具体详见</w:t>
      </w:r>
      <w:r>
        <w:rPr>
          <w:rFonts w:hint="eastAsia"/>
          <w:color w:val="auto"/>
        </w:rPr>
        <w:t>招标文件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本项目（否）接受联合体投标。</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color w:val="auto"/>
        </w:rPr>
      </w:pPr>
      <w:r>
        <w:rPr>
          <w:rFonts w:hint="eastAsia"/>
          <w:b/>
          <w:bCs/>
          <w:color w:val="auto"/>
        </w:rPr>
        <w:t>二、申请人的资格要求：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pPr>
        <w:tabs>
          <w:tab w:val="left" w:pos="360"/>
        </w:tabs>
        <w:spacing w:line="460" w:lineRule="exact"/>
        <w:ind w:firstLine="420" w:firstLineChars="200"/>
        <w:rPr>
          <w:rFonts w:hint="eastAsia" w:eastAsia="新宋体"/>
          <w:color w:val="auto"/>
          <w:lang w:eastAsia="zh-CN"/>
        </w:rPr>
      </w:pPr>
      <w:r>
        <w:rPr>
          <w:rFonts w:hint="eastAsia"/>
          <w:color w:val="auto"/>
        </w:rPr>
        <w:t>2.落实政府采购政策需满足的资格要求：</w:t>
      </w:r>
      <w:r>
        <w:rPr>
          <w:rFonts w:hint="eastAsia" w:ascii="新宋体" w:hAnsi="新宋体" w:eastAsia="新宋体"/>
          <w:color w:val="auto"/>
          <w:sz w:val="22"/>
          <w:highlight w:val="none"/>
          <w:lang w:eastAsia="zh-CN"/>
        </w:rPr>
        <w:t>本项目专门面向中小企业采购</w:t>
      </w:r>
      <w:r>
        <w:rPr>
          <w:rFonts w:hint="eastAsia" w:eastAsia="新宋体"/>
          <w:color w:val="auto"/>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color w:val="auto"/>
          <w:lang w:val="en-US"/>
        </w:rPr>
      </w:pPr>
      <w:r>
        <w:rPr>
          <w:rFonts w:hint="eastAsia"/>
          <w:color w:val="auto"/>
        </w:rPr>
        <w:t xml:space="preserve">    3.本项目的特定资格要求：</w:t>
      </w:r>
      <w:r>
        <w:rPr>
          <w:rFonts w:hint="eastAsia"/>
          <w:color w:val="auto"/>
          <w:lang w:val="en-US" w:eastAsia="zh-CN"/>
        </w:rPr>
        <w:t>1、</w:t>
      </w:r>
      <w:r>
        <w:rPr>
          <w:rFonts w:hint="eastAsia" w:ascii="新宋体" w:hAnsi="新宋体" w:eastAsia="新宋体"/>
          <w:color w:val="auto"/>
          <w:sz w:val="22"/>
          <w:highlight w:val="none"/>
          <w:lang w:eastAsia="zh-CN"/>
        </w:rPr>
        <w:t>具有城市及道路照明工程专业承包一级及以上资质或市政公用工程施工总承包企业资质三级及以上资质；</w:t>
      </w:r>
      <w:r>
        <w:rPr>
          <w:rFonts w:hint="eastAsia" w:ascii="新宋体" w:hAnsi="新宋体" w:eastAsia="新宋体"/>
          <w:color w:val="auto"/>
          <w:sz w:val="22"/>
          <w:highlight w:val="none"/>
          <w:lang w:val="en-US" w:eastAsia="zh-CN"/>
        </w:rPr>
        <w:t>2、</w:t>
      </w:r>
      <w:r>
        <w:rPr>
          <w:rFonts w:hint="eastAsia" w:ascii="新宋体" w:hAnsi="新宋体" w:eastAsia="新宋体"/>
          <w:color w:val="auto"/>
          <w:sz w:val="22"/>
          <w:highlight w:val="none"/>
          <w:lang w:eastAsia="zh-CN"/>
        </w:rPr>
        <w:t>具有有效的安全生产许可证。</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color w:val="auto"/>
        </w:rPr>
      </w:pPr>
      <w:r>
        <w:rPr>
          <w:rFonts w:hint="eastAsia"/>
          <w:b/>
          <w:bCs/>
          <w:color w:val="auto"/>
        </w:rPr>
        <w:t xml:space="preserve">三、获取招标文件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时间：2021年</w:t>
      </w:r>
      <w:r>
        <w:rPr>
          <w:rFonts w:hint="eastAsia"/>
          <w:color w:val="auto"/>
          <w:lang w:val="en-US" w:eastAsia="zh-CN"/>
        </w:rPr>
        <w:t>05</w:t>
      </w:r>
      <w:r>
        <w:rPr>
          <w:rFonts w:hint="eastAsia"/>
          <w:color w:val="auto"/>
        </w:rPr>
        <w:t>月</w:t>
      </w:r>
      <w:r>
        <w:rPr>
          <w:rFonts w:hint="eastAsia"/>
          <w:color w:val="auto"/>
          <w:lang w:val="en-US" w:eastAsia="zh-CN"/>
        </w:rPr>
        <w:t>26</w:t>
      </w:r>
      <w:r>
        <w:rPr>
          <w:rFonts w:hint="eastAsia"/>
          <w:color w:val="auto"/>
        </w:rPr>
        <w:t>日至2021年</w:t>
      </w:r>
      <w:r>
        <w:rPr>
          <w:rFonts w:hint="eastAsia"/>
          <w:color w:val="auto"/>
          <w:lang w:val="en-US" w:eastAsia="zh-CN"/>
        </w:rPr>
        <w:t>06</w:t>
      </w:r>
      <w:r>
        <w:rPr>
          <w:rFonts w:hint="eastAsia"/>
          <w:color w:val="auto"/>
        </w:rPr>
        <w:t>月</w:t>
      </w:r>
      <w:r>
        <w:rPr>
          <w:rFonts w:hint="eastAsia"/>
          <w:color w:val="auto"/>
          <w:lang w:val="en-US" w:eastAsia="zh-CN"/>
        </w:rPr>
        <w:t>16</w:t>
      </w:r>
      <w:r>
        <w:rPr>
          <w:rFonts w:hint="eastAsia"/>
          <w:color w:val="auto"/>
        </w:rPr>
        <w:t>日 ，每天上午00:00至12:00 ，下午12:00至23:59（北京时间，线上获取法定节假日均可，线下获取文件法定节假日除外）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地点（网址）： </w:t>
      </w:r>
      <w:r>
        <w:rPr>
          <w:rFonts w:hint="eastAsia" w:ascii="宋体" w:hAnsi="宋体" w:eastAsia="宋体" w:cs="宋体"/>
          <w:color w:val="auto"/>
          <w:sz w:val="22"/>
          <w:highlight w:val="none"/>
          <w:lang w:val="en-US" w:eastAsia="zh-CN"/>
        </w:rPr>
        <w:t>政采云（</w:t>
      </w:r>
      <w:r>
        <w:rPr>
          <w:rFonts w:hint="eastAsia" w:ascii="宋体" w:hAnsi="宋体" w:eastAsia="宋体" w:cs="宋体"/>
          <w:color w:val="auto"/>
          <w:sz w:val="22"/>
          <w:highlight w:val="none"/>
        </w:rPr>
        <w:t>http://zfcg.czt.zj.gov.cn</w:t>
      </w:r>
      <w:r>
        <w:rPr>
          <w:rFonts w:hint="eastAsia" w:ascii="宋体" w:hAnsi="宋体" w:eastAsia="宋体" w:cs="宋体"/>
          <w:color w:val="auto"/>
          <w:sz w:val="22"/>
          <w:highlight w:val="none"/>
          <w:lang w:val="en-US" w:eastAsia="zh-CN"/>
        </w:rPr>
        <w:t>）</w:t>
      </w:r>
      <w:r>
        <w:rPr>
          <w:rFonts w:hint="eastAsia" w:ascii="宋体" w:hAnsi="宋体" w:eastAsia="宋体" w:cs="宋体"/>
          <w:color w:val="auto"/>
          <w:sz w:val="22"/>
          <w:highlight w:val="none"/>
        </w:rPr>
        <w:t>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color w:val="auto"/>
          <w:lang w:val="en-US" w:eastAsia="zh-CN"/>
        </w:rPr>
      </w:pPr>
      <w:r>
        <w:rPr>
          <w:rFonts w:hint="eastAsia"/>
          <w:color w:val="auto"/>
        </w:rPr>
        <w:t xml:space="preserve">    方式：</w:t>
      </w:r>
      <w:r>
        <w:rPr>
          <w:rFonts w:hint="eastAsia"/>
          <w:color w:val="auto"/>
          <w:lang w:val="en-US" w:eastAsia="zh-CN"/>
        </w:rPr>
        <w:t>线上获取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售价（元）：0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color w:val="auto"/>
        </w:rPr>
      </w:pPr>
      <w:r>
        <w:rPr>
          <w:rFonts w:hint="eastAsia"/>
          <w:b/>
          <w:bCs/>
          <w:color w:val="auto"/>
        </w:rPr>
        <w:t>四、提交投标文件截止时间、开标时间和地点</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eastAsia"/>
          <w:color w:val="auto"/>
        </w:rPr>
      </w:pPr>
      <w:r>
        <w:rPr>
          <w:rFonts w:hint="eastAsia"/>
          <w:color w:val="auto"/>
        </w:rPr>
        <w:t>提交投标文件截止时间：2021年</w:t>
      </w:r>
      <w:r>
        <w:rPr>
          <w:rFonts w:hint="eastAsia"/>
          <w:color w:val="auto"/>
          <w:lang w:val="en-US" w:eastAsia="zh-CN"/>
        </w:rPr>
        <w:t>06</w:t>
      </w:r>
      <w:r>
        <w:rPr>
          <w:rFonts w:hint="eastAsia"/>
          <w:color w:val="auto"/>
        </w:rPr>
        <w:t>月</w:t>
      </w:r>
      <w:r>
        <w:rPr>
          <w:rFonts w:hint="eastAsia"/>
          <w:color w:val="auto"/>
          <w:lang w:val="en-US" w:eastAsia="zh-CN"/>
        </w:rPr>
        <w:t>16</w:t>
      </w:r>
      <w:r>
        <w:rPr>
          <w:rFonts w:hint="eastAsia"/>
          <w:color w:val="auto"/>
        </w:rPr>
        <w:t>日 09:30（北京时间）</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eastAsia" w:ascii="宋体" w:hAnsi="宋体" w:eastAsia="宋体" w:cs="宋体"/>
          <w:color w:val="auto"/>
          <w:sz w:val="22"/>
          <w:highlight w:val="none"/>
        </w:rPr>
      </w:pPr>
      <w:r>
        <w:rPr>
          <w:rFonts w:hint="eastAsia"/>
          <w:color w:val="auto"/>
        </w:rPr>
        <w:t>投标地点（网址）：</w:t>
      </w:r>
      <w:r>
        <w:rPr>
          <w:rFonts w:hint="eastAsia" w:ascii="新宋体" w:hAnsi="新宋体" w:eastAsia="新宋体" w:cs="新宋体"/>
          <w:color w:val="auto"/>
          <w:sz w:val="22"/>
          <w:highlight w:val="none"/>
        </w:rPr>
        <w:t>温州市政务服务管理中心温州市会展路1268号A座3楼（政采云平台http://zfcg.czt.zj.gov.cn）</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eastAsia"/>
          <w:color w:val="auto"/>
        </w:rPr>
      </w:pPr>
      <w:r>
        <w:rPr>
          <w:rFonts w:hint="eastAsia"/>
          <w:color w:val="auto"/>
        </w:rPr>
        <w:t>开标时间：2021年</w:t>
      </w:r>
      <w:r>
        <w:rPr>
          <w:rFonts w:hint="eastAsia"/>
          <w:color w:val="auto"/>
          <w:lang w:val="en-US" w:eastAsia="zh-CN"/>
        </w:rPr>
        <w:t>06</w:t>
      </w:r>
      <w:r>
        <w:rPr>
          <w:rFonts w:hint="eastAsia"/>
          <w:color w:val="auto"/>
        </w:rPr>
        <w:t>月</w:t>
      </w:r>
      <w:r>
        <w:rPr>
          <w:rFonts w:hint="eastAsia"/>
          <w:color w:val="auto"/>
          <w:lang w:val="en-US" w:eastAsia="zh-CN"/>
        </w:rPr>
        <w:t>16</w:t>
      </w:r>
      <w:r>
        <w:rPr>
          <w:rFonts w:hint="eastAsia"/>
          <w:color w:val="auto"/>
        </w:rPr>
        <w:t xml:space="preserve">日 09:30 </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eastAsia"/>
          <w:color w:val="auto"/>
        </w:rPr>
      </w:pPr>
      <w:r>
        <w:rPr>
          <w:rFonts w:hint="eastAsia"/>
          <w:color w:val="auto"/>
        </w:rPr>
        <w:t>开标地点（网址）：</w:t>
      </w:r>
      <w:r>
        <w:rPr>
          <w:rFonts w:hint="eastAsia" w:ascii="新宋体" w:hAnsi="新宋体" w:eastAsia="新宋体" w:cs="新宋体"/>
          <w:color w:val="auto"/>
          <w:sz w:val="22"/>
          <w:highlight w:val="none"/>
        </w:rPr>
        <w:t>温州市政务服务管理中心温州市会展路1268号A座3楼（政采云平台http://zfcg.czt.zj.gov.cn）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b/>
          <w:bCs/>
          <w:color w:val="auto"/>
        </w:rPr>
        <w:t>五、公告期限</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自本公告发布之日起5个工作日。</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color w:val="auto"/>
        </w:rPr>
      </w:pPr>
      <w:r>
        <w:rPr>
          <w:rFonts w:hint="eastAsia"/>
          <w:b/>
          <w:bCs/>
          <w:color w:val="auto"/>
        </w:rPr>
        <w:t>六、其他补充事宜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tabs>
          <w:tab w:val="left" w:pos="360"/>
        </w:tabs>
        <w:spacing w:line="460" w:lineRule="exact"/>
        <w:ind w:firstLine="525" w:firstLineChars="250"/>
        <w:rPr>
          <w:rFonts w:hint="eastAsia"/>
          <w:color w:val="auto"/>
        </w:rPr>
      </w:pPr>
      <w:r>
        <w:rPr>
          <w:rFonts w:hint="eastAsia"/>
          <w:color w:val="auto"/>
        </w:rPr>
        <w:t>2.其他事项：</w:t>
      </w:r>
      <w:r>
        <w:rPr>
          <w:rFonts w:hint="eastAsia" w:ascii="宋体" w:hAnsi="宋体" w:eastAsia="宋体" w:cs="宋体"/>
          <w:color w:val="auto"/>
          <w:sz w:val="22"/>
          <w:highlight w:val="none"/>
          <w:lang w:val="en-US" w:eastAsia="zh-CN"/>
        </w:rPr>
        <w:t>1、本项目通过“政府采购云平台（www.zcygov.cn）”实行在线投标响应（电子投标），供应商应先安装“政采云电子交易客户端”，并按照本磋商文件和“政府采购云平台”的要求，通过“政采云电子交易客户端”编制并加密</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。供应商未按规定加密的</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400-881-7190。 2、为确保网上操作合法、有效和安全，投标人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 3、投标人应当在投标截止时间前，将生成的“电子加密</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”上传递交至“政府采购云平台”。投标截止时间以后上传递交的</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将被“政府采购云平台”拒收。 4、投标人在“政府采购云平台”完成“电子加密</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”的上传递交后，还可以在投标截止时间前递交以介质（U盘）存储的数据电文形式的“备份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”应当密封包装并在包装上标注投标项目名称、投标人名称并加盖公章。（可以（邮寄形式，建议顺丰）在投标截止时间前递交，并需采购代理机构确认是否收到） 5、通过“政府采购云平台”上传递交的“电子加密</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”无法按时解密，投标人递交了备份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的，以备份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为依据，否则视为</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撤回。通过“政府采购云平台”上传递交的“电子加密</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”已按时解密的，“备份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”自动失效。投标人仅递交备份</w:t>
      </w:r>
      <w:r>
        <w:rPr>
          <w:rFonts w:hint="eastAsia" w:ascii="宋体" w:hAnsi="宋体" w:cs="宋体"/>
          <w:color w:val="auto"/>
          <w:sz w:val="22"/>
          <w:highlight w:val="none"/>
          <w:lang w:val="en-US" w:eastAsia="zh-CN"/>
        </w:rPr>
        <w:t>投标响应文件</w:t>
      </w:r>
      <w:r>
        <w:rPr>
          <w:rFonts w:hint="eastAsia" w:ascii="宋体" w:hAnsi="宋体" w:eastAsia="宋体" w:cs="宋体"/>
          <w:color w:val="auto"/>
          <w:sz w:val="22"/>
          <w:highlight w:val="none"/>
          <w:lang w:val="en-US" w:eastAsia="zh-CN"/>
        </w:rPr>
        <w:t>的，投标无效。  </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b/>
          <w:bCs/>
          <w:color w:val="auto"/>
        </w:rPr>
        <w:t>七、对本次采购提出询问、质疑、投诉，请按以下方式联系</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1.采购人信息</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名    称：</w:t>
      </w:r>
      <w:r>
        <w:rPr>
          <w:rFonts w:hint="eastAsia"/>
          <w:color w:val="auto"/>
          <w:lang w:eastAsia="zh-CN"/>
        </w:rPr>
        <w:t>温州市市政管理中心</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地    址： 温</w:t>
      </w:r>
      <w:r>
        <w:rPr>
          <w:rFonts w:hint="eastAsia"/>
          <w:color w:val="auto"/>
          <w:lang w:eastAsia="zh-CN"/>
        </w:rPr>
        <w:t>州市江滨西路112号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传    真：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项目联系人（询问）：</w:t>
      </w:r>
      <w:r>
        <w:rPr>
          <w:rFonts w:hint="eastAsia" w:ascii="新宋体" w:hAnsi="新宋体" w:eastAsia="新宋体"/>
          <w:b w:val="0"/>
          <w:bCs w:val="0"/>
          <w:color w:val="auto"/>
          <w:sz w:val="22"/>
          <w:szCs w:val="22"/>
          <w:highlight w:val="none"/>
        </w:rPr>
        <w:t>陈先生</w:t>
      </w:r>
      <w:r>
        <w:rPr>
          <w:rFonts w:hint="eastAsia"/>
          <w:color w:val="auto"/>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项目联系方式（询问）： </w:t>
      </w:r>
      <w:r>
        <w:rPr>
          <w:rFonts w:hint="eastAsia"/>
          <w:color w:val="auto"/>
          <w:sz w:val="22"/>
          <w:szCs w:val="22"/>
          <w:highlight w:val="none"/>
          <w:u w:val="none"/>
        </w:rPr>
        <w:t>0577-88371692</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质疑联系人：项先生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rPr>
      </w:pPr>
      <w:r>
        <w:rPr>
          <w:rFonts w:hint="eastAsia"/>
          <w:color w:val="auto"/>
        </w:rPr>
        <w:t xml:space="preserve">    质疑联系方式：0577</w:t>
      </w:r>
      <w:r>
        <w:rPr>
          <w:rFonts w:hint="eastAsia"/>
          <w:color w:val="auto"/>
          <w:lang w:val="en-US" w:eastAsia="zh-CN"/>
        </w:rPr>
        <w:t>-</w:t>
      </w:r>
      <w:r>
        <w:rPr>
          <w:rFonts w:hint="eastAsia"/>
          <w:color w:val="auto"/>
        </w:rPr>
        <w:t xml:space="preserve">88352744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color w:val="auto"/>
          <w:sz w:val="22"/>
          <w:szCs w:val="22"/>
          <w:highlight w:val="none"/>
          <w:u w:val="none"/>
        </w:rPr>
      </w:pPr>
      <w:r>
        <w:rPr>
          <w:rFonts w:hint="eastAsia"/>
          <w:color w:val="auto"/>
        </w:rPr>
        <w:t xml:space="preserve">    2.</w:t>
      </w:r>
      <w:r>
        <w:rPr>
          <w:rFonts w:hint="eastAsia"/>
          <w:color w:val="auto"/>
          <w:sz w:val="22"/>
          <w:szCs w:val="22"/>
          <w:highlight w:val="none"/>
          <w:u w:val="none"/>
        </w:rPr>
        <w:t>采购代理机构信息</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名  称：</w:t>
      </w:r>
      <w:r>
        <w:rPr>
          <w:rFonts w:hint="eastAsia"/>
          <w:color w:val="auto"/>
          <w:sz w:val="22"/>
          <w:szCs w:val="22"/>
          <w:highlight w:val="none"/>
          <w:u w:val="none"/>
          <w:lang w:val="en-US" w:eastAsia="zh-CN"/>
        </w:rPr>
        <w:t>温州历程招标有限公司</w:t>
      </w:r>
      <w:r>
        <w:rPr>
          <w:rFonts w:hint="eastAsia"/>
          <w:color w:val="auto"/>
          <w:sz w:val="22"/>
          <w:szCs w:val="22"/>
          <w:highlight w:val="none"/>
          <w:u w:val="none"/>
        </w:rPr>
        <w:t>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地  址：</w:t>
      </w:r>
      <w:r>
        <w:rPr>
          <w:rFonts w:hint="eastAsia"/>
          <w:color w:val="auto"/>
          <w:sz w:val="22"/>
          <w:szCs w:val="22"/>
          <w:highlight w:val="none"/>
          <w:lang w:eastAsia="zh-CN"/>
        </w:rPr>
        <w:t>温州市鹿城区学院中路229号三想集团5楼</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 xml:space="preserve">传  真：0577-89887255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项目联系人（询问）： 温碧霞、郑永强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项目联系方式（询问）：0577-89887322、13757727199</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default" w:eastAsia="宋体"/>
          <w:color w:val="auto"/>
          <w:sz w:val="22"/>
          <w:szCs w:val="22"/>
          <w:highlight w:val="none"/>
          <w:u w:val="none"/>
          <w:lang w:val="en-US" w:eastAsia="zh-CN"/>
        </w:rPr>
      </w:pPr>
      <w:r>
        <w:rPr>
          <w:rFonts w:hint="eastAsia"/>
          <w:color w:val="auto"/>
          <w:sz w:val="22"/>
          <w:szCs w:val="22"/>
          <w:highlight w:val="none"/>
          <w:u w:val="none"/>
        </w:rPr>
        <w:t>质疑联系人：</w:t>
      </w:r>
      <w:r>
        <w:rPr>
          <w:rFonts w:hint="eastAsia"/>
          <w:color w:val="auto"/>
          <w:sz w:val="22"/>
          <w:szCs w:val="22"/>
          <w:highlight w:val="none"/>
          <w:u w:val="none"/>
          <w:lang w:val="en-US" w:eastAsia="zh-CN"/>
        </w:rPr>
        <w:t>肖忠文</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eastAsia"/>
          <w:color w:val="auto"/>
        </w:rPr>
      </w:pPr>
      <w:r>
        <w:rPr>
          <w:rFonts w:hint="eastAsia"/>
          <w:color w:val="auto"/>
          <w:sz w:val="22"/>
          <w:szCs w:val="22"/>
          <w:highlight w:val="none"/>
          <w:u w:val="none"/>
        </w:rPr>
        <w:t>质疑联系方式：13757727199</w:t>
      </w:r>
      <w:r>
        <w:rPr>
          <w:rFonts w:hint="eastAsia"/>
          <w:color w:val="auto"/>
        </w:rPr>
        <w:t xml:space="preserve"> </w:t>
      </w:r>
    </w:p>
    <w:p>
      <w:pPr>
        <w:pStyle w:val="47"/>
        <w:numPr>
          <w:ilvl w:val="0"/>
          <w:numId w:val="1"/>
        </w:numPr>
        <w:spacing w:before="0" w:beforeAutospacing="0" w:after="0" w:afterAutospacing="0" w:line="460" w:lineRule="exact"/>
        <w:ind w:left="440" w:leftChars="0" w:firstLine="0" w:firstLineChars="0"/>
        <w:rPr>
          <w:rFonts w:hint="eastAsia"/>
          <w:color w:val="auto"/>
          <w:sz w:val="22"/>
          <w:szCs w:val="22"/>
          <w:highlight w:val="none"/>
        </w:rPr>
      </w:pPr>
      <w:r>
        <w:rPr>
          <w:rFonts w:hint="eastAsia"/>
          <w:color w:val="auto"/>
        </w:rPr>
        <w:t>　</w:t>
      </w:r>
      <w:r>
        <w:rPr>
          <w:rFonts w:hint="eastAsia"/>
          <w:color w:val="auto"/>
          <w:sz w:val="22"/>
          <w:szCs w:val="22"/>
          <w:highlight w:val="none"/>
        </w:rPr>
        <w:t>同级政府采购监督管理部门</w:t>
      </w:r>
    </w:p>
    <w:p>
      <w:pPr>
        <w:pStyle w:val="47"/>
        <w:numPr>
          <w:ilvl w:val="0"/>
          <w:numId w:val="0"/>
        </w:numPr>
        <w:spacing w:before="0" w:beforeAutospacing="0" w:after="0" w:afterAutospacing="0" w:line="460" w:lineRule="exact"/>
        <w:ind w:left="440" w:leftChars="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名   称：温州市财政局政府采购监管处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地  址：温州市鹿城区绣山路299号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联系人 ：</w:t>
      </w:r>
      <w:r>
        <w:rPr>
          <w:rFonts w:hint="eastAsia" w:eastAsia="宋体" w:cs="宋体"/>
          <w:color w:val="auto"/>
          <w:sz w:val="22"/>
          <w:szCs w:val="22"/>
          <w:highlight w:val="none"/>
          <w:u w:val="none"/>
          <w:lang w:val="en-US" w:eastAsia="zh-CN"/>
        </w:rPr>
        <w:t>胡女士</w:t>
      </w:r>
      <w:r>
        <w:rPr>
          <w:rFonts w:hint="eastAsia" w:ascii="宋体" w:hAnsi="宋体" w:eastAsia="宋体" w:cs="宋体"/>
          <w:color w:val="auto"/>
          <w:sz w:val="22"/>
          <w:szCs w:val="22"/>
          <w:highlight w:val="none"/>
          <w:u w:val="none"/>
        </w:rPr>
        <w:t>、</w:t>
      </w:r>
      <w:r>
        <w:rPr>
          <w:rFonts w:hint="eastAsia" w:eastAsia="宋体" w:cs="宋体"/>
          <w:color w:val="auto"/>
          <w:sz w:val="22"/>
          <w:szCs w:val="22"/>
          <w:highlight w:val="none"/>
          <w:u w:val="none"/>
          <w:lang w:val="en-US" w:eastAsia="zh-CN"/>
        </w:rPr>
        <w:t>蔡</w:t>
      </w:r>
      <w:r>
        <w:rPr>
          <w:rFonts w:hint="eastAsia" w:ascii="宋体" w:hAnsi="宋体" w:eastAsia="宋体" w:cs="宋体"/>
          <w:color w:val="auto"/>
          <w:sz w:val="22"/>
          <w:szCs w:val="22"/>
          <w:highlight w:val="none"/>
          <w:u w:val="none"/>
        </w:rPr>
        <w:t>女士 </w:t>
      </w:r>
    </w:p>
    <w:p>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color w:val="auto"/>
        </w:rPr>
      </w:pPr>
      <w:r>
        <w:rPr>
          <w:rFonts w:hint="eastAsia" w:ascii="宋体" w:hAnsi="宋体" w:eastAsia="宋体" w:cs="宋体"/>
          <w:color w:val="auto"/>
          <w:sz w:val="22"/>
          <w:szCs w:val="22"/>
          <w:highlight w:val="none"/>
        </w:rPr>
        <w:t>监督投诉电话：</w:t>
      </w:r>
      <w:r>
        <w:rPr>
          <w:rFonts w:hint="eastAsia" w:ascii="宋体" w:hAnsi="宋体" w:eastAsia="宋体" w:cs="宋体"/>
          <w:color w:val="auto"/>
          <w:sz w:val="22"/>
          <w:szCs w:val="22"/>
          <w:highlight w:val="none"/>
          <w:u w:val="none"/>
          <w:lang w:val="zh-TW"/>
        </w:rPr>
        <w:t>0577-</w:t>
      </w:r>
      <w:r>
        <w:rPr>
          <w:rFonts w:hint="eastAsia" w:ascii="宋体" w:hAnsi="宋体" w:eastAsia="宋体" w:cs="宋体"/>
          <w:color w:val="auto"/>
          <w:sz w:val="22"/>
          <w:szCs w:val="22"/>
          <w:highlight w:val="none"/>
          <w:u w:val="none"/>
        </w:rPr>
        <w:t>8850</w:t>
      </w:r>
      <w:r>
        <w:rPr>
          <w:rFonts w:hint="eastAsia" w:eastAsia="宋体" w:cs="宋体"/>
          <w:color w:val="auto"/>
          <w:sz w:val="22"/>
          <w:szCs w:val="22"/>
          <w:highlight w:val="none"/>
          <w:u w:val="none"/>
          <w:lang w:val="en-US" w:eastAsia="zh-CN"/>
        </w:rPr>
        <w:t>5289</w:t>
      </w:r>
      <w:r>
        <w:rPr>
          <w:rFonts w:hint="eastAsia" w:ascii="宋体" w:hAnsi="宋体" w:eastAsia="宋体" w:cs="宋体"/>
          <w:color w:val="auto"/>
          <w:sz w:val="22"/>
          <w:szCs w:val="22"/>
          <w:highlight w:val="none"/>
          <w:u w:val="none"/>
        </w:rPr>
        <w:t>、0577-</w:t>
      </w:r>
      <w:r>
        <w:rPr>
          <w:rFonts w:hint="eastAsia" w:eastAsia="宋体" w:cs="宋体"/>
          <w:color w:val="auto"/>
          <w:sz w:val="22"/>
          <w:szCs w:val="22"/>
          <w:highlight w:val="none"/>
          <w:u w:val="none"/>
          <w:lang w:val="en-US" w:eastAsia="zh-CN"/>
        </w:rPr>
        <w:t>88521948</w:t>
      </w:r>
    </w:p>
    <w:p>
      <w:pPr>
        <w:spacing w:line="440" w:lineRule="exact"/>
        <w:jc w:val="both"/>
        <w:rPr>
          <w:rFonts w:hint="eastAsia" w:ascii="宋体" w:hAnsi="宋体" w:eastAsia="宋体" w:cs="宋体"/>
          <w:color w:val="auto"/>
          <w:sz w:val="22"/>
          <w:highlight w:val="none"/>
          <w:lang w:val="en-US" w:eastAsia="zh-CN"/>
        </w:rPr>
      </w:pPr>
    </w:p>
    <w:p>
      <w:pPr>
        <w:tabs>
          <w:tab w:val="left" w:pos="360"/>
        </w:tabs>
        <w:spacing w:line="460" w:lineRule="exact"/>
        <w:ind w:firstLine="550" w:firstLineChars="250"/>
        <w:rPr>
          <w:rFonts w:hint="eastAsia" w:ascii="宋体" w:hAnsi="宋体" w:eastAsia="宋体" w:cs="宋体"/>
          <w:b/>
          <w:color w:val="auto"/>
          <w:sz w:val="30"/>
          <w:highlight w:val="none"/>
        </w:rPr>
      </w:pPr>
      <w:r>
        <w:rPr>
          <w:rFonts w:hint="eastAsia" w:ascii="宋体" w:hAnsi="宋体" w:eastAsia="宋体" w:cs="宋体"/>
          <w:color w:val="auto"/>
          <w:sz w:val="22"/>
          <w:highlight w:val="none"/>
        </w:rPr>
        <w:t> </w:t>
      </w:r>
    </w:p>
    <w:p>
      <w:pPr>
        <w:pStyle w:val="4"/>
        <w:bidi w:val="0"/>
        <w:rPr>
          <w:rFonts w:hint="eastAsia" w:ascii="宋体" w:hAnsi="宋体" w:eastAsia="宋体" w:cs="宋体"/>
          <w:color w:val="auto"/>
          <w:highlight w:val="none"/>
        </w:rPr>
      </w:pPr>
      <w:bookmarkStart w:id="2" w:name="_Toc5772"/>
      <w:bookmarkStart w:id="3" w:name="_Toc1697"/>
      <w:r>
        <w:rPr>
          <w:rFonts w:hint="eastAsia" w:ascii="宋体" w:hAnsi="宋体" w:eastAsia="宋体" w:cs="宋体"/>
          <w:color w:val="auto"/>
          <w:highlight w:val="none"/>
        </w:rPr>
        <w:t>第一部分    投标人须知</w:t>
      </w:r>
      <w:bookmarkEnd w:id="2"/>
      <w:bookmarkEnd w:id="3"/>
    </w:p>
    <w:p>
      <w:pPr>
        <w:keepNext/>
        <w:keepLines/>
        <w:shd w:val="clear" w:color="auto" w:fill="FFFFFF"/>
        <w:tabs>
          <w:tab w:val="left" w:pos="706"/>
        </w:tabs>
        <w:snapToGrid w:val="0"/>
        <w:spacing w:line="360" w:lineRule="auto"/>
        <w:jc w:val="center"/>
        <w:outlineLvl w:val="1"/>
        <w:rPr>
          <w:rFonts w:hint="eastAsia" w:ascii="宋体" w:hAnsi="宋体" w:eastAsia="宋体" w:cs="宋体"/>
          <w:b/>
          <w:bCs/>
          <w:color w:val="auto"/>
          <w:sz w:val="24"/>
          <w:highlight w:val="none"/>
        </w:rPr>
      </w:pPr>
      <w:bookmarkStart w:id="4" w:name="_Toc1839"/>
      <w:bookmarkStart w:id="5" w:name="_Toc33194387"/>
      <w:bookmarkStart w:id="6" w:name="_Toc24588"/>
      <w:bookmarkStart w:id="7" w:name="_Toc233618971"/>
      <w:bookmarkStart w:id="8" w:name="_Toc354996695"/>
      <w:r>
        <w:rPr>
          <w:rFonts w:hint="eastAsia" w:ascii="宋体" w:hAnsi="宋体" w:eastAsia="宋体" w:cs="宋体"/>
          <w:b/>
          <w:bCs/>
          <w:color w:val="auto"/>
          <w:sz w:val="24"/>
          <w:highlight w:val="none"/>
        </w:rPr>
        <w:t>前 附 表</w:t>
      </w:r>
      <w:bookmarkEnd w:id="4"/>
      <w:bookmarkEnd w:id="5"/>
      <w:bookmarkEnd w:id="6"/>
      <w:bookmarkEnd w:id="7"/>
      <w:bookmarkEnd w:id="8"/>
    </w:p>
    <w:tbl>
      <w:tblPr>
        <w:tblStyle w:val="52"/>
        <w:tblW w:w="103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85"/>
        <w:gridCol w:w="9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8"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条款</w:t>
            </w:r>
          </w:p>
        </w:tc>
        <w:tc>
          <w:tcPr>
            <w:tcW w:w="9590" w:type="dxa"/>
            <w:tcBorders>
              <w:top w:val="single" w:color="000000" w:sz="8" w:space="0"/>
              <w:left w:val="single" w:color="000000" w:sz="2" w:space="0"/>
              <w:bottom w:val="single" w:color="000000" w:sz="2" w:space="0"/>
              <w:right w:val="single" w:color="000000" w:sz="8"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内容规定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p>
        </w:tc>
        <w:tc>
          <w:tcPr>
            <w:tcW w:w="9590" w:type="dxa"/>
            <w:tcBorders>
              <w:top w:val="single" w:color="000000" w:sz="2" w:space="0"/>
              <w:left w:val="single" w:color="000000" w:sz="2" w:space="0"/>
              <w:bottom w:val="single" w:color="000000" w:sz="2" w:space="0"/>
              <w:right w:val="single" w:color="000000" w:sz="8" w:space="0"/>
            </w:tcBorders>
          </w:tcPr>
          <w:p>
            <w:pPr>
              <w:tabs>
                <w:tab w:val="left" w:pos="3780"/>
              </w:tabs>
              <w:snapToGrid w:val="0"/>
              <w:spacing w:line="460" w:lineRule="exact"/>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rPr>
              <w:t>一、项目名称</w:t>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2021年温州市市本级路灯设施维护</w:t>
            </w:r>
          </w:p>
          <w:p>
            <w:pPr>
              <w:spacing w:line="460" w:lineRule="exact"/>
              <w:rPr>
                <w:rFonts w:hint="eastAsia" w:ascii="宋体" w:hAnsi="宋体" w:eastAsia="宋体" w:cs="宋体"/>
                <w:b/>
                <w:bCs/>
                <w:color w:val="auto"/>
                <w:sz w:val="22"/>
                <w:szCs w:val="22"/>
                <w:highlight w:val="none"/>
              </w:rPr>
            </w:pPr>
            <w:bookmarkStart w:id="9" w:name="_Hlt75139851"/>
            <w:bookmarkEnd w:id="9"/>
            <w:r>
              <w:rPr>
                <w:rFonts w:hint="eastAsia" w:ascii="宋体" w:hAnsi="宋体" w:eastAsia="宋体" w:cs="宋体"/>
                <w:b/>
                <w:bCs/>
                <w:color w:val="auto"/>
                <w:sz w:val="22"/>
                <w:szCs w:val="22"/>
                <w:highlight w:val="none"/>
              </w:rPr>
              <w:t>二、采购内容：</w:t>
            </w:r>
          </w:p>
          <w:tbl>
            <w:tblPr>
              <w:tblStyle w:val="52"/>
              <w:tblW w:w="88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1"/>
              <w:gridCol w:w="3650"/>
              <w:gridCol w:w="800"/>
              <w:gridCol w:w="3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60" w:lineRule="exact"/>
                    <w:jc w:val="center"/>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rPr>
                    <w:t>序号</w:t>
                  </w:r>
                </w:p>
              </w:tc>
              <w:tc>
                <w:tcPr>
                  <w:tcW w:w="3650"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p>
              </w:tc>
              <w:tc>
                <w:tcPr>
                  <w:tcW w:w="800"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60" w:lineRule="exact"/>
                    <w:jc w:val="center"/>
                    <w:rPr>
                      <w:rFonts w:hint="eastAsia" w:ascii="宋体" w:hAnsi="宋体" w:eastAsia="宋体" w:cs="宋体"/>
                      <w:color w:val="auto"/>
                      <w:sz w:val="22"/>
                      <w:szCs w:val="22"/>
                      <w:highlight w:val="none"/>
                      <w:shd w:val="clear" w:color="auto" w:fill="FFFFFF"/>
                    </w:rPr>
                  </w:pPr>
                  <w:r>
                    <w:rPr>
                      <w:rFonts w:hint="eastAsia" w:ascii="宋体" w:hAnsi="宋体" w:eastAsia="宋体" w:cs="宋体"/>
                      <w:color w:val="auto"/>
                      <w:sz w:val="22"/>
                      <w:szCs w:val="22"/>
                      <w:highlight w:val="none"/>
                    </w:rPr>
                    <w:t>单位</w:t>
                  </w:r>
                </w:p>
              </w:tc>
              <w:tc>
                <w:tcPr>
                  <w:tcW w:w="3684" w:type="dxa"/>
                  <w:tcBorders>
                    <w:top w:val="single" w:color="auto" w:sz="4" w:space="0"/>
                    <w:left w:val="single" w:color="auto" w:sz="4" w:space="0"/>
                    <w:bottom w:val="single" w:color="auto" w:sz="4" w:space="0"/>
                    <w:right w:val="single" w:color="auto" w:sz="4" w:space="0"/>
                  </w:tcBorders>
                  <w:vAlign w:val="center"/>
                </w:tcPr>
                <w:p>
                  <w:pPr>
                    <w:widowControl/>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简要技术要求、用途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701" w:type="dxa"/>
                  <w:tcBorders>
                    <w:top w:val="single" w:color="auto" w:sz="4" w:space="0"/>
                    <w:left w:val="single" w:color="auto" w:sz="4" w:space="0"/>
                    <w:right w:val="single" w:color="auto" w:sz="4" w:space="0"/>
                  </w:tcBorders>
                  <w:vAlign w:val="center"/>
                </w:tcPr>
                <w:p>
                  <w:pPr>
                    <w:tabs>
                      <w:tab w:val="left" w:pos="360"/>
                    </w:tabs>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50" w:type="dxa"/>
                  <w:tcBorders>
                    <w:top w:val="single" w:color="auto" w:sz="4" w:space="0"/>
                    <w:left w:val="single" w:color="auto" w:sz="4" w:space="0"/>
                    <w:right w:val="single" w:color="auto" w:sz="4" w:space="0"/>
                  </w:tcBorders>
                  <w:vAlign w:val="center"/>
                </w:tcPr>
                <w:p>
                  <w:pPr>
                    <w:spacing w:line="460" w:lineRule="exact"/>
                    <w:jc w:val="center"/>
                    <w:rPr>
                      <w:rFonts w:hint="eastAsia" w:ascii="宋体" w:hAnsi="宋体" w:eastAsia="宋体" w:cs="宋体"/>
                      <w:color w:val="auto"/>
                      <w:sz w:val="22"/>
                      <w:highlight w:val="none"/>
                    </w:rPr>
                  </w:pPr>
                  <w:r>
                    <w:rPr>
                      <w:rFonts w:hint="eastAsia" w:ascii="宋体" w:hAnsi="宋体" w:cs="宋体"/>
                      <w:color w:val="auto"/>
                      <w:sz w:val="22"/>
                      <w:highlight w:val="none"/>
                      <w:lang w:eastAsia="zh-CN"/>
                    </w:rPr>
                    <w:t>2021年温州市市本级路灯设施维护</w:t>
                  </w:r>
                </w:p>
              </w:tc>
              <w:tc>
                <w:tcPr>
                  <w:tcW w:w="800"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60" w:lineRule="exact"/>
                    <w:jc w:val="center"/>
                    <w:rPr>
                      <w:rFonts w:hint="eastAsia" w:ascii="宋体" w:hAnsi="宋体" w:eastAsia="宋体" w:cs="宋体"/>
                      <w:color w:val="auto"/>
                      <w:sz w:val="22"/>
                      <w:szCs w:val="22"/>
                      <w:highlight w:val="none"/>
                      <w:shd w:val="clear" w:color="auto" w:fill="FFFFFF"/>
                      <w:lang w:val="en-US" w:eastAsia="zh-CN"/>
                    </w:rPr>
                  </w:pPr>
                  <w:r>
                    <w:rPr>
                      <w:rFonts w:hint="eastAsia" w:ascii="宋体" w:hAnsi="宋体" w:cs="宋体"/>
                      <w:color w:val="auto"/>
                      <w:sz w:val="22"/>
                      <w:szCs w:val="22"/>
                      <w:highlight w:val="none"/>
                      <w:shd w:val="clear" w:color="auto" w:fill="FFFFFF"/>
                      <w:lang w:val="en-US" w:eastAsia="zh-CN"/>
                    </w:rPr>
                    <w:t>2年</w:t>
                  </w:r>
                </w:p>
              </w:tc>
              <w:tc>
                <w:tcPr>
                  <w:tcW w:w="3684" w:type="dxa"/>
                  <w:tcBorders>
                    <w:top w:val="single" w:color="auto" w:sz="4" w:space="0"/>
                    <w:left w:val="single" w:color="auto" w:sz="4" w:space="0"/>
                    <w:right w:val="single" w:color="auto" w:sz="4" w:space="0"/>
                  </w:tcBorders>
                  <w:vAlign w:val="center"/>
                </w:tcPr>
                <w:p>
                  <w:pPr>
                    <w:shd w:val="clear" w:color="auto" w:fill="FFFFFF"/>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详见招标文件第</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rPr>
                    <w:t>部分“项目技术规范和服务要求”</w:t>
                  </w:r>
                </w:p>
              </w:tc>
            </w:tr>
          </w:tbl>
          <w:p>
            <w:pPr>
              <w:keepNext/>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9"/>
              <w:rPr>
                <w:rFonts w:hint="eastAsia" w:ascii="新宋体" w:hAnsi="新宋体" w:eastAsia="新宋体" w:cs="新宋体"/>
                <w:b/>
                <w:color w:val="auto"/>
                <w:sz w:val="22"/>
                <w:szCs w:val="22"/>
                <w:highlight w:val="none"/>
                <w:lang w:val="en-US" w:eastAsia="zh-CN"/>
              </w:rPr>
            </w:pPr>
            <w:r>
              <w:rPr>
                <w:rFonts w:hint="eastAsia" w:ascii="新宋体" w:hAnsi="新宋体" w:eastAsia="新宋体" w:cs="Times New Roman"/>
                <w:b/>
                <w:color w:val="auto"/>
                <w:sz w:val="22"/>
                <w:szCs w:val="22"/>
                <w:highlight w:val="none"/>
              </w:rPr>
              <w:t>本次财政预算:202</w:t>
            </w:r>
            <w:r>
              <w:rPr>
                <w:rFonts w:hint="eastAsia" w:ascii="新宋体" w:hAnsi="新宋体" w:eastAsia="新宋体" w:cs="Times New Roman"/>
                <w:b/>
                <w:color w:val="auto"/>
                <w:sz w:val="22"/>
                <w:szCs w:val="22"/>
                <w:highlight w:val="none"/>
                <w:lang w:val="en-US" w:eastAsia="zh-CN"/>
              </w:rPr>
              <w:t>1</w:t>
            </w:r>
            <w:r>
              <w:rPr>
                <w:rFonts w:hint="eastAsia" w:ascii="新宋体" w:hAnsi="新宋体" w:eastAsia="新宋体" w:cs="Times New Roman"/>
                <w:b/>
                <w:color w:val="auto"/>
                <w:sz w:val="22"/>
                <w:szCs w:val="22"/>
                <w:highlight w:val="none"/>
              </w:rPr>
              <w:t>年温州市市本级路灯设施维护费分两项，分别为路灯设施正常维修养护费和路灯设施正常维修养护范围外的维修安装费（暂定价）</w:t>
            </w:r>
            <w:r>
              <w:rPr>
                <w:rFonts w:hint="eastAsia" w:ascii="新宋体" w:hAnsi="新宋体" w:eastAsia="新宋体" w:cs="Times New Roman"/>
                <w:b/>
                <w:color w:val="auto"/>
                <w:sz w:val="22"/>
                <w:szCs w:val="22"/>
                <w:highlight w:val="none"/>
                <w:lang w:eastAsia="zh-CN"/>
              </w:rPr>
              <w:t>：</w:t>
            </w:r>
          </w:p>
          <w:p>
            <w:pPr>
              <w:keepNext/>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9"/>
              <w:rPr>
                <w:rFonts w:hint="eastAsia" w:ascii="新宋体" w:hAnsi="新宋体" w:eastAsia="新宋体" w:cs="Times New Roman"/>
                <w:b/>
                <w:color w:val="auto"/>
                <w:sz w:val="22"/>
                <w:szCs w:val="22"/>
                <w:highlight w:val="none"/>
                <w:lang w:val="en-US" w:eastAsia="zh-CN"/>
              </w:rPr>
            </w:pPr>
            <w:r>
              <w:rPr>
                <w:rFonts w:hint="eastAsia" w:ascii="新宋体" w:hAnsi="新宋体" w:eastAsia="新宋体" w:cs="Times New Roman"/>
                <w:b/>
                <w:color w:val="auto"/>
                <w:sz w:val="22"/>
                <w:szCs w:val="22"/>
                <w:highlight w:val="none"/>
              </w:rPr>
              <w:t>路灯设施正常维修养护费</w:t>
            </w:r>
            <w:r>
              <w:rPr>
                <w:rFonts w:hint="eastAsia" w:ascii="新宋体" w:hAnsi="新宋体" w:eastAsia="新宋体" w:cs="Times New Roman"/>
                <w:b/>
                <w:color w:val="auto"/>
                <w:sz w:val="22"/>
                <w:szCs w:val="22"/>
                <w:highlight w:val="none"/>
                <w:lang w:eastAsia="zh-CN"/>
              </w:rPr>
              <w:t>：</w:t>
            </w:r>
            <w:r>
              <w:rPr>
                <w:rFonts w:hint="eastAsia" w:ascii="新宋体" w:hAnsi="新宋体" w:eastAsia="新宋体" w:cs="新宋体"/>
                <w:b/>
                <w:color w:val="auto"/>
                <w:sz w:val="22"/>
                <w:szCs w:val="22"/>
                <w:highlight w:val="none"/>
                <w:lang w:eastAsia="zh-CN"/>
              </w:rPr>
              <w:t>人民币</w:t>
            </w:r>
            <w:r>
              <w:rPr>
                <w:rFonts w:hint="eastAsia" w:ascii="新宋体" w:hAnsi="新宋体" w:eastAsia="新宋体" w:cs="新宋体"/>
                <w:b/>
                <w:color w:val="auto"/>
                <w:sz w:val="22"/>
                <w:szCs w:val="22"/>
                <w:highlight w:val="none"/>
                <w:lang w:val="en-US" w:eastAsia="zh-CN"/>
              </w:rPr>
              <w:t>壹仟柒佰叁拾柒万肆仟捌佰</w:t>
            </w:r>
            <w:r>
              <w:rPr>
                <w:rFonts w:hint="eastAsia" w:ascii="新宋体" w:hAnsi="新宋体" w:eastAsia="新宋体" w:cs="新宋体"/>
                <w:b/>
                <w:color w:val="auto"/>
                <w:sz w:val="22"/>
                <w:szCs w:val="22"/>
                <w:highlight w:val="none"/>
                <w:lang w:eastAsia="zh-CN"/>
              </w:rPr>
              <w:t>元整（¥</w:t>
            </w:r>
            <w:r>
              <w:rPr>
                <w:rFonts w:hint="eastAsia" w:ascii="新宋体" w:hAnsi="新宋体" w:eastAsia="新宋体" w:cs="新宋体"/>
                <w:b/>
                <w:color w:val="auto"/>
                <w:sz w:val="22"/>
                <w:szCs w:val="22"/>
                <w:highlight w:val="none"/>
                <w:lang w:val="en-US" w:eastAsia="zh-CN"/>
              </w:rPr>
              <w:t>17374800</w:t>
            </w:r>
            <w:r>
              <w:rPr>
                <w:rFonts w:hint="eastAsia" w:ascii="新宋体" w:hAnsi="新宋体" w:eastAsia="新宋体" w:cs="新宋体"/>
                <w:b/>
                <w:color w:val="auto"/>
                <w:sz w:val="22"/>
                <w:szCs w:val="22"/>
                <w:highlight w:val="none"/>
                <w:lang w:eastAsia="zh-CN"/>
              </w:rPr>
              <w:t>.00元）</w:t>
            </w:r>
          </w:p>
          <w:p>
            <w:pPr>
              <w:keepNext/>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9"/>
              <w:rPr>
                <w:rFonts w:hint="eastAsia" w:ascii="新宋体" w:hAnsi="新宋体" w:eastAsia="新宋体" w:cs="Times New Roman"/>
                <w:b/>
                <w:color w:val="auto"/>
                <w:sz w:val="22"/>
                <w:szCs w:val="22"/>
                <w:highlight w:val="none"/>
                <w:lang w:eastAsia="zh-CN"/>
              </w:rPr>
            </w:pPr>
            <w:r>
              <w:rPr>
                <w:rFonts w:hint="eastAsia" w:ascii="新宋体" w:hAnsi="新宋体" w:eastAsia="新宋体" w:cs="Times New Roman"/>
                <w:b/>
                <w:color w:val="auto"/>
                <w:sz w:val="22"/>
                <w:szCs w:val="22"/>
                <w:highlight w:val="none"/>
              </w:rPr>
              <w:t>路灯设施正常维修养护范围外的维修安装费（暂定价）</w:t>
            </w:r>
            <w:r>
              <w:rPr>
                <w:rFonts w:hint="eastAsia" w:ascii="新宋体" w:hAnsi="新宋体" w:eastAsia="新宋体" w:cs="Times New Roman"/>
                <w:b/>
                <w:color w:val="auto"/>
                <w:sz w:val="22"/>
                <w:szCs w:val="22"/>
                <w:highlight w:val="none"/>
                <w:lang w:eastAsia="zh-CN"/>
              </w:rPr>
              <w:t>：</w:t>
            </w:r>
            <w:r>
              <w:rPr>
                <w:rFonts w:hint="eastAsia" w:ascii="新宋体" w:hAnsi="新宋体" w:eastAsia="新宋体" w:cs="Times New Roman"/>
                <w:b/>
                <w:color w:val="auto"/>
                <w:sz w:val="22"/>
                <w:szCs w:val="22"/>
                <w:highlight w:val="none"/>
                <w:lang w:val="en-US" w:eastAsia="zh-CN"/>
              </w:rPr>
              <w:t>人民币肆佰万元（¥4000000.00元）</w:t>
            </w:r>
          </w:p>
          <w:p>
            <w:pPr>
              <w:tabs>
                <w:tab w:val="left" w:pos="360"/>
              </w:tabs>
              <w:spacing w:line="460" w:lineRule="exact"/>
              <w:rPr>
                <w:rFonts w:hint="eastAsia" w:ascii="宋体" w:hAnsi="宋体" w:eastAsia="宋体" w:cs="宋体"/>
                <w:color w:val="auto"/>
                <w:highlight w:val="none"/>
              </w:rPr>
            </w:pPr>
            <w:r>
              <w:rPr>
                <w:rFonts w:hint="eastAsia" w:ascii="新宋体" w:hAnsi="新宋体" w:eastAsia="新宋体" w:cs="Times New Roman"/>
                <w:b/>
                <w:color w:val="auto"/>
                <w:sz w:val="22"/>
                <w:szCs w:val="22"/>
                <w:highlight w:val="none"/>
                <w:u w:val="single"/>
                <w:lang w:eastAsia="zh-CN"/>
              </w:rPr>
              <w:t>投标人报价</w:t>
            </w:r>
            <w:r>
              <w:rPr>
                <w:rFonts w:hint="eastAsia" w:ascii="新宋体" w:hAnsi="新宋体" w:eastAsia="新宋体" w:cs="Times New Roman"/>
                <w:b/>
                <w:color w:val="auto"/>
                <w:sz w:val="22"/>
                <w:szCs w:val="22"/>
                <w:highlight w:val="none"/>
                <w:u w:val="single"/>
                <w:lang w:val="en-US" w:eastAsia="zh-CN"/>
              </w:rPr>
              <w:t>两项均不得</w:t>
            </w:r>
            <w:r>
              <w:rPr>
                <w:rFonts w:hint="eastAsia" w:ascii="新宋体" w:hAnsi="新宋体" w:eastAsia="新宋体" w:cs="Times New Roman"/>
                <w:b/>
                <w:color w:val="auto"/>
                <w:sz w:val="22"/>
                <w:szCs w:val="22"/>
                <w:highlight w:val="none"/>
                <w:u w:val="single"/>
                <w:lang w:eastAsia="zh-CN"/>
              </w:rPr>
              <w:t>超过</w:t>
            </w:r>
            <w:r>
              <w:rPr>
                <w:rFonts w:hint="eastAsia" w:ascii="新宋体" w:hAnsi="新宋体" w:eastAsia="新宋体" w:cs="Times New Roman"/>
                <w:b/>
                <w:color w:val="auto"/>
                <w:sz w:val="22"/>
                <w:szCs w:val="22"/>
                <w:highlight w:val="none"/>
                <w:u w:val="single"/>
                <w:lang w:val="en-US" w:eastAsia="zh-CN"/>
              </w:rPr>
              <w:t>财政预算，否则</w:t>
            </w:r>
            <w:r>
              <w:rPr>
                <w:rFonts w:hint="eastAsia" w:ascii="新宋体" w:hAnsi="新宋体" w:eastAsia="新宋体" w:cs="Times New Roman"/>
                <w:b/>
                <w:color w:val="auto"/>
                <w:sz w:val="22"/>
                <w:szCs w:val="22"/>
                <w:highlight w:val="none"/>
                <w:u w:val="single"/>
                <w:lang w:eastAsia="zh-CN"/>
              </w:rPr>
              <w:t>按无效标处理。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w:t>
            </w:r>
          </w:p>
        </w:tc>
        <w:tc>
          <w:tcPr>
            <w:tcW w:w="9590" w:type="dxa"/>
            <w:tcBorders>
              <w:top w:val="single" w:color="000000" w:sz="2" w:space="0"/>
              <w:left w:val="single" w:color="000000" w:sz="2" w:space="0"/>
              <w:bottom w:val="single" w:color="000000" w:sz="2" w:space="0"/>
              <w:right w:val="single" w:color="000000" w:sz="8" w:space="0"/>
            </w:tcBorders>
            <w:vAlign w:val="center"/>
          </w:tcPr>
          <w:p>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zh-CN"/>
              </w:rPr>
              <w:t>投标</w:t>
            </w:r>
            <w:r>
              <w:rPr>
                <w:rFonts w:hint="eastAsia" w:ascii="宋体" w:hAnsi="宋体" w:eastAsia="宋体" w:cs="宋体"/>
                <w:b/>
                <w:bCs/>
                <w:color w:val="auto"/>
                <w:sz w:val="22"/>
                <w:szCs w:val="22"/>
                <w:highlight w:val="none"/>
              </w:rPr>
              <w:t>有效期：</w:t>
            </w:r>
            <w:r>
              <w:rPr>
                <w:rFonts w:hint="eastAsia" w:ascii="宋体" w:hAnsi="宋体" w:eastAsia="宋体" w:cs="宋体"/>
                <w:color w:val="auto"/>
                <w:sz w:val="22"/>
                <w:szCs w:val="22"/>
                <w:highlight w:val="none"/>
              </w:rPr>
              <w:t>自投标截止日起120天。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w:t>
            </w:r>
          </w:p>
        </w:tc>
        <w:tc>
          <w:tcPr>
            <w:tcW w:w="9590" w:type="dxa"/>
            <w:tcBorders>
              <w:top w:val="single" w:color="000000" w:sz="2" w:space="0"/>
              <w:left w:val="single" w:color="000000" w:sz="2" w:space="0"/>
              <w:bottom w:val="single" w:color="000000" w:sz="2" w:space="0"/>
              <w:right w:val="single" w:color="000000" w:sz="8" w:space="0"/>
            </w:tcBorders>
            <w:vAlign w:val="center"/>
          </w:tcPr>
          <w:p>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投标保证金数额：无</w:t>
            </w: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4</w:t>
            </w:r>
          </w:p>
        </w:tc>
        <w:tc>
          <w:tcPr>
            <w:tcW w:w="9590" w:type="dxa"/>
            <w:tcBorders>
              <w:top w:val="single" w:color="000000" w:sz="2" w:space="0"/>
              <w:left w:val="single" w:color="000000" w:sz="2" w:space="0"/>
              <w:bottom w:val="single" w:color="000000" w:sz="2" w:space="0"/>
              <w:right w:val="single" w:color="000000" w:sz="8" w:space="0"/>
            </w:tcBorders>
            <w:vAlign w:val="center"/>
          </w:tcPr>
          <w:p>
            <w:pPr>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招标服务费：根据国家计委计价格【2002】1980号《招标代理服务收费管理暂行办法》规定</w:t>
            </w:r>
            <w:r>
              <w:rPr>
                <w:rFonts w:hint="eastAsia" w:ascii="宋体" w:hAnsi="宋体" w:eastAsia="宋体" w:cs="宋体"/>
                <w:b/>
                <w:bCs/>
                <w:color w:val="auto"/>
                <w:sz w:val="22"/>
                <w:szCs w:val="22"/>
                <w:highlight w:val="none"/>
                <w:lang w:val="en-US" w:eastAsia="zh-CN"/>
              </w:rPr>
              <w:t>标准</w:t>
            </w:r>
            <w:r>
              <w:rPr>
                <w:rFonts w:hint="eastAsia" w:ascii="宋体" w:hAnsi="宋体" w:cs="宋体"/>
                <w:b/>
                <w:bCs/>
                <w:color w:val="auto"/>
                <w:sz w:val="22"/>
                <w:szCs w:val="22"/>
                <w:highlight w:val="none"/>
                <w:lang w:val="en-US" w:eastAsia="zh-CN"/>
              </w:rPr>
              <w:t>下浮50%</w:t>
            </w:r>
            <w:r>
              <w:rPr>
                <w:rFonts w:hint="eastAsia" w:ascii="宋体" w:hAnsi="宋体" w:eastAsia="宋体" w:cs="宋体"/>
                <w:b/>
                <w:bCs/>
                <w:color w:val="auto"/>
                <w:sz w:val="22"/>
                <w:szCs w:val="22"/>
                <w:highlight w:val="none"/>
              </w:rPr>
              <w:t>收取,由中标人在领取中标通知书时支付。</w:t>
            </w:r>
          </w:p>
          <w:p>
            <w:pPr>
              <w:spacing w:line="460" w:lineRule="exact"/>
              <w:jc w:val="center"/>
              <w:rPr>
                <w:rFonts w:hint="eastAsia" w:ascii="新宋体" w:hAnsi="新宋体" w:eastAsia="新宋体"/>
                <w:b/>
                <w:color w:val="auto"/>
                <w:sz w:val="22"/>
                <w:highlight w:val="none"/>
              </w:rPr>
            </w:pPr>
            <w:r>
              <w:rPr>
                <w:rFonts w:hint="eastAsia" w:ascii="新宋体" w:hAnsi="新宋体" w:eastAsia="新宋体"/>
                <w:b/>
                <w:color w:val="auto"/>
                <w:sz w:val="22"/>
                <w:highlight w:val="none"/>
              </w:rPr>
              <w:t>采购代理服务收费标准</w:t>
            </w:r>
          </w:p>
          <w:tbl>
            <w:tblPr>
              <w:tblStyle w:val="52"/>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17"/>
              <w:gridCol w:w="2025"/>
              <w:gridCol w:w="20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ascii="新宋体" w:hAnsi="新宋体" w:eastAsia="新宋体"/>
                      <w:color w:val="auto"/>
                      <w:sz w:val="22"/>
                      <w:highlight w:val="none"/>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29210</wp:posOffset>
                            </wp:positionV>
                            <wp:extent cx="1729740" cy="824865"/>
                            <wp:effectExtent l="1270" t="3810" r="21590" b="9525"/>
                            <wp:wrapNone/>
                            <wp:docPr id="4" name="组合 4"/>
                            <wp:cNvGraphicFramePr/>
                            <a:graphic xmlns:a="http://schemas.openxmlformats.org/drawingml/2006/main">
                              <a:graphicData uri="http://schemas.microsoft.com/office/word/2010/wordprocessingGroup">
                                <wpg:wgp>
                                  <wpg:cNvGrpSpPr/>
                                  <wpg:grpSpPr>
                                    <a:xfrm>
                                      <a:off x="0" y="0"/>
                                      <a:ext cx="1729740" cy="824865"/>
                                      <a:chOff x="0" y="0"/>
                                      <a:chExt cx="2415" cy="1299"/>
                                    </a:xfrm>
                                  </wpg:grpSpPr>
                                  <wps:wsp>
                                    <wps:cNvPr id="2" name="直接连接符 2"/>
                                    <wps:cNvCnPr/>
                                    <wps:spPr>
                                      <a:xfrm>
                                        <a:off x="0" y="363"/>
                                        <a:ext cx="2415" cy="936"/>
                                      </a:xfrm>
                                      <a:prstGeom prst="line">
                                        <a:avLst/>
                                      </a:prstGeom>
                                      <a:ln w="9525" cap="flat" cmpd="sng">
                                        <a:solidFill>
                                          <a:srgbClr val="000000"/>
                                        </a:solidFill>
                                        <a:prstDash val="solid"/>
                                        <a:headEnd type="none" w="med" len="med"/>
                                        <a:tailEnd type="none" w="med" len="med"/>
                                      </a:ln>
                                    </wps:spPr>
                                    <wps:bodyPr upright="1"/>
                                  </wps:wsp>
                                  <wps:wsp>
                                    <wps:cNvPr id="3" name="直接连接符 3"/>
                                    <wps:cNvCnPr/>
                                    <wps:spPr>
                                      <a:xfrm>
                                        <a:off x="945" y="0"/>
                                        <a:ext cx="1470" cy="129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2.3pt;height:64.95pt;width:136.2pt;z-index:251661312;mso-width-relative:page;mso-height-relative:page;" coordsize="2415,1299" o:gfxdata="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Kb8CbXAAAABgEAAA8A&#10;AAAAAAAAAQAgAAAAIgAAAGRycy9kb3ducmV2LnhtbFBLAQIUABQAAAAIAIdO4kDtvVkhigIAABcH&#10;AAAOAAAAAAAAAAEAIAAAACYBAABkcnMvZTJvRG9jLnhtbFBLBQYAAAAABgAGAFkBAAAiBgAAAAA=&#10;">
                            <o:lock v:ext="edit" aspectratio="f"/>
                            <v:line id="_x0000_s1026" o:spid="_x0000_s1026" o:spt="20" style="position:absolute;left:0;top:363;height:936;width:2415;"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45;top:0;height:1299;width:1470;" filled="f" stroked="t" coordsize="21600,21600" o:gfxdata="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tGi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新宋体" w:hAnsi="新宋体" w:eastAsia="新宋体"/>
                      <w:color w:val="auto"/>
                      <w:sz w:val="22"/>
                      <w:highlight w:val="none"/>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29210</wp:posOffset>
                            </wp:positionV>
                            <wp:extent cx="63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pt;height:0.05pt;width:0.05pt;z-index:251660288;mso-width-relative:page;mso-height-relative:page;" filled="f" stroked="t" coordsize="21600,21600" o:gfxdata="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g+zi1QAAAAcBAAAPAAAAAAAAAAEAIAAAACIAAABkcnMvZG93bnJldi54bWxQSwECFAAUAAAACACH&#10;TuJASiTSB+4BAADiAwAADgAAAAAAAAABACAAAAAkAQAAZHJzL2Uyb0RvYy54bWxQSwUGAAAAAAYA&#10;BgBZAQAAhAUAAAAA&#10;">
                            <v:fill on="f" focussize="0,0"/>
                            <v:stroke color="#000000" joinstyle="round"/>
                            <v:imagedata o:title=""/>
                            <o:lock v:ext="edit" aspectratio="f"/>
                          </v:line>
                        </w:pict>
                      </mc:Fallback>
                    </mc:AlternateContent>
                  </w:r>
                  <w:r>
                    <w:rPr>
                      <w:rFonts w:hint="eastAsia" w:ascii="新宋体" w:hAnsi="新宋体" w:eastAsia="新宋体"/>
                      <w:color w:val="auto"/>
                      <w:sz w:val="22"/>
                      <w:highlight w:val="none"/>
                    </w:rPr>
                    <w:t xml:space="preserve">          服务类型</w:t>
                  </w:r>
                </w:p>
                <w:p>
                  <w:pPr>
                    <w:spacing w:line="460" w:lineRule="exact"/>
                    <w:ind w:firstLine="1011" w:firstLineChars="460"/>
                    <w:rPr>
                      <w:rFonts w:hint="eastAsia" w:ascii="新宋体" w:hAnsi="新宋体" w:eastAsia="新宋体"/>
                      <w:color w:val="auto"/>
                      <w:sz w:val="22"/>
                      <w:highlight w:val="none"/>
                    </w:rPr>
                  </w:pPr>
                  <w:r>
                    <w:rPr>
                      <w:rFonts w:hint="eastAsia" w:ascii="新宋体" w:hAnsi="新宋体" w:eastAsia="新宋体"/>
                      <w:color w:val="auto"/>
                      <w:sz w:val="22"/>
                      <w:highlight w:val="none"/>
                    </w:rPr>
                    <w:t>费率</w:t>
                  </w:r>
                </w:p>
                <w:p>
                  <w:pPr>
                    <w:spacing w:line="460" w:lineRule="exact"/>
                    <w:rPr>
                      <w:rFonts w:ascii="新宋体" w:hAnsi="新宋体" w:eastAsia="新宋体"/>
                      <w:color w:val="auto"/>
                      <w:sz w:val="22"/>
                      <w:highlight w:val="none"/>
                    </w:rPr>
                  </w:pPr>
                  <w:r>
                    <w:rPr>
                      <w:rFonts w:hint="eastAsia" w:ascii="新宋体" w:hAnsi="新宋体" w:eastAsia="新宋体"/>
                      <w:color w:val="auto"/>
                      <w:sz w:val="22"/>
                      <w:highlight w:val="none"/>
                    </w:rPr>
                    <w:t>中标金额（万元）</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货物招标</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服务招标</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100以下</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100-500</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1.1%</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0.8%</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500-1000</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0.8%</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0.45%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1000-5000</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0.25%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5000-10000</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0.25%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0.1%</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10000-100000</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0.05%</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blCellSpacing w:w="0" w:type="dxa"/>
                <w:jc w:val="center"/>
              </w:trPr>
              <w:tc>
                <w:tcPr>
                  <w:tcW w:w="2817"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1000000以上</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0.01%</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0.01%</w:t>
                  </w:r>
                </w:p>
              </w:tc>
              <w:tc>
                <w:tcPr>
                  <w:tcW w:w="2025" w:type="dxa"/>
                  <w:noWrap w:val="0"/>
                  <w:vAlign w:val="center"/>
                </w:tcPr>
                <w:p>
                  <w:pPr>
                    <w:spacing w:line="460" w:lineRule="exact"/>
                    <w:jc w:val="center"/>
                    <w:rPr>
                      <w:rFonts w:ascii="新宋体" w:hAnsi="新宋体" w:eastAsia="新宋体"/>
                      <w:color w:val="auto"/>
                      <w:sz w:val="22"/>
                      <w:highlight w:val="none"/>
                    </w:rPr>
                  </w:pPr>
                  <w:r>
                    <w:rPr>
                      <w:rFonts w:hint="eastAsia" w:ascii="新宋体" w:hAnsi="新宋体" w:eastAsia="新宋体"/>
                      <w:color w:val="auto"/>
                      <w:sz w:val="22"/>
                      <w:highlight w:val="none"/>
                    </w:rPr>
                    <w:t>0.01%</w:t>
                  </w:r>
                </w:p>
              </w:tc>
            </w:tr>
          </w:tbl>
          <w:p>
            <w:pPr>
              <w:pStyle w:val="22"/>
              <w:rPr>
                <w:rFonts w:hint="eastAsia"/>
                <w:color w:val="auto"/>
                <w:highlight w:val="none"/>
              </w:rPr>
            </w:pPr>
            <w:r>
              <w:rPr>
                <w:rFonts w:hint="eastAsia" w:ascii="新宋体" w:hAnsi="新宋体" w:eastAsia="新宋体"/>
                <w:b/>
                <w:color w:val="auto"/>
                <w:sz w:val="22"/>
                <w:highlight w:val="none"/>
              </w:rPr>
              <w:t>注：本次招标为</w:t>
            </w:r>
            <w:r>
              <w:rPr>
                <w:rFonts w:hint="eastAsia" w:ascii="新宋体" w:hAnsi="新宋体" w:eastAsia="新宋体"/>
                <w:b/>
                <w:color w:val="auto"/>
                <w:sz w:val="22"/>
                <w:highlight w:val="none"/>
                <w:lang w:val="en-US" w:eastAsia="zh-CN"/>
              </w:rPr>
              <w:t>服务</w:t>
            </w:r>
            <w:r>
              <w:rPr>
                <w:rFonts w:hint="eastAsia" w:ascii="新宋体" w:hAnsi="新宋体" w:eastAsia="新宋体"/>
                <w:b/>
                <w:color w:val="auto"/>
                <w:sz w:val="22"/>
                <w:highlight w:val="none"/>
              </w:rPr>
              <w:t>招标，采购代理服务收费按差额定率累进法计算。</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户   名：温州历程招标有限公司</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账   号：33050162870409101001</w:t>
            </w:r>
          </w:p>
          <w:p>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color w:val="auto"/>
                <w:sz w:val="22"/>
                <w:szCs w:val="22"/>
                <w:highlight w:val="none"/>
              </w:rPr>
              <w:t>开户行：中国建设银行温州黎明支行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5</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投标文件的组成：</w:t>
            </w:r>
            <w:r>
              <w:rPr>
                <w:rFonts w:hint="eastAsia" w:ascii="宋体" w:hAnsi="宋体" w:eastAsia="宋体" w:cs="宋体"/>
                <w:color w:val="auto"/>
                <w:sz w:val="22"/>
                <w:szCs w:val="22"/>
                <w:highlight w:val="none"/>
              </w:rPr>
              <w:t>完整的《投标文件》由“资格文件”、“报价文件”和“商务技术文件”三个部分组成。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6</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投标文件的编制：</w:t>
            </w:r>
            <w:r>
              <w:rPr>
                <w:rFonts w:hint="eastAsia" w:ascii="宋体" w:hAnsi="宋体" w:eastAsia="宋体" w:cs="宋体"/>
                <w:color w:val="auto"/>
                <w:sz w:val="22"/>
                <w:szCs w:val="22"/>
                <w:highlight w:val="none"/>
              </w:rPr>
              <w:t>供应商应先安装“政采云电子交易客户端”，并按照本招标文件和“政府采购云平台”的要求，通过“政采云电子交易客户端”编制并加密投标文件。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7</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投标文件的签章：</w:t>
            </w:r>
            <w:r>
              <w:rPr>
                <w:rFonts w:hint="eastAsia" w:ascii="宋体" w:hAnsi="宋体" w:eastAsia="宋体" w:cs="宋体"/>
                <w:color w:val="auto"/>
                <w:sz w:val="22"/>
                <w:szCs w:val="22"/>
                <w:highlight w:val="none"/>
              </w:rPr>
              <w:t>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投标文件的形式：</w:t>
            </w:r>
            <w:r>
              <w:rPr>
                <w:rFonts w:hint="eastAsia" w:ascii="宋体" w:hAnsi="宋体" w:eastAsia="宋体" w:cs="宋体"/>
                <w:color w:val="auto"/>
                <w:sz w:val="22"/>
                <w:szCs w:val="22"/>
                <w:highlight w:val="none"/>
              </w:rPr>
              <w:t>☑电子投标文件（包括“电子加密投标文件”和“备份投标文件”，在投标文件编制完成后同时生成）；</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（1）“电子加密投标文件”是指通过“政采云电子交易客户端”完成投标文件编制后生成并加密的数据电文形式的投标文件。</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color w:val="auto"/>
                <w:highlight w:val="none"/>
              </w:rPr>
            </w:pPr>
            <w:r>
              <w:rPr>
                <w:rFonts w:hint="eastAsia"/>
                <w:color w:val="auto"/>
                <w:highlight w:val="none"/>
              </w:rPr>
              <w:t>投标文件份数：</w:t>
            </w:r>
          </w:p>
          <w:p>
            <w:pPr>
              <w:numPr>
                <w:ilvl w:val="0"/>
                <w:numId w:val="2"/>
              </w:numPr>
              <w:spacing w:line="460" w:lineRule="exact"/>
              <w:rPr>
                <w:rFonts w:hint="eastAsia"/>
                <w:color w:val="auto"/>
                <w:highlight w:val="none"/>
              </w:rPr>
            </w:pPr>
            <w:r>
              <w:rPr>
                <w:rFonts w:hint="eastAsia"/>
                <w:color w:val="auto"/>
                <w:highlight w:val="none"/>
              </w:rPr>
              <w:t>“电子加密投标文件”：在线上传递交、一份。</w:t>
            </w:r>
          </w:p>
          <w:p>
            <w:pPr>
              <w:numPr>
                <w:ilvl w:val="0"/>
                <w:numId w:val="2"/>
              </w:numPr>
              <w:spacing w:line="460" w:lineRule="exact"/>
              <w:rPr>
                <w:rFonts w:hint="eastAsia"/>
                <w:color w:val="auto"/>
                <w:highlight w:val="none"/>
              </w:rPr>
            </w:pPr>
            <w:r>
              <w:rPr>
                <w:rFonts w:hint="eastAsia"/>
                <w:color w:val="auto"/>
                <w:highlight w:val="none"/>
              </w:rPr>
              <w:t>“备份投标文件”：密封包装后投标截止时间前递交、一份</w:t>
            </w:r>
          </w:p>
          <w:p>
            <w:pPr>
              <w:spacing w:line="460" w:lineRule="exact"/>
              <w:rPr>
                <w:rFonts w:hint="eastAsia"/>
                <w:color w:val="auto"/>
                <w:highlight w:val="none"/>
              </w:rPr>
            </w:pPr>
            <w:r>
              <w:rPr>
                <w:rFonts w:hint="eastAsia"/>
                <w:color w:val="auto"/>
                <w:highlight w:val="none"/>
              </w:rPr>
              <w:t>（若不提供备份投标文件，开标当天电子加密投标文件解密失败，投标人自行负责。）</w:t>
            </w:r>
          </w:p>
          <w:p>
            <w:pPr>
              <w:tabs>
                <w:tab w:val="left" w:pos="360"/>
              </w:tabs>
              <w:spacing w:line="460" w:lineRule="exact"/>
              <w:rPr>
                <w:rFonts w:hint="eastAsia"/>
                <w:color w:val="auto"/>
                <w:highlight w:val="none"/>
              </w:rPr>
            </w:pPr>
            <w:r>
              <w:rPr>
                <w:rFonts w:hint="eastAsia"/>
                <w:color w:val="auto"/>
                <w:highlight w:val="none"/>
              </w:rPr>
              <w:t>可以（邮寄形式，建议顺丰）在投标截止时间前递交，并需采购代理机构确认是否收到，</w:t>
            </w:r>
          </w:p>
          <w:p>
            <w:pPr>
              <w:spacing w:line="460" w:lineRule="exact"/>
              <w:rPr>
                <w:rFonts w:hint="eastAsia"/>
                <w:color w:val="auto"/>
                <w:highlight w:val="none"/>
                <w:lang w:eastAsia="zh-CN"/>
              </w:rPr>
            </w:pPr>
            <w:r>
              <w:rPr>
                <w:rFonts w:hint="eastAsia"/>
                <w:color w:val="auto"/>
                <w:highlight w:val="none"/>
              </w:rPr>
              <w:t>邮寄地址：</w:t>
            </w:r>
            <w:r>
              <w:rPr>
                <w:rFonts w:hint="eastAsia"/>
                <w:color w:val="auto"/>
                <w:highlight w:val="none"/>
                <w:lang w:eastAsia="zh-CN"/>
              </w:rPr>
              <w:t>温州市鹿城区学院中路229号三想集团5楼</w:t>
            </w:r>
          </w:p>
          <w:p>
            <w:pPr>
              <w:spacing w:line="460" w:lineRule="exact"/>
              <w:rPr>
                <w:rFonts w:hint="default" w:eastAsia="宋体"/>
                <w:color w:val="auto"/>
                <w:highlight w:val="none"/>
                <w:lang w:val="en-US" w:eastAsia="zh-CN"/>
              </w:rPr>
            </w:pPr>
            <w:r>
              <w:rPr>
                <w:rFonts w:hint="eastAsia"/>
                <w:color w:val="auto"/>
                <w:highlight w:val="none"/>
                <w:lang w:val="en-US" w:eastAsia="zh-CN"/>
              </w:rPr>
              <w:t>联系人：张伟国    联系电话</w:t>
            </w:r>
            <w:r>
              <w:rPr>
                <w:rFonts w:hint="eastAsia"/>
                <w:b w:val="0"/>
                <w:bCs w:val="0"/>
                <w:color w:val="auto"/>
                <w:highlight w:val="none"/>
                <w:lang w:val="en-US" w:eastAsia="zh-CN"/>
              </w:rPr>
              <w:t>：18857713256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10</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投标文件的上传和递交：</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（1）“电子加密投标文件”的上传、递交：</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a.投标人应在投标截止时间前将“电子加密投标文件”成功上传递交至“政府采购云平台”，否则投标无效。</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b.“电子加密投标文件”成功上传递交后，供应商可自行打印投标文件接收回执。</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（2）“备份投标文件”的密封包装、递交：</w:t>
            </w:r>
          </w:p>
          <w:p>
            <w:pPr>
              <w:tabs>
                <w:tab w:val="left" w:pos="360"/>
              </w:tabs>
              <w:spacing w:line="460" w:lineRule="exact"/>
              <w:ind w:firstLine="550" w:firstLineChars="25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a.投标人在“政府采购云平台”完成“电子加密投标文件”的上传递交后，</w:t>
            </w:r>
            <w:r>
              <w:rPr>
                <w:rFonts w:hint="eastAsia" w:ascii="宋体" w:hAnsi="宋体" w:eastAsia="宋体" w:cs="宋体"/>
                <w:b/>
                <w:bCs/>
                <w:color w:val="auto"/>
                <w:sz w:val="22"/>
                <w:szCs w:val="22"/>
                <w:highlight w:val="none"/>
              </w:rPr>
              <w:t>还可以在投标截止时间前递交以介质（U盘）存储的数据电文形式的“备份投标文件”，（可以</w:t>
            </w:r>
            <w:r>
              <w:rPr>
                <w:rFonts w:hint="eastAsia" w:ascii="宋体" w:hAnsi="宋体" w:eastAsia="宋体" w:cs="宋体"/>
                <w:b/>
                <w:color w:val="auto"/>
                <w:sz w:val="22"/>
                <w:szCs w:val="22"/>
                <w:highlight w:val="none"/>
                <w:u w:val="single"/>
              </w:rPr>
              <w:t>（邮寄形式，建议顺丰）在投标截止时间前递交，并需采购代理机构确认是否收到</w:t>
            </w:r>
            <w:r>
              <w:rPr>
                <w:rFonts w:hint="eastAsia" w:ascii="宋体" w:hAnsi="宋体" w:eastAsia="宋体" w:cs="宋体"/>
                <w:b/>
                <w:bCs/>
                <w:color w:val="auto"/>
                <w:sz w:val="22"/>
                <w:szCs w:val="22"/>
                <w:highlight w:val="none"/>
              </w:rPr>
              <w:t>）</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b.“备份投标文件”应当密封包装，并在包装上标注投标项目名称、投标人名称并加盖公章。没有密封包装或者逾期（邮寄）送达至投标地点的“备份投标文件”将不予接收；</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11</w:t>
            </w:r>
          </w:p>
        </w:tc>
        <w:tc>
          <w:tcPr>
            <w:tcW w:w="9590" w:type="dxa"/>
            <w:tcBorders>
              <w:top w:val="single" w:color="000000" w:sz="2" w:space="0"/>
              <w:left w:val="single" w:color="000000" w:sz="2" w:space="0"/>
              <w:bottom w:val="single" w:color="000000" w:sz="2" w:space="0"/>
              <w:right w:val="single" w:color="000000" w:sz="8" w:space="0"/>
            </w:tcBorders>
            <w:vAlign w:val="center"/>
          </w:tcPr>
          <w:p>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电子加密投标文件的解密和异常情况处理：</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（1）开标后，采购组织机构将向各投标人发出“电子加密投标文件”的解密通知，各投标人代表应当在接到解密通知后在系统规定的时间自行完成“电子加密投标文件”的在线解密。</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（3）投标截止时间前，投标人仅递交了“备份投标文件”而未将电子加密投标文件上传至“政府采购云平台”的，投标无效。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12</w:t>
            </w:r>
          </w:p>
        </w:tc>
        <w:tc>
          <w:tcPr>
            <w:tcW w:w="9590" w:type="dxa"/>
            <w:tcBorders>
              <w:top w:val="single" w:color="000000" w:sz="2" w:space="0"/>
              <w:left w:val="single" w:color="000000" w:sz="2" w:space="0"/>
              <w:bottom w:val="single" w:color="000000" w:sz="2" w:space="0"/>
              <w:right w:val="single" w:color="000000" w:sz="8" w:space="0"/>
            </w:tcBorders>
            <w:vAlign w:val="center"/>
          </w:tcPr>
          <w:p>
            <w:pPr>
              <w:widowControl/>
              <w:snapToGrid w:val="0"/>
              <w:spacing w:line="46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提交投标文件截止时间：</w:t>
            </w:r>
            <w:r>
              <w:rPr>
                <w:rFonts w:hint="eastAsia" w:ascii="宋体" w:hAnsi="宋体" w:eastAsia="宋体" w:cs="宋体"/>
                <w:b w:val="0"/>
                <w:bCs w:val="0"/>
                <w:color w:val="auto"/>
                <w:sz w:val="22"/>
                <w:szCs w:val="22"/>
                <w:highlight w:val="none"/>
              </w:rPr>
              <w:t>202</w:t>
            </w: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年</w:t>
            </w:r>
            <w:r>
              <w:rPr>
                <w:rFonts w:hint="eastAsia" w:ascii="宋体" w:hAnsi="宋体" w:cs="宋体"/>
                <w:b w:val="0"/>
                <w:bCs w:val="0"/>
                <w:color w:val="auto"/>
                <w:sz w:val="22"/>
                <w:szCs w:val="22"/>
                <w:highlight w:val="none"/>
                <w:lang w:val="en-US" w:eastAsia="zh-CN"/>
              </w:rPr>
              <w:t>06</w:t>
            </w:r>
            <w:r>
              <w:rPr>
                <w:rFonts w:hint="eastAsia" w:ascii="宋体" w:hAnsi="宋体" w:eastAsia="宋体" w:cs="宋体"/>
                <w:b w:val="0"/>
                <w:bCs w:val="0"/>
                <w:color w:val="auto"/>
                <w:sz w:val="22"/>
                <w:szCs w:val="22"/>
                <w:highlight w:val="none"/>
              </w:rPr>
              <w:t>月</w:t>
            </w:r>
            <w:r>
              <w:rPr>
                <w:rFonts w:hint="eastAsia" w:ascii="宋体" w:hAnsi="宋体" w:cs="宋体"/>
                <w:b w:val="0"/>
                <w:bCs w:val="0"/>
                <w:color w:val="auto"/>
                <w:sz w:val="22"/>
                <w:szCs w:val="22"/>
                <w:highlight w:val="none"/>
                <w:lang w:val="en-US" w:eastAsia="zh-CN"/>
              </w:rPr>
              <w:t>16</w:t>
            </w:r>
            <w:r>
              <w:rPr>
                <w:rFonts w:hint="eastAsia" w:ascii="宋体" w:hAnsi="宋体" w:eastAsia="宋体" w:cs="宋体"/>
                <w:b w:val="0"/>
                <w:bCs w:val="0"/>
                <w:color w:val="auto"/>
                <w:sz w:val="22"/>
                <w:szCs w:val="22"/>
                <w:highlight w:val="none"/>
              </w:rPr>
              <w:t xml:space="preserve">日 </w:t>
            </w:r>
            <w:r>
              <w:rPr>
                <w:rFonts w:hint="eastAsia" w:ascii="宋体" w:hAnsi="宋体" w:eastAsia="宋体" w:cs="宋体"/>
                <w:b w:val="0"/>
                <w:bCs w:val="0"/>
                <w:color w:val="auto"/>
                <w:sz w:val="22"/>
                <w:szCs w:val="22"/>
                <w:highlight w:val="none"/>
                <w:lang w:val="en-US" w:eastAsia="zh-CN"/>
              </w:rPr>
              <w:t>09</w:t>
            </w:r>
            <w:r>
              <w:rPr>
                <w:rFonts w:hint="eastAsia" w:ascii="宋体" w:hAnsi="宋体" w:eastAsia="宋体" w:cs="宋体"/>
                <w:b w:val="0"/>
                <w:bCs w:val="0"/>
                <w:color w:val="auto"/>
                <w:sz w:val="22"/>
                <w:szCs w:val="22"/>
                <w:highlight w:val="none"/>
              </w:rPr>
              <w:t>:30</w:t>
            </w:r>
            <w:r>
              <w:rPr>
                <w:rFonts w:hint="eastAsia" w:ascii="宋体" w:hAnsi="宋体" w:eastAsia="宋体" w:cs="宋体"/>
                <w:color w:val="auto"/>
                <w:sz w:val="22"/>
                <w:szCs w:val="22"/>
                <w:highlight w:val="none"/>
              </w:rPr>
              <w:t>  </w:t>
            </w:r>
          </w:p>
          <w:p>
            <w:pPr>
              <w:widowControl/>
              <w:snapToGrid w:val="0"/>
              <w:spacing w:line="460" w:lineRule="exact"/>
              <w:jc w:val="left"/>
              <w:rPr>
                <w:rFonts w:hint="eastAsia"/>
                <w:color w:val="auto"/>
                <w:highlight w:val="none"/>
              </w:rPr>
            </w:pPr>
            <w:r>
              <w:rPr>
                <w:rFonts w:hint="eastAsia" w:ascii="宋体" w:hAnsi="宋体" w:eastAsia="宋体" w:cs="宋体"/>
                <w:color w:val="auto"/>
                <w:sz w:val="22"/>
                <w:szCs w:val="22"/>
                <w:highlight w:val="none"/>
              </w:rPr>
              <w:t>投标地点（网址）：</w:t>
            </w:r>
            <w:r>
              <w:rPr>
                <w:rFonts w:hint="eastAsia" w:ascii="新宋体" w:hAnsi="新宋体" w:eastAsia="新宋体" w:cs="新宋体"/>
                <w:color w:val="auto"/>
                <w:sz w:val="22"/>
                <w:highlight w:val="none"/>
              </w:rPr>
              <w:t>温州市政务服务管理中心温州市会展路1268号A座3楼（政采云平台http://zfcg.czt.zj.gov.cn）</w:t>
            </w:r>
            <w:r>
              <w:rPr>
                <w:rFonts w:hint="eastAsia" w:ascii="宋体" w:hAnsi="宋体" w:eastAsia="宋体" w:cs="宋体"/>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3</w:t>
            </w:r>
          </w:p>
        </w:tc>
        <w:tc>
          <w:tcPr>
            <w:tcW w:w="9590" w:type="dxa"/>
            <w:tcBorders>
              <w:top w:val="single" w:color="000000" w:sz="2" w:space="0"/>
              <w:left w:val="single" w:color="000000" w:sz="2" w:space="0"/>
              <w:bottom w:val="single" w:color="auto" w:sz="4" w:space="0"/>
              <w:right w:val="single" w:color="000000" w:sz="8" w:space="0"/>
            </w:tcBorders>
            <w:vAlign w:val="center"/>
          </w:tcPr>
          <w:p>
            <w:pPr>
              <w:widowControl/>
              <w:snapToGrid w:val="0"/>
              <w:spacing w:line="460" w:lineRule="exact"/>
              <w:jc w:val="left"/>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开标时间</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202</w:t>
            </w: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年</w:t>
            </w:r>
            <w:r>
              <w:rPr>
                <w:rFonts w:hint="eastAsia" w:ascii="宋体" w:hAnsi="宋体" w:cs="宋体"/>
                <w:b w:val="0"/>
                <w:bCs w:val="0"/>
                <w:color w:val="auto"/>
                <w:sz w:val="22"/>
                <w:szCs w:val="22"/>
                <w:highlight w:val="none"/>
                <w:lang w:val="en-US" w:eastAsia="zh-CN"/>
              </w:rPr>
              <w:t>06</w:t>
            </w:r>
            <w:r>
              <w:rPr>
                <w:rFonts w:hint="eastAsia" w:ascii="宋体" w:hAnsi="宋体" w:eastAsia="宋体" w:cs="宋体"/>
                <w:b w:val="0"/>
                <w:bCs w:val="0"/>
                <w:color w:val="auto"/>
                <w:sz w:val="22"/>
                <w:szCs w:val="22"/>
                <w:highlight w:val="none"/>
              </w:rPr>
              <w:t>月</w:t>
            </w:r>
            <w:r>
              <w:rPr>
                <w:rFonts w:hint="eastAsia" w:ascii="宋体" w:hAnsi="宋体" w:cs="宋体"/>
                <w:b w:val="0"/>
                <w:bCs w:val="0"/>
                <w:color w:val="auto"/>
                <w:sz w:val="22"/>
                <w:szCs w:val="22"/>
                <w:highlight w:val="none"/>
                <w:lang w:val="en-US" w:eastAsia="zh-CN"/>
              </w:rPr>
              <w:t>16</w:t>
            </w:r>
            <w:r>
              <w:rPr>
                <w:rFonts w:hint="eastAsia" w:ascii="宋体" w:hAnsi="宋体" w:eastAsia="宋体" w:cs="宋体"/>
                <w:b w:val="0"/>
                <w:bCs w:val="0"/>
                <w:color w:val="auto"/>
                <w:sz w:val="22"/>
                <w:szCs w:val="22"/>
                <w:highlight w:val="none"/>
              </w:rPr>
              <w:t xml:space="preserve">日 </w:t>
            </w:r>
            <w:r>
              <w:rPr>
                <w:rFonts w:hint="eastAsia" w:ascii="宋体" w:hAnsi="宋体" w:eastAsia="宋体" w:cs="宋体"/>
                <w:b w:val="0"/>
                <w:bCs w:val="0"/>
                <w:color w:val="auto"/>
                <w:sz w:val="22"/>
                <w:szCs w:val="22"/>
                <w:highlight w:val="none"/>
                <w:lang w:val="en-US" w:eastAsia="zh-CN"/>
              </w:rPr>
              <w:t>09</w:t>
            </w:r>
            <w:r>
              <w:rPr>
                <w:rFonts w:hint="eastAsia" w:ascii="宋体" w:hAnsi="宋体" w:eastAsia="宋体" w:cs="宋体"/>
                <w:b w:val="0"/>
                <w:bCs w:val="0"/>
                <w:color w:val="auto"/>
                <w:sz w:val="22"/>
                <w:szCs w:val="22"/>
                <w:highlight w:val="none"/>
              </w:rPr>
              <w:t>:30</w:t>
            </w:r>
          </w:p>
          <w:p>
            <w:pPr>
              <w:widowControl/>
              <w:snapToGrid w:val="0"/>
              <w:spacing w:line="460" w:lineRule="exact"/>
              <w:jc w:val="left"/>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开标地点（网址）：</w:t>
            </w:r>
            <w:r>
              <w:rPr>
                <w:rFonts w:hint="eastAsia" w:ascii="新宋体" w:hAnsi="新宋体" w:eastAsia="新宋体" w:cs="新宋体"/>
                <w:color w:val="auto"/>
                <w:sz w:val="22"/>
                <w:highlight w:val="none"/>
              </w:rPr>
              <w:t>温州市政务服务管理中心温州市会展路1268号A座3楼（政采云平台http://zfcg.czt.zj.gov.cn）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4</w:t>
            </w:r>
          </w:p>
        </w:tc>
        <w:tc>
          <w:tcPr>
            <w:tcW w:w="9590" w:type="dxa"/>
            <w:tcBorders>
              <w:top w:val="single" w:color="auto" w:sz="4" w:space="0"/>
              <w:left w:val="single" w:color="000000" w:sz="2" w:space="0"/>
              <w:bottom w:val="single" w:color="auto" w:sz="4" w:space="0"/>
              <w:right w:val="single" w:color="000000" w:sz="8" w:space="0"/>
            </w:tcBorders>
            <w:vAlign w:val="center"/>
          </w:tcPr>
          <w:p>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带“▲”条款系指实质性要求条款。“★”是关键技术参数及要求。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lang w:val="en-US" w:eastAsia="zh-CN"/>
              </w:rPr>
              <w:t>5</w:t>
            </w:r>
          </w:p>
        </w:tc>
        <w:tc>
          <w:tcPr>
            <w:tcW w:w="9590" w:type="dxa"/>
            <w:tcBorders>
              <w:top w:val="single" w:color="auto" w:sz="4" w:space="0"/>
              <w:left w:val="single" w:color="000000" w:sz="2" w:space="0"/>
              <w:bottom w:val="single" w:color="auto" w:sz="4" w:space="0"/>
              <w:right w:val="single" w:color="000000" w:sz="8" w:space="0"/>
            </w:tcBorders>
            <w:vAlign w:val="center"/>
          </w:tcPr>
          <w:p>
            <w:pPr>
              <w:widowControl/>
              <w:snapToGrid w:val="0"/>
              <w:spacing w:line="46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为优化政府采购金融服务，为供应商参与信用融资提供便利，中标供应商可通过“政府采购云平台金融服务中心”了解有关金融政采贷相关信息。详情请查看：</w:t>
            </w:r>
          </w:p>
          <w:p>
            <w:pPr>
              <w:widowControl/>
              <w:snapToGrid w:val="0"/>
              <w:spacing w:line="460" w:lineRule="exact"/>
              <w:jc w:val="lef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https://jinrong.zcygov.cn/?utm=a0017.2ef5001f.ct001.42.71561160646211eaaa9f25ccf25d2d6b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lang w:val="en-US" w:eastAsia="zh-CN"/>
              </w:rPr>
              <w:t>6</w:t>
            </w:r>
          </w:p>
        </w:tc>
        <w:tc>
          <w:tcPr>
            <w:tcW w:w="9590" w:type="dxa"/>
            <w:tcBorders>
              <w:top w:val="single" w:color="000000" w:sz="2" w:space="0"/>
              <w:left w:val="single" w:color="000000" w:sz="2" w:space="0"/>
              <w:bottom w:val="single" w:color="000000" w:sz="2" w:space="0"/>
              <w:right w:val="single" w:color="000000" w:sz="8" w:space="0"/>
            </w:tcBorders>
            <w:vAlign w:val="center"/>
          </w:tcPr>
          <w:p>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color w:val="auto"/>
                <w:kern w:val="10"/>
                <w:sz w:val="22"/>
                <w:szCs w:val="22"/>
                <w:highlight w:val="none"/>
              </w:rPr>
              <w:t>潜在供应商需在浙江政府采购网http://http://zfcg.czt.zj.gov.cn/进行免费注册，具体详见浙江政府采购网供应商注册要求。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lang w:val="en-US" w:eastAsia="zh-CN"/>
              </w:rPr>
              <w:t>7</w:t>
            </w:r>
          </w:p>
        </w:tc>
        <w:tc>
          <w:tcPr>
            <w:tcW w:w="9590" w:type="dxa"/>
            <w:tcBorders>
              <w:top w:val="single" w:color="000000" w:sz="2" w:space="0"/>
              <w:left w:val="single" w:color="000000" w:sz="2" w:space="0"/>
              <w:bottom w:val="single" w:color="000000" w:sz="2" w:space="0"/>
              <w:right w:val="single" w:color="000000" w:sz="8" w:space="0"/>
            </w:tcBorders>
            <w:vAlign w:val="center"/>
          </w:tcPr>
          <w:p>
            <w:pPr>
              <w:shd w:val="clear"/>
              <w:adjustRightInd w:val="0"/>
              <w:snapToGrid w:val="0"/>
              <w:spacing w:line="460" w:lineRule="exact"/>
              <w:ind w:firstLine="422" w:firstLineChars="200"/>
              <w:rPr>
                <w:rFonts w:hint="eastAsia" w:ascii="新宋体" w:hAnsi="新宋体" w:eastAsia="新宋体" w:cs="新宋体"/>
                <w:b/>
                <w:bCs/>
                <w:color w:val="auto"/>
                <w:highlight w:val="none"/>
              </w:rPr>
            </w:pPr>
            <w:r>
              <w:rPr>
                <w:rFonts w:hint="eastAsia" w:ascii="新宋体" w:hAnsi="新宋体" w:eastAsia="新宋体" w:cs="新宋体"/>
                <w:b/>
                <w:bCs/>
                <w:color w:val="auto"/>
                <w:highlight w:val="none"/>
              </w:rPr>
              <w:t>1、扶持中小企业（监狱企业、残疾人福利性单位）：</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1</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项目预算：</w:t>
            </w:r>
            <w:r>
              <w:rPr>
                <w:rFonts w:hint="eastAsia" w:ascii="新宋体" w:hAnsi="新宋体" w:eastAsia="新宋体" w:cs="新宋体"/>
                <w:color w:val="auto"/>
                <w:highlight w:val="none"/>
                <w:u w:val="single"/>
              </w:rPr>
              <w:t xml:space="preserve"> 2137.48 </w:t>
            </w:r>
            <w:r>
              <w:rPr>
                <w:rFonts w:hint="eastAsia" w:ascii="新宋体" w:hAnsi="新宋体" w:eastAsia="新宋体" w:cs="新宋体"/>
                <w:color w:val="auto"/>
                <w:highlight w:val="none"/>
              </w:rPr>
              <w:t>万元</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2</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项目属性：</w:t>
            </w:r>
            <w:r>
              <w:rPr>
                <w:rFonts w:hint="eastAsia" w:ascii="新宋体" w:hAnsi="新宋体" w:eastAsia="新宋体" w:cs="新宋体"/>
                <w:color w:val="auto"/>
                <w:highlight w:val="none"/>
                <w:u w:val="single"/>
              </w:rPr>
              <w:t xml:space="preserve">   ②   </w:t>
            </w:r>
            <w:r>
              <w:rPr>
                <w:rFonts w:hint="eastAsia" w:ascii="新宋体" w:hAnsi="新宋体" w:eastAsia="新宋体" w:cs="新宋体"/>
                <w:color w:val="auto"/>
                <w:highlight w:val="none"/>
              </w:rPr>
              <w:t xml:space="preserve"> （①货物类/②服务类/③工程类）</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3</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项目对应的中小企业划分标准所属行业：</w:t>
            </w:r>
            <w:r>
              <w:rPr>
                <w:rFonts w:hint="eastAsia" w:ascii="新宋体" w:hAnsi="新宋体" w:eastAsia="新宋体" w:cs="新宋体"/>
                <w:color w:val="auto"/>
                <w:highlight w:val="none"/>
                <w:u w:val="single"/>
              </w:rPr>
              <w:t xml:space="preserve"> 建筑业  </w:t>
            </w:r>
            <w:r>
              <w:rPr>
                <w:rFonts w:hint="eastAsia" w:ascii="新宋体" w:hAnsi="新宋体" w:eastAsia="新宋体" w:cs="新宋体"/>
                <w:color w:val="auto"/>
                <w:highlight w:val="none"/>
              </w:rPr>
              <w:t>（具体根据《中小企业划型标准规定》执行）</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4</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本项目</w:t>
            </w:r>
            <w:r>
              <w:rPr>
                <w:rFonts w:hint="eastAsia" w:ascii="新宋体" w:hAnsi="新宋体" w:eastAsia="新宋体" w:cs="新宋体"/>
                <w:color w:val="auto"/>
                <w:highlight w:val="none"/>
                <w:u w:val="single"/>
                <w:lang w:val="en-US" w:eastAsia="zh-CN"/>
              </w:rPr>
              <w:t xml:space="preserve"> </w:t>
            </w:r>
            <w:r>
              <w:rPr>
                <w:rFonts w:hint="eastAsia" w:ascii="新宋体" w:hAnsi="新宋体" w:eastAsia="新宋体" w:cs="新宋体"/>
                <w:color w:val="auto"/>
                <w:highlight w:val="none"/>
                <w:u w:val="single"/>
              </w:rPr>
              <w:t>（是）</w:t>
            </w:r>
            <w:r>
              <w:rPr>
                <w:rFonts w:hint="eastAsia" w:ascii="新宋体" w:hAnsi="新宋体" w:eastAsia="新宋体" w:cs="新宋体"/>
                <w:color w:val="auto"/>
                <w:highlight w:val="none"/>
              </w:rPr>
              <w:t>属于预留份额专门面向中小企业采购的项目。</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5</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上述第4项中确定为“是”的采购项目，预留份额通过（①）措施进行：</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 xml:space="preserve">①将采购项目整体或者设置采购包专门面向中小企业采购； </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②要求供应商以联合体形式参加采购活动，且联合体中中小企业承担的部分达到</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rPr>
              <w:t xml:space="preserve"> (比例)； </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 xml:space="preserve">③要求获得采购合同的供应商将采购项目中的 </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rPr>
              <w:t>(比例)分包给一家或者多家中小企业。</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6</w:t>
            </w:r>
            <w:r>
              <w:rPr>
                <w:rFonts w:hint="eastAsia" w:ascii="新宋体" w:hAnsi="新宋体" w:eastAsia="新宋体" w:cs="新宋体"/>
                <w:color w:val="auto"/>
                <w:highlight w:val="none"/>
                <w:lang w:eastAsia="zh-CN"/>
              </w:rPr>
              <w:t>）</w:t>
            </w:r>
            <w:r>
              <w:rPr>
                <w:rFonts w:hint="eastAsia" w:ascii="新宋体" w:hAnsi="新宋体" w:eastAsia="新宋体" w:cs="新宋体"/>
                <w:color w:val="auto"/>
                <w:highlight w:val="none"/>
              </w:rPr>
              <w:t>对于经主管预算单位统筹后未预留份额专门面向中小企业采购的采购项目，以及预留份额项目中的非预留部分采购包，请贵单位明确对符合本办法规定的小微企业报价给予</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u w:val="single"/>
                <w:lang w:val="en-US" w:eastAsia="zh-CN"/>
              </w:rPr>
              <w:t>/</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rPr>
              <w:t xml:space="preserve">（6%—10%）（工程项目为 3%—5%）的扣除，用扣除后的价格参加评审。 </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对于接受大中型企业与小微企业组成联合体或者允许大中型企业向一家或者多家小微企业分包的采购项目，对于联合协议或者分包意向协议约定小微企业的合同份额占到合同总金额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u w:val="single"/>
                <w:lang w:val="en-US" w:eastAsia="zh-CN"/>
              </w:rPr>
              <w:t>/</w:t>
            </w:r>
            <w:r>
              <w:rPr>
                <w:rFonts w:hint="eastAsia" w:ascii="新宋体" w:hAnsi="新宋体" w:eastAsia="新宋体" w:cs="新宋体"/>
                <w:color w:val="auto"/>
                <w:highlight w:val="none"/>
                <w:u w:val="single"/>
              </w:rPr>
              <w:t xml:space="preserve">    </w:t>
            </w:r>
            <w:r>
              <w:rPr>
                <w:rFonts w:hint="eastAsia" w:ascii="新宋体" w:hAnsi="新宋体" w:eastAsia="新宋体" w:cs="新宋体"/>
                <w:color w:val="auto"/>
                <w:highlight w:val="none"/>
              </w:rPr>
              <w:t>（2%-3%）（工程项目为 1%—2%）的扣除，用扣除后的价格参加评审。</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专门面向中小企业采购的项目或者标项，不再执行价格评审优惠的扶持政策。</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val="en-US" w:eastAsia="zh-CN"/>
              </w:rPr>
              <w:t>2</w:t>
            </w:r>
            <w:r>
              <w:rPr>
                <w:rFonts w:hint="eastAsia" w:ascii="新宋体" w:hAnsi="新宋体" w:eastAsia="新宋体" w:cs="新宋体"/>
                <w:color w:val="auto"/>
                <w:highlight w:val="none"/>
              </w:rPr>
              <w:t>、节能产品、环境标志产品的强制采购政策</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rPr>
              <w:t>根据财政部、国家发展和改革委员会、生态环境部等部门公布的政府采购节能产品、环境标志产品品目清单的规定，依据品目清单和认证证书实施政府优先采购和强制采购。</w:t>
            </w:r>
            <w:r>
              <w:rPr>
                <w:rFonts w:hint="eastAsia" w:ascii="新宋体" w:hAnsi="新宋体" w:eastAsia="新宋体" w:cs="新宋体"/>
                <w:color w:val="auto"/>
                <w:highlight w:val="none"/>
                <w:lang w:eastAsia="zh-CN"/>
              </w:rPr>
              <w:t>采购人</w:t>
            </w:r>
            <w:r>
              <w:rPr>
                <w:rFonts w:hint="eastAsia" w:ascii="新宋体" w:hAnsi="新宋体" w:eastAsia="新宋体" w:cs="新宋体"/>
                <w:color w:val="auto"/>
                <w:highlight w:val="none"/>
              </w:rPr>
              <w:t>拟采购的产品属于品目清单范围内的强制采购品目的，</w:t>
            </w:r>
            <w:r>
              <w:rPr>
                <w:rFonts w:hint="eastAsia" w:ascii="新宋体" w:hAnsi="新宋体" w:eastAsia="新宋体" w:cs="新宋体"/>
                <w:color w:val="auto"/>
                <w:highlight w:val="none"/>
                <w:lang w:eastAsia="zh-CN"/>
              </w:rPr>
              <w:t>磋商供应商</w:t>
            </w:r>
            <w:r>
              <w:rPr>
                <w:rFonts w:hint="eastAsia" w:ascii="新宋体" w:hAnsi="新宋体" w:eastAsia="新宋体" w:cs="新宋体"/>
                <w:color w:val="auto"/>
                <w:highlight w:val="none"/>
              </w:rPr>
              <w:t>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pPr>
              <w:widowControl/>
              <w:snapToGrid w:val="0"/>
              <w:spacing w:line="460" w:lineRule="exact"/>
              <w:ind w:firstLine="420" w:firstLineChars="200"/>
              <w:rPr>
                <w:rFonts w:hint="eastAsia" w:ascii="新宋体" w:hAnsi="新宋体" w:eastAsia="新宋体" w:cs="新宋体"/>
                <w:color w:val="auto"/>
                <w:highlight w:val="none"/>
              </w:rPr>
            </w:pPr>
            <w:r>
              <w:rPr>
                <w:rFonts w:hint="eastAsia" w:ascii="新宋体" w:hAnsi="新宋体" w:eastAsia="新宋体" w:cs="新宋体"/>
                <w:color w:val="auto"/>
                <w:highlight w:val="none"/>
                <w:lang w:val="en-US" w:eastAsia="zh-CN"/>
              </w:rPr>
              <w:t>3</w:t>
            </w:r>
            <w:r>
              <w:rPr>
                <w:rFonts w:hint="eastAsia" w:ascii="新宋体" w:hAnsi="新宋体" w:eastAsia="新宋体" w:cs="新宋体"/>
                <w:color w:val="auto"/>
                <w:highlight w:val="none"/>
              </w:rPr>
              <w:t>、节能产品、环境标志产品的优先采购政策</w:t>
            </w:r>
          </w:p>
          <w:p>
            <w:pPr>
              <w:widowControl/>
              <w:snapToGrid w:val="0"/>
              <w:spacing w:line="460" w:lineRule="exact"/>
              <w:ind w:firstLine="420" w:firstLineChars="200"/>
              <w:jc w:val="left"/>
              <w:rPr>
                <w:rFonts w:hint="eastAsia" w:ascii="宋体" w:hAnsi="宋体" w:eastAsia="宋体" w:cs="宋体"/>
                <w:b/>
                <w:color w:val="auto"/>
                <w:kern w:val="10"/>
                <w:sz w:val="22"/>
                <w:szCs w:val="22"/>
                <w:highlight w:val="none"/>
              </w:rPr>
            </w:pPr>
            <w:r>
              <w:rPr>
                <w:rFonts w:hint="eastAsia" w:ascii="新宋体" w:hAnsi="新宋体" w:eastAsia="新宋体" w:cs="新宋体"/>
                <w:color w:val="auto"/>
                <w:highlight w:val="none"/>
              </w:rPr>
              <w:t>根据财政部、国家发展和改革委员会、生态环境部等部门公布的政府采购节能产品、环境标志产品品目清单的规定、依据品目清单和认证证书实施政府优先采购和强制采购。</w:t>
            </w:r>
            <w:r>
              <w:rPr>
                <w:rFonts w:hint="eastAsia" w:ascii="新宋体" w:hAnsi="新宋体" w:eastAsia="新宋体" w:cs="新宋体"/>
                <w:color w:val="auto"/>
                <w:highlight w:val="none"/>
                <w:lang w:eastAsia="zh-CN"/>
              </w:rPr>
              <w:t>采购人</w:t>
            </w:r>
            <w:r>
              <w:rPr>
                <w:rFonts w:hint="eastAsia" w:ascii="新宋体" w:hAnsi="新宋体" w:eastAsia="新宋体" w:cs="新宋体"/>
                <w:color w:val="auto"/>
                <w:highlight w:val="none"/>
              </w:rPr>
              <w:t>拟采购的产品属于品目清单范围内的优先采购品目的，</w:t>
            </w:r>
            <w:r>
              <w:rPr>
                <w:rFonts w:hint="eastAsia" w:ascii="新宋体" w:hAnsi="新宋体" w:eastAsia="新宋体" w:cs="新宋体"/>
                <w:color w:val="auto"/>
                <w:highlight w:val="none"/>
                <w:lang w:eastAsia="zh-CN"/>
              </w:rPr>
              <w:t>磋商供应商</w:t>
            </w:r>
            <w:r>
              <w:rPr>
                <w:rFonts w:hint="eastAsia" w:ascii="新宋体" w:hAnsi="新宋体" w:eastAsia="新宋体" w:cs="新宋体"/>
                <w:color w:val="auto"/>
                <w:highlight w:val="none"/>
              </w:rPr>
              <w:t>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lang w:val="en-US" w:eastAsia="zh-CN"/>
              </w:rPr>
              <w:t>8</w:t>
            </w:r>
          </w:p>
        </w:tc>
        <w:tc>
          <w:tcPr>
            <w:tcW w:w="9590" w:type="dxa"/>
            <w:tcBorders>
              <w:top w:val="single" w:color="000000" w:sz="2" w:space="0"/>
              <w:left w:val="single" w:color="000000" w:sz="2" w:space="0"/>
              <w:bottom w:val="single" w:color="000000" w:sz="2" w:space="0"/>
              <w:right w:val="single" w:color="000000" w:sz="8" w:space="0"/>
            </w:tcBorders>
            <w:vAlign w:val="center"/>
          </w:tcPr>
          <w:p>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根据《关于在政府采购活动中查询及使用信用记录有关问题的通知》财库[2016]125号的规定：</w:t>
            </w:r>
          </w:p>
          <w:p>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1）招标人或采购代理机构将对本项目供应商的信用记录进行查询。查询渠道为信用中国网站（www.creditchina.gov.cn）、中国政府采购网（www.ccgp.gov.cn）；</w:t>
            </w:r>
          </w:p>
          <w:p>
            <w:pPr>
              <w:snapToGrid w:val="0"/>
              <w:spacing w:line="460" w:lineRule="exact"/>
              <w:ind w:firstLine="110" w:firstLine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2）截止时点：提交投标文件（响应文件）截止时间前3年内；</w:t>
            </w:r>
          </w:p>
          <w:p>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3）查询记录和证据的留存：信用信息查询记录和证据以网页截图等方式留存。</w:t>
            </w:r>
          </w:p>
          <w:p>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4）使用规则：被列入失信被执行人、重大税收违法案件当事人名单、政府采购严重违法失信行为记录名单及其它不符合《中华人民共和国政府采购法》第二十二条规定条件的，其投标将被拒绝。</w:t>
            </w:r>
          </w:p>
          <w:p>
            <w:pPr>
              <w:snapToGrid w:val="0"/>
              <w:spacing w:line="460" w:lineRule="exact"/>
              <w:rPr>
                <w:rFonts w:hint="eastAsia" w:ascii="宋体" w:hAnsi="宋体" w:eastAsia="宋体" w:cs="宋体"/>
                <w:b/>
                <w:color w:val="auto"/>
                <w:kern w:val="10"/>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5）联合体成员任意一方存在不良信用记录的，视同联合体存在不良信用记录。</w:t>
            </w:r>
          </w:p>
        </w:tc>
      </w:tr>
    </w:tbl>
    <w:p>
      <w:pPr>
        <w:rPr>
          <w:rFonts w:hint="eastAsia" w:ascii="宋体" w:hAnsi="宋体" w:eastAsia="宋体" w:cs="宋体"/>
          <w:b/>
          <w:bCs/>
          <w:color w:val="auto"/>
          <w:sz w:val="26"/>
          <w:szCs w:val="26"/>
          <w:highlight w:val="none"/>
        </w:rPr>
      </w:pPr>
      <w:r>
        <w:rPr>
          <w:rFonts w:hint="eastAsia" w:ascii="宋体" w:hAnsi="宋体" w:eastAsia="宋体" w:cs="宋体"/>
          <w:b/>
          <w:bCs/>
          <w:color w:val="auto"/>
          <w:sz w:val="26"/>
          <w:szCs w:val="26"/>
          <w:highlight w:val="none"/>
        </w:rPr>
        <w:br w:type="page"/>
      </w:r>
    </w:p>
    <w:p>
      <w:pPr>
        <w:spacing w:before="100" w:beforeAutospacing="1" w:after="100" w:afterAutospacing="1" w:line="460" w:lineRule="exact"/>
        <w:jc w:val="center"/>
        <w:outlineLvl w:val="1"/>
        <w:rPr>
          <w:rFonts w:hint="eastAsia" w:ascii="宋体" w:hAnsi="宋体" w:eastAsia="宋体" w:cs="宋体"/>
          <w:b/>
          <w:bCs/>
          <w:color w:val="auto"/>
          <w:sz w:val="32"/>
          <w:szCs w:val="32"/>
          <w:highlight w:val="none"/>
        </w:rPr>
      </w:pPr>
      <w:bookmarkStart w:id="10" w:name="_Toc20846"/>
      <w:bookmarkStart w:id="11" w:name="_Toc8506"/>
      <w:r>
        <w:rPr>
          <w:rFonts w:hint="eastAsia" w:ascii="宋体" w:hAnsi="宋体" w:eastAsia="宋体" w:cs="宋体"/>
          <w:b/>
          <w:bCs/>
          <w:color w:val="auto"/>
          <w:sz w:val="26"/>
          <w:szCs w:val="26"/>
          <w:highlight w:val="none"/>
        </w:rPr>
        <w:t>一、 说   明</w:t>
      </w:r>
      <w:bookmarkEnd w:id="10"/>
      <w:bookmarkEnd w:id="11"/>
    </w:p>
    <w:p>
      <w:pPr>
        <w:tabs>
          <w:tab w:val="left" w:pos="360"/>
        </w:tabs>
        <w:spacing w:line="460" w:lineRule="exact"/>
        <w:ind w:firstLine="550" w:firstLineChars="25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本次招标是按照《中华人民共和国政府采购法》、《政府采购货物和服务招标投标管理办法》、《中华人民共和国政府采购法实施条例》和《关于进一步规范政府采购活动的若干意见》等法律及有关法规组织和实施的。</w:t>
      </w:r>
    </w:p>
    <w:p>
      <w:pPr>
        <w:tabs>
          <w:tab w:val="left" w:pos="360"/>
        </w:tabs>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2、定义</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招标人：是指依法进行政府采购的国家机关、事业单位、团体组织</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招标代理机构：受招标人委托，在委托的范围内办理政府采购事宜的机构；</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投标人：是指参加本政府采购项目投标的供应商；</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投标人代表：是指参加本项目投标活动的供应商法定代表人或法定代表人授权代表；</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投标联合体：是指两个以上供应商组成联合体，以一个供应商的身份参加投标；</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甲方：是指合同签订的一方，一般与招标人、用户相同；</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乙方：是指合同签订的另一方，与中标人相同；</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制造商：是指拥有投标产品自主知识产权的单位；</w:t>
      </w:r>
    </w:p>
    <w:p>
      <w:pPr>
        <w:tabs>
          <w:tab w:val="left" w:pos="360"/>
        </w:tabs>
        <w:spacing w:line="4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原件备查：要求携带原件备查的，供应商应按要求携带备查，如评标委员会发现投标文件资料复印件存有瑕疵，致使内容模糊、关键信息难以辨认、材料真实性存疑等情形的，有权核对原件或评标委员会认为有必有核对原件，若供应商未能提交原件，将会导致评标委员会作出对 其不利的评定，一切后果由供应商自行承担。</w:t>
      </w:r>
    </w:p>
    <w:p>
      <w:pPr>
        <w:tabs>
          <w:tab w:val="left" w:pos="360"/>
        </w:tabs>
        <w:spacing w:line="460" w:lineRule="exact"/>
        <w:ind w:firstLine="552" w:firstLineChars="25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带“▲”条款系指实质性要求条款。“★”是关键技术参数及要求。</w:t>
      </w:r>
    </w:p>
    <w:p>
      <w:pPr>
        <w:tabs>
          <w:tab w:val="left" w:pos="360"/>
        </w:tabs>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3、投标人代表</w:t>
      </w:r>
    </w:p>
    <w:p>
      <w:pPr>
        <w:tabs>
          <w:tab w:val="left" w:pos="360"/>
        </w:tabs>
        <w:spacing w:line="460" w:lineRule="exact"/>
        <w:ind w:firstLine="541" w:firstLineChars="245"/>
        <w:rPr>
          <w:rFonts w:hint="eastAsia" w:ascii="宋体" w:hAnsi="宋体" w:eastAsia="宋体" w:cs="宋体"/>
          <w:b/>
          <w:color w:val="auto"/>
          <w:sz w:val="22"/>
          <w:highlight w:val="none"/>
        </w:rPr>
      </w:pPr>
      <w:r>
        <w:rPr>
          <w:rFonts w:hint="eastAsia" w:ascii="宋体" w:hAnsi="宋体" w:eastAsia="宋体" w:cs="宋体"/>
          <w:b/>
          <w:color w:val="auto"/>
          <w:sz w:val="22"/>
          <w:szCs w:val="22"/>
          <w:highlight w:val="none"/>
        </w:rPr>
        <w:t>3.1</w:t>
      </w:r>
      <w:r>
        <w:rPr>
          <w:rFonts w:hint="eastAsia" w:ascii="宋体" w:hAnsi="宋体" w:eastAsia="宋体" w:cs="宋体"/>
          <w:b/>
          <w:color w:val="auto"/>
          <w:sz w:val="22"/>
          <w:highlight w:val="none"/>
        </w:rPr>
        <w:t>指全权代表投标人参加投标活动并签署投标文件的人。如果投标人代表不是法定代表人，须持有《法定代表人授权书》（见附件）</w:t>
      </w:r>
    </w:p>
    <w:p>
      <w:pPr>
        <w:tabs>
          <w:tab w:val="left" w:pos="360"/>
        </w:tabs>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r>
        <w:rPr>
          <w:rFonts w:hint="eastAsia" w:ascii="宋体" w:hAnsi="宋体" w:eastAsia="宋体" w:cs="宋体"/>
          <w:b/>
          <w:color w:val="auto"/>
          <w:sz w:val="22"/>
          <w:szCs w:val="22"/>
          <w:highlight w:val="none"/>
        </w:rPr>
        <w:t>。</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4、投标费用</w:t>
      </w:r>
    </w:p>
    <w:p>
      <w:pPr>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4.1</w:t>
      </w:r>
      <w:r>
        <w:rPr>
          <w:rFonts w:hint="eastAsia" w:ascii="宋体" w:hAnsi="宋体" w:eastAsia="宋体" w:cs="宋体"/>
          <w:color w:val="auto"/>
          <w:sz w:val="22"/>
          <w:szCs w:val="22"/>
          <w:highlight w:val="none"/>
        </w:rPr>
        <w:t>投标人应承担所有与准备和参加投标有关费用，不论投标的结果如何，招标人或招标代理机构均无义务和责任承担这些费用。</w:t>
      </w:r>
    </w:p>
    <w:p>
      <w:pPr>
        <w:spacing w:before="100" w:beforeAutospacing="1" w:after="100" w:afterAutospacing="1" w:line="460" w:lineRule="exact"/>
        <w:jc w:val="center"/>
        <w:outlineLvl w:val="1"/>
        <w:rPr>
          <w:rFonts w:hint="eastAsia" w:ascii="宋体" w:hAnsi="宋体" w:eastAsia="宋体" w:cs="宋体"/>
          <w:b/>
          <w:bCs/>
          <w:color w:val="auto"/>
          <w:sz w:val="26"/>
          <w:szCs w:val="26"/>
          <w:highlight w:val="none"/>
        </w:rPr>
      </w:pPr>
      <w:bookmarkStart w:id="12" w:name="_Toc9899"/>
      <w:bookmarkStart w:id="13" w:name="_Toc26381"/>
      <w:r>
        <w:rPr>
          <w:rFonts w:hint="eastAsia" w:ascii="宋体" w:hAnsi="宋体" w:eastAsia="宋体" w:cs="宋体"/>
          <w:b/>
          <w:bCs/>
          <w:color w:val="auto"/>
          <w:sz w:val="26"/>
          <w:szCs w:val="26"/>
          <w:highlight w:val="none"/>
        </w:rPr>
        <w:t>二、 招标文件</w:t>
      </w:r>
      <w:bookmarkEnd w:id="12"/>
      <w:bookmarkEnd w:id="13"/>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1、招标文件由招标文件目录所列内容及相关资料组成。</w:t>
      </w:r>
    </w:p>
    <w:p>
      <w:pPr>
        <w:tabs>
          <w:tab w:val="left" w:pos="360"/>
        </w:tabs>
        <w:spacing w:line="460" w:lineRule="exact"/>
        <w:ind w:firstLine="552" w:firstLineChars="25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2、招标文件的澄清</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2.1 任何要求对招标文件进行澄清的投标人，均应以书面形式（信函、传真，下同）通知，但该通知在知道或应知道其权益受到损害之日起七个工作日内以使招标人或招标代理机构收到，招标人或招标代理机构将以书面形式予以答复。如有必要，可将不说明问题来源的答复发给各投标文件收受人或召开答疑会。如果招标文件澄清期内未收到有关澄清要求，视为投标人完全同意招标文件所有条款，且对于招标文件有关表述以及未尽事宜如有异议，以招标人或招标代理机构解释为准。</w:t>
      </w:r>
    </w:p>
    <w:p>
      <w:pPr>
        <w:tabs>
          <w:tab w:val="left" w:pos="360"/>
        </w:tabs>
        <w:spacing w:line="460" w:lineRule="exact"/>
        <w:ind w:firstLine="552" w:firstLineChars="25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3、招标文件的修改</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3.1招标人或招标代理机构对已发出的招标文件进行必要的澄清或者修改的，应当在招标文件要求递交投标文件截止时间十五日前，在财政部门指定的政府采购信息发布媒体上发布更正公告，并以书面形式通知所有招标文件收受人。该澄清或修改内容为招标文件的组成部分。招标文件收受人收到该书面通知后，应立即书面回复确认已收到该通知。</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3.2招标人、招标代理机构可以视采购的具体情况决定是否延长投标截止时间和开标时间，并在招标文件要求递交投标文件的截止时间前，将变更时间书面通知所有招标文件收受人，同时在财政部门指定的政府采购信息发布媒体上发布变更公告。招标文件收受人收到变更时间的书面通知后，应立即书面回复确认已收到该通知</w:t>
      </w:r>
      <w:r>
        <w:rPr>
          <w:rFonts w:hint="eastAsia" w:ascii="宋体" w:hAnsi="宋体" w:eastAsia="宋体" w:cs="宋体"/>
          <w:color w:val="auto"/>
          <w:sz w:val="22"/>
          <w:szCs w:val="22"/>
          <w:highlight w:val="none"/>
        </w:rPr>
        <w:t>。</w:t>
      </w:r>
    </w:p>
    <w:p>
      <w:pPr>
        <w:spacing w:before="100" w:beforeAutospacing="1" w:after="100" w:afterAutospacing="1" w:line="460" w:lineRule="exact"/>
        <w:jc w:val="center"/>
        <w:outlineLvl w:val="1"/>
        <w:rPr>
          <w:rFonts w:hint="eastAsia" w:ascii="宋体" w:hAnsi="宋体" w:eastAsia="宋体" w:cs="宋体"/>
          <w:b/>
          <w:bCs/>
          <w:color w:val="auto"/>
          <w:sz w:val="26"/>
          <w:szCs w:val="26"/>
          <w:highlight w:val="none"/>
        </w:rPr>
      </w:pPr>
      <w:bookmarkStart w:id="14" w:name="_Toc12726"/>
      <w:bookmarkStart w:id="15" w:name="_Toc25707"/>
      <w:r>
        <w:rPr>
          <w:rFonts w:hint="eastAsia" w:ascii="宋体" w:hAnsi="宋体" w:eastAsia="宋体" w:cs="宋体"/>
          <w:b/>
          <w:bCs/>
          <w:color w:val="auto"/>
          <w:sz w:val="26"/>
          <w:szCs w:val="26"/>
          <w:highlight w:val="none"/>
        </w:rPr>
        <w:t>三、 投标文件的编制</w:t>
      </w:r>
      <w:bookmarkEnd w:id="14"/>
      <w:bookmarkEnd w:id="15"/>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1、投标人应认真阅读招标文件中所有事项、格式、条款和技术规范等。</w:t>
      </w:r>
      <w:r>
        <w:rPr>
          <w:rFonts w:hint="eastAsia" w:ascii="宋体" w:hAnsi="宋体" w:eastAsia="宋体" w:cs="宋体"/>
          <w:b/>
          <w:color w:val="auto"/>
          <w:sz w:val="22"/>
          <w:highlight w:val="none"/>
        </w:rPr>
        <w:t>投标人没有按照招标文件要求提交全部资料，或者没有对招标文件各个方面做出实质性响应，导致投标被否决的风险由投标人自行承担。</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highlight w:val="none"/>
        </w:rPr>
        <w:t>2、投标人应保证所提供文件资料的真实性，所有文件资料必须是针对本次投标的。如发现投标人提供了虚假文件资料，其投标将被否决，并自行承担相应的法律责任。</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w:t>
      </w:r>
      <w:r>
        <w:rPr>
          <w:rFonts w:hint="eastAsia" w:ascii="宋体" w:hAnsi="宋体" w:eastAsia="宋体" w:cs="宋体"/>
          <w:b/>
          <w:bCs/>
          <w:color w:val="auto"/>
          <w:sz w:val="22"/>
          <w:szCs w:val="22"/>
          <w:highlight w:val="none"/>
        </w:rPr>
        <w:t>投标文件的构成：</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rPr>
        <w:t>投标</w:t>
      </w:r>
      <w:r>
        <w:rPr>
          <w:rFonts w:hint="eastAsia" w:ascii="宋体" w:hAnsi="宋体" w:eastAsia="宋体" w:cs="宋体"/>
          <w:b/>
          <w:bCs/>
          <w:color w:val="auto"/>
          <w:kern w:val="0"/>
          <w:sz w:val="22"/>
          <w:szCs w:val="22"/>
          <w:highlight w:val="none"/>
          <w:lang w:val="zh-CN"/>
        </w:rPr>
        <w:t>文件应当包括以下主要内容：资格文件、报价文件、商务技术文件。</w:t>
      </w:r>
    </w:p>
    <w:p>
      <w:pPr>
        <w:spacing w:line="460" w:lineRule="exact"/>
        <w:ind w:firstLine="541" w:firstLineChars="245"/>
        <w:rPr>
          <w:rFonts w:hint="eastAsia" w:ascii="宋体" w:hAnsi="宋体" w:eastAsia="宋体" w:cs="宋体"/>
          <w:b/>
          <w:bCs/>
          <w:color w:val="auto"/>
          <w:kern w:val="0"/>
          <w:sz w:val="22"/>
          <w:szCs w:val="22"/>
          <w:highlight w:val="none"/>
          <w:u w:val="none"/>
          <w:lang w:val="zh-CN"/>
        </w:rPr>
      </w:pPr>
      <w:r>
        <w:rPr>
          <w:rFonts w:hint="eastAsia" w:ascii="宋体" w:hAnsi="宋体" w:eastAsia="宋体" w:cs="宋体"/>
          <w:b/>
          <w:bCs/>
          <w:color w:val="auto"/>
          <w:kern w:val="0"/>
          <w:sz w:val="22"/>
          <w:szCs w:val="22"/>
          <w:highlight w:val="none"/>
          <w:u w:val="none"/>
        </w:rPr>
        <w:t>3.1</w:t>
      </w:r>
      <w:r>
        <w:rPr>
          <w:rFonts w:hint="eastAsia" w:ascii="宋体" w:hAnsi="宋体" w:eastAsia="宋体" w:cs="宋体"/>
          <w:b/>
          <w:bCs/>
          <w:color w:val="auto"/>
          <w:kern w:val="0"/>
          <w:sz w:val="22"/>
          <w:szCs w:val="22"/>
          <w:highlight w:val="none"/>
          <w:u w:val="none"/>
          <w:lang w:val="zh-CN"/>
        </w:rPr>
        <w:t xml:space="preserve">投标人的资格文件至少应包括以下内容： </w:t>
      </w:r>
    </w:p>
    <w:p>
      <w:pPr>
        <w:spacing w:line="460" w:lineRule="exact"/>
        <w:ind w:firstLine="539" w:firstLineChars="245"/>
        <w:rPr>
          <w:rFonts w:hint="eastAsia" w:ascii="宋体" w:hAnsi="宋体" w:eastAsia="宋体" w:cs="宋体"/>
          <w:color w:val="auto"/>
          <w:kern w:val="0"/>
          <w:sz w:val="22"/>
          <w:szCs w:val="22"/>
          <w:highlight w:val="none"/>
          <w:u w:val="none"/>
          <w:lang w:val="zh-CN"/>
        </w:rPr>
      </w:pPr>
      <w:r>
        <w:rPr>
          <w:rFonts w:hint="eastAsia" w:ascii="宋体" w:hAnsi="宋体" w:eastAsia="宋体" w:cs="宋体"/>
          <w:color w:val="auto"/>
          <w:kern w:val="0"/>
          <w:sz w:val="22"/>
          <w:szCs w:val="22"/>
          <w:highlight w:val="none"/>
          <w:u w:val="none"/>
          <w:lang w:val="zh-CN"/>
        </w:rPr>
        <w:t>基本资格条件审查材料：即证明其符合《中华人民共和国政府采购法》规定的供应商基本条件的有关资格证明文件。</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包括：</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w:t>
      </w:r>
      <w:r>
        <w:rPr>
          <w:rFonts w:hint="eastAsia" w:ascii="宋体" w:hAnsi="宋体" w:eastAsia="宋体" w:cs="宋体"/>
          <w:bCs/>
          <w:color w:val="auto"/>
          <w:sz w:val="22"/>
          <w:szCs w:val="22"/>
          <w:highlight w:val="none"/>
          <w:u w:val="none"/>
        </w:rPr>
        <w:t>营业执照</w:t>
      </w:r>
      <w:r>
        <w:rPr>
          <w:rFonts w:hint="eastAsia" w:ascii="宋体" w:hAnsi="宋体" w:eastAsia="宋体" w:cs="宋体"/>
          <w:color w:val="auto"/>
          <w:sz w:val="22"/>
          <w:szCs w:val="22"/>
          <w:highlight w:val="none"/>
          <w:u w:val="none"/>
        </w:rPr>
        <w:t xml:space="preserve">(或事业法人登记证书或其它工商等登记证明材料；自然人参与政府采购，提供身份证)复印件； </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（2）最近一年财务报表(复印件，新成立的公司提供情况说明)；</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（3）具有履行合同所必需的场地、设备和专业技术能力的承诺函；</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（4）依法缴纳税收和社会保障资金的承诺函；</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（5）参加政府采购活动前3年内在经营活动中没有重大违法记录的声明函；</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（6）单位负责人为同一人或者存在直接控股、管理关系的不同供应商，不得参加同一合同项下的政府采购活动承诺函；</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（7）供应商不属于公益一类事业单位承诺函。</w:t>
      </w:r>
    </w:p>
    <w:p>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（8）未被“信用中国”（www.creditchina.gov.cn）、中国政府采购网（www.ccgp.gov.cn）列入失信被执行人、重大税收违法案件当事人名单、政府采购严重违法失信行为记录名单.</w:t>
      </w:r>
    </w:p>
    <w:p>
      <w:pPr>
        <w:snapToGrid w:val="0"/>
        <w:spacing w:line="460" w:lineRule="exact"/>
        <w:ind w:left="525" w:left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信用信息查询记录和证据以项目公告发出日期后的网页截图为准；</w:t>
      </w:r>
    </w:p>
    <w:p>
      <w:pPr>
        <w:keepNext w:val="0"/>
        <w:keepLines w:val="0"/>
        <w:pageBreakBefore w:val="0"/>
        <w:numPr>
          <w:ilvl w:val="0"/>
          <w:numId w:val="0"/>
        </w:numPr>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lang w:eastAsia="zh-CN"/>
        </w:rPr>
      </w:pP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u w:val="none"/>
          <w:lang w:val="en-US" w:eastAsia="zh-CN"/>
        </w:rPr>
        <w:t>9</w:t>
      </w:r>
      <w:r>
        <w:rPr>
          <w:rFonts w:hint="eastAsia" w:ascii="新宋体" w:hAnsi="新宋体" w:eastAsia="新宋体" w:cs="新宋体"/>
          <w:color w:val="auto"/>
          <w:sz w:val="22"/>
          <w:szCs w:val="22"/>
          <w:highlight w:val="none"/>
          <w:u w:val="none"/>
          <w:lang w:eastAsia="zh-CN"/>
        </w:rPr>
        <w:t>）政府采购活动确认声明书</w:t>
      </w:r>
    </w:p>
    <w:p>
      <w:pPr>
        <w:keepNext w:val="0"/>
        <w:keepLines w:val="0"/>
        <w:pageBreakBefore w:val="0"/>
        <w:numPr>
          <w:ilvl w:val="0"/>
          <w:numId w:val="0"/>
        </w:numPr>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lang w:eastAsia="zh-CN"/>
        </w:rPr>
      </w:pP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u w:val="none"/>
          <w:lang w:val="en-US" w:eastAsia="zh-CN"/>
        </w:rPr>
        <w:t>10</w:t>
      </w: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u w:val="none"/>
          <w:lang w:val="en-US" w:eastAsia="zh-CN"/>
        </w:rPr>
        <w:t>中小企业声明函</w:t>
      </w:r>
      <w:r>
        <w:rPr>
          <w:rFonts w:hint="eastAsia" w:ascii="新宋体" w:hAnsi="新宋体" w:eastAsia="新宋体" w:cs="新宋体"/>
          <w:color w:val="auto"/>
          <w:sz w:val="22"/>
          <w:szCs w:val="22"/>
          <w:highlight w:val="none"/>
          <w:u w:val="none"/>
          <w:lang w:eastAsia="zh-CN"/>
        </w:rPr>
        <w:t>》</w:t>
      </w:r>
    </w:p>
    <w:p>
      <w:pPr>
        <w:keepNext w:val="0"/>
        <w:keepLines w:val="0"/>
        <w:pageBreakBefore w:val="0"/>
        <w:numPr>
          <w:ilvl w:val="0"/>
          <w:numId w:val="0"/>
        </w:numPr>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lang w:eastAsia="zh-CN"/>
        </w:rPr>
      </w:pP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u w:val="none"/>
          <w:lang w:val="en-US" w:eastAsia="zh-CN"/>
        </w:rPr>
        <w:t>11</w:t>
      </w:r>
      <w:r>
        <w:rPr>
          <w:rFonts w:hint="eastAsia" w:ascii="新宋体" w:hAnsi="新宋体" w:eastAsia="新宋体" w:cs="新宋体"/>
          <w:color w:val="auto"/>
          <w:sz w:val="22"/>
          <w:szCs w:val="22"/>
          <w:highlight w:val="none"/>
          <w:u w:val="none"/>
          <w:lang w:eastAsia="zh-CN"/>
        </w:rPr>
        <w:t>）城市及道路照明工程专业承包</w:t>
      </w:r>
      <w:r>
        <w:rPr>
          <w:rFonts w:hint="eastAsia" w:ascii="新宋体" w:hAnsi="新宋体" w:eastAsia="新宋体" w:cs="新宋体"/>
          <w:color w:val="auto"/>
          <w:sz w:val="22"/>
          <w:szCs w:val="22"/>
          <w:highlight w:val="none"/>
          <w:u w:val="none"/>
          <w:lang w:val="en-US" w:eastAsia="zh-CN"/>
        </w:rPr>
        <w:t>一</w:t>
      </w:r>
      <w:r>
        <w:rPr>
          <w:rFonts w:hint="eastAsia" w:ascii="新宋体" w:hAnsi="新宋体" w:eastAsia="新宋体" w:cs="新宋体"/>
          <w:color w:val="auto"/>
          <w:sz w:val="22"/>
          <w:szCs w:val="22"/>
          <w:highlight w:val="none"/>
          <w:u w:val="none"/>
          <w:lang w:eastAsia="zh-CN"/>
        </w:rPr>
        <w:t>级及以上资质或市政公用工程施工总承包企业资质</w:t>
      </w:r>
      <w:r>
        <w:rPr>
          <w:rFonts w:hint="eastAsia" w:ascii="新宋体" w:hAnsi="新宋体" w:eastAsia="新宋体" w:cs="新宋体"/>
          <w:color w:val="auto"/>
          <w:sz w:val="22"/>
          <w:szCs w:val="22"/>
          <w:highlight w:val="none"/>
          <w:u w:val="none"/>
          <w:lang w:val="en-US" w:eastAsia="zh-CN"/>
        </w:rPr>
        <w:t>三</w:t>
      </w:r>
      <w:r>
        <w:rPr>
          <w:rFonts w:hint="eastAsia" w:ascii="新宋体" w:hAnsi="新宋体" w:eastAsia="新宋体" w:cs="新宋体"/>
          <w:color w:val="auto"/>
          <w:sz w:val="22"/>
          <w:szCs w:val="22"/>
          <w:highlight w:val="none"/>
          <w:u w:val="none"/>
          <w:lang w:eastAsia="zh-CN"/>
        </w:rPr>
        <w:t>级及以上资质</w:t>
      </w:r>
    </w:p>
    <w:p>
      <w:pPr>
        <w:keepNext w:val="0"/>
        <w:keepLines w:val="0"/>
        <w:pageBreakBefore w:val="0"/>
        <w:numPr>
          <w:ilvl w:val="0"/>
          <w:numId w:val="0"/>
        </w:numPr>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lang w:eastAsia="zh-CN"/>
        </w:rPr>
      </w:pP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u w:val="none"/>
          <w:lang w:val="en-US" w:eastAsia="zh-CN"/>
        </w:rPr>
        <w:t>12</w:t>
      </w:r>
      <w:r>
        <w:rPr>
          <w:rFonts w:hint="eastAsia" w:ascii="新宋体" w:hAnsi="新宋体" w:eastAsia="新宋体" w:cs="新宋体"/>
          <w:color w:val="auto"/>
          <w:sz w:val="22"/>
          <w:szCs w:val="22"/>
          <w:highlight w:val="none"/>
          <w:u w:val="none"/>
          <w:lang w:eastAsia="zh-CN"/>
        </w:rPr>
        <w:t>）安全生产许可证</w:t>
      </w:r>
    </w:p>
    <w:p>
      <w:pPr>
        <w:snapToGrid w:val="0"/>
        <w:spacing w:line="460" w:lineRule="exact"/>
        <w:ind w:left="525" w:left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上述资格条件审查材料有一项不提供的，视为资格审查不通过。</w:t>
      </w:r>
    </w:p>
    <w:p>
      <w:pPr>
        <w:snapToGrid w:val="0"/>
        <w:spacing w:line="460" w:lineRule="exact"/>
        <w:ind w:left="105" w:leftChars="50" w:firstLine="442" w:firstLineChars="200"/>
        <w:rPr>
          <w:rFonts w:hint="eastAsia" w:ascii="宋体" w:hAnsi="宋体" w:eastAsia="宋体" w:cs="宋体"/>
          <w:color w:val="auto"/>
          <w:sz w:val="22"/>
          <w:szCs w:val="22"/>
          <w:highlight w:val="none"/>
          <w:u w:val="single"/>
          <w:lang w:val="zh-CN"/>
        </w:rPr>
      </w:pPr>
      <w:r>
        <w:rPr>
          <w:rFonts w:hint="eastAsia" w:ascii="宋体" w:hAnsi="宋体" w:eastAsia="宋体" w:cs="宋体"/>
          <w:b/>
          <w:bCs/>
          <w:color w:val="auto"/>
          <w:sz w:val="22"/>
          <w:szCs w:val="22"/>
          <w:highlight w:val="none"/>
        </w:rPr>
        <w:t xml:space="preserve">3.2投标人的报价文件至少应包括以下内容： </w:t>
      </w:r>
    </w:p>
    <w:p>
      <w:pPr>
        <w:numPr>
          <w:ilvl w:val="0"/>
          <w:numId w:val="3"/>
        </w:num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投标函；</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leftChars="250"/>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lang w:val="en-US" w:eastAsia="zh-CN"/>
        </w:rPr>
        <w:t>（2）编制说明</w:t>
      </w:r>
    </w:p>
    <w:p>
      <w:pPr>
        <w:keepNext w:val="0"/>
        <w:keepLines w:val="0"/>
        <w:pageBreakBefore w:val="0"/>
        <w:widowControl w:val="0"/>
        <w:kinsoku/>
        <w:wordWrap/>
        <w:overflowPunct/>
        <w:topLinePunct w:val="0"/>
        <w:autoSpaceDE/>
        <w:autoSpaceDN/>
        <w:bidi w:val="0"/>
        <w:adjustRightInd/>
        <w:snapToGrid w:val="0"/>
        <w:spacing w:line="460" w:lineRule="exact"/>
        <w:ind w:left="105" w:leftChars="50" w:firstLine="440" w:firstLineChars="200"/>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rPr>
        <w:t>（</w:t>
      </w:r>
      <w:r>
        <w:rPr>
          <w:rFonts w:hint="eastAsia" w:ascii="新宋体" w:hAnsi="新宋体" w:eastAsia="新宋体" w:cs="新宋体"/>
          <w:color w:val="auto"/>
          <w:sz w:val="22"/>
          <w:szCs w:val="22"/>
          <w:highlight w:val="none"/>
          <w:u w:val="single"/>
          <w:lang w:val="en-US" w:eastAsia="zh-CN"/>
        </w:rPr>
        <w:t>3</w:t>
      </w:r>
      <w:r>
        <w:rPr>
          <w:rFonts w:hint="eastAsia" w:ascii="新宋体" w:hAnsi="新宋体" w:eastAsia="新宋体" w:cs="新宋体"/>
          <w:color w:val="auto"/>
          <w:sz w:val="22"/>
          <w:szCs w:val="22"/>
          <w:highlight w:val="none"/>
          <w:u w:val="single"/>
        </w:rPr>
        <w:t>）</w:t>
      </w:r>
      <w:r>
        <w:rPr>
          <w:rFonts w:hint="eastAsia" w:ascii="新宋体" w:hAnsi="新宋体" w:eastAsia="新宋体" w:cs="新宋体"/>
          <w:color w:val="auto"/>
          <w:sz w:val="22"/>
          <w:szCs w:val="22"/>
          <w:highlight w:val="none"/>
          <w:u w:val="single"/>
          <w:lang w:val="en-US" w:eastAsia="zh-CN"/>
        </w:rPr>
        <w:t>投标报价</w:t>
      </w:r>
      <w:r>
        <w:rPr>
          <w:rFonts w:hint="eastAsia" w:ascii="新宋体" w:hAnsi="新宋体" w:eastAsia="新宋体" w:cs="新宋体"/>
          <w:color w:val="auto"/>
          <w:sz w:val="22"/>
          <w:szCs w:val="22"/>
          <w:highlight w:val="none"/>
          <w:u w:val="single"/>
        </w:rPr>
        <w:t>一览表</w:t>
      </w:r>
    </w:p>
    <w:p>
      <w:pPr>
        <w:keepNext w:val="0"/>
        <w:keepLines w:val="0"/>
        <w:pageBreakBefore w:val="0"/>
        <w:widowControl w:val="0"/>
        <w:kinsoku/>
        <w:wordWrap/>
        <w:overflowPunct/>
        <w:topLinePunct w:val="0"/>
        <w:autoSpaceDE/>
        <w:autoSpaceDN/>
        <w:bidi w:val="0"/>
        <w:adjustRightInd/>
        <w:snapToGrid w:val="0"/>
        <w:spacing w:line="460" w:lineRule="exact"/>
        <w:ind w:left="105" w:leftChars="50" w:firstLine="440" w:firstLineChars="200"/>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rPr>
        <w:t>（</w:t>
      </w:r>
      <w:r>
        <w:rPr>
          <w:rFonts w:hint="eastAsia" w:ascii="新宋体" w:hAnsi="新宋体" w:eastAsia="新宋体" w:cs="新宋体"/>
          <w:color w:val="auto"/>
          <w:sz w:val="22"/>
          <w:szCs w:val="22"/>
          <w:highlight w:val="none"/>
          <w:u w:val="single"/>
          <w:lang w:val="en-US" w:eastAsia="zh-CN"/>
        </w:rPr>
        <w:t>4</w:t>
      </w:r>
      <w:r>
        <w:rPr>
          <w:rFonts w:hint="eastAsia" w:ascii="新宋体" w:hAnsi="新宋体" w:eastAsia="新宋体" w:cs="新宋体"/>
          <w:color w:val="auto"/>
          <w:sz w:val="22"/>
          <w:szCs w:val="22"/>
          <w:highlight w:val="none"/>
          <w:u w:val="single"/>
        </w:rPr>
        <w:t>）</w:t>
      </w:r>
      <w:r>
        <w:rPr>
          <w:rFonts w:hint="eastAsia" w:ascii="新宋体" w:hAnsi="新宋体" w:eastAsia="新宋体" w:cs="新宋体"/>
          <w:color w:val="auto"/>
          <w:sz w:val="22"/>
          <w:szCs w:val="22"/>
          <w:highlight w:val="none"/>
          <w:u w:val="single"/>
          <w:lang w:val="en-US" w:eastAsia="zh-CN"/>
        </w:rPr>
        <w:t>投标分项报价表</w:t>
      </w:r>
    </w:p>
    <w:p>
      <w:pPr>
        <w:keepNext w:val="0"/>
        <w:keepLines w:val="0"/>
        <w:pageBreakBefore w:val="0"/>
        <w:kinsoku/>
        <w:wordWrap/>
        <w:topLinePunct w:val="0"/>
        <w:bidi w:val="0"/>
        <w:snapToGrid w:val="0"/>
        <w:spacing w:line="460" w:lineRule="exact"/>
        <w:ind w:firstLine="1100" w:firstLineChars="500"/>
        <w:rPr>
          <w:rFonts w:hint="eastAsia" w:ascii="新宋体" w:hAnsi="新宋体" w:eastAsia="新宋体" w:cs="新宋体"/>
          <w:color w:val="auto"/>
          <w:sz w:val="22"/>
          <w:szCs w:val="22"/>
          <w:highlight w:val="none"/>
          <w:u w:val="single"/>
          <w:lang w:val="en-US" w:eastAsia="zh-CN"/>
        </w:rPr>
      </w:pPr>
      <w:r>
        <w:rPr>
          <w:rFonts w:hint="eastAsia" w:ascii="新宋体" w:hAnsi="新宋体" w:eastAsia="新宋体" w:cs="新宋体"/>
          <w:color w:val="auto"/>
          <w:sz w:val="22"/>
          <w:szCs w:val="22"/>
          <w:highlight w:val="none"/>
          <w:u w:val="single"/>
          <w:lang w:val="en-US" w:eastAsia="zh-CN"/>
        </w:rPr>
        <w:t>①路灯设施正常维修养护费</w:t>
      </w:r>
    </w:p>
    <w:p>
      <w:pPr>
        <w:keepNext w:val="0"/>
        <w:keepLines w:val="0"/>
        <w:pageBreakBefore w:val="0"/>
        <w:kinsoku/>
        <w:wordWrap/>
        <w:topLinePunct w:val="0"/>
        <w:bidi w:val="0"/>
        <w:snapToGrid w:val="0"/>
        <w:spacing w:line="460" w:lineRule="exact"/>
        <w:ind w:firstLine="1100" w:firstLineChars="500"/>
        <w:rPr>
          <w:rFonts w:hint="eastAsia"/>
          <w:color w:val="auto"/>
          <w:highlight w:val="none"/>
        </w:rPr>
      </w:pPr>
      <w:r>
        <w:rPr>
          <w:rFonts w:hint="eastAsia" w:ascii="新宋体" w:hAnsi="新宋体" w:eastAsia="新宋体" w:cs="新宋体"/>
          <w:color w:val="auto"/>
          <w:sz w:val="22"/>
          <w:szCs w:val="22"/>
          <w:highlight w:val="none"/>
          <w:u w:val="single"/>
          <w:lang w:val="en-US" w:eastAsia="zh-CN"/>
        </w:rPr>
        <w:t>②路灯设施正常维修养护范围外的维修安装费</w:t>
      </w:r>
    </w:p>
    <w:p>
      <w:pPr>
        <w:snapToGrid w:val="0"/>
        <w:spacing w:line="460" w:lineRule="exact"/>
        <w:ind w:left="105" w:leftChars="5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w:t>
      </w:r>
      <w:r>
        <w:rPr>
          <w:rFonts w:hint="eastAsia" w:ascii="宋体" w:hAnsi="宋体" w:cs="宋体"/>
          <w:color w:val="auto"/>
          <w:sz w:val="22"/>
          <w:szCs w:val="22"/>
          <w:highlight w:val="none"/>
          <w:u w:val="none"/>
          <w:lang w:val="en-US" w:eastAsia="zh-CN"/>
        </w:rPr>
        <w:t>5</w:t>
      </w:r>
      <w:r>
        <w:rPr>
          <w:rFonts w:hint="eastAsia" w:ascii="宋体" w:hAnsi="宋体" w:eastAsia="宋体" w:cs="宋体"/>
          <w:color w:val="auto"/>
          <w:sz w:val="22"/>
          <w:szCs w:val="22"/>
          <w:highlight w:val="none"/>
          <w:u w:val="none"/>
        </w:rPr>
        <w:t>）中小企业声明函、监狱企业、残疾人福利性单位及其他相关的充分的证明材料。（如有）</w:t>
      </w:r>
      <w:r>
        <w:rPr>
          <w:rFonts w:hint="eastAsia" w:ascii="宋体" w:hAnsi="宋体" w:eastAsia="宋体" w:cs="宋体"/>
          <w:color w:val="auto"/>
          <w:sz w:val="22"/>
          <w:szCs w:val="22"/>
          <w:highlight w:val="none"/>
        </w:rPr>
        <w:t xml:space="preserve"> </w:t>
      </w:r>
    </w:p>
    <w:p>
      <w:pPr>
        <w:snapToGrid w:val="0"/>
        <w:spacing w:line="460" w:lineRule="exact"/>
        <w:ind w:firstLine="440" w:firstLineChars="200"/>
        <w:rPr>
          <w:rFonts w:hint="eastAsia"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rPr>
        <w:t>3.3</w:t>
      </w:r>
      <w:r>
        <w:rPr>
          <w:rFonts w:hint="eastAsia" w:ascii="宋体" w:hAnsi="宋体" w:eastAsia="宋体" w:cs="宋体"/>
          <w:color w:val="auto"/>
          <w:kern w:val="0"/>
          <w:sz w:val="22"/>
          <w:szCs w:val="22"/>
          <w:highlight w:val="none"/>
          <w:lang w:val="zh-CN"/>
        </w:rPr>
        <w:t>投标人的</w:t>
      </w:r>
      <w:r>
        <w:rPr>
          <w:rFonts w:hint="eastAsia" w:ascii="宋体" w:hAnsi="宋体" w:eastAsia="宋体" w:cs="宋体"/>
          <w:b/>
          <w:bCs/>
          <w:color w:val="auto"/>
          <w:kern w:val="0"/>
          <w:sz w:val="22"/>
          <w:szCs w:val="22"/>
          <w:highlight w:val="none"/>
          <w:lang w:val="zh-CN"/>
        </w:rPr>
        <w:t>商务技术文件</w:t>
      </w:r>
      <w:r>
        <w:rPr>
          <w:rFonts w:hint="eastAsia" w:ascii="宋体" w:hAnsi="宋体" w:eastAsia="宋体" w:cs="宋体"/>
          <w:color w:val="auto"/>
          <w:kern w:val="0"/>
          <w:sz w:val="22"/>
          <w:szCs w:val="22"/>
          <w:highlight w:val="none"/>
          <w:lang w:val="zh-CN"/>
        </w:rPr>
        <w:t xml:space="preserve">应包括以下内容： </w:t>
      </w:r>
    </w:p>
    <w:p>
      <w:pPr>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（1）法定代表人授权委托书（需提供法定代表人及授权委托人的身份证复印件加盖公章）；</w:t>
      </w:r>
    </w:p>
    <w:p>
      <w:pPr>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（2）投标人情况表</w:t>
      </w:r>
    </w:p>
    <w:p>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偏离表（</w:t>
      </w:r>
      <w:r>
        <w:rPr>
          <w:rFonts w:hint="eastAsia" w:ascii="宋体" w:hAnsi="宋体" w:eastAsia="宋体" w:cs="宋体"/>
          <w:color w:val="auto"/>
          <w:sz w:val="22"/>
          <w:szCs w:val="22"/>
          <w:highlight w:val="none"/>
        </w:rPr>
        <w:t>商务、技术偏离</w:t>
      </w:r>
      <w:r>
        <w:rPr>
          <w:rFonts w:hint="eastAsia" w:ascii="宋体" w:hAnsi="宋体" w:eastAsia="宋体" w:cs="宋体"/>
          <w:color w:val="auto"/>
          <w:sz w:val="22"/>
          <w:szCs w:val="22"/>
          <w:highlight w:val="none"/>
          <w:lang w:val="zh-CN"/>
        </w:rPr>
        <w:t>）</w:t>
      </w:r>
    </w:p>
    <w:p>
      <w:pPr>
        <w:keepNext w:val="0"/>
        <w:keepLines w:val="0"/>
        <w:pageBreakBefore w:val="0"/>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color="auto"/>
          <w:lang w:val="en-US" w:eastAsia="zh-CN"/>
        </w:rPr>
      </w:pPr>
      <w:r>
        <w:rPr>
          <w:rFonts w:hint="eastAsia" w:ascii="新宋体" w:hAnsi="新宋体" w:eastAsia="新宋体" w:cs="新宋体"/>
          <w:color w:val="auto"/>
          <w:sz w:val="22"/>
          <w:szCs w:val="22"/>
          <w:highlight w:val="none"/>
          <w:u w:val="none" w:color="auto"/>
          <w:lang w:val="en-US" w:eastAsia="zh-CN"/>
        </w:rPr>
        <w:t>（4）业绩</w:t>
      </w:r>
    </w:p>
    <w:p>
      <w:pPr>
        <w:keepNext w:val="0"/>
        <w:keepLines w:val="0"/>
        <w:pageBreakBefore w:val="0"/>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color="auto"/>
          <w:lang w:val="zh-CN" w:eastAsia="zh-CN"/>
        </w:rPr>
      </w:pPr>
      <w:r>
        <w:rPr>
          <w:rFonts w:hint="eastAsia" w:ascii="新宋体" w:hAnsi="新宋体" w:eastAsia="新宋体" w:cs="新宋体"/>
          <w:color w:val="auto"/>
          <w:sz w:val="22"/>
          <w:szCs w:val="22"/>
          <w:highlight w:val="none"/>
          <w:u w:val="none" w:color="auto"/>
          <w:lang w:val="en-US" w:eastAsia="zh-CN"/>
        </w:rPr>
        <w:t>（5）</w:t>
      </w:r>
      <w:r>
        <w:rPr>
          <w:rFonts w:hint="eastAsia" w:ascii="新宋体" w:hAnsi="新宋体" w:eastAsia="新宋体" w:cs="新宋体"/>
          <w:color w:val="auto"/>
          <w:sz w:val="22"/>
          <w:szCs w:val="22"/>
          <w:highlight w:val="none"/>
        </w:rPr>
        <w:t>项目</w:t>
      </w:r>
      <w:r>
        <w:rPr>
          <w:rFonts w:hint="eastAsia" w:ascii="新宋体" w:hAnsi="新宋体" w:eastAsia="新宋体" w:cs="新宋体"/>
          <w:color w:val="auto"/>
          <w:sz w:val="22"/>
          <w:szCs w:val="22"/>
          <w:highlight w:val="none"/>
          <w:lang w:val="en-US" w:eastAsia="zh-CN"/>
        </w:rPr>
        <w:t>履行</w:t>
      </w:r>
      <w:r>
        <w:rPr>
          <w:rFonts w:hint="eastAsia" w:ascii="新宋体" w:hAnsi="新宋体" w:eastAsia="新宋体" w:cs="新宋体"/>
          <w:color w:val="auto"/>
          <w:sz w:val="22"/>
          <w:szCs w:val="22"/>
          <w:highlight w:val="none"/>
        </w:rPr>
        <w:t>能力</w:t>
      </w:r>
    </w:p>
    <w:p>
      <w:pPr>
        <w:keepNext w:val="0"/>
        <w:keepLines w:val="0"/>
        <w:pageBreakBefore w:val="0"/>
        <w:kinsoku/>
        <w:wordWrap/>
        <w:topLinePunct w:val="0"/>
        <w:bidi w:val="0"/>
        <w:snapToGrid w:val="0"/>
        <w:spacing w:line="460" w:lineRule="exact"/>
        <w:ind w:firstLine="1100" w:firstLineChars="500"/>
        <w:rPr>
          <w:rFonts w:hint="default" w:ascii="新宋体" w:hAnsi="新宋体" w:eastAsia="新宋体" w:cs="新宋体"/>
          <w:color w:val="auto"/>
          <w:sz w:val="22"/>
          <w:szCs w:val="22"/>
          <w:highlight w:val="none"/>
          <w:u w:val="none" w:color="auto"/>
          <w:lang w:val="en-US" w:eastAsia="zh-CN"/>
        </w:rPr>
      </w:pPr>
      <w:r>
        <w:rPr>
          <w:rFonts w:hint="eastAsia" w:ascii="新宋体" w:hAnsi="新宋体" w:eastAsia="新宋体" w:cs="新宋体"/>
          <w:color w:val="auto"/>
          <w:sz w:val="22"/>
          <w:szCs w:val="22"/>
          <w:highlight w:val="none"/>
          <w:u w:val="none" w:color="auto"/>
          <w:lang w:val="en-US" w:eastAsia="zh-CN"/>
        </w:rPr>
        <w:t>①</w:t>
      </w:r>
      <w:r>
        <w:rPr>
          <w:rFonts w:hint="eastAsia" w:ascii="新宋体" w:hAnsi="新宋体" w:eastAsia="新宋体" w:cs="新宋体"/>
          <w:color w:val="auto"/>
          <w:sz w:val="22"/>
          <w:szCs w:val="22"/>
          <w:highlight w:val="none"/>
          <w:lang w:val="en-US" w:eastAsia="zh-CN"/>
        </w:rPr>
        <w:t>能力</w:t>
      </w:r>
      <w:r>
        <w:rPr>
          <w:rFonts w:hint="eastAsia" w:ascii="新宋体" w:hAnsi="新宋体" w:eastAsia="新宋体" w:cs="新宋体"/>
          <w:color w:val="auto"/>
          <w:sz w:val="22"/>
          <w:szCs w:val="22"/>
          <w:highlight w:val="none"/>
        </w:rPr>
        <w:t>配置情况</w:t>
      </w:r>
    </w:p>
    <w:p>
      <w:pPr>
        <w:keepNext w:val="0"/>
        <w:keepLines w:val="0"/>
        <w:pageBreakBefore w:val="0"/>
        <w:kinsoku/>
        <w:wordWrap/>
        <w:topLinePunct w:val="0"/>
        <w:bidi w:val="0"/>
        <w:snapToGrid w:val="0"/>
        <w:spacing w:line="460" w:lineRule="exact"/>
        <w:ind w:firstLine="1100" w:firstLineChars="500"/>
        <w:rPr>
          <w:rFonts w:hint="default"/>
          <w:color w:val="auto"/>
          <w:highlight w:val="none"/>
          <w:u w:val="none" w:color="auto"/>
          <w:lang w:val="en-US" w:eastAsia="zh-CN"/>
        </w:rPr>
      </w:pPr>
      <w:r>
        <w:rPr>
          <w:rFonts w:hint="eastAsia" w:ascii="新宋体" w:hAnsi="新宋体" w:eastAsia="新宋体" w:cs="新宋体"/>
          <w:color w:val="auto"/>
          <w:sz w:val="22"/>
          <w:szCs w:val="22"/>
          <w:highlight w:val="none"/>
          <w:u w:val="none" w:color="auto"/>
          <w:lang w:val="en-US" w:eastAsia="zh-CN"/>
        </w:rPr>
        <w:t>②车辆配备情况</w:t>
      </w:r>
    </w:p>
    <w:p>
      <w:pPr>
        <w:keepNext w:val="0"/>
        <w:keepLines w:val="0"/>
        <w:pageBreakBefore w:val="0"/>
        <w:numPr>
          <w:ilvl w:val="0"/>
          <w:numId w:val="0"/>
        </w:numPr>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color="auto"/>
          <w:lang w:val="zh-CN" w:eastAsia="zh-CN"/>
        </w:rPr>
      </w:pPr>
      <w:r>
        <w:rPr>
          <w:rFonts w:hint="eastAsia" w:ascii="新宋体" w:hAnsi="新宋体" w:eastAsia="新宋体" w:cs="新宋体"/>
          <w:color w:val="auto"/>
          <w:sz w:val="22"/>
          <w:szCs w:val="22"/>
          <w:highlight w:val="none"/>
          <w:u w:val="none" w:color="auto"/>
          <w:lang w:val="en-US" w:eastAsia="zh-CN"/>
        </w:rPr>
        <w:t>（6）施工组织</w:t>
      </w:r>
      <w:r>
        <w:rPr>
          <w:rFonts w:hint="eastAsia" w:ascii="新宋体" w:hAnsi="新宋体" w:eastAsia="新宋体" w:cs="新宋体"/>
          <w:color w:val="auto"/>
          <w:sz w:val="22"/>
          <w:szCs w:val="22"/>
          <w:highlight w:val="none"/>
          <w:u w:val="none" w:color="auto"/>
          <w:lang w:val="zh-CN" w:eastAsia="zh-CN"/>
        </w:rPr>
        <w:t>方案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①</w:t>
      </w:r>
      <w:r>
        <w:rPr>
          <w:rFonts w:hint="eastAsia" w:ascii="新宋体" w:hAnsi="新宋体" w:eastAsia="新宋体" w:cs="新宋体"/>
          <w:b w:val="0"/>
          <w:bCs w:val="0"/>
          <w:color w:val="auto"/>
          <w:sz w:val="22"/>
          <w:highlight w:val="none"/>
          <w:u w:val="none" w:color="auto"/>
          <w:lang w:val="en-US" w:eastAsia="zh-CN"/>
        </w:rPr>
        <w:t>日</w:t>
      </w:r>
      <w:r>
        <w:rPr>
          <w:rFonts w:hint="eastAsia" w:ascii="新宋体" w:hAnsi="新宋体" w:eastAsia="新宋体" w:cs="新宋体"/>
          <w:b w:val="0"/>
          <w:bCs w:val="0"/>
          <w:color w:val="auto"/>
          <w:sz w:val="22"/>
          <w:highlight w:val="none"/>
          <w:u w:val="none" w:color="auto"/>
          <w:lang w:eastAsia="zh-CN"/>
        </w:rPr>
        <w:t>常路灯维护组织方案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②</w:t>
      </w:r>
      <w:r>
        <w:rPr>
          <w:rFonts w:hint="eastAsia" w:ascii="新宋体" w:hAnsi="新宋体" w:eastAsia="新宋体" w:cs="新宋体"/>
          <w:b w:val="0"/>
          <w:bCs w:val="0"/>
          <w:color w:val="auto"/>
          <w:sz w:val="22"/>
          <w:highlight w:val="none"/>
          <w:u w:val="none" w:color="auto"/>
          <w:lang w:eastAsia="zh-CN"/>
        </w:rPr>
        <w:t>路灯应急抢修处置方案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③</w:t>
      </w:r>
      <w:r>
        <w:rPr>
          <w:rFonts w:hint="eastAsia" w:ascii="新宋体" w:hAnsi="新宋体" w:eastAsia="新宋体" w:cs="新宋体"/>
          <w:b w:val="0"/>
          <w:bCs w:val="0"/>
          <w:color w:val="auto"/>
          <w:sz w:val="22"/>
          <w:highlight w:val="none"/>
          <w:u w:val="none" w:color="auto"/>
          <w:lang w:eastAsia="zh-CN"/>
        </w:rPr>
        <w:t>路灯设施突发安全事故应急预案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④</w:t>
      </w:r>
      <w:r>
        <w:rPr>
          <w:rFonts w:hint="eastAsia" w:ascii="新宋体" w:hAnsi="新宋体" w:eastAsia="新宋体" w:cs="新宋体"/>
          <w:b w:val="0"/>
          <w:bCs w:val="0"/>
          <w:color w:val="auto"/>
          <w:sz w:val="22"/>
          <w:highlight w:val="none"/>
          <w:u w:val="none" w:color="auto"/>
          <w:lang w:eastAsia="zh-CN"/>
        </w:rPr>
        <w:t>路灯大面积失明处置方案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⑤</w:t>
      </w:r>
      <w:r>
        <w:rPr>
          <w:rFonts w:hint="eastAsia" w:ascii="新宋体" w:hAnsi="新宋体" w:eastAsia="新宋体" w:cs="新宋体"/>
          <w:b w:val="0"/>
          <w:bCs w:val="0"/>
          <w:color w:val="auto"/>
          <w:sz w:val="22"/>
          <w:highlight w:val="none"/>
          <w:u w:val="none" w:color="auto"/>
          <w:lang w:eastAsia="zh-CN"/>
        </w:rPr>
        <w:t>路灯数字（智慧）城管案卷处置方案</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⑥</w:t>
      </w:r>
      <w:r>
        <w:rPr>
          <w:rFonts w:hint="eastAsia" w:ascii="新宋体" w:hAnsi="新宋体" w:eastAsia="新宋体" w:cs="新宋体"/>
          <w:b w:val="0"/>
          <w:bCs w:val="0"/>
          <w:color w:val="auto"/>
          <w:sz w:val="22"/>
          <w:highlight w:val="none"/>
          <w:u w:val="none" w:color="auto"/>
          <w:lang w:eastAsia="zh-CN"/>
        </w:rPr>
        <w:t>安全施工方面的措施</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⑦</w:t>
      </w:r>
      <w:r>
        <w:rPr>
          <w:rFonts w:hint="eastAsia" w:ascii="新宋体" w:hAnsi="新宋体" w:eastAsia="新宋体" w:cs="新宋体"/>
          <w:b w:val="0"/>
          <w:bCs w:val="0"/>
          <w:color w:val="auto"/>
          <w:sz w:val="22"/>
          <w:highlight w:val="none"/>
          <w:u w:val="none" w:color="auto"/>
          <w:lang w:eastAsia="zh-CN"/>
        </w:rPr>
        <w:t>文明施工方面的措施</w:t>
      </w:r>
    </w:p>
    <w:p>
      <w:pPr>
        <w:keepNext w:val="0"/>
        <w:keepLines w:val="0"/>
        <w:pageBreakBefore w:val="0"/>
        <w:kinsoku/>
        <w:wordWrap/>
        <w:topLinePunct w:val="0"/>
        <w:bidi w:val="0"/>
        <w:snapToGrid w:val="0"/>
        <w:spacing w:line="460" w:lineRule="exact"/>
        <w:ind w:firstLine="1050" w:firstLineChars="500"/>
        <w:rPr>
          <w:rFonts w:hint="default"/>
          <w:b w:val="0"/>
          <w:bCs w:val="0"/>
          <w:color w:val="auto"/>
          <w:highlight w:val="none"/>
          <w:u w:val="none" w:color="auto"/>
          <w:lang w:val="en-US" w:eastAsia="zh-CN"/>
        </w:rPr>
      </w:pPr>
      <w:r>
        <w:rPr>
          <w:rFonts w:hint="eastAsia"/>
          <w:b w:val="0"/>
          <w:bCs w:val="0"/>
          <w:color w:val="auto"/>
          <w:highlight w:val="none"/>
          <w:u w:val="none" w:color="auto"/>
          <w:lang w:val="en-US" w:eastAsia="zh-CN"/>
        </w:rPr>
        <w:t>⑧</w:t>
      </w:r>
      <w:r>
        <w:rPr>
          <w:rFonts w:hint="eastAsia" w:ascii="新宋体" w:hAnsi="新宋体" w:eastAsia="新宋体" w:cs="新宋体"/>
          <w:b w:val="0"/>
          <w:bCs w:val="0"/>
          <w:color w:val="auto"/>
          <w:kern w:val="2"/>
          <w:sz w:val="22"/>
          <w:szCs w:val="24"/>
          <w:highlight w:val="none"/>
          <w:u w:val="none" w:color="auto"/>
          <w:lang w:val="en-US" w:eastAsia="zh-CN" w:bidi="ar-SA"/>
        </w:rPr>
        <w:t>路灯设施防偷盗措施</w:t>
      </w:r>
    </w:p>
    <w:p>
      <w:pPr>
        <w:keepNext w:val="0"/>
        <w:keepLines w:val="0"/>
        <w:pageBreakBefore w:val="0"/>
        <w:numPr>
          <w:ilvl w:val="0"/>
          <w:numId w:val="4"/>
        </w:numPr>
        <w:kinsoku/>
        <w:wordWrap/>
        <w:topLinePunct w:val="0"/>
        <w:bidi w:val="0"/>
        <w:snapToGrid w:val="0"/>
        <w:spacing w:line="460" w:lineRule="exact"/>
        <w:ind w:left="0" w:leftChars="0" w:firstLine="440" w:firstLineChars="200"/>
        <w:rPr>
          <w:rFonts w:hint="eastAsia" w:ascii="新宋体" w:hAnsi="新宋体" w:eastAsia="新宋体" w:cs="新宋体"/>
          <w:color w:val="auto"/>
          <w:sz w:val="22"/>
          <w:szCs w:val="22"/>
          <w:highlight w:val="none"/>
          <w:u w:val="none" w:color="auto"/>
          <w:lang w:val="en-US" w:eastAsia="zh-CN"/>
        </w:rPr>
      </w:pPr>
      <w:r>
        <w:rPr>
          <w:rFonts w:hint="eastAsia" w:ascii="新宋体" w:hAnsi="新宋体" w:eastAsia="新宋体" w:cs="新宋体"/>
          <w:color w:val="auto"/>
          <w:sz w:val="22"/>
          <w:szCs w:val="22"/>
          <w:highlight w:val="none"/>
          <w:u w:val="none" w:color="auto"/>
          <w:lang w:val="en-US" w:eastAsia="zh-CN"/>
        </w:rPr>
        <w:t>路灯增装、被撞补装，灯杆油漆美化等路灯正常养护范围外的维修安装</w:t>
      </w:r>
    </w:p>
    <w:p>
      <w:pPr>
        <w:keepNext w:val="0"/>
        <w:keepLines w:val="0"/>
        <w:pageBreakBefore w:val="0"/>
        <w:kinsoku/>
        <w:wordWrap/>
        <w:topLinePunct w:val="0"/>
        <w:bidi w:val="0"/>
        <w:snapToGrid w:val="0"/>
        <w:spacing w:line="460" w:lineRule="exact"/>
        <w:ind w:firstLine="1050" w:firstLineChars="500"/>
        <w:rPr>
          <w:rFonts w:hint="eastAsia"/>
          <w:b w:val="0"/>
          <w:bCs w:val="0"/>
          <w:color w:val="auto"/>
          <w:highlight w:val="none"/>
          <w:u w:val="none" w:color="auto"/>
          <w:lang w:val="en-US" w:eastAsia="zh-CN"/>
        </w:rPr>
      </w:pPr>
      <w:r>
        <w:rPr>
          <w:rFonts w:hint="eastAsia"/>
          <w:b w:val="0"/>
          <w:bCs w:val="0"/>
          <w:color w:val="auto"/>
          <w:highlight w:val="none"/>
          <w:u w:val="none" w:color="auto"/>
          <w:lang w:val="en-US" w:eastAsia="zh-CN"/>
        </w:rPr>
        <w:t>①</w:t>
      </w:r>
      <w:r>
        <w:rPr>
          <w:rFonts w:hint="eastAsia" w:ascii="新宋体" w:hAnsi="新宋体" w:eastAsia="新宋体" w:cs="新宋体"/>
          <w:color w:val="auto"/>
          <w:sz w:val="22"/>
          <w:szCs w:val="22"/>
          <w:highlight w:val="none"/>
          <w:u w:val="none" w:color="auto"/>
          <w:lang w:val="en-US" w:eastAsia="zh-CN"/>
        </w:rPr>
        <w:t>配电箱及相关配备材料</w:t>
      </w:r>
    </w:p>
    <w:p>
      <w:pPr>
        <w:keepNext w:val="0"/>
        <w:keepLines w:val="0"/>
        <w:pageBreakBefore w:val="0"/>
        <w:kinsoku/>
        <w:wordWrap/>
        <w:topLinePunct w:val="0"/>
        <w:bidi w:val="0"/>
        <w:snapToGrid w:val="0"/>
        <w:spacing w:line="460" w:lineRule="exact"/>
        <w:ind w:firstLine="1050" w:firstLineChars="500"/>
        <w:rPr>
          <w:rFonts w:hint="default"/>
          <w:b w:val="0"/>
          <w:bCs w:val="0"/>
          <w:color w:val="auto"/>
          <w:highlight w:val="none"/>
          <w:u w:val="none" w:color="auto"/>
          <w:lang w:val="en-US" w:eastAsia="zh-CN"/>
        </w:rPr>
      </w:pPr>
      <w:r>
        <w:rPr>
          <w:rFonts w:hint="eastAsia"/>
          <w:b w:val="0"/>
          <w:bCs w:val="0"/>
          <w:color w:val="auto"/>
          <w:highlight w:val="none"/>
          <w:u w:val="none" w:color="auto"/>
          <w:lang w:val="en-US" w:eastAsia="zh-CN"/>
        </w:rPr>
        <w:t>②LED灯具</w:t>
      </w:r>
    </w:p>
    <w:p>
      <w:pPr>
        <w:keepNext w:val="0"/>
        <w:keepLines w:val="0"/>
        <w:pageBreakBefore w:val="0"/>
        <w:kinsoku/>
        <w:wordWrap/>
        <w:topLinePunct w:val="0"/>
        <w:bidi w:val="0"/>
        <w:snapToGrid w:val="0"/>
        <w:spacing w:line="460" w:lineRule="exact"/>
        <w:ind w:firstLine="440" w:firstLineChars="200"/>
        <w:rPr>
          <w:rFonts w:hint="eastAsia" w:ascii="新宋体" w:hAnsi="新宋体" w:eastAsia="新宋体" w:cs="新宋体"/>
          <w:color w:val="auto"/>
          <w:sz w:val="22"/>
          <w:szCs w:val="22"/>
          <w:highlight w:val="none"/>
          <w:u w:val="none" w:color="auto"/>
        </w:rPr>
      </w:pPr>
      <w:r>
        <w:rPr>
          <w:rFonts w:hint="eastAsia" w:ascii="新宋体" w:hAnsi="新宋体" w:eastAsia="新宋体" w:cs="新宋体"/>
          <w:color w:val="auto"/>
          <w:sz w:val="22"/>
          <w:szCs w:val="22"/>
          <w:highlight w:val="none"/>
          <w:u w:val="none" w:color="auto"/>
          <w:lang w:eastAsia="zh-CN"/>
        </w:rPr>
        <w:t>（</w:t>
      </w:r>
      <w:r>
        <w:rPr>
          <w:rFonts w:hint="eastAsia" w:ascii="新宋体" w:hAnsi="新宋体" w:eastAsia="新宋体" w:cs="新宋体"/>
          <w:color w:val="auto"/>
          <w:sz w:val="22"/>
          <w:szCs w:val="22"/>
          <w:highlight w:val="none"/>
          <w:u w:val="none" w:color="auto"/>
          <w:lang w:val="en-US" w:eastAsia="zh-CN"/>
        </w:rPr>
        <w:t>8</w:t>
      </w:r>
      <w:r>
        <w:rPr>
          <w:rFonts w:hint="eastAsia" w:ascii="新宋体" w:hAnsi="新宋体" w:eastAsia="新宋体" w:cs="新宋体"/>
          <w:color w:val="auto"/>
          <w:sz w:val="22"/>
          <w:szCs w:val="22"/>
          <w:highlight w:val="none"/>
          <w:u w:val="none" w:color="auto"/>
          <w:lang w:eastAsia="zh-CN"/>
        </w:rPr>
        <w:t>）</w:t>
      </w:r>
      <w:r>
        <w:rPr>
          <w:rFonts w:hint="eastAsia" w:ascii="新宋体" w:hAnsi="新宋体" w:eastAsia="新宋体" w:cs="新宋体"/>
          <w:color w:val="auto"/>
          <w:sz w:val="22"/>
          <w:szCs w:val="22"/>
          <w:highlight w:val="none"/>
          <w:u w:val="none" w:color="auto"/>
        </w:rPr>
        <w:t>资质文件（如有）；</w:t>
      </w:r>
    </w:p>
    <w:p>
      <w:pPr>
        <w:keepNext w:val="0"/>
        <w:keepLines w:val="0"/>
        <w:pageBreakBefore w:val="0"/>
        <w:kinsoku/>
        <w:wordWrap/>
        <w:topLinePunct w:val="0"/>
        <w:bidi w:val="0"/>
        <w:snapToGrid w:val="0"/>
        <w:spacing w:line="460" w:lineRule="exact"/>
        <w:ind w:firstLine="480" w:firstLineChars="200"/>
        <w:rPr>
          <w:rFonts w:hint="eastAsia" w:ascii="新宋体" w:hAnsi="新宋体" w:eastAsia="新宋体" w:cs="新宋体"/>
          <w:color w:val="auto"/>
          <w:sz w:val="22"/>
          <w:szCs w:val="22"/>
          <w:highlight w:val="none"/>
          <w:u w:val="none" w:color="auto"/>
        </w:rPr>
      </w:pPr>
      <w:r>
        <w:rPr>
          <w:rFonts w:hint="eastAsia" w:ascii="宋体" w:hAnsi="宋体" w:eastAsia="宋体" w:cs="宋体"/>
          <w:color w:val="auto"/>
          <w:sz w:val="24"/>
          <w:szCs w:val="24"/>
          <w:highlight w:val="none"/>
          <w:u w:val="none" w:color="auto"/>
          <w:lang w:eastAsia="zh-CN"/>
        </w:rPr>
        <w:t>（</w:t>
      </w:r>
      <w:r>
        <w:rPr>
          <w:rFonts w:hint="eastAsia" w:ascii="宋体" w:hAnsi="宋体" w:eastAsia="宋体" w:cs="宋体"/>
          <w:color w:val="auto"/>
          <w:sz w:val="24"/>
          <w:szCs w:val="24"/>
          <w:highlight w:val="none"/>
          <w:u w:val="none" w:color="auto"/>
          <w:lang w:val="en-US" w:eastAsia="zh-CN"/>
        </w:rPr>
        <w:t>9</w:t>
      </w:r>
      <w:r>
        <w:rPr>
          <w:rFonts w:hint="eastAsia" w:ascii="宋体" w:hAnsi="宋体" w:eastAsia="宋体" w:cs="宋体"/>
          <w:color w:val="auto"/>
          <w:sz w:val="24"/>
          <w:szCs w:val="24"/>
          <w:highlight w:val="none"/>
          <w:u w:val="none" w:color="auto"/>
          <w:lang w:eastAsia="zh-CN"/>
        </w:rPr>
        <w:t>）</w:t>
      </w:r>
      <w:r>
        <w:rPr>
          <w:rFonts w:hint="eastAsia" w:ascii="宋体" w:hAnsi="宋体" w:eastAsia="宋体" w:cs="宋体"/>
          <w:color w:val="auto"/>
          <w:sz w:val="24"/>
          <w:szCs w:val="24"/>
          <w:highlight w:val="none"/>
          <w:u w:val="none" w:color="auto"/>
        </w:rPr>
        <w:t>其他必要提供的资料。</w:t>
      </w:r>
    </w:p>
    <w:p>
      <w:pPr>
        <w:spacing w:line="460" w:lineRule="exact"/>
        <w:ind w:firstLine="442" w:firstLineChars="200"/>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投标文件中所需的各种证书、证件、证明资料如是复印件，须在复印件上加盖有效公章。</w:t>
      </w:r>
    </w:p>
    <w:p>
      <w:pPr>
        <w:pStyle w:val="28"/>
        <w:snapToGrid w:val="0"/>
        <w:spacing w:line="460" w:lineRule="exact"/>
        <w:ind w:firstLine="442" w:firstLineChars="200"/>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lang w:val="zh-CN"/>
        </w:rPr>
        <w:t>投标人的</w:t>
      </w:r>
      <w:r>
        <w:rPr>
          <w:rFonts w:hint="eastAsia" w:ascii="宋体" w:hAnsi="宋体" w:eastAsia="宋体" w:cs="宋体"/>
          <w:color w:val="auto"/>
          <w:sz w:val="22"/>
          <w:szCs w:val="22"/>
          <w:highlight w:val="none"/>
        </w:rPr>
        <w:t>投标文件必须按照招标文件要求制作</w:t>
      </w:r>
      <w:r>
        <w:rPr>
          <w:rFonts w:hint="eastAsia" w:ascii="宋体" w:hAnsi="宋体" w:eastAsia="宋体" w:cs="宋体"/>
          <w:bCs/>
          <w:color w:val="auto"/>
          <w:sz w:val="22"/>
          <w:szCs w:val="22"/>
          <w:highlight w:val="none"/>
        </w:rPr>
        <w:t>。</w:t>
      </w:r>
    </w:p>
    <w:p>
      <w:pPr>
        <w:pStyle w:val="28"/>
        <w:snapToGrid w:val="0"/>
        <w:spacing w:line="460" w:lineRule="exact"/>
        <w:ind w:firstLine="442" w:firstLineChars="200"/>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rPr>
        <w:t>投标人可在招标文件中对招标货物的技术规格和要求选用替代标准，但这些替代标准必须相当于或优于招标文件中提出的相应要求，并使招标人满意，同时在技术偏离表中作出详细说明。</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4、投标报价</w:t>
      </w:r>
    </w:p>
    <w:p>
      <w:pPr>
        <w:spacing w:line="460" w:lineRule="exact"/>
        <w:ind w:firstLine="539" w:firstLineChars="245"/>
        <w:rPr>
          <w:rFonts w:hint="eastAsia" w:ascii="新宋体" w:hAnsi="新宋体" w:eastAsia="新宋体" w:cs="新宋体"/>
          <w:color w:val="auto"/>
          <w:sz w:val="22"/>
          <w:szCs w:val="22"/>
          <w:highlight w:val="none"/>
        </w:rPr>
      </w:pPr>
      <w:r>
        <w:rPr>
          <w:rFonts w:hint="eastAsia" w:ascii="新宋体" w:hAnsi="新宋体" w:eastAsia="新宋体" w:cs="新宋体"/>
          <w:b w:val="0"/>
          <w:bCs/>
          <w:color w:val="auto"/>
          <w:sz w:val="22"/>
          <w:highlight w:val="none"/>
        </w:rPr>
        <w:t>4.1</w:t>
      </w:r>
      <w:r>
        <w:rPr>
          <w:rFonts w:hint="eastAsia" w:ascii="新宋体" w:hAnsi="新宋体" w:eastAsia="新宋体" w:cs="新宋体"/>
          <w:b w:val="0"/>
          <w:bCs/>
          <w:color w:val="auto"/>
          <w:sz w:val="22"/>
          <w:highlight w:val="none"/>
          <w:lang w:val="en-US" w:eastAsia="zh-CN"/>
        </w:rPr>
        <w:t xml:space="preserve"> </w:t>
      </w:r>
      <w:r>
        <w:rPr>
          <w:rFonts w:hint="eastAsia" w:ascii="新宋体" w:hAnsi="新宋体" w:eastAsia="新宋体" w:cs="新宋体"/>
          <w:color w:val="auto"/>
          <w:sz w:val="22"/>
          <w:szCs w:val="22"/>
          <w:highlight w:val="none"/>
        </w:rPr>
        <w:t>20</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年温州市市本级路灯设施维护费分两项，分别为路灯设施正常维修养护费和路灯设施正常维修养护范围外的维修安装费（暂定价）。</w:t>
      </w:r>
    </w:p>
    <w:p>
      <w:pPr>
        <w:spacing w:line="460" w:lineRule="exact"/>
        <w:ind w:firstLine="541" w:firstLineChars="245"/>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路灯设施正常维修养护费</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color w:val="auto"/>
          <w:sz w:val="22"/>
          <w:szCs w:val="22"/>
          <w:highlight w:val="none"/>
        </w:rPr>
        <w:t>含市管路灯设施</w:t>
      </w:r>
      <w:r>
        <w:rPr>
          <w:rFonts w:hint="eastAsia" w:ascii="新宋体" w:hAnsi="新宋体" w:eastAsia="新宋体" w:cs="新宋体"/>
          <w:color w:val="auto"/>
          <w:sz w:val="22"/>
          <w:szCs w:val="22"/>
          <w:highlight w:val="none"/>
          <w:lang w:eastAsia="zh-CN"/>
        </w:rPr>
        <w:t>（路灯47044盏、单灯模块16961只、配电箱600台、监控终端559台</w:t>
      </w:r>
      <w:r>
        <w:rPr>
          <w:rFonts w:hint="eastAsia" w:ascii="新宋体" w:hAnsi="新宋体" w:eastAsia="新宋体" w:cs="新宋体"/>
          <w:color w:val="auto"/>
          <w:w w:val="100"/>
          <w:sz w:val="22"/>
          <w:szCs w:val="22"/>
          <w:highlight w:val="none"/>
          <w:lang w:val="en-US" w:eastAsia="zh-CN"/>
        </w:rPr>
        <w:t>，以及相关管线、电缆、架空线、手孔井、基础、杆件、电器元件等</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的日常、定期、巡检及应急维修养护所需的技术服务费和人工费等，监控中心</w:t>
      </w:r>
      <w:r>
        <w:rPr>
          <w:rFonts w:hint="eastAsia" w:ascii="新宋体" w:hAnsi="新宋体" w:eastAsia="新宋体" w:cs="新宋体"/>
          <w:color w:val="auto"/>
          <w:sz w:val="22"/>
          <w:szCs w:val="22"/>
          <w:highlight w:val="none"/>
          <w:lang w:eastAsia="zh-CN"/>
        </w:rPr>
        <w:t>维护及</w:t>
      </w:r>
      <w:r>
        <w:rPr>
          <w:rFonts w:hint="eastAsia" w:ascii="新宋体" w:hAnsi="新宋体" w:eastAsia="新宋体" w:cs="新宋体"/>
          <w:color w:val="auto"/>
          <w:sz w:val="22"/>
          <w:szCs w:val="22"/>
          <w:highlight w:val="none"/>
        </w:rPr>
        <w:t>24小时值班费，维养办公场使用费及路灯路灯设施维修器材、耗材包干费，办公场所使用费，自备专用车辆仪器工具使用费（含折旧费、油料费、保险费、人工费等），照明监控设备世贸大厦合同期内场地租赁费（含电费）</w:t>
      </w:r>
      <w:r>
        <w:rPr>
          <w:rFonts w:hint="eastAsia" w:ascii="宋体" w:hAnsi="宋体"/>
          <w:color w:val="auto"/>
          <w:szCs w:val="21"/>
          <w:highlight w:val="none"/>
          <w:lang w:val="en-US" w:eastAsia="zh-CN"/>
        </w:rPr>
        <w:t>58600元（两年）</w:t>
      </w:r>
      <w:r>
        <w:rPr>
          <w:rFonts w:hint="eastAsia" w:ascii="新宋体" w:hAnsi="新宋体" w:eastAsia="新宋体" w:cs="新宋体"/>
          <w:color w:val="auto"/>
          <w:sz w:val="22"/>
          <w:szCs w:val="22"/>
          <w:highlight w:val="none"/>
          <w:lang w:val="en-US" w:eastAsia="zh-CN"/>
        </w:rPr>
        <w:t>,</w:t>
      </w:r>
      <w:r>
        <w:rPr>
          <w:rFonts w:hint="eastAsia" w:ascii="新宋体" w:hAnsi="新宋体" w:eastAsia="新宋体" w:cs="新宋体"/>
          <w:color w:val="auto"/>
          <w:sz w:val="22"/>
          <w:szCs w:val="22"/>
          <w:highlight w:val="none"/>
        </w:rPr>
        <w:t>劳保和安全用品使用费，经营管理费，税费，交通组织费，路灯设施被偷盗补装费，招标代理费，利润等一切费用。</w:t>
      </w:r>
    </w:p>
    <w:p>
      <w:pPr>
        <w:spacing w:line="460" w:lineRule="exact"/>
        <w:ind w:firstLine="541" w:firstLineChars="245"/>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路灯设施正常维修养护范围外的费用</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color w:val="auto"/>
          <w:sz w:val="22"/>
          <w:szCs w:val="22"/>
          <w:highlight w:val="none"/>
        </w:rPr>
        <w:t>主要用于甲方根据实际需要，需对部分路段和局部区域的路灯设施进行路灯设施增装、对人为或不可抗力破坏的路灯设施进行修复、为提升路灯设施美化水平而对其进行灯杆美化等方面的相关安装维护工作，该项目由甲方书面核准后方可实施；该部分服务费用总价依据中标供应商对每个单项所投单价*数量来确定，维护期结束后，中标供应商根据实际工程量*所投单项的单价来办理结算，该项结算可一次性办理，也可按季办理。</w:t>
      </w:r>
    </w:p>
    <w:p>
      <w:pPr>
        <w:spacing w:line="460" w:lineRule="exact"/>
        <w:ind w:firstLine="541" w:firstLineChars="245"/>
        <w:rPr>
          <w:rFonts w:hint="eastAsia" w:ascii="新宋体" w:hAnsi="新宋体" w:eastAsia="新宋体" w:cs="新宋体"/>
          <w:b/>
          <w:bCs/>
          <w:color w:val="auto"/>
          <w:sz w:val="22"/>
          <w:szCs w:val="22"/>
          <w:highlight w:val="none"/>
          <w:u w:val="single"/>
          <w:lang w:val="en-US" w:eastAsia="zh-CN"/>
        </w:rPr>
      </w:pPr>
      <w:r>
        <w:rPr>
          <w:rFonts w:hint="eastAsia" w:ascii="新宋体" w:hAnsi="新宋体" w:eastAsia="新宋体" w:cs="新宋体"/>
          <w:b/>
          <w:bCs/>
          <w:color w:val="auto"/>
          <w:sz w:val="22"/>
          <w:szCs w:val="22"/>
          <w:highlight w:val="none"/>
          <w:u w:val="single"/>
          <w:lang w:val="en-US" w:eastAsia="zh-CN"/>
        </w:rPr>
        <w:t>投标报价为</w:t>
      </w:r>
      <w:r>
        <w:rPr>
          <w:rFonts w:hint="eastAsia" w:ascii="新宋体" w:hAnsi="新宋体" w:eastAsia="新宋体" w:cs="新宋体"/>
          <w:b/>
          <w:bCs/>
          <w:color w:val="auto"/>
          <w:sz w:val="22"/>
          <w:szCs w:val="22"/>
          <w:highlight w:val="none"/>
          <w:u w:val="single"/>
        </w:rPr>
        <w:t>路灯设施正常维修养护费</w:t>
      </w:r>
      <w:r>
        <w:rPr>
          <w:rFonts w:hint="eastAsia" w:ascii="新宋体" w:hAnsi="新宋体" w:eastAsia="新宋体" w:cs="新宋体"/>
          <w:b/>
          <w:bCs/>
          <w:color w:val="auto"/>
          <w:sz w:val="22"/>
          <w:szCs w:val="22"/>
          <w:highlight w:val="none"/>
          <w:u w:val="single"/>
          <w:lang w:val="en-US" w:eastAsia="zh-CN"/>
        </w:rPr>
        <w:t>和</w:t>
      </w:r>
      <w:r>
        <w:rPr>
          <w:rFonts w:hint="eastAsia" w:ascii="新宋体" w:hAnsi="新宋体" w:eastAsia="新宋体" w:cs="新宋体"/>
          <w:b/>
          <w:bCs/>
          <w:color w:val="auto"/>
          <w:sz w:val="22"/>
          <w:szCs w:val="22"/>
          <w:highlight w:val="none"/>
          <w:u w:val="single"/>
        </w:rPr>
        <w:t>路灯设施正常维修养护范围外的费用</w:t>
      </w:r>
      <w:r>
        <w:rPr>
          <w:rFonts w:hint="eastAsia" w:ascii="新宋体" w:hAnsi="新宋体" w:eastAsia="新宋体" w:cs="新宋体"/>
          <w:b/>
          <w:bCs/>
          <w:color w:val="auto"/>
          <w:sz w:val="22"/>
          <w:szCs w:val="22"/>
          <w:highlight w:val="none"/>
          <w:u w:val="single"/>
          <w:lang w:val="en-US" w:eastAsia="zh-CN"/>
        </w:rPr>
        <w:t>及疫情抗疫所需的费用、第三方责任险的合计总价。</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4.2投标人必须按附件中的投标报价一览表、投标分项报价表内容填写价格，并由投标人代表签署。</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4.3</w:t>
      </w:r>
      <w:r>
        <w:rPr>
          <w:rFonts w:hint="eastAsia" w:ascii="宋体" w:hAnsi="宋体" w:eastAsia="宋体" w:cs="宋体"/>
          <w:b/>
          <w:color w:val="auto"/>
          <w:sz w:val="22"/>
          <w:highlight w:val="none"/>
        </w:rPr>
        <w:t>投标货币以人民币进行投标</w:t>
      </w:r>
      <w:r>
        <w:rPr>
          <w:rFonts w:hint="eastAsia" w:ascii="宋体" w:hAnsi="宋体" w:eastAsia="宋体" w:cs="宋体"/>
          <w:b/>
          <w:color w:val="auto"/>
          <w:sz w:val="22"/>
          <w:szCs w:val="22"/>
          <w:highlight w:val="none"/>
        </w:rPr>
        <w:t>。</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4.4</w:t>
      </w:r>
      <w:r>
        <w:rPr>
          <w:rFonts w:hint="eastAsia" w:ascii="宋体" w:hAnsi="宋体" w:eastAsia="宋体" w:cs="宋体"/>
          <w:b/>
          <w:color w:val="auto"/>
          <w:sz w:val="22"/>
          <w:highlight w:val="none"/>
        </w:rPr>
        <w:t>招标人和招标代理机构不接受任何选择投标，对任何服务只允许一个价格。</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4.5招标人和</w:t>
      </w:r>
      <w:r>
        <w:rPr>
          <w:rFonts w:hint="eastAsia" w:ascii="宋体" w:hAnsi="宋体" w:eastAsia="宋体" w:cs="宋体"/>
          <w:color w:val="auto"/>
          <w:sz w:val="22"/>
          <w:highlight w:val="none"/>
        </w:rPr>
        <w:t>招标代理机构</w:t>
      </w:r>
      <w:r>
        <w:rPr>
          <w:rFonts w:hint="eastAsia" w:ascii="宋体" w:hAnsi="宋体" w:eastAsia="宋体" w:cs="宋体"/>
          <w:color w:val="auto"/>
          <w:sz w:val="22"/>
          <w:szCs w:val="22"/>
          <w:highlight w:val="none"/>
        </w:rPr>
        <w:t>要求分类报价是为了方便评标，但在任何情况下不限制招标人以其认为最合适的条款、条件签订合同的权利。</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4.6投标报价报出后，投标人不得以任何理由予以变更。任何包含价格调整的要求，将被认为是非实质性响应投标而予以否决。</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4.7最低报价不能作为中标的保证。</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5、投标有效期</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5.1自开标之日起</w:t>
      </w:r>
      <w:r>
        <w:rPr>
          <w:rFonts w:hint="eastAsia" w:ascii="宋体" w:hAnsi="宋体" w:eastAsia="宋体" w:cs="宋体"/>
          <w:b/>
          <w:bCs/>
          <w:color w:val="auto"/>
          <w:sz w:val="22"/>
          <w:szCs w:val="22"/>
          <w:highlight w:val="none"/>
        </w:rPr>
        <w:t xml:space="preserve"> 120 </w:t>
      </w:r>
      <w:r>
        <w:rPr>
          <w:rFonts w:hint="eastAsia" w:ascii="宋体" w:hAnsi="宋体" w:eastAsia="宋体" w:cs="宋体"/>
          <w:b/>
          <w:color w:val="auto"/>
          <w:sz w:val="22"/>
          <w:szCs w:val="22"/>
          <w:highlight w:val="none"/>
        </w:rPr>
        <w:t>天内投标应保持有效。</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5.2特殊情况下，在原投标有效期截止前，招标人、招标代理机构可与投标人协商延长投标有效期，这种要求和答复均以书面形式进行。投标人可拒绝接受延期要求。同意延长投标有效期的投标人不得修改投标文件。</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6、投标保证金</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7、投标文件编制</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7.1本项目通过“政府采购云平台（http://zfcg.czt.zj.gov.cn）”实行在线投标响应（电子投标）。供应商应通过“政采云电子交易客户端”，并按照本招标文件和“政府采购云平台”的要求编制并加密投标文件。</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7.2投标人应当按照本章节 “投标文件的构成”规定的内容及顺序在“政采云电子交易客户端”编制投标文件。其中《资格文件》和《商务技术文件》中不得出现本项目投标报价。</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7.3本文件《第三部分  附件》中有提供格式的，投标人须参照格式进行编制（格式中要求提供相关证明材料的还需后附相关证明材料），并按格式要求在指定位置根据要求进行签章，否则视为未提供；本文件《第三部分  附件》未提供格式的，请各投标人自行拟定格式，并加盖单位公章并由法定代表人或其授权代表签署（签字或盖章），否则视为未提供。</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7.4《投标文件》内容不完整、编排混乱导致《投标文件》被误读、漏读或者查找不到相关内容的，投标人自行负责。</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7.5《投标文件》因字迹潦草或表达不清所引起的后果由投标人负责。</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7.6投标人没有按照本章节 “投标文件的构成”要求提供全部资料，或者没有仔细阅读招标文件，或者没有对招标文件在各方面的要求作出实质性响应是投标人的风险，由此造成的一切后果由投标人自行承担。</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8、投标文件的签章</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8.1《投标文件》的签章：见《前附表》；</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8.2《投标文件》应由投标人法定代表人或其授权代表签字（或盖章），并时加盖投标人公章。</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8.3电子签章操作指南详见采购公告附件《供应商项目采购-电子招投标操作指南》。</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9、投标文件的形式</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9.1投标文件的形式：见《前附表》；</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9.2“电子加密投标文件”：“电子加密投标文件”是指通过“政采云电子交易客户端”完成投标文件编制后生成并加密的数据电文形式的投标文件。</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9.3“备份投标文件”：“备份投标文件”是指与“电子加密投标文件”同时生成的数据电文形式的电子文件（备份标书），其他方式编制的“备份投标文件”视为无效的“备份投标文件”。</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10、投标文件的份数</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10.1投标文件的份数：见《前附表》。</w:t>
      </w:r>
    </w:p>
    <w:p>
      <w:pPr>
        <w:spacing w:before="100" w:beforeAutospacing="1" w:after="100" w:afterAutospacing="1" w:line="440" w:lineRule="exact"/>
        <w:jc w:val="center"/>
        <w:outlineLvl w:val="1"/>
        <w:rPr>
          <w:rFonts w:hint="eastAsia" w:ascii="宋体" w:hAnsi="宋体" w:eastAsia="宋体" w:cs="宋体"/>
          <w:b/>
          <w:bCs/>
          <w:color w:val="auto"/>
          <w:sz w:val="22"/>
          <w:szCs w:val="22"/>
          <w:highlight w:val="none"/>
        </w:rPr>
      </w:pPr>
      <w:bookmarkStart w:id="16" w:name="_Toc15422"/>
      <w:bookmarkStart w:id="17" w:name="_Toc32512"/>
      <w:r>
        <w:rPr>
          <w:rFonts w:hint="eastAsia" w:ascii="宋体" w:hAnsi="宋体" w:eastAsia="宋体" w:cs="宋体"/>
          <w:b/>
          <w:bCs/>
          <w:color w:val="auto"/>
          <w:sz w:val="22"/>
          <w:szCs w:val="22"/>
          <w:highlight w:val="none"/>
        </w:rPr>
        <w:t>四、 投标文件的递交</w:t>
      </w:r>
      <w:bookmarkEnd w:id="16"/>
      <w:bookmarkEnd w:id="17"/>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1、投标文件的上传和递交</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1.1“投标文件”的上传、递交：见《前附表》。</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2、“电子加密投标文件”解密和异常情况处理</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2.1“电子加密投标文件”解密：见《前附表》。</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3、投标文件的补充、修改或撤回</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3.2投标截止时间后，投标人不得撤回、修改《投标文件》。</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4、投标文件的备选方案</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4.1投标人不得递交任何的投标备选（替代）方案，否则其投标文件将作无效标处理。与“电子加密投标文件”同时生成的“备份投标文件”不是投标备选（替代）方案。</w:t>
      </w:r>
    </w:p>
    <w:p>
      <w:pPr>
        <w:spacing w:before="100" w:beforeAutospacing="1" w:after="100" w:afterAutospacing="1" w:line="460" w:lineRule="exact"/>
        <w:jc w:val="center"/>
        <w:outlineLvl w:val="1"/>
        <w:rPr>
          <w:rFonts w:hint="eastAsia" w:ascii="宋体" w:hAnsi="宋体" w:eastAsia="宋体" w:cs="宋体"/>
          <w:b/>
          <w:bCs/>
          <w:color w:val="auto"/>
          <w:sz w:val="22"/>
          <w:szCs w:val="22"/>
          <w:highlight w:val="none"/>
        </w:rPr>
      </w:pPr>
      <w:bookmarkStart w:id="18" w:name="_Toc30172"/>
      <w:bookmarkStart w:id="19" w:name="_Toc14760"/>
      <w:r>
        <w:rPr>
          <w:rFonts w:hint="eastAsia" w:ascii="宋体" w:hAnsi="宋体" w:eastAsia="宋体" w:cs="宋体"/>
          <w:b/>
          <w:bCs/>
          <w:color w:val="auto"/>
          <w:sz w:val="22"/>
          <w:szCs w:val="22"/>
          <w:highlight w:val="none"/>
        </w:rPr>
        <w:t>五、 开标和评标</w:t>
      </w:r>
      <w:bookmarkEnd w:id="18"/>
      <w:bookmarkEnd w:id="19"/>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1、评标委员会</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rPr>
        <w:t>招标人和招标代理机构组建评标委员会。评标委员会的成员在评标过程中必须严格遵守《政府采购法》等有关法律、法规的规定。</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2、评标过程的保密性</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开标后直至向中标人授予合同时止，凡与评审有关的资料均不得向投标人及与评标无关人员透露。如果投标人在评标过程中试图向招标人和招标代理机构施加影响，其投标将被拒绝。</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3、开标形式</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 采购组织机构将按照招标文件规定的时间通过“政府采购云平台”组织开标、开启投标文件，所有供应商均应当准时(在线)参加。</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4、开标准备</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4.1开标的准备工作由采购组织机构负责落实；</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4.2</w:t>
      </w:r>
      <w:r>
        <w:rPr>
          <w:rFonts w:hint="eastAsia" w:ascii="宋体" w:hAnsi="宋体" w:eastAsia="宋体" w:cs="宋体"/>
          <w:b/>
          <w:color w:val="auto"/>
          <w:sz w:val="22"/>
          <w:szCs w:val="22"/>
          <w:highlight w:val="none"/>
        </w:rPr>
        <w:t>采购组织机构将按照招标文件规定的时间通过“政府采购云平台”组织开标、开启投标文件，所有供应商均应当准时(在线)参加。</w:t>
      </w:r>
      <w:r>
        <w:rPr>
          <w:rFonts w:hint="eastAsia" w:ascii="宋体" w:hAnsi="宋体" w:eastAsia="宋体" w:cs="宋体"/>
          <w:b/>
          <w:color w:val="auto"/>
          <w:kern w:val="0"/>
          <w:sz w:val="22"/>
          <w:szCs w:val="22"/>
          <w:highlight w:val="none"/>
        </w:rPr>
        <w:t>投标人如不参加开标大会的，视同认可开标结果，事后不得对采购相关人员、开标过程和开标结果提出异议，同时投标人因未在线参加开标而导致投标文件无法按时解密等一切后果由供应商自己承担。</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5、开标流程</w:t>
      </w:r>
    </w:p>
    <w:p>
      <w:pPr>
        <w:spacing w:line="460" w:lineRule="exact"/>
        <w:ind w:firstLine="541" w:firstLineChars="245"/>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5.1开标、评标</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（1）向各投标人发出电子加密投标文件【开始解密】通知，由供应商按招标文件规定的时间内自行进行投标文件解密。投标人在规定的时间内无法完成已递交的“电子加密投标文件”解密的，如已按规 定递交了备份投标文件的，将由采购组织机构按“政府采购云平台”操作规范将备份投标文件上传至“政府采购云平台”，上传成功后，“电子加密投标文件”自动失效；</w:t>
      </w:r>
    </w:p>
    <w:p>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bCs/>
          <w:color w:val="auto"/>
          <w:sz w:val="22"/>
          <w:szCs w:val="22"/>
          <w:highlight w:val="none"/>
        </w:rPr>
        <w:t>投标人不足3家的，不得开标。</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（2）解密成功后，开启投标人的《报价文件》，由供应商对自己报价文件相关内容进行签字确认，（不予确认的应说明理由，否则视为无异议）。</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（3）开启《投标文件》，进入资格审查；</w:t>
      </w:r>
      <w:r>
        <w:rPr>
          <w:rFonts w:hint="eastAsia" w:ascii="宋体" w:hAnsi="宋体" w:eastAsia="宋体" w:cs="宋体"/>
          <w:bCs/>
          <w:color w:val="auto"/>
          <w:sz w:val="22"/>
          <w:szCs w:val="22"/>
          <w:highlight w:val="none"/>
        </w:rPr>
        <w:t>合格投标人不足3家的，不得评标。</w:t>
      </w:r>
    </w:p>
    <w:p>
      <w:pPr>
        <w:spacing w:line="460" w:lineRule="exact"/>
        <w:ind w:firstLine="541" w:firstLineChars="245"/>
        <w:rPr>
          <w:rFonts w:hint="eastAsia" w:ascii="宋体" w:hAnsi="宋体" w:eastAsia="宋体" w:cs="宋体"/>
          <w:color w:val="auto"/>
          <w:kern w:val="0"/>
          <w:sz w:val="22"/>
          <w:szCs w:val="22"/>
          <w:highlight w:val="none"/>
        </w:rPr>
      </w:pPr>
      <w:r>
        <w:rPr>
          <w:rFonts w:hint="eastAsia" w:ascii="宋体" w:hAnsi="宋体" w:eastAsia="宋体" w:cs="宋体"/>
          <w:b/>
          <w:color w:val="auto"/>
          <w:kern w:val="0"/>
          <w:sz w:val="22"/>
          <w:szCs w:val="22"/>
          <w:highlight w:val="none"/>
        </w:rPr>
        <w:t>备注：开标大会的结束后，招标人或采购代理机构将对依法对投标人的资格进行审查，资格审查结束后进入符合性审查和商务技术的评审工作，具体见本章节“投标人资格审查”相关规定。</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color w:val="auto"/>
          <w:kern w:val="0"/>
          <w:sz w:val="22"/>
          <w:szCs w:val="22"/>
          <w:highlight w:val="none"/>
        </w:rPr>
        <w:t>（4）开启资格审查通过的投标人的商务技术文件进入符合性审查，</w:t>
      </w:r>
      <w:r>
        <w:rPr>
          <w:rFonts w:hint="eastAsia" w:ascii="宋体" w:hAnsi="宋体" w:eastAsia="宋体" w:cs="宋体"/>
          <w:bCs/>
          <w:color w:val="auto"/>
          <w:sz w:val="22"/>
          <w:szCs w:val="22"/>
          <w:highlight w:val="none"/>
        </w:rPr>
        <w:t>以确定其是否满足招标文件的实质性要求，合格投标人不足3家的，不得评标。</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没有满足招标文件的实质性要求的投标作无效标处理。评标委员会决定投标的实质性要求只根据投标文件本身的内容，而不寻求外部的证据。投标人不得通过修正或撤消不合要求的偏离或保留从而使其投标成为实质上响应的投标。</w:t>
      </w:r>
    </w:p>
    <w:p>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bCs/>
          <w:color w:val="auto"/>
          <w:sz w:val="22"/>
          <w:szCs w:val="22"/>
          <w:highlight w:val="none"/>
        </w:rPr>
        <w:t>（5）对通过资格审查、符合性审查的合格供应商进行商务技术部分的评审。</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（6）评标委员会对报价的合理性、准确性等进行审查核实。</w:t>
      </w:r>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（7）评审结束后，公布中标（成交）候选供应商名单及招标人最终确定中标或成交供应商名单的时间和公告方式等，未在场的投标人通过发送邮件形式通知。</w:t>
      </w:r>
    </w:p>
    <w:p>
      <w:pPr>
        <w:spacing w:line="460" w:lineRule="exact"/>
        <w:ind w:firstLine="541" w:firstLineChars="245"/>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特别说明：如遇“政府采购云平台”电子化开标或评审程序调整的，按调整后程序执行。</w:t>
      </w:r>
    </w:p>
    <w:p>
      <w:pPr>
        <w:spacing w:line="460" w:lineRule="exact"/>
        <w:ind w:firstLine="539" w:firstLineChars="245"/>
        <w:rPr>
          <w:rFonts w:hint="eastAsia" w:ascii="宋体" w:hAnsi="宋体" w:eastAsia="宋体" w:cs="宋体"/>
          <w:color w:val="auto"/>
          <w:sz w:val="22"/>
          <w:szCs w:val="22"/>
          <w:highlight w:val="none"/>
        </w:rPr>
      </w:pPr>
      <w:bookmarkStart w:id="20" w:name="_Toc33194393"/>
      <w:bookmarkStart w:id="21" w:name="_Toc24550037"/>
      <w:r>
        <w:rPr>
          <w:rFonts w:hint="eastAsia" w:ascii="宋体" w:hAnsi="宋体" w:eastAsia="宋体" w:cs="宋体"/>
          <w:color w:val="auto"/>
          <w:sz w:val="22"/>
          <w:szCs w:val="22"/>
          <w:highlight w:val="none"/>
        </w:rPr>
        <w:t>6、投标人资格审查</w:t>
      </w:r>
      <w:bookmarkEnd w:id="20"/>
      <w:bookmarkEnd w:id="21"/>
    </w:p>
    <w:p>
      <w:pPr>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6.1开标大会结束后，招标人或采购代理机构首先依法对各投标人的资格进行审查，审查各投标人的资格是否满足招标文件的要求。</w:t>
      </w:r>
      <w:r>
        <w:rPr>
          <w:rFonts w:hint="eastAsia" w:ascii="宋体" w:hAnsi="宋体" w:eastAsia="宋体" w:cs="宋体"/>
          <w:color w:val="auto"/>
          <w:sz w:val="22"/>
          <w:szCs w:val="22"/>
          <w:highlight w:val="none"/>
        </w:rPr>
        <w:t>招标人或采购代理机构对投标人所提交的资格证明材料仅负审核的责任。如发现投标人所提交的资格证明材料不合法或与事实不符，招标人可取消其中标资格并追究投标人的法律责任。</w:t>
      </w:r>
    </w:p>
    <w:p>
      <w:pPr>
        <w:spacing w:line="460" w:lineRule="exact"/>
        <w:ind w:firstLine="541" w:firstLineChars="245"/>
        <w:rPr>
          <w:rFonts w:hint="eastAsia" w:ascii="宋体" w:hAnsi="宋体" w:eastAsia="宋体" w:cs="宋体"/>
          <w:b/>
          <w:color w:val="auto"/>
          <w:kern w:val="0"/>
          <w:sz w:val="22"/>
          <w:szCs w:val="22"/>
          <w:highlight w:val="none"/>
        </w:rPr>
      </w:pPr>
      <w:r>
        <w:rPr>
          <w:rFonts w:hint="eastAsia" w:ascii="宋体" w:hAnsi="宋体" w:eastAsia="宋体" w:cs="宋体"/>
          <w:b/>
          <w:color w:val="auto"/>
          <w:sz w:val="22"/>
          <w:szCs w:val="22"/>
          <w:highlight w:val="none"/>
        </w:rPr>
        <w:t>6.2投标人提交的资格证明材料无法证明其符合招标文件规定的“投标人资格要求”的，招标人或采购代理机构</w:t>
      </w:r>
      <w:r>
        <w:rPr>
          <w:rFonts w:hint="eastAsia" w:ascii="宋体" w:hAnsi="宋体" w:eastAsia="宋体" w:cs="宋体"/>
          <w:b/>
          <w:color w:val="auto"/>
          <w:kern w:val="0"/>
          <w:sz w:val="22"/>
          <w:szCs w:val="22"/>
          <w:highlight w:val="none"/>
        </w:rPr>
        <w:t>将对其作资格审查不通过处理（无效投标），并不再将其投标提交评标委员会进行后续评审。</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rPr>
        <w:t>6</w:t>
      </w:r>
      <w:r>
        <w:rPr>
          <w:rFonts w:hint="eastAsia" w:ascii="宋体" w:hAnsi="宋体" w:eastAsia="宋体" w:cs="宋体"/>
          <w:b/>
          <w:color w:val="auto"/>
          <w:kern w:val="0"/>
          <w:sz w:val="22"/>
          <w:szCs w:val="22"/>
          <w:highlight w:val="none"/>
        </w:rPr>
        <w:t>.3单位负责人为同一人或者存在直接控股、管理关系的不同供应商参加同一合同项下的政府采购活动的，相关投标人均作资格无效处理。</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7、评标委员按照招标文件中规定的评标方法和标准，对投标文件进行商务和技术评估，综合比较与评价。</w:t>
      </w:r>
    </w:p>
    <w:p>
      <w:pPr>
        <w:spacing w:line="460" w:lineRule="exact"/>
        <w:ind w:firstLine="541" w:firstLineChars="245"/>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u w:val="single"/>
        </w:rPr>
        <w:t>8、投标人存在下列情况之一的，投标无效：</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（1）投标文件未按招标文件要求签署、盖章的；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（2）不具备招标文件中规定的资格要求的； </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（3）明显不符合招标文件中主要技术规格、技术标准的；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（4）投标文件内容不全或关键字迹模糊无法辨认的；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（5）报价超过招标文件中规定的预算金额的；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（6）投标人代表没有法定代表人合法、有效委托的；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（7）投标文件存在一个或一个以上备选（替代）投标方案的；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（8）仅提交“备份投标文件”的；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（9）投标文件含有招标人不能接受的附加条件的；</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（10）法律、法规和招标文件规定的其他无效情形。</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9、有下列情形之一的，视为投标人串通投标，其投标无效</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（1）不同投标人的投标文件由同一单位或者个人编制；</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（2）不同投标人委托同一单位或者个人办理投标事宜；</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（3）不同投标人的投标文件载明的项目管理成员或者联系人员为同一人；</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（4）不同投标人的投标文件异常一致或者投标报价呈规律性差异；</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（5）不同投标人的投标文件相互混装。</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10、投标文件报价出现前后不一致的，按照下列规定修正：</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（1）系统上传的投标文件中开标一览表（报价表）（加盖公章）内容与投标文件中相应内容不一致的，以系统上传的投标文件中开标一览表（报价表）（加盖公章）为准；</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（2）大写金额和小写金额不一致的，以大写金额为准；</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（3）单价金额小数点或者百分比有明显错位的，以开标一览表的总价为准，并修改单价；</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（4）总价金额与按单价汇总金额不一致的，以单价金额计算结果为准。</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同时出现两种以上不一致的，按照前款规定的顺序修正。修正后的报价按照本小节第12条第12.2款的规定经投标人确认后产生约束力，投标人不确认的，其投标无效。</w:t>
      </w:r>
    </w:p>
    <w:p>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11、标委员会成员对需要共同认定的事项存在争议的，应当按照少数服从多数的原则作出结论。持不同意见的评标委员会成员应当在评标报告上签署不同意见及理由，否则视为同意评标报告。</w:t>
      </w:r>
    </w:p>
    <w:p>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12、投标文件的澄清</w:t>
      </w:r>
    </w:p>
    <w:p>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12.1在评标期间，评标委员会可要求投标人对于投标文件中含义不明确、同类问题表述不一致或者有明显文字和计算错误的内容，评标委员会应当以书面形式（或通过“政府采购云平台”在线询标）要求投标人在规定的时间内作出必要的澄清、说明或者补正。投标人澄清、说明或补正时间为30分钟。</w:t>
      </w:r>
    </w:p>
    <w:p>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投标人的澄清、说明或者补正应当采用书面形式（或通过“政府采购云平台”在线答复），并加盖公章，或者由法定代表人或其授权的代表签字。投标人的澄清、说明或者补正不得超出投标文件的范围或者改变投标文件的实质性内容。</w:t>
      </w:r>
    </w:p>
    <w:p>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拒不按要求对其投标文件进行澄清，说明或补正的投标人，评标委员会可以否决其投标。</w:t>
      </w:r>
    </w:p>
    <w:p>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12.2</w:t>
      </w:r>
      <w:r>
        <w:rPr>
          <w:rFonts w:hint="eastAsia" w:ascii="宋体" w:hAnsi="宋体" w:eastAsia="宋体" w:cs="宋体"/>
          <w:b/>
          <w:color w:val="auto"/>
          <w:sz w:val="22"/>
          <w:szCs w:val="22"/>
          <w:highlight w:val="none"/>
        </w:rPr>
        <w:t>经澄清后，若偏差仍存在，且不可接受，投标人则被认为是“没有实质性响应招标文件要求”，其投标将被拒绝。</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13、评审结果的修改</w:t>
      </w:r>
    </w:p>
    <w:p>
      <w:pPr>
        <w:spacing w:line="460" w:lineRule="exact"/>
        <w:ind w:firstLine="762" w:firstLineChars="3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13.1评标结果汇总完成后，除下列情形外，任何人不得修改评标结果：</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（1）分值汇总计算错误的；</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（2）分项评分超出评分标准范围的；</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（3）评标委员会成员对客观评审因素评分不一致的；</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（4）经评标委员会认定评分畸高、畸低的。</w:t>
      </w:r>
    </w:p>
    <w:p>
      <w:pPr>
        <w:spacing w:line="460" w:lineRule="exact"/>
        <w:ind w:firstLine="759" w:firstLineChars="345"/>
        <w:rPr>
          <w:rFonts w:hint="eastAsia" w:ascii="宋体" w:hAnsi="宋体" w:eastAsia="宋体" w:cs="宋体"/>
          <w:color w:val="auto"/>
          <w:highlight w:val="none"/>
        </w:rPr>
      </w:pPr>
      <w:r>
        <w:rPr>
          <w:rFonts w:hint="eastAsia" w:ascii="宋体" w:hAnsi="宋体" w:eastAsia="宋体" w:cs="宋体"/>
          <w:bCs/>
          <w:color w:val="auto"/>
          <w:sz w:val="22"/>
          <w:szCs w:val="22"/>
          <w:highlight w:val="none"/>
        </w:rPr>
        <w:t>13.2书面评标报告签署前，经复核发现存在以上情形之一的，评标委员会将当场修改评标结果，并在</w:t>
      </w:r>
      <w:r>
        <w:rPr>
          <w:rFonts w:hint="eastAsia" w:ascii="宋体" w:hAnsi="宋体" w:eastAsia="宋体" w:cs="宋体"/>
          <w:b/>
          <w:color w:val="auto"/>
          <w:sz w:val="22"/>
          <w:szCs w:val="22"/>
          <w:highlight w:val="none"/>
        </w:rPr>
        <w:t>评标报告中记载。</w:t>
      </w:r>
    </w:p>
    <w:p>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14</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确定中标候选人</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14.1由评标委员会确定中标候选人。</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pPr>
        <w:spacing w:line="460" w:lineRule="exact"/>
        <w:ind w:firstLine="762" w:firstLineChars="345"/>
        <w:rPr>
          <w:rFonts w:hint="eastAsia" w:ascii="宋体" w:hAnsi="宋体" w:eastAsia="宋体" w:cs="宋体"/>
          <w:bCs/>
          <w:color w:val="auto"/>
          <w:sz w:val="22"/>
          <w:szCs w:val="22"/>
          <w:highlight w:val="none"/>
        </w:rPr>
      </w:pPr>
      <w:r>
        <w:rPr>
          <w:rFonts w:hint="eastAsia" w:ascii="宋体" w:hAnsi="宋体" w:eastAsia="宋体" w:cs="宋体"/>
          <w:b/>
          <w:bCs/>
          <w:color w:val="auto"/>
          <w:sz w:val="22"/>
          <w:szCs w:val="22"/>
          <w:highlight w:val="none"/>
        </w:rPr>
        <w:t>15、确定中标人</w:t>
      </w:r>
    </w:p>
    <w:p>
      <w:pPr>
        <w:spacing w:line="460" w:lineRule="exact"/>
        <w:ind w:firstLine="762" w:firstLineChars="345"/>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rPr>
        <w:t>15</w:t>
      </w:r>
      <w:r>
        <w:rPr>
          <w:rFonts w:hint="eastAsia" w:ascii="宋体" w:hAnsi="宋体" w:eastAsia="宋体" w:cs="宋体"/>
          <w:b/>
          <w:bCs/>
          <w:color w:val="auto"/>
          <w:sz w:val="22"/>
          <w:szCs w:val="22"/>
          <w:highlight w:val="none"/>
        </w:rPr>
        <w:t>.1招标人按照书面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15.2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16、起草、签署评审报告</w:t>
      </w:r>
    </w:p>
    <w:p>
      <w:pPr>
        <w:spacing w:line="460" w:lineRule="exact"/>
        <w:ind w:firstLine="759" w:firstLineChars="3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评审结束后，评标委员会将通过“政府采购云平台”起草评审报告，评标委员会成员应当在评审报告上签字，对自己的评审意见承担法律责任。对评审报告有异议的，应当在评审报告上签署不同意见，并说明理由，否则视为同意评审报告。</w:t>
      </w:r>
    </w:p>
    <w:p>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中标人确定后，招标人将在政府指定媒体公告中标结果，招标人向中标人发出中标通知书。</w:t>
      </w:r>
    </w:p>
    <w:p>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18、</w:t>
      </w:r>
      <w:r>
        <w:rPr>
          <w:rFonts w:hint="eastAsia" w:ascii="宋体" w:hAnsi="宋体" w:eastAsia="宋体" w:cs="宋体"/>
          <w:b/>
          <w:color w:val="auto"/>
          <w:sz w:val="22"/>
          <w:szCs w:val="22"/>
          <w:highlight w:val="none"/>
        </w:rPr>
        <w:t>招标人对决标结果不做任何解释，也不保证最低价中标。</w:t>
      </w:r>
    </w:p>
    <w:p>
      <w:pPr>
        <w:spacing w:line="460" w:lineRule="exact"/>
        <w:ind w:firstLine="762" w:firstLineChars="3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19、评标细则详见“评标原则及方法”。</w:t>
      </w:r>
    </w:p>
    <w:p>
      <w:pPr>
        <w:spacing w:before="100" w:beforeAutospacing="1" w:after="100" w:afterAutospacing="1" w:line="440" w:lineRule="exact"/>
        <w:jc w:val="center"/>
        <w:outlineLvl w:val="1"/>
        <w:rPr>
          <w:rFonts w:hint="eastAsia" w:ascii="宋体" w:hAnsi="宋体" w:eastAsia="宋体" w:cs="宋体"/>
          <w:b/>
          <w:bCs/>
          <w:color w:val="auto"/>
          <w:sz w:val="26"/>
          <w:szCs w:val="26"/>
          <w:highlight w:val="none"/>
        </w:rPr>
      </w:pPr>
      <w:bookmarkStart w:id="22" w:name="_Toc26836"/>
      <w:bookmarkStart w:id="23" w:name="_Toc25388"/>
      <w:r>
        <w:rPr>
          <w:rFonts w:hint="eastAsia" w:ascii="宋体" w:hAnsi="宋体" w:eastAsia="宋体" w:cs="宋体"/>
          <w:b/>
          <w:bCs/>
          <w:color w:val="auto"/>
          <w:sz w:val="26"/>
          <w:szCs w:val="26"/>
          <w:highlight w:val="none"/>
        </w:rPr>
        <w:t>六、 授予合同</w:t>
      </w:r>
      <w:bookmarkEnd w:id="22"/>
      <w:bookmarkEnd w:id="23"/>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highlight w:val="none"/>
        </w:rPr>
        <w:t>1、中标通知书</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1.1</w:t>
      </w:r>
      <w:r>
        <w:rPr>
          <w:rFonts w:hint="eastAsia" w:ascii="宋体" w:hAnsi="宋体" w:eastAsia="宋体" w:cs="宋体"/>
          <w:color w:val="auto"/>
          <w:sz w:val="22"/>
          <w:szCs w:val="22"/>
          <w:highlight w:val="none"/>
        </w:rPr>
        <w:t xml:space="preserve">中标人确定后，招标人将向中标人发出中标通知书。 </w:t>
      </w:r>
    </w:p>
    <w:p>
      <w:pPr>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1.2</w:t>
      </w:r>
      <w:r>
        <w:rPr>
          <w:rFonts w:hint="eastAsia" w:ascii="宋体" w:hAnsi="宋体" w:eastAsia="宋体" w:cs="宋体"/>
          <w:color w:val="auto"/>
          <w:sz w:val="22"/>
          <w:szCs w:val="22"/>
          <w:highlight w:val="none"/>
        </w:rPr>
        <w:t>中标通知书是合同的一个组成部分,对招标人和中标人均具有同等法律效力。</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2、授标时更改采购货物数量的权力</w:t>
      </w:r>
    </w:p>
    <w:p>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2.1招标人在授予合同时有权对采购货物的数量和服务在一定幅度范围内予以增加或减少,但不得对单价和其他的条款和条件作任何改变。</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3、签订合同</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rPr>
        <w:t>3.1中标人应按中标通知书规定的时间、地点与招标人签订合同。</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3.2</w:t>
      </w:r>
      <w:r>
        <w:rPr>
          <w:rFonts w:hint="eastAsia" w:ascii="宋体" w:hAnsi="宋体" w:eastAsia="宋体" w:cs="宋体"/>
          <w:b/>
          <w:color w:val="auto"/>
          <w:spacing w:val="6"/>
          <w:sz w:val="22"/>
          <w:szCs w:val="22"/>
          <w:highlight w:val="none"/>
        </w:rPr>
        <w:t>在签订合同前，招标人有权在中标总价不变的前提下要求中标人对商务报价中的不平衡报价和缺漏项进行调整，如果中标人无合理理由拒绝调整，其中投标资格将被取消，保证金将不予退还，且将导致其它进一步的赔偿和处罚。</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3.3招标文件、中标人的投标文件、投标修改文件、评标过程中有关澄清文件及经投标人和评委双方签字的询标纪要和中标通知书均作为合同附件。</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3.4拒签合同的违约责任</w:t>
      </w:r>
    </w:p>
    <w:p>
      <w:pPr>
        <w:spacing w:line="460" w:lineRule="exact"/>
        <w:ind w:firstLine="571" w:firstLineChars="245"/>
        <w:rPr>
          <w:rFonts w:hint="eastAsia" w:ascii="宋体" w:hAnsi="宋体" w:eastAsia="宋体" w:cs="宋体"/>
          <w:b/>
          <w:color w:val="auto"/>
          <w:spacing w:val="6"/>
          <w:sz w:val="22"/>
          <w:szCs w:val="22"/>
          <w:highlight w:val="none"/>
        </w:rPr>
      </w:pPr>
      <w:r>
        <w:rPr>
          <w:rFonts w:hint="eastAsia" w:ascii="宋体" w:hAnsi="宋体" w:eastAsia="宋体" w:cs="宋体"/>
          <w:b/>
          <w:color w:val="auto"/>
          <w:spacing w:val="6"/>
          <w:sz w:val="22"/>
          <w:szCs w:val="22"/>
          <w:highlight w:val="none"/>
        </w:rPr>
        <w:t>中标人接到中标通知书后，在规定时间内借故否认已经承诺的条件而拒签合同的，以违约处理。</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4、履约保证金</w:t>
      </w:r>
    </w:p>
    <w:p>
      <w:pPr>
        <w:spacing w:line="460" w:lineRule="exact"/>
        <w:ind w:firstLine="539" w:firstLineChars="24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4.1中标人在收到中标通知书后，须向招标人提交合同总价</w:t>
      </w:r>
      <w:r>
        <w:rPr>
          <w:rFonts w:hint="eastAsia" w:ascii="宋体" w:hAnsi="宋体" w:eastAsia="宋体" w:cs="宋体"/>
          <w:bCs/>
          <w:color w:val="auto"/>
          <w:sz w:val="22"/>
          <w:highlight w:val="none"/>
          <w:lang w:val="en-US" w:eastAsia="zh-CN"/>
        </w:rPr>
        <w:t>5</w:t>
      </w:r>
      <w:r>
        <w:rPr>
          <w:rFonts w:hint="eastAsia" w:ascii="宋体" w:hAnsi="宋体" w:eastAsia="宋体" w:cs="宋体"/>
          <w:bCs/>
          <w:color w:val="auto"/>
          <w:sz w:val="22"/>
          <w:highlight w:val="none"/>
        </w:rPr>
        <w:t>%的履约保证金。</w:t>
      </w:r>
    </w:p>
    <w:p>
      <w:pPr>
        <w:spacing w:line="460" w:lineRule="exact"/>
        <w:ind w:firstLine="539" w:firstLineChars="245"/>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4.2履约保证金用于补偿招标人因中标人不能履行其合同义务而蒙受的损失。</w:t>
      </w:r>
    </w:p>
    <w:p>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bCs/>
          <w:color w:val="auto"/>
          <w:sz w:val="22"/>
          <w:highlight w:val="none"/>
        </w:rPr>
        <w:t>4.3履约保证金自合同签订之日起至货物验收合格止有效。有效期满后，</w:t>
      </w:r>
      <w:r>
        <w:rPr>
          <w:rFonts w:hint="eastAsia" w:ascii="宋体" w:hAnsi="宋体" w:eastAsia="宋体" w:cs="宋体"/>
          <w:bCs/>
          <w:color w:val="auto"/>
          <w:sz w:val="22"/>
          <w:highlight w:val="none"/>
          <w:lang w:eastAsia="zh-CN"/>
        </w:rPr>
        <w:t>招标人</w:t>
      </w:r>
      <w:r>
        <w:rPr>
          <w:rFonts w:hint="eastAsia" w:ascii="宋体" w:hAnsi="宋体" w:eastAsia="宋体" w:cs="宋体"/>
          <w:bCs/>
          <w:color w:val="auto"/>
          <w:sz w:val="22"/>
          <w:highlight w:val="none"/>
        </w:rPr>
        <w:t>应及时将履约保证金无息退还给中标人。</w:t>
      </w:r>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highlight w:val="none"/>
        </w:rPr>
        <w:t>5、质疑与投诉</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5.1投标人认为招标文件、采购过程、中标和成交结果使自己的合法权益受到损害的，可以在知道或应知道其权益受到损害之日起七个工作日内以书面形式向招标人或招标代理机构提出质疑。</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5.2招标人或招标代理机构在收到投标人的书面质疑后七个工作日内作出答复，但答复的内容不得涉及商业秘密。质疑投标人对招标人或招标代理机构的答复不满意，可以在答复期满后十五个工作日内向同级政府采购监督管理部门投诉。</w:t>
      </w:r>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5.3投诉人投诉时，应提交投诉书，投诉书应当由本人并由法定代表人签字盖公章，投诉书应说明具体的投诉事项及事实依据。投诉人对投诉书的真实性负责，恶意投诉将承当相应的法律和民事责任。</w:t>
      </w:r>
    </w:p>
    <w:p>
      <w:pPr>
        <w:pStyle w:val="47"/>
        <w:spacing w:before="0" w:beforeAutospacing="0" w:after="0" w:afterAutospacing="0" w:line="460" w:lineRule="exact"/>
        <w:ind w:firstLine="660" w:firstLineChars="300"/>
        <w:rPr>
          <w:rFonts w:hint="eastAsia"/>
          <w:color w:val="auto"/>
          <w:sz w:val="22"/>
          <w:szCs w:val="22"/>
          <w:highlight w:val="none"/>
        </w:rPr>
      </w:pPr>
      <w:r>
        <w:rPr>
          <w:rFonts w:hint="eastAsia" w:ascii="宋体" w:hAnsi="宋体" w:eastAsia="宋体" w:cs="宋体"/>
          <w:color w:val="auto"/>
          <w:sz w:val="22"/>
          <w:highlight w:val="none"/>
        </w:rPr>
        <w:t>5.4</w:t>
      </w:r>
      <w:r>
        <w:rPr>
          <w:rFonts w:hint="eastAsia"/>
          <w:color w:val="auto"/>
          <w:sz w:val="22"/>
          <w:szCs w:val="22"/>
          <w:highlight w:val="none"/>
        </w:rPr>
        <w:t>同级政府采购监督管理部门</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1100" w:firstLineChars="5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名   称：温州市财政局政府采购监管处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1100" w:firstLineChars="5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地  址：温州市鹿城区绣山路299号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1100" w:firstLineChars="5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联系人 ：</w:t>
      </w:r>
      <w:r>
        <w:rPr>
          <w:rFonts w:hint="eastAsia" w:eastAsia="宋体" w:cs="宋体"/>
          <w:color w:val="auto"/>
          <w:sz w:val="22"/>
          <w:szCs w:val="22"/>
          <w:highlight w:val="none"/>
          <w:u w:val="none"/>
          <w:lang w:val="en-US" w:eastAsia="zh-CN"/>
        </w:rPr>
        <w:t>胡女士</w:t>
      </w:r>
      <w:r>
        <w:rPr>
          <w:rFonts w:hint="eastAsia" w:ascii="宋体" w:hAnsi="宋体" w:eastAsia="宋体" w:cs="宋体"/>
          <w:color w:val="auto"/>
          <w:sz w:val="22"/>
          <w:szCs w:val="22"/>
          <w:highlight w:val="none"/>
          <w:u w:val="none"/>
        </w:rPr>
        <w:t>、</w:t>
      </w:r>
      <w:r>
        <w:rPr>
          <w:rFonts w:hint="eastAsia" w:eastAsia="宋体" w:cs="宋体"/>
          <w:color w:val="auto"/>
          <w:sz w:val="22"/>
          <w:szCs w:val="22"/>
          <w:highlight w:val="none"/>
          <w:u w:val="none"/>
          <w:lang w:val="en-US" w:eastAsia="zh-CN"/>
        </w:rPr>
        <w:t>蔡</w:t>
      </w:r>
      <w:r>
        <w:rPr>
          <w:rFonts w:hint="eastAsia" w:ascii="宋体" w:hAnsi="宋体" w:eastAsia="宋体" w:cs="宋体"/>
          <w:color w:val="auto"/>
          <w:sz w:val="22"/>
          <w:szCs w:val="22"/>
          <w:highlight w:val="none"/>
          <w:u w:val="none"/>
        </w:rPr>
        <w:t>女士 </w:t>
      </w:r>
    </w:p>
    <w:p>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1100" w:firstLineChars="500"/>
        <w:textAlignment w:val="auto"/>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rPr>
        <w:t>监督投诉电话：</w:t>
      </w:r>
      <w:r>
        <w:rPr>
          <w:rFonts w:hint="eastAsia" w:ascii="宋体" w:hAnsi="宋体" w:eastAsia="宋体" w:cs="宋体"/>
          <w:color w:val="auto"/>
          <w:sz w:val="22"/>
          <w:szCs w:val="22"/>
          <w:highlight w:val="none"/>
          <w:u w:val="none"/>
          <w:lang w:val="zh-TW"/>
        </w:rPr>
        <w:t>0577-</w:t>
      </w:r>
      <w:r>
        <w:rPr>
          <w:rFonts w:hint="eastAsia" w:ascii="宋体" w:hAnsi="宋体" w:eastAsia="宋体" w:cs="宋体"/>
          <w:color w:val="auto"/>
          <w:sz w:val="22"/>
          <w:szCs w:val="22"/>
          <w:highlight w:val="none"/>
          <w:u w:val="none"/>
        </w:rPr>
        <w:t>8850</w:t>
      </w:r>
      <w:r>
        <w:rPr>
          <w:rFonts w:hint="eastAsia" w:eastAsia="宋体" w:cs="宋体"/>
          <w:color w:val="auto"/>
          <w:sz w:val="22"/>
          <w:szCs w:val="22"/>
          <w:highlight w:val="none"/>
          <w:u w:val="none"/>
          <w:lang w:val="en-US" w:eastAsia="zh-CN"/>
        </w:rPr>
        <w:t>5289</w:t>
      </w:r>
      <w:r>
        <w:rPr>
          <w:rFonts w:hint="eastAsia" w:ascii="宋体" w:hAnsi="宋体" w:eastAsia="宋体" w:cs="宋体"/>
          <w:color w:val="auto"/>
          <w:sz w:val="22"/>
          <w:szCs w:val="22"/>
          <w:highlight w:val="none"/>
          <w:u w:val="none"/>
        </w:rPr>
        <w:t>、0577-</w:t>
      </w:r>
      <w:r>
        <w:rPr>
          <w:rFonts w:hint="eastAsia" w:eastAsia="宋体" w:cs="宋体"/>
          <w:color w:val="auto"/>
          <w:sz w:val="22"/>
          <w:szCs w:val="22"/>
          <w:highlight w:val="none"/>
          <w:u w:val="none"/>
          <w:lang w:val="en-US" w:eastAsia="zh-CN"/>
        </w:rPr>
        <w:t>88521948</w:t>
      </w:r>
    </w:p>
    <w:p>
      <w:pPr>
        <w:spacing w:line="420" w:lineRule="exact"/>
        <w:rPr>
          <w:rFonts w:hint="eastAsia" w:ascii="宋体" w:hAnsi="宋体" w:eastAsia="宋体" w:cs="宋体"/>
          <w:color w:val="auto"/>
          <w:sz w:val="22"/>
          <w:highlight w:val="none"/>
        </w:rPr>
      </w:pPr>
    </w:p>
    <w:p>
      <w:pPr>
        <w:rPr>
          <w:rFonts w:hint="eastAsia" w:ascii="宋体" w:hAnsi="宋体" w:eastAsia="宋体" w:cs="宋体"/>
          <w:color w:val="auto"/>
          <w:sz w:val="22"/>
          <w:highlight w:val="none"/>
        </w:rPr>
      </w:pPr>
    </w:p>
    <w:p>
      <w:pPr>
        <w:rPr>
          <w:rFonts w:hint="eastAsia"/>
          <w:color w:val="auto"/>
          <w:highlight w:val="none"/>
        </w:rPr>
      </w:pPr>
      <w:r>
        <w:rPr>
          <w:rFonts w:hint="eastAsia"/>
          <w:color w:val="auto"/>
          <w:highlight w:val="none"/>
        </w:rPr>
        <w:br w:type="page"/>
      </w:r>
    </w:p>
    <w:p>
      <w:pPr>
        <w:pStyle w:val="4"/>
        <w:bidi w:val="0"/>
        <w:rPr>
          <w:rFonts w:hint="eastAsia" w:ascii="宋体" w:hAnsi="宋体" w:eastAsia="宋体" w:cs="宋体"/>
          <w:color w:val="auto"/>
          <w:highlight w:val="none"/>
        </w:rPr>
      </w:pPr>
      <w:bookmarkStart w:id="24" w:name="_Toc12315"/>
      <w:bookmarkStart w:id="25" w:name="_Toc28194"/>
      <w:r>
        <w:rPr>
          <w:rFonts w:hint="eastAsia" w:ascii="宋体" w:hAnsi="宋体" w:eastAsia="宋体" w:cs="宋体"/>
          <w:color w:val="auto"/>
          <w:highlight w:val="none"/>
        </w:rPr>
        <w:t>第二部分    合同主要条款</w:t>
      </w:r>
      <w:bookmarkEnd w:id="24"/>
      <w:bookmarkEnd w:id="25"/>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注：如甲、乙双方同意，合同格式也可以按照其他形式, 具体条款以甲方为主协商确定。但合同条款的基本内容应与以下要求的内容相一致。</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甲方：</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（招标人）</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乙方: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（中标人）</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Cs/>
          <w:color w:val="auto"/>
          <w:sz w:val="22"/>
          <w:szCs w:val="22"/>
          <w:highlight w:val="none"/>
          <w:lang w:eastAsia="zh-CN"/>
        </w:rPr>
        <w:t>温州市市政管理中心</w:t>
      </w:r>
      <w:r>
        <w:rPr>
          <w:rFonts w:hint="eastAsia" w:ascii="新宋体" w:hAnsi="新宋体" w:eastAsia="新宋体" w:cs="新宋体"/>
          <w:bCs/>
          <w:color w:val="auto"/>
          <w:sz w:val="22"/>
          <w:szCs w:val="22"/>
          <w:highlight w:val="none"/>
        </w:rPr>
        <w:t>的</w:t>
      </w:r>
      <w:r>
        <w:rPr>
          <w:rFonts w:hint="eastAsia" w:ascii="新宋体" w:hAnsi="新宋体" w:eastAsia="新宋体" w:cs="新宋体"/>
          <w:bCs/>
          <w:color w:val="auto"/>
          <w:sz w:val="22"/>
          <w:szCs w:val="22"/>
          <w:highlight w:val="none"/>
          <w:u w:val="single"/>
        </w:rPr>
        <w:t xml:space="preserve">             </w:t>
      </w:r>
      <w:r>
        <w:rPr>
          <w:rFonts w:hint="eastAsia" w:ascii="新宋体" w:hAnsi="新宋体" w:eastAsia="新宋体" w:cs="新宋体"/>
          <w:bCs/>
          <w:color w:val="auto"/>
          <w:sz w:val="22"/>
          <w:szCs w:val="22"/>
          <w:highlight w:val="none"/>
        </w:rPr>
        <w:t>（项目名称、编号）在国内以公开招标方式进行投标，经评标委员会评定</w:t>
      </w:r>
      <w:r>
        <w:rPr>
          <w:rFonts w:hint="eastAsia" w:ascii="新宋体" w:hAnsi="新宋体" w:eastAsia="新宋体" w:cs="新宋体"/>
          <w:bCs/>
          <w:color w:val="auto"/>
          <w:sz w:val="22"/>
          <w:szCs w:val="22"/>
          <w:highlight w:val="none"/>
          <w:u w:val="single"/>
        </w:rPr>
        <w:t xml:space="preserve">                 </w:t>
      </w:r>
      <w:r>
        <w:rPr>
          <w:rFonts w:hint="eastAsia" w:ascii="新宋体" w:hAnsi="新宋体" w:eastAsia="新宋体" w:cs="新宋体"/>
          <w:bCs/>
          <w:color w:val="auto"/>
          <w:sz w:val="22"/>
          <w:szCs w:val="22"/>
          <w:highlight w:val="none"/>
        </w:rPr>
        <w:t>（中标人名称）为中标人。双方本着诚信及互利互惠的原则，同意按照下面条款和条件，签署本合同。</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一、本合同签订依据</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《中华人民共和国</w:t>
      </w:r>
      <w:r>
        <w:rPr>
          <w:rFonts w:hint="eastAsia" w:ascii="新宋体" w:hAnsi="新宋体" w:eastAsia="新宋体" w:cs="新宋体"/>
          <w:bCs/>
          <w:color w:val="auto"/>
          <w:sz w:val="22"/>
          <w:szCs w:val="22"/>
          <w:highlight w:val="none"/>
          <w:lang w:val="en-US" w:eastAsia="zh-CN"/>
        </w:rPr>
        <w:t>民法典</w:t>
      </w:r>
      <w:r>
        <w:rPr>
          <w:rFonts w:hint="eastAsia" w:ascii="新宋体" w:hAnsi="新宋体" w:eastAsia="新宋体" w:cs="新宋体"/>
          <w:bCs/>
          <w:color w:val="auto"/>
          <w:sz w:val="22"/>
          <w:szCs w:val="22"/>
          <w:highlight w:val="none"/>
        </w:rPr>
        <w:t>》</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二、合同文件的优先次序</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合同文件如存在歧义或不一致则根据以下优先次序来判断：</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1、合同书及合同补充条款或说明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2、中标通知书</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3、承诺书（含询标记录和优惠条款）</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4、投标文件</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5、招标文件</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bCs/>
          <w:color w:val="auto"/>
          <w:sz w:val="22"/>
          <w:szCs w:val="22"/>
          <w:highlight w:val="none"/>
          <w:lang w:val="en-US" w:eastAsia="zh-CN"/>
        </w:rPr>
        <w:t>三</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路灯设施维护专用车辆、工具、设备</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乙方必须在中标后一个月内</w:t>
      </w:r>
      <w:r>
        <w:rPr>
          <w:rFonts w:hint="eastAsia" w:ascii="新宋体" w:hAnsi="新宋体" w:eastAsia="新宋体" w:cs="新宋体"/>
          <w:bCs/>
          <w:color w:val="auto"/>
          <w:sz w:val="22"/>
          <w:szCs w:val="22"/>
          <w:highlight w:val="none"/>
        </w:rPr>
        <w:t>配齐用于城</w:t>
      </w:r>
      <w:r>
        <w:rPr>
          <w:rFonts w:hint="eastAsia" w:ascii="新宋体" w:hAnsi="新宋体" w:eastAsia="新宋体" w:cs="新宋体"/>
          <w:color w:val="auto"/>
          <w:sz w:val="22"/>
          <w:szCs w:val="22"/>
          <w:highlight w:val="none"/>
        </w:rPr>
        <w:t>市次干路以上等级道路路灯维修的12米以上高空作业车不少于</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 xml:space="preserve"> 辆、20米及以上高空作业车不少于</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辆，用于背街小巷路灯设施维修的四轮小货车不小于</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辆，以及用于巡查、协调的小四轮不少于</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辆等（具体数量以中标单位投标文件中响应的实际数量为准），但不得少于甲方要求；提供车辆行驶证复印件及扫描件, 且提供原件备查，否则甲方有权扣除相应的履约保证金或履约保函。完成本项目维修养护服务所需的维修专用车、检测仪器、工具及专用安全器材等均由乙方自备，均归乙方所有。以上车辆可以自有或租赁，租赁车辆需提供租赁协议。</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b/>
          <w:color w:val="auto"/>
          <w:sz w:val="22"/>
          <w:szCs w:val="22"/>
          <w:highlight w:val="none"/>
          <w:lang w:val="en-US" w:eastAsia="zh-CN"/>
        </w:rPr>
        <w:t>四</w:t>
      </w:r>
      <w:r>
        <w:rPr>
          <w:rFonts w:hint="eastAsia" w:ascii="新宋体" w:hAnsi="新宋体" w:eastAsia="新宋体" w:cs="新宋体"/>
          <w:b/>
          <w:color w:val="auto"/>
          <w:sz w:val="22"/>
          <w:szCs w:val="22"/>
          <w:highlight w:val="none"/>
        </w:rPr>
        <w:t>、路灯设施维护人员配备</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项目负责人：</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名</w:t>
      </w:r>
      <w:r>
        <w:rPr>
          <w:rFonts w:hint="eastAsia" w:ascii="新宋体" w:hAnsi="新宋体" w:eastAsia="新宋体" w:cs="新宋体"/>
          <w:color w:val="auto"/>
          <w:sz w:val="22"/>
          <w:szCs w:val="22"/>
          <w:highlight w:val="none"/>
        </w:rPr>
        <w:t>（机电二级及以上注册建造师资格），项目技术负责人：</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名 </w:t>
      </w:r>
      <w:r>
        <w:rPr>
          <w:rFonts w:hint="eastAsia" w:ascii="新宋体" w:hAnsi="新宋体" w:eastAsia="新宋体" w:cs="新宋体"/>
          <w:color w:val="auto"/>
          <w:sz w:val="22"/>
          <w:szCs w:val="22"/>
          <w:highlight w:val="none"/>
        </w:rPr>
        <w:t>（电气专业中级及以上职称），安全员、施工员各</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名，选派至少</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名持有电工证的维修素养好的电工和至少</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名驾驶员参与维修养护服务工作。如乙方派出的服务人员在本合同实施过程中，因素质、技术水平、服务质量、现场管理经验、采用的设备、文明安全生产等不符合采购文件的要求和与投标文件中的承诺不符，造成现场管理混乱、服务质量低劣时，甲方有权要求其重新调整充实专业服务人员，乙方必须接受，否则作违约处理，甲方可单方面终止合同。造成经济损失的，乙方应予赔偿。供应商中标后，按人员配备表，更换维修班组人员不得超过20%，项目负责人、项目技术负责人、施工员、安全员到位率须达到100%。甲方组织按每月的实际天数考核，项目负责人每少一天扣1000元，不足一天按一天计，其他人员每少一天扣500元违约金，不足一天按一天计。如确实需要更换人员的，经甲方同意项目负责人每换一次按30000元人民币扣除违约金；其他主要技术人员每次按10000元人民币扣除违约金。</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lang w:val="en-US" w:eastAsia="zh-CN"/>
        </w:rPr>
        <w:t>五</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路灯设施维护所需的器材、耗材的提供及费用</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路灯设施维护所需的一切器材、耗材等均由乙方提供，其技术性能指标、规格、质量与原先的一致或相近（经甲方同意调整的除外），且符合有关最新国家标准或行业、部门标准，原则上应是新品。乙方对所提供的器材、耗材的质量负责，合同终止时器材、耗材应处于完好状态，并承担所需的一切费用。</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乙方必须预先配置一定比率的备品，以便于及时更换损坏的器材和耗材。</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确认属于不可抗力（如地震、台风、洪涝等，但路灯设施被盗除外）、路面沉降、重物压损等因素造成路灯设施故障或损坏的，其修复所需的费用由甲方承担。</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lang w:val="en-US" w:eastAsia="zh-CN"/>
        </w:rPr>
        <w:t>六</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路灯设施的维护质量和管理</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1、乙方应在维修养护中采用先进的技术、优质的材料和零部件、一流的工艺、严格的质量管理为甲方提供技术先进、质量优良并完全符合合同要求的维修养护服务。</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应按照ISO9000质量保证体系或相应的服务质量管理标准，对路灯设施的维修、养护等各个环节进行严格的管理和服务，建立完善的维修工作管理制度、维护规程和保障体系，制订服务质量保证措施和安全文明施工措施。</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甲方有权对乙方服务质量及安全文明施工情况进行监督、检查，并视实际情况提出要求。如发现乙方提供的设备、器材不符合采购文件中规定的技术、质量标准及维修服务不符合采购文件要求及存在不安全隐患，有权要求乙方进行整改，其整改方案须经甲方认可后方可实施。</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4、档案资料保管：乙方应建立养护档案，健全日常养护作业记录，认真做好台账的整理和归档工作；合同到期前将养护档案资料移交甲方一份。乙方应按季度向甲方提供路灯设施运维报告，竣工验收前应向甲方提供项目整体运维报告。</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乙方应成立突发事件应急处理领导小组和应急抢险突击队，切实按照《温州市突发事件应急抢险预案》等相关政策文件制定的相关预案组织实施。认真做好防汛、抗台、抗雪及突发事件应急抢险工作，确保人员、设备、材料“三落实”，并做好数据、图片和台账的记录、存档，及时反映情况，严格服从甲方的统一指挥和安排。若发生非养护原因引起的意外事故或人为破坏造成设施损坏，乙方应立即采取相关措施或临时应急措施，并通知甲方和相关部门。</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bCs/>
          <w:color w:val="auto"/>
          <w:sz w:val="22"/>
          <w:szCs w:val="22"/>
          <w:highlight w:val="none"/>
          <w:lang w:val="en-US" w:eastAsia="zh-CN"/>
        </w:rPr>
        <w:t>七</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路灯设施维护的考核事项</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由甲方2名、乙方1名，共3人组成监督小组，监督小组每月定期或不定期就合同执行情况进行检查考核，检查路灯数量不少于维修养护总数的10 % ，检查线路随机（或抽签）确定。考核的结果，按以下条款处理：</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1)每次抽查的路灯亮灯率（取平均值），若低于98 %高于96 %（含96%）时，每低1 % ，相应扣除当月维护费（即路灯设施正常维护费合同价/12个月，下同）1万元 ；低于96 %时，每低1 % ，相应扣除当月维护费人民币3万元 ；</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2)每次抽查的设施完好率（取平均值），若低于95%高于93%（含93 %）时，每低1 % ，相应扣除当月维护费人民币1万元；低于93% 时，每低1% ，相应扣除当月维护费人民币2万元；</w:t>
      </w:r>
    </w:p>
    <w:p>
      <w:pPr>
        <w:pStyle w:val="51"/>
        <w:keepNext w:val="0"/>
        <w:keepLines w:val="0"/>
        <w:pageBreakBefore w:val="0"/>
        <w:kinsoku/>
        <w:wordWrap/>
        <w:overflowPunct/>
        <w:topLinePunct w:val="0"/>
        <w:autoSpaceDE/>
        <w:autoSpaceDN/>
        <w:bidi w:val="0"/>
        <w:adjustRightInd/>
        <w:snapToGrid/>
        <w:spacing w:after="0" w:line="460" w:lineRule="exact"/>
        <w:ind w:left="0" w:firstLine="418" w:firstLineChars="19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制定巡查计划表，于每月初上报。每天需安排班组对路灯设施日常巡查，一个月为周期巡查一次所有路灯设施，发现路灯故障、迁移、拆除的及时报告。未按要求执行的，每发现一起，扣除当月维护费伍仟元，以此类推。</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4)数字城管处置率（以市数字城管提供数据为准），若低于100%高于97 %（含97 %）时，相应扣除当月维护费人民币2万元 ；低于97% 时，每低5% ，相应扣除当月维护费人民币5万元；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5)数字城管按时处置率（以市数字城管提供数据为准），若低于100%高于97 %（含97%）时，相应扣除当月维护费人民币2万元；低于97 % 时，每低5% ，相应扣除当月维护费人民币5万元；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6)数字城管返工率（以市数字城管提供数据为准），每返工一次扣当月维护费人民币5千元；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信访件（包括市长热线投诉件）投诉率和及时处理率（以市局信访办提供数据为准），每月信访件（包括市长热线投诉件）若高于20次以20次为基数，每高于10%时，相应扣除当月维护费人民币5千元；以此类推；及时处置满意率若低于100%高于97 %（含3%）时，相应扣除当月维护费人民币5千元；低于97 % 时，每低5% ，相应扣除当月维护费人民币2万元；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8)灯具整洁率（包括灯罩无积污、灯具灯挑整齐、电源部分不外露等）若低于95 %时，每低1% ，扣除当月维护费人民币5千元；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9)灯杆垂直度不合格超过3% 的，则扣除当月维护费的人民币1千元，每低于1% ，则相应扣除当月维护费人民币5千元；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10)接到应急维修路灯指令后，一个小时内未能到达应急现场的，每次扣除当月维护费的人民币3千元；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11)控制开关发生故障或损坏、一般电器故障修复时间超过24小时，电缆断线造成路灯失明或线路碰线、断路修复时间超过48小时，每起扣当月维护费人民币5千元；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12）路灯监控设备故障应立即到事故点抢修，原则上4个小时内应完成修复工作，因特殊情况不能修复的，需立即告知甲方。</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发现路灯电缆被盗后，需在次日上午着手解决材料供给与人员派发问题，同时尽快处理电缆补装事宜，确保在48小时内（若被盗线路较长、需开挖路面等原因无法按时完成，须书面告知甲方并确定修复时限）按原电缆规格、型号补装完毕，若不按要求补装，每起扣当月维护费2万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14)未经甲方批准，乙方擅自白天亮灯进行养护维修的，发现一次扣当月维护费人民币2千元；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15)乙方维修养护工作中违反有关安全生产操作规程的，每发现一项扣当月维护费人民币2千元；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16)路灯开关灯控制设备不按规定开关灯的，每发现一处一次扣当月维护费人民币2千元；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严格遵守采购方制定的《温州市亮灯监控中心值班及交接班管理制度》、《温州市亮灯监控中心安全管理制度》、《温州市亮灯监控中心安全管理制度》、《温州市亮灯监控中心值班人员岗位职责》，维护监控中心正常值班秩序，每发现一项违规行为扣当月维护费人民币2千元；详见附后《温州市亮灯监控中心值班及交接班管理制度》、《温州市亮灯监控中心安全管理制度》、《温州市亮灯监控中心安全管理制度》、《温州市亮灯监控中心值班人员岗位职责》</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17）未按《路灯设施维护的内容和要求》进行路灯养护，给路灯的正常运行带不便的，或造成不良社会观感的，每发现一项扣当月维护费人民币2千元；</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18）乙方在日常巡查中发现有未经甲方核准的灯杆悬挂物及外接电源接入点应及时告知甲方，并</w:t>
      </w:r>
      <w:r>
        <w:rPr>
          <w:rFonts w:hint="eastAsia" w:ascii="新宋体" w:hAnsi="新宋体" w:eastAsia="新宋体" w:cs="新宋体"/>
          <w:b/>
          <w:color w:val="auto"/>
          <w:sz w:val="22"/>
          <w:szCs w:val="22"/>
          <w:highlight w:val="none"/>
          <w:lang w:val="en-US" w:eastAsia="zh-CN"/>
        </w:rPr>
        <w:t>根据甲方要求</w:t>
      </w:r>
      <w:r>
        <w:rPr>
          <w:rFonts w:hint="eastAsia" w:ascii="新宋体" w:hAnsi="新宋体" w:eastAsia="新宋体" w:cs="新宋体"/>
          <w:b/>
          <w:color w:val="auto"/>
          <w:sz w:val="22"/>
          <w:szCs w:val="22"/>
          <w:highlight w:val="none"/>
        </w:rPr>
        <w:t>进行相应的处理。如甲方在日常巡查中发现未经核准或乙方未及时上报的悬挂物与外接电源点，每发现1处，甲方将视情况扣除乙方当月维护费用人民币1千元。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19） 监控室值班人员必须按时考勤，未经甲方许可，不得脱岗、漏岗，不得从事与工作无关的事情。上述行为，每发现1起扣除当月维养费用人民币5百元。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20) 监控室值班人员应具备良好的业务能力，能熟练使用监控设备，熟悉掌握管养范围，能准确回复各类路灯相关问题来电如市民来电、投诉来电等。对因值班人员业务能力问题造成的投诉，每发生1起扣除维养费用人民币5百元。</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21）发生以下事件值班人  员应立即向甲方上报：故障导致的大范围照明失明，发生造成或可能造成人员伤亡、财产损失、或危机公共安全的事件，接到相关投诉案件，其他认为必要的事件。存在迟报、谎报、瞒报、漏报的情况，每发现1起扣除维养费用人民币1万元。</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照明监控设施月整改率（当月监控故障修复数/当月监控故障总数）达标值为98%、照明监控设施按期整改率（当月按期修复完成的监控故障数/当月需按期修复的监控故障总数）达标值为96%，上述两项指标每下降1%，处以2000元人民币的扣款，照明监控设施月整改率达标值低于95%或照明监控设施按期整改率低于95%，当月考核不合格。</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Cs/>
          <w:color w:val="auto"/>
          <w:sz w:val="22"/>
          <w:szCs w:val="22"/>
          <w:highlight w:val="none"/>
        </w:rPr>
        <w:t>23)乙方未尽其他约定的义务，甲方可视情况扣减维护费</w:t>
      </w:r>
      <w:r>
        <w:rPr>
          <w:rFonts w:hint="eastAsia" w:ascii="新宋体" w:hAnsi="新宋体" w:eastAsia="新宋体" w:cs="新宋体"/>
          <w:b/>
          <w:color w:val="auto"/>
          <w:sz w:val="22"/>
          <w:szCs w:val="22"/>
          <w:highlight w:val="none"/>
        </w:rPr>
        <w:t>。</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bCs/>
          <w:color w:val="auto"/>
          <w:sz w:val="22"/>
          <w:szCs w:val="22"/>
          <w:highlight w:val="none"/>
          <w:lang w:val="en-US" w:eastAsia="zh-CN"/>
        </w:rPr>
        <w:t>八</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服务期限</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9"/>
        <w:rPr>
          <w:rFonts w:hint="eastAsia" w:ascii="新宋体" w:hAnsi="新宋体" w:eastAsia="新宋体" w:cs="新宋体"/>
          <w:b/>
          <w:color w:val="auto"/>
          <w:sz w:val="22"/>
          <w:szCs w:val="22"/>
          <w:highlight w:val="none"/>
        </w:rPr>
      </w:pPr>
      <w:r>
        <w:rPr>
          <w:rFonts w:hint="eastAsia" w:ascii="新宋体" w:hAnsi="新宋体" w:eastAsia="新宋体" w:cs="新宋体"/>
          <w:bCs/>
          <w:color w:val="auto"/>
          <w:sz w:val="22"/>
          <w:szCs w:val="22"/>
          <w:highlight w:val="none"/>
          <w:lang w:val="en-US" w:eastAsia="zh-CN"/>
        </w:rPr>
        <w:t>服务</w:t>
      </w:r>
      <w:r>
        <w:rPr>
          <w:rFonts w:hint="eastAsia" w:ascii="新宋体" w:hAnsi="新宋体" w:eastAsia="新宋体" w:cs="新宋体"/>
          <w:bCs/>
          <w:color w:val="auto"/>
          <w:sz w:val="22"/>
          <w:szCs w:val="22"/>
          <w:highlight w:val="none"/>
        </w:rPr>
        <w:t>期</w:t>
      </w:r>
      <w:r>
        <w:rPr>
          <w:rFonts w:hint="eastAsia" w:ascii="新宋体" w:hAnsi="新宋体" w:eastAsia="新宋体" w:cs="新宋体"/>
          <w:bCs/>
          <w:color w:val="auto"/>
          <w:sz w:val="22"/>
          <w:szCs w:val="22"/>
          <w:highlight w:val="none"/>
          <w:lang w:val="en-US" w:eastAsia="zh-CN"/>
        </w:rPr>
        <w:t>2</w:t>
      </w:r>
      <w:r>
        <w:rPr>
          <w:rFonts w:hint="eastAsia" w:ascii="新宋体" w:hAnsi="新宋体" w:eastAsia="新宋体" w:cs="新宋体"/>
          <w:bCs/>
          <w:color w:val="auto"/>
          <w:sz w:val="22"/>
          <w:szCs w:val="22"/>
          <w:highlight w:val="none"/>
        </w:rPr>
        <w:t>年。</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lang w:val="en-US" w:eastAsia="zh-CN"/>
        </w:rPr>
        <w:t>九</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服务费用</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（一）202</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年温州市市本级路灯设施维护费分两项，分别为路灯设施正常维修养护费和路灯设施正常维修养护范围外的维修安装费（暂定价）。</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路灯设施（路灯47044盏、单灯模块16961只、配电箱600台、监控终端559台，以及相关管线、电缆、架空线、手孔井、基础、杆件、电器元件等）的日常、定期、巡检及应急维修养护所需的技术服务费和人工费等，监控中心维护及24小时值班费，维养办公场使用费及路灯路灯设施维修器材、耗材包干费，办公场所使用费，自备专用车辆仪器工具使用费（含折旧费、油料费、保险费、人工费等），</w:t>
      </w:r>
      <w:r>
        <w:rPr>
          <w:rFonts w:hint="eastAsia" w:ascii="新宋体" w:hAnsi="新宋体" w:eastAsia="新宋体" w:cs="新宋体"/>
          <w:b/>
          <w:bCs/>
          <w:color w:val="auto"/>
          <w:sz w:val="22"/>
          <w:szCs w:val="22"/>
          <w:highlight w:val="none"/>
        </w:rPr>
        <w:t>照明监控设备世贸大厦合同期内场地租赁费（含电费）</w:t>
      </w:r>
      <w:r>
        <w:rPr>
          <w:rFonts w:hint="eastAsia" w:ascii="新宋体" w:hAnsi="新宋体" w:eastAsia="新宋体" w:cs="新宋体"/>
          <w:color w:val="auto"/>
          <w:sz w:val="22"/>
          <w:szCs w:val="22"/>
          <w:highlight w:val="none"/>
          <w:lang w:val="en-US" w:eastAsia="zh-CN"/>
        </w:rPr>
        <w:t>58600元（两年）</w:t>
      </w:r>
      <w:r>
        <w:rPr>
          <w:rFonts w:hint="eastAsia" w:ascii="新宋体" w:hAnsi="新宋体" w:eastAsia="新宋体" w:cs="新宋体"/>
          <w:color w:val="auto"/>
          <w:sz w:val="22"/>
          <w:szCs w:val="22"/>
          <w:highlight w:val="none"/>
        </w:rPr>
        <w:t>,劳保和安全用品使用费，经营管理费，税费，交通组织费，路灯设施被偷盗补装费，招标代理费，利润等一切费用。</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路灯设施正常维修养护范围外的维修安装费，主要用于甲方根据实际需要，需对部分路段的路灯设施进行路灯设施增装、不可抗力破坏的路灯设施进行修复、为提升路灯设施美化水平而对其进行灯杆美化等方面的相关安装维护工作，该项目由甲方书面核准后方可实施；该部分服务费用总价依据乙方对每个单项所投单价*数量来确定，维护期结束后，乙方根据实际工程量×所投单项的单价来办理结算，该项结算可一次性办理，也可按季办理。</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合同总价（大写）：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 （小写）￥：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元。</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其中路灯设施正常维修养护费合同价（大写）：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 （小写）￥：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元。路灯设施正常维修养护范围外的维修安装费合同价（大写）：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 （小写）￥：</w:t>
      </w:r>
      <w:r>
        <w:rPr>
          <w:rFonts w:hint="eastAsia" w:ascii="新宋体" w:hAnsi="新宋体" w:eastAsia="新宋体" w:cs="新宋体"/>
          <w:b/>
          <w:color w:val="auto"/>
          <w:sz w:val="22"/>
          <w:szCs w:val="22"/>
          <w:highlight w:val="none"/>
          <w:u w:val="single"/>
        </w:rPr>
        <w:t>　　　</w:t>
      </w:r>
      <w:r>
        <w:rPr>
          <w:rFonts w:hint="eastAsia" w:ascii="新宋体" w:hAnsi="新宋体" w:eastAsia="新宋体" w:cs="新宋体"/>
          <w:color w:val="auto"/>
          <w:sz w:val="22"/>
          <w:szCs w:val="22"/>
          <w:highlight w:val="none"/>
        </w:rPr>
        <w:t>元</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此项为暂定价，具体金额为实际工程量所产生的金额。</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（二）服务期内新移交路灯设施和服务期限内设施减少的费用结算方式：</w:t>
      </w:r>
    </w:p>
    <w:p>
      <w:pPr>
        <w:keepNext w:val="0"/>
        <w:keepLines w:val="0"/>
        <w:pageBreakBefore w:val="0"/>
        <w:kinsoku/>
        <w:wordWrap/>
        <w:overflowPunct/>
        <w:topLinePunct w:val="0"/>
        <w:autoSpaceDE/>
        <w:autoSpaceDN/>
        <w:bidi w:val="0"/>
        <w:adjustRightInd/>
        <w:snapToGrid/>
        <w:spacing w:line="460" w:lineRule="exact"/>
        <w:ind w:firstLine="442" w:firstLineChars="200"/>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20</w:t>
      </w:r>
      <w:r>
        <w:rPr>
          <w:rFonts w:hint="eastAsia" w:ascii="新宋体" w:hAnsi="新宋体" w:eastAsia="新宋体" w:cs="新宋体"/>
          <w:b/>
          <w:color w:val="auto"/>
          <w:sz w:val="22"/>
          <w:szCs w:val="22"/>
          <w:highlight w:val="none"/>
          <w:lang w:val="en-US" w:eastAsia="zh-CN"/>
        </w:rPr>
        <w:t>21</w:t>
      </w:r>
      <w:r>
        <w:rPr>
          <w:rFonts w:hint="eastAsia" w:ascii="新宋体" w:hAnsi="新宋体" w:eastAsia="新宋体" w:cs="新宋体"/>
          <w:b/>
          <w:color w:val="auto"/>
          <w:sz w:val="22"/>
          <w:szCs w:val="22"/>
          <w:highlight w:val="none"/>
        </w:rPr>
        <w:t>年温州市市本级路灯设施维护的总预算费用为</w:t>
      </w:r>
      <w:r>
        <w:rPr>
          <w:rFonts w:hint="eastAsia" w:ascii="新宋体" w:hAnsi="新宋体" w:eastAsia="新宋体" w:cs="新宋体"/>
          <w:b/>
          <w:color w:val="auto"/>
          <w:sz w:val="22"/>
          <w:szCs w:val="22"/>
          <w:highlight w:val="none"/>
          <w:lang w:val="en-US" w:eastAsia="zh-CN"/>
        </w:rPr>
        <w:t xml:space="preserve"> </w:t>
      </w:r>
      <w:r>
        <w:rPr>
          <w:rFonts w:hint="eastAsia" w:ascii="新宋体" w:hAnsi="新宋体" w:eastAsia="新宋体" w:cs="新宋体"/>
          <w:b/>
          <w:color w:val="auto"/>
          <w:sz w:val="22"/>
          <w:szCs w:val="22"/>
          <w:highlight w:val="none"/>
          <w:u w:val="single"/>
          <w:lang w:val="en-US" w:eastAsia="zh-CN"/>
        </w:rPr>
        <w:t>2137.48</w:t>
      </w:r>
      <w:r>
        <w:rPr>
          <w:rFonts w:hint="eastAsia" w:ascii="新宋体" w:hAnsi="新宋体" w:eastAsia="新宋体" w:cs="新宋体"/>
          <w:b/>
          <w:color w:val="auto"/>
          <w:sz w:val="22"/>
          <w:szCs w:val="22"/>
          <w:highlight w:val="none"/>
        </w:rPr>
        <w:t>万元，减除路灯设施正常维修养护范围外的维修安装费</w:t>
      </w:r>
      <w:r>
        <w:rPr>
          <w:rFonts w:hint="eastAsia" w:ascii="新宋体" w:hAnsi="新宋体" w:eastAsia="新宋体" w:cs="新宋体"/>
          <w:b/>
          <w:color w:val="auto"/>
          <w:sz w:val="22"/>
          <w:szCs w:val="22"/>
          <w:highlight w:val="none"/>
          <w:u w:val="single"/>
          <w:lang w:val="en-US" w:eastAsia="zh-CN"/>
        </w:rPr>
        <w:t>400</w:t>
      </w:r>
      <w:r>
        <w:rPr>
          <w:rFonts w:hint="eastAsia" w:ascii="新宋体" w:hAnsi="新宋体" w:eastAsia="新宋体" w:cs="新宋体"/>
          <w:b/>
          <w:color w:val="auto"/>
          <w:sz w:val="22"/>
          <w:szCs w:val="22"/>
          <w:highlight w:val="none"/>
        </w:rPr>
        <w:t>万元（暂定价），路灯设施正常维修养护费预算金额</w:t>
      </w:r>
      <w:r>
        <w:rPr>
          <w:rFonts w:hint="eastAsia" w:ascii="新宋体" w:hAnsi="新宋体" w:eastAsia="新宋体" w:cs="新宋体"/>
          <w:b/>
          <w:color w:val="auto"/>
          <w:sz w:val="22"/>
          <w:szCs w:val="22"/>
          <w:highlight w:val="none"/>
          <w:u w:val="single"/>
          <w:lang w:val="en-US" w:eastAsia="zh-CN"/>
        </w:rPr>
        <w:t>1737.48</w:t>
      </w:r>
      <w:r>
        <w:rPr>
          <w:rFonts w:hint="eastAsia" w:ascii="新宋体" w:hAnsi="新宋体" w:eastAsia="新宋体" w:cs="新宋体"/>
          <w:b/>
          <w:color w:val="auto"/>
          <w:sz w:val="22"/>
          <w:szCs w:val="22"/>
          <w:highlight w:val="none"/>
        </w:rPr>
        <w:t>万元。</w:t>
      </w:r>
    </w:p>
    <w:p>
      <w:pPr>
        <w:keepNext w:val="0"/>
        <w:keepLines w:val="0"/>
        <w:pageBreakBefore w:val="0"/>
        <w:kinsoku/>
        <w:wordWrap/>
        <w:overflowPunct/>
        <w:topLinePunct w:val="0"/>
        <w:autoSpaceDE/>
        <w:autoSpaceDN/>
        <w:bidi w:val="0"/>
        <w:adjustRightInd/>
        <w:snapToGrid/>
        <w:spacing w:line="460" w:lineRule="exact"/>
        <w:ind w:firstLine="442" w:firstLineChars="200"/>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新移交路灯设施养护的养护经费套用《浙江省市政设施养护维修定额》（20</w:t>
      </w:r>
      <w:r>
        <w:rPr>
          <w:rFonts w:hint="eastAsia" w:ascii="新宋体" w:hAnsi="新宋体" w:eastAsia="新宋体" w:cs="新宋体"/>
          <w:b/>
          <w:color w:val="auto"/>
          <w:sz w:val="22"/>
          <w:szCs w:val="22"/>
          <w:highlight w:val="none"/>
          <w:lang w:val="en-US" w:eastAsia="zh-CN"/>
        </w:rPr>
        <w:t>18</w:t>
      </w:r>
      <w:r>
        <w:rPr>
          <w:rFonts w:hint="eastAsia" w:ascii="新宋体" w:hAnsi="新宋体" w:eastAsia="新宋体" w:cs="新宋体"/>
          <w:b/>
          <w:color w:val="auto"/>
          <w:sz w:val="22"/>
          <w:szCs w:val="22"/>
          <w:highlight w:val="none"/>
        </w:rPr>
        <w:t>版），人工市场信息价施工当月市场信息价执行，项目造价按上述规定计算后，按投标人的中标价相对路灯设施正常维修养护费预算金额的下浮率下浮，公式=（中标</w:t>
      </w:r>
      <w:r>
        <w:rPr>
          <w:rFonts w:hint="eastAsia" w:ascii="新宋体" w:hAnsi="新宋体" w:eastAsia="新宋体" w:cs="新宋体"/>
          <w:b/>
          <w:color w:val="auto"/>
          <w:sz w:val="22"/>
          <w:szCs w:val="22"/>
          <w:highlight w:val="none"/>
          <w:lang w:eastAsia="zh-CN"/>
        </w:rPr>
        <w:t>报价一</w:t>
      </w:r>
      <w:r>
        <w:rPr>
          <w:rFonts w:hint="eastAsia" w:ascii="新宋体" w:hAnsi="新宋体" w:eastAsia="新宋体" w:cs="新宋体"/>
          <w:b/>
          <w:color w:val="auto"/>
          <w:sz w:val="22"/>
          <w:szCs w:val="22"/>
          <w:highlight w:val="none"/>
        </w:rPr>
        <w:t>-路灯设施正常维修养护费预算金额）/路灯设施正常维修养护费预算金额×100%。= （中标</w:t>
      </w:r>
      <w:r>
        <w:rPr>
          <w:rFonts w:hint="eastAsia" w:ascii="新宋体" w:hAnsi="新宋体" w:eastAsia="新宋体" w:cs="新宋体"/>
          <w:b/>
          <w:color w:val="auto"/>
          <w:sz w:val="22"/>
          <w:szCs w:val="22"/>
          <w:highlight w:val="none"/>
          <w:lang w:eastAsia="zh-CN"/>
        </w:rPr>
        <w:t>报价一</w:t>
      </w:r>
      <w:r>
        <w:rPr>
          <w:rFonts w:hint="eastAsia" w:ascii="新宋体" w:hAnsi="新宋体" w:eastAsia="新宋体" w:cs="新宋体"/>
          <w:b/>
          <w:color w:val="auto"/>
          <w:sz w:val="22"/>
          <w:szCs w:val="22"/>
          <w:highlight w:val="none"/>
        </w:rPr>
        <w:t>-</w:t>
      </w:r>
      <w:r>
        <w:rPr>
          <w:rFonts w:hint="eastAsia" w:ascii="新宋体" w:hAnsi="新宋体" w:eastAsia="新宋体" w:cs="新宋体"/>
          <w:b/>
          <w:color w:val="auto"/>
          <w:sz w:val="22"/>
          <w:szCs w:val="22"/>
          <w:highlight w:val="none"/>
          <w:lang w:val="en-US" w:eastAsia="zh-CN"/>
        </w:rPr>
        <w:t xml:space="preserve"> </w:t>
      </w:r>
      <w:r>
        <w:rPr>
          <w:rFonts w:hint="eastAsia" w:ascii="新宋体" w:hAnsi="新宋体" w:eastAsia="新宋体" w:cs="新宋体"/>
          <w:b/>
          <w:color w:val="auto"/>
          <w:sz w:val="22"/>
          <w:szCs w:val="22"/>
          <w:highlight w:val="none"/>
          <w:u w:val="single"/>
          <w:lang w:val="en-US" w:eastAsia="zh-CN"/>
        </w:rPr>
        <w:t xml:space="preserve"> 1737.48 </w:t>
      </w:r>
      <w:r>
        <w:rPr>
          <w:rFonts w:hint="eastAsia" w:ascii="新宋体" w:hAnsi="新宋体" w:eastAsia="新宋体" w:cs="新宋体"/>
          <w:b/>
          <w:color w:val="auto"/>
          <w:sz w:val="22"/>
          <w:szCs w:val="22"/>
          <w:highlight w:val="none"/>
        </w:rPr>
        <w:t>万元）/</w:t>
      </w:r>
      <w:r>
        <w:rPr>
          <w:rFonts w:hint="eastAsia" w:ascii="新宋体" w:hAnsi="新宋体" w:eastAsia="新宋体" w:cs="新宋体"/>
          <w:b/>
          <w:color w:val="auto"/>
          <w:sz w:val="22"/>
          <w:szCs w:val="22"/>
          <w:highlight w:val="none"/>
          <w:u w:val="single"/>
          <w:lang w:val="en-US" w:eastAsia="zh-CN"/>
        </w:rPr>
        <w:t xml:space="preserve"> 1737.48 </w:t>
      </w:r>
      <w:r>
        <w:rPr>
          <w:rFonts w:hint="eastAsia" w:ascii="新宋体" w:hAnsi="新宋体" w:eastAsia="新宋体" w:cs="新宋体"/>
          <w:b/>
          <w:color w:val="auto"/>
          <w:sz w:val="22"/>
          <w:szCs w:val="22"/>
          <w:highlight w:val="none"/>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220" w:firstLineChars="10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1</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rPr>
        <w:t>节能改造LED路灯维护所需的人工、机械可参考定额的1/4计算，灯具损耗率参考5%计算。</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210" w:left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2</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rPr>
        <w:t>非节能改造LED路灯维护所需的人工、机械可参考定额的1/2计算，灯具损耗率参考10%计算。</w:t>
      </w:r>
    </w:p>
    <w:p>
      <w:pPr>
        <w:keepNext w:val="0"/>
        <w:keepLines w:val="0"/>
        <w:pageBreakBefore w:val="0"/>
        <w:widowControl w:val="0"/>
        <w:kinsoku/>
        <w:wordWrap/>
        <w:overflowPunct/>
        <w:topLinePunct w:val="0"/>
        <w:autoSpaceDE/>
        <w:autoSpaceDN/>
        <w:bidi w:val="0"/>
        <w:adjustRightInd/>
        <w:snapToGrid/>
        <w:spacing w:line="460" w:lineRule="exact"/>
        <w:ind w:firstLine="220" w:firstLineChars="100"/>
        <w:textAlignment w:val="auto"/>
        <w:rPr>
          <w:rFonts w:hint="eastAsia"/>
          <w:color w:val="auto"/>
          <w:highlight w:val="none"/>
        </w:rPr>
      </w:pPr>
      <w:r>
        <w:rPr>
          <w:rFonts w:hint="eastAsia" w:ascii="新宋体" w:hAnsi="新宋体" w:eastAsia="新宋体" w:cs="新宋体"/>
          <w:b w:val="0"/>
          <w:bCs w:val="0"/>
          <w:color w:val="auto"/>
          <w:sz w:val="22"/>
          <w:szCs w:val="22"/>
          <w:highlight w:val="none"/>
        </w:rPr>
        <w:t>（3）传统光源路灯维护所需的人工、机械、灯具损耗率可参考定额的1/2计算。</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（三）因路灯设施改造衍生出的维护费用相关问题，双方依据相关规范、办法、会议纪要等相关要求协商解决。</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bCs/>
          <w:color w:val="auto"/>
          <w:sz w:val="22"/>
          <w:szCs w:val="22"/>
          <w:highlight w:val="none"/>
          <w:lang w:val="en-US" w:eastAsia="zh-CN"/>
        </w:rPr>
        <w:t>十</w:t>
      </w:r>
      <w:r>
        <w:rPr>
          <w:rFonts w:hint="eastAsia" w:ascii="新宋体" w:hAnsi="新宋体" w:eastAsia="新宋体" w:cs="新宋体"/>
          <w:b/>
          <w:bCs/>
          <w:color w:val="auto"/>
          <w:sz w:val="22"/>
          <w:szCs w:val="22"/>
          <w:highlight w:val="none"/>
        </w:rPr>
        <w:t>、</w:t>
      </w:r>
      <w:r>
        <w:rPr>
          <w:rFonts w:hint="eastAsia" w:ascii="新宋体" w:hAnsi="新宋体" w:eastAsia="新宋体" w:cs="新宋体"/>
          <w:b/>
          <w:color w:val="auto"/>
          <w:sz w:val="22"/>
          <w:szCs w:val="22"/>
          <w:highlight w:val="none"/>
        </w:rPr>
        <w:t>付款方式</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在合同签订前乙方应提供合同总金额5%的履约保证金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，如乙方未按规定提交履约保证金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9"/>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在合同签订前乙方应提供合同总金额5%的履约保证金或履约保函，如乙方未按规定提交履约保证金或履约保函。</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9"/>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路灯设施正常维修养护费合同签订后合同签订生效之后，5个工作日内，甲方每月对清单进行核准，并根据乙方的合同履行情况支付相应的服务费，支付时间为每月底经甲方认可后，于次月初支付上月的服务费用。待本项目服务期满后，无息退还履约保证金或履约保函。以上款项能否如期支付，视财政资金能否按时下达为准。</w:t>
      </w:r>
    </w:p>
    <w:p>
      <w:pPr>
        <w:keepNext w:val="0"/>
        <w:keepLines w:val="0"/>
        <w:pageBreakBefore w:val="0"/>
        <w:kinsoku/>
        <w:wordWrap/>
        <w:overflowPunct/>
        <w:topLinePunct w:val="0"/>
        <w:autoSpaceDE/>
        <w:autoSpaceDN/>
        <w:bidi w:val="0"/>
        <w:adjustRightInd/>
        <w:snapToGrid/>
        <w:spacing w:line="460" w:lineRule="exact"/>
        <w:ind w:firstLine="541" w:firstLineChars="245"/>
        <w:textAlignment w:val="auto"/>
        <w:outlineLvl w:val="9"/>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路灯设施正常维修养护范围外的维修安装费按实际维修安装量*相应单价进行结算，甲方每月对清单进行核准，并根据乙方的合同履行情况支付相应的服务费，支付时间为每月底经甲方认可后，于次月初支付上月的服务费用。</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一</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履约保证金或履约保函的罚没</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1、如乙方未能履行合同规定的任何义务给甲方造成直接或间接损失的，甲方有权直接从履约保证金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中得到补偿。</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2、如果乙方毫无理由地拖延或拒绝履行合同规定的任何义务，经催告后在合理期限内仍不履行的，甲方有权没收全部履约保证金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，并另行追索违约赔偿金。</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3、乙方提供的服务须和投标文件中所承诺的相符（合同中另有规定除外），如不符，并造成较大损失的，除受第六条处理外，甲方有权从履约保证金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中得到补偿。</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二</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双方责任</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bookmarkStart w:id="26" w:name="_Toc240709935"/>
      <w:bookmarkStart w:id="27" w:name="_Toc238899177"/>
      <w:bookmarkStart w:id="28" w:name="_Toc240075147"/>
      <w:bookmarkStart w:id="29" w:name="_Toc240023605"/>
      <w:bookmarkStart w:id="30" w:name="_Toc238954291"/>
      <w:bookmarkStart w:id="31" w:name="_Toc240162549"/>
      <w:r>
        <w:rPr>
          <w:rFonts w:hint="eastAsia" w:ascii="新宋体" w:hAnsi="新宋体" w:eastAsia="新宋体" w:cs="新宋体"/>
          <w:color w:val="auto"/>
          <w:sz w:val="22"/>
          <w:szCs w:val="22"/>
          <w:highlight w:val="none"/>
        </w:rPr>
        <w:t>1、甲方</w:t>
      </w:r>
      <w:bookmarkEnd w:id="26"/>
      <w:bookmarkEnd w:id="27"/>
      <w:bookmarkEnd w:id="28"/>
      <w:bookmarkEnd w:id="29"/>
      <w:bookmarkEnd w:id="30"/>
      <w:bookmarkEnd w:id="31"/>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1）甲方根据养护内容，监督、检查、考核乙方养护服务情况。</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2）甲方应及时按合同支付乙方养护费。</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 乙方因养护工作的需要，查阅复印原图纸、档案等资料的，甲方应积极协助，提供方便。</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4）对乙方的日常安全文明生产工作进行监督检查；</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5）协调有关部门关系，为乙方服务工作提供必要的方便；</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w:t>
      </w:r>
    </w:p>
    <w:p>
      <w:pPr>
        <w:keepNext w:val="0"/>
        <w:keepLines w:val="0"/>
        <w:pageBreakBefore w:val="0"/>
        <w:widowControl/>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1）乙方根据甲方要求以及上级相关规定进行养护，甲方有权对乙方养护行为进行指导、监督。</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2）乙方须落实安全生产措施，为上岗工人配置统一的工作服和反光袖套，自行解决安全作业问题，在进行养护作业时必须认真负责、注意安全操作，如发生任何意外，事故处理及一切费用由乙方承担。</w:t>
      </w:r>
    </w:p>
    <w:p>
      <w:pPr>
        <w:keepNext w:val="0"/>
        <w:keepLines w:val="0"/>
        <w:pageBreakBefore w:val="0"/>
        <w:widowControl/>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3）乙方应组织维修养护人员学习安全法规，强化技术训练，不断提高安全防范意识和技术水平。在维护抢修过程中，养护维修人员应按规定持证上岗。</w:t>
      </w:r>
    </w:p>
    <w:p>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4）养护维修时应保持现场整洁有序，不影响交通；高空操作应注意作业场地安全，不乱扔安装器材与配件，施工维护现场应有明显的警示标志，夜间应有警示灯或照明灯，并按有关规定设置护栏。</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5）配件的更换应按原设备标准更换，保证各零部件与原配件相匹配，禁止使用假冒伪劣商品。</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6）遇到养护亮化工程夜间灭灯或白天亮灯等控制失灵情况，应尽快到现场修复；经常巡回检查，发现偷电、有不明线路接入应及时通知甲方。</w:t>
      </w:r>
    </w:p>
    <w:p>
      <w:pPr>
        <w:keepNext w:val="0"/>
        <w:keepLines w:val="0"/>
        <w:pageBreakBefore w:val="0"/>
        <w:kinsoku/>
        <w:wordWrap/>
        <w:overflowPunct/>
        <w:topLinePunct w:val="0"/>
        <w:autoSpaceDE/>
        <w:autoSpaceDN/>
        <w:bidi w:val="0"/>
        <w:adjustRightInd/>
        <w:snapToGrid/>
        <w:spacing w:line="460" w:lineRule="exact"/>
        <w:ind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7）由于乙方维护、检修方法不当造成设备故障或损坏，由乙方负责，并保证及时给予修复或更换。造成的后果由乙方承担。</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三</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 xml:space="preserve"> 违约责任及违约赔偿</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1、乙方违反合同约定的义务，对甲方及第三人造成损失的，由乙方承担赔偿责任。</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1）如乙方未按照甲方要求及时效要求进行整改，每发生一件逾期未整改的，将处以500元人民币的扣款。累计3次的视为当月考核不合格。</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2）由于乙方工作不到位或不文明施工等情况，被新闻媒体曝光或发生有责投诉，每发生一次，处以1000元人民币的扣款。事后未及时妥善处理造成恶劣社会舆论影响的，情节严重的可直接终止本合同。</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3）如乙方连续2个月度考核不及格或一年累计超过3个月度考核不及格，将被视为综合考评成绩不合格，甲方有权终止本合同。</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4）乙方未能履行合同和遵守有关规定，在甲方发出书面警告后仍无采取补救措施，甲方有权提前一个月通知乙方终止合同。</w:t>
      </w:r>
    </w:p>
    <w:p>
      <w:pPr>
        <w:keepNext w:val="0"/>
        <w:keepLines w:val="0"/>
        <w:pageBreakBefore w:val="0"/>
        <w:widowControl/>
        <w:kinsoku/>
        <w:wordWrap/>
        <w:overflowPunct/>
        <w:topLinePunct w:val="0"/>
        <w:autoSpaceDE/>
        <w:autoSpaceDN/>
        <w:bidi w:val="0"/>
        <w:adjustRightInd/>
        <w:snapToGrid/>
        <w:spacing w:line="460" w:lineRule="exact"/>
        <w:ind w:firstLine="48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2、乙方提出的设施、设备维修计划或报告，如因甲方拖延而无法及时实施，造成设施、设备损坏，影响养护质量的，责任由甲方承担。</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3、除不可抗力外，如乙方发生不能按时提供服务，甲方发生中途取消服务等情况，必须及时以书面形式通知对方。双方应本着友好的态度进行协商，妥善解决。如协商无效，按下列办法处理。</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1）乙方中途停止服务，导致合同终止的，应向甲方偿付违约金。违约金按合同总价的10％计算。</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2）甲方无正当理由中途取消服务，应向乙方偿付违约金。违约金的计算方法与乙方违约相同。</w:t>
      </w:r>
    </w:p>
    <w:p>
      <w:pPr>
        <w:keepNext w:val="0"/>
        <w:keepLines w:val="0"/>
        <w:pageBreakBefore w:val="0"/>
        <w:numPr>
          <w:ilvl w:val="0"/>
          <w:numId w:val="5"/>
        </w:numPr>
        <w:kinsoku/>
        <w:wordWrap/>
        <w:overflowPunct/>
        <w:topLinePunct w:val="0"/>
        <w:autoSpaceDE/>
        <w:autoSpaceDN/>
        <w:bidi w:val="0"/>
        <w:adjustRightInd/>
        <w:snapToGrid/>
        <w:spacing w:line="460" w:lineRule="exact"/>
        <w:ind w:firstLine="552" w:firstLineChars="250"/>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路灯维护工作中的人身安全（含维修人员和过路人）及设备安全由乙方全权负责，如发生人身伤害事故及设备损坏，乙方应承担一切费用（包括民事赔偿）。乙方应切实做好安全防范工作，避免在维护工作中出现人身与财产的意外损害。</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四</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不可抗力及其他</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1、不可抗力包括：地震、台风、洪水等自然灾害及战争、罢工、政府行为。</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2、任何一方因不可抗力造成本合同不能履行或不能完全履行的，须将有关情况及时通知对方， 在不可抗力发生后及时将详情及有效证明文件提供给对方。由双方依据不可抗力的影响程度，协商解决善后事宜。</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五</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验收移交</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1、在合同期满前10个工作日内，由乙方书面向甲方提出移交验收申请。</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2、乙方必须将全部维修养护工作的档案、资料及时移交给甲方，交接好有关事宜。</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3、甲方应组织验收小组对整个路灯设施进行最终验收，路灯设施的型号、规格应保持不变，路灯设施应保持完好状态，否则甲方有权依情直接从履约保证金或履约保函中得到补偿。</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六</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合同的解除</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出现下列情况之一的，甲方有权单方面解除合同：</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 一个月内出现二次违反安全生产操作规程或出现一次重特大安全事故；</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 连续两个月亮灯率低于98 %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 半年时间内出现四次亮灯率低于98 %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 连续两个月设施完好率低于95 %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 半年时间内出现四次设施完好率低于95 %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 连续两个月数字城管处置率低于100%；</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 半年时间内出现四次数字城管处置率低于100 %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 连续两个月数字城管按时处置率低于100%；</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 半年时间内出现四次数字城管按时处置率低于100 %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 连续两个月数字城管返工案卷的；</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 半年时间内出现四次有数字城管返工案卷的；</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12. 半年时间内出现四次灯具整洁率低于95 % </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 半年内出现三次一小时内未能到达应急抢修现场的；</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 半年内出现三次未按规定时间或原规格、型号补装被盗路灯电缆的；</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15.乙方不按照约定履行义务，经催告后仍未履行的；</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16.乙方不执行甲方中途新移交路灯设施的常态化维护工作；</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17.乙方拒绝执行《投标分项报价表（路灯设施正常维修养护范围外的维修安装费）》中所列各项报价进行购置、制作、安装服务；</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18、乙方提供虚假的投标资料。</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七</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争端的解决</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1、有关本合同实施中发生的一切争端，甲乙双方应通过友好协商，妥善解决。如通</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过协商仍得不到解决，任何一方可向温州市仲裁委员会申请调解或仲裁。</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2、仲裁裁决应为最终裁决，对双方均有约束力。</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3、仲裁费用除仲裁机构另有裁决外，由败诉方承担。</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4、在仲裁期间，除正在进行仲裁的部分外，本合同的其他部分应继续执行。</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5、适用法律</w:t>
      </w:r>
    </w:p>
    <w:p>
      <w:pPr>
        <w:keepNext w:val="0"/>
        <w:keepLines w:val="0"/>
        <w:pageBreakBefore w:val="0"/>
        <w:kinsoku/>
        <w:wordWrap/>
        <w:overflowPunct/>
        <w:topLinePunct w:val="0"/>
        <w:autoSpaceDE/>
        <w:autoSpaceDN/>
        <w:bidi w:val="0"/>
        <w:adjustRightInd/>
        <w:snapToGrid/>
        <w:spacing w:line="460" w:lineRule="exact"/>
        <w:ind w:firstLine="869" w:firstLineChars="39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本合同应按照中华人民共和国的法律进行解释。</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十</w:t>
      </w:r>
      <w:r>
        <w:rPr>
          <w:rFonts w:hint="eastAsia" w:ascii="新宋体" w:hAnsi="新宋体" w:eastAsia="新宋体" w:cs="新宋体"/>
          <w:color w:val="auto"/>
          <w:sz w:val="22"/>
          <w:szCs w:val="22"/>
          <w:highlight w:val="none"/>
          <w:lang w:val="en-US" w:eastAsia="zh-CN"/>
        </w:rPr>
        <w:t>八</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合同生效及其他</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bookmarkStart w:id="32" w:name="_Toc238899179"/>
      <w:bookmarkStart w:id="33" w:name="_Toc238954293"/>
      <w:r>
        <w:rPr>
          <w:rFonts w:hint="eastAsia" w:ascii="新宋体" w:hAnsi="新宋体" w:eastAsia="新宋体" w:cs="新宋体"/>
          <w:color w:val="auto"/>
          <w:sz w:val="22"/>
          <w:szCs w:val="22"/>
          <w:highlight w:val="none"/>
        </w:rPr>
        <w:t>1、合同在双方签字盖章并在甲方收到乙方提供的履约保证金</w:t>
      </w:r>
      <w:r>
        <w:rPr>
          <w:rFonts w:hint="eastAsia" w:ascii="新宋体" w:hAnsi="新宋体" w:eastAsia="新宋体" w:cs="新宋体"/>
          <w:color w:val="auto"/>
          <w:sz w:val="22"/>
          <w:szCs w:val="22"/>
          <w:highlight w:val="none"/>
          <w:lang w:val="en-US" w:eastAsia="zh-CN"/>
        </w:rPr>
        <w:t>或履约保函</w:t>
      </w:r>
      <w:r>
        <w:rPr>
          <w:rFonts w:hint="eastAsia" w:ascii="新宋体" w:hAnsi="新宋体" w:eastAsia="新宋体" w:cs="新宋体"/>
          <w:color w:val="auto"/>
          <w:sz w:val="22"/>
          <w:szCs w:val="22"/>
          <w:highlight w:val="none"/>
        </w:rPr>
        <w:t>后开始生效。</w:t>
      </w:r>
      <w:bookmarkEnd w:id="32"/>
      <w:bookmarkEnd w:id="33"/>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bookmarkStart w:id="34" w:name="_Toc238899182"/>
      <w:bookmarkStart w:id="35" w:name="_Toc238954296"/>
      <w:r>
        <w:rPr>
          <w:rFonts w:hint="eastAsia" w:ascii="新宋体" w:hAnsi="新宋体" w:eastAsia="新宋体" w:cs="新宋体"/>
          <w:color w:val="auto"/>
          <w:sz w:val="22"/>
          <w:szCs w:val="22"/>
          <w:highlight w:val="none"/>
        </w:rPr>
        <w:t>2、本合同一式四份，双方各执二份。</w:t>
      </w:r>
      <w:bookmarkEnd w:id="34"/>
      <w:bookmarkEnd w:id="35"/>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3、未尽事宜，由双方友好协商解决，并另行签订补充合同。</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甲方：（印章）                        乙方：（印章）</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全权代表:（签字）                    全权代表:（签字）</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地址：                               地址：</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邮政编码：                           邮政编码：</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电话：                               电话：</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传真：                               传真：</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开户银行：                           开户银行：</w:t>
      </w:r>
    </w:p>
    <w:p>
      <w:pPr>
        <w:keepNext w:val="0"/>
        <w:keepLines w:val="0"/>
        <w:pageBreakBefore w:val="0"/>
        <w:kinsoku/>
        <w:wordWrap/>
        <w:overflowPunct/>
        <w:topLinePunct w:val="0"/>
        <w:autoSpaceDE/>
        <w:autoSpaceDN/>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帐号：                               帐号：</w:t>
      </w:r>
    </w:p>
    <w:p>
      <w:pPr>
        <w:spacing w:line="460" w:lineRule="exact"/>
        <w:ind w:firstLine="539" w:firstLineChars="245"/>
        <w:rPr>
          <w:rFonts w:hint="eastAsia" w:ascii="宋体" w:hAnsi="宋体" w:eastAsia="宋体" w:cs="宋体"/>
          <w:color w:val="auto"/>
          <w:sz w:val="22"/>
          <w:szCs w:val="22"/>
          <w:highlight w:val="none"/>
        </w:rPr>
      </w:pPr>
    </w:p>
    <w:p>
      <w:pPr>
        <w:rPr>
          <w:rFonts w:hint="eastAsia" w:ascii="宋体" w:hAnsi="宋体" w:eastAsia="宋体" w:cs="宋体"/>
          <w:b/>
          <w:color w:val="auto"/>
          <w:sz w:val="30"/>
          <w:highlight w:val="none"/>
        </w:rPr>
      </w:pPr>
      <w:r>
        <w:rPr>
          <w:rFonts w:hint="eastAsia" w:ascii="宋体" w:hAnsi="宋体" w:eastAsia="宋体" w:cs="宋体"/>
          <w:b/>
          <w:color w:val="auto"/>
          <w:sz w:val="30"/>
          <w:highlight w:val="none"/>
        </w:rPr>
        <w:br w:type="page"/>
      </w:r>
    </w:p>
    <w:p>
      <w:pPr>
        <w:pStyle w:val="4"/>
        <w:bidi w:val="0"/>
        <w:rPr>
          <w:rFonts w:hint="eastAsia" w:ascii="宋体" w:hAnsi="宋体" w:eastAsia="宋体" w:cs="宋体"/>
          <w:color w:val="auto"/>
          <w:highlight w:val="none"/>
        </w:rPr>
      </w:pPr>
      <w:bookmarkStart w:id="36" w:name="_Toc11024"/>
      <w:bookmarkStart w:id="37" w:name="_Toc19081"/>
      <w:r>
        <w:rPr>
          <w:rFonts w:hint="eastAsia" w:ascii="宋体" w:hAnsi="宋体" w:eastAsia="宋体" w:cs="宋体"/>
          <w:color w:val="auto"/>
          <w:highlight w:val="none"/>
        </w:rPr>
        <w:t>第三部分    附件</w:t>
      </w:r>
      <w:bookmarkEnd w:id="36"/>
      <w:bookmarkEnd w:id="37"/>
    </w:p>
    <w:p>
      <w:pPr>
        <w:pStyle w:val="22"/>
        <w:spacing w:line="460" w:lineRule="exact"/>
        <w:ind w:left="433" w:hanging="433" w:hangingChars="196"/>
        <w:outlineLvl w:val="1"/>
        <w:rPr>
          <w:rFonts w:hint="eastAsia" w:ascii="宋体" w:hAnsi="宋体" w:eastAsia="宋体" w:cs="宋体"/>
          <w:b/>
          <w:color w:val="auto"/>
          <w:sz w:val="22"/>
          <w:highlight w:val="none"/>
        </w:rPr>
      </w:pPr>
      <w:bookmarkStart w:id="38" w:name="_Toc6743"/>
      <w:bookmarkStart w:id="39" w:name="_Toc7056"/>
      <w:r>
        <w:rPr>
          <w:rFonts w:hint="eastAsia" w:ascii="宋体" w:hAnsi="宋体" w:eastAsia="宋体" w:cs="宋体"/>
          <w:b/>
          <w:color w:val="auto"/>
          <w:sz w:val="22"/>
          <w:highlight w:val="none"/>
        </w:rPr>
        <w:t>附件一</w:t>
      </w:r>
      <w:bookmarkEnd w:id="38"/>
      <w:bookmarkEnd w:id="39"/>
    </w:p>
    <w:p>
      <w:pPr>
        <w:spacing w:line="400" w:lineRule="exact"/>
        <w:jc w:val="center"/>
        <w:outlineLvl w:val="2"/>
        <w:rPr>
          <w:rFonts w:hint="eastAsia" w:ascii="宋体" w:hAnsi="宋体" w:eastAsia="宋体" w:cs="宋体"/>
          <w:b/>
          <w:bCs/>
          <w:color w:val="auto"/>
          <w:sz w:val="28"/>
          <w:szCs w:val="28"/>
          <w:highlight w:val="none"/>
        </w:rPr>
      </w:pPr>
      <w:bookmarkStart w:id="40" w:name="_Toc23482"/>
      <w:bookmarkStart w:id="41" w:name="_Toc13365"/>
      <w:r>
        <w:rPr>
          <w:rFonts w:hint="eastAsia" w:ascii="宋体" w:hAnsi="宋体" w:eastAsia="宋体" w:cs="宋体"/>
          <w:b/>
          <w:bCs/>
          <w:color w:val="auto"/>
          <w:sz w:val="28"/>
          <w:szCs w:val="28"/>
          <w:highlight w:val="none"/>
        </w:rPr>
        <w:t>报价文件</w:t>
      </w:r>
      <w:bookmarkEnd w:id="40"/>
      <w:bookmarkEnd w:id="41"/>
    </w:p>
    <w:p>
      <w:pPr>
        <w:spacing w:line="400" w:lineRule="exact"/>
        <w:jc w:val="center"/>
        <w:outlineLvl w:val="3"/>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rPr>
        <w:t>1、</w:t>
      </w:r>
      <w:r>
        <w:rPr>
          <w:rFonts w:hint="eastAsia" w:ascii="宋体" w:hAnsi="宋体" w:eastAsia="宋体" w:cs="宋体"/>
          <w:b/>
          <w:color w:val="auto"/>
          <w:sz w:val="22"/>
          <w:szCs w:val="22"/>
          <w:highlight w:val="none"/>
          <w:lang w:val="zh-CN"/>
        </w:rPr>
        <w:t>投标函</w:t>
      </w:r>
    </w:p>
    <w:p>
      <w:pPr>
        <w:spacing w:line="46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致：</w:t>
      </w:r>
      <w:r>
        <w:rPr>
          <w:rFonts w:hint="eastAsia" w:ascii="宋体" w:hAnsi="宋体" w:cs="宋体"/>
          <w:color w:val="auto"/>
          <w:sz w:val="22"/>
          <w:szCs w:val="22"/>
          <w:highlight w:val="none"/>
          <w:lang w:eastAsia="zh-CN"/>
        </w:rPr>
        <w:t>温州市市政管理中心</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根据贵方为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项目（招标编号：</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rPr>
        <w:t xml:space="preserve"> </w:t>
      </w:r>
      <w:r>
        <w:rPr>
          <w:rFonts w:hint="eastAsia" w:ascii="宋体" w:hAnsi="宋体" w:eastAsia="宋体" w:cs="宋体"/>
          <w:color w:val="auto"/>
          <w:sz w:val="22"/>
          <w:szCs w:val="22"/>
          <w:highlight w:val="none"/>
        </w:rPr>
        <w:t>）的投标邀请，我方</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（投标人名称）作为投标人正式授权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（授权代表全名，职务）代表我方处理有关本投标的一切事宜。为此：</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1、我方同意在投标人</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规定的开标日期起遵守本投标书中的承诺且在投标有效期满之前均具有约束力。</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2、我方承诺已经具备《中华人民共和国政府采购法》中规定的参加政府采购活动的供应商应当具备的条件：</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(1)具有独立承担民事责任的能力；</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(2)遵守国家法律、行政法规，具有良好的信誉和商业道德；</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(3)具有履行合同的能力和良好的履行合同记录；</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(4)良好的资金、财务状况；</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(5)提供的产品和服务符合中国政府规定的相应标准和环保标准；</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(6)没有违反政府采购法规、政策的记录；</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(7)没有发生重大经济纠纷和走私犯罪记录。</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3、提供</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规定的全部投标文件，包括资格文件、报价文件、商务技术文件。具体内容为：</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(1)资格文件</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(2)报价文件；</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商务</w:t>
      </w:r>
      <w:r>
        <w:rPr>
          <w:rFonts w:hint="eastAsia" w:ascii="宋体" w:hAnsi="宋体" w:eastAsia="宋体" w:cs="宋体"/>
          <w:color w:val="auto"/>
          <w:kern w:val="0"/>
          <w:sz w:val="22"/>
          <w:szCs w:val="22"/>
          <w:highlight w:val="none"/>
          <w:lang w:val="zh-CN"/>
        </w:rPr>
        <w:t>技术文件</w:t>
      </w:r>
      <w:r>
        <w:rPr>
          <w:rFonts w:hint="eastAsia" w:ascii="宋体" w:hAnsi="宋体" w:eastAsia="宋体" w:cs="宋体"/>
          <w:color w:val="auto"/>
          <w:sz w:val="22"/>
          <w:szCs w:val="22"/>
          <w:highlight w:val="none"/>
        </w:rPr>
        <w:t>；</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要求投标人提交的全部文件；</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(5)按招标文件要求提供和交付的货物和服务的投标报价详见开标一览表；</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(6)保证忠实地执行双方所签订的合同，并承担合同规定的责任和义务；</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(7)保证遵守招标文件中的其他有关规定。</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4、投标有效期内不撤销投标文件，如中标，有效期将延至合同终止日为止。</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5、我方完全理解贵方不一定要接受最低价的投标。</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6、如中标，按招标文件规定与招标人签订合同。如拒绝签订合同，承诺按本项目预算金额的2%对招标人进行赔偿；赔偿金额不足以弥补招标人损失的，承诺继续承担超过部分的损失。</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7、如中标，按招标文件规定的招标代理服务费标准，在领取中标通知书时向招标代理机构支付招标代理服务费。</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8、我方愿意向贵方提供任何与该项投标有关的数据、情况和服务资料。若贵方需要，我方愿意提供我方作出的一切承诺的证明材料。</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9、我方已详细审核全部招标文件，包括招标文件修改书（如有的话）、参考资料及有关附件，确认无误。我方完全理解并接受招标文件的各项规定和要求，对招标文件的合理性、合法性不再有异议。</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(1)提供虚假材料谋取中标、成交的；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(2)采取不正当手段诋毁、排挤其他供应商的；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(3)与招标人、其它供应商或者招标代理机构恶意串通的；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(4)向招标人、招标代理机构行贿或者提供其他不正当利益的；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(5)在招标采购过程中与招标人进行协商谈判的；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(6)拒绝有关部门监督检查或提供虚假情况的。</w:t>
      </w:r>
    </w:p>
    <w:p>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供应商有前款第(1)至(5)项情形之一的，中标、成交无效。</w:t>
      </w:r>
    </w:p>
    <w:p>
      <w:pPr>
        <w:shd w:val="clear" w:color="auto" w:fill="FFFFFF"/>
        <w:snapToGrid w:val="0"/>
        <w:spacing w:line="360" w:lineRule="auto"/>
        <w:rPr>
          <w:rFonts w:hint="eastAsia" w:ascii="宋体" w:hAnsi="宋体" w:eastAsia="宋体" w:cs="宋体"/>
          <w:color w:val="auto"/>
          <w:kern w:val="0"/>
          <w:sz w:val="22"/>
          <w:szCs w:val="22"/>
          <w:highlight w:val="none"/>
          <w:lang w:val="zh-CN"/>
        </w:rPr>
      </w:pP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法定（授权）代表人（签字）：</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u w:val="single"/>
          <w:lang w:val="zh-CN"/>
        </w:rPr>
      </w:pPr>
      <w:r>
        <w:rPr>
          <w:rFonts w:hint="eastAsia" w:ascii="宋体" w:hAnsi="宋体" w:eastAsia="宋体" w:cs="宋体"/>
          <w:color w:val="auto"/>
          <w:kern w:val="0"/>
          <w:sz w:val="22"/>
          <w:szCs w:val="22"/>
          <w:highlight w:val="none"/>
          <w:lang w:val="zh-CN"/>
        </w:rPr>
        <w:t>投标人盖 章：</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r>
        <w:rPr>
          <w:rFonts w:hint="eastAsia" w:ascii="宋体" w:hAnsi="宋体" w:eastAsia="宋体" w:cs="宋体"/>
          <w:color w:val="auto"/>
          <w:kern w:val="0"/>
          <w:sz w:val="22"/>
          <w:szCs w:val="22"/>
          <w:highlight w:val="none"/>
          <w:u w:val="single"/>
          <w:lang w:val="zh-CN"/>
        </w:rPr>
        <w:t xml:space="preserve">                      </w:t>
      </w: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 xml:space="preserve">联系电话： </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 xml:space="preserve">传真：  </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 xml:space="preserve">电子邮件：  </w:t>
      </w:r>
      <w:r>
        <w:rPr>
          <w:rFonts w:hint="eastAsia" w:ascii="宋体" w:hAnsi="宋体" w:eastAsia="宋体" w:cs="宋体"/>
          <w:color w:val="auto"/>
          <w:kern w:val="0"/>
          <w:sz w:val="22"/>
          <w:szCs w:val="22"/>
          <w:highlight w:val="none"/>
          <w:u w:val="single"/>
          <w:lang w:val="zh-CN"/>
        </w:rPr>
        <w:t xml:space="preserve">              </w:t>
      </w: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联系地址：</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r>
        <w:rPr>
          <w:rFonts w:hint="eastAsia" w:ascii="宋体" w:hAnsi="宋体" w:eastAsia="宋体" w:cs="宋体"/>
          <w:color w:val="auto"/>
          <w:kern w:val="0"/>
          <w:sz w:val="22"/>
          <w:szCs w:val="22"/>
          <w:highlight w:val="none"/>
          <w:u w:val="single"/>
          <w:lang w:val="zh-CN"/>
        </w:rPr>
        <w:t xml:space="preserve">                                                    </w:t>
      </w: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邮政编码：</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传真号码：</w:t>
      </w:r>
      <w:r>
        <w:rPr>
          <w:rFonts w:hint="eastAsia" w:ascii="宋体" w:hAnsi="宋体" w:eastAsia="宋体" w:cs="宋体"/>
          <w:color w:val="auto"/>
          <w:kern w:val="0"/>
          <w:sz w:val="22"/>
          <w:szCs w:val="22"/>
          <w:highlight w:val="none"/>
          <w:u w:val="single"/>
          <w:lang w:val="zh-CN"/>
        </w:rPr>
        <w:t xml:space="preserve">                     </w:t>
      </w:r>
    </w:p>
    <w:p>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lang w:val="zh-CN"/>
        </w:rPr>
        <w:t>日</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lang w:val="zh-CN"/>
        </w:rPr>
        <w:t>期</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lang w:val="zh-CN"/>
        </w:rPr>
        <w:t>年</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rPr>
        <w:tab/>
      </w:r>
      <w:r>
        <w:rPr>
          <w:rFonts w:hint="eastAsia" w:ascii="宋体" w:hAnsi="宋体" w:eastAsia="宋体" w:cs="宋体"/>
          <w:color w:val="auto"/>
          <w:kern w:val="0"/>
          <w:sz w:val="22"/>
          <w:szCs w:val="22"/>
          <w:highlight w:val="none"/>
          <w:lang w:val="zh-CN"/>
        </w:rPr>
        <w:t>月</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日</w:t>
      </w:r>
    </w:p>
    <w:p>
      <w:pPr>
        <w:spacing w:line="44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zh-CN"/>
        </w:rPr>
        <w:t>注：未按照本投标响应函要求填报的将被视为非实质性响应，从而可能导致该投标文件被拒绝。</w:t>
      </w: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pStyle w:val="22"/>
        <w:ind w:left="442" w:hanging="442"/>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w:t>
      </w:r>
    </w:p>
    <w:p>
      <w:pP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br w:type="page"/>
      </w:r>
    </w:p>
    <w:p>
      <w:pPr>
        <w:jc w:val="center"/>
        <w:outlineLvl w:val="3"/>
        <w:rPr>
          <w:rFonts w:hint="eastAsia" w:ascii="宋体" w:hAnsi="宋体"/>
          <w:color w:val="auto"/>
          <w:sz w:val="48"/>
          <w:szCs w:val="48"/>
          <w:highlight w:val="none"/>
        </w:rPr>
      </w:pPr>
      <w:r>
        <w:rPr>
          <w:rFonts w:hint="eastAsia" w:ascii="新宋体" w:hAnsi="新宋体" w:eastAsia="新宋体" w:cs="新宋体"/>
          <w:b/>
          <w:bCs/>
          <w:color w:val="auto"/>
          <w:kern w:val="2"/>
          <w:sz w:val="28"/>
          <w:szCs w:val="28"/>
          <w:highlight w:val="none"/>
          <w:lang w:val="en-US" w:eastAsia="zh-CN" w:bidi="ar-SA"/>
        </w:rPr>
        <w:t>2、</w:t>
      </w:r>
      <w:r>
        <w:rPr>
          <w:rFonts w:hint="eastAsia" w:ascii="新宋体" w:hAnsi="新宋体" w:eastAsia="新宋体" w:cs="新宋体"/>
          <w:b/>
          <w:bCs/>
          <w:color w:val="auto"/>
          <w:kern w:val="2"/>
          <w:sz w:val="28"/>
          <w:szCs w:val="28"/>
          <w:highlight w:val="none"/>
          <w:lang w:val="zh-CN" w:eastAsia="zh-CN" w:bidi="ar-SA"/>
        </w:rPr>
        <w:t>编制说明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编制说明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一、工程概况：见招标文件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二、招标范围：见招标文件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三、工程量清单编制依据：</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1.《建设工程工程量清单计价规范》（GB50500-2013）</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2.《浙江省安装工程预算定额（2018版）》</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3.《浙江省建设工程计价规则（2018版）》</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4.《浙江省市政设施养护维修定额（2018版）》</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5.信息价采用2021年 3月份《温州工程造价信息》</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四、材料选用及技术要求见招标文件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五、清单编制说明：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1.</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本工程所有工程量清单以建设单位提供资料数据为准计入。</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2.</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路灯.应急值班抢修和路灯设施被偷盗补装费分别按项计入技术措施项目，施工方自行报价结算不予调整。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3.</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养护灯具形式由节能服务方提供部分和非节能改造范围部分两种。</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4.</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（1）节能改造LED路灯维护所需的人工、机械可参考定额的1/4计算，灯具损耗率参考5%计算。（2）非节能改造LED路灯维护所需的人工、机械可参考定额的1/2计算，灯具损耗率参考10%计算。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（3）传统光源路灯维护所需的人工、机械、灯具损耗率可参考定额的1/2计算。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5.</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照明监控设备世贸大厦续签合同期内场地租赁费（含电费）按一项专业工程暂估价</w:t>
      </w:r>
      <w:r>
        <w:rPr>
          <w:rFonts w:hint="eastAsia" w:ascii="新宋体" w:hAnsi="新宋体" w:eastAsia="新宋体" w:cs="新宋体"/>
          <w:b w:val="0"/>
          <w:bCs w:val="0"/>
          <w:color w:val="auto"/>
          <w:sz w:val="22"/>
          <w:szCs w:val="22"/>
          <w:highlight w:val="none"/>
          <w:lang w:val="en-US" w:eastAsia="zh-CN"/>
        </w:rPr>
        <w:t>58600</w:t>
      </w:r>
      <w:r>
        <w:rPr>
          <w:rFonts w:hint="eastAsia" w:ascii="新宋体" w:hAnsi="新宋体" w:eastAsia="新宋体" w:cs="新宋体"/>
          <w:b w:val="0"/>
          <w:bCs w:val="0"/>
          <w:color w:val="auto"/>
          <w:sz w:val="22"/>
          <w:szCs w:val="22"/>
          <w:highlight w:val="none"/>
        </w:rPr>
        <w:t>元</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两年</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rPr>
        <w:t>计入本次预算，结算按实调整。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6.</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通讯信息费不计入本次预算，由业主方提供。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2"/>
          <w:szCs w:val="22"/>
          <w:highlight w:val="none"/>
        </w:rPr>
      </w:pPr>
      <w:r>
        <w:rPr>
          <w:rFonts w:hint="eastAsia" w:ascii="新宋体" w:hAnsi="新宋体" w:eastAsia="新宋体" w:cs="新宋体"/>
          <w:b w:val="0"/>
          <w:bCs w:val="0"/>
          <w:color w:val="auto"/>
          <w:sz w:val="22"/>
          <w:szCs w:val="22"/>
          <w:highlight w:val="none"/>
        </w:rPr>
        <w:t>7.</w:t>
      </w:r>
      <w:r>
        <w:rPr>
          <w:rFonts w:hint="eastAsia" w:ascii="新宋体" w:hAnsi="新宋体" w:eastAsia="新宋体" w:cs="新宋体"/>
          <w:b w:val="0"/>
          <w:bCs w:val="0"/>
          <w:color w:val="auto"/>
          <w:sz w:val="22"/>
          <w:szCs w:val="22"/>
          <w:highlight w:val="none"/>
        </w:rPr>
        <w:tab/>
      </w:r>
      <w:r>
        <w:rPr>
          <w:rFonts w:hint="eastAsia" w:ascii="新宋体" w:hAnsi="新宋体" w:eastAsia="新宋体" w:cs="新宋体"/>
          <w:b w:val="0"/>
          <w:bCs w:val="0"/>
          <w:color w:val="auto"/>
          <w:sz w:val="22"/>
          <w:szCs w:val="22"/>
          <w:highlight w:val="none"/>
        </w:rPr>
        <w:t>电缆、架空线、护管巡查；灯杆悬挂物、外接电源拆除等费用按项计入技术措施项目，施工方自行报价结算不予调整。</w:t>
      </w:r>
      <w:r>
        <w:rPr>
          <w:rFonts w:hint="eastAsia" w:ascii="宋体" w:hAnsi="宋体" w:eastAsia="宋体" w:cs="宋体"/>
          <w:b/>
          <w:bCs/>
          <w:color w:val="auto"/>
          <w:sz w:val="22"/>
          <w:szCs w:val="22"/>
          <w:highlight w:val="none"/>
        </w:rPr>
        <w:br w:type="page"/>
      </w:r>
    </w:p>
    <w:p>
      <w:pPr>
        <w:pStyle w:val="22"/>
        <w:ind w:left="0" w:firstLine="0" w:firstLineChars="0"/>
        <w:rPr>
          <w:rFonts w:hint="eastAsia" w:ascii="宋体" w:hAnsi="宋体" w:eastAsia="宋体" w:cs="宋体"/>
          <w:b/>
          <w:bCs/>
          <w:color w:val="auto"/>
          <w:sz w:val="22"/>
          <w:szCs w:val="22"/>
          <w:highlight w:val="none"/>
        </w:rPr>
      </w:pPr>
    </w:p>
    <w:p>
      <w:pPr>
        <w:pStyle w:val="22"/>
        <w:ind w:left="0" w:firstLine="0" w:firstLineChars="0"/>
        <w:rPr>
          <w:rFonts w:hint="eastAsia" w:ascii="宋体" w:hAnsi="宋体" w:eastAsia="宋体" w:cs="宋体"/>
          <w:b/>
          <w:bCs/>
          <w:color w:val="auto"/>
          <w:sz w:val="22"/>
          <w:szCs w:val="22"/>
          <w:highlight w:val="none"/>
        </w:rPr>
      </w:pPr>
    </w:p>
    <w:p>
      <w:pPr>
        <w:spacing w:line="400" w:lineRule="exact"/>
        <w:jc w:val="center"/>
        <w:outlineLvl w:val="3"/>
        <w:rPr>
          <w:rFonts w:hint="eastAsia" w:ascii="宋体" w:hAnsi="宋体" w:eastAsia="宋体" w:cs="宋体"/>
          <w:b/>
          <w:color w:val="auto"/>
          <w:sz w:val="22"/>
          <w:szCs w:val="22"/>
          <w:highlight w:val="none"/>
          <w:lang w:val="zh-CN"/>
        </w:rPr>
      </w:pPr>
      <w:r>
        <w:rPr>
          <w:rFonts w:hint="eastAsia" w:ascii="宋体" w:hAnsi="宋体" w:cs="宋体"/>
          <w:b/>
          <w:color w:val="auto"/>
          <w:sz w:val="22"/>
          <w:szCs w:val="22"/>
          <w:highlight w:val="none"/>
          <w:lang w:val="en-US" w:eastAsia="zh-CN"/>
        </w:rPr>
        <w:t>3</w:t>
      </w: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zh-CN"/>
        </w:rPr>
        <w:t>投标报价一览表</w:t>
      </w:r>
    </w:p>
    <w:p>
      <w:pPr>
        <w:spacing w:line="38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w:t>
      </w:r>
    </w:p>
    <w:p>
      <w:pPr>
        <w:spacing w:line="380" w:lineRule="exact"/>
        <w:rPr>
          <w:rFonts w:hint="eastAsia" w:ascii="宋体" w:hAnsi="宋体" w:eastAsia="宋体" w:cs="宋体"/>
          <w:b/>
          <w:color w:val="auto"/>
          <w:sz w:val="22"/>
          <w:highlight w:val="none"/>
        </w:rPr>
      </w:pPr>
      <w:r>
        <w:rPr>
          <w:rFonts w:hint="eastAsia" w:ascii="宋体" w:hAnsi="宋体" w:eastAsia="宋体" w:cs="宋体"/>
          <w:b/>
          <w:bCs/>
          <w:color w:val="auto"/>
          <w:sz w:val="22"/>
          <w:szCs w:val="22"/>
          <w:highlight w:val="none"/>
        </w:rPr>
        <w:t>项目名称：                                         项目编号：</w:t>
      </w:r>
    </w:p>
    <w:tbl>
      <w:tblPr>
        <w:tblStyle w:val="52"/>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781"/>
        <w:gridCol w:w="2296"/>
        <w:gridCol w:w="2931"/>
        <w:gridCol w:w="163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7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序号</w:t>
            </w:r>
          </w:p>
        </w:tc>
        <w:tc>
          <w:tcPr>
            <w:tcW w:w="17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项目名称</w:t>
            </w:r>
          </w:p>
        </w:tc>
        <w:tc>
          <w:tcPr>
            <w:tcW w:w="52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lang w:val="en-US" w:eastAsia="zh-CN"/>
              </w:rPr>
              <w:t>投标</w:t>
            </w:r>
            <w:r>
              <w:rPr>
                <w:rFonts w:hint="eastAsia" w:ascii="新宋体" w:hAnsi="新宋体" w:eastAsia="新宋体" w:cs="新宋体"/>
                <w:b/>
                <w:color w:val="auto"/>
                <w:sz w:val="24"/>
                <w:highlight w:val="none"/>
              </w:rPr>
              <w:t>报价（</w:t>
            </w:r>
            <w:r>
              <w:rPr>
                <w:rFonts w:hint="eastAsia" w:ascii="新宋体" w:hAnsi="新宋体" w:eastAsia="新宋体" w:cs="新宋体"/>
                <w:b/>
                <w:color w:val="auto"/>
                <w:sz w:val="24"/>
                <w:highlight w:val="none"/>
                <w:lang w:val="en-US" w:eastAsia="zh-CN"/>
              </w:rPr>
              <w:t>元</w:t>
            </w:r>
            <w:r>
              <w:rPr>
                <w:rFonts w:hint="eastAsia" w:ascii="新宋体" w:hAnsi="新宋体" w:eastAsia="新宋体" w:cs="新宋体"/>
                <w:b/>
                <w:color w:val="auto"/>
                <w:sz w:val="24"/>
                <w:highlight w:val="none"/>
              </w:rPr>
              <w:t>）</w:t>
            </w:r>
          </w:p>
        </w:tc>
        <w:tc>
          <w:tcPr>
            <w:tcW w:w="163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lang w:val="en-US" w:eastAsia="zh-CN"/>
              </w:rPr>
            </w:pPr>
            <w:r>
              <w:rPr>
                <w:rFonts w:hint="eastAsia" w:ascii="新宋体" w:hAnsi="新宋体" w:eastAsia="新宋体" w:cs="新宋体"/>
                <w:b/>
                <w:color w:val="auto"/>
                <w:sz w:val="24"/>
                <w:highlight w:val="none"/>
                <w:lang w:val="en-US" w:eastAsia="zh-CN"/>
              </w:rPr>
              <w:t>项目负责人</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exact"/>
        </w:trPr>
        <w:tc>
          <w:tcPr>
            <w:tcW w:w="75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lang w:val="en-US" w:eastAsia="zh-CN"/>
              </w:rPr>
            </w:pPr>
            <w:r>
              <w:rPr>
                <w:rFonts w:hint="eastAsia" w:ascii="新宋体" w:hAnsi="新宋体" w:eastAsia="新宋体" w:cs="新宋体"/>
                <w:b/>
                <w:color w:val="auto"/>
                <w:sz w:val="24"/>
                <w:highlight w:val="none"/>
                <w:lang w:val="en-US" w:eastAsia="zh-CN"/>
              </w:rPr>
              <w:t>1</w:t>
            </w:r>
          </w:p>
        </w:tc>
        <w:tc>
          <w:tcPr>
            <w:tcW w:w="17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val="0"/>
                <w:bCs w:val="0"/>
                <w:color w:val="auto"/>
                <w:sz w:val="24"/>
                <w:highlight w:val="none"/>
              </w:rPr>
            </w:pPr>
            <w:r>
              <w:rPr>
                <w:rFonts w:hint="eastAsia" w:ascii="新宋体" w:hAnsi="新宋体" w:eastAsia="新宋体" w:cs="新宋体"/>
                <w:b w:val="0"/>
                <w:bCs w:val="0"/>
                <w:color w:val="auto"/>
                <w:sz w:val="22"/>
                <w:szCs w:val="22"/>
                <w:highlight w:val="none"/>
              </w:rPr>
              <w:t>20</w:t>
            </w:r>
            <w:r>
              <w:rPr>
                <w:rFonts w:hint="eastAsia" w:ascii="新宋体" w:hAnsi="新宋体" w:eastAsia="新宋体" w:cs="新宋体"/>
                <w:b w:val="0"/>
                <w:bCs w:val="0"/>
                <w:color w:val="auto"/>
                <w:sz w:val="22"/>
                <w:szCs w:val="22"/>
                <w:highlight w:val="none"/>
                <w:lang w:val="en-US" w:eastAsia="zh-CN"/>
              </w:rPr>
              <w:t>21</w:t>
            </w:r>
            <w:r>
              <w:rPr>
                <w:rFonts w:hint="eastAsia" w:ascii="新宋体" w:hAnsi="新宋体" w:eastAsia="新宋体" w:cs="新宋体"/>
                <w:b w:val="0"/>
                <w:bCs w:val="0"/>
                <w:color w:val="auto"/>
                <w:sz w:val="22"/>
                <w:szCs w:val="22"/>
                <w:highlight w:val="none"/>
              </w:rPr>
              <w:t>年温州市市本级路灯设施维护费</w:t>
            </w:r>
          </w:p>
        </w:tc>
        <w:tc>
          <w:tcPr>
            <w:tcW w:w="229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路灯设施正常维修养护费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val="0"/>
                <w:bCs w:val="0"/>
                <w:color w:val="auto"/>
                <w:sz w:val="22"/>
                <w:szCs w:val="22"/>
                <w:highlight w:val="none"/>
                <w:lang w:eastAsia="zh-CN"/>
              </w:rPr>
            </w:pP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报价一</w:t>
            </w:r>
            <w:r>
              <w:rPr>
                <w:rFonts w:hint="eastAsia" w:ascii="新宋体" w:hAnsi="新宋体" w:eastAsia="新宋体" w:cs="新宋体"/>
                <w:b w:val="0"/>
                <w:bCs w:val="0"/>
                <w:color w:val="auto"/>
                <w:sz w:val="22"/>
                <w:szCs w:val="22"/>
                <w:highlight w:val="none"/>
                <w:lang w:eastAsia="zh-CN"/>
              </w:rPr>
              <w:t>）</w:t>
            </w:r>
          </w:p>
        </w:tc>
        <w:tc>
          <w:tcPr>
            <w:tcW w:w="29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路灯设施正常维修养护范围外的维修安装费（暂定价）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val="0"/>
                <w:bCs w:val="0"/>
                <w:color w:val="auto"/>
                <w:sz w:val="22"/>
                <w:szCs w:val="22"/>
                <w:highlight w:val="none"/>
                <w:lang w:eastAsia="zh-CN"/>
              </w:rPr>
            </w:pPr>
            <w:r>
              <w:rPr>
                <w:rFonts w:hint="eastAsia" w:ascii="新宋体" w:hAnsi="新宋体" w:eastAsia="新宋体" w:cs="新宋体"/>
                <w:b w:val="0"/>
                <w:bCs w:val="0"/>
                <w:color w:val="auto"/>
                <w:sz w:val="22"/>
                <w:szCs w:val="22"/>
                <w:highlight w:val="none"/>
                <w:lang w:val="en-US" w:eastAsia="zh-CN"/>
              </w:rPr>
              <w:t>（报价二）</w:t>
            </w:r>
          </w:p>
        </w:tc>
        <w:tc>
          <w:tcPr>
            <w:tcW w:w="16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c>
          <w:tcPr>
            <w:tcW w:w="72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exact"/>
        </w:trPr>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lang w:val="en-US" w:eastAsia="zh-CN"/>
              </w:rPr>
            </w:pPr>
          </w:p>
        </w:tc>
        <w:tc>
          <w:tcPr>
            <w:tcW w:w="17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c>
          <w:tcPr>
            <w:tcW w:w="229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rPr>
              <w:t>小写：</w:t>
            </w:r>
          </w:p>
        </w:tc>
        <w:tc>
          <w:tcPr>
            <w:tcW w:w="29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rPr>
              <w:t>小写：</w:t>
            </w:r>
          </w:p>
        </w:tc>
        <w:tc>
          <w:tcPr>
            <w:tcW w:w="16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c>
          <w:tcPr>
            <w:tcW w:w="7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trPr>
        <w:tc>
          <w:tcPr>
            <w:tcW w:w="75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lang w:val="en-US" w:eastAsia="zh-CN"/>
              </w:rPr>
            </w:pPr>
          </w:p>
        </w:tc>
        <w:tc>
          <w:tcPr>
            <w:tcW w:w="17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c>
          <w:tcPr>
            <w:tcW w:w="229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rPr>
              <w:t>大写：</w:t>
            </w:r>
          </w:p>
        </w:tc>
        <w:tc>
          <w:tcPr>
            <w:tcW w:w="29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rPr>
              <w:t>大写：</w:t>
            </w:r>
          </w:p>
        </w:tc>
        <w:tc>
          <w:tcPr>
            <w:tcW w:w="16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c>
          <w:tcPr>
            <w:tcW w:w="7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新宋体" w:hAnsi="新宋体" w:eastAsia="新宋体" w:cs="新宋体"/>
                <w:b/>
                <w:color w:val="auto"/>
                <w:sz w:val="24"/>
                <w:highlight w:val="none"/>
              </w:rPr>
            </w:pPr>
          </w:p>
        </w:tc>
      </w:tr>
    </w:tbl>
    <w:p>
      <w:pPr>
        <w:spacing w:line="400" w:lineRule="exact"/>
        <w:ind w:firstLine="541" w:firstLineChars="245"/>
        <w:rPr>
          <w:rFonts w:hint="eastAsia" w:ascii="宋体" w:hAnsi="宋体" w:eastAsia="宋体" w:cs="宋体"/>
          <w:b/>
          <w:color w:val="auto"/>
          <w:sz w:val="22"/>
          <w:highlight w:val="none"/>
        </w:rPr>
      </w:pPr>
    </w:p>
    <w:p>
      <w:pPr>
        <w:spacing w:line="460" w:lineRule="exact"/>
        <w:ind w:firstLine="442" w:firstLineChars="200"/>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highlight w:val="none"/>
        </w:rPr>
        <w:t>说明：</w:t>
      </w:r>
      <w:r>
        <w:rPr>
          <w:rFonts w:hint="eastAsia" w:ascii="新宋体" w:hAnsi="新宋体" w:eastAsia="新宋体" w:cs="新宋体"/>
          <w:b w:val="0"/>
          <w:bCs w:val="0"/>
          <w:color w:val="auto"/>
          <w:sz w:val="22"/>
          <w:highlight w:val="none"/>
          <w:lang w:val="en-US" w:eastAsia="zh-CN"/>
        </w:rPr>
        <w:t>1、</w:t>
      </w:r>
      <w:r>
        <w:rPr>
          <w:rFonts w:hint="eastAsia" w:ascii="宋体" w:hAnsi="宋体" w:cs="宋体"/>
          <w:color w:val="auto"/>
          <w:sz w:val="22"/>
          <w:highlight w:val="none"/>
          <w:lang w:eastAsia="zh-CN"/>
        </w:rPr>
        <w:t>2021年温州市市本级路灯设施维护</w:t>
      </w:r>
      <w:r>
        <w:rPr>
          <w:rFonts w:hint="eastAsia" w:ascii="宋体" w:hAnsi="宋体" w:cs="宋体"/>
          <w:color w:val="auto"/>
          <w:sz w:val="22"/>
          <w:highlight w:val="none"/>
          <w:lang w:val="en-US" w:eastAsia="zh-CN"/>
        </w:rPr>
        <w:t>费</w:t>
      </w:r>
      <w:r>
        <w:rPr>
          <w:rFonts w:hint="eastAsia" w:ascii="新宋体" w:hAnsi="新宋体" w:eastAsia="新宋体" w:cs="新宋体"/>
          <w:color w:val="auto"/>
          <w:sz w:val="22"/>
          <w:szCs w:val="22"/>
          <w:highlight w:val="none"/>
        </w:rPr>
        <w:t>分两项，分别为路灯设施正常维修养护费和路灯设施正常维修养护范围外的维修安装费（暂定价）。</w:t>
      </w:r>
    </w:p>
    <w:p>
      <w:pPr>
        <w:numPr>
          <w:ilvl w:val="0"/>
          <w:numId w:val="6"/>
        </w:numPr>
        <w:spacing w:line="460" w:lineRule="exact"/>
        <w:ind w:firstLine="1100" w:firstLineChars="50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服务期限为2年。</w:t>
      </w:r>
    </w:p>
    <w:p>
      <w:pPr>
        <w:numPr>
          <w:ilvl w:val="0"/>
          <w:numId w:val="6"/>
        </w:numPr>
        <w:spacing w:line="460" w:lineRule="exact"/>
        <w:ind w:firstLine="1104" w:firstLineChars="500"/>
        <w:rPr>
          <w:rFonts w:hint="eastAsia" w:ascii="新宋体" w:hAnsi="新宋体" w:eastAsia="新宋体" w:cs="新宋体"/>
          <w:color w:val="auto"/>
          <w:sz w:val="22"/>
          <w:szCs w:val="22"/>
          <w:highlight w:val="none"/>
        </w:rPr>
      </w:pPr>
      <w:r>
        <w:rPr>
          <w:rFonts w:hint="eastAsia" w:ascii="新宋体" w:hAnsi="新宋体" w:eastAsia="新宋体"/>
          <w:b/>
          <w:color w:val="auto"/>
          <w:sz w:val="22"/>
          <w:highlight w:val="none"/>
        </w:rPr>
        <w:t>此栏</w:t>
      </w:r>
      <w:r>
        <w:rPr>
          <w:rFonts w:hint="eastAsia" w:ascii="新宋体" w:hAnsi="新宋体" w:eastAsia="新宋体"/>
          <w:b/>
          <w:color w:val="auto"/>
          <w:sz w:val="22"/>
          <w:highlight w:val="none"/>
          <w:lang w:val="en-US" w:eastAsia="zh-CN"/>
        </w:rPr>
        <w:t>相应</w:t>
      </w:r>
      <w:r>
        <w:rPr>
          <w:rFonts w:hint="eastAsia" w:ascii="新宋体" w:hAnsi="新宋体" w:eastAsia="新宋体"/>
          <w:b/>
          <w:color w:val="auto"/>
          <w:sz w:val="22"/>
          <w:highlight w:val="none"/>
        </w:rPr>
        <w:t>报价应与“</w:t>
      </w:r>
      <w:r>
        <w:rPr>
          <w:rFonts w:hint="eastAsia" w:ascii="新宋体" w:hAnsi="新宋体" w:eastAsia="新宋体"/>
          <w:b/>
          <w:color w:val="auto"/>
          <w:sz w:val="22"/>
          <w:highlight w:val="none"/>
          <w:lang w:val="en-US" w:eastAsia="zh-CN"/>
        </w:rPr>
        <w:t>4</w:t>
      </w:r>
      <w:r>
        <w:rPr>
          <w:rFonts w:hint="eastAsia" w:ascii="新宋体" w:hAnsi="新宋体" w:eastAsia="新宋体"/>
          <w:b/>
          <w:color w:val="auto"/>
          <w:sz w:val="22"/>
          <w:highlight w:val="none"/>
        </w:rPr>
        <w:t>、分项报价表”中的</w:t>
      </w:r>
      <w:r>
        <w:rPr>
          <w:rFonts w:hint="eastAsia" w:ascii="新宋体" w:hAnsi="新宋体" w:eastAsia="新宋体"/>
          <w:b/>
          <w:color w:val="auto"/>
          <w:sz w:val="22"/>
          <w:highlight w:val="none"/>
          <w:lang w:val="en-US" w:eastAsia="zh-CN"/>
        </w:rPr>
        <w:t>相应对项</w:t>
      </w:r>
      <w:r>
        <w:rPr>
          <w:rFonts w:hint="eastAsia" w:ascii="新宋体" w:hAnsi="新宋体" w:eastAsia="新宋体"/>
          <w:b/>
          <w:color w:val="auto"/>
          <w:sz w:val="22"/>
          <w:highlight w:val="none"/>
        </w:rPr>
        <w:t>总计价相一致</w:t>
      </w:r>
      <w:r>
        <w:rPr>
          <w:rFonts w:hint="eastAsia" w:ascii="新宋体" w:hAnsi="新宋体" w:eastAsia="新宋体" w:cs="新宋体"/>
          <w:b w:val="0"/>
          <w:bCs w:val="0"/>
          <w:color w:val="auto"/>
          <w:sz w:val="22"/>
          <w:highlight w:val="none"/>
        </w:rPr>
        <w:t>。</w:t>
      </w:r>
    </w:p>
    <w:p>
      <w:pPr>
        <w:spacing w:line="400" w:lineRule="exact"/>
        <w:jc w:val="center"/>
        <w:rPr>
          <w:rFonts w:hint="eastAsia" w:ascii="宋体" w:hAnsi="宋体" w:eastAsia="宋体" w:cs="宋体"/>
          <w:color w:val="auto"/>
          <w:sz w:val="22"/>
          <w:szCs w:val="22"/>
          <w:highlight w:val="none"/>
        </w:rPr>
      </w:pPr>
    </w:p>
    <w:p>
      <w:pPr>
        <w:spacing w:line="400" w:lineRule="exact"/>
        <w:jc w:val="center"/>
        <w:rPr>
          <w:rFonts w:hint="eastAsia" w:ascii="宋体" w:hAnsi="宋体" w:eastAsia="宋体" w:cs="宋体"/>
          <w:color w:val="auto"/>
          <w:sz w:val="22"/>
          <w:szCs w:val="22"/>
          <w:highlight w:val="none"/>
        </w:rPr>
      </w:pPr>
    </w:p>
    <w:p>
      <w:pPr>
        <w:spacing w:line="400" w:lineRule="exact"/>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投标人全称（盖章）：</w:t>
      </w:r>
    </w:p>
    <w:p>
      <w:pPr>
        <w:spacing w:line="400" w:lineRule="exact"/>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投标人代表（签字）：</w:t>
      </w:r>
    </w:p>
    <w:p>
      <w:pPr>
        <w:spacing w:line="400" w:lineRule="exact"/>
        <w:ind w:firstLine="3740" w:firstLineChars="170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w:t>
      </w: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pStyle w:val="51"/>
        <w:ind w:left="860" w:hanging="440"/>
        <w:rPr>
          <w:rFonts w:hint="eastAsia" w:ascii="宋体" w:hAnsi="宋体" w:eastAsia="宋体" w:cs="宋体"/>
          <w:color w:val="auto"/>
          <w:sz w:val="22"/>
          <w:szCs w:val="22"/>
          <w:highlight w:val="none"/>
        </w:rPr>
      </w:pPr>
    </w:p>
    <w:p>
      <w:pP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br w:type="page"/>
      </w:r>
    </w:p>
    <w:p>
      <w:pPr>
        <w:spacing w:line="400" w:lineRule="exact"/>
        <w:jc w:val="center"/>
        <w:outlineLvl w:val="3"/>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3、分项报价表（报价一）</w:t>
      </w:r>
    </w:p>
    <w:p>
      <w:pPr>
        <w:spacing w:line="400" w:lineRule="exact"/>
        <w:jc w:val="center"/>
        <w:outlineLvl w:val="4"/>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1</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rPr>
        <w:t>路灯设施正常维修养护费</w:t>
      </w:r>
    </w:p>
    <w:p>
      <w:pPr>
        <w:keepNext w:val="0"/>
        <w:keepLines w:val="0"/>
        <w:pageBreakBefore w:val="0"/>
        <w:kinsoku/>
        <w:wordWrap/>
        <w:overflowPunct/>
        <w:topLinePunct w:val="0"/>
        <w:autoSpaceDE/>
        <w:autoSpaceDN/>
        <w:bidi w:val="0"/>
        <w:adjustRightInd/>
        <w:snapToGrid/>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项目名称：                                         </w:t>
      </w:r>
      <w:r>
        <w:rPr>
          <w:rFonts w:hint="eastAsia" w:ascii="新宋体" w:hAnsi="新宋体" w:eastAsia="新宋体" w:cs="新宋体"/>
          <w:bCs/>
          <w:color w:val="auto"/>
          <w:sz w:val="22"/>
          <w:szCs w:val="22"/>
          <w:highlight w:val="none"/>
          <w:lang w:val="en-US" w:eastAsia="zh-CN"/>
        </w:rPr>
        <w:t>项目</w:t>
      </w:r>
      <w:r>
        <w:rPr>
          <w:rFonts w:hint="eastAsia" w:ascii="新宋体" w:hAnsi="新宋体" w:eastAsia="新宋体" w:cs="新宋体"/>
          <w:bCs/>
          <w:color w:val="auto"/>
          <w:sz w:val="22"/>
          <w:szCs w:val="22"/>
          <w:highlight w:val="none"/>
        </w:rPr>
        <w:t>编号：</w:t>
      </w:r>
    </w:p>
    <w:tbl>
      <w:tblPr>
        <w:tblStyle w:val="52"/>
        <w:tblW w:w="10386"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600"/>
        <w:gridCol w:w="1526"/>
        <w:gridCol w:w="2504"/>
        <w:gridCol w:w="675"/>
        <w:gridCol w:w="1065"/>
        <w:gridCol w:w="1045"/>
        <w:gridCol w:w="1045"/>
        <w:gridCol w:w="1045"/>
        <w:gridCol w:w="88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600" w:type="dxa"/>
            <w:tcBorders>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序号</w:t>
            </w:r>
          </w:p>
        </w:tc>
        <w:tc>
          <w:tcPr>
            <w:tcW w:w="1526"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项目名称</w:t>
            </w:r>
          </w:p>
        </w:tc>
        <w:tc>
          <w:tcPr>
            <w:tcW w:w="2504"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项目特征</w:t>
            </w:r>
          </w:p>
        </w:tc>
        <w:tc>
          <w:tcPr>
            <w:tcW w:w="675"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计量</w:t>
            </w:r>
            <w:r>
              <w:rPr>
                <w:rFonts w:hint="eastAsia" w:ascii="新宋体" w:hAnsi="新宋体" w:eastAsia="新宋体" w:cs="新宋体"/>
                <w:i w:val="0"/>
                <w:color w:val="auto"/>
                <w:kern w:val="0"/>
                <w:sz w:val="21"/>
                <w:szCs w:val="21"/>
                <w:highlight w:val="none"/>
                <w:u w:val="none"/>
                <w:lang w:val="en-US" w:eastAsia="zh-CN" w:bidi="ar"/>
              </w:rPr>
              <w:br w:type="textWrapping"/>
            </w:r>
            <w:r>
              <w:rPr>
                <w:rFonts w:hint="eastAsia" w:ascii="新宋体" w:hAnsi="新宋体" w:eastAsia="新宋体" w:cs="新宋体"/>
                <w:i w:val="0"/>
                <w:color w:val="auto"/>
                <w:kern w:val="0"/>
                <w:sz w:val="21"/>
                <w:szCs w:val="21"/>
                <w:highlight w:val="none"/>
                <w:u w:val="none"/>
                <w:lang w:val="en-US" w:eastAsia="zh-CN" w:bidi="ar"/>
              </w:rPr>
              <w:t>单位</w:t>
            </w:r>
          </w:p>
        </w:tc>
        <w:tc>
          <w:tcPr>
            <w:tcW w:w="1065"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工程量</w:t>
            </w:r>
          </w:p>
        </w:tc>
        <w:tc>
          <w:tcPr>
            <w:tcW w:w="1045" w:type="dxa"/>
            <w:tcBorders>
              <w:left w:val="single" w:color="000000" w:sz="4" w:space="0"/>
              <w:bottom w:val="nil"/>
              <w:right w:val="single" w:color="auto" w:sz="4"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b/>
                <w:bCs/>
                <w:color w:val="auto"/>
                <w:sz w:val="21"/>
                <w:szCs w:val="21"/>
                <w:highlight w:val="none"/>
              </w:rPr>
            </w:pPr>
            <w:r>
              <w:rPr>
                <w:rFonts w:hint="eastAsia" w:ascii="新宋体" w:hAnsi="新宋体" w:eastAsia="新宋体" w:cs="新宋体"/>
                <w:b/>
                <w:bCs/>
                <w:color w:val="auto"/>
                <w:sz w:val="21"/>
                <w:szCs w:val="21"/>
                <w:highlight w:val="none"/>
              </w:rPr>
              <w:t>单价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b/>
                <w:bCs/>
                <w:color w:val="auto"/>
                <w:sz w:val="21"/>
                <w:szCs w:val="21"/>
                <w:highlight w:val="none"/>
              </w:rPr>
              <w:t>（元）</w:t>
            </w:r>
          </w:p>
        </w:tc>
        <w:tc>
          <w:tcPr>
            <w:tcW w:w="1045" w:type="dxa"/>
            <w:tcBorders>
              <w:left w:val="single" w:color="000000" w:sz="4" w:space="0"/>
              <w:bottom w:val="nil"/>
              <w:right w:val="single" w:color="auto" w:sz="4"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b/>
                <w:bCs/>
                <w:color w:val="auto"/>
                <w:sz w:val="21"/>
                <w:szCs w:val="21"/>
                <w:highlight w:val="none"/>
              </w:rPr>
            </w:pPr>
            <w:r>
              <w:rPr>
                <w:rFonts w:hint="eastAsia" w:ascii="新宋体" w:hAnsi="新宋体" w:eastAsia="新宋体" w:cs="新宋体"/>
                <w:b/>
                <w:bCs/>
                <w:color w:val="auto"/>
                <w:sz w:val="21"/>
                <w:szCs w:val="21"/>
                <w:highlight w:val="none"/>
              </w:rPr>
              <w:t>合价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b/>
                <w:bCs/>
                <w:color w:val="auto"/>
                <w:sz w:val="21"/>
                <w:szCs w:val="21"/>
                <w:highlight w:val="none"/>
              </w:rPr>
              <w:t>(元)</w:t>
            </w:r>
          </w:p>
        </w:tc>
        <w:tc>
          <w:tcPr>
            <w:tcW w:w="1045" w:type="dxa"/>
            <w:tcBorders>
              <w:left w:val="single" w:color="000000" w:sz="4" w:space="0"/>
              <w:bottom w:val="nil"/>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color w:val="auto"/>
                <w:kern w:val="0"/>
                <w:sz w:val="21"/>
                <w:szCs w:val="21"/>
                <w:highlight w:val="none"/>
                <w:lang w:bidi="ar"/>
              </w:rPr>
              <w:t>合价最高限价（元）</w:t>
            </w:r>
          </w:p>
        </w:tc>
        <w:tc>
          <w:tcPr>
            <w:tcW w:w="881" w:type="dxa"/>
            <w:tcBorders>
              <w:left w:val="single" w:color="auto" w:sz="4" w:space="0"/>
              <w:bottom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一、灯具由节能服务方提供部分（灯具材料不计入本次维护项目）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（一）主要道路道路灯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30W（护套线，灯杆等配套设施含材料、制作及安装服务养护，不含灯光源养护）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2440.4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60W（护套线，灯杆等配套设施含材料、制作及安装服务养护，不含灯光源养护）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2728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166435.28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5722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349099.22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165W（护套线，灯杆等配套设施含材料、制作及安装服务养护，不含灯光源养护）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2096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129637.6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200W（护套线，灯杆等配套设施含材料、制作及安装服务养护，不含灯光源养护）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1716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108382.56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250W（护套线，灯杆等配套设施含材料、制作及安装服务养护，不含灯光源养护）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780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49264.8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300W（护套线，灯杆等配套设施含材料、制作及安装服务养护，不含灯光源养护）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376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23748.16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30W（护套线，灯杆等配套设施含材料、制作及安装服务养护，不含灯光源养护）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1988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154030.24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40W（护套线，灯杆等配套设施含材料、制作及安装服务养护，不含灯光源养护）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20144.8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60W（护套线，灯杆等配套设施含材料、制作及安装服务养护，不含灯光源养护）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3940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305271.2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100W（护套线，灯杆等配套设施含材料、制作及安装服务养护，不含灯光源养护）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1002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77634.96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165W（护套线，灯杆等配套设施含材料、制作及安装服务养护，不含灯光源养护）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3380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267594.6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200W（护套线，灯杆等配套设施含材料、制作及安装服务养护，不含灯光源养护）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1492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122000.84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250W（护套线，灯杆等配套设施含材料、制作及安装服务养护，不含灯光源养护）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1734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141789.18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300W（护套线，灯杆等配套设施含材料、制作及安装服务养护，不含灯光源养护）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28455.96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（二）隧道灯、投光灯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地道涵洞照明灯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隧道LED投光灯 40W（护套线等配套设施含材料、制作及安装服务养护，不含灯光源养护）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2698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95563.16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地道涵洞照明灯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隧道LED投光灯 60W（护套线等配套设施含材料、制作及安装服务养护，不含灯光源养护）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4876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172707.92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地道涵洞照明灯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隧道LED投光灯 100W（护套线等配套设施含材料、制作及安装服务养护，不含灯光源养护）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1596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56530.32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19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地道涵洞照明灯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隧道LED投光灯 1650W（护套线等配套设施含材料、制作及安装服务养护，不含灯光源养护）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4354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154218.68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（三）中杆灯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3火及3火以内（护套线，灯杆等配套设施含材料、制作及安装服务养护，不含灯光源养护）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50785.68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3火及3火以内（护套线，灯杆等配套设施含材料、制作及安装服务养护，不含灯光源养护）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212376.48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300W LED灯 3火及3火以内（护套线，灯杆等配套设施含材料、制作及安装服务养护，不含灯光源养护）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33472.38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4火及3火以内（护套线，灯杆等配套设施含材料、制作及安装服务养护，不含灯光源养护）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4火及3火以内（护套线，灯杆等配套设施含材料、制作及安装服务养护，不含灯光源养护）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5火及3火以内（护套线，灯杆等配套设施含材料、制作及安装服务养护，不含灯光源养护）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5火及3火以内（护套线，灯杆等配套设施含材料、制作及安装服务养护，不含灯光源养护）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6火及3火以内（护套线，灯杆等配套设施含材料、制作及安装服务养护，不含灯光源养护）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6火及3火以内（护套线，灯杆等配套设施含材料、制作及安装服务养护，不含灯光源养护）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29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8火及3火以内（护套线，灯杆等配套设施含材料、制作及安装服务养护，不含灯光源养护）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35476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8火及3火以内（护套线，灯杆等配套设施含材料、制作及安装服务养护，不含灯光源养护）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5676.16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12火及3火以内（护套线，灯杆等配套设施含材料、制作及安装服务养护，不含灯光源养护）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3163.72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12火及3火以内（护套线，灯杆等配套设施含材料、制作及安装服务养护，不含灯光源养护）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11073.02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（四）小街小巷道路灯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30W（护套线，灯杆等配套设施含材料、制作及安装服务养护，不含灯光源养护）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3538.58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40W（护套线，灯杆等配套设施含材料、制作及安装服务养护，不含灯光源养护）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1220.2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60W（护套线，灯杆等配套设施含材料、制作及安装服务养护，不含灯光源养护）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5988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365327.88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2482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151426.82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165W（护套线，灯杆等配套设施含材料、制作及安装服务养护，不含灯光源养护）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12493.7</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30W（护套线，灯杆等配套设施含材料、制作及安装服务养护，不含灯光源养护）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5423.6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39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60W（护套线，灯杆等配套设施含材料、制作及安装服务养护，不含灯光源养护）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8367.84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100W（护套线，灯杆等配套设施含材料、制作及安装服务养护，不含灯光源养护）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619.84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（五）庭院灯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景观照明灯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LED庭院柱灯 30W（成套灯具、护套线等配套设施含材料、制作及安装服务养护，修复）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14066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965771.56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（六）挑灯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30W（成套灯具、护套线等配套设施含材料、制作及安装服务养护，修复）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9280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558934.4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60W（成套灯具、护套线等配套设施含材料、制作及安装服务养护，修复）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166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9998.18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100W（成套灯具、护套线等配套设施含材料、制作及安装服务养护，修复）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481.84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165W（成套灯具、护套线等配套设施含材料、制作及安装服务养护，修复）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3975.18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（七）高杆灯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高杆照明设施 165W LED灯 12火（护套线，灯杆等配套设施含材料、制作及安装服务养护，不含灯光源养护）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23895.52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高杆照明设施 165W LED灯 18火（护套线，灯杆等配套设施含材料、制作及安装服务养护，不含灯光源养护）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7073.4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高杆照明设施 165W LED灯 24火（护套线，灯杆等配套设施含材料、制作及安装服务养护，不含灯光源养护）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6981.2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（八）主要道路挑灯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49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165W（护套线，灯杆等配套设施含材料、制作及安装服务养护，不含灯光源养护）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50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3092.5</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（九）控终端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bookmarkStart w:id="42" w:name="OLE_LINK1" w:colFirst="7" w:colLast="7"/>
            <w:r>
              <w:rPr>
                <w:rFonts w:hint="eastAsia" w:ascii="新宋体" w:hAnsi="新宋体" w:eastAsia="新宋体" w:cs="新宋体"/>
                <w:i w:val="0"/>
                <w:color w:val="auto"/>
                <w:kern w:val="0"/>
                <w:sz w:val="21"/>
                <w:szCs w:val="21"/>
                <w:highlight w:val="none"/>
                <w:u w:val="none"/>
                <w:lang w:val="en-US" w:eastAsia="zh-CN" w:bidi="ar"/>
              </w:rPr>
              <w:t>50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控制器</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监控终端（护套线等配套设施含材料、制作及安装服务养护）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台</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1118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1050852.92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控制器</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单灯控制模块（含监控终端模块维护，护套线等配套设施含材料、制作及安装服务养护）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台</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33922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893166.26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路灯配电箱养护</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配电箱</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1"/>
                <w:szCs w:val="21"/>
                <w:highlight w:val="none"/>
                <w:u w:val="none"/>
              </w:rPr>
            </w:pP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杆上配电箱</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路灯配电柜出线回路数量9路（含配电箱清洁，校正，破损修复及配电箱基础修复）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台</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1200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bookmarkEnd w:id="42"/>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二、灯具非节能服务方提供部分（灯具材料计入本次维护项目）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（一）主要道路道路灯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单挑LED道路灯7米及以下 60W（成套灯具、护套线、灯杆等配套设施含材料、制作及安装服务养护，修复）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20355.28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60W（成套灯具、护套线、灯杆等配套设施含材料、制作及安装服务养护，修复）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20972.28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446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134544.82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200W（成套灯具、护套线、灯杆等配套设施含材料、制作及安装服务养护，修复）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1214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568540.48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250W（成套灯具、护套线、灯杆等配套设施含材料、制作及安装服务养护，修复）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19199.52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300W（成套灯具、护套线、灯杆等配套设施含材料、制作及安装服务养护，修复）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78978.24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59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单挑LED道路灯15米及以下 200W（成套灯具、护套线、灯杆等配套设施含材料、制作及安装服务养护，修复）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324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153239.04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单挑LED道路灯15米及以下 250W（成套灯具、护套线、灯杆等配套设施含材料、制作及安装服务养护，修复）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18290.64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40W+100W（成套灯具、护套线、灯杆等配套设施含材料、制作及安装服务养护，修复）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50001.6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60W+100W（护套线，灯杆等配套设施含材料、制作及安装服务养护，不含灯光源养护）</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106969.16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60W+165W（成套灯具、护套线、灯杆等配套设施含材料、制作及安装服务养护，修复）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932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818957.72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200W+200W（成套灯具、护套线、灯杆等配套设施含材料、制作及安装服务养护，修复）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118190.66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40W+200W（成套灯具、护套线、灯杆等配套设施含材料、制作及安装服务养护，修复）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67081.7</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165W+300W（成套灯具、护套线、灯杆等配套设施含材料、制作及安装服务养护，修复）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422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651276.82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30W+250W（成套灯具、护套线、灯杆等配套设施含材料、制作及安装服务养护，修复）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146598.78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双挑LED道路灯13米及以下 60W+250W（成套灯具、护套线、灯杆等配套设施含材料、制作及安装服务养护，修复）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100347.28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69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双挑LED道路灯15米及以下 100W+200W（成套灯具、护套线、灯杆等配套设施含材料、制作及安装服务养护，修复）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53908.8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（二）庭院灯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景观照明灯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LED庭院柱灯 30W（成套灯具、护套线等配套设施含材料、制作及安装服务养护，修复）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93361.44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景观照明灯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LED庭院柱灯 40W（成套灯具、护套线等配套设施含材料、制作及安装服务养护，修复）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49800.84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（三）中杆灯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100W LED灯 4火及3火以内（成套灯具、护套线、灯杆等配套设施含材料、制作及安装服务养护，修复）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19212.04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73</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4火及3火以内（成套灯具、护套线、灯杆等配套设施含材料、制作及安装服务养护，修复）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177606.26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74</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300W LED灯 4火及3火以内（成套灯具、护套线、灯杆等配套设施含材料、制作及安装服务养护，修复）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287118.26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75</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中杆照明灯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固定式中杆照明设施 165W LED灯 5火及3火以内（成套灯具、护套线、灯杆等配套设施含材料、制作及安装服务养护，修复）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97416.12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（四）主要道路挑灯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76</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165W（成套灯具、护套线、灯杆等配套设施含材料、制作及安装服务养护，修复）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56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2"/>
                <w:sz w:val="21"/>
                <w:szCs w:val="21"/>
                <w:highlight w:val="none"/>
                <w:u w:val="none"/>
                <w:lang w:val="en-US" w:eastAsia="zh-CN" w:bidi="ar-SA"/>
              </w:rPr>
            </w:pPr>
            <w:r>
              <w:rPr>
                <w:rFonts w:hint="eastAsia" w:ascii="新宋体" w:hAnsi="新宋体" w:eastAsia="新宋体" w:cs="新宋体"/>
                <w:i w:val="0"/>
                <w:iCs w:val="0"/>
                <w:color w:val="auto"/>
                <w:kern w:val="0"/>
                <w:sz w:val="21"/>
                <w:szCs w:val="21"/>
                <w:highlight w:val="none"/>
                <w:u w:val="none"/>
                <w:lang w:val="en-US" w:eastAsia="zh-CN" w:bidi="ar"/>
              </w:rPr>
              <w:t>19504.8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（五）小街小巷道路灯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77</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单挑LED道路灯9米及以下 60W（成套灯具、护套线、灯杆等配套设施含材料、制作及安装服务养护，修复）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17476.9</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78</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单挑LED道路灯9米及以下 100W（成套灯具、护套线、灯杆等配套设施含材料、制作及安装服务养护，修复）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994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299859.98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79</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单挑LED道路灯13米及以下 100W（成套灯具、护套线、灯杆等配套设施含材料、制作及安装服务养护，修复）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308</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92914.36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（六）小街小巷庭院灯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80</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景观照明灯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LED庭院柱灯 30W（成套灯具、护套线、灯杆等配套设施含材料、制作及安装服务养护，修复）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644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172772.32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81</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景观照明灯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LED庭院柱灯 40W（成套灯具、护套线、灯杆等配套设施含材料、制作及安装服务养护，修复）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724</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202560.72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386" w:type="dxa"/>
            <w:gridSpan w:val="9"/>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（七）小街小巷挑灯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82</w:t>
            </w:r>
          </w:p>
        </w:tc>
        <w:tc>
          <w:tcPr>
            <w:tcW w:w="152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30W（成套灯具、护套线、灯杆等配套设施含材料、制作及安装服务养护，修复）</w:t>
            </w:r>
          </w:p>
        </w:tc>
        <w:tc>
          <w:tcPr>
            <w:tcW w:w="6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306</w:t>
            </w: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52876.8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83</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常规照明灯</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架空线路1.2m以内悬挑LED灯 60W（成套灯具、护套线、灯杆等配套设施含材料、制作及安装服务养护，修复）</w:t>
            </w: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color w:val="auto"/>
                <w:kern w:val="0"/>
                <w:sz w:val="21"/>
                <w:szCs w:val="21"/>
                <w:highlight w:val="none"/>
                <w:u w:val="none"/>
                <w:lang w:val="en-US" w:eastAsia="zh-CN" w:bidi="ar"/>
              </w:rPr>
              <w:t>套</w:t>
            </w:r>
          </w:p>
        </w:tc>
        <w:tc>
          <w:tcPr>
            <w:tcW w:w="106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400</w:t>
            </w: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84720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right"/>
              <w:rPr>
                <w:rFonts w:hint="eastAsia" w:ascii="新宋体" w:hAnsi="新宋体" w:eastAsia="新宋体" w:cs="新宋体"/>
                <w:i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10386" w:type="dxa"/>
            <w:gridSpan w:val="9"/>
            <w:tcBorders>
              <w:top w:val="single" w:color="000000" w:sz="4" w:space="0"/>
              <w:bottom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1"/>
                <w:szCs w:val="21"/>
                <w:highlight w:val="none"/>
                <w:u w:val="none"/>
                <w:lang w:val="en-US" w:eastAsia="zh-CN" w:bidi="ar"/>
              </w:rPr>
            </w:pPr>
            <w:r>
              <w:rPr>
                <w:rFonts w:hint="eastAsia" w:ascii="新宋体" w:hAnsi="新宋体" w:eastAsia="新宋体" w:cs="新宋体"/>
                <w:b/>
                <w:bCs/>
                <w:i w:val="0"/>
                <w:color w:val="auto"/>
                <w:kern w:val="0"/>
                <w:sz w:val="21"/>
                <w:szCs w:val="21"/>
                <w:highlight w:val="none"/>
                <w:u w:val="none"/>
                <w:lang w:val="en-US" w:eastAsia="zh-CN" w:bidi="ar"/>
              </w:rPr>
              <w:t>三、技术措施项目子分部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84</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路灯值班抢修</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路灯监控室24小时值班、监控室硬件维护；路灯应急抢修、抗台抢险等措施费用</w:t>
            </w: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项</w:t>
            </w:r>
          </w:p>
        </w:tc>
        <w:tc>
          <w:tcPr>
            <w:tcW w:w="106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87142.18</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85</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路灯设施被偷盗补装费</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路灯设施被偷盗补装费</w:t>
            </w: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项</w:t>
            </w:r>
          </w:p>
        </w:tc>
        <w:tc>
          <w:tcPr>
            <w:tcW w:w="106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400000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86</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巡查、拆除</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电缆、架空线、护管巡查；灯杆悬挂物、外接电源拆除等措施费用</w:t>
            </w: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项</w:t>
            </w:r>
          </w:p>
        </w:tc>
        <w:tc>
          <w:tcPr>
            <w:tcW w:w="106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40000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87</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其他所有措施费</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其他所有措施费</w:t>
            </w: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项</w:t>
            </w:r>
          </w:p>
        </w:tc>
        <w:tc>
          <w:tcPr>
            <w:tcW w:w="106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20000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8"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88</w:t>
            </w:r>
          </w:p>
        </w:tc>
        <w:tc>
          <w:tcPr>
            <w:tcW w:w="1526"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i w:val="0"/>
                <w:color w:val="auto"/>
                <w:kern w:val="0"/>
                <w:sz w:val="21"/>
                <w:szCs w:val="21"/>
                <w:highlight w:val="none"/>
                <w:u w:val="none"/>
                <w:lang w:val="en-US" w:eastAsia="zh-CN" w:bidi="ar"/>
              </w:rPr>
              <w:t>其他相关费用</w:t>
            </w:r>
          </w:p>
        </w:tc>
        <w:tc>
          <w:tcPr>
            <w:tcW w:w="2504"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b w:val="0"/>
                <w:bCs w:val="0"/>
                <w:color w:val="auto"/>
                <w:kern w:val="2"/>
                <w:sz w:val="16"/>
                <w:szCs w:val="16"/>
                <w:highlight w:val="none"/>
                <w:lang w:val="en-US" w:eastAsia="zh-CN" w:bidi="ar-SA"/>
              </w:rPr>
            </w:pPr>
          </w:p>
        </w:tc>
        <w:tc>
          <w:tcPr>
            <w:tcW w:w="67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6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1045"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40" w:hRule="atLeast"/>
        </w:trPr>
        <w:tc>
          <w:tcPr>
            <w:tcW w:w="2126" w:type="dxa"/>
            <w:gridSpan w:val="2"/>
            <w:vMerge w:val="restart"/>
            <w:tcBorders>
              <w:top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1"/>
                <w:szCs w:val="21"/>
                <w:highlight w:val="none"/>
                <w:u w:val="none"/>
                <w:lang w:val="en-US" w:eastAsia="zh-CN" w:bidi="ar"/>
              </w:rPr>
            </w:pPr>
            <w:r>
              <w:rPr>
                <w:rFonts w:hint="eastAsia" w:ascii="新宋体" w:hAnsi="新宋体" w:eastAsia="新宋体" w:cs="新宋体"/>
                <w:b w:val="0"/>
                <w:bCs w:val="0"/>
                <w:color w:val="auto"/>
                <w:sz w:val="21"/>
                <w:szCs w:val="21"/>
                <w:highlight w:val="none"/>
              </w:rPr>
              <w:t>合计总价</w:t>
            </w:r>
            <w:r>
              <w:rPr>
                <w:rFonts w:hint="eastAsia" w:ascii="新宋体" w:hAnsi="新宋体" w:eastAsia="新宋体" w:cs="新宋体"/>
                <w:b w:val="0"/>
                <w:bCs w:val="0"/>
                <w:color w:val="auto"/>
                <w:sz w:val="21"/>
                <w:szCs w:val="21"/>
                <w:highlight w:val="none"/>
                <w:lang w:eastAsia="zh-CN"/>
              </w:rPr>
              <w:t>（</w:t>
            </w:r>
            <w:r>
              <w:rPr>
                <w:rFonts w:hint="eastAsia" w:ascii="新宋体" w:hAnsi="新宋体" w:eastAsia="新宋体" w:cs="新宋体"/>
                <w:b w:val="0"/>
                <w:bCs w:val="0"/>
                <w:color w:val="auto"/>
                <w:sz w:val="21"/>
                <w:szCs w:val="21"/>
                <w:highlight w:val="none"/>
                <w:lang w:val="en-US" w:eastAsia="zh-CN"/>
              </w:rPr>
              <w:t>元</w:t>
            </w:r>
            <w:r>
              <w:rPr>
                <w:rFonts w:hint="eastAsia" w:ascii="新宋体" w:hAnsi="新宋体" w:eastAsia="新宋体" w:cs="新宋体"/>
                <w:b w:val="0"/>
                <w:bCs w:val="0"/>
                <w:color w:val="auto"/>
                <w:sz w:val="21"/>
                <w:szCs w:val="21"/>
                <w:highlight w:val="none"/>
                <w:lang w:eastAsia="zh-CN"/>
              </w:rPr>
              <w:t>）</w:t>
            </w:r>
          </w:p>
        </w:tc>
        <w:tc>
          <w:tcPr>
            <w:tcW w:w="8260" w:type="dxa"/>
            <w:gridSpan w:val="7"/>
            <w:tcBorders>
              <w:top w:val="single" w:color="000000" w:sz="4" w:space="0"/>
              <w:left w:val="single" w:color="000000" w:sz="4" w:space="0"/>
              <w:bottom w:val="single" w:color="000000" w:sz="4"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新宋体" w:hAnsi="新宋体" w:eastAsia="新宋体" w:cs="新宋体"/>
                <w:b w:val="0"/>
                <w:bCs w:val="0"/>
                <w:color w:val="auto"/>
                <w:kern w:val="2"/>
                <w:sz w:val="21"/>
                <w:szCs w:val="21"/>
                <w:highlight w:val="none"/>
                <w:lang w:val="en-US" w:eastAsia="zh-CN" w:bidi="ar-SA"/>
              </w:rPr>
            </w:pPr>
            <w:r>
              <w:rPr>
                <w:rFonts w:hint="eastAsia" w:ascii="新宋体" w:hAnsi="新宋体" w:eastAsia="新宋体" w:cs="新宋体"/>
                <w:b w:val="0"/>
                <w:bCs w:val="0"/>
                <w:color w:val="auto"/>
                <w:sz w:val="21"/>
                <w:szCs w:val="21"/>
                <w:highlight w:val="none"/>
                <w:lang w:val="en-US" w:eastAsia="zh-CN"/>
              </w:rPr>
              <w:t>小写：</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91" w:hRule="atLeast"/>
        </w:trPr>
        <w:tc>
          <w:tcPr>
            <w:tcW w:w="2126" w:type="dxa"/>
            <w:gridSpan w:val="2"/>
            <w:vMerge w:val="continue"/>
            <w:tcBorders>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color w:val="auto"/>
                <w:kern w:val="0"/>
                <w:sz w:val="21"/>
                <w:szCs w:val="21"/>
                <w:highlight w:val="none"/>
                <w:u w:val="none"/>
                <w:lang w:val="en-US" w:eastAsia="zh-CN" w:bidi="ar"/>
              </w:rPr>
            </w:pPr>
          </w:p>
        </w:tc>
        <w:tc>
          <w:tcPr>
            <w:tcW w:w="8260" w:type="dxa"/>
            <w:gridSpan w:val="7"/>
            <w:tcBorders>
              <w:top w:val="single" w:color="000000" w:sz="4" w:space="0"/>
              <w:left w:val="single" w:color="000000" w:sz="4" w:space="0"/>
              <w:bottom w:val="single" w:color="000000" w:sz="4"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新宋体" w:hAnsi="新宋体" w:eastAsia="新宋体" w:cs="新宋体"/>
                <w:b w:val="0"/>
                <w:bCs w:val="0"/>
                <w:color w:val="auto"/>
                <w:kern w:val="2"/>
                <w:sz w:val="21"/>
                <w:szCs w:val="21"/>
                <w:highlight w:val="none"/>
                <w:lang w:val="en-US" w:eastAsia="zh-CN" w:bidi="ar-SA"/>
              </w:rPr>
            </w:pPr>
            <w:r>
              <w:rPr>
                <w:rFonts w:hint="eastAsia" w:ascii="新宋体" w:hAnsi="新宋体" w:eastAsia="新宋体" w:cs="新宋体"/>
                <w:b w:val="0"/>
                <w:bCs w:val="0"/>
                <w:color w:val="auto"/>
                <w:sz w:val="21"/>
                <w:szCs w:val="21"/>
                <w:highlight w:val="none"/>
                <w:lang w:val="en-US" w:eastAsia="zh-CN"/>
              </w:rPr>
              <w:t>大写：</w:t>
            </w:r>
          </w:p>
        </w:tc>
      </w:tr>
    </w:tbl>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新宋体" w:hAnsi="新宋体" w:eastAsia="新宋体" w:cs="新宋体"/>
          <w:b/>
          <w:bCs/>
          <w:color w:val="auto"/>
          <w:sz w:val="20"/>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b/>
          <w:bCs/>
          <w:color w:val="auto"/>
          <w:sz w:val="18"/>
          <w:szCs w:val="18"/>
          <w:highlight w:val="none"/>
        </w:rPr>
        <w:t>附注：</w:t>
      </w:r>
      <w:r>
        <w:rPr>
          <w:rFonts w:hint="eastAsia" w:ascii="新宋体" w:hAnsi="新宋体" w:eastAsia="新宋体" w:cs="新宋体"/>
          <w:b/>
          <w:bCs/>
          <w:color w:val="auto"/>
          <w:sz w:val="18"/>
          <w:szCs w:val="18"/>
          <w:highlight w:val="none"/>
          <w:lang w:val="en-US" w:eastAsia="zh-CN"/>
        </w:rPr>
        <w:t xml:space="preserve"> </w:t>
      </w:r>
      <w:r>
        <w:rPr>
          <w:rFonts w:hint="eastAsia" w:ascii="新宋体" w:hAnsi="新宋体" w:eastAsia="新宋体" w:cs="新宋体"/>
          <w:color w:val="auto"/>
          <w:sz w:val="20"/>
          <w:szCs w:val="20"/>
          <w:highlight w:val="none"/>
          <w:lang w:val="en-US" w:eastAsia="zh-CN"/>
        </w:rPr>
        <w:t>1、</w:t>
      </w:r>
      <w:r>
        <w:rPr>
          <w:rFonts w:hint="eastAsia" w:ascii="新宋体" w:hAnsi="新宋体" w:eastAsia="新宋体" w:cs="新宋体"/>
          <w:color w:val="auto"/>
          <w:sz w:val="20"/>
          <w:szCs w:val="20"/>
          <w:highlight w:val="none"/>
        </w:rPr>
        <w:t>不提供详细分项报价表将视为没有实质性响应招标文件；</w:t>
      </w:r>
    </w:p>
    <w:p>
      <w:pPr>
        <w:keepNext w:val="0"/>
        <w:keepLines w:val="0"/>
        <w:pageBreakBefore w:val="0"/>
        <w:widowControl w:val="0"/>
        <w:kinsoku/>
        <w:wordWrap/>
        <w:overflowPunct/>
        <w:topLinePunct w:val="0"/>
        <w:autoSpaceDE/>
        <w:autoSpaceDN/>
        <w:bidi w:val="0"/>
        <w:adjustRightInd/>
        <w:snapToGrid/>
        <w:spacing w:line="360" w:lineRule="auto"/>
        <w:ind w:left="900" w:leftChars="300" w:hanging="270"/>
        <w:textAlignment w:val="auto"/>
        <w:rPr>
          <w:rFonts w:hint="eastAsia" w:ascii="新宋体" w:hAnsi="新宋体" w:eastAsia="新宋体" w:cs="新宋体"/>
          <w:b/>
          <w:bCs/>
          <w:color w:val="auto"/>
          <w:sz w:val="20"/>
          <w:szCs w:val="20"/>
          <w:highlight w:val="none"/>
        </w:rPr>
      </w:pPr>
      <w:r>
        <w:rPr>
          <w:rFonts w:hint="eastAsia" w:ascii="新宋体" w:hAnsi="新宋体" w:eastAsia="新宋体" w:cs="新宋体"/>
          <w:b/>
          <w:bCs/>
          <w:color w:val="auto"/>
          <w:sz w:val="20"/>
          <w:szCs w:val="20"/>
          <w:highlight w:val="none"/>
          <w:lang w:val="en-US" w:eastAsia="zh-CN"/>
        </w:rPr>
        <w:t>2</w:t>
      </w:r>
      <w:r>
        <w:rPr>
          <w:rFonts w:hint="eastAsia" w:ascii="新宋体" w:hAnsi="新宋体" w:eastAsia="新宋体" w:cs="新宋体"/>
          <w:b/>
          <w:bCs/>
          <w:color w:val="auto"/>
          <w:sz w:val="20"/>
          <w:szCs w:val="20"/>
          <w:highlight w:val="none"/>
        </w:rPr>
        <w:t>、</w:t>
      </w:r>
      <w:r>
        <w:rPr>
          <w:rFonts w:hint="eastAsia" w:ascii="新宋体" w:hAnsi="新宋体" w:eastAsia="新宋体"/>
          <w:b/>
          <w:bCs/>
          <w:color w:val="auto"/>
          <w:sz w:val="20"/>
          <w:szCs w:val="20"/>
          <w:highlight w:val="none"/>
        </w:rPr>
        <w:t>此表总计价应与“</w:t>
      </w:r>
      <w:r>
        <w:rPr>
          <w:rFonts w:hint="eastAsia" w:ascii="新宋体" w:hAnsi="新宋体" w:eastAsia="新宋体"/>
          <w:b/>
          <w:bCs/>
          <w:color w:val="auto"/>
          <w:sz w:val="20"/>
          <w:szCs w:val="20"/>
          <w:highlight w:val="none"/>
          <w:lang w:val="en-US" w:eastAsia="zh-CN"/>
        </w:rPr>
        <w:t>3</w:t>
      </w:r>
      <w:r>
        <w:rPr>
          <w:rFonts w:hint="eastAsia" w:ascii="新宋体" w:hAnsi="新宋体" w:eastAsia="新宋体"/>
          <w:b/>
          <w:bCs/>
          <w:color w:val="auto"/>
          <w:sz w:val="20"/>
          <w:szCs w:val="20"/>
          <w:highlight w:val="none"/>
        </w:rPr>
        <w:t>、</w:t>
      </w:r>
      <w:r>
        <w:rPr>
          <w:rFonts w:hint="eastAsia" w:ascii="新宋体" w:hAnsi="新宋体" w:eastAsia="新宋体"/>
          <w:b/>
          <w:bCs/>
          <w:color w:val="auto"/>
          <w:sz w:val="20"/>
          <w:szCs w:val="20"/>
          <w:highlight w:val="none"/>
          <w:lang w:val="en-US" w:eastAsia="zh-CN"/>
        </w:rPr>
        <w:t>投标</w:t>
      </w:r>
      <w:r>
        <w:rPr>
          <w:rFonts w:hint="eastAsia" w:ascii="新宋体" w:hAnsi="新宋体" w:eastAsia="新宋体"/>
          <w:b/>
          <w:bCs/>
          <w:color w:val="auto"/>
          <w:sz w:val="20"/>
          <w:szCs w:val="20"/>
          <w:highlight w:val="none"/>
        </w:rPr>
        <w:t>报价一览表”中</w:t>
      </w:r>
      <w:r>
        <w:rPr>
          <w:rFonts w:hint="eastAsia" w:ascii="新宋体" w:hAnsi="新宋体" w:eastAsia="新宋体"/>
          <w:b/>
          <w:bCs/>
          <w:color w:val="auto"/>
          <w:sz w:val="20"/>
          <w:szCs w:val="20"/>
          <w:highlight w:val="none"/>
          <w:lang w:val="en-US" w:eastAsia="zh-CN"/>
        </w:rPr>
        <w:t>相对就项</w:t>
      </w:r>
      <w:r>
        <w:rPr>
          <w:rFonts w:hint="eastAsia" w:ascii="新宋体" w:hAnsi="新宋体" w:eastAsia="新宋体"/>
          <w:b/>
          <w:bCs/>
          <w:color w:val="auto"/>
          <w:sz w:val="20"/>
          <w:szCs w:val="20"/>
          <w:highlight w:val="none"/>
        </w:rPr>
        <w:t>报价相一致。</w:t>
      </w:r>
    </w:p>
    <w:p>
      <w:pPr>
        <w:keepNext w:val="0"/>
        <w:keepLines w:val="0"/>
        <w:pageBreakBefore w:val="0"/>
        <w:widowControl w:val="0"/>
        <w:kinsoku/>
        <w:wordWrap/>
        <w:overflowPunct/>
        <w:topLinePunct w:val="0"/>
        <w:autoSpaceDE/>
        <w:autoSpaceDN/>
        <w:bidi w:val="0"/>
        <w:adjustRightInd/>
        <w:snapToGrid/>
        <w:spacing w:line="360" w:lineRule="auto"/>
        <w:ind w:left="900" w:leftChars="300" w:hanging="270"/>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val="en-US" w:eastAsia="zh-CN"/>
        </w:rPr>
        <w:t>3、</w:t>
      </w:r>
      <w:r>
        <w:rPr>
          <w:rFonts w:hint="eastAsia" w:ascii="新宋体" w:hAnsi="新宋体" w:eastAsia="新宋体" w:cs="新宋体"/>
          <w:color w:val="auto"/>
          <w:sz w:val="20"/>
          <w:szCs w:val="20"/>
          <w:highlight w:val="none"/>
        </w:rPr>
        <w:t>路灯设施</w:t>
      </w:r>
      <w:r>
        <w:rPr>
          <w:rFonts w:hint="eastAsia" w:ascii="新宋体" w:hAnsi="新宋体" w:eastAsia="新宋体" w:cs="新宋体"/>
          <w:color w:val="auto"/>
          <w:sz w:val="20"/>
          <w:szCs w:val="20"/>
          <w:highlight w:val="none"/>
          <w:lang w:eastAsia="zh-CN"/>
        </w:rPr>
        <w:t>（路灯47044盏、单灯模块16961只、配电箱600台、监控终端559台</w:t>
      </w:r>
      <w:r>
        <w:rPr>
          <w:rFonts w:hint="eastAsia" w:ascii="新宋体" w:hAnsi="新宋体" w:eastAsia="新宋体" w:cs="新宋体"/>
          <w:color w:val="auto"/>
          <w:w w:val="100"/>
          <w:sz w:val="20"/>
          <w:szCs w:val="20"/>
          <w:highlight w:val="none"/>
          <w:lang w:val="en-US" w:eastAsia="zh-CN"/>
        </w:rPr>
        <w:t>，以及相关管线、电缆、架空线、手孔井、基础、杆件、电器元件等</w:t>
      </w:r>
      <w:r>
        <w:rPr>
          <w:rFonts w:hint="eastAsia" w:ascii="新宋体" w:hAnsi="新宋体" w:eastAsia="新宋体" w:cs="新宋体"/>
          <w:color w:val="auto"/>
          <w:sz w:val="20"/>
          <w:szCs w:val="20"/>
          <w:highlight w:val="none"/>
          <w:lang w:eastAsia="zh-CN"/>
        </w:rPr>
        <w:t>）</w:t>
      </w:r>
      <w:r>
        <w:rPr>
          <w:rFonts w:hint="eastAsia" w:ascii="新宋体" w:hAnsi="新宋体" w:eastAsia="新宋体" w:cs="新宋体"/>
          <w:color w:val="auto"/>
          <w:sz w:val="20"/>
          <w:szCs w:val="20"/>
          <w:highlight w:val="none"/>
        </w:rPr>
        <w:t>的日常、定期、巡检及应急维修养护所需的技术服务费和人工费等，监控中心</w:t>
      </w:r>
      <w:r>
        <w:rPr>
          <w:rFonts w:hint="eastAsia" w:ascii="新宋体" w:hAnsi="新宋体" w:eastAsia="新宋体" w:cs="新宋体"/>
          <w:color w:val="auto"/>
          <w:sz w:val="20"/>
          <w:szCs w:val="20"/>
          <w:highlight w:val="none"/>
          <w:lang w:eastAsia="zh-CN"/>
        </w:rPr>
        <w:t>维护及</w:t>
      </w:r>
      <w:r>
        <w:rPr>
          <w:rFonts w:hint="eastAsia" w:ascii="新宋体" w:hAnsi="新宋体" w:eastAsia="新宋体" w:cs="新宋体"/>
          <w:color w:val="auto"/>
          <w:sz w:val="20"/>
          <w:szCs w:val="20"/>
          <w:highlight w:val="none"/>
        </w:rPr>
        <w:t>24小时值班费，维养办公场使用费及路灯路灯设施维修器材、耗材包干费，办公场所使用费，自备专用车辆仪器工具使用费（含折旧费、油料费、保险费、人工费等），</w:t>
      </w:r>
      <w:r>
        <w:rPr>
          <w:rFonts w:hint="eastAsia" w:ascii="新宋体" w:hAnsi="新宋体" w:eastAsia="新宋体" w:cs="新宋体"/>
          <w:b w:val="0"/>
          <w:bCs w:val="0"/>
          <w:color w:val="auto"/>
          <w:sz w:val="20"/>
          <w:szCs w:val="20"/>
          <w:highlight w:val="none"/>
        </w:rPr>
        <w:t>照明监控设备世贸大厦合同期内场地租赁费（含电费）</w:t>
      </w:r>
      <w:r>
        <w:rPr>
          <w:rFonts w:hint="eastAsia" w:ascii="新宋体" w:hAnsi="新宋体" w:eastAsia="新宋体" w:cs="新宋体"/>
          <w:color w:val="auto"/>
          <w:sz w:val="20"/>
          <w:szCs w:val="20"/>
          <w:highlight w:val="none"/>
          <w:lang w:val="en-US" w:eastAsia="zh-CN"/>
        </w:rPr>
        <w:t>58600元（两年）</w:t>
      </w:r>
      <w:r>
        <w:rPr>
          <w:rFonts w:hint="eastAsia" w:ascii="新宋体" w:hAnsi="新宋体" w:eastAsia="新宋体" w:cs="新宋体"/>
          <w:b w:val="0"/>
          <w:bCs w:val="0"/>
          <w:color w:val="auto"/>
          <w:sz w:val="20"/>
          <w:szCs w:val="20"/>
          <w:highlight w:val="none"/>
          <w:lang w:val="en-US" w:eastAsia="zh-CN"/>
        </w:rPr>
        <w:t>,</w:t>
      </w:r>
      <w:r>
        <w:rPr>
          <w:rFonts w:hint="eastAsia" w:ascii="新宋体" w:hAnsi="新宋体" w:eastAsia="新宋体" w:cs="新宋体"/>
          <w:color w:val="auto"/>
          <w:sz w:val="20"/>
          <w:szCs w:val="20"/>
          <w:highlight w:val="none"/>
        </w:rPr>
        <w:t>劳保和安全用品使用费，经营管理费，税费，交通组织费，路灯设施被偷盗补装费，招标代理费，利润等一切费用。</w:t>
      </w:r>
    </w:p>
    <w:p>
      <w:pPr>
        <w:keepNext w:val="0"/>
        <w:keepLines w:val="0"/>
        <w:pageBreakBefore w:val="0"/>
        <w:widowControl w:val="0"/>
        <w:kinsoku/>
        <w:wordWrap/>
        <w:overflowPunct/>
        <w:topLinePunct w:val="0"/>
        <w:autoSpaceDE/>
        <w:autoSpaceDN/>
        <w:bidi w:val="0"/>
        <w:adjustRightInd/>
        <w:snapToGrid/>
        <w:spacing w:line="360" w:lineRule="auto"/>
        <w:ind w:firstLine="602" w:firstLineChars="300"/>
        <w:textAlignment w:val="auto"/>
        <w:rPr>
          <w:rFonts w:hint="eastAsia" w:ascii="新宋体" w:hAnsi="新宋体" w:eastAsia="新宋体" w:cs="新宋体"/>
          <w:b/>
          <w:bCs/>
          <w:color w:val="auto"/>
          <w:kern w:val="0"/>
          <w:sz w:val="20"/>
          <w:szCs w:val="20"/>
          <w:highlight w:val="none"/>
          <w:lang w:eastAsia="zh-CN" w:bidi="ar"/>
        </w:rPr>
      </w:pPr>
      <w:r>
        <w:rPr>
          <w:rFonts w:hint="eastAsia" w:ascii="新宋体" w:hAnsi="新宋体" w:eastAsia="新宋体" w:cs="新宋体"/>
          <w:b/>
          <w:bCs/>
          <w:color w:val="auto"/>
          <w:kern w:val="0"/>
          <w:sz w:val="20"/>
          <w:szCs w:val="20"/>
          <w:highlight w:val="none"/>
          <w:lang w:eastAsia="zh-CN" w:bidi="ar"/>
        </w:rPr>
        <w:t>本合计</w:t>
      </w:r>
      <w:r>
        <w:rPr>
          <w:rFonts w:hint="eastAsia" w:ascii="新宋体" w:hAnsi="新宋体" w:eastAsia="新宋体" w:cs="新宋体"/>
          <w:b/>
          <w:bCs/>
          <w:color w:val="auto"/>
          <w:kern w:val="0"/>
          <w:sz w:val="20"/>
          <w:szCs w:val="20"/>
          <w:highlight w:val="none"/>
          <w:lang w:val="en-US" w:eastAsia="zh-CN" w:bidi="ar"/>
        </w:rPr>
        <w:t>总价</w:t>
      </w:r>
      <w:r>
        <w:rPr>
          <w:rFonts w:hint="eastAsia" w:ascii="新宋体" w:hAnsi="新宋体" w:eastAsia="新宋体" w:cs="新宋体"/>
          <w:b/>
          <w:bCs/>
          <w:color w:val="auto"/>
          <w:kern w:val="0"/>
          <w:sz w:val="20"/>
          <w:szCs w:val="20"/>
          <w:highlight w:val="none"/>
          <w:lang w:eastAsia="zh-CN" w:bidi="ar"/>
        </w:rPr>
        <w:t>最高不得超</w:t>
      </w:r>
      <w:r>
        <w:rPr>
          <w:rFonts w:hint="eastAsia" w:ascii="新宋体" w:hAnsi="新宋体" w:eastAsia="新宋体" w:cs="新宋体"/>
          <w:b/>
          <w:bCs/>
          <w:color w:val="auto"/>
          <w:kern w:val="0"/>
          <w:sz w:val="20"/>
          <w:szCs w:val="20"/>
          <w:highlight w:val="none"/>
          <w:lang w:val="en-US" w:eastAsia="zh-CN" w:bidi="ar"/>
        </w:rPr>
        <w:t xml:space="preserve"> 1737.48</w:t>
      </w:r>
      <w:r>
        <w:rPr>
          <w:rFonts w:hint="eastAsia" w:ascii="新宋体" w:hAnsi="新宋体" w:eastAsia="新宋体" w:cs="新宋体"/>
          <w:b/>
          <w:bCs/>
          <w:color w:val="auto"/>
          <w:kern w:val="0"/>
          <w:sz w:val="20"/>
          <w:szCs w:val="20"/>
          <w:highlight w:val="none"/>
          <w:lang w:eastAsia="zh-CN" w:bidi="ar"/>
        </w:rPr>
        <w:t>万元，单项</w:t>
      </w:r>
      <w:r>
        <w:rPr>
          <w:rFonts w:hint="eastAsia" w:ascii="新宋体" w:hAnsi="新宋体" w:eastAsia="新宋体" w:cs="新宋体"/>
          <w:b/>
          <w:bCs/>
          <w:color w:val="auto"/>
          <w:kern w:val="0"/>
          <w:sz w:val="20"/>
          <w:szCs w:val="20"/>
          <w:highlight w:val="none"/>
          <w:lang w:val="en-US" w:eastAsia="zh-CN" w:bidi="ar"/>
        </w:rPr>
        <w:t>合</w:t>
      </w:r>
      <w:r>
        <w:rPr>
          <w:rFonts w:hint="eastAsia" w:ascii="新宋体" w:hAnsi="新宋体" w:eastAsia="新宋体" w:cs="新宋体"/>
          <w:b/>
          <w:bCs/>
          <w:color w:val="auto"/>
          <w:kern w:val="0"/>
          <w:sz w:val="20"/>
          <w:szCs w:val="20"/>
          <w:highlight w:val="none"/>
          <w:lang w:eastAsia="zh-CN" w:bidi="ar"/>
        </w:rPr>
        <w:t>价不得超过</w:t>
      </w:r>
      <w:r>
        <w:rPr>
          <w:rFonts w:hint="eastAsia" w:ascii="新宋体" w:hAnsi="新宋体" w:eastAsia="新宋体" w:cs="新宋体"/>
          <w:b/>
          <w:bCs/>
          <w:color w:val="auto"/>
          <w:kern w:val="0"/>
          <w:sz w:val="20"/>
          <w:szCs w:val="20"/>
          <w:highlight w:val="none"/>
          <w:lang w:val="en-US" w:eastAsia="zh-CN" w:bidi="ar"/>
        </w:rPr>
        <w:t>每项</w:t>
      </w:r>
      <w:r>
        <w:rPr>
          <w:rFonts w:hint="eastAsia" w:ascii="新宋体" w:hAnsi="新宋体" w:eastAsia="新宋体" w:cs="新宋体"/>
          <w:b/>
          <w:bCs/>
          <w:color w:val="auto"/>
          <w:kern w:val="0"/>
          <w:sz w:val="20"/>
          <w:szCs w:val="20"/>
          <w:highlight w:val="none"/>
          <w:lang w:eastAsia="zh-CN" w:bidi="ar"/>
        </w:rPr>
        <w:t>合价最高限价，否则其投标文件将被否决。</w:t>
      </w:r>
    </w:p>
    <w:p>
      <w:pPr>
        <w:keepNext w:val="0"/>
        <w:keepLines w:val="0"/>
        <w:pageBreakBefore w:val="0"/>
        <w:widowControl w:val="0"/>
        <w:kinsoku/>
        <w:wordWrap/>
        <w:overflowPunct/>
        <w:topLinePunct w:val="0"/>
        <w:autoSpaceDE/>
        <w:autoSpaceDN/>
        <w:bidi w:val="0"/>
        <w:adjustRightInd/>
        <w:snapToGrid/>
        <w:spacing w:line="360" w:lineRule="auto"/>
        <w:ind w:firstLine="602" w:firstLineChars="300"/>
        <w:textAlignment w:val="auto"/>
        <w:rPr>
          <w:rFonts w:hint="default" w:ascii="新宋体" w:hAnsi="新宋体" w:eastAsia="新宋体" w:cs="新宋体"/>
          <w:b/>
          <w:bCs/>
          <w:color w:val="auto"/>
          <w:kern w:val="0"/>
          <w:sz w:val="20"/>
          <w:szCs w:val="20"/>
          <w:highlight w:val="none"/>
          <w:lang w:val="en-US" w:eastAsia="zh-CN" w:bidi="ar"/>
        </w:rPr>
      </w:pPr>
      <w:r>
        <w:rPr>
          <w:rFonts w:hint="eastAsia" w:ascii="新宋体" w:hAnsi="新宋体" w:eastAsia="新宋体" w:cs="新宋体"/>
          <w:b/>
          <w:bCs/>
          <w:color w:val="auto"/>
          <w:kern w:val="0"/>
          <w:sz w:val="20"/>
          <w:szCs w:val="20"/>
          <w:highlight w:val="none"/>
          <w:lang w:val="en-US" w:eastAsia="zh-CN" w:bidi="ar"/>
        </w:rPr>
        <w:t>以上工程量均为2年服务期的报价。</w:t>
      </w:r>
    </w:p>
    <w:p>
      <w:pPr>
        <w:keepNext w:val="0"/>
        <w:keepLines w:val="0"/>
        <w:pageBreakBefore w:val="0"/>
        <w:widowControl w:val="0"/>
        <w:kinsoku/>
        <w:wordWrap/>
        <w:overflowPunct/>
        <w:topLinePunct w:val="0"/>
        <w:autoSpaceDE/>
        <w:autoSpaceDN/>
        <w:bidi w:val="0"/>
        <w:adjustRightInd/>
        <w:snapToGrid/>
        <w:spacing w:line="360" w:lineRule="auto"/>
        <w:ind w:firstLine="600" w:firstLineChars="300"/>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val="en-US" w:eastAsia="zh-CN"/>
        </w:rPr>
        <w:t>4</w:t>
      </w:r>
      <w:r>
        <w:rPr>
          <w:rFonts w:hint="eastAsia" w:ascii="新宋体" w:hAnsi="新宋体" w:eastAsia="新宋体" w:cs="新宋体"/>
          <w:color w:val="auto"/>
          <w:sz w:val="20"/>
          <w:szCs w:val="20"/>
          <w:highlight w:val="none"/>
        </w:rPr>
        <w:t>. 如果免费请在该备注栏内注明“免”，如果含在价格中则填“含”，如无此项内容则填“无”，不留空白。</w:t>
      </w:r>
    </w:p>
    <w:p>
      <w:pPr>
        <w:pStyle w:val="22"/>
        <w:spacing w:line="360" w:lineRule="auto"/>
        <w:rPr>
          <w:rFonts w:hint="eastAsia" w:ascii="新宋体" w:hAnsi="新宋体" w:eastAsia="新宋体" w:cs="新宋体"/>
          <w:color w:val="auto"/>
          <w:sz w:val="20"/>
          <w:szCs w:val="20"/>
          <w:highlight w:val="none"/>
          <w:lang w:val="en-US" w:eastAsia="zh-CN"/>
        </w:rPr>
      </w:pPr>
      <w:r>
        <w:rPr>
          <w:rFonts w:hint="eastAsia" w:ascii="新宋体" w:hAnsi="新宋体" w:eastAsia="新宋体" w:cs="新宋体"/>
          <w:color w:val="auto"/>
          <w:sz w:val="20"/>
          <w:szCs w:val="20"/>
          <w:highlight w:val="none"/>
          <w:lang w:val="en-US" w:eastAsia="zh-CN"/>
        </w:rPr>
        <w:t xml:space="preserve">      5.因我处节能改造项目已对市管路灯电缆进行大面积更新，电缆维护费用计入其他相关费用，不再单独计算，投标人应充分考虑相关风险。</w:t>
      </w:r>
    </w:p>
    <w:p>
      <w:pPr>
        <w:pStyle w:val="22"/>
        <w:spacing w:line="360" w:lineRule="auto"/>
        <w:rPr>
          <w:rFonts w:hint="eastAsia"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color w:val="auto"/>
          <w:sz w:val="20"/>
          <w:szCs w:val="20"/>
          <w:highlight w:val="none"/>
          <w:lang w:val="en-US" w:eastAsia="zh-CN"/>
        </w:rPr>
        <w:t xml:space="preserve"> </w:t>
      </w:r>
      <w:r>
        <w:rPr>
          <w:rFonts w:hint="eastAsia" w:ascii="新宋体" w:hAnsi="新宋体" w:eastAsia="新宋体" w:cs="新宋体"/>
          <w:color w:val="auto"/>
          <w:sz w:val="20"/>
          <w:szCs w:val="20"/>
          <w:highlight w:val="none"/>
          <w:u w:val="none"/>
          <w:lang w:val="en-US" w:eastAsia="zh-CN"/>
        </w:rPr>
        <w:t xml:space="preserve"> </w:t>
      </w:r>
      <w:r>
        <w:rPr>
          <w:rFonts w:hint="eastAsia" w:ascii="新宋体" w:hAnsi="新宋体" w:eastAsia="新宋体" w:cs="新宋体"/>
          <w:b/>
          <w:bCs/>
          <w:color w:val="auto"/>
          <w:sz w:val="20"/>
          <w:szCs w:val="20"/>
          <w:highlight w:val="none"/>
          <w:u w:val="none"/>
          <w:lang w:val="en-US" w:eastAsia="zh-CN"/>
        </w:rPr>
        <w:t xml:space="preserve">    </w:t>
      </w:r>
      <w:r>
        <w:rPr>
          <w:rFonts w:hint="eastAsia" w:ascii="新宋体" w:hAnsi="新宋体" w:eastAsia="新宋体" w:cs="新宋体"/>
          <w:b/>
          <w:bCs/>
          <w:color w:val="auto"/>
          <w:sz w:val="20"/>
          <w:szCs w:val="20"/>
          <w:highlight w:val="none"/>
          <w:u w:val="single"/>
          <w:lang w:val="en-US" w:eastAsia="zh-CN"/>
        </w:rPr>
        <w:t>6、本次项目灯具由节能改造项目中标人提供部分（灯具材料不计入本次维护项目）</w:t>
      </w:r>
    </w:p>
    <w:p>
      <w:pPr>
        <w:pStyle w:val="22"/>
        <w:spacing w:line="360" w:lineRule="auto"/>
        <w:ind w:left="401" w:leftChars="191" w:firstLine="201" w:firstLineChars="100"/>
        <w:rPr>
          <w:rFonts w:hint="eastAsia"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b/>
          <w:bCs/>
          <w:color w:val="auto"/>
          <w:sz w:val="20"/>
          <w:szCs w:val="20"/>
          <w:highlight w:val="none"/>
          <w:u w:val="single"/>
          <w:lang w:val="en-US" w:eastAsia="zh-CN"/>
        </w:rPr>
        <w:t>7、本次项目单灯控制器（控制器材料由节能改造中标人提供，不计入本次维护项目）</w:t>
      </w:r>
    </w:p>
    <w:p>
      <w:pPr>
        <w:pStyle w:val="22"/>
        <w:spacing w:line="360" w:lineRule="auto"/>
        <w:ind w:left="401" w:leftChars="191" w:firstLine="201" w:firstLineChars="100"/>
        <w:rPr>
          <w:rFonts w:hint="default"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b/>
          <w:bCs/>
          <w:color w:val="auto"/>
          <w:sz w:val="20"/>
          <w:szCs w:val="20"/>
          <w:highlight w:val="none"/>
          <w:u w:val="single"/>
          <w:lang w:val="en-US" w:eastAsia="zh-CN"/>
        </w:rPr>
        <w:t>8、本次项目灯具非节能改造中标人提供部分（灯具材料计入本次维护项目）</w:t>
      </w:r>
    </w:p>
    <w:p>
      <w:pPr>
        <w:spacing w:line="400" w:lineRule="exact"/>
        <w:jc w:val="center"/>
        <w:rPr>
          <w:rFonts w:hint="eastAsia" w:ascii="新宋体" w:hAnsi="新宋体" w:eastAsia="新宋体" w:cs="新宋体"/>
          <w:color w:val="auto"/>
          <w:kern w:val="2"/>
          <w:sz w:val="20"/>
          <w:szCs w:val="20"/>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新宋体" w:hAnsi="新宋体" w:eastAsia="新宋体" w:cs="新宋体"/>
          <w:color w:val="auto"/>
          <w:kern w:val="2"/>
          <w:sz w:val="20"/>
          <w:szCs w:val="20"/>
          <w:highlight w:val="none"/>
          <w:lang w:val="en-US" w:eastAsia="zh-CN" w:bidi="ar-SA"/>
        </w:rPr>
        <w:t xml:space="preserve"> 投标人全称（盖章）：</w:t>
      </w:r>
    </w:p>
    <w:p>
      <w:pPr>
        <w:spacing w:line="400" w:lineRule="exact"/>
        <w:jc w:val="center"/>
        <w:rPr>
          <w:rFonts w:hint="eastAsia" w:ascii="新宋体" w:hAnsi="新宋体" w:eastAsia="新宋体" w:cs="新宋体"/>
          <w:color w:val="auto"/>
          <w:kern w:val="2"/>
          <w:sz w:val="20"/>
          <w:szCs w:val="20"/>
          <w:highlight w:val="none"/>
          <w:lang w:val="en-US" w:eastAsia="zh-CN" w:bidi="ar-SA"/>
        </w:rPr>
      </w:pPr>
      <w:r>
        <w:rPr>
          <w:rFonts w:hint="eastAsia" w:ascii="新宋体" w:hAnsi="新宋体" w:eastAsia="新宋体" w:cs="新宋体"/>
          <w:color w:val="auto"/>
          <w:kern w:val="2"/>
          <w:sz w:val="20"/>
          <w:szCs w:val="20"/>
          <w:highlight w:val="none"/>
          <w:lang w:val="en-US" w:eastAsia="zh-CN" w:bidi="ar-SA"/>
        </w:rPr>
        <w:t xml:space="preserve">                           投标人代表（签字）：</w:t>
      </w:r>
    </w:p>
    <w:p>
      <w:pPr>
        <w:spacing w:line="380" w:lineRule="exact"/>
        <w:ind w:firstLine="200" w:firstLineChars="100"/>
        <w:rPr>
          <w:rFonts w:hint="eastAsia" w:ascii="新宋体" w:hAnsi="新宋体" w:eastAsia="新宋体" w:cs="新宋体"/>
          <w:color w:val="auto"/>
          <w:kern w:val="2"/>
          <w:sz w:val="20"/>
          <w:szCs w:val="20"/>
          <w:highlight w:val="none"/>
          <w:lang w:val="en-US" w:eastAsia="zh-CN" w:bidi="ar-SA"/>
        </w:rPr>
      </w:pPr>
      <w:r>
        <w:rPr>
          <w:rFonts w:hint="eastAsia" w:ascii="新宋体" w:hAnsi="新宋体" w:eastAsia="新宋体" w:cs="新宋体"/>
          <w:color w:val="auto"/>
          <w:kern w:val="2"/>
          <w:sz w:val="20"/>
          <w:szCs w:val="20"/>
          <w:highlight w:val="none"/>
          <w:lang w:val="en-US" w:eastAsia="zh-CN" w:bidi="ar-SA"/>
        </w:rPr>
        <w:t xml:space="preserve">                                                  日    期：</w:t>
      </w:r>
    </w:p>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bCs/>
          <w:color w:val="auto"/>
          <w:sz w:val="24"/>
          <w:szCs w:val="24"/>
          <w:highlight w:val="none"/>
          <w:lang w:val="en-US" w:eastAsia="zh-CN"/>
        </w:rPr>
        <w:t>投标分项报价表（报价二）</w:t>
      </w:r>
    </w:p>
    <w:p>
      <w:pPr>
        <w:keepNext w:val="0"/>
        <w:keepLines w:val="0"/>
        <w:pageBreakBefore w:val="0"/>
        <w:kinsoku/>
        <w:wordWrap/>
        <w:overflowPunct/>
        <w:topLinePunct w:val="0"/>
        <w:autoSpaceDE/>
        <w:autoSpaceDN/>
        <w:bidi w:val="0"/>
        <w:adjustRightInd/>
        <w:snapToGrid/>
        <w:spacing w:line="460" w:lineRule="exact"/>
        <w:jc w:val="center"/>
        <w:outlineLvl w:val="4"/>
        <w:rPr>
          <w:rFonts w:hint="eastAsia" w:ascii="新宋体" w:hAnsi="新宋体" w:eastAsia="新宋体" w:cs="新宋体"/>
          <w:b/>
          <w:bCs/>
          <w:color w:val="auto"/>
          <w:highlight w:val="none"/>
        </w:rPr>
      </w:pP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2</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rPr>
        <w:t>路灯设施正常维修养护范围外的维修安装费</w:t>
      </w:r>
    </w:p>
    <w:p>
      <w:pPr>
        <w:keepNext w:val="0"/>
        <w:keepLines w:val="0"/>
        <w:pageBreakBefore w:val="0"/>
        <w:kinsoku/>
        <w:wordWrap/>
        <w:overflowPunct/>
        <w:topLinePunct w:val="0"/>
        <w:autoSpaceDE/>
        <w:autoSpaceDN/>
        <w:bidi w:val="0"/>
        <w:adjustRightInd/>
        <w:snapToGrid/>
        <w:spacing w:line="460" w:lineRule="exact"/>
        <w:rPr>
          <w:rFonts w:hint="eastAsia" w:ascii="新宋体" w:hAnsi="新宋体" w:eastAsia="新宋体" w:cs="新宋体"/>
          <w:color w:val="auto"/>
          <w:highlight w:val="none"/>
        </w:rPr>
      </w:pPr>
      <w:r>
        <w:rPr>
          <w:rFonts w:hint="eastAsia" w:ascii="新宋体" w:hAnsi="新宋体" w:eastAsia="新宋体" w:cs="新宋体"/>
          <w:color w:val="auto"/>
          <w:highlight w:val="none"/>
        </w:rPr>
        <w:t xml:space="preserve">项目名称：                                                  项目编号：                                 </w:t>
      </w:r>
    </w:p>
    <w:tbl>
      <w:tblPr>
        <w:tblStyle w:val="52"/>
        <w:tblW w:w="10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53"/>
        <w:gridCol w:w="1416"/>
        <w:gridCol w:w="2181"/>
        <w:gridCol w:w="750"/>
        <w:gridCol w:w="819"/>
        <w:gridCol w:w="796"/>
        <w:gridCol w:w="842"/>
        <w:gridCol w:w="129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序号</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项目名称</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项目特征</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计量</w:t>
            </w:r>
            <w:r>
              <w:rPr>
                <w:rFonts w:hint="eastAsia" w:ascii="新宋体" w:hAnsi="新宋体" w:eastAsia="新宋体" w:cs="新宋体"/>
                <w:i w:val="0"/>
                <w:color w:val="auto"/>
                <w:kern w:val="0"/>
                <w:sz w:val="22"/>
                <w:szCs w:val="22"/>
                <w:highlight w:val="none"/>
                <w:u w:val="none"/>
                <w:lang w:val="en-US" w:eastAsia="zh-CN" w:bidi="ar"/>
              </w:rPr>
              <w:br w:type="textWrapping"/>
            </w:r>
            <w:r>
              <w:rPr>
                <w:rFonts w:hint="eastAsia" w:ascii="新宋体" w:hAnsi="新宋体" w:eastAsia="新宋体" w:cs="新宋体"/>
                <w:i w:val="0"/>
                <w:color w:val="auto"/>
                <w:kern w:val="0"/>
                <w:sz w:val="22"/>
                <w:szCs w:val="22"/>
                <w:highlight w:val="none"/>
                <w:u w:val="none"/>
                <w:lang w:val="en-US" w:eastAsia="zh-CN" w:bidi="ar"/>
              </w:rPr>
              <w:t>单位</w:t>
            </w:r>
          </w:p>
        </w:tc>
        <w:tc>
          <w:tcPr>
            <w:tcW w:w="819"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工程量</w:t>
            </w:r>
          </w:p>
        </w:tc>
        <w:tc>
          <w:tcPr>
            <w:tcW w:w="796" w:type="dxa"/>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单价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b/>
                <w:bCs/>
                <w:color w:val="auto"/>
                <w:sz w:val="22"/>
                <w:szCs w:val="22"/>
                <w:highlight w:val="none"/>
              </w:rPr>
              <w:t>（元）</w:t>
            </w:r>
          </w:p>
        </w:tc>
        <w:tc>
          <w:tcPr>
            <w:tcW w:w="842" w:type="dxa"/>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合价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b/>
                <w:bCs/>
                <w:color w:val="auto"/>
                <w:sz w:val="22"/>
                <w:szCs w:val="22"/>
                <w:highlight w:val="none"/>
              </w:rPr>
              <w:t>(元)</w:t>
            </w:r>
          </w:p>
        </w:tc>
        <w:tc>
          <w:tcPr>
            <w:tcW w:w="129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b/>
                <w:bCs/>
                <w:color w:val="auto"/>
                <w:sz w:val="22"/>
                <w:szCs w:val="22"/>
                <w:highlight w:val="none"/>
              </w:rPr>
              <w:t>合价最高限价（元）</w:t>
            </w:r>
          </w:p>
        </w:tc>
        <w:tc>
          <w:tcPr>
            <w:tcW w:w="1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路灯配电箱整体更换（包括箱内电气配件）</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台</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97141</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配电箱箱売更换（包括检修门）</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新做配电箱基础</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11670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道路灯基础封项（C15砼块400*400*100mm）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庭园灯基础封项（C15砼块300*300*100mm）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11668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中杆灯基础封项（C15砼块500*500*100mm）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新做道路灯基础（规格为1300*1300*1400mm，含钢筋笼）</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50502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新做庭园灯基础（规格为600*600*800mm，含钢筋笼）</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新做中杆灯基础（规格为1500*1500*800mm，含钢筋笼）</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36324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灯杆倾斜校直（因不可抗力因素造成）</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路灯设施油漆（包括除锈）</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m2</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229500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灯杆门盖缺失补装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灯杆补撞形变修复（需运至灯具厂加工）</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54400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道路灯灯杆补装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庭院灯灯杆补装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46602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中杆灯灯杆补装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28250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灯挑安装（含辅材）</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7585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其他灯具补装（不包括电气配件）</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135906.4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挑灯拆除（灯具、护套线等配套设施）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8017.8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庭园灯拆除（含灯杆、灯具、护套线等配套设施）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7219.2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道路灯拆除（含灯杆、灯具、护套线等配套设施）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2842.6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中杆灯拆除（含灯杆、灯具、护套线等配套设施）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38155.4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挑灯灯具拆除（含灯杆、灯具、护套线等配套设施）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5339.2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庭园灯具拆除（含灯杆、灯具、护套线等配套设施）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7225.2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道路灯、中杆灯灯具拆除（含灯具、护套线等配套设施）</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38121</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LED30W光源（含驱动电源）含安装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LED40W光源（含驱动电源）含安装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LED60W光源（含驱动电源）含安装）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LED90W光源（含驱动电源）含安装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LED120W光源（含驱动电源）含安装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LED150W光源（含驱动电源）含安装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LED180W光源（含驱动电源）含安装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LED210W灯具（含驱动电源）含安装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LED240W灯具（含驱动电源）含安装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LED300W灯具（含驱动电源）含安装</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小手孔井井圈边角破损修复</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9728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小手孔井井盖边角破损修复</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9728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小手孔井井圈更换</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23316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小手孔井井盖更换</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33992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新做路灯小手孔井</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15541.2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大手孔井井圈边角破损修复</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大手孔井井盖边角破损修复</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8758.2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大手孔井井圈更换</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7776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大手孔井井盖更换</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3893</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新做路灯大手孔井</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11670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人行道花岗岩路面开挖及修复（宽*深=0.4m*0.5m）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96260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人行道地砖路面开挖及修复（宽*深=0.4m*0.5m）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77670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人行道透水砖路面开挖及修复（宽*深=0.4m*0.5m）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62144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绿化带开挖及修复（宽*深=0.4m*0.5m）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29160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砼路面过街开挖及修复（宽*深=0.5m*0.7m）</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87378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埋地敷设1寸厚塑管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埋地敷设1.5寸厚塑管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26500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埋地敷设2寸厚塑管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埋地敷设3寸厚塑管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埋地敷设4寸厚塑管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21060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埋地敷设1寸热镀锌钢管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3532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埋地敷设1.5寸热镀锌钢管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15840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埋地敷设2寸热镀锌钢管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12964</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埋地敷设3寸热镀锌钢管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20436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埋地敷设4寸热镀锌钢管</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13188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敷设电缆VV-3*4（含电缆接头制作）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30400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43125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敷设电缆VV-3*10（含电缆接头制作）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27600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敷设电缆VV-3*16（含电缆接头制作）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39170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敷设电缆VV-3*25（含电缆接头制作）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55100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敷设电缆VV-4*16+1*10（含电缆接头制作）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57890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敷设电缆VV-4*25+1*16（含电缆接头制作）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88950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敷设电缆VV-4*35+1*16（含电缆接头制作）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179955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敷设电缆VV-4*50+1*25（含电缆接头制作）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38750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敷设电缆VV-5*4（含电缆接头制作）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44460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193950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敷设电缆VV-5*10（含电缆接头制作）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91250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敷设电缆VV-5*16（含电缆接头制作）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94500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敷设电缆VV-5*25（含电缆接头制作）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敷设电缆VV-5*35（含电缆接头制作）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69125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敷设电缆VV-5*50（含电缆接头制作）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49925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敷设电缆VV-5*70（含电缆接头制作）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40050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78</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敷设电缆VV-5*95（含电缆接头制作）</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35285</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79</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架设架空线BLV-10mm2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8340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80</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架设架空线BLV-16mm2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81</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架设架空线BLV-25mm2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10320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82</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架设架空线BLV-35mm2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8418</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83</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架设架空线BV-6mm2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11120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84</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架设架空线BV-10mm2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13776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85</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架设架空线BV-16mm2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5200</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86</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架设架空线BV-25mm2</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7812</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453"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87</w:t>
            </w:r>
          </w:p>
        </w:tc>
        <w:tc>
          <w:tcPr>
            <w:tcW w:w="141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监控终端</w:t>
            </w:r>
          </w:p>
        </w:tc>
        <w:tc>
          <w:tcPr>
            <w:tcW w:w="218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新装监控终端整机(含电流互感器、电压互感器等附带配件、线路)</w:t>
            </w:r>
          </w:p>
        </w:tc>
        <w:tc>
          <w:tcPr>
            <w:tcW w:w="75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81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796"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842"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1293"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86781.6</w:t>
            </w:r>
          </w:p>
        </w:tc>
        <w:tc>
          <w:tcPr>
            <w:tcW w:w="1453"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4050" w:type="dxa"/>
            <w:gridSpan w:val="3"/>
            <w:vMerge w:val="restart"/>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b w:val="0"/>
                <w:bCs w:val="0"/>
                <w:color w:val="auto"/>
                <w:sz w:val="22"/>
                <w:szCs w:val="22"/>
                <w:highlight w:val="none"/>
              </w:rPr>
              <w:t>合计总价</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元</w:t>
            </w:r>
            <w:r>
              <w:rPr>
                <w:rFonts w:hint="eastAsia" w:ascii="新宋体" w:hAnsi="新宋体" w:eastAsia="新宋体" w:cs="新宋体"/>
                <w:b w:val="0"/>
                <w:bCs w:val="0"/>
                <w:color w:val="auto"/>
                <w:sz w:val="22"/>
                <w:szCs w:val="22"/>
                <w:highlight w:val="none"/>
                <w:lang w:eastAsia="zh-CN"/>
              </w:rPr>
              <w:t>）</w:t>
            </w:r>
          </w:p>
        </w:tc>
        <w:tc>
          <w:tcPr>
            <w:tcW w:w="5953" w:type="dxa"/>
            <w:gridSpan w:val="6"/>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ind w:firstLine="220" w:firstLineChars="100"/>
              <w:jc w:val="both"/>
              <w:textAlignment w:val="auto"/>
              <w:rPr>
                <w:rFonts w:hint="eastAsia" w:ascii="新宋体" w:hAnsi="新宋体" w:eastAsia="新宋体" w:cs="新宋体"/>
                <w:b w:val="0"/>
                <w:bCs w:val="0"/>
                <w:color w:val="auto"/>
                <w:kern w:val="2"/>
                <w:sz w:val="22"/>
                <w:szCs w:val="22"/>
                <w:highlight w:val="none"/>
                <w:lang w:val="en-US" w:eastAsia="zh-CN" w:bidi="ar-SA"/>
              </w:rPr>
            </w:pPr>
            <w:r>
              <w:rPr>
                <w:rFonts w:hint="eastAsia" w:ascii="新宋体" w:hAnsi="新宋体" w:eastAsia="新宋体" w:cs="新宋体"/>
                <w:b w:val="0"/>
                <w:bCs w:val="0"/>
                <w:color w:val="auto"/>
                <w:sz w:val="22"/>
                <w:szCs w:val="22"/>
                <w:highlight w:val="none"/>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4050" w:type="dxa"/>
            <w:gridSpan w:val="3"/>
            <w:vMerge w:val="continue"/>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c>
          <w:tcPr>
            <w:tcW w:w="5953" w:type="dxa"/>
            <w:gridSpan w:val="6"/>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40" w:lineRule="exact"/>
              <w:ind w:firstLine="220" w:firstLineChars="100"/>
              <w:jc w:val="both"/>
              <w:textAlignment w:val="auto"/>
              <w:rPr>
                <w:rFonts w:hint="eastAsia" w:ascii="新宋体" w:hAnsi="新宋体" w:eastAsia="新宋体" w:cs="新宋体"/>
                <w:b w:val="0"/>
                <w:bCs w:val="0"/>
                <w:color w:val="auto"/>
                <w:kern w:val="2"/>
                <w:sz w:val="22"/>
                <w:szCs w:val="22"/>
                <w:highlight w:val="none"/>
                <w:lang w:val="en-US" w:eastAsia="zh-CN" w:bidi="ar-SA"/>
              </w:rPr>
            </w:pPr>
            <w:r>
              <w:rPr>
                <w:rFonts w:hint="eastAsia" w:ascii="新宋体" w:hAnsi="新宋体" w:eastAsia="新宋体" w:cs="新宋体"/>
                <w:b w:val="0"/>
                <w:bCs w:val="0"/>
                <w:color w:val="auto"/>
                <w:sz w:val="22"/>
                <w:szCs w:val="22"/>
                <w:highlight w:val="none"/>
                <w:lang w:val="en-US" w:eastAsia="zh-CN"/>
              </w:rPr>
              <w:t>大写：</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color w:val="auto"/>
          <w:kern w:val="0"/>
          <w:sz w:val="22"/>
          <w:szCs w:val="22"/>
          <w:highlight w:val="none"/>
          <w:lang w:eastAsia="zh-CN" w:bidi="ar"/>
        </w:rPr>
      </w:pPr>
      <w:r>
        <w:rPr>
          <w:rFonts w:hint="eastAsia" w:ascii="新宋体" w:hAnsi="新宋体" w:eastAsia="新宋体" w:cs="新宋体"/>
          <w:b/>
          <w:bCs/>
          <w:color w:val="auto"/>
          <w:sz w:val="22"/>
          <w:szCs w:val="22"/>
          <w:highlight w:val="none"/>
        </w:rPr>
        <w:t>附注</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color w:val="auto"/>
          <w:kern w:val="0"/>
          <w:sz w:val="22"/>
          <w:szCs w:val="22"/>
          <w:highlight w:val="none"/>
          <w:lang w:eastAsia="zh-CN" w:bidi="ar"/>
        </w:rPr>
        <w:t>1、不提供分项报价表将视为没有实质性响应采购文件。</w:t>
      </w:r>
    </w:p>
    <w:p>
      <w:pPr>
        <w:keepNext w:val="0"/>
        <w:keepLines w:val="0"/>
        <w:pageBreakBefore w:val="0"/>
        <w:widowControl w:val="0"/>
        <w:kinsoku/>
        <w:wordWrap/>
        <w:overflowPunct/>
        <w:topLinePunct w:val="0"/>
        <w:autoSpaceDE/>
        <w:autoSpaceDN/>
        <w:bidi w:val="0"/>
        <w:adjustRightInd/>
        <w:snapToGrid/>
        <w:spacing w:line="360" w:lineRule="auto"/>
        <w:ind w:left="900" w:leftChars="300" w:hanging="270"/>
        <w:textAlignment w:val="auto"/>
        <w:rPr>
          <w:rFonts w:hint="eastAsia" w:ascii="新宋体" w:hAnsi="新宋体" w:eastAsia="新宋体" w:cs="新宋体"/>
          <w:color w:val="auto"/>
          <w:kern w:val="0"/>
          <w:sz w:val="22"/>
          <w:szCs w:val="22"/>
          <w:highlight w:val="none"/>
          <w:lang w:eastAsia="zh-CN" w:bidi="ar"/>
        </w:rPr>
      </w:pPr>
      <w:r>
        <w:rPr>
          <w:rFonts w:hint="eastAsia" w:ascii="新宋体" w:hAnsi="新宋体" w:eastAsia="新宋体" w:cs="新宋体"/>
          <w:b/>
          <w:bCs/>
          <w:color w:val="auto"/>
          <w:sz w:val="20"/>
          <w:szCs w:val="20"/>
          <w:highlight w:val="none"/>
          <w:lang w:val="en-US" w:eastAsia="zh-CN"/>
        </w:rPr>
        <w:t>2</w:t>
      </w:r>
      <w:r>
        <w:rPr>
          <w:rFonts w:hint="eastAsia" w:ascii="新宋体" w:hAnsi="新宋体" w:eastAsia="新宋体" w:cs="新宋体"/>
          <w:b/>
          <w:bCs/>
          <w:color w:val="auto"/>
          <w:sz w:val="20"/>
          <w:szCs w:val="20"/>
          <w:highlight w:val="none"/>
        </w:rPr>
        <w:t>、</w:t>
      </w:r>
      <w:r>
        <w:rPr>
          <w:rFonts w:hint="eastAsia" w:ascii="新宋体" w:hAnsi="新宋体" w:eastAsia="新宋体"/>
          <w:b/>
          <w:bCs/>
          <w:color w:val="auto"/>
          <w:sz w:val="22"/>
          <w:szCs w:val="22"/>
          <w:highlight w:val="none"/>
        </w:rPr>
        <w:t>此表总计价应与附件一中“</w:t>
      </w:r>
      <w:r>
        <w:rPr>
          <w:rFonts w:hint="eastAsia" w:ascii="新宋体" w:hAnsi="新宋体" w:eastAsia="新宋体"/>
          <w:b/>
          <w:bCs/>
          <w:color w:val="auto"/>
          <w:sz w:val="22"/>
          <w:szCs w:val="22"/>
          <w:highlight w:val="none"/>
          <w:lang w:val="en-US" w:eastAsia="zh-CN"/>
        </w:rPr>
        <w:t>3</w:t>
      </w:r>
      <w:r>
        <w:rPr>
          <w:rFonts w:hint="eastAsia" w:ascii="新宋体" w:hAnsi="新宋体" w:eastAsia="新宋体"/>
          <w:b/>
          <w:bCs/>
          <w:color w:val="auto"/>
          <w:sz w:val="22"/>
          <w:szCs w:val="22"/>
          <w:highlight w:val="none"/>
        </w:rPr>
        <w:t>、</w:t>
      </w:r>
      <w:r>
        <w:rPr>
          <w:rFonts w:hint="eastAsia" w:ascii="新宋体" w:hAnsi="新宋体" w:eastAsia="新宋体"/>
          <w:b/>
          <w:bCs/>
          <w:color w:val="auto"/>
          <w:sz w:val="22"/>
          <w:szCs w:val="22"/>
          <w:highlight w:val="none"/>
          <w:lang w:val="en-US" w:eastAsia="zh-CN"/>
        </w:rPr>
        <w:t>投标</w:t>
      </w:r>
      <w:r>
        <w:rPr>
          <w:rFonts w:hint="eastAsia" w:ascii="新宋体" w:hAnsi="新宋体" w:eastAsia="新宋体"/>
          <w:b/>
          <w:bCs/>
          <w:color w:val="auto"/>
          <w:sz w:val="22"/>
          <w:szCs w:val="22"/>
          <w:highlight w:val="none"/>
        </w:rPr>
        <w:t>报价一览表”中</w:t>
      </w:r>
      <w:r>
        <w:rPr>
          <w:rFonts w:hint="eastAsia" w:ascii="新宋体" w:hAnsi="新宋体" w:eastAsia="新宋体"/>
          <w:b/>
          <w:bCs/>
          <w:color w:val="auto"/>
          <w:sz w:val="22"/>
          <w:szCs w:val="22"/>
          <w:highlight w:val="none"/>
          <w:lang w:val="en-US" w:eastAsia="zh-CN"/>
        </w:rPr>
        <w:t>相对就项</w:t>
      </w:r>
      <w:r>
        <w:rPr>
          <w:rFonts w:hint="eastAsia" w:ascii="新宋体" w:hAnsi="新宋体" w:eastAsia="新宋体"/>
          <w:b/>
          <w:bCs/>
          <w:color w:val="auto"/>
          <w:sz w:val="22"/>
          <w:szCs w:val="22"/>
          <w:highlight w:val="none"/>
        </w:rPr>
        <w:t>报价相一致。</w:t>
      </w:r>
    </w:p>
    <w:p>
      <w:pPr>
        <w:keepNext w:val="0"/>
        <w:keepLines w:val="0"/>
        <w:pageBreakBefore w:val="0"/>
        <w:widowControl w:val="0"/>
        <w:kinsoku/>
        <w:wordWrap/>
        <w:overflowPunct/>
        <w:topLinePunct w:val="0"/>
        <w:autoSpaceDE/>
        <w:autoSpaceDN/>
        <w:bidi w:val="0"/>
        <w:adjustRightInd/>
        <w:snapToGrid/>
        <w:spacing w:line="360" w:lineRule="auto"/>
        <w:ind w:firstLine="660" w:firstLineChars="300"/>
        <w:textAlignment w:val="auto"/>
        <w:rPr>
          <w:rFonts w:hint="eastAsia" w:ascii="新宋体" w:hAnsi="新宋体" w:eastAsia="新宋体" w:cs="新宋体"/>
          <w:color w:val="auto"/>
          <w:kern w:val="0"/>
          <w:sz w:val="22"/>
          <w:szCs w:val="22"/>
          <w:highlight w:val="none"/>
          <w:lang w:eastAsia="zh-CN" w:bidi="ar"/>
        </w:rPr>
      </w:pPr>
      <w:r>
        <w:rPr>
          <w:rFonts w:hint="eastAsia" w:ascii="新宋体" w:hAnsi="新宋体" w:eastAsia="新宋体" w:cs="新宋体"/>
          <w:color w:val="auto"/>
          <w:kern w:val="0"/>
          <w:sz w:val="22"/>
          <w:szCs w:val="22"/>
          <w:highlight w:val="none"/>
          <w:lang w:val="en-US" w:eastAsia="zh-CN" w:bidi="ar"/>
        </w:rPr>
        <w:t>3</w:t>
      </w:r>
      <w:r>
        <w:rPr>
          <w:rFonts w:hint="eastAsia" w:ascii="新宋体" w:hAnsi="新宋体" w:eastAsia="新宋体" w:cs="新宋体"/>
          <w:color w:val="auto"/>
          <w:kern w:val="0"/>
          <w:sz w:val="22"/>
          <w:szCs w:val="22"/>
          <w:highlight w:val="none"/>
          <w:lang w:eastAsia="zh-CN" w:bidi="ar"/>
        </w:rPr>
        <w:t>、</w:t>
      </w:r>
      <w:r>
        <w:rPr>
          <w:rFonts w:hint="eastAsia" w:ascii="新宋体" w:hAnsi="新宋体" w:eastAsia="新宋体" w:cs="新宋体"/>
          <w:color w:val="auto"/>
          <w:kern w:val="0"/>
          <w:sz w:val="22"/>
          <w:szCs w:val="22"/>
          <w:highlight w:val="none"/>
          <w:lang w:val="en-US" w:eastAsia="zh-CN" w:bidi="ar"/>
        </w:rPr>
        <w:t>此表中</w:t>
      </w:r>
      <w:r>
        <w:rPr>
          <w:rFonts w:hint="eastAsia" w:ascii="新宋体" w:hAnsi="新宋体" w:eastAsia="新宋体" w:cs="新宋体"/>
          <w:color w:val="auto"/>
          <w:kern w:val="0"/>
          <w:sz w:val="22"/>
          <w:szCs w:val="22"/>
          <w:highlight w:val="none"/>
          <w:lang w:eastAsia="zh-CN" w:bidi="ar"/>
        </w:rPr>
        <w:t>同类型、同名称的灯具、灯杆、灯挑等路灯设施可能因采购人要求的规格、尺寸不同而产生价格差异，安装地点的不同也可能产生费用差异，请供应商综合考虑报价，风险系统由供应商承担，供应商不得以任何理由拒绝购置、安装等行为。</w:t>
      </w:r>
    </w:p>
    <w:p>
      <w:pPr>
        <w:keepNext w:val="0"/>
        <w:keepLines w:val="0"/>
        <w:pageBreakBefore w:val="0"/>
        <w:widowControl w:val="0"/>
        <w:kinsoku/>
        <w:wordWrap/>
        <w:overflowPunct/>
        <w:topLinePunct w:val="0"/>
        <w:autoSpaceDE/>
        <w:autoSpaceDN/>
        <w:bidi w:val="0"/>
        <w:adjustRightInd/>
        <w:snapToGrid/>
        <w:spacing w:line="360" w:lineRule="auto"/>
        <w:ind w:firstLine="660" w:firstLineChars="300"/>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4、此报价</w:t>
      </w:r>
      <w:r>
        <w:rPr>
          <w:rFonts w:hint="eastAsia" w:ascii="新宋体" w:hAnsi="新宋体" w:eastAsia="新宋体" w:cs="新宋体"/>
          <w:color w:val="auto"/>
          <w:sz w:val="22"/>
          <w:szCs w:val="22"/>
          <w:highlight w:val="none"/>
        </w:rPr>
        <w:t>主要用于</w:t>
      </w:r>
      <w:r>
        <w:rPr>
          <w:rFonts w:hint="eastAsia" w:ascii="新宋体" w:hAnsi="新宋体" w:eastAsia="新宋体" w:cs="新宋体"/>
          <w:color w:val="auto"/>
          <w:sz w:val="22"/>
          <w:szCs w:val="22"/>
          <w:highlight w:val="none"/>
          <w:lang w:val="en-US" w:eastAsia="zh-CN"/>
        </w:rPr>
        <w:t>招标人</w:t>
      </w:r>
      <w:r>
        <w:rPr>
          <w:rFonts w:hint="eastAsia" w:ascii="新宋体" w:hAnsi="新宋体" w:eastAsia="新宋体" w:cs="新宋体"/>
          <w:color w:val="auto"/>
          <w:sz w:val="22"/>
          <w:szCs w:val="22"/>
          <w:highlight w:val="none"/>
        </w:rPr>
        <w:t>根据实际需要，需对部分路段的路灯设施进行路灯设施增装、不可抗力破坏的路灯设施进行修复、为提升路灯设施美化水平而对其进行灯杆美化等方面的相关安装维护工作，该项目由</w:t>
      </w:r>
      <w:r>
        <w:rPr>
          <w:rFonts w:hint="eastAsia" w:ascii="新宋体" w:hAnsi="新宋体" w:eastAsia="新宋体" w:cs="新宋体"/>
          <w:color w:val="auto"/>
          <w:sz w:val="22"/>
          <w:szCs w:val="22"/>
          <w:highlight w:val="none"/>
          <w:lang w:val="en-US" w:eastAsia="zh-CN"/>
        </w:rPr>
        <w:t>招标人</w:t>
      </w:r>
      <w:r>
        <w:rPr>
          <w:rFonts w:hint="eastAsia" w:ascii="新宋体" w:hAnsi="新宋体" w:eastAsia="新宋体" w:cs="新宋体"/>
          <w:color w:val="auto"/>
          <w:sz w:val="22"/>
          <w:szCs w:val="22"/>
          <w:highlight w:val="none"/>
        </w:rPr>
        <w:t>书面核准后方可实施；维护期结束后，</w:t>
      </w:r>
      <w:r>
        <w:rPr>
          <w:rFonts w:hint="eastAsia" w:ascii="新宋体" w:hAnsi="新宋体" w:eastAsia="新宋体" w:cs="新宋体"/>
          <w:color w:val="auto"/>
          <w:sz w:val="22"/>
          <w:szCs w:val="22"/>
          <w:highlight w:val="none"/>
          <w:lang w:val="en-US" w:eastAsia="zh-CN"/>
        </w:rPr>
        <w:t>投标供应商</w:t>
      </w:r>
      <w:r>
        <w:rPr>
          <w:rFonts w:hint="eastAsia" w:ascii="新宋体" w:hAnsi="新宋体" w:eastAsia="新宋体" w:cs="新宋体"/>
          <w:color w:val="auto"/>
          <w:sz w:val="22"/>
          <w:szCs w:val="22"/>
          <w:highlight w:val="none"/>
        </w:rPr>
        <w:t>根据实际工程量×所投单项的单价来办理结算</w:t>
      </w:r>
      <w:r>
        <w:rPr>
          <w:rFonts w:hint="eastAsia" w:ascii="新宋体" w:hAnsi="新宋体" w:eastAsia="新宋体" w:cs="新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63" w:firstLineChars="300"/>
        <w:textAlignment w:val="auto"/>
        <w:rPr>
          <w:rFonts w:hint="eastAsia" w:ascii="新宋体" w:hAnsi="新宋体" w:eastAsia="新宋体" w:cs="新宋体"/>
          <w:b/>
          <w:bCs/>
          <w:color w:val="auto"/>
          <w:kern w:val="0"/>
          <w:sz w:val="22"/>
          <w:szCs w:val="22"/>
          <w:highlight w:val="none"/>
          <w:lang w:eastAsia="zh-CN" w:bidi="ar"/>
        </w:rPr>
      </w:pPr>
      <w:r>
        <w:rPr>
          <w:rFonts w:hint="eastAsia" w:ascii="新宋体" w:hAnsi="新宋体" w:eastAsia="新宋体" w:cs="新宋体"/>
          <w:b/>
          <w:bCs/>
          <w:color w:val="auto"/>
          <w:kern w:val="0"/>
          <w:sz w:val="22"/>
          <w:szCs w:val="22"/>
          <w:highlight w:val="none"/>
          <w:lang w:val="en-US" w:eastAsia="zh-CN" w:bidi="ar"/>
        </w:rPr>
        <w:t>5、</w:t>
      </w:r>
      <w:r>
        <w:rPr>
          <w:rFonts w:hint="eastAsia" w:ascii="新宋体" w:hAnsi="新宋体" w:eastAsia="新宋体" w:cs="新宋体"/>
          <w:b/>
          <w:bCs/>
          <w:color w:val="auto"/>
          <w:kern w:val="0"/>
          <w:sz w:val="22"/>
          <w:szCs w:val="22"/>
          <w:highlight w:val="none"/>
          <w:lang w:eastAsia="zh-CN" w:bidi="ar"/>
        </w:rPr>
        <w:t>本合计</w:t>
      </w:r>
      <w:r>
        <w:rPr>
          <w:rFonts w:hint="eastAsia" w:ascii="新宋体" w:hAnsi="新宋体" w:eastAsia="新宋体" w:cs="新宋体"/>
          <w:b/>
          <w:bCs/>
          <w:color w:val="auto"/>
          <w:kern w:val="0"/>
          <w:sz w:val="22"/>
          <w:szCs w:val="22"/>
          <w:highlight w:val="none"/>
          <w:lang w:val="en-US" w:eastAsia="zh-CN" w:bidi="ar"/>
        </w:rPr>
        <w:t>总价</w:t>
      </w:r>
      <w:r>
        <w:rPr>
          <w:rFonts w:hint="eastAsia" w:ascii="新宋体" w:hAnsi="新宋体" w:eastAsia="新宋体" w:cs="新宋体"/>
          <w:b/>
          <w:bCs/>
          <w:color w:val="auto"/>
          <w:kern w:val="0"/>
          <w:sz w:val="22"/>
          <w:szCs w:val="22"/>
          <w:highlight w:val="none"/>
          <w:lang w:eastAsia="zh-CN" w:bidi="ar"/>
        </w:rPr>
        <w:t>最高不得超</w:t>
      </w:r>
      <w:r>
        <w:rPr>
          <w:rFonts w:hint="eastAsia" w:ascii="新宋体" w:hAnsi="新宋体" w:eastAsia="新宋体" w:cs="新宋体"/>
          <w:b/>
          <w:bCs/>
          <w:color w:val="auto"/>
          <w:kern w:val="0"/>
          <w:sz w:val="22"/>
          <w:szCs w:val="22"/>
          <w:highlight w:val="none"/>
          <w:u w:val="single"/>
          <w:lang w:val="en-US" w:eastAsia="zh-CN" w:bidi="ar"/>
        </w:rPr>
        <w:t>400</w:t>
      </w:r>
      <w:r>
        <w:rPr>
          <w:rFonts w:hint="eastAsia" w:ascii="新宋体" w:hAnsi="新宋体" w:eastAsia="新宋体" w:cs="新宋体"/>
          <w:b/>
          <w:bCs/>
          <w:color w:val="auto"/>
          <w:kern w:val="0"/>
          <w:sz w:val="22"/>
          <w:szCs w:val="22"/>
          <w:highlight w:val="none"/>
          <w:lang w:eastAsia="zh-CN" w:bidi="ar"/>
        </w:rPr>
        <w:t>万元，单项</w:t>
      </w:r>
      <w:r>
        <w:rPr>
          <w:rFonts w:hint="eastAsia" w:ascii="新宋体" w:hAnsi="新宋体" w:eastAsia="新宋体" w:cs="新宋体"/>
          <w:b/>
          <w:bCs/>
          <w:color w:val="auto"/>
          <w:kern w:val="0"/>
          <w:sz w:val="22"/>
          <w:szCs w:val="22"/>
          <w:highlight w:val="none"/>
          <w:lang w:val="en-US" w:eastAsia="zh-CN" w:bidi="ar"/>
        </w:rPr>
        <w:t>合</w:t>
      </w:r>
      <w:r>
        <w:rPr>
          <w:rFonts w:hint="eastAsia" w:ascii="新宋体" w:hAnsi="新宋体" w:eastAsia="新宋体" w:cs="新宋体"/>
          <w:b/>
          <w:bCs/>
          <w:color w:val="auto"/>
          <w:kern w:val="0"/>
          <w:sz w:val="22"/>
          <w:szCs w:val="22"/>
          <w:highlight w:val="none"/>
          <w:lang w:eastAsia="zh-CN" w:bidi="ar"/>
        </w:rPr>
        <w:t>价不得超过</w:t>
      </w:r>
      <w:r>
        <w:rPr>
          <w:rFonts w:hint="eastAsia" w:ascii="新宋体" w:hAnsi="新宋体" w:eastAsia="新宋体" w:cs="新宋体"/>
          <w:b/>
          <w:bCs/>
          <w:color w:val="auto"/>
          <w:kern w:val="0"/>
          <w:sz w:val="22"/>
          <w:szCs w:val="22"/>
          <w:highlight w:val="none"/>
          <w:lang w:val="en-US" w:eastAsia="zh-CN" w:bidi="ar"/>
        </w:rPr>
        <w:t>每项</w:t>
      </w:r>
      <w:r>
        <w:rPr>
          <w:rFonts w:hint="eastAsia" w:ascii="新宋体" w:hAnsi="新宋体" w:eastAsia="新宋体" w:cs="新宋体"/>
          <w:b/>
          <w:bCs/>
          <w:color w:val="auto"/>
          <w:kern w:val="0"/>
          <w:sz w:val="22"/>
          <w:szCs w:val="22"/>
          <w:highlight w:val="none"/>
          <w:lang w:eastAsia="zh-CN" w:bidi="ar"/>
        </w:rPr>
        <w:t>合价最高限价，否则其投标文件将被否决。以上工程量均为2年服务期的报价。</w:t>
      </w:r>
    </w:p>
    <w:p>
      <w:pPr>
        <w:keepNext w:val="0"/>
        <w:keepLines w:val="0"/>
        <w:pageBreakBefore w:val="0"/>
        <w:widowControl w:val="0"/>
        <w:kinsoku/>
        <w:wordWrap/>
        <w:overflowPunct/>
        <w:topLinePunct w:val="0"/>
        <w:autoSpaceDE/>
        <w:autoSpaceDN/>
        <w:bidi w:val="0"/>
        <w:adjustRightInd/>
        <w:snapToGrid/>
        <w:spacing w:line="360" w:lineRule="auto"/>
        <w:ind w:firstLine="660" w:firstLineChars="300"/>
        <w:textAlignment w:val="auto"/>
        <w:rPr>
          <w:rFonts w:hint="eastAsia" w:ascii="新宋体" w:hAnsi="新宋体" w:eastAsia="新宋体" w:cs="新宋体"/>
          <w:color w:val="auto"/>
          <w:kern w:val="0"/>
          <w:sz w:val="22"/>
          <w:szCs w:val="22"/>
          <w:highlight w:val="none"/>
          <w:lang w:eastAsia="zh-CN" w:bidi="ar"/>
        </w:rPr>
      </w:pPr>
      <w:r>
        <w:rPr>
          <w:rFonts w:hint="eastAsia" w:ascii="新宋体" w:hAnsi="新宋体" w:eastAsia="新宋体" w:cs="新宋体"/>
          <w:color w:val="auto"/>
          <w:kern w:val="0"/>
          <w:sz w:val="22"/>
          <w:szCs w:val="22"/>
          <w:highlight w:val="none"/>
          <w:lang w:val="en-US" w:eastAsia="zh-CN" w:bidi="ar"/>
        </w:rPr>
        <w:t>6</w:t>
      </w:r>
      <w:r>
        <w:rPr>
          <w:rFonts w:hint="eastAsia" w:ascii="新宋体" w:hAnsi="新宋体" w:eastAsia="新宋体" w:cs="新宋体"/>
          <w:color w:val="auto"/>
          <w:kern w:val="0"/>
          <w:sz w:val="22"/>
          <w:szCs w:val="22"/>
          <w:highlight w:val="none"/>
          <w:lang w:eastAsia="zh-CN" w:bidi="ar"/>
        </w:rPr>
        <w:t>、如果免费请在该项内容栏内注明“免”，如果含在产品价格中则填“含”，如无此项内容则填“无”，不留空白。</w:t>
      </w:r>
    </w:p>
    <w:p>
      <w:pPr>
        <w:pStyle w:val="22"/>
        <w:spacing w:line="360" w:lineRule="auto"/>
        <w:ind w:left="0" w:leftChars="0" w:firstLine="660" w:firstLineChars="300"/>
        <w:rPr>
          <w:rFonts w:hint="eastAsia" w:ascii="新宋体" w:hAnsi="新宋体" w:eastAsia="新宋体" w:cs="新宋体"/>
          <w:color w:val="auto"/>
          <w:kern w:val="0"/>
          <w:sz w:val="22"/>
          <w:szCs w:val="22"/>
          <w:highlight w:val="none"/>
          <w:lang w:val="en-US" w:eastAsia="zh-CN" w:bidi="ar"/>
        </w:rPr>
      </w:pPr>
      <w:r>
        <w:rPr>
          <w:rFonts w:hint="eastAsia" w:ascii="新宋体" w:hAnsi="新宋体" w:eastAsia="新宋体" w:cs="新宋体"/>
          <w:color w:val="auto"/>
          <w:kern w:val="0"/>
          <w:sz w:val="22"/>
          <w:szCs w:val="22"/>
          <w:highlight w:val="none"/>
          <w:lang w:val="en-US" w:eastAsia="zh-CN" w:bidi="ar"/>
        </w:rPr>
        <w:t>7、此表中每项报价已包含完成对应项目所需的一切费用。</w:t>
      </w:r>
    </w:p>
    <w:p>
      <w:pPr>
        <w:pStyle w:val="22"/>
        <w:ind w:left="0" w:leftChars="0" w:firstLine="400" w:firstLineChars="200"/>
        <w:rPr>
          <w:rFonts w:hint="default" w:ascii="新宋体" w:hAnsi="新宋体" w:eastAsia="新宋体" w:cs="新宋体"/>
          <w:color w:val="auto"/>
          <w:kern w:val="0"/>
          <w:sz w:val="20"/>
          <w:szCs w:val="20"/>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line="380" w:lineRule="exact"/>
        <w:ind w:firstLine="5280" w:firstLineChars="24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投标人代表（签字）：</w:t>
      </w:r>
    </w:p>
    <w:p>
      <w:pPr>
        <w:keepNext w:val="0"/>
        <w:keepLines w:val="0"/>
        <w:pageBreakBefore w:val="0"/>
        <w:widowControl w:val="0"/>
        <w:kinsoku/>
        <w:wordWrap/>
        <w:overflowPunct/>
        <w:topLinePunct w:val="0"/>
        <w:autoSpaceDE/>
        <w:autoSpaceDN/>
        <w:bidi w:val="0"/>
        <w:adjustRightInd/>
        <w:snapToGrid/>
        <w:spacing w:line="380" w:lineRule="exact"/>
        <w:ind w:firstLine="220" w:firstLineChars="1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日   期：</w:t>
      </w:r>
    </w:p>
    <w:p>
      <w:pPr>
        <w:pStyle w:val="22"/>
        <w:rPr>
          <w:rFonts w:hint="eastAsia"/>
          <w:color w:val="auto"/>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spacing w:line="420" w:lineRule="exact"/>
        <w:ind w:left="514" w:leftChars="245"/>
        <w:outlineLvl w:val="3"/>
        <w:rPr>
          <w:rFonts w:hint="eastAsia" w:ascii="宋体" w:hAnsi="宋体" w:eastAsia="宋体" w:cs="宋体"/>
          <w:b/>
          <w:bCs/>
          <w:color w:val="auto"/>
          <w:sz w:val="22"/>
          <w:szCs w:val="22"/>
          <w:highlight w:val="none"/>
        </w:rPr>
      </w:pPr>
      <w:r>
        <w:rPr>
          <w:rFonts w:hint="eastAsia" w:ascii="宋体" w:hAnsi="宋体" w:eastAsia="宋体" w:cs="宋体"/>
          <w:b/>
          <w:bCs/>
          <w:color w:val="auto"/>
          <w:sz w:val="28"/>
          <w:szCs w:val="28"/>
          <w:highlight w:val="none"/>
        </w:rPr>
        <w:t>4、监狱企业的相关证明材料</w:t>
      </w:r>
    </w:p>
    <w:p>
      <w:pPr>
        <w:spacing w:line="460" w:lineRule="exact"/>
        <w:ind w:firstLine="571" w:firstLineChars="245"/>
        <w:rPr>
          <w:rFonts w:hint="eastAsia" w:ascii="宋体" w:hAnsi="宋体" w:eastAsia="宋体" w:cs="宋体"/>
          <w:b/>
          <w:bCs/>
          <w:color w:val="auto"/>
          <w:sz w:val="22"/>
          <w:szCs w:val="22"/>
          <w:highlight w:val="none"/>
          <w:u w:val="single"/>
          <w:lang w:val="zh-CN"/>
        </w:rPr>
      </w:pPr>
      <w:r>
        <w:rPr>
          <w:rFonts w:hint="eastAsia" w:ascii="宋体" w:hAnsi="宋体" w:eastAsia="宋体" w:cs="宋体"/>
          <w:b/>
          <w:color w:val="auto"/>
          <w:spacing w:val="6"/>
          <w:sz w:val="22"/>
          <w:szCs w:val="22"/>
          <w:highlight w:val="none"/>
        </w:rPr>
        <w:t>需提供相关证明材料，</w:t>
      </w:r>
      <w:r>
        <w:rPr>
          <w:rFonts w:hint="eastAsia" w:ascii="宋体" w:hAnsi="宋体" w:eastAsia="宋体" w:cs="宋体"/>
          <w:b/>
          <w:bCs/>
          <w:color w:val="auto"/>
          <w:sz w:val="22"/>
          <w:szCs w:val="22"/>
          <w:highlight w:val="none"/>
          <w:u w:val="single"/>
          <w:lang w:val="zh-CN"/>
        </w:rPr>
        <w:t>未提供证明材料或不能清楚辨析</w:t>
      </w:r>
      <w:r>
        <w:rPr>
          <w:rFonts w:hint="eastAsia" w:ascii="宋体" w:hAnsi="宋体" w:eastAsia="宋体" w:cs="宋体"/>
          <w:b/>
          <w:bCs/>
          <w:color w:val="auto"/>
          <w:sz w:val="22"/>
          <w:szCs w:val="22"/>
          <w:highlight w:val="none"/>
          <w:u w:val="single"/>
        </w:rPr>
        <w:t>是监狱企业的按非监狱企业处理，所提供的证明材料应为最新的最近的</w:t>
      </w:r>
      <w:r>
        <w:rPr>
          <w:rFonts w:hint="eastAsia" w:ascii="宋体" w:hAnsi="宋体" w:eastAsia="宋体" w:cs="宋体"/>
          <w:b/>
          <w:bCs/>
          <w:color w:val="auto"/>
          <w:sz w:val="22"/>
          <w:szCs w:val="22"/>
          <w:highlight w:val="none"/>
          <w:u w:val="single"/>
          <w:lang w:val="zh-CN"/>
        </w:rPr>
        <w:t>。</w:t>
      </w:r>
    </w:p>
    <w:p>
      <w:pPr>
        <w:adjustRightInd w:val="0"/>
        <w:snapToGrid w:val="0"/>
        <w:spacing w:line="300" w:lineRule="auto"/>
        <w:jc w:val="center"/>
        <w:rPr>
          <w:rFonts w:hint="eastAsia" w:ascii="宋体" w:hAnsi="宋体" w:eastAsia="宋体" w:cs="宋体"/>
          <w:b/>
          <w:color w:val="auto"/>
          <w:spacing w:val="6"/>
          <w:sz w:val="22"/>
          <w:szCs w:val="22"/>
          <w:highlight w:val="none"/>
        </w:rPr>
      </w:pPr>
    </w:p>
    <w:p>
      <w:pPr>
        <w:adjustRightInd w:val="0"/>
        <w:snapToGrid w:val="0"/>
        <w:spacing w:line="300" w:lineRule="auto"/>
        <w:jc w:val="center"/>
        <w:rPr>
          <w:rFonts w:hint="eastAsia" w:ascii="宋体" w:hAnsi="宋体" w:eastAsia="宋体" w:cs="宋体"/>
          <w:b/>
          <w:color w:val="auto"/>
          <w:spacing w:val="6"/>
          <w:sz w:val="22"/>
          <w:szCs w:val="22"/>
          <w:highlight w:val="none"/>
        </w:rPr>
      </w:pPr>
    </w:p>
    <w:p>
      <w:pPr>
        <w:adjustRightInd w:val="0"/>
        <w:snapToGrid w:val="0"/>
        <w:spacing w:line="300" w:lineRule="auto"/>
        <w:jc w:val="center"/>
        <w:rPr>
          <w:rFonts w:hint="eastAsia" w:ascii="宋体" w:hAnsi="宋体" w:eastAsia="宋体" w:cs="宋体"/>
          <w:b/>
          <w:color w:val="auto"/>
          <w:spacing w:val="6"/>
          <w:sz w:val="22"/>
          <w:szCs w:val="22"/>
          <w:highlight w:val="none"/>
        </w:rPr>
      </w:pPr>
    </w:p>
    <w:p>
      <w:pPr>
        <w:adjustRightInd w:val="0"/>
        <w:snapToGrid w:val="0"/>
        <w:spacing w:line="300" w:lineRule="auto"/>
        <w:jc w:val="center"/>
        <w:rPr>
          <w:rFonts w:hint="eastAsia" w:ascii="宋体" w:hAnsi="宋体" w:eastAsia="宋体" w:cs="宋体"/>
          <w:color w:val="auto"/>
          <w:kern w:val="0"/>
          <w:sz w:val="22"/>
          <w:szCs w:val="22"/>
          <w:highlight w:val="none"/>
        </w:rPr>
      </w:pPr>
      <w:r>
        <w:rPr>
          <w:rFonts w:hint="eastAsia" w:ascii="宋体" w:hAnsi="宋体" w:eastAsia="宋体" w:cs="宋体"/>
          <w:b/>
          <w:color w:val="auto"/>
          <w:spacing w:val="6"/>
          <w:sz w:val="22"/>
          <w:szCs w:val="22"/>
          <w:highlight w:val="none"/>
        </w:rPr>
        <w:t>监狱企业声明函</w:t>
      </w:r>
    </w:p>
    <w:p>
      <w:pPr>
        <w:snapToGrid w:val="0"/>
        <w:spacing w:line="460" w:lineRule="exact"/>
        <w:ind w:firstLine="464" w:firstLineChars="200"/>
        <w:jc w:val="center"/>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【非监狱企业不用提供】</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本企业郑重声明，根据《关于政府采购支持监狱企业发展有关问题的通知》（财库[2014]68号）的规定，本企业为监狱企业。 </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根据上述标准，我企业属于监狱企业的理由为：</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 xml:space="preserve">。 </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本企业为参加（招标项目名称</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）（招标编号</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 xml:space="preserve">）采购活动并承担本工程。 </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本企业对上述声明的真实性负责。如有虚假，将依法承担相应责任。  </w:t>
      </w:r>
    </w:p>
    <w:p>
      <w:pPr>
        <w:adjustRightInd w:val="0"/>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投标人全称（盖章）：</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 xml:space="preserve">                   </w:t>
      </w:r>
    </w:p>
    <w:p>
      <w:pPr>
        <w:adjustRightInd w:val="0"/>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日期：    年    月   日 </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监狱企业参加政府采购活动时，应当提供由省级以上监狱管理局、戒毒管理局（含新疆生产建设兵团）出具的属于监狱企业的证明文件。 </w:t>
      </w:r>
    </w:p>
    <w:p>
      <w:pPr>
        <w:adjustRightInd w:val="0"/>
        <w:snapToGrid w:val="0"/>
        <w:spacing w:line="460" w:lineRule="exact"/>
        <w:ind w:firstLine="464"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pStyle w:val="22"/>
        <w:rPr>
          <w:rFonts w:hint="eastAsia" w:ascii="宋体" w:hAnsi="宋体" w:eastAsia="宋体" w:cs="宋体"/>
          <w:color w:val="auto"/>
          <w:highlight w:val="none"/>
        </w:rPr>
      </w:pPr>
    </w:p>
    <w:p>
      <w:pPr>
        <w:pStyle w:val="22"/>
        <w:rPr>
          <w:rFonts w:hint="eastAsia" w:ascii="宋体" w:hAnsi="宋体" w:eastAsia="宋体" w:cs="宋体"/>
          <w:color w:val="auto"/>
          <w:highlight w:val="none"/>
        </w:rPr>
      </w:pPr>
    </w:p>
    <w:p>
      <w:pPr>
        <w:tabs>
          <w:tab w:val="left" w:pos="1620"/>
        </w:tabs>
        <w:spacing w:line="460" w:lineRule="exact"/>
        <w:outlineLvl w:val="3"/>
        <w:rPr>
          <w:rFonts w:hint="eastAsia" w:ascii="宋体" w:hAnsi="宋体" w:eastAsia="宋体" w:cs="宋体"/>
          <w:b/>
          <w:bCs/>
          <w:color w:val="auto"/>
          <w:sz w:val="22"/>
          <w:szCs w:val="22"/>
          <w:highlight w:val="none"/>
        </w:rPr>
      </w:pPr>
      <w:r>
        <w:rPr>
          <w:rFonts w:hint="eastAsia" w:ascii="宋体" w:hAnsi="宋体" w:eastAsia="宋体" w:cs="宋体"/>
          <w:b/>
          <w:bCs/>
          <w:color w:val="auto"/>
          <w:sz w:val="28"/>
          <w:szCs w:val="28"/>
          <w:highlight w:val="none"/>
        </w:rPr>
        <w:t>5、中小企业的相关证明材料</w:t>
      </w:r>
    </w:p>
    <w:p>
      <w:pPr>
        <w:spacing w:line="460" w:lineRule="exact"/>
        <w:jc w:val="center"/>
        <w:rPr>
          <w:rFonts w:hint="eastAsia" w:ascii="宋体" w:hAnsi="宋体" w:eastAsia="宋体" w:cs="宋体"/>
          <w:b/>
          <w:bCs/>
          <w:color w:val="auto"/>
          <w:sz w:val="22"/>
          <w:szCs w:val="22"/>
          <w:highlight w:val="none"/>
        </w:rPr>
      </w:pPr>
    </w:p>
    <w:p>
      <w:pPr>
        <w:spacing w:line="460" w:lineRule="exact"/>
        <w:ind w:firstLine="420" w:firstLineChars="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pacing w:val="20"/>
          <w:sz w:val="22"/>
          <w:szCs w:val="22"/>
          <w:highlight w:val="none"/>
        </w:rPr>
        <w:t>中小企业声明函（货物</w:t>
      </w:r>
      <w:r>
        <w:rPr>
          <w:rFonts w:hint="eastAsia" w:ascii="宋体" w:hAnsi="宋体" w:eastAsia="宋体" w:cs="宋体"/>
          <w:b/>
          <w:bCs/>
          <w:color w:val="auto"/>
          <w:spacing w:val="20"/>
          <w:sz w:val="22"/>
          <w:szCs w:val="22"/>
          <w:highlight w:val="none"/>
          <w:lang w:eastAsia="zh-CN"/>
        </w:rPr>
        <w:t>）</w:t>
      </w:r>
      <w:r>
        <w:rPr>
          <w:rFonts w:hint="eastAsia" w:ascii="宋体" w:hAnsi="宋体" w:eastAsia="宋体" w:cs="宋体"/>
          <w:b/>
          <w:bCs/>
          <w:color w:val="auto"/>
          <w:sz w:val="22"/>
          <w:szCs w:val="22"/>
          <w:highlight w:val="none"/>
        </w:rPr>
        <w:t>》</w:t>
      </w:r>
    </w:p>
    <w:p>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【不属于中小企业单位的无需填写、递交】</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本公司（联合体）郑重声明，根据《政府采购促进中小企业发展管理办法》（财库﹝2020﹞46 号）的规定，本公司（联合体）参加</w:t>
      </w:r>
      <w:r>
        <w:rPr>
          <w:rFonts w:hint="eastAsia" w:ascii="宋体" w:hAnsi="宋体" w:eastAsia="宋体" w:cs="宋体"/>
          <w:color w:val="auto"/>
          <w:spacing w:val="20"/>
          <w:sz w:val="22"/>
          <w:szCs w:val="22"/>
          <w:highlight w:val="none"/>
          <w:u w:val="single"/>
        </w:rPr>
        <w:t>（单位名称）</w:t>
      </w:r>
      <w:r>
        <w:rPr>
          <w:rFonts w:hint="eastAsia" w:ascii="宋体" w:hAnsi="宋体" w:eastAsia="宋体" w:cs="宋体"/>
          <w:color w:val="auto"/>
          <w:spacing w:val="20"/>
          <w:sz w:val="22"/>
          <w:szCs w:val="22"/>
          <w:highlight w:val="none"/>
        </w:rPr>
        <w:t>的</w:t>
      </w:r>
      <w:r>
        <w:rPr>
          <w:rFonts w:hint="eastAsia" w:ascii="宋体" w:hAnsi="宋体" w:eastAsia="宋体" w:cs="宋体"/>
          <w:color w:val="auto"/>
          <w:spacing w:val="20"/>
          <w:sz w:val="22"/>
          <w:szCs w:val="22"/>
          <w:highlight w:val="none"/>
          <w:u w:val="single"/>
        </w:rPr>
        <w:t>（项目名称）</w:t>
      </w:r>
      <w:r>
        <w:rPr>
          <w:rFonts w:hint="eastAsia" w:ascii="宋体" w:hAnsi="宋体" w:eastAsia="宋体" w:cs="宋体"/>
          <w:color w:val="auto"/>
          <w:spacing w:val="20"/>
          <w:sz w:val="22"/>
          <w:szCs w:val="22"/>
          <w:highlight w:val="none"/>
        </w:rPr>
        <w:t>采购活动，提供的货物全部由符合政策要求的中小企业制造。相关企业（含联合体中的中小企业、签订分包意向协议的中小企业）的具体情况如下：</w:t>
      </w:r>
    </w:p>
    <w:p>
      <w:pPr>
        <w:spacing w:line="460" w:lineRule="exact"/>
        <w:ind w:firstLine="539" w:firstLineChars="245"/>
        <w:rPr>
          <w:rFonts w:hint="eastAsia" w:ascii="宋体" w:hAnsi="宋体" w:eastAsia="宋体" w:cs="宋体"/>
          <w:color w:val="auto"/>
          <w:spacing w:val="20"/>
          <w:sz w:val="22"/>
          <w:szCs w:val="22"/>
          <w:highlight w:val="none"/>
        </w:rPr>
      </w:pPr>
      <w:r>
        <w:rPr>
          <w:rFonts w:hint="eastAsia" w:ascii="宋体" w:hAnsi="宋体" w:eastAsia="宋体" w:cs="宋体"/>
          <w:b w:val="0"/>
          <w:bCs w:val="0"/>
          <w:color w:val="auto"/>
          <w:sz w:val="22"/>
          <w:szCs w:val="22"/>
          <w:highlight w:val="none"/>
          <w:lang w:val="zh-CN"/>
        </w:rPr>
        <w:t>1.</w:t>
      </w:r>
      <w:r>
        <w:rPr>
          <w:rFonts w:hint="eastAsia" w:ascii="宋体" w:hAnsi="宋体" w:eastAsia="宋体" w:cs="宋体"/>
          <w:b w:val="0"/>
          <w:bCs w:val="0"/>
          <w:color w:val="auto"/>
          <w:sz w:val="22"/>
          <w:szCs w:val="22"/>
          <w:highlight w:val="none"/>
          <w:u w:val="single"/>
          <w:lang w:val="zh-CN"/>
        </w:rPr>
        <w:t>（标的名称）</w:t>
      </w:r>
      <w:r>
        <w:rPr>
          <w:rFonts w:hint="eastAsia" w:ascii="宋体" w:hAnsi="宋体" w:eastAsia="宋体" w:cs="宋体"/>
          <w:b w:val="0"/>
          <w:bCs w:val="0"/>
          <w:color w:val="auto"/>
          <w:sz w:val="22"/>
          <w:szCs w:val="22"/>
          <w:highlight w:val="none"/>
          <w:lang w:val="zh-CN"/>
        </w:rPr>
        <w:t xml:space="preserve"> ，属于</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行业；制造商为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u w:val="single"/>
          <w:lang w:eastAsia="zh-CN"/>
        </w:rPr>
        <w:t>，</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（中型企业、小型企业、微型企业）</w:t>
      </w:r>
      <w:r>
        <w:rPr>
          <w:rFonts w:hint="eastAsia" w:ascii="宋体" w:hAnsi="宋体" w:eastAsia="宋体" w:cs="宋体"/>
          <w:color w:val="auto"/>
          <w:spacing w:val="20"/>
          <w:sz w:val="22"/>
          <w:szCs w:val="22"/>
          <w:highlight w:val="none"/>
        </w:rPr>
        <w:t>；</w:t>
      </w:r>
    </w:p>
    <w:p>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2.</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 xml:space="preserve"> ，属于</w:t>
      </w:r>
      <w:r>
        <w:rPr>
          <w:rFonts w:hint="eastAsia" w:ascii="宋体" w:hAnsi="宋体" w:eastAsia="宋体" w:cs="宋体"/>
          <w:color w:val="auto"/>
          <w:spacing w:val="20"/>
          <w:sz w:val="22"/>
          <w:szCs w:val="22"/>
          <w:highlight w:val="none"/>
          <w:u w:val="single"/>
        </w:rPr>
        <w:t>（采购文件中明确的所属行业）</w:t>
      </w:r>
      <w:r>
        <w:rPr>
          <w:rFonts w:hint="eastAsia" w:ascii="宋体" w:hAnsi="宋体" w:eastAsia="宋体" w:cs="宋体"/>
          <w:color w:val="auto"/>
          <w:spacing w:val="20"/>
          <w:sz w:val="22"/>
          <w:szCs w:val="22"/>
          <w:highlight w:val="none"/>
        </w:rPr>
        <w:t>行业；制造商为（企业名称），从业人员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万元，属于（中型企业、小型企业、微型企业）；</w:t>
      </w:r>
    </w:p>
    <w:p>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w:t>
      </w:r>
    </w:p>
    <w:p>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以上企业，不属于大企业的分支机构，不存在控股股东为大企业的情形，也不存在与大企业的负责人为同一人的情形。</w:t>
      </w:r>
    </w:p>
    <w:p>
      <w:pPr>
        <w:spacing w:line="460" w:lineRule="exact"/>
        <w:ind w:firstLine="520" w:firstLineChars="200"/>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本企业对上述声明内容的真实性负责。如有虚假，将依法承担相应责任。</w:t>
      </w:r>
    </w:p>
    <w:p>
      <w:pPr>
        <w:spacing w:line="460" w:lineRule="exact"/>
        <w:rPr>
          <w:rFonts w:hint="eastAsia" w:ascii="宋体" w:hAnsi="宋体" w:eastAsia="宋体" w:cs="宋体"/>
          <w:color w:val="auto"/>
          <w:spacing w:val="20"/>
          <w:sz w:val="22"/>
          <w:szCs w:val="22"/>
          <w:highlight w:val="none"/>
        </w:rPr>
      </w:pPr>
    </w:p>
    <w:p>
      <w:pPr>
        <w:pStyle w:val="9"/>
        <w:rPr>
          <w:rFonts w:hint="eastAsia" w:ascii="宋体" w:hAnsi="宋体" w:eastAsia="宋体" w:cs="宋体"/>
          <w:color w:val="auto"/>
          <w:sz w:val="22"/>
          <w:szCs w:val="22"/>
          <w:highlight w:val="none"/>
        </w:rPr>
      </w:pPr>
    </w:p>
    <w:p>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w:t>
      </w:r>
      <w:r>
        <w:rPr>
          <w:rFonts w:hint="eastAsia" w:ascii="宋体" w:hAnsi="宋体" w:eastAsia="宋体" w:cs="宋体"/>
          <w:color w:val="auto"/>
          <w:spacing w:val="20"/>
          <w:sz w:val="22"/>
          <w:szCs w:val="22"/>
          <w:highlight w:val="none"/>
        </w:rPr>
        <w:t>企业名称（盖章）：</w:t>
      </w:r>
    </w:p>
    <w:p>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w:t>
      </w:r>
      <w:r>
        <w:rPr>
          <w:rFonts w:hint="eastAsia" w:ascii="宋体" w:hAnsi="宋体" w:eastAsia="宋体" w:cs="宋体"/>
          <w:color w:val="auto"/>
          <w:spacing w:val="20"/>
          <w:sz w:val="22"/>
          <w:szCs w:val="22"/>
          <w:highlight w:val="none"/>
        </w:rPr>
        <w:t>日 期：</w:t>
      </w:r>
    </w:p>
    <w:p>
      <w:pPr>
        <w:pStyle w:val="9"/>
        <w:rPr>
          <w:rFonts w:hint="eastAsia" w:ascii="宋体" w:hAnsi="宋体" w:eastAsia="宋体" w:cs="宋体"/>
          <w:color w:val="auto"/>
          <w:spacing w:val="20"/>
          <w:sz w:val="22"/>
          <w:szCs w:val="22"/>
          <w:highlight w:val="none"/>
        </w:rPr>
      </w:pPr>
    </w:p>
    <w:p>
      <w:pPr>
        <w:rPr>
          <w:rFonts w:hint="eastAsia" w:ascii="宋体" w:hAnsi="宋体" w:eastAsia="宋体" w:cs="宋体"/>
          <w:color w:val="auto"/>
          <w:spacing w:val="20"/>
          <w:sz w:val="22"/>
          <w:szCs w:val="22"/>
          <w:highlight w:val="none"/>
        </w:rPr>
      </w:pPr>
    </w:p>
    <w:p>
      <w:pPr>
        <w:pStyle w:val="9"/>
        <w:rPr>
          <w:rFonts w:hint="eastAsia" w:ascii="宋体" w:hAnsi="宋体" w:eastAsia="宋体" w:cs="宋体"/>
          <w:color w:val="auto"/>
          <w:spacing w:val="20"/>
          <w:sz w:val="22"/>
          <w:szCs w:val="22"/>
          <w:highlight w:val="none"/>
        </w:rPr>
      </w:pPr>
    </w:p>
    <w:p>
      <w:pPr>
        <w:rPr>
          <w:rFonts w:hint="eastAsia" w:ascii="宋体" w:hAnsi="宋体" w:eastAsia="宋体" w:cs="宋体"/>
          <w:color w:val="auto"/>
          <w:spacing w:val="20"/>
          <w:sz w:val="22"/>
          <w:szCs w:val="22"/>
          <w:highlight w:val="none"/>
        </w:rPr>
      </w:pPr>
    </w:p>
    <w:p>
      <w:pPr>
        <w:rPr>
          <w:rFonts w:hint="eastAsia"/>
          <w:color w:val="auto"/>
          <w:highlight w:val="none"/>
        </w:rPr>
      </w:pPr>
      <w:r>
        <w:rPr>
          <w:rFonts w:hint="eastAsia"/>
          <w:color w:val="auto"/>
          <w:highlight w:val="none"/>
        </w:rPr>
        <w:br w:type="page"/>
      </w:r>
    </w:p>
    <w:p>
      <w:pPr>
        <w:rPr>
          <w:rFonts w:hint="eastAsia"/>
          <w:color w:val="auto"/>
          <w:highlight w:val="none"/>
        </w:rPr>
      </w:pPr>
    </w:p>
    <w:p>
      <w:pPr>
        <w:rPr>
          <w:rFonts w:hint="eastAsia" w:ascii="宋体" w:hAnsi="宋体" w:eastAsia="宋体" w:cs="宋体"/>
          <w:color w:val="auto"/>
          <w:spacing w:val="20"/>
          <w:sz w:val="22"/>
          <w:szCs w:val="22"/>
          <w:highlight w:val="none"/>
        </w:rPr>
      </w:pPr>
    </w:p>
    <w:p>
      <w:pPr>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中小企业声明函（工程、服务）</w:t>
      </w:r>
      <w:r>
        <w:rPr>
          <w:rFonts w:hint="eastAsia" w:ascii="宋体" w:hAnsi="宋体" w:eastAsia="宋体" w:cs="宋体"/>
          <w:b/>
          <w:bCs/>
          <w:color w:val="auto"/>
          <w:sz w:val="24"/>
          <w:szCs w:val="24"/>
          <w:highlight w:val="none"/>
          <w:lang w:eastAsia="zh-CN"/>
        </w:rPr>
        <w:t>》</w:t>
      </w:r>
    </w:p>
    <w:p>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【不属于中小企业单位的无需填写、递交】</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本公司（联合体）郑重声明，根据《政府采购促进中小企业发展管理办法》（财库﹝2020﹞46 号）的规定，本公司（联合体）参加</w:t>
      </w:r>
      <w:r>
        <w:rPr>
          <w:rFonts w:hint="eastAsia" w:ascii="宋体" w:hAnsi="宋体" w:eastAsia="宋体" w:cs="宋体"/>
          <w:color w:val="auto"/>
          <w:spacing w:val="20"/>
          <w:sz w:val="22"/>
          <w:szCs w:val="22"/>
          <w:highlight w:val="none"/>
          <w:u w:val="single"/>
        </w:rPr>
        <w:t>（单位名称）</w:t>
      </w:r>
      <w:r>
        <w:rPr>
          <w:rFonts w:hint="eastAsia" w:ascii="宋体" w:hAnsi="宋体" w:eastAsia="宋体" w:cs="宋体"/>
          <w:color w:val="auto"/>
          <w:spacing w:val="20"/>
          <w:sz w:val="22"/>
          <w:szCs w:val="22"/>
          <w:highlight w:val="none"/>
        </w:rPr>
        <w:t>的</w:t>
      </w:r>
      <w:r>
        <w:rPr>
          <w:rFonts w:hint="eastAsia" w:ascii="宋体" w:hAnsi="宋体" w:eastAsia="宋体" w:cs="宋体"/>
          <w:color w:val="auto"/>
          <w:spacing w:val="20"/>
          <w:sz w:val="22"/>
          <w:szCs w:val="22"/>
          <w:highlight w:val="none"/>
          <w:u w:val="single"/>
        </w:rPr>
        <w:t>（项目名称）</w:t>
      </w:r>
      <w:r>
        <w:rPr>
          <w:rFonts w:hint="eastAsia" w:ascii="宋体" w:hAnsi="宋体" w:eastAsia="宋体" w:cs="宋体"/>
          <w:color w:val="auto"/>
          <w:spacing w:val="20"/>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1.</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 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 xml:space="preserve">； </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2.</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w:t>
      </w:r>
    </w:p>
    <w:p>
      <w:pPr>
        <w:spacing w:line="460" w:lineRule="exact"/>
        <w:ind w:firstLine="639" w:firstLineChars="245"/>
        <w:rPr>
          <w:rFonts w:hint="eastAsia" w:ascii="宋体" w:hAnsi="宋体" w:eastAsia="宋体" w:cs="宋体"/>
          <w:b/>
          <w:bCs/>
          <w:color w:val="auto"/>
          <w:spacing w:val="20"/>
          <w:sz w:val="22"/>
          <w:szCs w:val="22"/>
          <w:highlight w:val="none"/>
        </w:rPr>
      </w:pPr>
      <w:r>
        <w:rPr>
          <w:rFonts w:hint="eastAsia" w:ascii="宋体" w:hAnsi="宋体" w:eastAsia="宋体" w:cs="宋体"/>
          <w:b/>
          <w:bCs/>
          <w:color w:val="auto"/>
          <w:spacing w:val="20"/>
          <w:sz w:val="22"/>
          <w:szCs w:val="22"/>
          <w:highlight w:val="none"/>
        </w:rPr>
        <w:t>……</w:t>
      </w:r>
    </w:p>
    <w:p>
      <w:pPr>
        <w:spacing w:line="460" w:lineRule="exact"/>
        <w:ind w:firstLine="637" w:firstLineChars="245"/>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rPr>
        <w:t xml:space="preserve">以上企业，不属于大企业的分支机构，不存在控股股东为大企业的情形，也不存在与大企业的负责人为同一人的情形。本企业对上述声明内容的真实性负责。如有虚假，将依法承担相应责任。 </w:t>
      </w:r>
    </w:p>
    <w:p>
      <w:pPr>
        <w:spacing w:line="460" w:lineRule="exact"/>
        <w:jc w:val="center"/>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lang w:val="en-US" w:eastAsia="zh-CN"/>
        </w:rPr>
        <w:t xml:space="preserve">           企业</w:t>
      </w:r>
      <w:r>
        <w:rPr>
          <w:rFonts w:hint="eastAsia" w:ascii="宋体" w:hAnsi="宋体" w:eastAsia="宋体" w:cs="宋体"/>
          <w:color w:val="auto"/>
          <w:spacing w:val="20"/>
          <w:sz w:val="22"/>
          <w:szCs w:val="22"/>
          <w:highlight w:val="none"/>
        </w:rPr>
        <w:t>名称（盖章）：</w:t>
      </w:r>
    </w:p>
    <w:p>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日</w:t>
      </w:r>
      <w:r>
        <w:rPr>
          <w:rFonts w:hint="eastAsia" w:ascii="宋体" w:hAnsi="宋体" w:eastAsia="宋体" w:cs="宋体"/>
          <w:color w:val="auto"/>
          <w:spacing w:val="20"/>
          <w:sz w:val="22"/>
          <w:szCs w:val="22"/>
          <w:highlight w:val="none"/>
        </w:rPr>
        <w:t xml:space="preserve"> 期：</w:t>
      </w: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20" w:lineRule="exact"/>
        <w:ind w:left="514" w:leftChars="245"/>
        <w:outlineLvl w:val="3"/>
        <w:rPr>
          <w:rFonts w:hint="eastAsia" w:ascii="宋体" w:hAnsi="宋体" w:eastAsia="宋体" w:cs="宋体"/>
          <w:b/>
          <w:bCs/>
          <w:color w:val="auto"/>
          <w:sz w:val="22"/>
          <w:szCs w:val="22"/>
          <w:highlight w:val="none"/>
        </w:rPr>
      </w:pPr>
      <w:r>
        <w:rPr>
          <w:rFonts w:hint="eastAsia" w:ascii="宋体" w:hAnsi="宋体" w:eastAsia="宋体" w:cs="宋体"/>
          <w:b/>
          <w:bCs/>
          <w:color w:val="auto"/>
          <w:sz w:val="28"/>
          <w:szCs w:val="28"/>
          <w:highlight w:val="none"/>
        </w:rPr>
        <w:t>6、残疾人福利性单位的相关证明材料</w:t>
      </w:r>
    </w:p>
    <w:p>
      <w:pPr>
        <w:spacing w:line="460" w:lineRule="exact"/>
        <w:ind w:firstLine="699" w:firstLineChars="300"/>
        <w:rPr>
          <w:rFonts w:hint="eastAsia" w:ascii="宋体" w:hAnsi="宋体" w:eastAsia="宋体" w:cs="宋体"/>
          <w:color w:val="auto"/>
          <w:spacing w:val="20"/>
          <w:sz w:val="22"/>
          <w:szCs w:val="22"/>
          <w:highlight w:val="none"/>
        </w:rPr>
      </w:pPr>
      <w:r>
        <w:rPr>
          <w:rFonts w:hint="eastAsia" w:ascii="宋体" w:hAnsi="宋体" w:eastAsia="宋体" w:cs="宋体"/>
          <w:b/>
          <w:color w:val="auto"/>
          <w:spacing w:val="6"/>
          <w:sz w:val="22"/>
          <w:szCs w:val="22"/>
          <w:highlight w:val="none"/>
        </w:rPr>
        <w:t>需提供相关证明材料，</w:t>
      </w:r>
      <w:r>
        <w:rPr>
          <w:rFonts w:hint="eastAsia" w:ascii="宋体" w:hAnsi="宋体" w:eastAsia="宋体" w:cs="宋体"/>
          <w:b/>
          <w:bCs/>
          <w:color w:val="auto"/>
          <w:sz w:val="22"/>
          <w:szCs w:val="22"/>
          <w:highlight w:val="none"/>
          <w:u w:val="single"/>
          <w:lang w:val="zh-CN"/>
        </w:rPr>
        <w:t>未提供证明材料或不能清楚辨析</w:t>
      </w:r>
      <w:r>
        <w:rPr>
          <w:rFonts w:hint="eastAsia" w:ascii="宋体" w:hAnsi="宋体" w:eastAsia="宋体" w:cs="宋体"/>
          <w:b/>
          <w:bCs/>
          <w:color w:val="auto"/>
          <w:sz w:val="22"/>
          <w:szCs w:val="22"/>
          <w:highlight w:val="none"/>
          <w:u w:val="single"/>
        </w:rPr>
        <w:t>是残疾人福利性单位的按非残疾人福利性单位处理，所提供的证明材料应为最新的最近的</w:t>
      </w:r>
      <w:r>
        <w:rPr>
          <w:rFonts w:hint="eastAsia" w:ascii="宋体" w:hAnsi="宋体" w:eastAsia="宋体" w:cs="宋体"/>
          <w:b/>
          <w:bCs/>
          <w:color w:val="auto"/>
          <w:sz w:val="22"/>
          <w:szCs w:val="22"/>
          <w:highlight w:val="none"/>
          <w:u w:val="single"/>
          <w:lang w:val="zh-CN"/>
        </w:rPr>
        <w:t>。</w:t>
      </w:r>
    </w:p>
    <w:p>
      <w:pPr>
        <w:spacing w:line="460" w:lineRule="exact"/>
        <w:rPr>
          <w:rFonts w:hint="eastAsia" w:ascii="宋体" w:hAnsi="宋体" w:eastAsia="宋体" w:cs="宋体"/>
          <w:color w:val="auto"/>
          <w:spacing w:val="20"/>
          <w:sz w:val="22"/>
          <w:szCs w:val="22"/>
          <w:highlight w:val="none"/>
        </w:rPr>
      </w:pPr>
    </w:p>
    <w:p>
      <w:pPr>
        <w:spacing w:line="460" w:lineRule="exact"/>
        <w:rPr>
          <w:rFonts w:hint="eastAsia" w:ascii="宋体" w:hAnsi="宋体" w:eastAsia="宋体" w:cs="宋体"/>
          <w:color w:val="auto"/>
          <w:spacing w:val="20"/>
          <w:sz w:val="22"/>
          <w:szCs w:val="22"/>
          <w:highlight w:val="none"/>
        </w:rPr>
      </w:pPr>
    </w:p>
    <w:p>
      <w:pPr>
        <w:spacing w:line="460" w:lineRule="exact"/>
        <w:jc w:val="center"/>
        <w:rPr>
          <w:rFonts w:hint="eastAsia" w:ascii="宋体" w:hAnsi="宋体" w:eastAsia="宋体" w:cs="宋体"/>
          <w:color w:val="auto"/>
          <w:spacing w:val="6"/>
          <w:sz w:val="22"/>
          <w:szCs w:val="22"/>
          <w:highlight w:val="none"/>
        </w:rPr>
      </w:pPr>
      <w:r>
        <w:rPr>
          <w:rFonts w:hint="eastAsia" w:ascii="宋体" w:hAnsi="宋体" w:eastAsia="宋体" w:cs="宋体"/>
          <w:b/>
          <w:color w:val="auto"/>
          <w:spacing w:val="6"/>
          <w:sz w:val="22"/>
          <w:szCs w:val="22"/>
          <w:highlight w:val="none"/>
        </w:rPr>
        <w:t>残疾人福利性单位声明函</w:t>
      </w:r>
    </w:p>
    <w:p>
      <w:pPr>
        <w:widowControl/>
        <w:adjustRightInd w:val="0"/>
        <w:snapToGrid w:val="0"/>
        <w:spacing w:line="460" w:lineRule="exact"/>
        <w:ind w:firstLine="440" w:firstLineChars="20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【不属于残疾人福利性单位的无需填写、递交】</w:t>
      </w:r>
    </w:p>
    <w:p>
      <w:pPr>
        <w:snapToGrid w:val="0"/>
        <w:spacing w:line="460" w:lineRule="exact"/>
        <w:jc w:val="center"/>
        <w:rPr>
          <w:rFonts w:hint="eastAsia" w:ascii="宋体" w:hAnsi="宋体" w:eastAsia="宋体" w:cs="宋体"/>
          <w:b/>
          <w:bCs/>
          <w:color w:val="auto"/>
          <w:sz w:val="22"/>
          <w:szCs w:val="22"/>
          <w:highlight w:val="none"/>
        </w:rPr>
      </w:pP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本单位郑重声明，根据《财政部民政部中国残疾人联合会关于促进残疾人就业政府采购政策的通知》（财库</w:t>
      </w:r>
      <w:r>
        <w:rPr>
          <w:rFonts w:hint="eastAsia" w:ascii="宋体" w:hAnsi="宋体" w:eastAsia="宋体" w:cs="宋体"/>
          <w:color w:val="auto"/>
          <w:sz w:val="22"/>
          <w:szCs w:val="22"/>
          <w:highlight w:val="none"/>
        </w:rPr>
        <w:t>〔2017〕141</w:t>
      </w:r>
      <w:r>
        <w:rPr>
          <w:rFonts w:hint="eastAsia" w:ascii="宋体" w:hAnsi="宋体" w:eastAsia="宋体" w:cs="宋体"/>
          <w:color w:val="auto"/>
          <w:spacing w:val="6"/>
          <w:sz w:val="22"/>
          <w:szCs w:val="22"/>
          <w:highlight w:val="none"/>
        </w:rPr>
        <w:t>号）的规定，本单位为符合条件的残疾人福利性单位，且本单位参加</w:t>
      </w:r>
      <w:r>
        <w:rPr>
          <w:rFonts w:hint="eastAsia" w:ascii="宋体" w:hAnsi="宋体" w:eastAsia="宋体" w:cs="宋体"/>
          <w:color w:val="auto"/>
          <w:spacing w:val="6"/>
          <w:sz w:val="22"/>
          <w:szCs w:val="22"/>
          <w:highlight w:val="none"/>
          <w:u w:val="single"/>
        </w:rPr>
        <w:t>（招标人名称）</w:t>
      </w:r>
      <w:r>
        <w:rPr>
          <w:rFonts w:hint="eastAsia" w:ascii="宋体" w:hAnsi="宋体" w:eastAsia="宋体" w:cs="宋体"/>
          <w:color w:val="auto"/>
          <w:spacing w:val="6"/>
          <w:sz w:val="22"/>
          <w:szCs w:val="22"/>
          <w:highlight w:val="none"/>
        </w:rPr>
        <w:t>单位的</w:t>
      </w:r>
      <w:r>
        <w:rPr>
          <w:rFonts w:hint="eastAsia" w:ascii="宋体" w:hAnsi="宋体" w:eastAsia="宋体" w:cs="宋体"/>
          <w:color w:val="auto"/>
          <w:spacing w:val="6"/>
          <w:sz w:val="22"/>
          <w:szCs w:val="22"/>
          <w:highlight w:val="none"/>
          <w:u w:val="single"/>
        </w:rPr>
        <w:t>（招标项目名称）</w:t>
      </w:r>
      <w:r>
        <w:rPr>
          <w:rFonts w:hint="eastAsia" w:ascii="宋体" w:hAnsi="宋体" w:eastAsia="宋体" w:cs="宋体"/>
          <w:color w:val="auto"/>
          <w:spacing w:val="6"/>
          <w:sz w:val="22"/>
          <w:szCs w:val="22"/>
          <w:highlight w:val="none"/>
        </w:rPr>
        <w:t>项目采购活动提供本单位制造的货物（由本单位承担工程/提供服务），或者提供其他残疾人福利性单位制造的货物（不包括使用非残疾人福利性单位注册商标的货物）。</w:t>
      </w:r>
    </w:p>
    <w:p>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本单位对上述声明的真实性负责。如有虚假，将依法承担相应责任。</w:t>
      </w:r>
    </w:p>
    <w:p>
      <w:pPr>
        <w:snapToGrid w:val="0"/>
        <w:spacing w:line="460" w:lineRule="exact"/>
        <w:ind w:firstLine="464" w:firstLineChars="200"/>
        <w:rPr>
          <w:rFonts w:hint="eastAsia" w:ascii="宋体" w:hAnsi="宋体" w:eastAsia="宋体" w:cs="宋体"/>
          <w:color w:val="auto"/>
          <w:spacing w:val="6"/>
          <w:sz w:val="22"/>
          <w:szCs w:val="22"/>
          <w:highlight w:val="none"/>
        </w:rPr>
      </w:pPr>
    </w:p>
    <w:p>
      <w:pPr>
        <w:snapToGrid w:val="0"/>
        <w:spacing w:line="460" w:lineRule="exact"/>
        <w:ind w:firstLine="464" w:firstLineChars="200"/>
        <w:rPr>
          <w:rFonts w:hint="eastAsia" w:ascii="宋体" w:hAnsi="宋体" w:eastAsia="宋体" w:cs="宋体"/>
          <w:color w:val="auto"/>
          <w:spacing w:val="6"/>
          <w:sz w:val="22"/>
          <w:szCs w:val="22"/>
          <w:highlight w:val="none"/>
        </w:rPr>
      </w:pPr>
    </w:p>
    <w:p>
      <w:pPr>
        <w:adjustRightInd w:val="0"/>
        <w:snapToGrid w:val="0"/>
        <w:spacing w:line="460" w:lineRule="exact"/>
        <w:ind w:firstLine="440" w:firstLineChars="20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rPr>
        <w:t>投标人全称（盖章）：</w:t>
      </w:r>
      <w:r>
        <w:rPr>
          <w:rFonts w:hint="eastAsia" w:ascii="宋体" w:hAnsi="宋体" w:eastAsia="宋体" w:cs="宋体"/>
          <w:color w:val="auto"/>
          <w:kern w:val="0"/>
          <w:sz w:val="22"/>
          <w:szCs w:val="22"/>
          <w:highlight w:val="none"/>
          <w:u w:val="single"/>
        </w:rPr>
        <w:t xml:space="preserve">                    </w:t>
      </w:r>
    </w:p>
    <w:p>
      <w:pPr>
        <w:pStyle w:val="22"/>
        <w:spacing w:line="460" w:lineRule="exact"/>
        <w:ind w:left="437" w:leftChars="208"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日期：    年   月  日</w:t>
      </w:r>
    </w:p>
    <w:p>
      <w:pPr>
        <w:pStyle w:val="22"/>
        <w:spacing w:line="460" w:lineRule="exact"/>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pStyle w:val="22"/>
        <w:ind w:left="440" w:hanging="440"/>
        <w:rPr>
          <w:rFonts w:hint="eastAsia" w:ascii="宋体" w:hAnsi="宋体" w:eastAsia="宋体" w:cs="宋体"/>
          <w:color w:val="auto"/>
          <w:kern w:val="0"/>
          <w:sz w:val="22"/>
          <w:szCs w:val="22"/>
          <w:highlight w:val="none"/>
        </w:rPr>
      </w:pPr>
    </w:p>
    <w:p>
      <w:pP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pPr>
        <w:pStyle w:val="22"/>
        <w:spacing w:line="460" w:lineRule="exact"/>
        <w:ind w:left="433" w:hanging="433" w:hangingChars="196"/>
        <w:outlineLvl w:val="1"/>
        <w:rPr>
          <w:rFonts w:hint="eastAsia" w:ascii="宋体" w:hAnsi="宋体" w:eastAsia="宋体" w:cs="宋体"/>
          <w:b/>
          <w:color w:val="auto"/>
          <w:sz w:val="22"/>
          <w:szCs w:val="22"/>
          <w:highlight w:val="none"/>
        </w:rPr>
      </w:pPr>
      <w:bookmarkStart w:id="43" w:name="_Toc19402"/>
      <w:bookmarkStart w:id="44" w:name="_Toc6876"/>
      <w:r>
        <w:rPr>
          <w:rFonts w:hint="eastAsia" w:ascii="宋体" w:hAnsi="宋体" w:eastAsia="宋体" w:cs="宋体"/>
          <w:b/>
          <w:color w:val="auto"/>
          <w:sz w:val="22"/>
          <w:szCs w:val="22"/>
          <w:highlight w:val="none"/>
        </w:rPr>
        <w:t>附件二</w:t>
      </w:r>
      <w:bookmarkEnd w:id="43"/>
      <w:bookmarkEnd w:id="44"/>
    </w:p>
    <w:p>
      <w:pPr>
        <w:spacing w:line="460" w:lineRule="exact"/>
        <w:jc w:val="center"/>
        <w:outlineLvl w:val="2"/>
        <w:rPr>
          <w:rFonts w:hint="eastAsia" w:ascii="宋体" w:hAnsi="宋体" w:eastAsia="宋体" w:cs="宋体"/>
          <w:color w:val="auto"/>
          <w:sz w:val="28"/>
          <w:szCs w:val="28"/>
          <w:highlight w:val="none"/>
        </w:rPr>
      </w:pPr>
      <w:bookmarkStart w:id="45" w:name="_Toc200"/>
      <w:bookmarkStart w:id="46" w:name="_Toc4718"/>
      <w:r>
        <w:rPr>
          <w:rFonts w:hint="eastAsia" w:ascii="宋体" w:hAnsi="宋体" w:eastAsia="宋体" w:cs="宋体"/>
          <w:b/>
          <w:bCs/>
          <w:color w:val="auto"/>
          <w:sz w:val="28"/>
          <w:szCs w:val="28"/>
          <w:highlight w:val="none"/>
        </w:rPr>
        <w:t>资格证明文件</w:t>
      </w:r>
      <w:bookmarkEnd w:id="45"/>
      <w:bookmarkEnd w:id="46"/>
      <w:r>
        <w:rPr>
          <w:rFonts w:hint="eastAsia" w:ascii="宋体" w:hAnsi="宋体" w:eastAsia="宋体" w:cs="宋体"/>
          <w:color w:val="auto"/>
          <w:sz w:val="28"/>
          <w:szCs w:val="28"/>
          <w:highlight w:val="none"/>
        </w:rPr>
        <w:t xml:space="preserve"> </w:t>
      </w:r>
    </w:p>
    <w:p>
      <w:pPr>
        <w:spacing w:line="400" w:lineRule="exac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1、有效营业执照（复印件盖单位公章）</w:t>
      </w:r>
    </w:p>
    <w:p>
      <w:pPr>
        <w:spacing w:line="400" w:lineRule="exac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2、最近一年财务报表(复印件，新成立的公司提供情况说明)；</w:t>
      </w:r>
    </w:p>
    <w:p>
      <w:pPr>
        <w:spacing w:line="460" w:lineRule="exact"/>
        <w:ind w:left="514" w:leftChars="245"/>
        <w:jc w:val="left"/>
        <w:rPr>
          <w:rFonts w:hint="eastAsia" w:ascii="宋体" w:hAnsi="宋体" w:eastAsia="宋体" w:cs="宋体"/>
          <w:b/>
          <w:bCs/>
          <w:color w:val="auto"/>
          <w:szCs w:val="21"/>
          <w:highlight w:val="none"/>
        </w:rPr>
      </w:pPr>
    </w:p>
    <w:p>
      <w:pPr>
        <w:spacing w:line="460" w:lineRule="exact"/>
        <w:jc w:val="left"/>
        <w:outlineLvl w:val="3"/>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3、具有履行合同所必需的场地、设备和专业技术能力的承诺函；</w:t>
      </w:r>
    </w:p>
    <w:p>
      <w:pPr>
        <w:shd w:val="clear" w:color="auto" w:fill="FFFFFF"/>
        <w:snapToGrid w:val="0"/>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、温州历程招标有限公司</w:t>
      </w:r>
      <w:r>
        <w:rPr>
          <w:rFonts w:hint="eastAsia" w:ascii="宋体" w:hAnsi="宋体" w:eastAsia="宋体" w:cs="宋体"/>
          <w:color w:val="auto"/>
          <w:kern w:val="0"/>
          <w:sz w:val="22"/>
          <w:szCs w:val="22"/>
          <w:highlight w:val="none"/>
        </w:rPr>
        <w:t>：</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我方</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lang w:val="en-US" w:eastAsia="zh-CN"/>
        </w:rPr>
        <w:t>投标人</w:t>
      </w:r>
      <w:r>
        <w:rPr>
          <w:rFonts w:hint="eastAsia" w:ascii="宋体" w:hAnsi="宋体" w:eastAsia="宋体" w:cs="宋体"/>
          <w:color w:val="auto"/>
          <w:kern w:val="0"/>
          <w:sz w:val="22"/>
          <w:szCs w:val="22"/>
          <w:highlight w:val="none"/>
          <w:u w:val="single"/>
        </w:rPr>
        <w:t>）</w:t>
      </w:r>
      <w:r>
        <w:rPr>
          <w:rFonts w:hint="eastAsia" w:ascii="宋体" w:hAnsi="宋体" w:eastAsia="宋体" w:cs="宋体"/>
          <w:color w:val="auto"/>
          <w:kern w:val="0"/>
          <w:sz w:val="22"/>
          <w:szCs w:val="22"/>
          <w:highlight w:val="none"/>
        </w:rPr>
        <w:t>承诺具有履行合同所必需的场地、设备和专业技术能力。如有虚假，招标人可取消我方任何资格（投标/中标/签订合同），我方对此无任何异议。</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特此承诺！</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投标人全称（盖章）</w:t>
      </w:r>
      <w:r>
        <w:rPr>
          <w:rFonts w:hint="eastAsia" w:ascii="宋体" w:hAnsi="宋体" w:eastAsia="宋体" w:cs="宋体"/>
          <w:color w:val="auto"/>
          <w:kern w:val="0"/>
          <w:sz w:val="22"/>
          <w:szCs w:val="22"/>
          <w:highlight w:val="none"/>
        </w:rPr>
        <w:t xml:space="preserve"> ：</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法定代表人或其授权代表（签字或盖章）：</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pStyle w:val="22"/>
        <w:spacing w:line="460" w:lineRule="exact"/>
        <w:ind w:left="479" w:leftChars="228" w:firstLine="5280" w:firstLineChars="24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日期：     年  月  日</w:t>
      </w:r>
    </w:p>
    <w:p>
      <w:pPr>
        <w:pStyle w:val="22"/>
        <w:spacing w:line="460" w:lineRule="exact"/>
        <w:ind w:left="0" w:firstLine="0" w:firstLineChars="0"/>
        <w:rPr>
          <w:rFonts w:hint="eastAsia" w:ascii="宋体" w:hAnsi="宋体" w:eastAsia="宋体" w:cs="宋体"/>
          <w:color w:val="auto"/>
          <w:kern w:val="0"/>
          <w:highlight w:val="none"/>
        </w:rPr>
      </w:pPr>
    </w:p>
    <w:p>
      <w:pPr>
        <w:spacing w:line="460" w:lineRule="exact"/>
        <w:jc w:val="left"/>
        <w:outlineLvl w:val="3"/>
        <w:rPr>
          <w:rFonts w:hint="eastAsia" w:ascii="宋体" w:hAnsi="宋体" w:eastAsia="宋体" w:cs="宋体"/>
          <w:color w:val="auto"/>
          <w:sz w:val="20"/>
          <w:szCs w:val="22"/>
          <w:highlight w:val="none"/>
        </w:rPr>
      </w:pPr>
      <w:r>
        <w:rPr>
          <w:rFonts w:hint="eastAsia" w:ascii="宋体" w:hAnsi="宋体" w:eastAsia="宋体" w:cs="宋体"/>
          <w:b/>
          <w:bCs/>
          <w:color w:val="auto"/>
          <w:sz w:val="24"/>
          <w:highlight w:val="none"/>
        </w:rPr>
        <w:t>4、依法缴纳税收和社会保障资金的承诺函；</w:t>
      </w:r>
    </w:p>
    <w:p>
      <w:pPr>
        <w:shd w:val="clear" w:color="auto" w:fill="FFFFFF"/>
        <w:snapToGrid w:val="0"/>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、温州历程招标有限公司</w:t>
      </w:r>
      <w:r>
        <w:rPr>
          <w:rFonts w:hint="eastAsia" w:ascii="宋体" w:hAnsi="宋体" w:eastAsia="宋体" w:cs="宋体"/>
          <w:color w:val="auto"/>
          <w:kern w:val="0"/>
          <w:sz w:val="22"/>
          <w:szCs w:val="22"/>
          <w:highlight w:val="none"/>
        </w:rPr>
        <w:t>：</w:t>
      </w: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我公司郑重声明，我公司严格依法缴纳税收和社会保障资金，本文件中所提供的相关材料均真实有效，不存在虚假、造假行为。如有违反，愿承担一切责任。</w:t>
      </w:r>
    </w:p>
    <w:p>
      <w:pPr>
        <w:spacing w:line="460" w:lineRule="exact"/>
        <w:ind w:firstLine="440" w:firstLineChars="200"/>
        <w:rPr>
          <w:rFonts w:hint="eastAsia" w:ascii="宋体" w:hAnsi="宋体" w:eastAsia="宋体" w:cs="宋体"/>
          <w:color w:val="auto"/>
          <w:kern w:val="0"/>
          <w:sz w:val="22"/>
          <w:szCs w:val="22"/>
          <w:highlight w:val="none"/>
        </w:rPr>
      </w:pP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特此承诺！</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投标人全称（盖章）</w:t>
      </w:r>
      <w:r>
        <w:rPr>
          <w:rFonts w:hint="eastAsia" w:ascii="宋体" w:hAnsi="宋体" w:eastAsia="宋体" w:cs="宋体"/>
          <w:color w:val="auto"/>
          <w:kern w:val="0"/>
          <w:sz w:val="22"/>
          <w:szCs w:val="22"/>
          <w:highlight w:val="none"/>
        </w:rPr>
        <w:t xml:space="preserve"> ：</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法定代表人或其授权代表（签字或盖章）：</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pStyle w:val="22"/>
        <w:spacing w:line="460" w:lineRule="exact"/>
        <w:ind w:left="-420" w:leftChars="-200" w:firstLine="6160" w:firstLineChars="28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日期：     年  月  日</w:t>
      </w:r>
    </w:p>
    <w:p>
      <w:pPr>
        <w:pStyle w:val="22"/>
        <w:spacing w:line="460" w:lineRule="exact"/>
        <w:ind w:left="0" w:firstLine="0" w:firstLineChars="0"/>
        <w:rPr>
          <w:rFonts w:hint="eastAsia" w:ascii="宋体" w:hAnsi="宋体" w:eastAsia="宋体" w:cs="宋体"/>
          <w:color w:val="auto"/>
          <w:kern w:val="0"/>
          <w:highlight w:val="none"/>
        </w:rPr>
      </w:pPr>
    </w:p>
    <w:p>
      <w:pPr>
        <w:pStyle w:val="22"/>
        <w:spacing w:line="460" w:lineRule="exact"/>
        <w:ind w:left="0" w:firstLine="0" w:firstLineChars="0"/>
        <w:rPr>
          <w:rFonts w:hint="eastAsia" w:ascii="宋体" w:hAnsi="宋体" w:eastAsia="宋体" w:cs="宋体"/>
          <w:color w:val="auto"/>
          <w:kern w:val="0"/>
          <w:highlight w:val="none"/>
        </w:rPr>
      </w:pPr>
    </w:p>
    <w:p>
      <w:pPr>
        <w:pStyle w:val="22"/>
        <w:spacing w:line="460" w:lineRule="exact"/>
        <w:ind w:left="0" w:firstLine="0" w:firstLineChars="0"/>
        <w:rPr>
          <w:rFonts w:hint="eastAsia" w:ascii="宋体" w:hAnsi="宋体" w:eastAsia="宋体" w:cs="宋体"/>
          <w:color w:val="auto"/>
          <w:kern w:val="0"/>
          <w:highlight w:val="none"/>
        </w:rPr>
      </w:pPr>
    </w:p>
    <w:p>
      <w:pPr>
        <w:pStyle w:val="22"/>
        <w:spacing w:line="460" w:lineRule="exact"/>
        <w:ind w:left="0" w:firstLine="0" w:firstLineChars="0"/>
        <w:rPr>
          <w:rFonts w:hint="eastAsia" w:ascii="宋体" w:hAnsi="宋体" w:eastAsia="宋体" w:cs="宋体"/>
          <w:color w:val="auto"/>
          <w:kern w:val="0"/>
          <w:highlight w:val="none"/>
        </w:rPr>
      </w:pPr>
    </w:p>
    <w:p>
      <w:pPr>
        <w:spacing w:line="460" w:lineRule="exact"/>
        <w:outlineLvl w:val="3"/>
        <w:rPr>
          <w:rFonts w:hint="eastAsia" w:ascii="宋体" w:hAnsi="宋体" w:eastAsia="宋体" w:cs="宋体"/>
          <w:b/>
          <w:bCs/>
          <w:color w:val="auto"/>
          <w:sz w:val="22"/>
          <w:szCs w:val="22"/>
          <w:highlight w:val="none"/>
        </w:rPr>
      </w:pPr>
      <w:r>
        <w:rPr>
          <w:rFonts w:hint="eastAsia" w:ascii="宋体" w:hAnsi="宋体" w:eastAsia="宋体" w:cs="宋体"/>
          <w:b/>
          <w:bCs/>
          <w:color w:val="auto"/>
          <w:sz w:val="24"/>
          <w:highlight w:val="none"/>
        </w:rPr>
        <w:t>5、参加政府采购活动前3年内在经营活动中没有重大违法记录的声明函</w:t>
      </w:r>
      <w:r>
        <w:rPr>
          <w:rFonts w:hint="eastAsia" w:ascii="宋体" w:hAnsi="宋体" w:eastAsia="宋体" w:cs="宋体"/>
          <w:b/>
          <w:bCs/>
          <w:color w:val="auto"/>
          <w:sz w:val="22"/>
          <w:szCs w:val="22"/>
          <w:highlight w:val="none"/>
        </w:rPr>
        <w:t>；</w:t>
      </w:r>
    </w:p>
    <w:p>
      <w:pPr>
        <w:shd w:val="clear" w:color="auto" w:fill="FFFFFF"/>
        <w:snapToGrid w:val="0"/>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、温州历程招标有限公司</w:t>
      </w:r>
      <w:r>
        <w:rPr>
          <w:rFonts w:hint="eastAsia" w:ascii="宋体" w:hAnsi="宋体" w:eastAsia="宋体" w:cs="宋体"/>
          <w:color w:val="auto"/>
          <w:kern w:val="0"/>
          <w:sz w:val="22"/>
          <w:szCs w:val="22"/>
          <w:highlight w:val="none"/>
        </w:rPr>
        <w:t>：</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我方</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lang w:val="en-US" w:eastAsia="zh-CN"/>
        </w:rPr>
        <w:t>投标人</w:t>
      </w:r>
      <w:r>
        <w:rPr>
          <w:rFonts w:hint="eastAsia" w:ascii="宋体" w:hAnsi="宋体" w:eastAsia="宋体" w:cs="宋体"/>
          <w:color w:val="auto"/>
          <w:kern w:val="0"/>
          <w:sz w:val="22"/>
          <w:szCs w:val="22"/>
          <w:highlight w:val="none"/>
          <w:u w:val="single"/>
        </w:rPr>
        <w:t>）</w:t>
      </w:r>
      <w:r>
        <w:rPr>
          <w:rFonts w:hint="eastAsia" w:ascii="宋体" w:hAnsi="宋体" w:eastAsia="宋体" w:cs="宋体"/>
          <w:color w:val="auto"/>
          <w:kern w:val="0"/>
          <w:sz w:val="22"/>
          <w:szCs w:val="22"/>
          <w:highlight w:val="none"/>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招标人可取消我方任何资格（投标/中标/签订合同），我方对此无任何异议。</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特此承诺！</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投标人全称（盖章）</w:t>
      </w:r>
      <w:r>
        <w:rPr>
          <w:rFonts w:hint="eastAsia" w:ascii="宋体" w:hAnsi="宋体" w:eastAsia="宋体" w:cs="宋体"/>
          <w:color w:val="auto"/>
          <w:kern w:val="0"/>
          <w:sz w:val="22"/>
          <w:szCs w:val="22"/>
          <w:highlight w:val="none"/>
        </w:rPr>
        <w:t xml:space="preserve"> ：</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法定代表人或其授权代表（签字或盖章）：</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pStyle w:val="22"/>
        <w:spacing w:line="460" w:lineRule="exact"/>
        <w:ind w:left="514" w:leftChars="245" w:firstLine="5720" w:firstLineChars="2600"/>
        <w:rPr>
          <w:rFonts w:hint="eastAsia" w:ascii="宋体" w:hAnsi="宋体" w:eastAsia="宋体" w:cs="宋体"/>
          <w:color w:val="auto"/>
          <w:highlight w:val="none"/>
        </w:rPr>
      </w:pPr>
      <w:r>
        <w:rPr>
          <w:rFonts w:hint="eastAsia" w:ascii="宋体" w:hAnsi="宋体" w:eastAsia="宋体" w:cs="宋体"/>
          <w:color w:val="auto"/>
          <w:kern w:val="0"/>
          <w:sz w:val="22"/>
          <w:szCs w:val="22"/>
          <w:highlight w:val="none"/>
        </w:rPr>
        <w:t>日期：     年  月  日</w:t>
      </w:r>
    </w:p>
    <w:p>
      <w:pPr>
        <w:spacing w:line="460" w:lineRule="exact"/>
        <w:ind w:left="514" w:leftChars="245"/>
        <w:rPr>
          <w:rFonts w:hint="eastAsia" w:ascii="宋体" w:hAnsi="宋体" w:eastAsia="宋体" w:cs="宋体"/>
          <w:b/>
          <w:bCs/>
          <w:color w:val="auto"/>
          <w:sz w:val="22"/>
          <w:szCs w:val="22"/>
          <w:highlight w:val="none"/>
        </w:rPr>
      </w:pPr>
    </w:p>
    <w:p>
      <w:pPr>
        <w:pStyle w:val="22"/>
        <w:ind w:left="0" w:firstLine="0" w:firstLineChars="0"/>
        <w:rPr>
          <w:rFonts w:hint="eastAsia" w:ascii="宋体" w:hAnsi="宋体" w:eastAsia="宋体" w:cs="宋体"/>
          <w:color w:val="auto"/>
          <w:highlight w:val="none"/>
        </w:rPr>
      </w:pPr>
    </w:p>
    <w:p>
      <w:pPr>
        <w:spacing w:line="460" w:lineRule="exact"/>
        <w:outlineLvl w:val="3"/>
        <w:rPr>
          <w:rFonts w:hint="eastAsia" w:ascii="宋体" w:hAnsi="宋体" w:eastAsia="宋体" w:cs="宋体"/>
          <w:b/>
          <w:bCs/>
          <w:color w:val="auto"/>
          <w:szCs w:val="21"/>
          <w:highlight w:val="none"/>
        </w:rPr>
      </w:pPr>
      <w:r>
        <w:rPr>
          <w:rFonts w:hint="eastAsia" w:ascii="宋体" w:hAnsi="宋体" w:eastAsia="宋体" w:cs="宋体"/>
          <w:b/>
          <w:bCs/>
          <w:color w:val="auto"/>
          <w:sz w:val="24"/>
          <w:highlight w:val="none"/>
        </w:rPr>
        <w:t>6、单位负责人为同一人或者存在直接控股、管理关系的不同供应商，不得参加同一合同项下的政府采购活动承诺函；</w:t>
      </w:r>
    </w:p>
    <w:p>
      <w:pPr>
        <w:shd w:val="clear" w:color="auto" w:fill="FFFFFF"/>
        <w:snapToGrid w:val="0"/>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、温州历程招标有限公司</w:t>
      </w:r>
      <w:r>
        <w:rPr>
          <w:rFonts w:hint="eastAsia" w:ascii="宋体" w:hAnsi="宋体" w:eastAsia="宋体" w:cs="宋体"/>
          <w:color w:val="auto"/>
          <w:kern w:val="0"/>
          <w:sz w:val="22"/>
          <w:szCs w:val="22"/>
          <w:highlight w:val="none"/>
        </w:rPr>
        <w:t>：</w:t>
      </w: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我方郑重承诺，我方此次参加</w:t>
      </w:r>
      <w:r>
        <w:rPr>
          <w:rFonts w:hint="eastAsia" w:ascii="宋体" w:hAnsi="宋体" w:cs="宋体"/>
          <w:color w:val="auto"/>
          <w:sz w:val="22"/>
          <w:szCs w:val="22"/>
          <w:highlight w:val="none"/>
          <w:u w:val="single"/>
          <w:lang w:eastAsia="zh-CN"/>
        </w:rPr>
        <w:t>温州市市政管理中心</w:t>
      </w:r>
      <w:r>
        <w:rPr>
          <w:rFonts w:hint="eastAsia" w:ascii="宋体" w:hAnsi="宋体" w:eastAsia="宋体" w:cs="宋体"/>
          <w:color w:val="auto"/>
          <w:kern w:val="0"/>
          <w:sz w:val="22"/>
          <w:szCs w:val="22"/>
          <w:highlight w:val="none"/>
        </w:rPr>
        <w:t>项目的投标，与参加本次项目同一合同项下政府采购活动的其他供应商不存在单位负责人为同一人或者直接控股、管理关系。如有虚假或隐瞒，愿意承担一切后果。</w:t>
      </w:r>
    </w:p>
    <w:p>
      <w:pPr>
        <w:shd w:val="clear" w:color="auto" w:fill="FFFFFF"/>
        <w:snapToGrid w:val="0"/>
        <w:spacing w:line="460" w:lineRule="exact"/>
        <w:jc w:val="center"/>
        <w:rPr>
          <w:rFonts w:hint="eastAsia" w:ascii="宋体" w:hAnsi="宋体" w:eastAsia="宋体" w:cs="宋体"/>
          <w:b/>
          <w:color w:val="auto"/>
          <w:kern w:val="36"/>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特此承诺！</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投标人全称（盖章）</w:t>
      </w:r>
      <w:r>
        <w:rPr>
          <w:rFonts w:hint="eastAsia" w:ascii="宋体" w:hAnsi="宋体" w:eastAsia="宋体" w:cs="宋体"/>
          <w:color w:val="auto"/>
          <w:kern w:val="0"/>
          <w:sz w:val="22"/>
          <w:szCs w:val="22"/>
          <w:highlight w:val="none"/>
        </w:rPr>
        <w:t>：</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法定代表人或其授权代表（签字或盖章）：</w:t>
      </w:r>
    </w:p>
    <w:p>
      <w:pPr>
        <w:widowControl/>
        <w:adjustRightInd w:val="0"/>
        <w:snapToGrid w:val="0"/>
        <w:spacing w:line="460" w:lineRule="exact"/>
        <w:ind w:firstLine="440" w:firstLineChars="200"/>
        <w:jc w:val="left"/>
        <w:rPr>
          <w:rFonts w:hint="eastAsia" w:ascii="宋体" w:hAnsi="宋体" w:eastAsia="宋体" w:cs="宋体"/>
          <w:color w:val="auto"/>
          <w:kern w:val="0"/>
          <w:sz w:val="22"/>
          <w:szCs w:val="22"/>
          <w:highlight w:val="none"/>
        </w:rPr>
      </w:pPr>
    </w:p>
    <w:p>
      <w:pPr>
        <w:pStyle w:val="22"/>
        <w:spacing w:line="460" w:lineRule="exact"/>
        <w:ind w:left="514" w:leftChars="245" w:firstLine="5720" w:firstLineChars="2600"/>
        <w:rPr>
          <w:rFonts w:hint="eastAsia" w:ascii="宋体" w:hAnsi="宋体" w:eastAsia="宋体" w:cs="宋体"/>
          <w:color w:val="auto"/>
          <w:kern w:val="0"/>
          <w:highlight w:val="none"/>
        </w:rPr>
      </w:pPr>
      <w:r>
        <w:rPr>
          <w:rFonts w:hint="eastAsia" w:ascii="宋体" w:hAnsi="宋体" w:eastAsia="宋体" w:cs="宋体"/>
          <w:color w:val="auto"/>
          <w:kern w:val="0"/>
          <w:sz w:val="22"/>
          <w:szCs w:val="22"/>
          <w:highlight w:val="none"/>
        </w:rPr>
        <w:t>日期：     年  月  日</w:t>
      </w:r>
    </w:p>
    <w:p>
      <w:pPr>
        <w:pStyle w:val="22"/>
        <w:spacing w:line="460" w:lineRule="exact"/>
        <w:ind w:left="0" w:firstLine="0" w:firstLineChars="0"/>
        <w:rPr>
          <w:rFonts w:hint="eastAsia" w:ascii="宋体" w:hAnsi="宋体" w:eastAsia="宋体" w:cs="宋体"/>
          <w:color w:val="auto"/>
          <w:kern w:val="0"/>
          <w:highlight w:val="none"/>
        </w:rPr>
      </w:pPr>
    </w:p>
    <w:p>
      <w:pPr>
        <w:pStyle w:val="22"/>
        <w:spacing w:line="460" w:lineRule="exact"/>
        <w:ind w:left="0" w:firstLine="0" w:firstLineChars="0"/>
        <w:rPr>
          <w:rFonts w:hint="eastAsia" w:ascii="宋体" w:hAnsi="宋体" w:eastAsia="宋体" w:cs="宋体"/>
          <w:color w:val="auto"/>
          <w:kern w:val="0"/>
          <w:highlight w:val="none"/>
        </w:rPr>
      </w:pPr>
    </w:p>
    <w:p>
      <w:pPr>
        <w:spacing w:line="400" w:lineRule="exac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7、投标人不属于公益一类事业单位承诺函；</w:t>
      </w:r>
    </w:p>
    <w:p>
      <w:pPr>
        <w:shd w:val="clear" w:color="auto" w:fill="FFFFFF"/>
        <w:snapToGrid w:val="0"/>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、温州历程招标有限公司</w:t>
      </w:r>
      <w:r>
        <w:rPr>
          <w:rFonts w:hint="eastAsia" w:ascii="宋体" w:hAnsi="宋体" w:eastAsia="宋体" w:cs="宋体"/>
          <w:color w:val="auto"/>
          <w:kern w:val="0"/>
          <w:sz w:val="22"/>
          <w:szCs w:val="22"/>
          <w:highlight w:val="none"/>
        </w:rPr>
        <w:t>：</w:t>
      </w: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我方郑重承诺，我单位不属于公益一类事业单位，可承接</w:t>
      </w:r>
      <w:r>
        <w:rPr>
          <w:rFonts w:hint="eastAsia" w:ascii="宋体" w:hAnsi="宋体" w:cs="宋体"/>
          <w:color w:val="auto"/>
          <w:kern w:val="0"/>
          <w:sz w:val="22"/>
          <w:szCs w:val="22"/>
          <w:highlight w:val="none"/>
          <w:u w:val="single"/>
          <w:lang w:eastAsia="zh-CN"/>
        </w:rPr>
        <w:t>温州市市政管理中心</w:t>
      </w:r>
      <w:r>
        <w:rPr>
          <w:rFonts w:hint="eastAsia" w:ascii="宋体" w:hAnsi="宋体" w:eastAsia="宋体" w:cs="宋体"/>
          <w:color w:val="auto"/>
          <w:kern w:val="0"/>
          <w:sz w:val="22"/>
          <w:szCs w:val="22"/>
          <w:highlight w:val="none"/>
        </w:rPr>
        <w:t>项目的相关服务内容。如有虚假或隐瞒，愿意承担一切后果。</w:t>
      </w:r>
    </w:p>
    <w:p>
      <w:pPr>
        <w:shd w:val="clear" w:color="auto" w:fill="FFFFFF"/>
        <w:snapToGrid w:val="0"/>
        <w:spacing w:line="460" w:lineRule="exact"/>
        <w:jc w:val="center"/>
        <w:rPr>
          <w:rFonts w:hint="eastAsia" w:ascii="宋体" w:hAnsi="宋体" w:eastAsia="宋体" w:cs="宋体"/>
          <w:b/>
          <w:color w:val="auto"/>
          <w:kern w:val="36"/>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特此承诺！</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投标人全称（盖章）</w:t>
      </w:r>
      <w:r>
        <w:rPr>
          <w:rFonts w:hint="eastAsia" w:ascii="宋体" w:hAnsi="宋体" w:eastAsia="宋体" w:cs="宋体"/>
          <w:color w:val="auto"/>
          <w:kern w:val="0"/>
          <w:sz w:val="22"/>
          <w:szCs w:val="22"/>
          <w:highlight w:val="none"/>
        </w:rPr>
        <w:t xml:space="preserve"> ：</w:t>
      </w:r>
    </w:p>
    <w:p>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法定代表人或其授权代表（签字或盖章）：</w:t>
      </w:r>
    </w:p>
    <w:p>
      <w:pPr>
        <w:widowControl/>
        <w:adjustRightInd w:val="0"/>
        <w:snapToGrid w:val="0"/>
        <w:spacing w:line="460" w:lineRule="exact"/>
        <w:ind w:firstLine="440" w:firstLineChars="200"/>
        <w:jc w:val="left"/>
        <w:rPr>
          <w:rFonts w:hint="eastAsia" w:ascii="宋体" w:hAnsi="宋体" w:eastAsia="宋体" w:cs="宋体"/>
          <w:color w:val="auto"/>
          <w:kern w:val="0"/>
          <w:sz w:val="22"/>
          <w:szCs w:val="22"/>
          <w:highlight w:val="none"/>
        </w:rPr>
      </w:pPr>
    </w:p>
    <w:p>
      <w:pPr>
        <w:widowControl/>
        <w:adjustRightInd w:val="0"/>
        <w:snapToGrid w:val="0"/>
        <w:spacing w:line="460" w:lineRule="exact"/>
        <w:ind w:firstLine="6160" w:firstLineChars="28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2"/>
          <w:szCs w:val="22"/>
          <w:highlight w:val="none"/>
        </w:rPr>
        <w:t>日期：     年  月  日</w:t>
      </w:r>
    </w:p>
    <w:p>
      <w:pPr>
        <w:pStyle w:val="22"/>
        <w:spacing w:line="460" w:lineRule="exact"/>
        <w:ind w:left="514" w:leftChars="245" w:firstLine="0" w:firstLineChars="0"/>
        <w:rPr>
          <w:rFonts w:hint="eastAsia" w:ascii="宋体" w:hAnsi="宋体" w:eastAsia="宋体" w:cs="宋体"/>
          <w:color w:val="auto"/>
          <w:highlight w:val="none"/>
        </w:rPr>
      </w:pPr>
    </w:p>
    <w:p>
      <w:pPr>
        <w:pStyle w:val="22"/>
        <w:spacing w:line="460" w:lineRule="exact"/>
        <w:ind w:left="514" w:leftChars="245" w:firstLine="0" w:firstLineChars="0"/>
        <w:rPr>
          <w:rFonts w:hint="eastAsia" w:ascii="宋体" w:hAnsi="宋体" w:eastAsia="宋体" w:cs="宋体"/>
          <w:color w:val="auto"/>
          <w:highlight w:val="none"/>
        </w:rPr>
      </w:pPr>
    </w:p>
    <w:p>
      <w:pPr>
        <w:pStyle w:val="22"/>
        <w:spacing w:line="460" w:lineRule="exact"/>
        <w:ind w:left="514" w:leftChars="245" w:firstLine="0" w:firstLineChars="0"/>
        <w:rPr>
          <w:rFonts w:hint="eastAsia" w:ascii="宋体" w:hAnsi="宋体" w:eastAsia="宋体" w:cs="宋体"/>
          <w:color w:val="auto"/>
          <w:highlight w:val="none"/>
        </w:rPr>
      </w:pPr>
    </w:p>
    <w:p>
      <w:pPr>
        <w:pStyle w:val="22"/>
        <w:spacing w:line="460" w:lineRule="exact"/>
        <w:ind w:left="514" w:leftChars="245" w:firstLine="0" w:firstLineChars="0"/>
        <w:rPr>
          <w:rFonts w:hint="eastAsia" w:ascii="宋体" w:hAnsi="宋体" w:eastAsia="宋体" w:cs="宋体"/>
          <w:color w:val="auto"/>
          <w:highlight w:val="none"/>
        </w:rPr>
      </w:pPr>
    </w:p>
    <w:p>
      <w:pPr>
        <w:spacing w:line="400" w:lineRule="exac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8、投标人信用查询：</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1、投标人信用信息查询的查询渠道：“信用中国”(www.creditchina.gov.cn)；“中国政府采购网”（http://www.ccgp.gov.cn/）；</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2、投标人信用信息查询截止时点：招标公告发布之日至投标截止时间前。</w:t>
      </w:r>
    </w:p>
    <w:p>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3、投标人信用信息查询记录和证据留存的具体方式：网页截图；</w:t>
      </w:r>
    </w:p>
    <w:p>
      <w:pPr>
        <w:tabs>
          <w:tab w:val="left" w:pos="360"/>
        </w:tabs>
        <w:spacing w:line="460" w:lineRule="exact"/>
        <w:ind w:firstLine="552" w:firstLineChars="25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highlight w:val="none"/>
          <w:u w:val="single"/>
        </w:rPr>
        <w:t>4、信用信息的使用规则：对列入失信被执行人、重大税收违法案件当事人名单、政府采购严重违法失信行为记录名单及其他不符合《中华人民共和国政府采购法》第二十二条规定条件的供应商，其投标做无效投标处理。</w:t>
      </w: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p>
    <w:p>
      <w:pPr>
        <w:pStyle w:val="9"/>
        <w:rPr>
          <w:rFonts w:hint="eastAsia" w:ascii="宋体" w:hAnsi="宋体" w:eastAsia="宋体" w:cs="宋体"/>
          <w:bCs/>
          <w:color w:val="auto"/>
          <w:sz w:val="22"/>
          <w:szCs w:val="22"/>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460" w:lineRule="exact"/>
        <w:jc w:val="center"/>
        <w:outlineLvl w:val="3"/>
        <w:rPr>
          <w:rFonts w:hint="eastAsia" w:ascii="宋体" w:hAnsi="宋体" w:eastAsia="宋体" w:cs="宋体"/>
          <w:b/>
          <w:bCs/>
          <w:color w:val="auto"/>
          <w:sz w:val="22"/>
          <w:szCs w:val="22"/>
          <w:highlight w:val="none"/>
        </w:rPr>
      </w:pPr>
      <w:r>
        <w:rPr>
          <w:rFonts w:hint="eastAsia" w:ascii="宋体" w:hAnsi="宋体" w:eastAsia="宋体" w:cs="宋体"/>
          <w:b/>
          <w:bCs/>
          <w:color w:val="auto"/>
          <w:sz w:val="28"/>
          <w:szCs w:val="28"/>
          <w:highlight w:val="none"/>
        </w:rPr>
        <w:t>9、政府采购活动现场确认声明书</w:t>
      </w:r>
    </w:p>
    <w:p>
      <w:pPr>
        <w:spacing w:line="460" w:lineRule="exact"/>
        <w:rPr>
          <w:rFonts w:hint="eastAsia" w:ascii="宋体" w:hAnsi="宋体" w:eastAsia="宋体" w:cs="宋体"/>
          <w:b/>
          <w:bCs/>
          <w:color w:val="auto"/>
          <w:sz w:val="22"/>
          <w:szCs w:val="22"/>
          <w:highlight w:val="none"/>
        </w:rPr>
      </w:pPr>
    </w:p>
    <w:p>
      <w:pPr>
        <w:spacing w:line="460" w:lineRule="exact"/>
        <w:rPr>
          <w:rFonts w:hint="eastAsia" w:ascii="宋体" w:hAnsi="宋体" w:eastAsia="宋体" w:cs="宋体"/>
          <w:b/>
          <w:bCs/>
          <w:color w:val="auto"/>
          <w:sz w:val="22"/>
          <w:szCs w:val="22"/>
          <w:highlight w:val="none"/>
        </w:rPr>
      </w:pPr>
      <w:r>
        <w:rPr>
          <w:rFonts w:hint="eastAsia" w:ascii="宋体" w:hAnsi="宋体" w:eastAsia="宋体" w:cs="宋体"/>
          <w:color w:val="auto"/>
          <w:kern w:val="0"/>
          <w:sz w:val="22"/>
          <w:szCs w:val="22"/>
          <w:highlight w:val="none"/>
        </w:rPr>
        <w:t>温州历程招标有限公司：</w:t>
      </w:r>
    </w:p>
    <w:p>
      <w:pPr>
        <w:spacing w:line="460" w:lineRule="exact"/>
        <w:ind w:firstLine="440" w:firstLineChars="200"/>
        <w:rPr>
          <w:rFonts w:hint="eastAsia" w:ascii="宋体" w:hAnsi="宋体" w:eastAsia="宋体" w:cs="宋体"/>
          <w:color w:val="auto"/>
          <w:highlight w:val="none"/>
        </w:rPr>
      </w:pPr>
      <w:r>
        <w:rPr>
          <w:rFonts w:hint="eastAsia" w:ascii="宋体" w:hAnsi="宋体" w:eastAsia="宋体" w:cs="宋体"/>
          <w:color w:val="auto"/>
          <w:kern w:val="0"/>
          <w:sz w:val="22"/>
          <w:szCs w:val="22"/>
          <w:highlight w:val="none"/>
        </w:rPr>
        <w:t>本人经由</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（供应商名称）负责人</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（姓名）合法授权参加</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项目（编号：</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）采购活动，经与本单位法人代表（负责人）联系确认，现就有关公平竞争事项郑重声明如下：</w:t>
      </w:r>
    </w:p>
    <w:p>
      <w:pPr>
        <w:numPr>
          <w:ilvl w:val="0"/>
          <w:numId w:val="7"/>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本单位与招标人之间 □不存在利害关系 □存在下列利害关系：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A.投资关系    </w:t>
      </w:r>
    </w:p>
    <w:p>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B.行政隶属关系    </w:t>
      </w:r>
    </w:p>
    <w:p>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C.业务指导关系  </w:t>
      </w:r>
    </w:p>
    <w:p>
      <w:pPr>
        <w:spacing w:line="460" w:lineRule="exact"/>
        <w:ind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D.其他可能影响采购公正的利害关系</w:t>
      </w:r>
      <w:r>
        <w:rPr>
          <w:rStyle w:val="332"/>
          <w:rFonts w:hint="eastAsia" w:ascii="宋体" w:hAnsi="宋体" w:eastAsia="宋体" w:cs="宋体"/>
          <w:color w:val="auto"/>
          <w:sz w:val="22"/>
          <w:szCs w:val="22"/>
          <w:highlight w:val="none"/>
        </w:rPr>
        <w:t xml:space="preserve">（如有，请如实说明）                 </w:t>
      </w:r>
      <w:r>
        <w:rPr>
          <w:rFonts w:hint="eastAsia" w:ascii="宋体" w:hAnsi="宋体" w:eastAsia="宋体" w:cs="宋体"/>
          <w:color w:val="auto"/>
          <w:kern w:val="0"/>
          <w:sz w:val="22"/>
          <w:szCs w:val="22"/>
          <w:highlight w:val="none"/>
        </w:rPr>
        <w:t>。</w:t>
      </w:r>
    </w:p>
    <w:p>
      <w:pPr>
        <w:numPr>
          <w:ilvl w:val="0"/>
          <w:numId w:val="7"/>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现已清楚知道参加本项目采购活动的其他所有供应商名称，本单位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□与其他所有供应商之间均不存在利害关系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供应商名称）之间存在下列利害关系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A.法定代表人或负责人或实际控制人是同一人</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B.法定代表人或负责人或实际控制人是夫妻关系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C.法定代表人或负责人或实际控制人是直系血亲关系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D.法定代表人或负责人或实际控制人存在三代以内旁系血亲关系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E.法定代表人或负责人或实际控制人存在近姻亲关系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F.法定代表人或负责人或实际控制人存在股份控制或实际控制关系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G.存在共同直接或间接投资设立子公司、联营企业和合营企业情况</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H.存在分级代理或代销关系、同一生产制造商关系、管理关系、重要业务（占主营业务收入50%以上）或重要财务往来关系（如融资）等其他实质性控制关系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I.其他利害关系情况</w:t>
      </w:r>
      <w:r>
        <w:rPr>
          <w:rFonts w:hint="eastAsia" w:ascii="宋体" w:hAnsi="宋体" w:eastAsia="宋体" w:cs="宋体"/>
          <w:color w:val="auto"/>
          <w:kern w:val="0"/>
          <w:sz w:val="22"/>
          <w:szCs w:val="22"/>
          <w:highlight w:val="none"/>
          <w:u w:val="single"/>
        </w:rPr>
        <w:t xml:space="preserve">                              。</w:t>
      </w:r>
    </w:p>
    <w:p>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（三）现已清楚知道并严格遵守政府采购法律法规和现场纪律</w:t>
      </w:r>
    </w:p>
    <w:p>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（四）我发现</w:t>
      </w:r>
      <w:r>
        <w:rPr>
          <w:rStyle w:val="332"/>
          <w:rFonts w:hint="eastAsia" w:ascii="宋体" w:hAnsi="宋体" w:eastAsia="宋体" w:cs="宋体"/>
          <w:color w:val="auto"/>
          <w:sz w:val="22"/>
          <w:szCs w:val="22"/>
          <w:highlight w:val="none"/>
        </w:rPr>
        <w:t xml:space="preserve">                  与                  （供应商名称）</w:t>
      </w:r>
      <w:r>
        <w:rPr>
          <w:rFonts w:hint="eastAsia" w:ascii="宋体" w:hAnsi="宋体" w:eastAsia="宋体" w:cs="宋体"/>
          <w:color w:val="auto"/>
          <w:kern w:val="0"/>
          <w:sz w:val="22"/>
          <w:szCs w:val="22"/>
          <w:highlight w:val="none"/>
        </w:rPr>
        <w:t>之间存在或可能存在上述第二条第</w:t>
      </w:r>
      <w:r>
        <w:rPr>
          <w:rStyle w:val="332"/>
          <w:rFonts w:hint="eastAsia" w:ascii="宋体" w:hAnsi="宋体" w:eastAsia="宋体" w:cs="宋体"/>
          <w:color w:val="auto"/>
          <w:sz w:val="22"/>
          <w:szCs w:val="22"/>
          <w:highlight w:val="none"/>
        </w:rPr>
        <w:t xml:space="preserve">        </w:t>
      </w:r>
      <w:r>
        <w:rPr>
          <w:rFonts w:hint="eastAsia" w:ascii="宋体" w:hAnsi="宋体" w:eastAsia="宋体" w:cs="宋体"/>
          <w:color w:val="auto"/>
          <w:kern w:val="0"/>
          <w:sz w:val="22"/>
          <w:szCs w:val="22"/>
          <w:highlight w:val="none"/>
        </w:rPr>
        <w:t>项利害关系。</w:t>
      </w:r>
    </w:p>
    <w:p>
      <w:pPr>
        <w:pStyle w:val="22"/>
        <w:spacing w:line="460" w:lineRule="exact"/>
        <w:ind w:left="0" w:firstLine="0" w:firstLineChars="0"/>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供应商代表签名:</w:t>
      </w:r>
    </w:p>
    <w:p>
      <w:pPr>
        <w:pStyle w:val="22"/>
        <w:spacing w:line="460" w:lineRule="exact"/>
        <w:ind w:left="0" w:firstLine="0" w:firstLineChars="0"/>
        <w:jc w:val="right"/>
        <w:rPr>
          <w:rFonts w:hint="eastAsia" w:ascii="宋体" w:hAnsi="宋体" w:eastAsia="宋体" w:cs="宋体"/>
          <w:b/>
          <w:color w:val="auto"/>
          <w:kern w:val="0"/>
          <w:sz w:val="22"/>
          <w:szCs w:val="22"/>
          <w:highlight w:val="none"/>
        </w:rPr>
      </w:pPr>
    </w:p>
    <w:p>
      <w:pPr>
        <w:pStyle w:val="22"/>
        <w:spacing w:line="460" w:lineRule="exact"/>
        <w:ind w:left="0" w:firstLine="0" w:firstLineChars="0"/>
        <w:jc w:val="right"/>
        <w:rPr>
          <w:rFonts w:hint="eastAsia" w:ascii="宋体" w:hAnsi="宋体" w:eastAsia="宋体" w:cs="宋体"/>
          <w:b/>
          <w:color w:val="auto"/>
          <w:kern w:val="0"/>
          <w:sz w:val="22"/>
          <w:szCs w:val="22"/>
          <w:highlight w:val="none"/>
        </w:rPr>
      </w:pPr>
    </w:p>
    <w:p>
      <w:pPr>
        <w:pStyle w:val="22"/>
        <w:spacing w:line="460" w:lineRule="exact"/>
        <w:ind w:left="0" w:firstLine="0" w:firstLineChars="0"/>
        <w:jc w:val="right"/>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日期:202</w:t>
      </w:r>
      <w:r>
        <w:rPr>
          <w:rFonts w:hint="eastAsia" w:ascii="宋体" w:hAnsi="宋体" w:eastAsia="宋体" w:cs="宋体"/>
          <w:b/>
          <w:color w:val="auto"/>
          <w:kern w:val="0"/>
          <w:sz w:val="22"/>
          <w:szCs w:val="22"/>
          <w:highlight w:val="none"/>
          <w:lang w:val="en-US" w:eastAsia="zh-CN"/>
        </w:rPr>
        <w:t>1</w:t>
      </w:r>
      <w:r>
        <w:rPr>
          <w:rFonts w:hint="eastAsia" w:ascii="宋体" w:hAnsi="宋体" w:eastAsia="宋体" w:cs="宋体"/>
          <w:b/>
          <w:color w:val="auto"/>
          <w:kern w:val="0"/>
          <w:sz w:val="22"/>
          <w:szCs w:val="22"/>
          <w:highlight w:val="none"/>
        </w:rPr>
        <w:t>年    月    日</w:t>
      </w:r>
    </w:p>
    <w:p>
      <w:pPr>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br w:type="page"/>
      </w:r>
    </w:p>
    <w:p>
      <w:pPr>
        <w:numPr>
          <w:ilvl w:val="0"/>
          <w:numId w:val="8"/>
        </w:numPr>
        <w:spacing w:line="460" w:lineRule="exact"/>
        <w:jc w:val="left"/>
        <w:outlineLvl w:val="3"/>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中小企业声明函</w:t>
      </w:r>
      <w:r>
        <w:rPr>
          <w:rFonts w:hint="eastAsia" w:ascii="宋体" w:hAnsi="宋体" w:eastAsia="宋体" w:cs="宋体"/>
          <w:b/>
          <w:bCs/>
          <w:color w:val="auto"/>
          <w:sz w:val="24"/>
          <w:highlight w:val="none"/>
          <w:lang w:eastAsia="zh-CN"/>
        </w:rPr>
        <w:t>》</w:t>
      </w:r>
    </w:p>
    <w:p>
      <w:pPr>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中小企业声明函（工程、服务）</w:t>
      </w:r>
      <w:r>
        <w:rPr>
          <w:rFonts w:hint="eastAsia" w:ascii="宋体" w:hAnsi="宋体" w:eastAsia="宋体" w:cs="宋体"/>
          <w:b/>
          <w:bCs/>
          <w:color w:val="auto"/>
          <w:sz w:val="24"/>
          <w:szCs w:val="24"/>
          <w:highlight w:val="none"/>
          <w:lang w:eastAsia="zh-CN"/>
        </w:rPr>
        <w:t>》</w:t>
      </w:r>
    </w:p>
    <w:p>
      <w:pPr>
        <w:spacing w:line="460" w:lineRule="exact"/>
        <w:ind w:firstLine="637" w:firstLineChars="245"/>
        <w:rPr>
          <w:rFonts w:hint="eastAsia" w:ascii="宋体" w:hAnsi="宋体" w:eastAsia="宋体" w:cs="宋体"/>
          <w:color w:val="auto"/>
          <w:spacing w:val="20"/>
          <w:sz w:val="22"/>
          <w:szCs w:val="22"/>
          <w:highlight w:val="none"/>
        </w:rPr>
      </w:pP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本公司（联合体）郑重声明，根据《政府采购促进中小企业发展管理办法》（财库﹝2020﹞46 号）的规定，本公司（联合体）参加</w:t>
      </w:r>
      <w:r>
        <w:rPr>
          <w:rFonts w:hint="eastAsia" w:ascii="宋体" w:hAnsi="宋体" w:eastAsia="宋体" w:cs="宋体"/>
          <w:color w:val="auto"/>
          <w:spacing w:val="20"/>
          <w:sz w:val="22"/>
          <w:szCs w:val="22"/>
          <w:highlight w:val="none"/>
          <w:u w:val="single"/>
        </w:rPr>
        <w:t>（单位名称）</w:t>
      </w:r>
      <w:r>
        <w:rPr>
          <w:rFonts w:hint="eastAsia" w:ascii="宋体" w:hAnsi="宋体" w:eastAsia="宋体" w:cs="宋体"/>
          <w:color w:val="auto"/>
          <w:spacing w:val="20"/>
          <w:sz w:val="22"/>
          <w:szCs w:val="22"/>
          <w:highlight w:val="none"/>
        </w:rPr>
        <w:t>的</w:t>
      </w:r>
      <w:r>
        <w:rPr>
          <w:rFonts w:hint="eastAsia" w:ascii="宋体" w:hAnsi="宋体" w:eastAsia="宋体" w:cs="宋体"/>
          <w:color w:val="auto"/>
          <w:spacing w:val="20"/>
          <w:sz w:val="22"/>
          <w:szCs w:val="22"/>
          <w:highlight w:val="none"/>
          <w:u w:val="single"/>
        </w:rPr>
        <w:t>（项目名称）</w:t>
      </w:r>
      <w:r>
        <w:rPr>
          <w:rFonts w:hint="eastAsia" w:ascii="宋体" w:hAnsi="宋体" w:eastAsia="宋体" w:cs="宋体"/>
          <w:color w:val="auto"/>
          <w:spacing w:val="20"/>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1.</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 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 xml:space="preserve">； </w:t>
      </w:r>
    </w:p>
    <w:p>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2.</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w:t>
      </w:r>
    </w:p>
    <w:p>
      <w:pPr>
        <w:spacing w:line="460" w:lineRule="exact"/>
        <w:ind w:firstLine="639" w:firstLineChars="245"/>
        <w:rPr>
          <w:rFonts w:hint="eastAsia" w:ascii="宋体" w:hAnsi="宋体" w:eastAsia="宋体" w:cs="宋体"/>
          <w:b/>
          <w:bCs/>
          <w:color w:val="auto"/>
          <w:spacing w:val="20"/>
          <w:sz w:val="22"/>
          <w:szCs w:val="22"/>
          <w:highlight w:val="none"/>
        </w:rPr>
      </w:pPr>
      <w:r>
        <w:rPr>
          <w:rFonts w:hint="eastAsia" w:ascii="宋体" w:hAnsi="宋体" w:eastAsia="宋体" w:cs="宋体"/>
          <w:b/>
          <w:bCs/>
          <w:color w:val="auto"/>
          <w:spacing w:val="20"/>
          <w:sz w:val="22"/>
          <w:szCs w:val="22"/>
          <w:highlight w:val="none"/>
        </w:rPr>
        <w:t>……</w:t>
      </w:r>
    </w:p>
    <w:p>
      <w:pPr>
        <w:spacing w:line="460" w:lineRule="exact"/>
        <w:ind w:firstLine="637" w:firstLineChars="245"/>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rPr>
        <w:t xml:space="preserve">以上企业，不属于大企业的分支机构，不存在控股股东为大企业的情形，也不存在与大企业的负责人为同一人的情形。本企业对上述声明内容的真实性负责。如有虚假，将依法承担相应责任。 </w:t>
      </w:r>
    </w:p>
    <w:p>
      <w:pPr>
        <w:spacing w:line="460" w:lineRule="exact"/>
        <w:jc w:val="center"/>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lang w:val="en-US" w:eastAsia="zh-CN"/>
        </w:rPr>
        <w:t xml:space="preserve">           企业</w:t>
      </w:r>
      <w:r>
        <w:rPr>
          <w:rFonts w:hint="eastAsia" w:ascii="宋体" w:hAnsi="宋体" w:eastAsia="宋体" w:cs="宋体"/>
          <w:color w:val="auto"/>
          <w:spacing w:val="20"/>
          <w:sz w:val="22"/>
          <w:szCs w:val="22"/>
          <w:highlight w:val="none"/>
        </w:rPr>
        <w:t>名称（盖章）：</w:t>
      </w:r>
    </w:p>
    <w:p>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 xml:space="preserve">  日</w:t>
      </w:r>
      <w:r>
        <w:rPr>
          <w:rFonts w:hint="eastAsia" w:ascii="宋体" w:hAnsi="宋体" w:eastAsia="宋体" w:cs="宋体"/>
          <w:color w:val="auto"/>
          <w:spacing w:val="20"/>
          <w:sz w:val="22"/>
          <w:szCs w:val="22"/>
          <w:highlight w:val="none"/>
        </w:rPr>
        <w:t xml:space="preserve"> 期：</w:t>
      </w:r>
    </w:p>
    <w:p>
      <w:pPr>
        <w:rPr>
          <w:rFonts w:hint="eastAsia"/>
          <w:lang w:eastAsia="zh-CN"/>
        </w:rPr>
      </w:pPr>
    </w:p>
    <w:p>
      <w:pPr>
        <w:numPr>
          <w:ilvl w:val="0"/>
          <w:numId w:val="8"/>
        </w:numPr>
        <w:spacing w:line="460" w:lineRule="exact"/>
        <w:ind w:left="0" w:leftChars="0" w:firstLine="0" w:firstLineChars="0"/>
        <w:jc w:val="left"/>
        <w:outlineLvl w:val="3"/>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城市及道路照明工程专业承包</w:t>
      </w:r>
      <w:r>
        <w:rPr>
          <w:rFonts w:hint="eastAsia" w:ascii="宋体" w:hAnsi="宋体" w:eastAsia="宋体" w:cs="宋体"/>
          <w:b/>
          <w:bCs/>
          <w:color w:val="auto"/>
          <w:sz w:val="24"/>
          <w:highlight w:val="none"/>
          <w:lang w:val="en-US" w:eastAsia="zh-CN"/>
        </w:rPr>
        <w:t>一</w:t>
      </w:r>
      <w:r>
        <w:rPr>
          <w:rFonts w:hint="eastAsia" w:ascii="宋体" w:hAnsi="宋体" w:eastAsia="宋体" w:cs="宋体"/>
          <w:b/>
          <w:bCs/>
          <w:color w:val="auto"/>
          <w:sz w:val="24"/>
          <w:highlight w:val="none"/>
          <w:lang w:eastAsia="zh-CN"/>
        </w:rPr>
        <w:t>级及以上资质或市政公用工程施工总承包企业资质</w:t>
      </w: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级及以上资质</w:t>
      </w:r>
    </w:p>
    <w:p>
      <w:pPr>
        <w:keepNext/>
        <w:keepLines/>
        <w:pageBreakBefore w:val="0"/>
        <w:widowControl w:val="0"/>
        <w:numPr>
          <w:numId w:val="0"/>
        </w:numPr>
        <w:kinsoku/>
        <w:wordWrap/>
        <w:overflowPunct/>
        <w:topLinePunct w:val="0"/>
        <w:autoSpaceDE/>
        <w:autoSpaceDN/>
        <w:bidi w:val="0"/>
        <w:adjustRightInd/>
        <w:snapToGrid/>
        <w:ind w:leftChars="0"/>
        <w:textAlignment w:val="auto"/>
        <w:outlineLvl w:val="9"/>
        <w:rPr>
          <w:rFonts w:hint="eastAsia"/>
          <w:lang w:eastAsia="zh-CN"/>
        </w:rPr>
      </w:pPr>
      <w:bookmarkStart w:id="101" w:name="_GoBack"/>
      <w:bookmarkEnd w:id="101"/>
    </w:p>
    <w:p>
      <w:pPr>
        <w:spacing w:line="460" w:lineRule="exact"/>
        <w:jc w:val="left"/>
        <w:outlineLvl w:val="3"/>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12、</w:t>
      </w:r>
      <w:r>
        <w:rPr>
          <w:rFonts w:hint="eastAsia" w:ascii="宋体" w:hAnsi="宋体" w:eastAsia="宋体" w:cs="宋体"/>
          <w:b/>
          <w:bCs/>
          <w:color w:val="auto"/>
          <w:sz w:val="24"/>
          <w:highlight w:val="none"/>
          <w:lang w:eastAsia="zh-CN"/>
        </w:rPr>
        <w:t>安全生产许可证</w:t>
      </w:r>
    </w:p>
    <w:p>
      <w:pPr>
        <w:rPr>
          <w:rFonts w:hint="eastAsia" w:ascii="宋体" w:hAnsi="宋体" w:eastAsia="宋体" w:cs="宋体"/>
          <w:b/>
          <w:bCs/>
          <w:color w:val="auto"/>
          <w:sz w:val="22"/>
          <w:szCs w:val="22"/>
          <w:highlight w:val="none"/>
        </w:rPr>
      </w:pPr>
    </w:p>
    <w:p>
      <w:pPr>
        <w:rPr>
          <w:rFonts w:hint="eastAsia" w:ascii="宋体" w:hAnsi="宋体" w:eastAsia="宋体" w:cs="宋体"/>
          <w:b/>
          <w:bCs/>
          <w:color w:val="auto"/>
          <w:sz w:val="22"/>
          <w:szCs w:val="22"/>
          <w:highlight w:val="none"/>
        </w:rPr>
      </w:pPr>
      <w:bookmarkStart w:id="47" w:name="_Toc16516"/>
      <w:bookmarkStart w:id="48" w:name="_Toc7547"/>
      <w:r>
        <w:rPr>
          <w:rFonts w:hint="eastAsia" w:ascii="宋体" w:hAnsi="宋体" w:eastAsia="宋体" w:cs="宋体"/>
          <w:b/>
          <w:bCs/>
          <w:color w:val="auto"/>
          <w:sz w:val="22"/>
          <w:szCs w:val="22"/>
          <w:highlight w:val="none"/>
        </w:rPr>
        <w:br w:type="page"/>
      </w:r>
    </w:p>
    <w:p>
      <w:pPr>
        <w:outlineLvl w:val="1"/>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附件三</w:t>
      </w:r>
      <w:bookmarkEnd w:id="47"/>
      <w:bookmarkEnd w:id="48"/>
    </w:p>
    <w:p>
      <w:pPr>
        <w:spacing w:line="460" w:lineRule="exact"/>
        <w:jc w:val="center"/>
        <w:outlineLvl w:val="2"/>
        <w:rPr>
          <w:rFonts w:hint="eastAsia" w:ascii="宋体" w:hAnsi="宋体" w:eastAsia="宋体" w:cs="宋体"/>
          <w:b/>
          <w:bCs/>
          <w:color w:val="auto"/>
          <w:sz w:val="28"/>
          <w:szCs w:val="28"/>
          <w:highlight w:val="none"/>
          <w:lang w:val="zh-CN"/>
        </w:rPr>
      </w:pPr>
      <w:bookmarkStart w:id="49" w:name="_Toc29102"/>
      <w:bookmarkStart w:id="50" w:name="_Toc29359"/>
      <w:r>
        <w:rPr>
          <w:rFonts w:hint="eastAsia" w:ascii="宋体" w:hAnsi="宋体" w:eastAsia="宋体" w:cs="宋体"/>
          <w:b/>
          <w:bCs/>
          <w:color w:val="auto"/>
          <w:sz w:val="28"/>
          <w:szCs w:val="28"/>
          <w:highlight w:val="none"/>
          <w:lang w:val="zh-CN"/>
        </w:rPr>
        <w:t>商务技术文件</w:t>
      </w:r>
      <w:bookmarkEnd w:id="49"/>
      <w:bookmarkEnd w:id="50"/>
    </w:p>
    <w:p>
      <w:pPr>
        <w:spacing w:line="380" w:lineRule="exact"/>
        <w:jc w:val="center"/>
        <w:outlineLvl w:val="3"/>
        <w:rPr>
          <w:rFonts w:hint="eastAsia" w:ascii="宋体" w:hAnsi="宋体" w:eastAsia="宋体" w:cs="宋体"/>
          <w:b/>
          <w:color w:val="auto"/>
          <w:sz w:val="22"/>
          <w:szCs w:val="22"/>
          <w:highlight w:val="none"/>
        </w:rPr>
      </w:pPr>
      <w:r>
        <w:rPr>
          <w:rFonts w:hint="eastAsia" w:ascii="宋体" w:hAnsi="宋体" w:eastAsia="宋体" w:cs="宋体"/>
          <w:b/>
          <w:color w:val="auto"/>
          <w:sz w:val="24"/>
          <w:highlight w:val="none"/>
        </w:rPr>
        <w:t>1、法定代表人授权书</w:t>
      </w:r>
    </w:p>
    <w:p>
      <w:pPr>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温州市市政管理中心</w:t>
      </w:r>
      <w:r>
        <w:rPr>
          <w:rFonts w:hint="eastAsia" w:ascii="宋体" w:hAnsi="宋体" w:eastAsia="宋体" w:cs="宋体"/>
          <w:color w:val="auto"/>
          <w:sz w:val="22"/>
          <w:szCs w:val="22"/>
          <w:highlight w:val="none"/>
        </w:rPr>
        <w:t>：</w:t>
      </w:r>
    </w:p>
    <w:p>
      <w:pPr>
        <w:spacing w:line="460" w:lineRule="exact"/>
        <w:rPr>
          <w:rFonts w:hint="eastAsia" w:ascii="宋体" w:hAnsi="宋体" w:eastAsia="宋体" w:cs="宋体"/>
          <w:color w:val="auto"/>
          <w:sz w:val="22"/>
          <w:szCs w:val="22"/>
          <w:highlight w:val="none"/>
          <w:u w:val="single"/>
        </w:rPr>
      </w:pPr>
    </w:p>
    <w:p>
      <w:pPr>
        <w:spacing w:line="4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（投标人全称）法定代表人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（全权代表姓名）为全权代表，参加贵处组织的（项目名称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、编号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）的招标活动，全权代表我方处理招标活动中的一切事宜。</w:t>
      </w:r>
    </w:p>
    <w:p>
      <w:pPr>
        <w:spacing w:line="460" w:lineRule="exact"/>
        <w:ind w:firstLine="2955"/>
        <w:rPr>
          <w:rFonts w:hint="eastAsia" w:ascii="宋体" w:hAnsi="宋体" w:eastAsia="宋体" w:cs="宋体"/>
          <w:color w:val="auto"/>
          <w:sz w:val="22"/>
          <w:szCs w:val="22"/>
          <w:highlight w:val="none"/>
        </w:rPr>
      </w:pPr>
    </w:p>
    <w:p>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460" w:lineRule="exact"/>
        <w:ind w:firstLine="4081" w:firstLineChars="18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(签字或盖章)：</w:t>
      </w:r>
    </w:p>
    <w:p>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投标人全称（公章）：</w:t>
      </w:r>
    </w:p>
    <w:p>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w:t>
      </w: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380" w:lineRule="exact"/>
        <w:rPr>
          <w:rFonts w:hint="eastAsia" w:ascii="宋体" w:hAnsi="宋体" w:eastAsia="宋体" w:cs="宋体"/>
          <w:color w:val="auto"/>
          <w:sz w:val="22"/>
          <w:szCs w:val="22"/>
          <w:highlight w:val="none"/>
        </w:rPr>
      </w:pP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附：</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 xml:space="preserve">授权代表姓名：                               </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职务：</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详细通讯地址：</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电话：</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传真：</w:t>
      </w:r>
    </w:p>
    <w:p>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邮政编码:</w:t>
      </w:r>
    </w:p>
    <w:p>
      <w:pPr>
        <w:spacing w:line="460" w:lineRule="exact"/>
        <w:jc w:val="both"/>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lang w:val="zh-CN"/>
        </w:rPr>
        <mc:AlternateContent>
          <mc:Choice Requires="wps">
            <w:drawing>
              <wp:anchor distT="0" distB="0" distL="114300" distR="114300" simplePos="0" relativeHeight="251659264" behindDoc="0" locked="0" layoutInCell="1" allowOverlap="1">
                <wp:simplePos x="0" y="0"/>
                <wp:positionH relativeFrom="column">
                  <wp:posOffset>102870</wp:posOffset>
                </wp:positionH>
                <wp:positionV relativeFrom="paragraph">
                  <wp:posOffset>222885</wp:posOffset>
                </wp:positionV>
                <wp:extent cx="6303645" cy="2468880"/>
                <wp:effectExtent l="4445" t="4445" r="16510" b="22225"/>
                <wp:wrapNone/>
                <wp:docPr id="7" name="文本框 26"/>
                <wp:cNvGraphicFramePr/>
                <a:graphic xmlns:a="http://schemas.openxmlformats.org/drawingml/2006/main">
                  <a:graphicData uri="http://schemas.microsoft.com/office/word/2010/wordprocessingShape">
                    <wps:wsp>
                      <wps:cNvSpPr txBox="1"/>
                      <wps:spPr>
                        <a:xfrm>
                          <a:off x="0" y="0"/>
                          <a:ext cx="6303645" cy="24688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新宋体" w:hAnsi="新宋体" w:eastAsia="新宋体"/>
                                <w:sz w:val="22"/>
                                <w:szCs w:val="22"/>
                              </w:rPr>
                              <w:t xml:space="preserve">  授权代表身份证（正反面）：</w:t>
                            </w:r>
                          </w:p>
                        </w:txbxContent>
                      </wps:txbx>
                      <wps:bodyPr upright="1"/>
                    </wps:wsp>
                  </a:graphicData>
                </a:graphic>
              </wp:anchor>
            </w:drawing>
          </mc:Choice>
          <mc:Fallback>
            <w:pict>
              <v:shape id="文本框 26" o:spid="_x0000_s1026" o:spt="202" type="#_x0000_t202" style="position:absolute;left:0pt;margin-left:8.1pt;margin-top:17.55pt;height:194.4pt;width:496.35pt;z-index:251659264;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qLXdgAAAAKAQAADwAAAAAA&#10;AAABACAAAAAiAAAAZHJzL2Rvd25yZXYueG1sUEsBAhQAFAAAAAgAh07iQELca5wTAgAARgQAAA4A&#10;AAAAAAAAAQAgAAAAJwEAAGRycy9lMm9Eb2MueG1sUEsFBgAAAAAGAAYAWQEAAKwFAAAAAA==&#10;">
                <v:fill on="t" focussize="0,0"/>
                <v:stroke color="#000000" joinstyle="miter"/>
                <v:imagedata o:title=""/>
                <o:lock v:ext="edit" aspectratio="f"/>
                <v:textbox>
                  <w:txbxContent>
                    <w:p>
                      <w:r>
                        <w:rPr>
                          <w:rFonts w:hint="eastAsia" w:ascii="新宋体" w:hAnsi="新宋体" w:eastAsia="新宋体"/>
                          <w:sz w:val="22"/>
                          <w:szCs w:val="22"/>
                        </w:rPr>
                        <w:t xml:space="preserve">  授权代表身份证（正反面）：</w:t>
                      </w:r>
                    </w:p>
                  </w:txbxContent>
                </v:textbox>
              </v:shape>
            </w:pict>
          </mc:Fallback>
        </mc:AlternateContent>
      </w: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rPr>
          <w:rFonts w:hint="eastAsia" w:ascii="宋体" w:hAnsi="宋体" w:eastAsia="宋体" w:cs="宋体"/>
          <w:b/>
          <w:bCs/>
          <w:color w:val="auto"/>
          <w:sz w:val="28"/>
          <w:szCs w:val="28"/>
          <w:highlight w:val="none"/>
        </w:rPr>
      </w:pPr>
    </w:p>
    <w:p>
      <w:pPr>
        <w:spacing w:line="460" w:lineRule="exact"/>
        <w:jc w:val="center"/>
        <w:outlineLvl w:val="3"/>
        <w:rPr>
          <w:rFonts w:hint="eastAsia" w:ascii="宋体" w:hAnsi="宋体" w:eastAsia="宋体" w:cs="宋体"/>
          <w:b/>
          <w:bCs/>
          <w:color w:val="auto"/>
          <w:sz w:val="22"/>
          <w:szCs w:val="22"/>
          <w:highlight w:val="none"/>
        </w:rPr>
        <w:sectPr>
          <w:headerReference r:id="rId3" w:type="default"/>
          <w:footerReference r:id="rId4" w:type="default"/>
          <w:pgSz w:w="11906" w:h="16838"/>
          <w:pgMar w:top="1134" w:right="1134" w:bottom="1134" w:left="1134" w:header="850" w:footer="992" w:gutter="0"/>
          <w:cols w:space="720" w:num="1"/>
          <w:titlePg/>
          <w:docGrid w:type="lines" w:linePitch="312" w:charSpace="0"/>
        </w:sectPr>
      </w:pPr>
    </w:p>
    <w:p>
      <w:pPr>
        <w:spacing w:line="380" w:lineRule="exact"/>
        <w:jc w:val="center"/>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2、投标人情况表</w:t>
      </w:r>
    </w:p>
    <w:p>
      <w:pPr>
        <w:tabs>
          <w:tab w:val="left" w:pos="780"/>
        </w:tabs>
        <w:spacing w:line="40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项目名称：                                                                       项目编号：</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15"/>
        <w:gridCol w:w="1689"/>
        <w:gridCol w:w="728"/>
        <w:gridCol w:w="387"/>
        <w:gridCol w:w="1100"/>
        <w:gridCol w:w="1488"/>
        <w:gridCol w:w="1488"/>
        <w:gridCol w:w="1502"/>
        <w:gridCol w:w="1488"/>
        <w:gridCol w:w="1115"/>
        <w:gridCol w:w="355"/>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单位名称（盖章）</w:t>
            </w:r>
          </w:p>
        </w:tc>
        <w:tc>
          <w:tcPr>
            <w:tcW w:w="2804" w:type="dxa"/>
            <w:gridSpan w:val="2"/>
          </w:tcPr>
          <w:p>
            <w:pPr>
              <w:spacing w:line="480" w:lineRule="exact"/>
              <w:rPr>
                <w:rFonts w:hint="eastAsia" w:ascii="宋体" w:hAnsi="宋体" w:eastAsia="宋体" w:cs="宋体"/>
                <w:color w:val="auto"/>
                <w:sz w:val="22"/>
                <w:szCs w:val="22"/>
                <w:highlight w:val="none"/>
              </w:rPr>
            </w:pPr>
          </w:p>
        </w:tc>
        <w:tc>
          <w:tcPr>
            <w:tcW w:w="1115"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 话</w:t>
            </w:r>
          </w:p>
        </w:tc>
        <w:tc>
          <w:tcPr>
            <w:tcW w:w="2588" w:type="dxa"/>
            <w:gridSpan w:val="2"/>
          </w:tcPr>
          <w:p>
            <w:pPr>
              <w:spacing w:line="480" w:lineRule="exact"/>
              <w:rPr>
                <w:rFonts w:hint="eastAsia" w:ascii="宋体" w:hAnsi="宋体" w:eastAsia="宋体" w:cs="宋体"/>
                <w:color w:val="auto"/>
                <w:sz w:val="22"/>
                <w:szCs w:val="22"/>
                <w:highlight w:val="none"/>
              </w:rPr>
            </w:pPr>
          </w:p>
        </w:tc>
        <w:tc>
          <w:tcPr>
            <w:tcW w:w="1488"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主管部门</w:t>
            </w:r>
          </w:p>
        </w:tc>
        <w:tc>
          <w:tcPr>
            <w:tcW w:w="1502" w:type="dxa"/>
          </w:tcPr>
          <w:p>
            <w:pPr>
              <w:spacing w:line="480" w:lineRule="exact"/>
              <w:rPr>
                <w:rFonts w:hint="eastAsia" w:ascii="宋体" w:hAnsi="宋体" w:eastAsia="宋体" w:cs="宋体"/>
                <w:color w:val="auto"/>
                <w:sz w:val="22"/>
                <w:szCs w:val="22"/>
                <w:highlight w:val="none"/>
              </w:rPr>
            </w:pPr>
          </w:p>
        </w:tc>
        <w:tc>
          <w:tcPr>
            <w:tcW w:w="1488"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企业负责人</w:t>
            </w:r>
          </w:p>
        </w:tc>
        <w:tc>
          <w:tcPr>
            <w:tcW w:w="1115" w:type="dxa"/>
          </w:tcPr>
          <w:p>
            <w:pPr>
              <w:spacing w:line="480" w:lineRule="exact"/>
              <w:rPr>
                <w:rFonts w:hint="eastAsia" w:ascii="宋体" w:hAnsi="宋体" w:eastAsia="宋体" w:cs="宋体"/>
                <w:color w:val="auto"/>
                <w:sz w:val="22"/>
                <w:szCs w:val="22"/>
                <w:highlight w:val="none"/>
              </w:rPr>
            </w:pPr>
          </w:p>
        </w:tc>
        <w:tc>
          <w:tcPr>
            <w:tcW w:w="1461"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w:t>
            </w:r>
          </w:p>
        </w:tc>
        <w:tc>
          <w:tcPr>
            <w:tcW w:w="2804" w:type="dxa"/>
            <w:gridSpan w:val="2"/>
          </w:tcPr>
          <w:p>
            <w:pPr>
              <w:spacing w:line="480" w:lineRule="exact"/>
              <w:rPr>
                <w:rFonts w:hint="eastAsia" w:ascii="宋体" w:hAnsi="宋体" w:eastAsia="宋体" w:cs="宋体"/>
                <w:color w:val="auto"/>
                <w:sz w:val="22"/>
                <w:szCs w:val="22"/>
                <w:highlight w:val="none"/>
              </w:rPr>
            </w:pPr>
          </w:p>
        </w:tc>
        <w:tc>
          <w:tcPr>
            <w:tcW w:w="1115"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真</w:t>
            </w:r>
          </w:p>
        </w:tc>
        <w:tc>
          <w:tcPr>
            <w:tcW w:w="2588" w:type="dxa"/>
            <w:gridSpan w:val="2"/>
          </w:tcPr>
          <w:p>
            <w:pPr>
              <w:spacing w:line="480" w:lineRule="exact"/>
              <w:rPr>
                <w:rFonts w:hint="eastAsia" w:ascii="宋体" w:hAnsi="宋体" w:eastAsia="宋体" w:cs="宋体"/>
                <w:color w:val="auto"/>
                <w:sz w:val="22"/>
                <w:szCs w:val="22"/>
                <w:highlight w:val="none"/>
              </w:rPr>
            </w:pPr>
          </w:p>
        </w:tc>
        <w:tc>
          <w:tcPr>
            <w:tcW w:w="1488"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企业性质</w:t>
            </w:r>
          </w:p>
        </w:tc>
        <w:tc>
          <w:tcPr>
            <w:tcW w:w="1502" w:type="dxa"/>
          </w:tcPr>
          <w:p>
            <w:pPr>
              <w:spacing w:line="480" w:lineRule="exact"/>
              <w:rPr>
                <w:rFonts w:hint="eastAsia" w:ascii="宋体" w:hAnsi="宋体" w:eastAsia="宋体" w:cs="宋体"/>
                <w:color w:val="auto"/>
                <w:sz w:val="22"/>
                <w:szCs w:val="22"/>
                <w:highlight w:val="none"/>
              </w:rPr>
            </w:pPr>
          </w:p>
        </w:tc>
        <w:tc>
          <w:tcPr>
            <w:tcW w:w="1488" w:type="dxa"/>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w:t>
            </w:r>
          </w:p>
        </w:tc>
        <w:tc>
          <w:tcPr>
            <w:tcW w:w="1115" w:type="dxa"/>
          </w:tcPr>
          <w:p>
            <w:pPr>
              <w:spacing w:line="480" w:lineRule="exact"/>
              <w:rPr>
                <w:rFonts w:hint="eastAsia" w:ascii="宋体" w:hAnsi="宋体" w:eastAsia="宋体" w:cs="宋体"/>
                <w:color w:val="auto"/>
                <w:sz w:val="22"/>
                <w:szCs w:val="22"/>
                <w:highlight w:val="none"/>
              </w:rPr>
            </w:pPr>
          </w:p>
        </w:tc>
        <w:tc>
          <w:tcPr>
            <w:tcW w:w="1461"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1227"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单位简介</w:t>
            </w:r>
          </w:p>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及机构</w:t>
            </w:r>
          </w:p>
        </w:tc>
        <w:tc>
          <w:tcPr>
            <w:tcW w:w="6507" w:type="dxa"/>
            <w:gridSpan w:val="6"/>
            <w:vAlign w:val="center"/>
          </w:tcPr>
          <w:p>
            <w:pPr>
              <w:spacing w:line="480" w:lineRule="exact"/>
              <w:jc w:val="center"/>
              <w:rPr>
                <w:rFonts w:hint="eastAsia" w:ascii="宋体" w:hAnsi="宋体" w:eastAsia="宋体" w:cs="宋体"/>
                <w:color w:val="auto"/>
                <w:sz w:val="22"/>
                <w:szCs w:val="22"/>
                <w:highlight w:val="none"/>
              </w:rPr>
            </w:pPr>
          </w:p>
        </w:tc>
        <w:tc>
          <w:tcPr>
            <w:tcW w:w="1488"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单位优势</w:t>
            </w:r>
          </w:p>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及特长</w:t>
            </w:r>
          </w:p>
        </w:tc>
        <w:tc>
          <w:tcPr>
            <w:tcW w:w="5566" w:type="dxa"/>
            <w:gridSpan w:val="5"/>
          </w:tcPr>
          <w:p>
            <w:pPr>
              <w:spacing w:line="480" w:lineRule="exact"/>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227" w:type="dxa"/>
            <w:vMerge w:val="restart"/>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单位概况</w:t>
            </w:r>
          </w:p>
        </w:tc>
        <w:tc>
          <w:tcPr>
            <w:tcW w:w="1115" w:type="dxa"/>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职工总数</w:t>
            </w:r>
          </w:p>
        </w:tc>
        <w:tc>
          <w:tcPr>
            <w:tcW w:w="1689" w:type="dxa"/>
            <w:vMerge w:val="restart"/>
          </w:tcPr>
          <w:p>
            <w:pPr>
              <w:spacing w:line="480" w:lineRule="exact"/>
              <w:ind w:firstLine="1540" w:firstLineChars="700"/>
              <w:rPr>
                <w:rFonts w:hint="eastAsia" w:ascii="宋体" w:hAnsi="宋体" w:eastAsia="宋体" w:cs="宋体"/>
                <w:color w:val="auto"/>
                <w:sz w:val="22"/>
                <w:szCs w:val="22"/>
                <w:highlight w:val="none"/>
              </w:rPr>
            </w:pPr>
          </w:p>
        </w:tc>
        <w:tc>
          <w:tcPr>
            <w:tcW w:w="3703" w:type="dxa"/>
            <w:gridSpan w:val="4"/>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各人员构成情况</w:t>
            </w:r>
          </w:p>
        </w:tc>
        <w:tc>
          <w:tcPr>
            <w:tcW w:w="1488" w:type="dxa"/>
            <w:vMerge w:val="restart"/>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上一年主要  经济指标</w:t>
            </w:r>
          </w:p>
        </w:tc>
        <w:tc>
          <w:tcPr>
            <w:tcW w:w="1502"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指标名称</w:t>
            </w:r>
          </w:p>
        </w:tc>
        <w:tc>
          <w:tcPr>
            <w:tcW w:w="1488" w:type="dxa"/>
            <w:tcBorders>
              <w:tr2bl w:val="single" w:color="auto" w:sz="4" w:space="0"/>
            </w:tcBorders>
            <w:vAlign w:val="center"/>
          </w:tcPr>
          <w:p>
            <w:pPr>
              <w:spacing w:line="480" w:lineRule="exact"/>
              <w:jc w:val="center"/>
              <w:rPr>
                <w:rFonts w:hint="eastAsia" w:ascii="宋体" w:hAnsi="宋体" w:eastAsia="宋体" w:cs="宋体"/>
                <w:color w:val="auto"/>
                <w:sz w:val="22"/>
                <w:szCs w:val="22"/>
                <w:highlight w:val="none"/>
              </w:rPr>
            </w:pPr>
          </w:p>
        </w:tc>
        <w:tc>
          <w:tcPr>
            <w:tcW w:w="1470" w:type="dxa"/>
            <w:gridSpan w:val="2"/>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实际完成</w:t>
            </w:r>
          </w:p>
        </w:tc>
        <w:tc>
          <w:tcPr>
            <w:tcW w:w="1106" w:type="dxa"/>
            <w:tcBorders>
              <w:tr2bl w:val="single" w:color="auto" w:sz="4" w:space="0"/>
            </w:tcBorders>
            <w:vAlign w:val="center"/>
          </w:tcPr>
          <w:p>
            <w:pPr>
              <w:spacing w:line="480" w:lineRule="exact"/>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227" w:type="dxa"/>
            <w:vMerge w:val="continue"/>
          </w:tcPr>
          <w:p>
            <w:pPr>
              <w:spacing w:line="480" w:lineRule="exact"/>
              <w:rPr>
                <w:rFonts w:hint="eastAsia" w:ascii="宋体" w:hAnsi="宋体" w:eastAsia="宋体" w:cs="宋体"/>
                <w:color w:val="auto"/>
                <w:sz w:val="22"/>
                <w:szCs w:val="22"/>
                <w:highlight w:val="none"/>
              </w:rPr>
            </w:pPr>
          </w:p>
        </w:tc>
        <w:tc>
          <w:tcPr>
            <w:tcW w:w="1115" w:type="dxa"/>
            <w:vMerge w:val="continue"/>
          </w:tcPr>
          <w:p>
            <w:pPr>
              <w:spacing w:line="480" w:lineRule="exact"/>
              <w:rPr>
                <w:rFonts w:hint="eastAsia" w:ascii="宋体" w:hAnsi="宋体" w:eastAsia="宋体" w:cs="宋体"/>
                <w:color w:val="auto"/>
                <w:sz w:val="22"/>
                <w:szCs w:val="22"/>
                <w:highlight w:val="none"/>
              </w:rPr>
            </w:pPr>
          </w:p>
        </w:tc>
        <w:tc>
          <w:tcPr>
            <w:tcW w:w="1689" w:type="dxa"/>
            <w:vMerge w:val="continue"/>
          </w:tcPr>
          <w:p>
            <w:pPr>
              <w:spacing w:line="480" w:lineRule="exact"/>
              <w:rPr>
                <w:rFonts w:hint="eastAsia" w:ascii="宋体" w:hAnsi="宋体" w:eastAsia="宋体" w:cs="宋体"/>
                <w:color w:val="auto"/>
                <w:sz w:val="22"/>
                <w:szCs w:val="22"/>
                <w:highlight w:val="none"/>
              </w:rPr>
            </w:pPr>
          </w:p>
        </w:tc>
        <w:tc>
          <w:tcPr>
            <w:tcW w:w="3703" w:type="dxa"/>
            <w:gridSpan w:val="4"/>
            <w:vMerge w:val="continue"/>
          </w:tcPr>
          <w:p>
            <w:pPr>
              <w:spacing w:line="480" w:lineRule="exact"/>
              <w:rPr>
                <w:rFonts w:hint="eastAsia" w:ascii="宋体" w:hAnsi="宋体" w:eastAsia="宋体" w:cs="宋体"/>
                <w:color w:val="auto"/>
                <w:sz w:val="22"/>
                <w:szCs w:val="22"/>
                <w:highlight w:val="none"/>
              </w:rPr>
            </w:pPr>
          </w:p>
        </w:tc>
        <w:tc>
          <w:tcPr>
            <w:tcW w:w="1488" w:type="dxa"/>
            <w:vMerge w:val="continue"/>
          </w:tcPr>
          <w:p>
            <w:pPr>
              <w:spacing w:line="480" w:lineRule="exact"/>
              <w:rPr>
                <w:rFonts w:hint="eastAsia" w:ascii="宋体" w:hAnsi="宋体" w:eastAsia="宋体" w:cs="宋体"/>
                <w:color w:val="auto"/>
                <w:sz w:val="22"/>
                <w:szCs w:val="22"/>
                <w:highlight w:val="none"/>
              </w:rPr>
            </w:pPr>
          </w:p>
        </w:tc>
        <w:tc>
          <w:tcPr>
            <w:tcW w:w="1502"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总产值</w:t>
            </w:r>
          </w:p>
        </w:tc>
        <w:tc>
          <w:tcPr>
            <w:tcW w:w="1488" w:type="dxa"/>
            <w:vAlign w:val="center"/>
          </w:tcPr>
          <w:p>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70" w:type="dxa"/>
            <w:gridSpan w:val="2"/>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总产值</w:t>
            </w:r>
          </w:p>
        </w:tc>
        <w:tc>
          <w:tcPr>
            <w:tcW w:w="1106"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227" w:type="dxa"/>
            <w:vMerge w:val="continue"/>
          </w:tcPr>
          <w:p>
            <w:pPr>
              <w:spacing w:line="480" w:lineRule="exact"/>
              <w:rPr>
                <w:rFonts w:hint="eastAsia" w:ascii="宋体" w:hAnsi="宋体" w:eastAsia="宋体" w:cs="宋体"/>
                <w:color w:val="auto"/>
                <w:sz w:val="22"/>
                <w:szCs w:val="22"/>
                <w:highlight w:val="none"/>
              </w:rPr>
            </w:pPr>
          </w:p>
        </w:tc>
        <w:tc>
          <w:tcPr>
            <w:tcW w:w="1115" w:type="dxa"/>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流动资金</w:t>
            </w:r>
          </w:p>
        </w:tc>
        <w:tc>
          <w:tcPr>
            <w:tcW w:w="1689" w:type="dxa"/>
            <w:vMerge w:val="restart"/>
          </w:tcPr>
          <w:p>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万元 </w:t>
            </w:r>
          </w:p>
        </w:tc>
        <w:tc>
          <w:tcPr>
            <w:tcW w:w="728" w:type="dxa"/>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资金来源</w:t>
            </w:r>
          </w:p>
        </w:tc>
        <w:tc>
          <w:tcPr>
            <w:tcW w:w="1487" w:type="dxa"/>
            <w:gridSpan w:val="2"/>
            <w:vAlign w:val="center"/>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自有资金</w:t>
            </w:r>
          </w:p>
        </w:tc>
        <w:tc>
          <w:tcPr>
            <w:tcW w:w="1488"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pPr>
              <w:spacing w:line="480" w:lineRule="exact"/>
              <w:rPr>
                <w:rFonts w:hint="eastAsia" w:ascii="宋体" w:hAnsi="宋体" w:eastAsia="宋体" w:cs="宋体"/>
                <w:color w:val="auto"/>
                <w:sz w:val="22"/>
                <w:szCs w:val="22"/>
                <w:highlight w:val="none"/>
              </w:rPr>
            </w:pPr>
          </w:p>
        </w:tc>
        <w:tc>
          <w:tcPr>
            <w:tcW w:w="1502"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实现利润</w:t>
            </w:r>
          </w:p>
        </w:tc>
        <w:tc>
          <w:tcPr>
            <w:tcW w:w="1488" w:type="dxa"/>
            <w:vAlign w:val="center"/>
          </w:tcPr>
          <w:p>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70" w:type="dxa"/>
            <w:gridSpan w:val="2"/>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实现利润</w:t>
            </w:r>
          </w:p>
        </w:tc>
        <w:tc>
          <w:tcPr>
            <w:tcW w:w="1106" w:type="dxa"/>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227" w:type="dxa"/>
            <w:vMerge w:val="continue"/>
            <w:tcBorders>
              <w:bottom w:val="single" w:color="auto" w:sz="4" w:space="0"/>
            </w:tcBorders>
          </w:tcPr>
          <w:p>
            <w:pPr>
              <w:spacing w:line="480" w:lineRule="exact"/>
              <w:rPr>
                <w:rFonts w:hint="eastAsia" w:ascii="宋体" w:hAnsi="宋体" w:eastAsia="宋体" w:cs="宋体"/>
                <w:color w:val="auto"/>
                <w:sz w:val="22"/>
                <w:szCs w:val="22"/>
                <w:highlight w:val="none"/>
              </w:rPr>
            </w:pPr>
          </w:p>
        </w:tc>
        <w:tc>
          <w:tcPr>
            <w:tcW w:w="1115" w:type="dxa"/>
            <w:vMerge w:val="continue"/>
            <w:tcBorders>
              <w:bottom w:val="single" w:color="auto" w:sz="4" w:space="0"/>
            </w:tcBorders>
          </w:tcPr>
          <w:p>
            <w:pPr>
              <w:spacing w:line="480" w:lineRule="exact"/>
              <w:rPr>
                <w:rFonts w:hint="eastAsia" w:ascii="宋体" w:hAnsi="宋体" w:eastAsia="宋体" w:cs="宋体"/>
                <w:color w:val="auto"/>
                <w:sz w:val="22"/>
                <w:szCs w:val="22"/>
                <w:highlight w:val="none"/>
              </w:rPr>
            </w:pPr>
          </w:p>
        </w:tc>
        <w:tc>
          <w:tcPr>
            <w:tcW w:w="1689" w:type="dxa"/>
            <w:vMerge w:val="continue"/>
            <w:tcBorders>
              <w:bottom w:val="single" w:color="auto" w:sz="4" w:space="0"/>
            </w:tcBorders>
          </w:tcPr>
          <w:p>
            <w:pPr>
              <w:spacing w:line="480" w:lineRule="exact"/>
              <w:rPr>
                <w:rFonts w:hint="eastAsia" w:ascii="宋体" w:hAnsi="宋体" w:eastAsia="宋体" w:cs="宋体"/>
                <w:color w:val="auto"/>
                <w:sz w:val="22"/>
                <w:szCs w:val="22"/>
                <w:highlight w:val="none"/>
              </w:rPr>
            </w:pPr>
          </w:p>
        </w:tc>
        <w:tc>
          <w:tcPr>
            <w:tcW w:w="728" w:type="dxa"/>
            <w:vMerge w:val="continue"/>
            <w:tcBorders>
              <w:bottom w:val="single" w:color="auto" w:sz="4" w:space="0"/>
            </w:tcBorders>
          </w:tcPr>
          <w:p>
            <w:pPr>
              <w:spacing w:line="480" w:lineRule="exact"/>
              <w:rPr>
                <w:rFonts w:hint="eastAsia" w:ascii="宋体" w:hAnsi="宋体" w:eastAsia="宋体" w:cs="宋体"/>
                <w:color w:val="auto"/>
                <w:sz w:val="22"/>
                <w:szCs w:val="22"/>
                <w:highlight w:val="none"/>
              </w:rPr>
            </w:pPr>
          </w:p>
        </w:tc>
        <w:tc>
          <w:tcPr>
            <w:tcW w:w="1487" w:type="dxa"/>
            <w:gridSpan w:val="2"/>
            <w:tcBorders>
              <w:bottom w:val="single" w:color="auto" w:sz="4" w:space="0"/>
            </w:tcBorders>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银行贷款</w:t>
            </w:r>
          </w:p>
        </w:tc>
        <w:tc>
          <w:tcPr>
            <w:tcW w:w="1488" w:type="dxa"/>
            <w:tcBorders>
              <w:bottom w:val="single" w:color="auto" w:sz="4" w:space="0"/>
            </w:tcBorders>
          </w:tcPr>
          <w:p>
            <w:pPr>
              <w:spacing w:line="48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tcBorders>
              <w:bottom w:val="single" w:color="auto" w:sz="4" w:space="0"/>
            </w:tcBorders>
          </w:tcPr>
          <w:p>
            <w:pPr>
              <w:spacing w:line="480" w:lineRule="exact"/>
              <w:rPr>
                <w:rFonts w:hint="eastAsia" w:ascii="宋体" w:hAnsi="宋体" w:eastAsia="宋体" w:cs="宋体"/>
                <w:color w:val="auto"/>
                <w:sz w:val="22"/>
                <w:szCs w:val="22"/>
                <w:highlight w:val="none"/>
              </w:rPr>
            </w:pPr>
          </w:p>
        </w:tc>
        <w:tc>
          <w:tcPr>
            <w:tcW w:w="1502" w:type="dxa"/>
            <w:vMerge w:val="restart"/>
            <w:tcBorders>
              <w:bottom w:val="single" w:color="auto" w:sz="4" w:space="0"/>
            </w:tcBorders>
            <w:vAlign w:val="center"/>
          </w:tcPr>
          <w:p>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主要业绩</w:t>
            </w:r>
          </w:p>
        </w:tc>
        <w:tc>
          <w:tcPr>
            <w:tcW w:w="4064" w:type="dxa"/>
            <w:gridSpan w:val="4"/>
            <w:vMerge w:val="restart"/>
            <w:tcBorders>
              <w:bottom w:val="single" w:color="auto" w:sz="4" w:space="0"/>
            </w:tcBorders>
            <w:vAlign w:val="center"/>
          </w:tcPr>
          <w:p>
            <w:pPr>
              <w:spacing w:line="480" w:lineRule="exact"/>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27" w:type="dxa"/>
            <w:vMerge w:val="continue"/>
          </w:tcPr>
          <w:p>
            <w:pPr>
              <w:spacing w:line="480" w:lineRule="exact"/>
              <w:rPr>
                <w:rFonts w:hint="eastAsia" w:ascii="宋体" w:hAnsi="宋体" w:eastAsia="宋体" w:cs="宋体"/>
                <w:color w:val="auto"/>
                <w:sz w:val="22"/>
                <w:szCs w:val="22"/>
                <w:highlight w:val="none"/>
              </w:rPr>
            </w:pPr>
          </w:p>
        </w:tc>
        <w:tc>
          <w:tcPr>
            <w:tcW w:w="1115" w:type="dxa"/>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固定资产</w:t>
            </w:r>
          </w:p>
        </w:tc>
        <w:tc>
          <w:tcPr>
            <w:tcW w:w="1689" w:type="dxa"/>
            <w:vMerge w:val="restart"/>
          </w:tcPr>
          <w:p>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原值   万元</w:t>
            </w:r>
          </w:p>
          <w:p>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净值   万元</w:t>
            </w:r>
          </w:p>
        </w:tc>
        <w:tc>
          <w:tcPr>
            <w:tcW w:w="728" w:type="dxa"/>
            <w:vMerge w:val="restart"/>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资金性质</w:t>
            </w:r>
          </w:p>
        </w:tc>
        <w:tc>
          <w:tcPr>
            <w:tcW w:w="1487"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生产性</w:t>
            </w:r>
          </w:p>
        </w:tc>
        <w:tc>
          <w:tcPr>
            <w:tcW w:w="1488" w:type="dxa"/>
          </w:tcPr>
          <w:p>
            <w:pPr>
              <w:spacing w:line="48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pPr>
              <w:spacing w:line="480" w:lineRule="exact"/>
              <w:rPr>
                <w:rFonts w:hint="eastAsia" w:ascii="宋体" w:hAnsi="宋体" w:eastAsia="宋体" w:cs="宋体"/>
                <w:color w:val="auto"/>
                <w:sz w:val="22"/>
                <w:szCs w:val="22"/>
                <w:highlight w:val="none"/>
              </w:rPr>
            </w:pPr>
          </w:p>
        </w:tc>
        <w:tc>
          <w:tcPr>
            <w:tcW w:w="1502" w:type="dxa"/>
            <w:vMerge w:val="continue"/>
          </w:tcPr>
          <w:p>
            <w:pPr>
              <w:spacing w:line="480" w:lineRule="exact"/>
              <w:rPr>
                <w:rFonts w:hint="eastAsia" w:ascii="宋体" w:hAnsi="宋体" w:eastAsia="宋体" w:cs="宋体"/>
                <w:color w:val="auto"/>
                <w:sz w:val="22"/>
                <w:szCs w:val="22"/>
                <w:highlight w:val="none"/>
              </w:rPr>
            </w:pPr>
          </w:p>
        </w:tc>
        <w:tc>
          <w:tcPr>
            <w:tcW w:w="4064" w:type="dxa"/>
            <w:gridSpan w:val="4"/>
            <w:vMerge w:val="continue"/>
          </w:tcPr>
          <w:p>
            <w:pPr>
              <w:spacing w:line="480" w:lineRule="exact"/>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27" w:type="dxa"/>
            <w:vMerge w:val="continue"/>
          </w:tcPr>
          <w:p>
            <w:pPr>
              <w:spacing w:line="480" w:lineRule="exact"/>
              <w:rPr>
                <w:rFonts w:hint="eastAsia" w:ascii="宋体" w:hAnsi="宋体" w:eastAsia="宋体" w:cs="宋体"/>
                <w:color w:val="auto"/>
                <w:sz w:val="22"/>
                <w:szCs w:val="22"/>
                <w:highlight w:val="none"/>
              </w:rPr>
            </w:pPr>
          </w:p>
        </w:tc>
        <w:tc>
          <w:tcPr>
            <w:tcW w:w="1115" w:type="dxa"/>
            <w:vMerge w:val="continue"/>
          </w:tcPr>
          <w:p>
            <w:pPr>
              <w:spacing w:line="480" w:lineRule="exact"/>
              <w:rPr>
                <w:rFonts w:hint="eastAsia" w:ascii="宋体" w:hAnsi="宋体" w:eastAsia="宋体" w:cs="宋体"/>
                <w:color w:val="auto"/>
                <w:sz w:val="22"/>
                <w:szCs w:val="22"/>
                <w:highlight w:val="none"/>
              </w:rPr>
            </w:pPr>
          </w:p>
        </w:tc>
        <w:tc>
          <w:tcPr>
            <w:tcW w:w="1689" w:type="dxa"/>
            <w:vMerge w:val="continue"/>
          </w:tcPr>
          <w:p>
            <w:pPr>
              <w:spacing w:line="480" w:lineRule="exact"/>
              <w:rPr>
                <w:rFonts w:hint="eastAsia" w:ascii="宋体" w:hAnsi="宋体" w:eastAsia="宋体" w:cs="宋体"/>
                <w:color w:val="auto"/>
                <w:sz w:val="22"/>
                <w:szCs w:val="22"/>
                <w:highlight w:val="none"/>
              </w:rPr>
            </w:pPr>
          </w:p>
        </w:tc>
        <w:tc>
          <w:tcPr>
            <w:tcW w:w="728" w:type="dxa"/>
            <w:vMerge w:val="continue"/>
          </w:tcPr>
          <w:p>
            <w:pPr>
              <w:spacing w:line="480" w:lineRule="exact"/>
              <w:rPr>
                <w:rFonts w:hint="eastAsia" w:ascii="宋体" w:hAnsi="宋体" w:eastAsia="宋体" w:cs="宋体"/>
                <w:color w:val="auto"/>
                <w:sz w:val="22"/>
                <w:szCs w:val="22"/>
                <w:highlight w:val="none"/>
              </w:rPr>
            </w:pPr>
          </w:p>
        </w:tc>
        <w:tc>
          <w:tcPr>
            <w:tcW w:w="1487" w:type="dxa"/>
            <w:gridSpan w:val="2"/>
          </w:tcPr>
          <w:p>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非生产性</w:t>
            </w:r>
          </w:p>
        </w:tc>
        <w:tc>
          <w:tcPr>
            <w:tcW w:w="1488" w:type="dxa"/>
          </w:tcPr>
          <w:p>
            <w:pPr>
              <w:spacing w:line="48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pPr>
              <w:spacing w:line="480" w:lineRule="exact"/>
              <w:rPr>
                <w:rFonts w:hint="eastAsia" w:ascii="宋体" w:hAnsi="宋体" w:eastAsia="宋体" w:cs="宋体"/>
                <w:color w:val="auto"/>
                <w:sz w:val="22"/>
                <w:szCs w:val="22"/>
                <w:highlight w:val="none"/>
              </w:rPr>
            </w:pPr>
          </w:p>
        </w:tc>
        <w:tc>
          <w:tcPr>
            <w:tcW w:w="1502" w:type="dxa"/>
            <w:vMerge w:val="continue"/>
          </w:tcPr>
          <w:p>
            <w:pPr>
              <w:spacing w:line="480" w:lineRule="exact"/>
              <w:rPr>
                <w:rFonts w:hint="eastAsia" w:ascii="宋体" w:hAnsi="宋体" w:eastAsia="宋体" w:cs="宋体"/>
                <w:color w:val="auto"/>
                <w:sz w:val="22"/>
                <w:szCs w:val="22"/>
                <w:highlight w:val="none"/>
              </w:rPr>
            </w:pPr>
          </w:p>
        </w:tc>
        <w:tc>
          <w:tcPr>
            <w:tcW w:w="4064" w:type="dxa"/>
            <w:gridSpan w:val="4"/>
            <w:vMerge w:val="continue"/>
          </w:tcPr>
          <w:p>
            <w:pPr>
              <w:spacing w:line="480" w:lineRule="exact"/>
              <w:rPr>
                <w:rFonts w:hint="eastAsia" w:ascii="宋体" w:hAnsi="宋体" w:eastAsia="宋体" w:cs="宋体"/>
                <w:color w:val="auto"/>
                <w:sz w:val="22"/>
                <w:szCs w:val="22"/>
                <w:highlight w:val="none"/>
              </w:rPr>
            </w:pPr>
          </w:p>
        </w:tc>
      </w:tr>
    </w:tbl>
    <w:p>
      <w:pPr>
        <w:spacing w:line="460" w:lineRule="exact"/>
        <w:rPr>
          <w:rFonts w:hint="eastAsia" w:ascii="宋体" w:hAnsi="宋体" w:eastAsia="宋体" w:cs="宋体"/>
          <w:color w:val="auto"/>
          <w:sz w:val="22"/>
          <w:szCs w:val="22"/>
          <w:highlight w:val="none"/>
        </w:rPr>
        <w:sectPr>
          <w:pgSz w:w="16838" w:h="11906" w:orient="landscape"/>
          <w:pgMar w:top="1134" w:right="1134" w:bottom="1134" w:left="1134" w:header="850" w:footer="992" w:gutter="0"/>
          <w:cols w:space="720" w:num="1"/>
          <w:docGrid w:type="lines" w:linePitch="321" w:charSpace="0"/>
        </w:sectPr>
      </w:pPr>
    </w:p>
    <w:p>
      <w:pPr>
        <w:spacing w:line="400" w:lineRule="exact"/>
        <w:jc w:val="center"/>
        <w:outlineLvl w:val="3"/>
        <w:rPr>
          <w:rFonts w:hint="eastAsia" w:ascii="宋体" w:hAnsi="宋体" w:eastAsia="宋体" w:cs="宋体"/>
          <w:b/>
          <w:bCs/>
          <w:color w:val="auto"/>
          <w:sz w:val="28"/>
          <w:szCs w:val="28"/>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zh-CN"/>
        </w:rPr>
        <w:t>偏离表（</w:t>
      </w:r>
      <w:r>
        <w:rPr>
          <w:rFonts w:hint="eastAsia" w:ascii="宋体" w:hAnsi="宋体" w:eastAsia="宋体" w:cs="宋体"/>
          <w:b/>
          <w:color w:val="auto"/>
          <w:sz w:val="24"/>
          <w:highlight w:val="none"/>
        </w:rPr>
        <w:t>商务、技术偏离</w:t>
      </w:r>
      <w:r>
        <w:rPr>
          <w:rFonts w:hint="eastAsia" w:ascii="宋体" w:hAnsi="宋体" w:eastAsia="宋体" w:cs="宋体"/>
          <w:b/>
          <w:color w:val="auto"/>
          <w:sz w:val="24"/>
          <w:highlight w:val="none"/>
          <w:lang w:val="zh-CN"/>
        </w:rPr>
        <w:t>）</w:t>
      </w:r>
    </w:p>
    <w:p>
      <w:pPr>
        <w:spacing w:line="560" w:lineRule="exact"/>
        <w:ind w:firstLine="433" w:firstLineChars="196"/>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rPr>
        <w:t>项目名称：                                          项目编号：</w:t>
      </w:r>
    </w:p>
    <w:tbl>
      <w:tblPr>
        <w:tblStyle w:val="52"/>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544"/>
        <w:gridCol w:w="340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134" w:type="dxa"/>
            <w:shd w:val="clear" w:color="auto" w:fill="FFFFFF"/>
            <w:vAlign w:val="center"/>
          </w:tcPr>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  号</w:t>
            </w:r>
          </w:p>
        </w:tc>
        <w:tc>
          <w:tcPr>
            <w:tcW w:w="3544" w:type="dxa"/>
            <w:shd w:val="clear" w:color="auto" w:fill="FFFFFF"/>
            <w:vAlign w:val="center"/>
          </w:tcPr>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招标文件</w:t>
            </w:r>
          </w:p>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规格要求</w:t>
            </w:r>
          </w:p>
        </w:tc>
        <w:tc>
          <w:tcPr>
            <w:tcW w:w="3402" w:type="dxa"/>
            <w:shd w:val="clear" w:color="auto" w:fill="FFFFFF"/>
            <w:vAlign w:val="center"/>
          </w:tcPr>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投标文件</w:t>
            </w:r>
          </w:p>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对应规格</w:t>
            </w:r>
          </w:p>
        </w:tc>
        <w:tc>
          <w:tcPr>
            <w:tcW w:w="1843" w:type="dxa"/>
            <w:shd w:val="clear" w:color="auto" w:fill="FFFFFF"/>
            <w:vAlign w:val="center"/>
          </w:tcPr>
          <w:p>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1134" w:type="dxa"/>
            <w:vAlign w:val="center"/>
          </w:tcPr>
          <w:p>
            <w:pPr>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1134" w:type="dxa"/>
            <w:vAlign w:val="center"/>
          </w:tcPr>
          <w:p>
            <w:pPr>
              <w:jc w:val="center"/>
              <w:rPr>
                <w:rFonts w:hint="eastAsia" w:ascii="宋体" w:hAnsi="宋体" w:eastAsia="宋体" w:cs="宋体"/>
                <w:color w:val="auto"/>
                <w:sz w:val="22"/>
                <w:szCs w:val="22"/>
                <w:highlight w:val="none"/>
              </w:rPr>
            </w:pPr>
          </w:p>
        </w:tc>
        <w:tc>
          <w:tcPr>
            <w:tcW w:w="3544" w:type="dxa"/>
            <w:vAlign w:val="center"/>
          </w:tcPr>
          <w:p>
            <w:pPr>
              <w:jc w:val="center"/>
              <w:rPr>
                <w:rFonts w:hint="eastAsia" w:ascii="宋体" w:hAnsi="宋体" w:eastAsia="宋体" w:cs="宋体"/>
                <w:color w:val="auto"/>
                <w:sz w:val="22"/>
                <w:szCs w:val="22"/>
                <w:highlight w:val="none"/>
              </w:rPr>
            </w:pPr>
          </w:p>
        </w:tc>
        <w:tc>
          <w:tcPr>
            <w:tcW w:w="3402" w:type="dxa"/>
            <w:vAlign w:val="center"/>
          </w:tcPr>
          <w:p>
            <w:pPr>
              <w:jc w:val="center"/>
              <w:rPr>
                <w:rFonts w:hint="eastAsia" w:ascii="宋体" w:hAnsi="宋体" w:eastAsia="宋体" w:cs="宋体"/>
                <w:color w:val="auto"/>
                <w:sz w:val="22"/>
                <w:szCs w:val="22"/>
                <w:highlight w:val="none"/>
              </w:rPr>
            </w:pPr>
          </w:p>
        </w:tc>
        <w:tc>
          <w:tcPr>
            <w:tcW w:w="1843" w:type="dxa"/>
            <w:vAlign w:val="center"/>
          </w:tcPr>
          <w:p>
            <w:pPr>
              <w:jc w:val="center"/>
              <w:rPr>
                <w:rFonts w:hint="eastAsia" w:ascii="宋体" w:hAnsi="宋体" w:eastAsia="宋体" w:cs="宋体"/>
                <w:color w:val="auto"/>
                <w:sz w:val="22"/>
                <w:szCs w:val="22"/>
                <w:highlight w:val="none"/>
              </w:rPr>
            </w:pPr>
          </w:p>
        </w:tc>
      </w:tr>
    </w:tbl>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b/>
          <w:bCs/>
          <w:color w:val="auto"/>
          <w:sz w:val="22"/>
          <w:szCs w:val="22"/>
          <w:highlight w:val="none"/>
        </w:rPr>
        <w:t>注： 如有偏离，必须在偏离表中进行详细对比说明并注明正偏离和负偏离，如不说明偏离情况，视为完全响应采购文件要求无偏离</w:t>
      </w:r>
    </w:p>
    <w:p>
      <w:pPr>
        <w:spacing w:line="460" w:lineRule="exact"/>
        <w:ind w:firstLine="4400" w:firstLineChars="20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w:t>
      </w:r>
    </w:p>
    <w:p>
      <w:pPr>
        <w:spacing w:line="460" w:lineRule="exact"/>
        <w:ind w:firstLine="4400" w:firstLineChars="20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投标人代表（签字）：</w:t>
      </w:r>
    </w:p>
    <w:p>
      <w:pPr>
        <w:spacing w:line="460" w:lineRule="exact"/>
        <w:ind w:firstLine="4400" w:firstLineChars="20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   期：</w:t>
      </w:r>
    </w:p>
    <w:p>
      <w:pPr>
        <w:rPr>
          <w:rFonts w:hint="eastAsia" w:ascii="宋体" w:hAnsi="宋体" w:eastAsia="宋体" w:cs="宋体"/>
          <w:bCs/>
          <w:color w:val="auto"/>
          <w:sz w:val="22"/>
          <w:szCs w:val="22"/>
          <w:highlight w:val="none"/>
        </w:rPr>
      </w:pPr>
    </w:p>
    <w:p>
      <w:pPr>
        <w:rPr>
          <w:rFonts w:hint="eastAsia" w:ascii="宋体" w:hAnsi="宋体" w:eastAsia="宋体" w:cs="宋体"/>
          <w:bCs/>
          <w:color w:val="auto"/>
          <w:sz w:val="22"/>
          <w:szCs w:val="22"/>
          <w:highlight w:val="none"/>
        </w:rPr>
      </w:pPr>
    </w:p>
    <w:p>
      <w:pPr>
        <w:rPr>
          <w:rFonts w:hint="eastAsia" w:ascii="宋体" w:hAnsi="宋体" w:eastAsia="宋体" w:cs="宋体"/>
          <w:b/>
          <w:color w:val="auto"/>
          <w:sz w:val="24"/>
          <w:highlight w:val="none"/>
        </w:rPr>
      </w:pPr>
      <w:bookmarkStart w:id="51" w:name="_Toc415152386"/>
      <w:r>
        <w:rPr>
          <w:rFonts w:hint="eastAsia" w:ascii="宋体" w:hAnsi="宋体" w:eastAsia="宋体" w:cs="宋体"/>
          <w:b/>
          <w:color w:val="auto"/>
          <w:sz w:val="24"/>
          <w:highlight w:val="none"/>
        </w:rPr>
        <w:br w:type="page"/>
      </w:r>
    </w:p>
    <w:bookmarkEnd w:id="51"/>
    <w:p>
      <w:pPr>
        <w:pStyle w:val="24"/>
        <w:rPr>
          <w:rFonts w:hint="eastAsia" w:ascii="新宋体" w:hAnsi="新宋体" w:eastAsia="新宋体" w:cs="新宋体"/>
          <w:color w:val="auto"/>
          <w:highlight w:val="none"/>
        </w:rPr>
      </w:pPr>
    </w:p>
    <w:p>
      <w:pPr>
        <w:spacing w:line="460" w:lineRule="exact"/>
        <w:jc w:val="center"/>
        <w:outlineLvl w:val="3"/>
        <w:rPr>
          <w:rFonts w:hint="eastAsia" w:ascii="新宋体" w:hAnsi="新宋体" w:eastAsia="新宋体" w:cs="新宋体"/>
          <w:b/>
          <w:bCs/>
          <w:color w:val="auto"/>
          <w:sz w:val="28"/>
          <w:szCs w:val="28"/>
          <w:highlight w:val="none"/>
          <w:lang w:val="zh-CN"/>
        </w:rPr>
      </w:pPr>
      <w:r>
        <w:rPr>
          <w:rFonts w:hint="eastAsia" w:ascii="新宋体" w:hAnsi="新宋体" w:eastAsia="新宋体" w:cs="新宋体"/>
          <w:b/>
          <w:bCs/>
          <w:color w:val="auto"/>
          <w:sz w:val="28"/>
          <w:szCs w:val="28"/>
          <w:highlight w:val="none"/>
          <w:lang w:val="en-US" w:eastAsia="zh-CN"/>
        </w:rPr>
        <w:t>4、</w:t>
      </w:r>
      <w:r>
        <w:rPr>
          <w:rFonts w:hint="eastAsia" w:ascii="新宋体" w:hAnsi="新宋体" w:eastAsia="新宋体" w:cs="新宋体"/>
          <w:b/>
          <w:bCs/>
          <w:color w:val="auto"/>
          <w:sz w:val="28"/>
          <w:szCs w:val="28"/>
          <w:highlight w:val="none"/>
          <w:lang w:val="zh-CN"/>
        </w:rPr>
        <w:t>业绩</w:t>
      </w:r>
    </w:p>
    <w:p>
      <w:pPr>
        <w:pStyle w:val="9"/>
        <w:ind w:firstLine="0"/>
        <w:rPr>
          <w:rFonts w:hint="eastAsia" w:ascii="新宋体" w:hAnsi="新宋体" w:eastAsia="新宋体" w:cs="新宋体"/>
          <w:color w:val="auto"/>
          <w:highlight w:val="none"/>
          <w:lang w:val="zh-CN"/>
        </w:rPr>
      </w:pPr>
      <w:r>
        <w:rPr>
          <w:rFonts w:hint="eastAsia" w:ascii="新宋体" w:hAnsi="新宋体" w:eastAsia="新宋体" w:cs="新宋体"/>
          <w:color w:val="auto"/>
          <w:sz w:val="22"/>
          <w:highlight w:val="none"/>
        </w:rPr>
        <w:t>项目名称：                                           项目编号：</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259"/>
        <w:gridCol w:w="2026"/>
        <w:gridCol w:w="1271"/>
        <w:gridCol w:w="128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序号</w:t>
            </w:r>
          </w:p>
        </w:tc>
        <w:tc>
          <w:tcPr>
            <w:tcW w:w="3259"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项目名称</w:t>
            </w:r>
          </w:p>
        </w:tc>
        <w:tc>
          <w:tcPr>
            <w:tcW w:w="2026"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用户单位</w:t>
            </w:r>
          </w:p>
        </w:tc>
        <w:tc>
          <w:tcPr>
            <w:tcW w:w="1271"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合同金额</w:t>
            </w:r>
          </w:p>
        </w:tc>
        <w:tc>
          <w:tcPr>
            <w:tcW w:w="1282"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合同日期</w:t>
            </w:r>
          </w:p>
        </w:tc>
        <w:tc>
          <w:tcPr>
            <w:tcW w:w="1128" w:type="dxa"/>
            <w:noWrap w:val="0"/>
            <w:vAlign w:val="center"/>
          </w:tcPr>
          <w:p>
            <w:pPr>
              <w:spacing w:line="38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7"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3259"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2026"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71"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282"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c>
          <w:tcPr>
            <w:tcW w:w="1128" w:type="dxa"/>
            <w:noWrap w:val="0"/>
            <w:vAlign w:val="center"/>
          </w:tcPr>
          <w:p>
            <w:pPr>
              <w:spacing w:line="380" w:lineRule="exact"/>
              <w:ind w:left="442" w:hanging="442"/>
              <w:jc w:val="center"/>
              <w:rPr>
                <w:rFonts w:hint="eastAsia" w:ascii="新宋体" w:hAnsi="新宋体" w:eastAsia="新宋体" w:cs="新宋体"/>
                <w:b/>
                <w:bCs/>
                <w:color w:val="auto"/>
                <w:sz w:val="22"/>
                <w:szCs w:val="22"/>
                <w:highlight w:val="none"/>
              </w:rPr>
            </w:pPr>
          </w:p>
        </w:tc>
      </w:tr>
    </w:tbl>
    <w:p>
      <w:pPr>
        <w:spacing w:line="380" w:lineRule="exact"/>
        <w:rPr>
          <w:rFonts w:hint="eastAsia" w:ascii="新宋体" w:hAnsi="新宋体" w:eastAsia="新宋体" w:cs="新宋体"/>
          <w:color w:val="auto"/>
          <w:sz w:val="22"/>
          <w:szCs w:val="22"/>
          <w:highlight w:val="none"/>
        </w:rPr>
      </w:pPr>
    </w:p>
    <w:p>
      <w:pPr>
        <w:spacing w:line="380" w:lineRule="exact"/>
        <w:ind w:firstLine="4400" w:firstLineChars="20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ind w:firstLine="4400" w:firstLineChars="20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投标人代表（签字）：</w:t>
      </w:r>
    </w:p>
    <w:p>
      <w:pPr>
        <w:spacing w:line="460" w:lineRule="exact"/>
        <w:ind w:firstLine="5280" w:firstLineChars="24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 期：</w:t>
      </w: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spacing w:line="460" w:lineRule="exact"/>
        <w:outlineLvl w:val="9"/>
        <w:rPr>
          <w:rFonts w:hint="eastAsia" w:ascii="新宋体" w:hAnsi="新宋体" w:eastAsia="新宋体" w:cs="新宋体"/>
          <w:b/>
          <w:color w:val="auto"/>
          <w:kern w:val="0"/>
          <w:sz w:val="22"/>
          <w:szCs w:val="21"/>
          <w:highlight w:val="none"/>
          <w:lang w:val="en-US" w:eastAsia="zh-CN"/>
        </w:rPr>
      </w:pPr>
    </w:p>
    <w:p>
      <w:pPr>
        <w:spacing w:line="400" w:lineRule="exact"/>
        <w:jc w:val="center"/>
        <w:outlineLvl w:val="3"/>
        <w:rPr>
          <w:rFonts w:hint="eastAsia" w:ascii="新宋体" w:hAnsi="新宋体" w:eastAsia="新宋体" w:cs="新宋体"/>
          <w:b/>
          <w:bCs/>
          <w:color w:val="auto"/>
          <w:sz w:val="28"/>
          <w:szCs w:val="28"/>
          <w:highlight w:val="none"/>
          <w:lang w:val="zh-CN"/>
        </w:rPr>
      </w:pPr>
      <w:r>
        <w:rPr>
          <w:rFonts w:hint="eastAsia" w:ascii="新宋体" w:hAnsi="新宋体" w:eastAsia="新宋体" w:cs="新宋体"/>
          <w:b/>
          <w:bCs/>
          <w:color w:val="auto"/>
          <w:sz w:val="28"/>
          <w:szCs w:val="28"/>
          <w:highlight w:val="none"/>
          <w:lang w:val="en-US" w:eastAsia="zh-CN"/>
        </w:rPr>
        <w:t>5、项目履行能力</w:t>
      </w:r>
    </w:p>
    <w:p>
      <w:pPr>
        <w:spacing w:line="400" w:lineRule="exact"/>
        <w:jc w:val="center"/>
        <w:outlineLvl w:val="9"/>
        <w:rPr>
          <w:rFonts w:hint="eastAsia" w:ascii="新宋体" w:hAnsi="新宋体" w:eastAsia="新宋体" w:cs="新宋体"/>
          <w:b/>
          <w:color w:val="auto"/>
          <w:sz w:val="22"/>
          <w:highlight w:val="none"/>
          <w:lang w:eastAsia="zh-CN"/>
        </w:rPr>
      </w:pPr>
    </w:p>
    <w:p>
      <w:pPr>
        <w:spacing w:line="400" w:lineRule="exact"/>
        <w:jc w:val="center"/>
        <w:outlineLvl w:val="4"/>
        <w:rPr>
          <w:rFonts w:hint="default" w:ascii="新宋体" w:hAnsi="新宋体" w:eastAsia="新宋体" w:cs="新宋体"/>
          <w:b/>
          <w:color w:val="auto"/>
          <w:sz w:val="22"/>
          <w:highlight w:val="none"/>
          <w:lang w:val="en-US"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1</w:t>
      </w:r>
      <w:r>
        <w:rPr>
          <w:rFonts w:hint="eastAsia" w:ascii="新宋体" w:hAnsi="新宋体" w:eastAsia="新宋体" w:cs="新宋体"/>
          <w:b/>
          <w:color w:val="auto"/>
          <w:sz w:val="22"/>
          <w:highlight w:val="none"/>
          <w:lang w:eastAsia="zh-CN"/>
        </w:rPr>
        <w:t>）能力配置情况</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spacing w:line="460" w:lineRule="exact"/>
        <w:ind w:firstLine="5280" w:firstLineChars="2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日   期：</w:t>
      </w:r>
    </w:p>
    <w:p>
      <w:pPr>
        <w:spacing w:line="400" w:lineRule="exact"/>
        <w:ind w:firstLine="5280" w:firstLineChars="2400"/>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spacing w:line="400" w:lineRule="exact"/>
        <w:jc w:val="center"/>
        <w:outlineLvl w:val="4"/>
        <w:rPr>
          <w:rFonts w:hint="default" w:ascii="新宋体" w:hAnsi="新宋体" w:eastAsia="新宋体" w:cs="新宋体"/>
          <w:b/>
          <w:color w:val="auto"/>
          <w:sz w:val="22"/>
          <w:highlight w:val="none"/>
          <w:lang w:val="en-US"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2</w:t>
      </w: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车辆配备情况</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spacing w:line="400" w:lineRule="exact"/>
        <w:jc w:val="both"/>
        <w:outlineLvl w:val="9"/>
        <w:rPr>
          <w:rFonts w:hint="eastAsia" w:ascii="新宋体" w:hAnsi="新宋体" w:eastAsia="新宋体" w:cs="新宋体"/>
          <w:bCs/>
          <w:color w:val="auto"/>
          <w:sz w:val="22"/>
          <w:szCs w:val="22"/>
          <w:highlight w:val="none"/>
        </w:rPr>
      </w:pPr>
    </w:p>
    <w:p>
      <w:pPr>
        <w:pStyle w:val="22"/>
        <w:rPr>
          <w:rFonts w:hint="eastAsia"/>
          <w:color w:val="auto"/>
          <w:highlight w:val="none"/>
        </w:rPr>
      </w:pPr>
    </w:p>
    <w:p>
      <w:pPr>
        <w:spacing w:line="400" w:lineRule="exact"/>
        <w:jc w:val="center"/>
        <w:outlineLvl w:val="4"/>
        <w:rPr>
          <w:rFonts w:hint="default" w:ascii="新宋体" w:hAnsi="新宋体" w:eastAsia="新宋体" w:cs="新宋体"/>
          <w:b/>
          <w:color w:val="auto"/>
          <w:sz w:val="22"/>
          <w:highlight w:val="none"/>
          <w:lang w:val="en-US"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3</w:t>
      </w:r>
      <w:r>
        <w:rPr>
          <w:rFonts w:hint="eastAsia" w:ascii="新宋体" w:hAnsi="新宋体" w:eastAsia="新宋体" w:cs="新宋体"/>
          <w:b/>
          <w:color w:val="auto"/>
          <w:sz w:val="22"/>
          <w:highlight w:val="none"/>
          <w:lang w:eastAsia="zh-CN"/>
        </w:rPr>
        <w:t>）设备、工具</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sectPr>
          <w:footerReference r:id="rId5" w:type="default"/>
          <w:pgSz w:w="11907" w:h="16840"/>
          <w:pgMar w:top="1134" w:right="1134" w:bottom="1134" w:left="1134" w:header="851" w:footer="992" w:gutter="0"/>
          <w:cols w:space="720" w:num="1"/>
          <w:docGrid w:linePitch="312" w:charSpace="0"/>
        </w:sect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spacing w:line="460" w:lineRule="exact"/>
        <w:jc w:val="center"/>
        <w:outlineLvl w:val="3"/>
        <w:rPr>
          <w:rFonts w:hint="eastAsia" w:ascii="新宋体" w:hAnsi="新宋体" w:eastAsia="新宋体" w:cs="新宋体"/>
          <w:b/>
          <w:color w:val="auto"/>
          <w:kern w:val="0"/>
          <w:sz w:val="28"/>
          <w:szCs w:val="21"/>
          <w:highlight w:val="none"/>
          <w:lang w:val="zh-CN"/>
        </w:rPr>
      </w:pPr>
      <w:r>
        <w:rPr>
          <w:rFonts w:hint="eastAsia" w:ascii="新宋体" w:hAnsi="新宋体" w:eastAsia="新宋体" w:cs="新宋体"/>
          <w:b/>
          <w:color w:val="auto"/>
          <w:kern w:val="0"/>
          <w:sz w:val="28"/>
          <w:szCs w:val="21"/>
          <w:highlight w:val="none"/>
          <w:lang w:val="en-US" w:eastAsia="zh-CN"/>
        </w:rPr>
        <w:t>6、</w:t>
      </w:r>
      <w:r>
        <w:rPr>
          <w:rFonts w:hint="eastAsia" w:ascii="新宋体" w:hAnsi="新宋体" w:eastAsia="新宋体" w:cs="新宋体"/>
          <w:b/>
          <w:color w:val="auto"/>
          <w:kern w:val="0"/>
          <w:sz w:val="28"/>
          <w:szCs w:val="21"/>
          <w:highlight w:val="none"/>
          <w:lang w:val="zh-CN"/>
        </w:rPr>
        <w:t>施工组织方案</w:t>
      </w:r>
    </w:p>
    <w:p>
      <w:pPr>
        <w:spacing w:line="400" w:lineRule="exact"/>
        <w:jc w:val="center"/>
        <w:outlineLvl w:val="9"/>
        <w:rPr>
          <w:rFonts w:hint="eastAsia" w:ascii="新宋体" w:hAnsi="新宋体" w:eastAsia="新宋体" w:cs="新宋体"/>
          <w:b/>
          <w:color w:val="auto"/>
          <w:sz w:val="22"/>
          <w:highlight w:val="none"/>
          <w:lang w:eastAsia="zh-CN"/>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1</w:t>
      </w: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日</w:t>
      </w:r>
      <w:r>
        <w:rPr>
          <w:rFonts w:hint="eastAsia" w:ascii="新宋体" w:hAnsi="新宋体" w:eastAsia="新宋体" w:cs="新宋体"/>
          <w:b/>
          <w:color w:val="auto"/>
          <w:sz w:val="22"/>
          <w:highlight w:val="none"/>
          <w:lang w:eastAsia="zh-CN"/>
        </w:rPr>
        <w:t>常路灯维护组织方案</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spacing w:line="460" w:lineRule="exact"/>
        <w:ind w:firstLine="5280" w:firstLineChars="2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日   期：</w:t>
      </w:r>
    </w:p>
    <w:p>
      <w:pPr>
        <w:pStyle w:val="24"/>
        <w:ind w:left="0" w:leftChars="0" w:firstLine="0" w:firstLineChars="0"/>
        <w:rPr>
          <w:rFonts w:hint="eastAsia" w:ascii="新宋体" w:hAnsi="新宋体" w:eastAsia="新宋体" w:cs="新宋体"/>
          <w:color w:val="auto"/>
          <w:highlight w:val="none"/>
          <w:lang w:val="zh-CN"/>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2</w:t>
      </w:r>
      <w:r>
        <w:rPr>
          <w:rFonts w:hint="eastAsia" w:ascii="新宋体" w:hAnsi="新宋体" w:eastAsia="新宋体" w:cs="新宋体"/>
          <w:b/>
          <w:color w:val="auto"/>
          <w:sz w:val="22"/>
          <w:highlight w:val="none"/>
          <w:lang w:eastAsia="zh-CN"/>
        </w:rPr>
        <w:t>）路灯应急抢修处置方案</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pStyle w:val="24"/>
        <w:jc w:val="center"/>
        <w:rPr>
          <w:rFonts w:hint="eastAsia" w:ascii="新宋体" w:hAnsi="新宋体" w:eastAsia="新宋体" w:cs="新宋体"/>
          <w:bCs/>
          <w:color w:val="auto"/>
          <w:sz w:val="22"/>
          <w:szCs w:val="22"/>
          <w:highlight w:val="none"/>
        </w:rPr>
      </w:pPr>
    </w:p>
    <w:p>
      <w:pPr>
        <w:pStyle w:val="24"/>
        <w:ind w:left="0" w:leftChars="0" w:firstLine="0" w:firstLineChars="0"/>
        <w:jc w:val="both"/>
        <w:rPr>
          <w:rFonts w:hint="eastAsia" w:ascii="新宋体" w:hAnsi="新宋体" w:eastAsia="新宋体" w:cs="新宋体"/>
          <w:bCs/>
          <w:color w:val="auto"/>
          <w:sz w:val="22"/>
          <w:szCs w:val="22"/>
          <w:highlight w:val="none"/>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3</w:t>
      </w:r>
      <w:r>
        <w:rPr>
          <w:rFonts w:hint="eastAsia" w:ascii="新宋体" w:hAnsi="新宋体" w:eastAsia="新宋体" w:cs="新宋体"/>
          <w:b/>
          <w:color w:val="auto"/>
          <w:sz w:val="22"/>
          <w:highlight w:val="none"/>
          <w:lang w:eastAsia="zh-CN"/>
        </w:rPr>
        <w:t>）路灯设施突发安全事故应急预案</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pStyle w:val="24"/>
        <w:ind w:left="0" w:leftChars="0" w:firstLine="0" w:firstLineChars="0"/>
        <w:jc w:val="both"/>
        <w:rPr>
          <w:rFonts w:hint="eastAsia" w:ascii="新宋体" w:hAnsi="新宋体" w:eastAsia="新宋体" w:cs="新宋体"/>
          <w:bCs/>
          <w:color w:val="auto"/>
          <w:sz w:val="22"/>
          <w:szCs w:val="22"/>
          <w:highlight w:val="none"/>
        </w:rPr>
      </w:pPr>
    </w:p>
    <w:p>
      <w:pPr>
        <w:pStyle w:val="24"/>
        <w:ind w:left="0" w:leftChars="0" w:firstLine="0" w:firstLineChars="0"/>
        <w:jc w:val="both"/>
        <w:rPr>
          <w:rFonts w:hint="eastAsia" w:ascii="新宋体" w:hAnsi="新宋体" w:eastAsia="新宋体" w:cs="新宋体"/>
          <w:bCs/>
          <w:color w:val="auto"/>
          <w:sz w:val="22"/>
          <w:szCs w:val="22"/>
          <w:highlight w:val="none"/>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4</w:t>
      </w:r>
      <w:r>
        <w:rPr>
          <w:rFonts w:hint="eastAsia" w:ascii="新宋体" w:hAnsi="新宋体" w:eastAsia="新宋体" w:cs="新宋体"/>
          <w:b/>
          <w:color w:val="auto"/>
          <w:sz w:val="22"/>
          <w:highlight w:val="none"/>
          <w:lang w:eastAsia="zh-CN"/>
        </w:rPr>
        <w:t>）路灯大面积失明处置方案</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pStyle w:val="24"/>
        <w:jc w:val="center"/>
        <w:rPr>
          <w:rFonts w:hint="eastAsia" w:ascii="新宋体" w:hAnsi="新宋体" w:eastAsia="新宋体" w:cs="新宋体"/>
          <w:bCs/>
          <w:color w:val="auto"/>
          <w:sz w:val="22"/>
          <w:szCs w:val="22"/>
          <w:highlight w:val="none"/>
        </w:rPr>
      </w:pPr>
    </w:p>
    <w:p>
      <w:pPr>
        <w:pStyle w:val="24"/>
        <w:ind w:left="0" w:leftChars="0" w:firstLine="0" w:firstLineChars="0"/>
        <w:jc w:val="both"/>
        <w:rPr>
          <w:rFonts w:hint="eastAsia" w:ascii="新宋体" w:hAnsi="新宋体" w:eastAsia="新宋体" w:cs="新宋体"/>
          <w:bCs/>
          <w:color w:val="auto"/>
          <w:sz w:val="22"/>
          <w:szCs w:val="22"/>
          <w:highlight w:val="none"/>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5</w:t>
      </w:r>
      <w:r>
        <w:rPr>
          <w:rFonts w:hint="eastAsia" w:ascii="新宋体" w:hAnsi="新宋体" w:eastAsia="新宋体" w:cs="新宋体"/>
          <w:b/>
          <w:color w:val="auto"/>
          <w:sz w:val="22"/>
          <w:highlight w:val="none"/>
          <w:lang w:eastAsia="zh-CN"/>
        </w:rPr>
        <w:t>）路灯数字（智慧）城管案卷处置方案</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pStyle w:val="24"/>
        <w:jc w:val="center"/>
        <w:rPr>
          <w:rFonts w:hint="eastAsia" w:ascii="新宋体" w:hAnsi="新宋体" w:eastAsia="新宋体" w:cs="新宋体"/>
          <w:bCs/>
          <w:color w:val="auto"/>
          <w:sz w:val="22"/>
          <w:szCs w:val="22"/>
          <w:highlight w:val="none"/>
        </w:rPr>
      </w:pPr>
    </w:p>
    <w:p>
      <w:pPr>
        <w:pStyle w:val="24"/>
        <w:ind w:left="0" w:leftChars="0" w:firstLine="0" w:firstLineChars="0"/>
        <w:jc w:val="both"/>
        <w:rPr>
          <w:rFonts w:hint="eastAsia" w:ascii="新宋体" w:hAnsi="新宋体" w:eastAsia="新宋体" w:cs="新宋体"/>
          <w:bCs/>
          <w:color w:val="auto"/>
          <w:sz w:val="22"/>
          <w:szCs w:val="22"/>
          <w:highlight w:val="none"/>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6</w:t>
      </w:r>
      <w:r>
        <w:rPr>
          <w:rFonts w:hint="eastAsia" w:ascii="新宋体" w:hAnsi="新宋体" w:eastAsia="新宋体" w:cs="新宋体"/>
          <w:b/>
          <w:color w:val="auto"/>
          <w:sz w:val="22"/>
          <w:highlight w:val="none"/>
          <w:lang w:eastAsia="zh-CN"/>
        </w:rPr>
        <w:t>）安全施工方面的措施</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ind w:left="0" w:leftChars="0" w:firstLine="0" w:firstLineChars="0"/>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pStyle w:val="24"/>
        <w:ind w:left="0" w:leftChars="0" w:firstLine="0" w:firstLineChars="0"/>
        <w:jc w:val="center"/>
        <w:rPr>
          <w:rFonts w:hint="eastAsia" w:ascii="新宋体" w:hAnsi="新宋体" w:eastAsia="新宋体" w:cs="新宋体"/>
          <w:bCs/>
          <w:color w:val="auto"/>
          <w:sz w:val="22"/>
          <w:szCs w:val="22"/>
          <w:highlight w:val="none"/>
        </w:rPr>
      </w:pPr>
    </w:p>
    <w:p>
      <w:pPr>
        <w:pStyle w:val="24"/>
        <w:ind w:left="0" w:leftChars="0" w:firstLine="0" w:firstLineChars="0"/>
        <w:jc w:val="both"/>
        <w:rPr>
          <w:rFonts w:hint="eastAsia" w:ascii="新宋体" w:hAnsi="新宋体" w:eastAsia="新宋体" w:cs="新宋体"/>
          <w:bCs/>
          <w:color w:val="auto"/>
          <w:sz w:val="22"/>
          <w:szCs w:val="22"/>
          <w:highlight w:val="none"/>
        </w:rPr>
      </w:pPr>
    </w:p>
    <w:p>
      <w:pPr>
        <w:spacing w:line="400" w:lineRule="exact"/>
        <w:jc w:val="center"/>
        <w:outlineLvl w:val="4"/>
        <w:rPr>
          <w:rFonts w:hint="eastAsia" w:ascii="新宋体" w:hAnsi="新宋体" w:eastAsia="新宋体" w:cs="新宋体"/>
          <w:b/>
          <w:color w:val="auto"/>
          <w:sz w:val="22"/>
          <w:highlight w:val="none"/>
          <w:lang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7</w:t>
      </w:r>
      <w:r>
        <w:rPr>
          <w:rFonts w:hint="eastAsia" w:ascii="新宋体" w:hAnsi="新宋体" w:eastAsia="新宋体" w:cs="新宋体"/>
          <w:b/>
          <w:color w:val="auto"/>
          <w:sz w:val="22"/>
          <w:highlight w:val="none"/>
          <w:lang w:eastAsia="zh-CN"/>
        </w:rPr>
        <w:t>）文明施工方面的措施</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pStyle w:val="24"/>
        <w:ind w:left="0" w:leftChars="0" w:firstLine="0" w:firstLineChars="0"/>
        <w:jc w:val="center"/>
        <w:rPr>
          <w:rFonts w:hint="eastAsia" w:ascii="新宋体" w:hAnsi="新宋体" w:eastAsia="新宋体" w:cs="新宋体"/>
          <w:bCs/>
          <w:color w:val="auto"/>
          <w:sz w:val="22"/>
          <w:szCs w:val="22"/>
          <w:highlight w:val="none"/>
          <w:lang w:val="zh-CN"/>
        </w:rPr>
        <w:sectPr>
          <w:pgSz w:w="11907" w:h="16840"/>
          <w:pgMar w:top="1134" w:right="1134" w:bottom="1134" w:left="1134" w:header="851" w:footer="992" w:gutter="0"/>
          <w:cols w:space="720" w:num="1"/>
          <w:docGrid w:linePitch="312" w:charSpace="0"/>
        </w:sectPr>
      </w:pPr>
      <w:r>
        <w:rPr>
          <w:rFonts w:hint="eastAsia" w:ascii="新宋体" w:hAnsi="新宋体" w:eastAsia="新宋体" w:cs="新宋体"/>
          <w:bCs/>
          <w:color w:val="auto"/>
          <w:sz w:val="22"/>
          <w:szCs w:val="22"/>
          <w:highlight w:val="none"/>
          <w:lang w:val="en-US" w:eastAsia="zh-CN"/>
        </w:rPr>
        <w:t xml:space="preserve">             </w:t>
      </w:r>
      <w:r>
        <w:rPr>
          <w:rFonts w:hint="eastAsia" w:ascii="新宋体" w:hAnsi="新宋体" w:eastAsia="新宋体" w:cs="新宋体"/>
          <w:bCs/>
          <w:color w:val="auto"/>
          <w:sz w:val="22"/>
          <w:szCs w:val="22"/>
          <w:highlight w:val="none"/>
        </w:rPr>
        <w:t>日   期：</w:t>
      </w:r>
    </w:p>
    <w:p>
      <w:pPr>
        <w:spacing w:line="400" w:lineRule="exact"/>
        <w:jc w:val="center"/>
        <w:outlineLvl w:val="4"/>
        <w:rPr>
          <w:rFonts w:hint="eastAsia" w:ascii="新宋体" w:hAnsi="新宋体" w:eastAsia="新宋体" w:cs="新宋体"/>
          <w:bCs/>
          <w:color w:val="auto"/>
          <w:sz w:val="28"/>
          <w:szCs w:val="28"/>
          <w:highlight w:val="none"/>
        </w:rPr>
      </w:pPr>
      <w:r>
        <w:rPr>
          <w:rFonts w:hint="eastAsia" w:ascii="新宋体" w:hAnsi="新宋体" w:eastAsia="新宋体" w:cs="新宋体"/>
          <w:b/>
          <w:color w:val="auto"/>
          <w:kern w:val="2"/>
          <w:sz w:val="22"/>
          <w:szCs w:val="24"/>
          <w:highlight w:val="none"/>
          <w:lang w:val="en-US" w:eastAsia="zh-CN" w:bidi="ar-SA"/>
        </w:rPr>
        <w:t>（8）路灯设施防偷盗措施</w:t>
      </w:r>
    </w:p>
    <w:p>
      <w:pPr>
        <w:autoSpaceDE w:val="0"/>
        <w:autoSpaceDN w:val="0"/>
        <w:ind w:right="893" w:firstLine="418"/>
        <w:textAlignment w:val="bottom"/>
        <w:rPr>
          <w:rFonts w:hint="eastAsia" w:ascii="新宋体" w:hAnsi="新宋体" w:eastAsia="新宋体" w:cs="新宋体"/>
          <w:b/>
          <w:color w:val="auto"/>
          <w:sz w:val="22"/>
          <w:highlight w:val="none"/>
        </w:rPr>
      </w:pP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spacing w:line="460" w:lineRule="exact"/>
        <w:ind w:firstLine="5280" w:firstLineChars="2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日   期：</w:t>
      </w:r>
    </w:p>
    <w:p>
      <w:pPr>
        <w:pStyle w:val="22"/>
        <w:rPr>
          <w:rFonts w:hint="eastAsia" w:ascii="新宋体" w:hAnsi="新宋体" w:eastAsia="新宋体" w:cs="新宋体"/>
          <w:bCs/>
          <w:color w:val="auto"/>
          <w:sz w:val="22"/>
          <w:szCs w:val="22"/>
          <w:highlight w:val="none"/>
        </w:rPr>
      </w:pPr>
    </w:p>
    <w:p>
      <w:pPr>
        <w:pStyle w:val="22"/>
        <w:rPr>
          <w:rFonts w:hint="eastAsia" w:ascii="新宋体" w:hAnsi="新宋体" w:eastAsia="新宋体" w:cs="新宋体"/>
          <w:bCs/>
          <w:color w:val="auto"/>
          <w:sz w:val="22"/>
          <w:szCs w:val="22"/>
          <w:highlight w:val="none"/>
        </w:rPr>
      </w:pPr>
    </w:p>
    <w:p>
      <w:pPr>
        <w:pStyle w:val="22"/>
        <w:rPr>
          <w:rFonts w:hint="eastAsia" w:ascii="新宋体" w:hAnsi="新宋体" w:eastAsia="新宋体" w:cs="新宋体"/>
          <w:bCs/>
          <w:color w:val="auto"/>
          <w:sz w:val="22"/>
          <w:szCs w:val="22"/>
          <w:highlight w:val="none"/>
        </w:rPr>
      </w:pPr>
    </w:p>
    <w:p>
      <w:pPr>
        <w:pStyle w:val="22"/>
        <w:rPr>
          <w:rFonts w:hint="eastAsia" w:ascii="新宋体" w:hAnsi="新宋体" w:eastAsia="新宋体" w:cs="新宋体"/>
          <w:bCs/>
          <w:color w:val="auto"/>
          <w:sz w:val="22"/>
          <w:szCs w:val="22"/>
          <w:highlight w:val="none"/>
          <w:lang w:val="en-US" w:eastAsia="zh-CN"/>
        </w:rPr>
      </w:pPr>
    </w:p>
    <w:p>
      <w:pPr>
        <w:spacing w:line="460" w:lineRule="exact"/>
        <w:jc w:val="center"/>
        <w:outlineLvl w:val="3"/>
        <w:rPr>
          <w:rFonts w:hint="eastAsia" w:ascii="新宋体" w:hAnsi="新宋体" w:eastAsia="新宋体" w:cs="新宋体"/>
          <w:bCs/>
          <w:color w:val="auto"/>
          <w:kern w:val="2"/>
          <w:sz w:val="28"/>
          <w:szCs w:val="28"/>
          <w:highlight w:val="none"/>
          <w:lang w:val="zh-CN"/>
        </w:rPr>
      </w:pPr>
      <w:r>
        <w:rPr>
          <w:rFonts w:hint="eastAsia" w:ascii="新宋体" w:hAnsi="新宋体" w:eastAsia="新宋体" w:cs="新宋体"/>
          <w:b/>
          <w:bCs/>
          <w:color w:val="auto"/>
          <w:sz w:val="28"/>
          <w:szCs w:val="28"/>
          <w:highlight w:val="none"/>
          <w:lang w:val="en-US" w:eastAsia="zh-CN"/>
        </w:rPr>
        <w:t>7、</w:t>
      </w:r>
      <w:r>
        <w:rPr>
          <w:rFonts w:hint="eastAsia" w:ascii="新宋体" w:hAnsi="新宋体" w:eastAsia="新宋体" w:cs="新宋体"/>
          <w:b/>
          <w:bCs/>
          <w:color w:val="auto"/>
          <w:sz w:val="28"/>
          <w:szCs w:val="28"/>
          <w:highlight w:val="none"/>
          <w:lang w:val="zh-CN"/>
        </w:rPr>
        <w:t>路灯增装、被撞补装，灯杆油漆美化等路灯正常养护范围外的维修安装</w:t>
      </w:r>
    </w:p>
    <w:p>
      <w:pPr>
        <w:autoSpaceDE w:val="0"/>
        <w:autoSpaceDN w:val="0"/>
        <w:ind w:right="893" w:firstLine="418"/>
        <w:jc w:val="center"/>
        <w:textAlignment w:val="bottom"/>
        <w:rPr>
          <w:rFonts w:hint="eastAsia" w:ascii="新宋体" w:hAnsi="新宋体" w:eastAsia="新宋体" w:cs="新宋体"/>
          <w:b/>
          <w:color w:val="auto"/>
          <w:sz w:val="22"/>
          <w:highlight w:val="none"/>
          <w:lang w:eastAsia="zh-CN"/>
        </w:rPr>
      </w:pPr>
    </w:p>
    <w:p>
      <w:pPr>
        <w:spacing w:line="400" w:lineRule="exact"/>
        <w:jc w:val="center"/>
        <w:outlineLvl w:val="4"/>
        <w:rPr>
          <w:rFonts w:hint="default" w:ascii="新宋体" w:hAnsi="新宋体" w:eastAsia="新宋体" w:cs="新宋体"/>
          <w:b/>
          <w:color w:val="auto"/>
          <w:sz w:val="22"/>
          <w:highlight w:val="none"/>
          <w:lang w:val="en-US" w:eastAsia="zh-CN"/>
        </w:rPr>
      </w:pPr>
      <w:r>
        <w:rPr>
          <w:rFonts w:hint="eastAsia" w:ascii="新宋体" w:hAnsi="新宋体" w:eastAsia="新宋体" w:cs="新宋体"/>
          <w:b/>
          <w:color w:val="auto"/>
          <w:sz w:val="22"/>
          <w:highlight w:val="none"/>
          <w:lang w:eastAsia="zh-CN"/>
        </w:rPr>
        <w:t>（</w:t>
      </w:r>
      <w:r>
        <w:rPr>
          <w:rFonts w:hint="eastAsia" w:ascii="新宋体" w:hAnsi="新宋体" w:eastAsia="新宋体" w:cs="新宋体"/>
          <w:b/>
          <w:color w:val="auto"/>
          <w:sz w:val="22"/>
          <w:highlight w:val="none"/>
          <w:lang w:val="en-US" w:eastAsia="zh-CN"/>
        </w:rPr>
        <w:t>1</w:t>
      </w:r>
      <w:r>
        <w:rPr>
          <w:rFonts w:hint="eastAsia" w:ascii="新宋体" w:hAnsi="新宋体" w:eastAsia="新宋体" w:cs="新宋体"/>
          <w:b/>
          <w:color w:val="auto"/>
          <w:sz w:val="22"/>
          <w:highlight w:val="none"/>
          <w:lang w:eastAsia="zh-CN"/>
        </w:rPr>
        <w:t>）配电箱及相关配备材料</w:t>
      </w:r>
    </w:p>
    <w:p>
      <w:pPr>
        <w:autoSpaceDE w:val="0"/>
        <w:autoSpaceDN w:val="0"/>
        <w:ind w:right="893" w:firstLine="418"/>
        <w:textAlignment w:val="bottom"/>
        <w:rPr>
          <w:rFonts w:hint="eastAsia" w:ascii="新宋体" w:hAnsi="新宋体" w:eastAsia="新宋体" w:cs="新宋体"/>
          <w:color w:val="auto"/>
          <w:highlight w:val="none"/>
        </w:rPr>
      </w:pPr>
      <w:r>
        <w:rPr>
          <w:rFonts w:hint="eastAsia" w:ascii="新宋体" w:hAnsi="新宋体" w:eastAsia="新宋体" w:cs="新宋体"/>
          <w:b/>
          <w:color w:val="auto"/>
          <w:sz w:val="22"/>
          <w:highlight w:val="none"/>
        </w:rPr>
        <w:t>项目名称：                                   项目编号：</w:t>
      </w:r>
      <w:r>
        <w:rPr>
          <w:rFonts w:hint="eastAsia" w:ascii="新宋体" w:hAnsi="新宋体" w:eastAsia="新宋体" w:cs="新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60" w:lineRule="exact"/>
        <w:ind w:left="5355" w:leftChars="2500" w:hanging="105" w:hangingChars="50"/>
        <w:rPr>
          <w:rFonts w:hint="eastAsia" w:ascii="新宋体" w:hAnsi="新宋体" w:eastAsia="新宋体" w:cs="新宋体"/>
          <w:b w:val="0"/>
          <w:bCs/>
          <w:color w:val="auto"/>
          <w:szCs w:val="22"/>
          <w:highlight w:val="none"/>
        </w:rPr>
      </w:pPr>
      <w:r>
        <w:rPr>
          <w:rFonts w:hint="eastAsia" w:ascii="新宋体" w:hAnsi="新宋体" w:eastAsia="新宋体" w:cs="新宋体"/>
          <w:b w:val="0"/>
          <w:bCs/>
          <w:color w:val="auto"/>
          <w:szCs w:val="22"/>
          <w:highlight w:val="none"/>
        </w:rPr>
        <w:t>投标人全称（盖章）：</w:t>
      </w:r>
    </w:p>
    <w:p>
      <w:pPr>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spacing w:line="460" w:lineRule="exact"/>
        <w:ind w:firstLine="5280" w:firstLineChars="2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日   期：</w:t>
      </w:r>
    </w:p>
    <w:p>
      <w:pPr>
        <w:rPr>
          <w:rFonts w:hint="eastAsia" w:ascii="新宋体" w:hAnsi="新宋体" w:eastAsia="新宋体" w:cs="新宋体"/>
          <w:color w:val="auto"/>
          <w:highlight w:val="none"/>
        </w:rPr>
      </w:pPr>
    </w:p>
    <w:p>
      <w:pPr>
        <w:pStyle w:val="22"/>
        <w:rPr>
          <w:rFonts w:hint="eastAsia" w:ascii="新宋体" w:hAnsi="新宋体" w:eastAsia="新宋体" w:cs="新宋体"/>
          <w:color w:val="auto"/>
          <w:highlight w:val="none"/>
        </w:rPr>
      </w:pPr>
    </w:p>
    <w:p>
      <w:pPr>
        <w:pStyle w:val="22"/>
        <w:rPr>
          <w:rFonts w:hint="eastAsia" w:ascii="新宋体" w:hAnsi="新宋体" w:eastAsia="新宋体" w:cs="新宋体"/>
          <w:color w:val="auto"/>
          <w:highlight w:val="none"/>
        </w:rPr>
      </w:pPr>
    </w:p>
    <w:p>
      <w:pPr>
        <w:pStyle w:val="22"/>
        <w:rPr>
          <w:rFonts w:hint="eastAsia" w:ascii="新宋体" w:hAnsi="新宋体" w:eastAsia="新宋体" w:cs="新宋体"/>
          <w:color w:val="auto"/>
          <w:highlight w:val="none"/>
        </w:rPr>
      </w:pPr>
    </w:p>
    <w:p>
      <w:pPr>
        <w:spacing w:line="400" w:lineRule="exact"/>
        <w:jc w:val="center"/>
        <w:outlineLvl w:val="4"/>
        <w:rPr>
          <w:rFonts w:hint="eastAsia" w:ascii="新宋体" w:hAnsi="新宋体" w:eastAsia="新宋体" w:cs="新宋体"/>
          <w:b/>
          <w:color w:val="auto"/>
          <w:sz w:val="22"/>
          <w:highlight w:val="none"/>
          <w:lang w:val="en-US" w:eastAsia="zh-CN"/>
        </w:rPr>
      </w:pPr>
      <w:r>
        <w:rPr>
          <w:rFonts w:hint="eastAsia" w:ascii="新宋体" w:hAnsi="新宋体" w:eastAsia="新宋体" w:cs="新宋体"/>
          <w:b/>
          <w:color w:val="auto"/>
          <w:sz w:val="22"/>
          <w:highlight w:val="none"/>
          <w:lang w:val="en-US" w:eastAsia="zh-CN"/>
        </w:rPr>
        <w:t>（2）LED灯具</w:t>
      </w:r>
    </w:p>
    <w:p>
      <w:pPr>
        <w:pStyle w:val="9"/>
        <w:rPr>
          <w:rFonts w:hint="eastAsia" w:ascii="新宋体" w:hAnsi="新宋体" w:eastAsia="新宋体" w:cs="新宋体"/>
          <w:color w:val="auto"/>
          <w:sz w:val="22"/>
          <w:highlight w:val="none"/>
        </w:rPr>
      </w:pPr>
    </w:p>
    <w:p>
      <w:pPr>
        <w:pStyle w:val="9"/>
        <w:rPr>
          <w:rFonts w:hint="eastAsia" w:ascii="新宋体" w:hAnsi="新宋体" w:eastAsia="新宋体" w:cs="新宋体"/>
          <w:color w:val="auto"/>
          <w:highlight w:val="none"/>
        </w:rPr>
      </w:pPr>
      <w:r>
        <w:rPr>
          <w:rFonts w:hint="eastAsia" w:ascii="新宋体" w:hAnsi="新宋体" w:eastAsia="新宋体" w:cs="新宋体"/>
          <w:color w:val="auto"/>
          <w:sz w:val="22"/>
          <w:highlight w:val="none"/>
        </w:rPr>
        <w:t>项目名称：                                   项目编号：</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9685" w:type="dxa"/>
            <w:tcBorders>
              <w:bottom w:val="single" w:color="auto" w:sz="4" w:space="0"/>
            </w:tcBorders>
            <w:noWrap w:val="0"/>
            <w:vAlign w:val="center"/>
          </w:tcPr>
          <w:p>
            <w:pPr>
              <w:pStyle w:val="296"/>
              <w:spacing w:after="0" w:line="460" w:lineRule="exact"/>
              <w:rPr>
                <w:rFonts w:hint="eastAsia" w:ascii="新宋体" w:hAnsi="新宋体" w:eastAsia="新宋体" w:cs="新宋体"/>
                <w:color w:val="auto"/>
                <w:highlight w:val="none"/>
              </w:rPr>
            </w:pPr>
          </w:p>
        </w:tc>
      </w:tr>
    </w:tbl>
    <w:p>
      <w:pPr>
        <w:rPr>
          <w:rFonts w:hint="eastAsia" w:ascii="新宋体" w:hAnsi="新宋体" w:eastAsia="新宋体" w:cs="新宋体"/>
          <w:b/>
          <w:color w:val="auto"/>
          <w:sz w:val="22"/>
          <w:highlight w:val="none"/>
        </w:rPr>
      </w:pPr>
      <w:r>
        <w:rPr>
          <w:rFonts w:hint="eastAsia" w:ascii="新宋体" w:hAnsi="新宋体" w:eastAsia="新宋体" w:cs="新宋体"/>
          <w:b/>
          <w:color w:val="auto"/>
          <w:sz w:val="22"/>
          <w:highlight w:val="none"/>
        </w:rPr>
        <w:t xml:space="preserve">   </w:t>
      </w:r>
    </w:p>
    <w:p>
      <w:pPr>
        <w:pStyle w:val="28"/>
        <w:spacing w:line="400" w:lineRule="atLeast"/>
        <w:ind w:left="5360" w:leftChars="2500" w:hanging="110" w:hangingChars="50"/>
        <w:rPr>
          <w:rFonts w:hint="eastAsia" w:ascii="新宋体" w:hAnsi="新宋体" w:eastAsia="新宋体" w:cs="新宋体"/>
          <w:b w:val="0"/>
          <w:bCs/>
          <w:color w:val="auto"/>
          <w:sz w:val="22"/>
          <w:szCs w:val="22"/>
          <w:highlight w:val="none"/>
        </w:rPr>
      </w:pPr>
      <w:r>
        <w:rPr>
          <w:rFonts w:hint="eastAsia" w:ascii="新宋体" w:hAnsi="新宋体" w:eastAsia="新宋体" w:cs="新宋体"/>
          <w:b w:val="0"/>
          <w:bCs/>
          <w:color w:val="auto"/>
          <w:sz w:val="22"/>
          <w:szCs w:val="22"/>
          <w:highlight w:val="none"/>
        </w:rPr>
        <w:t>投标人全称（盖章）：</w:t>
      </w:r>
    </w:p>
    <w:p>
      <w:pPr>
        <w:spacing w:line="40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投标人代表（签字）：</w:t>
      </w:r>
    </w:p>
    <w:p>
      <w:pPr>
        <w:spacing w:line="400" w:lineRule="exact"/>
        <w:ind w:firstLine="5280" w:firstLineChars="2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日   期：</w:t>
      </w:r>
    </w:p>
    <w:p>
      <w:pPr>
        <w:pStyle w:val="28"/>
        <w:spacing w:line="460" w:lineRule="exact"/>
        <w:ind w:left="663" w:hanging="663" w:hangingChars="300"/>
        <w:rPr>
          <w:rFonts w:hint="eastAsia" w:ascii="宋体" w:hAnsi="宋体" w:eastAsia="宋体" w:cs="宋体"/>
          <w:color w:val="auto"/>
          <w:sz w:val="2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cs="宋体"/>
          <w:b/>
          <w:bCs/>
          <w:color w:val="auto"/>
          <w:sz w:val="28"/>
          <w:szCs w:val="28"/>
          <w:highlight w:val="none"/>
          <w:lang w:val="en-US" w:eastAsia="zh-CN"/>
        </w:rPr>
      </w:pPr>
    </w:p>
    <w:p>
      <w:pPr>
        <w:spacing w:line="400" w:lineRule="exact"/>
        <w:jc w:val="center"/>
        <w:outlineLvl w:val="3"/>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、其他必要提供的资料</w:t>
      </w:r>
    </w:p>
    <w:p>
      <w:pP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项目名称：                                                项目编号：</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0" w:hRule="atLeast"/>
          <w:jc w:val="center"/>
        </w:trPr>
        <w:tc>
          <w:tcPr>
            <w:tcW w:w="9242" w:type="dxa"/>
            <w:noWrap w:val="0"/>
            <w:vAlign w:val="top"/>
          </w:tcPr>
          <w:p>
            <w:pPr>
              <w:spacing w:line="500" w:lineRule="exact"/>
              <w:jc w:val="center"/>
              <w:rPr>
                <w:rFonts w:hint="eastAsia" w:ascii="宋体" w:hAnsi="宋体" w:eastAsia="宋体" w:cs="宋体"/>
                <w:b/>
                <w:color w:val="auto"/>
                <w:sz w:val="22"/>
                <w:highlight w:val="none"/>
              </w:rPr>
            </w:pPr>
          </w:p>
        </w:tc>
      </w:tr>
    </w:tbl>
    <w:p>
      <w:pPr>
        <w:spacing w:line="460" w:lineRule="exact"/>
        <w:ind w:firstLine="5060" w:firstLineChars="2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投标人全称（盖章）：</w:t>
      </w:r>
    </w:p>
    <w:p>
      <w:pPr>
        <w:spacing w:line="460" w:lineRule="exact"/>
        <w:ind w:firstLine="5060" w:firstLineChars="2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投标人代表（签字）：</w:t>
      </w:r>
    </w:p>
    <w:p>
      <w:pPr>
        <w:spacing w:line="460" w:lineRule="exact"/>
        <w:ind w:firstLine="5060" w:firstLineChars="2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日   期： </w:t>
      </w:r>
    </w:p>
    <w:p>
      <w:pPr>
        <w:spacing w:line="380" w:lineRule="exact"/>
        <w:ind w:firstLine="4400" w:firstLineChars="2000"/>
        <w:rPr>
          <w:rFonts w:hint="eastAsia" w:ascii="宋体" w:hAnsi="宋体" w:eastAsia="宋体" w:cs="宋体"/>
          <w:color w:val="auto"/>
          <w:sz w:val="22"/>
          <w:szCs w:val="22"/>
          <w:highlight w:val="none"/>
        </w:rPr>
      </w:pPr>
    </w:p>
    <w:p>
      <w:pPr>
        <w:spacing w:line="460" w:lineRule="exact"/>
        <w:ind w:firstLine="4400" w:firstLineChars="2000"/>
        <w:rPr>
          <w:rFonts w:hint="eastAsia" w:ascii="宋体" w:hAnsi="宋体" w:eastAsia="宋体" w:cs="宋体"/>
          <w:color w:val="auto"/>
          <w:sz w:val="22"/>
          <w:szCs w:val="22"/>
          <w:highlight w:val="none"/>
        </w:rPr>
      </w:pPr>
    </w:p>
    <w:p>
      <w:pPr>
        <w:spacing w:line="460" w:lineRule="exact"/>
        <w:ind w:firstLine="4400" w:firstLineChars="2000"/>
        <w:rPr>
          <w:rFonts w:hint="eastAsia" w:ascii="宋体" w:hAnsi="宋体" w:eastAsia="宋体" w:cs="宋体"/>
          <w:color w:val="auto"/>
          <w:sz w:val="22"/>
          <w:szCs w:val="22"/>
          <w:highlight w:val="none"/>
        </w:rPr>
      </w:pPr>
    </w:p>
    <w:p>
      <w:pPr>
        <w:spacing w:line="460" w:lineRule="exact"/>
        <w:ind w:firstLine="4400" w:firstLineChars="2000"/>
        <w:rPr>
          <w:rFonts w:hint="eastAsia" w:ascii="宋体" w:hAnsi="宋体" w:eastAsia="宋体" w:cs="宋体"/>
          <w:color w:val="auto"/>
          <w:sz w:val="22"/>
          <w:szCs w:val="22"/>
          <w:highlight w:val="none"/>
        </w:rPr>
      </w:pPr>
    </w:p>
    <w:p>
      <w:pPr>
        <w:pStyle w:val="9"/>
        <w:rPr>
          <w:rFonts w:hint="eastAsia" w:ascii="宋体" w:hAnsi="宋体" w:eastAsia="宋体" w:cs="宋体"/>
          <w:color w:val="auto"/>
          <w:sz w:val="22"/>
          <w:szCs w:val="22"/>
          <w:highlight w:val="none"/>
        </w:rPr>
      </w:pPr>
    </w:p>
    <w:p>
      <w:pPr>
        <w:spacing w:line="380" w:lineRule="exact"/>
        <w:ind w:firstLine="4417" w:firstLineChars="2000"/>
        <w:rPr>
          <w:rFonts w:hint="eastAsia" w:ascii="宋体" w:hAnsi="宋体" w:eastAsia="宋体" w:cs="宋体"/>
          <w:b/>
          <w:bCs/>
          <w:color w:val="auto"/>
          <w:sz w:val="22"/>
          <w:szCs w:val="22"/>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pStyle w:val="4"/>
        <w:numPr>
          <w:ilvl w:val="0"/>
          <w:numId w:val="9"/>
        </w:numPr>
        <w:bidi w:val="0"/>
        <w:rPr>
          <w:rFonts w:hint="eastAsia" w:ascii="宋体" w:hAnsi="宋体" w:eastAsia="宋体" w:cs="宋体"/>
          <w:b/>
          <w:color w:val="auto"/>
          <w:highlight w:val="none"/>
        </w:rPr>
      </w:pPr>
      <w:r>
        <w:rPr>
          <w:rFonts w:hint="eastAsia" w:ascii="宋体" w:hAnsi="宋体" w:eastAsia="宋体" w:cs="宋体"/>
          <w:color w:val="auto"/>
          <w:highlight w:val="none"/>
        </w:rPr>
        <w:t xml:space="preserve">  </w:t>
      </w:r>
      <w:bookmarkStart w:id="52" w:name="_Toc27930"/>
      <w:bookmarkStart w:id="53" w:name="_Toc10142"/>
      <w:bookmarkStart w:id="54" w:name="_Toc221356895"/>
      <w:bookmarkStart w:id="55" w:name="_Toc221356958"/>
      <w:r>
        <w:rPr>
          <w:rFonts w:hint="eastAsia" w:ascii="宋体" w:hAnsi="宋体" w:eastAsia="宋体" w:cs="宋体"/>
          <w:color w:val="auto"/>
          <w:highlight w:val="none"/>
        </w:rPr>
        <w:t>项目技术规范和服务要求</w:t>
      </w:r>
      <w:bookmarkEnd w:id="52"/>
      <w:bookmarkEnd w:id="53"/>
    </w:p>
    <w:bookmarkEnd w:id="54"/>
    <w:bookmarkEnd w:id="55"/>
    <w:p>
      <w:pPr>
        <w:widowControl/>
        <w:snapToGrid w:val="0"/>
        <w:spacing w:line="460" w:lineRule="exact"/>
        <w:ind w:firstLine="420" w:firstLineChars="200"/>
        <w:jc w:val="left"/>
        <w:rPr>
          <w:rFonts w:hint="eastAsia" w:ascii="新宋体" w:hAnsi="新宋体" w:eastAsia="新宋体" w:cs="新宋体"/>
          <w:b w:val="0"/>
          <w:bCs w:val="0"/>
          <w:color w:val="auto"/>
          <w:highlight w:val="none"/>
          <w:lang w:val="en-US" w:eastAsia="zh-CN"/>
        </w:rPr>
      </w:pPr>
      <w:bookmarkStart w:id="56" w:name="_Toc201920311"/>
      <w:bookmarkStart w:id="57" w:name="_Toc282690457"/>
      <w:bookmarkStart w:id="58" w:name="OLE_LINK8"/>
      <w:bookmarkStart w:id="59" w:name="_Toc441051470"/>
      <w:bookmarkStart w:id="60" w:name="_Toc23050833"/>
      <w:bookmarkStart w:id="61" w:name="_Toc282690445"/>
      <w:bookmarkStart w:id="62" w:name="_Toc498186719"/>
      <w:bookmarkStart w:id="63" w:name="_Toc497300664"/>
      <w:bookmarkStart w:id="64" w:name="_Toc496257825"/>
      <w:bookmarkStart w:id="65" w:name="_Toc496101575"/>
      <w:bookmarkStart w:id="66" w:name="_Toc498186820"/>
      <w:bookmarkStart w:id="67" w:name="_Toc498199476"/>
      <w:bookmarkStart w:id="68" w:name="_Toc40594931"/>
      <w:bookmarkStart w:id="69" w:name="_Toc23050562"/>
      <w:bookmarkStart w:id="70" w:name="_Toc51996430"/>
      <w:bookmarkStart w:id="71" w:name="_Toc23050423"/>
      <w:bookmarkStart w:id="72" w:name="_Toc496101312"/>
      <w:bookmarkStart w:id="73" w:name="_Toc201920298"/>
      <w:bookmarkStart w:id="74" w:name="_Toc495660084"/>
      <w:bookmarkStart w:id="75" w:name="_Toc40266002"/>
      <w:bookmarkStart w:id="76" w:name="_Toc497307615"/>
      <w:bookmarkStart w:id="77" w:name="_Toc496256263"/>
      <w:bookmarkStart w:id="78" w:name="_Toc495651839"/>
      <w:bookmarkStart w:id="79" w:name="_Toc23050625"/>
      <w:bookmarkStart w:id="80" w:name="_Toc441051461"/>
      <w:bookmarkStart w:id="81" w:name="_Toc497300733"/>
      <w:r>
        <w:rPr>
          <w:rFonts w:hint="eastAsia" w:ascii="新宋体" w:hAnsi="新宋体" w:eastAsia="新宋体" w:cs="新宋体"/>
          <w:b w:val="0"/>
          <w:bCs w:val="0"/>
          <w:color w:val="auto"/>
          <w:highlight w:val="none"/>
          <w:lang w:val="en-US" w:eastAsia="zh-CN"/>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pPr>
        <w:widowControl/>
        <w:snapToGrid w:val="0"/>
        <w:spacing w:line="460" w:lineRule="exact"/>
        <w:ind w:firstLine="420" w:firstLineChars="200"/>
        <w:jc w:val="left"/>
        <w:rPr>
          <w:rFonts w:hint="eastAsia" w:ascii="新宋体" w:hAnsi="新宋体" w:eastAsia="新宋体" w:cs="新宋体"/>
          <w:b w:val="0"/>
          <w:bCs w:val="0"/>
          <w:color w:val="auto"/>
          <w:highlight w:val="none"/>
          <w:lang w:val="en-US" w:eastAsia="zh-CN"/>
        </w:rPr>
      </w:pPr>
      <w:r>
        <w:rPr>
          <w:rFonts w:hint="eastAsia" w:ascii="新宋体" w:hAnsi="新宋体" w:eastAsia="新宋体" w:cs="新宋体"/>
          <w:b w:val="0"/>
          <w:bCs w:val="0"/>
          <w:color w:val="auto"/>
          <w:highlight w:val="none"/>
          <w:lang w:val="en-US" w:eastAsia="zh-CN"/>
        </w:rPr>
        <w:t>（1）项目属性：服务类</w:t>
      </w:r>
    </w:p>
    <w:p>
      <w:pPr>
        <w:widowControl/>
        <w:snapToGrid w:val="0"/>
        <w:spacing w:line="460" w:lineRule="exact"/>
        <w:ind w:firstLine="420" w:firstLineChars="200"/>
        <w:jc w:val="left"/>
        <w:rPr>
          <w:rFonts w:hint="eastAsia" w:ascii="新宋体" w:hAnsi="新宋体" w:eastAsia="新宋体" w:cs="新宋体"/>
          <w:b w:val="0"/>
          <w:bCs w:val="0"/>
          <w:color w:val="auto"/>
          <w:highlight w:val="none"/>
          <w:lang w:val="en-US" w:eastAsia="zh-CN"/>
        </w:rPr>
      </w:pPr>
      <w:r>
        <w:rPr>
          <w:rFonts w:hint="eastAsia" w:ascii="新宋体" w:hAnsi="新宋体" w:eastAsia="新宋体" w:cs="新宋体"/>
          <w:b w:val="0"/>
          <w:bCs w:val="0"/>
          <w:color w:val="auto"/>
          <w:highlight w:val="none"/>
          <w:lang w:val="en-US" w:eastAsia="zh-CN"/>
        </w:rPr>
        <w:t>（2）项目对应的中小企业划分标准所属行业：</w:t>
      </w:r>
      <w:r>
        <w:rPr>
          <w:rFonts w:hint="eastAsia" w:ascii="新宋体" w:hAnsi="新宋体" w:eastAsia="新宋体" w:cs="新宋体"/>
          <w:b w:val="0"/>
          <w:bCs w:val="0"/>
          <w:color w:val="auto"/>
          <w:highlight w:val="none"/>
          <w:u w:val="single"/>
          <w:lang w:val="en-US" w:eastAsia="zh-CN"/>
        </w:rPr>
        <w:t>建筑业</w:t>
      </w:r>
    </w:p>
    <w:p>
      <w:pPr>
        <w:widowControl/>
        <w:snapToGrid w:val="0"/>
        <w:spacing w:line="460" w:lineRule="exact"/>
        <w:ind w:firstLine="420" w:firstLineChars="200"/>
        <w:jc w:val="left"/>
        <w:rPr>
          <w:rFonts w:hint="eastAsia" w:ascii="新宋体" w:hAnsi="新宋体" w:eastAsia="新宋体" w:cs="新宋体"/>
          <w:b w:val="0"/>
          <w:bCs w:val="0"/>
          <w:color w:val="auto"/>
          <w:highlight w:val="none"/>
          <w:lang w:val="en-US" w:eastAsia="zh-CN"/>
        </w:rPr>
      </w:pPr>
      <w:r>
        <w:rPr>
          <w:rFonts w:hint="eastAsia" w:ascii="新宋体" w:hAnsi="新宋体" w:eastAsia="新宋体" w:cs="新宋体"/>
          <w:b w:val="0"/>
          <w:bCs w:val="0"/>
          <w:color w:val="auto"/>
          <w:highlight w:val="none"/>
          <w:lang w:val="en-US" w:eastAsia="zh-CN"/>
        </w:rPr>
        <w:t>（3）本项目（是）属于预留份额专门面向中小企业采购的项目。</w:t>
      </w:r>
    </w:p>
    <w:p>
      <w:pPr>
        <w:widowControl/>
        <w:snapToGrid w:val="0"/>
        <w:spacing w:line="460" w:lineRule="exact"/>
        <w:ind w:firstLine="422" w:firstLineChars="200"/>
        <w:jc w:val="left"/>
        <w:rPr>
          <w:rFonts w:hint="eastAsia" w:ascii="新宋体" w:hAnsi="新宋体" w:eastAsia="新宋体" w:cs="新宋体"/>
          <w:b/>
          <w:bCs/>
          <w:color w:val="auto"/>
          <w:highlight w:val="none"/>
          <w:u w:val="single"/>
          <w:lang w:val="en-US" w:eastAsia="zh-CN"/>
        </w:rPr>
      </w:pPr>
      <w:r>
        <w:rPr>
          <w:rFonts w:hint="eastAsia" w:ascii="新宋体" w:hAnsi="新宋体" w:eastAsia="新宋体" w:cs="新宋体"/>
          <w:b/>
          <w:bCs/>
          <w:color w:val="auto"/>
          <w:highlight w:val="none"/>
          <w:u w:val="single"/>
          <w:lang w:val="en-US" w:eastAsia="zh-CN"/>
        </w:rPr>
        <w:t>（4）将采购项目整体专门面向中小企业采购</w:t>
      </w:r>
    </w:p>
    <w:p>
      <w:pPr>
        <w:widowControl/>
        <w:snapToGrid w:val="0"/>
        <w:spacing w:line="460" w:lineRule="exact"/>
        <w:ind w:firstLine="422" w:firstLineChars="200"/>
        <w:jc w:val="left"/>
        <w:rPr>
          <w:rFonts w:hint="eastAsia" w:ascii="新宋体" w:hAnsi="新宋体" w:eastAsia="新宋体" w:cs="新宋体"/>
          <w:b/>
          <w:bCs/>
          <w:color w:val="auto"/>
          <w:highlight w:val="none"/>
          <w:u w:val="single"/>
          <w:lang w:val="en-US" w:eastAsia="zh-CN"/>
        </w:rPr>
      </w:pPr>
      <w:r>
        <w:rPr>
          <w:rFonts w:hint="eastAsia" w:ascii="新宋体" w:hAnsi="新宋体" w:eastAsia="新宋体" w:cs="新宋体"/>
          <w:b/>
          <w:bCs/>
          <w:color w:val="auto"/>
          <w:highlight w:val="none"/>
          <w:u w:val="single"/>
          <w:lang w:val="en-US" w:eastAsia="zh-CN"/>
        </w:rPr>
        <w:t>专门面向中小企业采购的项目，不再执行价格评审优惠的扶持政策。</w:t>
      </w:r>
    </w:p>
    <w:p>
      <w:pPr>
        <w:pStyle w:val="63"/>
        <w:rPr>
          <w:rFonts w:hint="eastAsia"/>
          <w:color w:val="auto"/>
          <w:highlight w:val="none"/>
          <w:lang w:val="en-US" w:eastAsia="zh-CN"/>
        </w:rPr>
      </w:pPr>
    </w:p>
    <w:bookmarkEnd w:id="56"/>
    <w:bookmarkEnd w:id="57"/>
    <w:bookmarkEnd w:id="58"/>
    <w:bookmarkEnd w:id="59"/>
    <w:p>
      <w:pPr>
        <w:keepNext/>
        <w:keepLines w:val="0"/>
        <w:pageBreakBefore w:val="0"/>
        <w:widowControl w:val="0"/>
        <w:numPr>
          <w:ilvl w:val="0"/>
          <w:numId w:val="0"/>
        </w:numPr>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color w:val="auto"/>
          <w:sz w:val="22"/>
          <w:szCs w:val="22"/>
          <w:highlight w:val="none"/>
          <w:lang w:val="en-US" w:eastAsia="zh-CN"/>
        </w:rPr>
      </w:pPr>
      <w:r>
        <w:rPr>
          <w:rFonts w:hint="eastAsia" w:ascii="新宋体" w:hAnsi="新宋体" w:eastAsia="新宋体" w:cs="Times New Roman"/>
          <w:b/>
          <w:color w:val="auto"/>
          <w:sz w:val="22"/>
          <w:szCs w:val="22"/>
          <w:highlight w:val="none"/>
        </w:rPr>
        <w:t>本次财政预算:202</w:t>
      </w:r>
      <w:r>
        <w:rPr>
          <w:rFonts w:hint="eastAsia" w:ascii="新宋体" w:hAnsi="新宋体" w:eastAsia="新宋体" w:cs="Times New Roman"/>
          <w:b/>
          <w:color w:val="auto"/>
          <w:sz w:val="22"/>
          <w:szCs w:val="22"/>
          <w:highlight w:val="none"/>
          <w:lang w:val="en-US" w:eastAsia="zh-CN"/>
        </w:rPr>
        <w:t>1</w:t>
      </w:r>
      <w:r>
        <w:rPr>
          <w:rFonts w:hint="eastAsia" w:ascii="新宋体" w:hAnsi="新宋体" w:eastAsia="新宋体" w:cs="Times New Roman"/>
          <w:b/>
          <w:color w:val="auto"/>
          <w:sz w:val="22"/>
          <w:szCs w:val="22"/>
          <w:highlight w:val="none"/>
        </w:rPr>
        <w:t>年温州市市本级路灯设施维护费分两项，分别为路灯设施正常维修养护费和路灯设施正常维修养护范围外的维修安装费（暂定价）</w:t>
      </w:r>
      <w:r>
        <w:rPr>
          <w:rFonts w:hint="eastAsia" w:ascii="新宋体" w:hAnsi="新宋体" w:eastAsia="新宋体" w:cs="Times New Roman"/>
          <w:b/>
          <w:color w:val="auto"/>
          <w:sz w:val="22"/>
          <w:szCs w:val="22"/>
          <w:highlight w:val="none"/>
          <w:lang w:eastAsia="zh-CN"/>
        </w:rPr>
        <w:t>：</w:t>
      </w:r>
    </w:p>
    <w:p>
      <w:pPr>
        <w:keepNext/>
        <w:keepLines w:val="0"/>
        <w:pageBreakBefore w:val="0"/>
        <w:widowControl w:val="0"/>
        <w:numPr>
          <w:ilvl w:val="0"/>
          <w:numId w:val="0"/>
        </w:numPr>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Times New Roman"/>
          <w:b/>
          <w:color w:val="auto"/>
          <w:sz w:val="22"/>
          <w:szCs w:val="22"/>
          <w:highlight w:val="none"/>
          <w:lang w:val="en-US" w:eastAsia="zh-CN"/>
        </w:rPr>
      </w:pPr>
      <w:r>
        <w:rPr>
          <w:rFonts w:hint="eastAsia" w:ascii="新宋体" w:hAnsi="新宋体" w:eastAsia="新宋体" w:cs="Times New Roman"/>
          <w:b/>
          <w:color w:val="auto"/>
          <w:sz w:val="22"/>
          <w:szCs w:val="22"/>
          <w:highlight w:val="none"/>
          <w:lang w:val="en-US" w:eastAsia="zh-CN"/>
        </w:rPr>
        <w:t>①</w:t>
      </w:r>
      <w:r>
        <w:rPr>
          <w:rFonts w:hint="eastAsia" w:ascii="新宋体" w:hAnsi="新宋体" w:eastAsia="新宋体" w:cs="Times New Roman"/>
          <w:b/>
          <w:color w:val="auto"/>
          <w:sz w:val="22"/>
          <w:szCs w:val="22"/>
          <w:highlight w:val="none"/>
        </w:rPr>
        <w:t>路灯设施正常维修养护费</w:t>
      </w:r>
      <w:r>
        <w:rPr>
          <w:rFonts w:hint="eastAsia" w:ascii="新宋体" w:hAnsi="新宋体" w:eastAsia="新宋体" w:cs="Times New Roman"/>
          <w:b/>
          <w:color w:val="auto"/>
          <w:sz w:val="22"/>
          <w:szCs w:val="22"/>
          <w:highlight w:val="none"/>
          <w:lang w:eastAsia="zh-CN"/>
        </w:rPr>
        <w:t>：</w:t>
      </w:r>
      <w:r>
        <w:rPr>
          <w:rFonts w:hint="eastAsia" w:ascii="新宋体" w:hAnsi="新宋体" w:eastAsia="新宋体" w:cs="新宋体"/>
          <w:b/>
          <w:color w:val="auto"/>
          <w:sz w:val="22"/>
          <w:szCs w:val="22"/>
          <w:highlight w:val="none"/>
          <w:lang w:eastAsia="zh-CN"/>
        </w:rPr>
        <w:t>人民币</w:t>
      </w:r>
      <w:r>
        <w:rPr>
          <w:rFonts w:hint="eastAsia" w:ascii="新宋体" w:hAnsi="新宋体" w:eastAsia="新宋体" w:cs="新宋体"/>
          <w:b/>
          <w:color w:val="auto"/>
          <w:sz w:val="22"/>
          <w:szCs w:val="22"/>
          <w:highlight w:val="none"/>
          <w:lang w:val="en-US" w:eastAsia="zh-CN"/>
        </w:rPr>
        <w:t>壹仟柒佰叁拾柒万肆仟捌佰</w:t>
      </w:r>
      <w:r>
        <w:rPr>
          <w:rFonts w:hint="eastAsia" w:ascii="新宋体" w:hAnsi="新宋体" w:eastAsia="新宋体" w:cs="新宋体"/>
          <w:b/>
          <w:color w:val="auto"/>
          <w:sz w:val="22"/>
          <w:szCs w:val="22"/>
          <w:highlight w:val="none"/>
          <w:lang w:eastAsia="zh-CN"/>
        </w:rPr>
        <w:t>元整（¥</w:t>
      </w:r>
      <w:r>
        <w:rPr>
          <w:rFonts w:hint="eastAsia" w:ascii="新宋体" w:hAnsi="新宋体" w:eastAsia="新宋体" w:cs="新宋体"/>
          <w:b/>
          <w:color w:val="auto"/>
          <w:sz w:val="22"/>
          <w:szCs w:val="22"/>
          <w:highlight w:val="none"/>
          <w:lang w:val="en-US" w:eastAsia="zh-CN"/>
        </w:rPr>
        <w:t>17374800</w:t>
      </w:r>
      <w:r>
        <w:rPr>
          <w:rFonts w:hint="eastAsia" w:ascii="新宋体" w:hAnsi="新宋体" w:eastAsia="新宋体" w:cs="新宋体"/>
          <w:b/>
          <w:color w:val="auto"/>
          <w:sz w:val="22"/>
          <w:szCs w:val="22"/>
          <w:highlight w:val="none"/>
          <w:lang w:eastAsia="zh-CN"/>
        </w:rPr>
        <w:t>.00元）</w:t>
      </w:r>
    </w:p>
    <w:p>
      <w:pPr>
        <w:keepNext/>
        <w:keepLines w:val="0"/>
        <w:pageBreakBefore w:val="0"/>
        <w:widowControl w:val="0"/>
        <w:numPr>
          <w:ilvl w:val="0"/>
          <w:numId w:val="0"/>
        </w:numPr>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Times New Roman"/>
          <w:b/>
          <w:color w:val="auto"/>
          <w:sz w:val="22"/>
          <w:szCs w:val="22"/>
          <w:highlight w:val="none"/>
          <w:lang w:eastAsia="zh-CN"/>
        </w:rPr>
      </w:pPr>
      <w:r>
        <w:rPr>
          <w:rFonts w:hint="eastAsia" w:ascii="新宋体" w:hAnsi="新宋体" w:eastAsia="新宋体" w:cs="Times New Roman"/>
          <w:b/>
          <w:color w:val="auto"/>
          <w:sz w:val="22"/>
          <w:szCs w:val="22"/>
          <w:highlight w:val="none"/>
          <w:lang w:val="en-US" w:eastAsia="zh-CN"/>
        </w:rPr>
        <w:t>②</w:t>
      </w:r>
      <w:r>
        <w:rPr>
          <w:rFonts w:hint="eastAsia" w:ascii="新宋体" w:hAnsi="新宋体" w:eastAsia="新宋体" w:cs="Times New Roman"/>
          <w:b/>
          <w:color w:val="auto"/>
          <w:sz w:val="22"/>
          <w:szCs w:val="22"/>
          <w:highlight w:val="none"/>
        </w:rPr>
        <w:t>路灯设施正常维修养护范围外的维修安装费（暂定价）</w:t>
      </w:r>
      <w:r>
        <w:rPr>
          <w:rFonts w:hint="eastAsia" w:ascii="新宋体" w:hAnsi="新宋体" w:eastAsia="新宋体" w:cs="Times New Roman"/>
          <w:b/>
          <w:color w:val="auto"/>
          <w:sz w:val="22"/>
          <w:szCs w:val="22"/>
          <w:highlight w:val="none"/>
          <w:lang w:eastAsia="zh-CN"/>
        </w:rPr>
        <w:t>：</w:t>
      </w:r>
      <w:r>
        <w:rPr>
          <w:rFonts w:hint="eastAsia" w:ascii="新宋体" w:hAnsi="新宋体" w:eastAsia="新宋体" w:cs="Times New Roman"/>
          <w:b/>
          <w:color w:val="auto"/>
          <w:sz w:val="22"/>
          <w:szCs w:val="22"/>
          <w:highlight w:val="none"/>
          <w:lang w:val="en-US" w:eastAsia="zh-CN"/>
        </w:rPr>
        <w:t>人民币肆佰万元（¥4000000.00元）</w:t>
      </w:r>
    </w:p>
    <w:p>
      <w:pPr>
        <w:spacing w:line="460" w:lineRule="exact"/>
        <w:ind w:firstLine="442" w:firstLineChars="200"/>
        <w:rPr>
          <w:rFonts w:hint="eastAsia" w:ascii="宋体" w:hAnsi="宋体" w:eastAsia="宋体" w:cs="宋体"/>
          <w:b/>
          <w:color w:val="auto"/>
          <w:sz w:val="22"/>
          <w:szCs w:val="22"/>
          <w:highlight w:val="none"/>
        </w:rPr>
      </w:pPr>
      <w:r>
        <w:rPr>
          <w:rFonts w:hint="eastAsia" w:ascii="新宋体" w:hAnsi="新宋体" w:eastAsia="新宋体" w:cs="Times New Roman"/>
          <w:b/>
          <w:color w:val="auto"/>
          <w:sz w:val="22"/>
          <w:szCs w:val="22"/>
          <w:highlight w:val="none"/>
          <w:u w:val="single"/>
          <w:lang w:eastAsia="zh-CN"/>
        </w:rPr>
        <w:t>投标人报价</w:t>
      </w:r>
      <w:r>
        <w:rPr>
          <w:rFonts w:hint="eastAsia" w:ascii="新宋体" w:hAnsi="新宋体" w:eastAsia="新宋体" w:cs="Times New Roman"/>
          <w:b/>
          <w:color w:val="auto"/>
          <w:sz w:val="22"/>
          <w:szCs w:val="22"/>
          <w:highlight w:val="none"/>
          <w:u w:val="single"/>
          <w:lang w:val="en-US" w:eastAsia="zh-CN"/>
        </w:rPr>
        <w:t>两项均不得</w:t>
      </w:r>
      <w:r>
        <w:rPr>
          <w:rFonts w:hint="eastAsia" w:ascii="新宋体" w:hAnsi="新宋体" w:eastAsia="新宋体" w:cs="Times New Roman"/>
          <w:b/>
          <w:color w:val="auto"/>
          <w:sz w:val="22"/>
          <w:szCs w:val="22"/>
          <w:highlight w:val="none"/>
          <w:u w:val="single"/>
          <w:lang w:eastAsia="zh-CN"/>
        </w:rPr>
        <w:t>超过</w:t>
      </w:r>
      <w:r>
        <w:rPr>
          <w:rFonts w:hint="eastAsia" w:ascii="新宋体" w:hAnsi="新宋体" w:eastAsia="新宋体" w:cs="Times New Roman"/>
          <w:b/>
          <w:color w:val="auto"/>
          <w:sz w:val="22"/>
          <w:szCs w:val="22"/>
          <w:highlight w:val="none"/>
          <w:u w:val="single"/>
          <w:lang w:val="en-US" w:eastAsia="zh-CN"/>
        </w:rPr>
        <w:t>财政预算，否则</w:t>
      </w:r>
      <w:r>
        <w:rPr>
          <w:rFonts w:hint="eastAsia" w:ascii="新宋体" w:hAnsi="新宋体" w:eastAsia="新宋体" w:cs="Times New Roman"/>
          <w:b/>
          <w:color w:val="auto"/>
          <w:sz w:val="22"/>
          <w:szCs w:val="22"/>
          <w:highlight w:val="none"/>
          <w:u w:val="single"/>
          <w:lang w:eastAsia="zh-CN"/>
        </w:rPr>
        <w:t>按无效标处理。</w:t>
      </w:r>
    </w:p>
    <w:p>
      <w:pPr>
        <w:keepNext w:val="0"/>
        <w:keepLines w:val="0"/>
        <w:pageBreakBefore w:val="0"/>
        <w:widowControl w:val="0"/>
        <w:kinsoku/>
        <w:wordWrap/>
        <w:overflowPunct/>
        <w:topLinePunct w:val="0"/>
        <w:autoSpaceDE/>
        <w:autoSpaceDN/>
        <w:bidi w:val="0"/>
        <w:spacing w:line="460" w:lineRule="exact"/>
        <w:ind w:firstLine="497" w:firstLineChars="225"/>
        <w:textAlignment w:val="auto"/>
        <w:outlineLvl w:val="1"/>
        <w:rPr>
          <w:rFonts w:hint="eastAsia" w:ascii="新宋体" w:hAnsi="新宋体" w:eastAsia="新宋体" w:cs="新宋体"/>
          <w:b/>
          <w:color w:val="auto"/>
          <w:sz w:val="22"/>
          <w:szCs w:val="22"/>
          <w:highlight w:val="none"/>
        </w:rPr>
      </w:pPr>
      <w:bookmarkStart w:id="82" w:name="_Toc202085298"/>
      <w:bookmarkStart w:id="83" w:name="_Toc195502588"/>
      <w:bookmarkStart w:id="84" w:name="_Toc195502498"/>
      <w:r>
        <w:rPr>
          <w:rFonts w:hint="eastAsia" w:ascii="新宋体" w:hAnsi="新宋体" w:eastAsia="新宋体" w:cs="新宋体"/>
          <w:b/>
          <w:color w:val="auto"/>
          <w:sz w:val="22"/>
          <w:szCs w:val="22"/>
          <w:highlight w:val="none"/>
        </w:rPr>
        <w:t>一、总体要求</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本次采购的内容是温州市市本级主要道路及小街小巷路灯设施（含路灯工程设施，下同）的维修和养护，包括配电设备、灯杆、灯盘、灯具、电缆、电线、线路管道、架空线路及配件、监控终端及其配件等设施的维修养护以及监控中心的24小时值守等。本项目是</w:t>
      </w:r>
      <w:r>
        <w:rPr>
          <w:rFonts w:hint="eastAsia" w:ascii="新宋体" w:hAnsi="新宋体" w:eastAsia="新宋体" w:cs="新宋体"/>
          <w:color w:val="auto"/>
          <w:sz w:val="22"/>
          <w:szCs w:val="22"/>
          <w:highlight w:val="none"/>
          <w:lang w:eastAsia="zh-CN"/>
        </w:rPr>
        <w:t>温州市市政管理中心</w:t>
      </w:r>
      <w:r>
        <w:rPr>
          <w:rFonts w:hint="eastAsia" w:ascii="新宋体" w:hAnsi="新宋体" w:eastAsia="新宋体" w:cs="新宋体"/>
          <w:color w:val="auto"/>
          <w:sz w:val="22"/>
          <w:szCs w:val="22"/>
          <w:highlight w:val="none"/>
        </w:rPr>
        <w:t xml:space="preserve">为确保市本级路灯设施正常运行，以满足全市市民的工作和生活需要。 </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投标供应商应对市本级路灯设施正常运行的可靠性及整个设施的安全负责。维修养护中提供的所有设备、器材及整个设施运行的技术指标应符合国家有关最新技术标准的规定，没有国标的应符合行业、部门标准；严格按照ISO9000质量保证体系或相应的服务质量管理标准，对路灯设施的维修、养护等各个环节进行严格的管理和服务，为市民的工作和生活创造良好的环境条件。</w:t>
      </w:r>
    </w:p>
    <w:p>
      <w:pPr>
        <w:keepNext w:val="0"/>
        <w:keepLines w:val="0"/>
        <w:pageBreakBefore w:val="0"/>
        <w:widowControl w:val="0"/>
        <w:kinsoku/>
        <w:wordWrap/>
        <w:overflowPunct/>
        <w:topLinePunct w:val="0"/>
        <w:autoSpaceDE/>
        <w:autoSpaceDN/>
        <w:bidi w:val="0"/>
        <w:spacing w:line="460" w:lineRule="exact"/>
        <w:ind w:firstLine="497" w:firstLineChars="22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二、路灯设施正常维护范围</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承担温州市市本级路灯设施范围内主要道路、小街、小巷路灯设施的所有配电设备、灯杆、灯盘、灯具及地下预埋的和空中架设的电缆、电线、线路管道等的日常维修、养护、定期检修及设施的安保等任务，确保路灯设施的正常运行。</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2"/>
        <w:rPr>
          <w:rFonts w:hint="eastAsia" w:ascii="新宋体" w:hAnsi="新宋体" w:eastAsia="新宋体" w:cs="新宋体"/>
          <w:color w:val="auto"/>
          <w:sz w:val="22"/>
          <w:szCs w:val="22"/>
          <w:highlight w:val="none"/>
        </w:rPr>
      </w:pPr>
      <w:r>
        <w:rPr>
          <w:rFonts w:hint="eastAsia" w:ascii="新宋体" w:hAnsi="新宋体" w:eastAsia="新宋体" w:cs="新宋体"/>
          <w:b/>
          <w:color w:val="auto"/>
          <w:sz w:val="22"/>
          <w:szCs w:val="22"/>
          <w:highlight w:val="none"/>
        </w:rPr>
        <w:t>（一）维护设施量清单</w:t>
      </w:r>
    </w:p>
    <w:p>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9"/>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路灯47044盏、单灯模块16961只、配电箱600台、监控终端559台。</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2"/>
        <w:rPr>
          <w:rFonts w:hint="eastAsia" w:ascii="新宋体" w:hAnsi="新宋体" w:eastAsia="新宋体" w:cs="新宋体"/>
          <w:b/>
          <w:bCs/>
          <w:color w:val="auto"/>
          <w:sz w:val="22"/>
          <w:szCs w:val="22"/>
          <w:highlight w:val="none"/>
          <w:lang w:val="en-US" w:eastAsia="zh-CN"/>
        </w:rPr>
      </w:pPr>
      <w:r>
        <w:rPr>
          <w:rFonts w:hint="eastAsia" w:ascii="新宋体" w:hAnsi="新宋体" w:eastAsia="新宋体" w:cs="新宋体"/>
          <w:b/>
          <w:bCs/>
          <w:color w:val="auto"/>
          <w:sz w:val="22"/>
          <w:szCs w:val="22"/>
          <w:highlight w:val="none"/>
        </w:rPr>
        <w:t>（二）</w:t>
      </w:r>
      <w:r>
        <w:rPr>
          <w:rFonts w:hint="eastAsia" w:ascii="新宋体" w:hAnsi="新宋体" w:eastAsia="新宋体" w:cs="新宋体"/>
          <w:b/>
          <w:bCs/>
          <w:color w:val="auto"/>
          <w:sz w:val="22"/>
          <w:szCs w:val="22"/>
          <w:highlight w:val="none"/>
          <w:lang w:val="en-US" w:eastAsia="zh-CN"/>
        </w:rPr>
        <w:t>服务期限</w:t>
      </w:r>
    </w:p>
    <w:p>
      <w:pPr>
        <w:keepNext w:val="0"/>
        <w:keepLines w:val="0"/>
        <w:pageBreakBefore w:val="0"/>
        <w:widowControl w:val="0"/>
        <w:kinsoku/>
        <w:wordWrap/>
        <w:overflowPunct/>
        <w:topLinePunct w:val="0"/>
        <w:autoSpaceDE/>
        <w:autoSpaceDN/>
        <w:bidi w:val="0"/>
        <w:spacing w:line="460" w:lineRule="exact"/>
        <w:ind w:firstLine="536" w:firstLineChars="244"/>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Cs/>
          <w:color w:val="auto"/>
          <w:sz w:val="22"/>
          <w:szCs w:val="22"/>
          <w:highlight w:val="none"/>
          <w:lang w:val="en-US" w:eastAsia="zh-CN"/>
        </w:rPr>
        <w:t>服务</w:t>
      </w:r>
      <w:r>
        <w:rPr>
          <w:rFonts w:hint="eastAsia" w:ascii="新宋体" w:hAnsi="新宋体" w:eastAsia="新宋体" w:cs="新宋体"/>
          <w:bCs/>
          <w:color w:val="auto"/>
          <w:sz w:val="22"/>
          <w:szCs w:val="22"/>
          <w:highlight w:val="none"/>
        </w:rPr>
        <w:t>期</w:t>
      </w:r>
      <w:r>
        <w:rPr>
          <w:rFonts w:hint="eastAsia" w:ascii="新宋体" w:hAnsi="新宋体" w:eastAsia="新宋体" w:cs="新宋体"/>
          <w:bCs/>
          <w:color w:val="auto"/>
          <w:sz w:val="22"/>
          <w:szCs w:val="22"/>
          <w:highlight w:val="none"/>
          <w:lang w:val="en-US" w:eastAsia="zh-CN"/>
        </w:rPr>
        <w:t>2</w:t>
      </w:r>
      <w:r>
        <w:rPr>
          <w:rFonts w:hint="eastAsia" w:ascii="新宋体" w:hAnsi="新宋体" w:eastAsia="新宋体" w:cs="新宋体"/>
          <w:bCs/>
          <w:color w:val="auto"/>
          <w:sz w:val="22"/>
          <w:szCs w:val="22"/>
          <w:highlight w:val="none"/>
        </w:rPr>
        <w:t>年。</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outlineLvl w:val="2"/>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（三）</w:t>
      </w:r>
      <w:r>
        <w:rPr>
          <w:rFonts w:hint="eastAsia" w:ascii="新宋体" w:hAnsi="新宋体" w:eastAsia="新宋体" w:cs="新宋体"/>
          <w:b/>
          <w:color w:val="auto"/>
          <w:sz w:val="22"/>
          <w:szCs w:val="22"/>
          <w:highlight w:val="none"/>
        </w:rPr>
        <w:t>路灯设施维护的内容和要求</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val="en-US" w:eastAsia="zh-CN"/>
        </w:rPr>
        <w:t>1、</w:t>
      </w:r>
      <w:r>
        <w:rPr>
          <w:rFonts w:hint="eastAsia" w:ascii="新宋体" w:hAnsi="新宋体" w:eastAsia="新宋体" w:cs="新宋体"/>
          <w:b/>
          <w:bCs/>
          <w:color w:val="auto"/>
          <w:sz w:val="22"/>
          <w:szCs w:val="22"/>
          <w:highlight w:val="none"/>
        </w:rPr>
        <w:t>路灯设施维护工作主要包括：</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定期巡检，检查路灯设施的供电、控制、线路和照明等系统设备的运行状态，及时修复和处理各类失明灯，消除发现的设备缺陷和故障隐患；路灯设施的日常维修养护和应急维修；合理调整运行系统，使设备处于良好的运行状态；确保路灯亮灯率在98%及以上，设施完好率在95%及以上；建立维护档案和设备资料档案；定期进行运行分析，不断提高路灯设施维护的管理水平。维护所用的设备、电缆、器材等材料的规格、质量、技术性能和参数应和原先的一致或相近，且必须是新品。</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2、配电设备、控制设备的维修养护：</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（1）负责对各配电设备及控制设备的技术保障工作，每半年进行一次定期巡视，测量配电设备的电流、电压和接地电阻应符合技术要求，并做好原始记录备查。</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（2）断路开关、接触器、端子排、天线、门禁开关等电器元件正常工作、线路整结、标识清楚，箱体内无积尘；</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建立配电铭牌卡，登记配电箱的基本情况以及维修、检查情况，建立责任制。</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（4）为保证路灯设备正常运行和安全用电，值班人员必须妥善处理设备出现的各种故障，及时排除或最大限度地缩小影响范围。</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（5）不得在配电箱内乱接线、乱搭线。</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（6）因维修需要，需将转换开关调至“手动”的，维修完毕后，应将转换开关调至“自动”。 </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（7）监控系统控制的照明灯具智能应在天然光照度为30Lx时关灯，在天然光照度15Lx时亮灯；时控、光控的功能性照明灯具的开关时间与微机控制的灯具的开关灯时间差不得超过30分钟。</w:t>
      </w:r>
    </w:p>
    <w:p>
      <w:pPr>
        <w:pStyle w:val="329"/>
        <w:keepNext w:val="0"/>
        <w:keepLines w:val="0"/>
        <w:pageBreakBefore w:val="0"/>
        <w:widowControl w:val="0"/>
        <w:kinsoku/>
        <w:wordWrap/>
        <w:overflowPunct/>
        <w:topLinePunct w:val="0"/>
        <w:autoSpaceDE/>
        <w:autoSpaceDN/>
        <w:bidi w:val="0"/>
        <w:spacing w:line="460" w:lineRule="exact"/>
        <w:ind w:firstLineChars="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（8）配电箱箱体、锁具、基础的日常维护、破损修复。</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3、架空线路：</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（1）架空导线作为路灯送电设施，每季度进行巡检，发现缺陷和隐患及时消除。</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（2）从配电设备以下部份至路灯引接线以上的主导线、电杆、横担、瓷瓶、拉线及所有的金属紧固件应固定牢靠，无损伤。</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（3）合理调整负荷，确保末端电压不低于额定电压90％ 。</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（4）合理调整导线垂度，登杆检查搭头，确保接触良好，调整有松动的拉线装置。</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（5）及时修剪树枝，收紧引下线，保证线间安全距离。</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4、地下</w:t>
      </w:r>
      <w:r>
        <w:rPr>
          <w:rFonts w:hint="eastAsia" w:ascii="新宋体" w:hAnsi="新宋体" w:eastAsia="新宋体" w:cs="新宋体"/>
          <w:b/>
          <w:bCs/>
          <w:color w:val="auto"/>
          <w:sz w:val="22"/>
          <w:szCs w:val="22"/>
          <w:highlight w:val="none"/>
          <w:lang w:val="en-US" w:eastAsia="zh-CN"/>
        </w:rPr>
        <w:t>线路</w:t>
      </w:r>
      <w:r>
        <w:rPr>
          <w:rFonts w:hint="eastAsia" w:ascii="新宋体" w:hAnsi="新宋体" w:eastAsia="新宋体" w:cs="新宋体"/>
          <w:b/>
          <w:bCs/>
          <w:color w:val="auto"/>
          <w:sz w:val="22"/>
          <w:szCs w:val="22"/>
          <w:highlight w:val="none"/>
        </w:rPr>
        <w:t>：</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（1）地下线路每半年巡检一次，防止植物、打桩、开挖、重压、施工地陷、化学腐蚀等因素以及自然灾害造成的损害而影响路灯设施安全运行。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（2）保持配件完好齐全，对查出的缺陷、隐患应及时消除，妥善处理，确保设施安全、可靠地运行。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（3）手孔井、人孔井内应整齐清洁，不积水，井盖应完好平整，不沉陷。井内线路走向、回路标志牌应保持字迹清楚。</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（4）确认因地下管线修复涉及开挖地面、绿地所造成的赔偿费用，由甲方承担。</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5、高杆</w:t>
      </w:r>
      <w:r>
        <w:rPr>
          <w:rFonts w:hint="eastAsia" w:ascii="新宋体" w:hAnsi="新宋体" w:eastAsia="新宋体" w:cs="新宋体"/>
          <w:b/>
          <w:bCs/>
          <w:color w:val="auto"/>
          <w:sz w:val="22"/>
          <w:szCs w:val="22"/>
          <w:highlight w:val="none"/>
          <w:lang w:val="en-US" w:eastAsia="zh-CN"/>
        </w:rPr>
        <w:t>照明</w:t>
      </w:r>
      <w:r>
        <w:rPr>
          <w:rFonts w:hint="eastAsia" w:ascii="新宋体" w:hAnsi="新宋体" w:eastAsia="新宋体" w:cs="新宋体"/>
          <w:b/>
          <w:bCs/>
          <w:color w:val="auto"/>
          <w:sz w:val="22"/>
          <w:szCs w:val="22"/>
          <w:highlight w:val="none"/>
        </w:rPr>
        <w:t>设施：</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（1）高杆照明设施分升降式和固定式两种。高杆照明设施的高度为20m及以上。</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（2）高杆照明设施维修范围的上限为主电缆接线端。</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（3）度更换失效的</w:t>
      </w:r>
      <w:r>
        <w:rPr>
          <w:rFonts w:hint="eastAsia" w:ascii="新宋体" w:hAnsi="新宋体" w:eastAsia="新宋体" w:cs="新宋体"/>
          <w:color w:val="auto"/>
          <w:sz w:val="22"/>
          <w:szCs w:val="22"/>
          <w:highlight w:val="none"/>
          <w:lang w:eastAsia="zh-CN"/>
        </w:rPr>
        <w:t>灯具</w:t>
      </w:r>
      <w:r>
        <w:rPr>
          <w:rFonts w:hint="eastAsia" w:ascii="新宋体" w:hAnsi="新宋体" w:eastAsia="新宋体" w:cs="新宋体"/>
          <w:color w:val="auto"/>
          <w:sz w:val="22"/>
          <w:szCs w:val="22"/>
          <w:highlight w:val="none"/>
        </w:rPr>
        <w:t>及老化的引上电缆和灯盘的布线。</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（4）检修或更换破损的杆体、灯具、配电板和门锁等。</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（5）应定期抽测灯杆垂直度，灯杆倾斜率不应高于百分之二。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（6）定期测试一次接地电阻值应正常，并做好记录。</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（7）定期进行灯盘、灯杆、地脚螺栓等的防腐检查和处理。</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（8）检修钢丝绳、卷扬机、行程开关，为卷扬机加油或换油。</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6、中杆</w:t>
      </w:r>
      <w:r>
        <w:rPr>
          <w:rFonts w:hint="eastAsia" w:ascii="新宋体" w:hAnsi="新宋体" w:eastAsia="新宋体" w:cs="新宋体"/>
          <w:b/>
          <w:bCs/>
          <w:color w:val="auto"/>
          <w:sz w:val="22"/>
          <w:szCs w:val="22"/>
          <w:highlight w:val="none"/>
          <w:lang w:val="en-US" w:eastAsia="zh-CN"/>
        </w:rPr>
        <w:t>照明</w:t>
      </w:r>
      <w:r>
        <w:rPr>
          <w:rFonts w:hint="eastAsia" w:ascii="新宋体" w:hAnsi="新宋体" w:eastAsia="新宋体" w:cs="新宋体"/>
          <w:b/>
          <w:bCs/>
          <w:color w:val="auto"/>
          <w:sz w:val="22"/>
          <w:szCs w:val="22"/>
          <w:highlight w:val="none"/>
        </w:rPr>
        <w:t>设施：</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（1）中杆照明设施分升降式和固定式两种。中杆照明设施的高度为16m-20m。</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（2）中杆照明设施维修范围的上限为主电缆接线端。</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（3）每季度更换失效的</w:t>
      </w:r>
      <w:r>
        <w:rPr>
          <w:rFonts w:hint="eastAsia" w:ascii="新宋体" w:hAnsi="新宋体" w:eastAsia="新宋体" w:cs="新宋体"/>
          <w:color w:val="auto"/>
          <w:sz w:val="22"/>
          <w:szCs w:val="22"/>
          <w:highlight w:val="none"/>
          <w:lang w:eastAsia="zh-CN"/>
        </w:rPr>
        <w:t>灯具</w:t>
      </w:r>
      <w:r>
        <w:rPr>
          <w:rFonts w:hint="eastAsia" w:ascii="新宋体" w:hAnsi="新宋体" w:eastAsia="新宋体" w:cs="新宋体"/>
          <w:color w:val="auto"/>
          <w:sz w:val="22"/>
          <w:szCs w:val="22"/>
          <w:highlight w:val="none"/>
        </w:rPr>
        <w:t>及老化的引上电缆和灯盘的布线。</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（4）检修或更换破损的杆体、灯具、配电板和门锁等。</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（5）应定期抽测灯杆垂直度，灯杆倾斜率不应高于百分之二。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（6）每年测试一次接地电阻值应正常，并做好记录。</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（7）定期进行灯盘、灯杆、地脚螺栓等的防腐检查和处理。</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（8）检修钢丝绳、卷扬机、行程开关，为卷扬机加油或换油。</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7、常规</w:t>
      </w:r>
      <w:r>
        <w:rPr>
          <w:rFonts w:hint="eastAsia" w:ascii="新宋体" w:hAnsi="新宋体" w:eastAsia="新宋体" w:cs="新宋体"/>
          <w:b/>
          <w:bCs/>
          <w:color w:val="auto"/>
          <w:sz w:val="22"/>
          <w:szCs w:val="22"/>
          <w:highlight w:val="none"/>
          <w:lang w:val="en-US" w:eastAsia="zh-CN"/>
        </w:rPr>
        <w:t>照明</w:t>
      </w:r>
      <w:r>
        <w:rPr>
          <w:rFonts w:hint="eastAsia" w:ascii="新宋体" w:hAnsi="新宋体" w:eastAsia="新宋体" w:cs="新宋体"/>
          <w:b/>
          <w:bCs/>
          <w:color w:val="auto"/>
          <w:sz w:val="22"/>
          <w:szCs w:val="22"/>
          <w:highlight w:val="none"/>
        </w:rPr>
        <w:t>设施</w:t>
      </w:r>
      <w:r>
        <w:rPr>
          <w:rFonts w:hint="eastAsia" w:ascii="新宋体" w:hAnsi="新宋体" w:eastAsia="新宋体" w:cs="新宋体"/>
          <w:b/>
          <w:color w:val="auto"/>
          <w:sz w:val="22"/>
          <w:szCs w:val="22"/>
          <w:highlight w:val="none"/>
        </w:rPr>
        <w:t>：</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（1）常规照明设施维修范围的上限为主电缆接线端。</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（2）每周巡检一次，更换失效的</w:t>
      </w:r>
      <w:r>
        <w:rPr>
          <w:rFonts w:hint="eastAsia" w:ascii="新宋体" w:hAnsi="新宋体" w:eastAsia="新宋体" w:cs="新宋体"/>
          <w:color w:val="auto"/>
          <w:sz w:val="22"/>
          <w:szCs w:val="22"/>
          <w:highlight w:val="none"/>
          <w:lang w:eastAsia="zh-CN"/>
        </w:rPr>
        <w:t>灯具</w:t>
      </w:r>
      <w:r>
        <w:rPr>
          <w:rFonts w:hint="eastAsia" w:ascii="新宋体" w:hAnsi="新宋体" w:eastAsia="新宋体" w:cs="新宋体"/>
          <w:color w:val="auto"/>
          <w:sz w:val="22"/>
          <w:szCs w:val="22"/>
          <w:highlight w:val="none"/>
        </w:rPr>
        <w:t>及老化的电缆、电线和配件。</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（3）检修或更换破损的杆体、灯具、配电板及门锁等。</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（4）应定期抽测灯杆垂直度，灯杆倾斜率不应高于百分之二。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（5）每年对所在路段进行测试一次接地电阻应正常，并做好记录。</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（6）定期进行灯盘、灯杆、地脚螺栓等的防腐检查和处理。</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8、</w:t>
      </w:r>
      <w:r>
        <w:rPr>
          <w:rFonts w:hint="eastAsia" w:ascii="新宋体" w:hAnsi="新宋体" w:eastAsia="新宋体" w:cs="新宋体"/>
          <w:b/>
          <w:bCs/>
          <w:color w:val="auto"/>
          <w:sz w:val="22"/>
          <w:szCs w:val="22"/>
          <w:highlight w:val="none"/>
          <w:lang w:val="en-US" w:eastAsia="zh-CN"/>
        </w:rPr>
        <w:t>庭园照明</w:t>
      </w:r>
      <w:r>
        <w:rPr>
          <w:rFonts w:hint="eastAsia" w:ascii="新宋体" w:hAnsi="新宋体" w:eastAsia="新宋体" w:cs="新宋体"/>
          <w:b/>
          <w:bCs/>
          <w:color w:val="auto"/>
          <w:sz w:val="22"/>
          <w:szCs w:val="22"/>
          <w:highlight w:val="none"/>
        </w:rPr>
        <w:t>设施：</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（1）庭院照明设施维修范围的上限为主电缆接线端。</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（2）每周巡查一次，更换失效的</w:t>
      </w:r>
      <w:r>
        <w:rPr>
          <w:rFonts w:hint="eastAsia" w:ascii="新宋体" w:hAnsi="新宋体" w:eastAsia="新宋体" w:cs="新宋体"/>
          <w:color w:val="auto"/>
          <w:sz w:val="22"/>
          <w:szCs w:val="22"/>
          <w:highlight w:val="none"/>
          <w:lang w:eastAsia="zh-CN"/>
        </w:rPr>
        <w:t>灯具</w:t>
      </w:r>
      <w:r>
        <w:rPr>
          <w:rFonts w:hint="eastAsia" w:ascii="新宋体" w:hAnsi="新宋体" w:eastAsia="新宋体" w:cs="新宋体"/>
          <w:color w:val="auto"/>
          <w:sz w:val="22"/>
          <w:szCs w:val="22"/>
          <w:highlight w:val="none"/>
        </w:rPr>
        <w:t>及老化的线路和配件。</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（3）检修或修复破损杆体、灯具配电板、门锁等。</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（4）应定期抽测灯杆垂直度，灯杆倾斜率不应高于百分之二。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（5）每年测试一次接地电阻应正常，并做好记录。</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（6）定期进行灯杆、地脚螺栓等的防腐检查和处理。</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3"/>
        <w:rPr>
          <w:rFonts w:hint="eastAsia" w:ascii="新宋体" w:hAnsi="新宋体" w:eastAsia="新宋体" w:cs="新宋体"/>
          <w:b/>
          <w:color w:val="auto"/>
          <w:sz w:val="22"/>
          <w:szCs w:val="22"/>
          <w:highlight w:val="none"/>
          <w:lang w:eastAsia="zh-CN"/>
        </w:rPr>
      </w:pPr>
      <w:r>
        <w:rPr>
          <w:rFonts w:hint="eastAsia" w:ascii="新宋体" w:hAnsi="新宋体" w:eastAsia="新宋体" w:cs="新宋体"/>
          <w:b/>
          <w:color w:val="auto"/>
          <w:sz w:val="22"/>
          <w:szCs w:val="22"/>
          <w:highlight w:val="none"/>
          <w:lang w:val="en-US" w:eastAsia="zh-CN"/>
        </w:rPr>
        <w:t>9</w:t>
      </w:r>
      <w:r>
        <w:rPr>
          <w:rFonts w:hint="eastAsia" w:ascii="新宋体" w:hAnsi="新宋体" w:eastAsia="新宋体" w:cs="新宋体"/>
          <w:b/>
          <w:color w:val="auto"/>
          <w:sz w:val="22"/>
          <w:szCs w:val="22"/>
          <w:highlight w:val="none"/>
        </w:rPr>
        <w:t>、路灯监控中心值班管理</w:t>
      </w:r>
      <w:r>
        <w:rPr>
          <w:rFonts w:hint="eastAsia" w:ascii="新宋体" w:hAnsi="新宋体" w:eastAsia="新宋体" w:cs="新宋体"/>
          <w:b/>
          <w:color w:val="auto"/>
          <w:sz w:val="22"/>
          <w:szCs w:val="22"/>
          <w:highlight w:val="none"/>
          <w:lang w:eastAsia="zh-CN"/>
        </w:rPr>
        <w:t>、</w:t>
      </w:r>
      <w:r>
        <w:rPr>
          <w:rFonts w:hint="eastAsia" w:ascii="新宋体" w:hAnsi="新宋体" w:eastAsia="新宋体" w:cs="新宋体"/>
          <w:b/>
          <w:color w:val="auto"/>
          <w:sz w:val="22"/>
          <w:szCs w:val="22"/>
          <w:highlight w:val="none"/>
        </w:rPr>
        <w:t>路灯监控终端维护</w:t>
      </w:r>
      <w:r>
        <w:rPr>
          <w:rFonts w:hint="eastAsia" w:ascii="新宋体" w:hAnsi="新宋体" w:eastAsia="新宋体" w:cs="新宋体"/>
          <w:b/>
          <w:color w:val="auto"/>
          <w:sz w:val="22"/>
          <w:szCs w:val="22"/>
          <w:highlight w:val="none"/>
          <w:lang w:eastAsia="zh-CN"/>
        </w:rPr>
        <w:t>：</w:t>
      </w:r>
    </w:p>
    <w:p>
      <w:pPr>
        <w:keepNext w:val="0"/>
        <w:keepLines w:val="0"/>
        <w:pageBreakBefore w:val="0"/>
        <w:widowControl w:val="0"/>
        <w:tabs>
          <w:tab w:val="left" w:pos="360"/>
        </w:tabs>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监控中心值班管理：监控中心采用24小时值班，监控中心承担温州市市本级路灯设施运行状况的监控、数据采集、信息传输，路灯线缆防盗监控，接受故障报修等职责，是路灯工作的枢纽。监控中心管理内容包括监控系统、监控中心设备、中心机房、监控值班管理、中心环境卫生等。</w:t>
      </w:r>
    </w:p>
    <w:p>
      <w:pPr>
        <w:keepNext w:val="0"/>
        <w:keepLines w:val="0"/>
        <w:pageBreakBefore w:val="0"/>
        <w:widowControl w:val="0"/>
        <w:tabs>
          <w:tab w:val="left" w:pos="1080"/>
        </w:tabs>
        <w:kinsoku/>
        <w:wordWrap/>
        <w:overflowPunct/>
        <w:topLinePunct w:val="0"/>
        <w:autoSpaceDE/>
        <w:autoSpaceDN/>
        <w:bidi w:val="0"/>
        <w:adjustRightInd w:val="0"/>
        <w:snapToGrid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（2）终端监控：</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a. 检修或更换破损的监控终端配件、模块、箱壳等，保证设施正常运行。</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b. 养护范围包括监管终端内的所有配件以及防盗终端设备</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c. 日常维修、定期检修和巡检等都要做好纪录，内容包括：日常例行检查维护情况，发生故障的现象、原因、排除故障的方法、更换器材的情况等,建立维修档案和设备资料档案。</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d.绘制每个监控终端所控制的路灯送电范围的图纸，将其转换成JPG格式。</w:t>
      </w:r>
    </w:p>
    <w:p>
      <w:pPr>
        <w:spacing w:line="460" w:lineRule="exact"/>
        <w:ind w:firstLine="541" w:firstLineChars="245"/>
        <w:outlineLvl w:val="3"/>
        <w:rPr>
          <w:rFonts w:hint="eastAsia" w:ascii="新宋体" w:hAnsi="新宋体" w:eastAsia="新宋体" w:cs="新宋体"/>
          <w:b/>
          <w:color w:val="auto"/>
          <w:sz w:val="22"/>
          <w:szCs w:val="22"/>
          <w:highlight w:val="none"/>
          <w:lang w:val="en-US" w:eastAsia="zh-CN"/>
        </w:rPr>
      </w:pPr>
      <w:r>
        <w:rPr>
          <w:rFonts w:hint="eastAsia" w:ascii="新宋体" w:hAnsi="新宋体" w:eastAsia="新宋体" w:cs="新宋体"/>
          <w:b/>
          <w:color w:val="auto"/>
          <w:sz w:val="22"/>
          <w:szCs w:val="22"/>
          <w:highlight w:val="none"/>
          <w:lang w:val="en-US" w:eastAsia="zh-CN"/>
        </w:rPr>
        <w:t>10、单灯控制模块维护（材料由招标人负责提供）：</w:t>
      </w:r>
    </w:p>
    <w:p>
      <w:pPr>
        <w:tabs>
          <w:tab w:val="left" w:pos="360"/>
        </w:tabs>
        <w:spacing w:line="460" w:lineRule="exact"/>
        <w:ind w:firstLine="539" w:firstLineChars="245"/>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（1）检修或更换损坏的单灯控制器，检修或更换损坏的集中控制器以及内置器件、壳体等，确保设施功能完好，运行正常。</w:t>
      </w:r>
    </w:p>
    <w:p>
      <w:pPr>
        <w:tabs>
          <w:tab w:val="left" w:pos="360"/>
        </w:tabs>
        <w:spacing w:line="460" w:lineRule="exact"/>
        <w:ind w:firstLine="539" w:firstLineChars="245"/>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日常维修、定期检修和巡检等都要做好纪录，内容包括：详细记</w:t>
      </w:r>
      <w:r>
        <w:rPr>
          <w:rFonts w:hint="eastAsia" w:ascii="新宋体" w:hAnsi="新宋体" w:eastAsia="新宋体" w:cs="新宋体"/>
          <w:color w:val="auto"/>
          <w:sz w:val="22"/>
          <w:szCs w:val="22"/>
          <w:highlight w:val="none"/>
          <w:lang w:eastAsia="zh-CN"/>
        </w:rPr>
        <w:t>录</w:t>
      </w:r>
      <w:r>
        <w:rPr>
          <w:rFonts w:hint="eastAsia" w:ascii="新宋体" w:hAnsi="新宋体" w:eastAsia="新宋体" w:cs="新宋体"/>
          <w:color w:val="auto"/>
          <w:sz w:val="22"/>
          <w:szCs w:val="22"/>
          <w:highlight w:val="none"/>
        </w:rPr>
        <w:t>发生故障的现象、原因、排除故障的方法、更换器材的情况等</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建立维修档案和设备资料档案</w:t>
      </w:r>
      <w:r>
        <w:rPr>
          <w:rFonts w:hint="eastAsia" w:ascii="新宋体" w:hAnsi="新宋体" w:eastAsia="新宋体" w:cs="新宋体"/>
          <w:color w:val="auto"/>
          <w:sz w:val="22"/>
          <w:szCs w:val="22"/>
          <w:highlight w:val="none"/>
          <w:lang w:eastAsia="zh-CN"/>
        </w:rPr>
        <w:t>。</w:t>
      </w:r>
    </w:p>
    <w:p>
      <w:pPr>
        <w:tabs>
          <w:tab w:val="left" w:pos="360"/>
        </w:tabs>
        <w:spacing w:line="460" w:lineRule="exact"/>
        <w:ind w:firstLine="539" w:firstLineChars="245"/>
        <w:rPr>
          <w:rFonts w:hint="default" w:eastAsia="新宋体"/>
          <w:color w:val="auto"/>
          <w:highlight w:val="none"/>
          <w:lang w:val="en-US" w:eastAsia="zh-CN"/>
        </w:rPr>
      </w:pPr>
      <w:r>
        <w:rPr>
          <w:rFonts w:hint="eastAsia" w:ascii="新宋体" w:hAnsi="新宋体" w:eastAsia="新宋体" w:cs="新宋体"/>
          <w:color w:val="auto"/>
          <w:sz w:val="22"/>
          <w:szCs w:val="22"/>
          <w:highlight w:val="none"/>
          <w:lang w:val="en-US" w:eastAsia="zh-CN"/>
        </w:rPr>
        <w:t>（3）值班抢修、应急抢修等。</w:t>
      </w:r>
    </w:p>
    <w:p>
      <w:pPr>
        <w:keepNext w:val="0"/>
        <w:keepLines w:val="0"/>
        <w:pageBreakBefore w:val="0"/>
        <w:widowControl w:val="0"/>
        <w:kinsoku/>
        <w:wordWrap/>
        <w:overflowPunct/>
        <w:topLinePunct w:val="0"/>
        <w:autoSpaceDE/>
        <w:autoSpaceDN/>
        <w:bidi w:val="0"/>
        <w:spacing w:line="460" w:lineRule="exact"/>
        <w:ind w:firstLine="539"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三、</w:t>
      </w:r>
      <w:r>
        <w:rPr>
          <w:rFonts w:hint="eastAsia" w:ascii="新宋体" w:hAnsi="新宋体" w:eastAsia="新宋体" w:cs="新宋体"/>
          <w:b/>
          <w:color w:val="auto"/>
          <w:sz w:val="22"/>
          <w:szCs w:val="22"/>
          <w:highlight w:val="none"/>
        </w:rPr>
        <w:t>设施正常维修养护范围外的维修安装要求</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lang w:eastAsia="zh-CN"/>
        </w:rPr>
        <w:t>（</w:t>
      </w:r>
      <w:r>
        <w:rPr>
          <w:rFonts w:hint="eastAsia" w:ascii="新宋体" w:hAnsi="新宋体" w:eastAsia="新宋体" w:cs="新宋体"/>
          <w:b/>
          <w:color w:val="auto"/>
          <w:sz w:val="22"/>
          <w:szCs w:val="22"/>
          <w:highlight w:val="none"/>
          <w:lang w:val="en-US" w:eastAsia="zh-CN"/>
        </w:rPr>
        <w:t>一</w:t>
      </w:r>
      <w:r>
        <w:rPr>
          <w:rFonts w:hint="eastAsia" w:ascii="新宋体" w:hAnsi="新宋体" w:eastAsia="新宋体" w:cs="新宋体"/>
          <w:b/>
          <w:color w:val="auto"/>
          <w:sz w:val="22"/>
          <w:szCs w:val="22"/>
          <w:highlight w:val="none"/>
          <w:lang w:eastAsia="zh-CN"/>
        </w:rPr>
        <w:t>）</w:t>
      </w:r>
      <w:r>
        <w:rPr>
          <w:rFonts w:hint="eastAsia" w:ascii="新宋体" w:hAnsi="新宋体" w:eastAsia="新宋体" w:cs="新宋体"/>
          <w:b/>
          <w:color w:val="auto"/>
          <w:sz w:val="22"/>
          <w:szCs w:val="22"/>
          <w:highlight w:val="none"/>
        </w:rPr>
        <w:t>路灯设施的破损、被撞，原则上按原状修复，除非采购单位有相关要求；</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二</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rPr>
        <w:t>新安装庭园灯灯杆制作基本要求</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1、</w:t>
      </w:r>
      <w:r>
        <w:rPr>
          <w:rFonts w:hint="eastAsia" w:ascii="新宋体" w:hAnsi="新宋体" w:eastAsia="新宋体" w:cs="新宋体"/>
          <w:bCs/>
          <w:color w:val="auto"/>
          <w:sz w:val="22"/>
          <w:szCs w:val="22"/>
          <w:highlight w:val="none"/>
        </w:rPr>
        <w:t>灯杆检修门的下沿须距地面0.5米。</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2、</w:t>
      </w:r>
      <w:r>
        <w:rPr>
          <w:rFonts w:hint="eastAsia" w:ascii="新宋体" w:hAnsi="新宋体" w:eastAsia="新宋体" w:cs="新宋体"/>
          <w:bCs/>
          <w:color w:val="auto"/>
          <w:sz w:val="22"/>
          <w:szCs w:val="22"/>
          <w:highlight w:val="none"/>
        </w:rPr>
        <w:t>检修门内必须有接地端子和接线板固定端子。</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3、</w:t>
      </w:r>
      <w:r>
        <w:rPr>
          <w:rFonts w:hint="eastAsia" w:ascii="新宋体" w:hAnsi="新宋体" w:eastAsia="新宋体" w:cs="新宋体"/>
          <w:bCs/>
          <w:color w:val="auto"/>
          <w:sz w:val="22"/>
          <w:szCs w:val="22"/>
          <w:highlight w:val="none"/>
        </w:rPr>
        <w:t>路灯灯杆应采用Q235等优质钢板；灯杆高度为3-5米，其壁厚为3mm。</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4、</w:t>
      </w:r>
      <w:r>
        <w:rPr>
          <w:rFonts w:hint="eastAsia" w:ascii="新宋体" w:hAnsi="新宋体" w:eastAsia="新宋体" w:cs="新宋体"/>
          <w:bCs/>
          <w:color w:val="auto"/>
          <w:sz w:val="22"/>
          <w:szCs w:val="22"/>
          <w:highlight w:val="none"/>
        </w:rPr>
        <w:t>灯杆及所有金属配件表面均应热镀锌处理。要求镀锌层均匀、厚度不小于65μm，镀锌后应纯化处理，表面光滑。防腐质量应符合现行国家标准《金属覆盖及其他有关覆盖层维氏和努氏显微硬度试验》（GB/T 9790）、《热喷涂金属件表面预处理通则》（GB/T 11373）、现行行业标准《钢铁热浸铝工艺及质量检验》（ZBJ36011）的有关规定。</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5、灯杆热镀锌后应进行喷塑层或油漆涂层处理，喷塑层或油漆涂层厚度不小于100μm，附着力二级以上，其外观、耐湿热性应符合现行行业标准《灯具油漆涂层》（QB1551-92）的有关规定；进行喷塑或油漆处理后覆盖层应无鼓包针孔、粗糙、裂纹或漏喷区缺陷，覆盖层与基体应有牢固的</w:t>
      </w:r>
      <w:r>
        <w:rPr>
          <w:rFonts w:hint="eastAsia" w:ascii="新宋体" w:hAnsi="新宋体" w:eastAsia="新宋体" w:cs="新宋体"/>
          <w:color w:val="auto"/>
          <w:sz w:val="22"/>
          <w:szCs w:val="22"/>
          <w:highlight w:val="none"/>
        </w:rPr>
        <w:t>结合强度。</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6、灯杆检修门采用不可拆卸的铰链开门方式，铰链采用不锈钢材料，其设置在门框上部，检修门盖与灯杆之间缝隙应不超过1mm，具备良好的防水性能。</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7、灯杆必须焊接良好，无横向焊缝，纵向焊缝应匀称无虚焊、平整光滑。</w:t>
      </w:r>
    </w:p>
    <w:p>
      <w:pPr>
        <w:keepNext w:val="0"/>
        <w:keepLines w:val="0"/>
        <w:pageBreakBefore w:val="0"/>
        <w:widowControl w:val="0"/>
        <w:kinsoku/>
        <w:wordWrap/>
        <w:overflowPunct/>
        <w:topLinePunct w:val="0"/>
        <w:autoSpaceDE/>
        <w:autoSpaceDN/>
        <w:bidi w:val="0"/>
        <w:spacing w:line="460" w:lineRule="exact"/>
        <w:ind w:firstLine="539" w:firstLineChars="245"/>
        <w:jc w:val="left"/>
        <w:textAlignment w:val="auto"/>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8、灯杆法兰盘厚度≥20mm，与灯杆须有连接筋，焊接可靠、牢固。</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color w:val="auto"/>
          <w:sz w:val="22"/>
          <w:szCs w:val="22"/>
          <w:highlight w:val="none"/>
        </w:rPr>
        <w:t>（</w:t>
      </w:r>
      <w:r>
        <w:rPr>
          <w:rFonts w:hint="eastAsia" w:ascii="新宋体" w:hAnsi="新宋体" w:eastAsia="新宋体" w:cs="新宋体"/>
          <w:b/>
          <w:bCs/>
          <w:color w:val="auto"/>
          <w:sz w:val="22"/>
          <w:szCs w:val="22"/>
          <w:highlight w:val="none"/>
        </w:rPr>
        <w:t>三）道路灯灯杆、灯挑制作制作基本要求</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灯杆检修门的下沿须距地面0.7米。</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检修门内必须有接地端子和接线板固定端子。</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路灯灯杆应采用Q235等优质钢板；灯杆高度为8-12米，其壁厚为4mm；灯杆的底部外径为220mm,端部外径为80mm。</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灯杆、灯挑及所有金属配件表面均应热镀锌处理。要求镀锌层均匀、厚度不小于65μm，镀锌后应纯化处理，表面光滑。防腐质量应符合现行国家标准《金属覆盖及其他有关覆盖层维氏和努氏显微硬度试验》（GB/T 9790）、《热喷涂金属件表面预处理通则》（GB/T 11373）、现行行业标准《钢铁热浸铝工艺及质量检验》（ZBJ36011）的有关规定。</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 xml:space="preserve">灯杆、灯挑等热镀锌后应进行喷塑层或油漆涂层处理，喷塑层或油漆涂层厚度不小于100μm，附着力二级以上，其外观、耐湿热性应符合现行行业标准《灯具油漆涂层》（QB1551-92）的有关规定；进行喷塑或油漆处理后覆盖层应无鼓包针孔、粗糙、裂纹或漏喷区缺陷，覆盖层与基体应有牢固的结合强度。                                                                                                                                                                                                                                                                                                                                                                                                                                                                                                                                                                                                                                                                                                                                                                                                                                                                                                                                                                                                                                                                                                                                                                                                                                                                                                                                                                                                                                                                                                                                                                                                                                                                                                                                                                                                                                                                                                                                                                                                                                                                                                                                                                                                                                                                                                                </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灯杆检修门采用不可拆卸的铰链开门方式，铰链采用不锈钢材料，其设置在门框上部，检修门盖与灯杆之间缝隙应不超过1mm，具备良好的防水性能。</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灯杆必须焊接良好，无横向焊缝，纵向焊缝应匀称无虚焊、平整光滑。</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灯杆法兰盘厚度≥20mm，与灯杆须有连接筋，焊接可靠、牢固。其灯杆法兰盘的预留螺栓孔的大小和位置须与路灯基础配套。</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（四）中杆灯灯杆制作基本要求</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灯杆检修门的下沿须距地面0.7米，路灯电缆主干线的净接伸长度须高出检修门下沿0.2米。</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检修门内必须有接地端子和接线板固定端子。</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中杆灯灯杆应采用Q235等优质钢板；壁厚为5mm；灯杆的下口径为350mm,上口径为180mm，灯盘支架厚度4mm。</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灯杆、灯盘及所有金属配件表面均应热镀锌处理。要求镀锌层均匀、厚度不小于65μm，镀锌后应纯化处理，表面光滑。防腐质量应符合现行国家标准《金属覆盖及其他有关覆盖层维氏和努氏显微硬度试验》（GB/T 9790）、《热喷涂金属件表面预处理通则》（GB/T 11373）、现行行业标准《钢铁热浸铝工艺及质量检验》（ZBJ36011）的有关规定。</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 xml:space="preserve">灯杆、灯盘等热镀锌后应进行喷塑层或油漆涂层处理，喷塑层或油漆涂层厚度不小于100μm，附着力二级以上，其外观、耐湿热性应符合现行行业标准《灯具油漆涂层》（QB1551-92）的有关规定；进行喷塑或油漆处理后覆盖层应无鼓包针孔、粗糙、裂纹或漏喷区缺陷，覆盖层与基体应有牢固的结合强度。                                                                                                                                                                                                                                                                                                                                                                                                                                                                                                                                                                                                                                                                                                                                                                                                                                                                                                                                                                                                                                                                                                                                                                                                                                                                                                                                                                                                                                                                                                                                                                                                                                                                                                                                                                                                                                                                                                                                                                                                                                                                                                                                                                                                                                                                                                                </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灯杆检修门采用不可拆卸的铰链开门方式，铰链采用不锈钢材料，其设置在门框上部，检修门盖与灯杆之间缝隙应不超过1mm，具备良好的防水性能。</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灯杆必须焊接良好，无横向焊缝，纵向焊缝应匀称无虚焊、平整光滑。</w:t>
      </w:r>
    </w:p>
    <w:p>
      <w:pPr>
        <w:keepNext w:val="0"/>
        <w:keepLines w:val="0"/>
        <w:pageBreakBefore w:val="0"/>
        <w:widowControl w:val="0"/>
        <w:kinsoku/>
        <w:wordWrap/>
        <w:overflowPunct/>
        <w:topLinePunct w:val="0"/>
        <w:autoSpaceDE/>
        <w:autoSpaceDN/>
        <w:bidi w:val="0"/>
        <w:spacing w:line="460" w:lineRule="exact"/>
        <w:ind w:firstLine="719" w:firstLineChars="327"/>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灯杆法兰盘厚度≥30mm，与灯杆须有连接筋，焊接可靠、牢固。</w:t>
      </w:r>
    </w:p>
    <w:p>
      <w:pPr>
        <w:spacing w:line="360" w:lineRule="auto"/>
        <w:ind w:firstLine="719" w:firstLineChars="327"/>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object>
          <v:shape id="_x0000_i1025" o:spt="75" type="#_x0000_t75" style="height:277.65pt;width:146.9pt;" o:ole="t" filled="f" o:preferrelative="t" stroked="f" coordsize="21600,21600">
            <v:path/>
            <v:fill on="f" focussize="0,0"/>
            <v:stroke on="f"/>
            <v:imagedata r:id="rId11" cropleft="23729f" croptop="8388f" cropright="32411f" cropbottom="18227f" o:title=""/>
            <o:lock v:ext="edit" aspectratio="t"/>
            <w10:wrap type="none"/>
            <w10:anchorlock/>
          </v:shape>
          <o:OLEObject Type="Embed" ProgID="AutoCAD.Drawing.17" ShapeID="_x0000_i1025" DrawAspect="Content" ObjectID="_1468075725" r:id="rId10">
            <o:LockedField>false</o:LockedField>
          </o:OLEObject>
        </w:object>
      </w:r>
      <w:r>
        <w:rPr>
          <w:rFonts w:hint="eastAsia" w:ascii="新宋体" w:hAnsi="新宋体" w:eastAsia="新宋体" w:cs="新宋体"/>
          <w:color w:val="auto"/>
          <w:sz w:val="22"/>
          <w:szCs w:val="22"/>
          <w:highlight w:val="none"/>
        </w:rPr>
        <w:drawing>
          <wp:inline distT="0" distB="0" distL="114300" distR="114300">
            <wp:extent cx="2143125" cy="152400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2143125" cy="1524000"/>
                    </a:xfrm>
                    <a:prstGeom prst="rect">
                      <a:avLst/>
                    </a:prstGeom>
                    <a:noFill/>
                    <a:ln>
                      <a:noFill/>
                    </a:ln>
                  </pic:spPr>
                </pic:pic>
              </a:graphicData>
            </a:graphic>
          </wp:inline>
        </w:drawing>
      </w:r>
    </w:p>
    <w:p>
      <w:pPr>
        <w:spacing w:line="360" w:lineRule="auto"/>
        <w:ind w:firstLine="4638" w:firstLineChars="2100"/>
        <w:jc w:val="lef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灯盘半径1.6米，弧形角度120</w:t>
      </w:r>
      <w:r>
        <w:rPr>
          <w:rFonts w:hint="eastAsia" w:ascii="新宋体" w:hAnsi="新宋体" w:eastAsia="新宋体" w:cs="新宋体"/>
          <w:b/>
          <w:bCs/>
          <w:color w:val="auto"/>
          <w:sz w:val="22"/>
          <w:szCs w:val="22"/>
          <w:highlight w:val="none"/>
          <w:vertAlign w:val="superscript"/>
        </w:rPr>
        <w:t>o</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（五）LED（180/120/90W/60W）道路灯灯具制作要求</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50" w:firstLineChars="25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鉴于目前国内LED产品质量参差不齐，芯片质量水平直接影响道路照明水平，LED芯片应采尽量采用好的品牌。</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50" w:firstLineChars="25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 xml:space="preserve">灯具必须提供省级或省级以上电光源检测机构出具的LED灯具产品检测报告并提供业主要求的相关技术数据（作为评标依据）；为保证评标技术文件的权威性与公正性，本次招标所要求提供的检测报告只接受与认可的省级或省级以上电光源检测机构出具的检验报告，其他检测报告均告无效。 </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kern w:val="0"/>
          <w:sz w:val="22"/>
          <w:szCs w:val="22"/>
          <w:highlight w:val="none"/>
          <w:u w:val="single"/>
        </w:rPr>
        <w:t>3</w:t>
      </w:r>
      <w:r>
        <w:rPr>
          <w:rFonts w:hint="eastAsia" w:ascii="新宋体" w:hAnsi="新宋体" w:eastAsia="新宋体" w:cs="新宋体"/>
          <w:color w:val="auto"/>
          <w:kern w:val="0"/>
          <w:sz w:val="22"/>
          <w:szCs w:val="22"/>
          <w:highlight w:val="none"/>
          <w:u w:val="single"/>
          <w:lang w:eastAsia="zh-CN"/>
        </w:rPr>
        <w:t>、</w:t>
      </w:r>
      <w:r>
        <w:rPr>
          <w:rFonts w:hint="eastAsia" w:ascii="新宋体" w:hAnsi="新宋体" w:eastAsia="新宋体" w:cs="新宋体"/>
          <w:color w:val="auto"/>
          <w:kern w:val="0"/>
          <w:sz w:val="22"/>
          <w:szCs w:val="22"/>
          <w:highlight w:val="none"/>
          <w:u w:val="single"/>
        </w:rPr>
        <w:t>▲LED灯具的</w:t>
      </w:r>
      <w:r>
        <w:rPr>
          <w:rFonts w:hint="eastAsia" w:ascii="新宋体" w:hAnsi="新宋体" w:eastAsia="新宋体" w:cs="新宋体"/>
          <w:color w:val="auto"/>
          <w:sz w:val="22"/>
          <w:szCs w:val="22"/>
          <w:highlight w:val="none"/>
          <w:u w:val="single"/>
        </w:rPr>
        <w:t>整灯输入功率W1: 0.95W。≤W1≤1.15 W。(W。表示本标书选定的LED功率，W表示供应商提供的LED灯具功率)；或输出功率W2: 0.90W。≤W1≤1.15 W。只需满足输入功率、输出功率在规定范围中的一项即可，以检测机构出具的报告为依据。本次招标LED检测报告需提供LED90W， 其余3种规格检测报告可不提供，但灯具式样、LED芯片、驱动电源的型号必须与LED90W一致。</w:t>
      </w:r>
    </w:p>
    <w:p>
      <w:pPr>
        <w:keepNext w:val="0"/>
        <w:keepLines w:val="0"/>
        <w:pageBreakBefore w:val="0"/>
        <w:widowControl w:val="0"/>
        <w:tabs>
          <w:tab w:val="left" w:pos="1200"/>
          <w:tab w:val="left" w:pos="1245"/>
        </w:tabs>
        <w:kinsoku/>
        <w:wordWrap/>
        <w:overflowPunct/>
        <w:topLinePunct w:val="0"/>
        <w:autoSpaceDE/>
        <w:autoSpaceDN/>
        <w:bidi w:val="0"/>
        <w:adjustRightInd/>
        <w:snapToGrid/>
        <w:spacing w:line="460" w:lineRule="exact"/>
        <w:ind w:left="480"/>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kern w:val="0"/>
          <w:sz w:val="22"/>
          <w:szCs w:val="22"/>
          <w:highlight w:val="none"/>
          <w:u w:val="single"/>
        </w:rPr>
        <w:t>4</w:t>
      </w:r>
      <w:r>
        <w:rPr>
          <w:rFonts w:hint="eastAsia" w:ascii="新宋体" w:hAnsi="新宋体" w:eastAsia="新宋体" w:cs="新宋体"/>
          <w:color w:val="auto"/>
          <w:kern w:val="0"/>
          <w:sz w:val="22"/>
          <w:szCs w:val="22"/>
          <w:highlight w:val="none"/>
          <w:u w:val="single"/>
          <w:lang w:eastAsia="zh-CN"/>
        </w:rPr>
        <w:t>、</w:t>
      </w:r>
      <w:r>
        <w:rPr>
          <w:rFonts w:hint="eastAsia" w:ascii="新宋体" w:hAnsi="新宋体" w:eastAsia="新宋体" w:cs="新宋体"/>
          <w:color w:val="auto"/>
          <w:sz w:val="22"/>
          <w:szCs w:val="22"/>
          <w:highlight w:val="none"/>
          <w:u w:val="single"/>
        </w:rPr>
        <w:t>色温3500</w:t>
      </w:r>
      <w:r>
        <w:rPr>
          <w:rFonts w:hint="eastAsia" w:ascii="新宋体" w:hAnsi="新宋体" w:eastAsia="新宋体" w:cs="新宋体"/>
          <w:color w:val="auto"/>
          <w:sz w:val="22"/>
          <w:szCs w:val="22"/>
          <w:highlight w:val="none"/>
          <w:u w:val="single"/>
          <w:lang w:val="en-US" w:eastAsia="zh-CN"/>
        </w:rPr>
        <w:t>±2</w:t>
      </w:r>
      <w:r>
        <w:rPr>
          <w:rFonts w:hint="eastAsia" w:ascii="新宋体" w:hAnsi="新宋体" w:eastAsia="新宋体" w:cs="新宋体"/>
          <w:color w:val="auto"/>
          <w:sz w:val="22"/>
          <w:szCs w:val="22"/>
          <w:highlight w:val="none"/>
          <w:u w:val="single"/>
        </w:rPr>
        <w:t>00k。</w:t>
      </w:r>
    </w:p>
    <w:p>
      <w:pPr>
        <w:keepNext w:val="0"/>
        <w:keepLines w:val="0"/>
        <w:pageBreakBefore w:val="0"/>
        <w:widowControl w:val="0"/>
        <w:tabs>
          <w:tab w:val="left" w:pos="1200"/>
          <w:tab w:val="left" w:pos="1245"/>
        </w:tabs>
        <w:kinsoku/>
        <w:wordWrap/>
        <w:overflowPunct/>
        <w:topLinePunct w:val="0"/>
        <w:autoSpaceDE/>
        <w:autoSpaceDN/>
        <w:bidi w:val="0"/>
        <w:adjustRightInd/>
        <w:snapToGrid/>
        <w:spacing w:line="460" w:lineRule="exact"/>
        <w:ind w:left="480"/>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kern w:val="0"/>
          <w:sz w:val="22"/>
          <w:szCs w:val="22"/>
          <w:highlight w:val="none"/>
          <w:u w:val="single"/>
        </w:rPr>
        <w:t>5</w:t>
      </w:r>
      <w:r>
        <w:rPr>
          <w:rFonts w:hint="eastAsia" w:ascii="新宋体" w:hAnsi="新宋体" w:eastAsia="新宋体" w:cs="新宋体"/>
          <w:color w:val="auto"/>
          <w:kern w:val="0"/>
          <w:sz w:val="22"/>
          <w:szCs w:val="22"/>
          <w:highlight w:val="none"/>
          <w:u w:val="single"/>
          <w:lang w:eastAsia="zh-CN"/>
        </w:rPr>
        <w:t>、</w:t>
      </w:r>
      <w:r>
        <w:rPr>
          <w:rFonts w:hint="eastAsia" w:ascii="新宋体" w:hAnsi="新宋体" w:eastAsia="新宋体" w:cs="新宋体"/>
          <w:color w:val="auto"/>
          <w:sz w:val="22"/>
          <w:szCs w:val="22"/>
          <w:highlight w:val="none"/>
          <w:u w:val="single"/>
        </w:rPr>
        <w:t>功率因素不得小于0.95。</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光通量维持率：点燃3000h光通维持率不低于96%，点燃6000h光通维持率不低于92%，10000h光通维持率不低于86%（若未在检测报告中显示，灯具供应商须承诺）。</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LED灯具使用寿命大于50000小时。</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LED灯具选用高效的恒流驱动，效率大于90%，功率因素大于0.95，并具有过流、过热，过压、短路以及开关冲击等保护功能。</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Cs/>
          <w:color w:val="auto"/>
          <w:sz w:val="22"/>
          <w:szCs w:val="22"/>
          <w:highlight w:val="none"/>
        </w:rPr>
        <w:t>9</w:t>
      </w:r>
      <w:r>
        <w:rPr>
          <w:rFonts w:hint="eastAsia" w:ascii="新宋体" w:hAnsi="新宋体" w:eastAsia="新宋体" w:cs="新宋体"/>
          <w:bCs/>
          <w:color w:val="auto"/>
          <w:sz w:val="22"/>
          <w:szCs w:val="22"/>
          <w:highlight w:val="none"/>
          <w:lang w:eastAsia="zh-CN"/>
        </w:rPr>
        <w:t>、</w:t>
      </w:r>
      <w:r>
        <w:rPr>
          <w:rFonts w:hint="eastAsia" w:ascii="新宋体" w:hAnsi="新宋体" w:eastAsia="新宋体" w:cs="新宋体"/>
          <w:bCs/>
          <w:color w:val="auto"/>
          <w:sz w:val="22"/>
          <w:szCs w:val="22"/>
          <w:highlight w:val="none"/>
        </w:rPr>
        <w:t>工作环境：温度-10℃—50℃；湿度10%—90%。</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防护等级IP65。</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LED灯具采用专业道路路灯配光，符合道路路灯的配光设计和照明实施方案。LED道路照明产品的配光曲线应达到《城市道路照明设计标准CJJ45—2006》照明要求。</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其他相关技术要求符合《LED道路/隧道照明产品相关技术要求》。</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灯具外壳设置防脱落装置。</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灯具内所有紧固件（包括固定螺丝、卡扣等）均采用不锈钢材料；</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灯具的灯体和灯盖采用高纯铝板拉伸成型，并经阳极氧化处理，且表面需进行喷塑或油漆涂层处理，具体参照本招标文件的道路灯杆、灯挑油漆涂层的有关规定。</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6、</w:t>
      </w:r>
      <w:r>
        <w:rPr>
          <w:rFonts w:hint="eastAsia" w:ascii="新宋体" w:hAnsi="新宋体" w:eastAsia="新宋体" w:cs="新宋体"/>
          <w:color w:val="auto"/>
          <w:sz w:val="22"/>
          <w:szCs w:val="22"/>
          <w:highlight w:val="none"/>
        </w:rPr>
        <w:t>灯具外壳主体厚度不小于2mm；</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灯具内受力构件紧固可靠，受力构件应采用多点固定，分散应力。</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电器固定挡板厚度不小于2mm，并应可靠固定；</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19</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灯具内所有紧固件（包括固定螺丝、卡扣等）均采用不锈钢材料；</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灯具的温升、光学性能、防振、防腐蚀以及各部件机械强度等测试结果应符合现行国家标准《灯具安全要求与试验》（GB 7000.1）和《道路与街路照明灯具安全要求》（GB 7000.5）的规定。</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灯具的颜色由采购人确定。</w: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Cs/>
          <w:color w:val="auto"/>
          <w:sz w:val="22"/>
          <w:szCs w:val="22"/>
          <w:highlight w:val="none"/>
        </w:rPr>
      </w:pPr>
      <w:r>
        <w:rPr>
          <w:rFonts w:hint="eastAsia" w:ascii="新宋体" w:hAnsi="新宋体" w:eastAsia="新宋体" w:cs="新宋体"/>
          <w:b/>
          <w:bCs/>
          <w:color w:val="auto"/>
          <w:sz w:val="22"/>
          <w:szCs w:val="22"/>
          <w:highlight w:val="none"/>
        </w:rPr>
        <w:t>（六）LED（30W/40W）灯制作要求</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鉴于目前国内LED产品质量参差不齐，芯片质量水平直接影响道路照明水平，LED芯片应采尽量采用好的品牌。</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kern w:val="0"/>
          <w:sz w:val="22"/>
          <w:szCs w:val="22"/>
          <w:highlight w:val="none"/>
          <w:u w:val="single"/>
        </w:rPr>
        <w:t>2</w:t>
      </w:r>
      <w:r>
        <w:rPr>
          <w:rFonts w:hint="eastAsia" w:ascii="新宋体" w:hAnsi="新宋体" w:eastAsia="新宋体" w:cs="新宋体"/>
          <w:color w:val="auto"/>
          <w:kern w:val="0"/>
          <w:sz w:val="22"/>
          <w:szCs w:val="22"/>
          <w:highlight w:val="none"/>
          <w:u w:val="single"/>
          <w:lang w:eastAsia="zh-CN"/>
        </w:rPr>
        <w:t>、</w:t>
      </w:r>
      <w:r>
        <w:rPr>
          <w:rFonts w:hint="eastAsia" w:ascii="新宋体" w:hAnsi="新宋体" w:eastAsia="新宋体" w:cs="新宋体"/>
          <w:color w:val="auto"/>
          <w:kern w:val="0"/>
          <w:sz w:val="22"/>
          <w:szCs w:val="22"/>
          <w:highlight w:val="none"/>
          <w:u w:val="single"/>
        </w:rPr>
        <w:t>LED30W灯的</w:t>
      </w:r>
      <w:r>
        <w:rPr>
          <w:rFonts w:hint="eastAsia" w:ascii="新宋体" w:hAnsi="新宋体" w:eastAsia="新宋体" w:cs="新宋体"/>
          <w:color w:val="auto"/>
          <w:sz w:val="22"/>
          <w:szCs w:val="22"/>
          <w:highlight w:val="none"/>
          <w:u w:val="single"/>
        </w:rPr>
        <w:t>整灯输入功率须在30W与40W之间，或输出功率须在30W与35W之间，</w:t>
      </w:r>
      <w:r>
        <w:rPr>
          <w:rFonts w:hint="eastAsia" w:ascii="新宋体" w:hAnsi="新宋体" w:eastAsia="新宋体" w:cs="新宋体"/>
          <w:color w:val="auto"/>
          <w:kern w:val="0"/>
          <w:sz w:val="22"/>
          <w:szCs w:val="22"/>
          <w:highlight w:val="none"/>
          <w:u w:val="single"/>
        </w:rPr>
        <w:t>LED40W灯的</w:t>
      </w:r>
      <w:r>
        <w:rPr>
          <w:rFonts w:hint="eastAsia" w:ascii="新宋体" w:hAnsi="新宋体" w:eastAsia="新宋体" w:cs="新宋体"/>
          <w:color w:val="auto"/>
          <w:sz w:val="22"/>
          <w:szCs w:val="22"/>
          <w:highlight w:val="none"/>
          <w:u w:val="single"/>
        </w:rPr>
        <w:t>整灯输入功率须在30W与40W之间，或输出功率须在30W与35W之间，只需满足输入功率、输出功率规定范围中的一项即可，若均超出上述规定范围视为不响应招标文件（以检测机构出具的报告为依据）</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rPr>
        <w:t>3</w:t>
      </w:r>
      <w:r>
        <w:rPr>
          <w:rFonts w:hint="eastAsia" w:ascii="新宋体" w:hAnsi="新宋体" w:eastAsia="新宋体" w:cs="新宋体"/>
          <w:color w:val="auto"/>
          <w:sz w:val="22"/>
          <w:szCs w:val="22"/>
          <w:highlight w:val="none"/>
          <w:u w:val="single"/>
          <w:lang w:eastAsia="zh-CN"/>
        </w:rPr>
        <w:t>、</w:t>
      </w:r>
      <w:r>
        <w:rPr>
          <w:rFonts w:hint="eastAsia" w:ascii="新宋体" w:hAnsi="新宋体" w:eastAsia="新宋体" w:cs="新宋体"/>
          <w:color w:val="auto"/>
          <w:sz w:val="22"/>
          <w:szCs w:val="22"/>
          <w:highlight w:val="none"/>
          <w:u w:val="single"/>
        </w:rPr>
        <w:t>色温3500</w:t>
      </w:r>
      <w:r>
        <w:rPr>
          <w:rFonts w:hint="eastAsia" w:ascii="新宋体" w:hAnsi="新宋体" w:eastAsia="新宋体" w:cs="新宋体"/>
          <w:color w:val="auto"/>
          <w:sz w:val="22"/>
          <w:szCs w:val="22"/>
          <w:highlight w:val="none"/>
          <w:u w:val="single"/>
          <w:lang w:val="en-US" w:eastAsia="zh-CN"/>
        </w:rPr>
        <w:t>±2</w:t>
      </w:r>
      <w:r>
        <w:rPr>
          <w:rFonts w:hint="eastAsia" w:ascii="新宋体" w:hAnsi="新宋体" w:eastAsia="新宋体" w:cs="新宋体"/>
          <w:color w:val="auto"/>
          <w:sz w:val="22"/>
          <w:szCs w:val="22"/>
          <w:highlight w:val="none"/>
          <w:u w:val="single"/>
        </w:rPr>
        <w:t>00k</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rPr>
        <w:t>4</w:t>
      </w:r>
      <w:r>
        <w:rPr>
          <w:rFonts w:hint="eastAsia" w:ascii="新宋体" w:hAnsi="新宋体" w:eastAsia="新宋体" w:cs="新宋体"/>
          <w:color w:val="auto"/>
          <w:sz w:val="22"/>
          <w:szCs w:val="22"/>
          <w:highlight w:val="none"/>
          <w:u w:val="single"/>
          <w:lang w:eastAsia="zh-CN"/>
        </w:rPr>
        <w:t>、</w:t>
      </w:r>
      <w:r>
        <w:rPr>
          <w:rFonts w:hint="eastAsia" w:ascii="新宋体" w:hAnsi="新宋体" w:eastAsia="新宋体" w:cs="新宋体"/>
          <w:color w:val="auto"/>
          <w:sz w:val="22"/>
          <w:szCs w:val="22"/>
          <w:highlight w:val="none"/>
          <w:u w:val="single"/>
        </w:rPr>
        <w:t>功率因素不得小于0.95</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光通量维持率：点燃3000h光通维持率不低于96%，点燃6000h光通维持率不低于92%，10000h光通维持率不低于86%（若未在检测报告中显示，灯具供应商须承诺）。</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LED灯泡使用寿命大于50000小时</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 xml:space="preserve">LED灯泡选用高效的恒流驱动，效率大于90%，功率因素大于0.9； </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Cs/>
          <w:color w:val="auto"/>
          <w:sz w:val="22"/>
          <w:szCs w:val="22"/>
          <w:highlight w:val="none"/>
        </w:rPr>
        <w:t>8</w:t>
      </w:r>
      <w:r>
        <w:rPr>
          <w:rFonts w:hint="eastAsia" w:ascii="新宋体" w:hAnsi="新宋体" w:eastAsia="新宋体" w:cs="新宋体"/>
          <w:bCs/>
          <w:color w:val="auto"/>
          <w:sz w:val="22"/>
          <w:szCs w:val="22"/>
          <w:highlight w:val="none"/>
          <w:lang w:eastAsia="zh-CN"/>
        </w:rPr>
        <w:t>、</w:t>
      </w:r>
      <w:r>
        <w:rPr>
          <w:rFonts w:hint="eastAsia" w:ascii="新宋体" w:hAnsi="新宋体" w:eastAsia="新宋体" w:cs="新宋体"/>
          <w:bCs/>
          <w:color w:val="auto"/>
          <w:sz w:val="22"/>
          <w:szCs w:val="22"/>
          <w:highlight w:val="none"/>
        </w:rPr>
        <w:t>工作环境：温度-10℃—50℃；湿度10%—90%。</w:t>
      </w:r>
    </w:p>
    <w:p>
      <w:pPr>
        <w:keepNext w:val="0"/>
        <w:keepLines w:val="0"/>
        <w:pageBreakBefore w:val="0"/>
        <w:widowControl w:val="0"/>
        <w:tabs>
          <w:tab w:val="left" w:pos="1200"/>
        </w:tabs>
        <w:kinsoku/>
        <w:wordWrap/>
        <w:overflowPunct/>
        <w:topLinePunct w:val="0"/>
        <w:autoSpaceDE/>
        <w:autoSpaceDN/>
        <w:bidi w:val="0"/>
        <w:adjustRightInd/>
        <w:snapToGrid/>
        <w:spacing w:line="460" w:lineRule="exact"/>
        <w:ind w:firstLine="501" w:firstLineChars="228"/>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防护等级IP65</w:t>
      </w:r>
    </w:p>
    <w:p>
      <w:pPr>
        <w:keepNext w:val="0"/>
        <w:keepLines w:val="0"/>
        <w:pageBreakBefore w:val="0"/>
        <w:widowControl w:val="0"/>
        <w:tabs>
          <w:tab w:val="left" w:pos="1200"/>
          <w:tab w:val="left" w:pos="1245"/>
        </w:tabs>
        <w:kinsoku/>
        <w:wordWrap/>
        <w:overflowPunct/>
        <w:topLinePunct w:val="0"/>
        <w:autoSpaceDE/>
        <w:autoSpaceDN/>
        <w:bidi w:val="0"/>
        <w:adjustRightInd/>
        <w:snapToGrid/>
        <w:spacing w:line="460" w:lineRule="exact"/>
        <w:ind w:left="48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LED灯泡采用专业道路路灯配光，符合道路路灯的配光设计和照明实施方案。</w:t>
      </w:r>
    </w:p>
    <w:p>
      <w:pPr>
        <w:keepNext w:val="0"/>
        <w:keepLines w:val="0"/>
        <w:pageBreakBefore w:val="0"/>
        <w:widowControl w:val="0"/>
        <w:tabs>
          <w:tab w:val="left" w:pos="1200"/>
          <w:tab w:val="left" w:pos="1245"/>
        </w:tabs>
        <w:kinsoku/>
        <w:wordWrap/>
        <w:overflowPunct/>
        <w:topLinePunct w:val="0"/>
        <w:autoSpaceDE/>
        <w:autoSpaceDN/>
        <w:bidi w:val="0"/>
        <w:adjustRightInd/>
        <w:snapToGrid/>
        <w:spacing w:line="460" w:lineRule="exact"/>
        <w:ind w:left="48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其他相关技术要求符合《LED道路/隧道照明产品相关技术要求》</w:t>
      </w:r>
    </w:p>
    <w:p>
      <w:pPr>
        <w:keepNext w:val="0"/>
        <w:keepLines w:val="0"/>
        <w:pageBreakBefore w:val="0"/>
        <w:widowControl w:val="0"/>
        <w:tabs>
          <w:tab w:val="left" w:pos="1200"/>
          <w:tab w:val="left" w:pos="1245"/>
        </w:tabs>
        <w:kinsoku/>
        <w:wordWrap/>
        <w:overflowPunct/>
        <w:topLinePunct w:val="0"/>
        <w:autoSpaceDE/>
        <w:autoSpaceDN/>
        <w:bidi w:val="0"/>
        <w:adjustRightInd/>
        <w:snapToGrid/>
        <w:spacing w:line="460" w:lineRule="exact"/>
        <w:ind w:left="48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灯泡内所有紧固件（包括固定螺丝、卡扣等）均采用不锈钢材料；</w:t>
      </w:r>
    </w:p>
    <w:p>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灯泡的钢架构采用高纯铝板拉伸成型，并经阳极氧化处理，或采用不锈材料亦可。</w:t>
      </w:r>
    </w:p>
    <w:p>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灯泡外壳主体厚度不小于0.5mm；</w:t>
      </w:r>
    </w:p>
    <w:p>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灯泡受力构件紧固可靠，受力构件应采用多点固定，分散应力。</w:t>
      </w:r>
    </w:p>
    <w:p>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灯具内所有紧固件（包括固定螺丝、卡扣等）均采用不锈钢材料；</w:t>
      </w:r>
    </w:p>
    <w:p>
      <w:pPr>
        <w:keepNext w:val="0"/>
        <w:keepLines w:val="0"/>
        <w:pageBreakBefore w:val="0"/>
        <w:widowControl w:val="0"/>
        <w:kinsoku/>
        <w:wordWrap/>
        <w:overflowPunct/>
        <w:topLinePunct w:val="0"/>
        <w:autoSpaceDE/>
        <w:autoSpaceDN/>
        <w:bidi w:val="0"/>
        <w:adjustRightInd/>
        <w:snapToGrid/>
        <w:spacing w:line="460" w:lineRule="exact"/>
        <w:ind w:firstLine="588" w:firstLineChars="245"/>
        <w:jc w:val="left"/>
        <w:textAlignment w:val="auto"/>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kern w:val="0"/>
          <w:sz w:val="24"/>
          <w:highlight w:val="none"/>
          <w:lang w:bidi="ar"/>
        </w:rPr>
        <w:drawing>
          <wp:anchor distT="0" distB="0" distL="114300" distR="114300" simplePos="0" relativeHeight="251663360" behindDoc="0" locked="0" layoutInCell="1" allowOverlap="1">
            <wp:simplePos x="0" y="0"/>
            <wp:positionH relativeFrom="column">
              <wp:posOffset>1591945</wp:posOffset>
            </wp:positionH>
            <wp:positionV relativeFrom="paragraph">
              <wp:posOffset>264160</wp:posOffset>
            </wp:positionV>
            <wp:extent cx="2657475" cy="3002915"/>
            <wp:effectExtent l="0" t="0" r="9525" b="6985"/>
            <wp:wrapNone/>
            <wp:docPr id="9"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 descr="IMG_256"/>
                    <pic:cNvPicPr>
                      <a:picLocks noChangeAspect="1"/>
                    </pic:cNvPicPr>
                  </pic:nvPicPr>
                  <pic:blipFill>
                    <a:blip r:embed="rId13"/>
                    <a:stretch>
                      <a:fillRect/>
                    </a:stretch>
                  </pic:blipFill>
                  <pic:spPr>
                    <a:xfrm>
                      <a:off x="0" y="0"/>
                      <a:ext cx="2657475" cy="3002915"/>
                    </a:xfrm>
                    <a:prstGeom prst="rect">
                      <a:avLst/>
                    </a:prstGeom>
                    <a:noFill/>
                    <a:ln>
                      <a:noFill/>
                    </a:ln>
                  </pic:spPr>
                </pic:pic>
              </a:graphicData>
            </a:graphic>
          </wp:anchor>
        </w:drawing>
      </w:r>
      <w:r>
        <w:rPr>
          <w:rFonts w:hint="eastAsia" w:ascii="新宋体" w:hAnsi="新宋体" w:eastAsia="新宋体" w:cs="新宋体"/>
          <w:b/>
          <w:bCs/>
          <w:color w:val="auto"/>
          <w:sz w:val="22"/>
          <w:szCs w:val="22"/>
          <w:highlight w:val="none"/>
        </w:rPr>
        <w:t>庭园灯灯具参考类型</w:t>
      </w:r>
    </w:p>
    <w:p>
      <w:pPr>
        <w:widowControl/>
        <w:jc w:val="lef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    </w:t>
      </w: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pStyle w:val="22"/>
        <w:rPr>
          <w:rFonts w:hint="eastAsia"/>
          <w:color w:val="auto"/>
          <w:highlight w:val="none"/>
        </w:rPr>
      </w:pPr>
    </w:p>
    <w:p>
      <w:pPr>
        <w:pStyle w:val="22"/>
        <w:rPr>
          <w:rFonts w:hint="eastAsia"/>
          <w:color w:val="auto"/>
          <w:highlight w:val="none"/>
        </w:rPr>
      </w:pPr>
    </w:p>
    <w:p>
      <w:pPr>
        <w:spacing w:line="360" w:lineRule="auto"/>
        <w:ind w:firstLine="442" w:firstLineChars="200"/>
        <w:jc w:val="left"/>
        <w:rPr>
          <w:rFonts w:hint="eastAsia" w:ascii="新宋体" w:hAnsi="新宋体" w:eastAsia="新宋体" w:cs="新宋体"/>
          <w:bCs/>
          <w:color w:val="auto"/>
          <w:sz w:val="22"/>
          <w:szCs w:val="22"/>
          <w:highlight w:val="none"/>
        </w:rPr>
      </w:pPr>
      <w:r>
        <w:rPr>
          <w:rFonts w:hint="eastAsia" w:ascii="新宋体" w:hAnsi="新宋体" w:eastAsia="新宋体" w:cs="新宋体"/>
          <w:b/>
          <w:bCs/>
          <w:color w:val="auto"/>
          <w:sz w:val="22"/>
          <w:szCs w:val="22"/>
          <w:highlight w:val="none"/>
        </w:rPr>
        <w:t>隧道灯灯具参考类型</w:t>
      </w:r>
    </w:p>
    <w:p>
      <w:pPr>
        <w:spacing w:line="360" w:lineRule="auto"/>
        <w:ind w:firstLine="588" w:firstLineChars="245"/>
        <w:jc w:val="left"/>
        <w:rPr>
          <w:rFonts w:hint="eastAsia" w:ascii="新宋体" w:hAnsi="新宋体" w:eastAsia="新宋体" w:cs="新宋体"/>
          <w:color w:val="auto"/>
          <w:highlight w:val="none"/>
        </w:rPr>
      </w:pPr>
      <w:r>
        <w:rPr>
          <w:rFonts w:hint="eastAsia" w:ascii="新宋体" w:hAnsi="新宋体" w:eastAsia="新宋体" w:cs="新宋体"/>
          <w:color w:val="auto"/>
          <w:kern w:val="0"/>
          <w:sz w:val="24"/>
          <w:highlight w:val="none"/>
          <w:lang w:bidi="ar"/>
        </w:rPr>
        <w:drawing>
          <wp:anchor distT="0" distB="0" distL="114300" distR="114300" simplePos="0" relativeHeight="251664384" behindDoc="0" locked="0" layoutInCell="1" allowOverlap="1">
            <wp:simplePos x="0" y="0"/>
            <wp:positionH relativeFrom="column">
              <wp:posOffset>-25400</wp:posOffset>
            </wp:positionH>
            <wp:positionV relativeFrom="paragraph">
              <wp:posOffset>8890</wp:posOffset>
            </wp:positionV>
            <wp:extent cx="2433955" cy="2393315"/>
            <wp:effectExtent l="0" t="0" r="4445" b="6985"/>
            <wp:wrapNone/>
            <wp:docPr id="10"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2" descr="IMG_256"/>
                    <pic:cNvPicPr>
                      <a:picLocks noChangeAspect="1"/>
                    </pic:cNvPicPr>
                  </pic:nvPicPr>
                  <pic:blipFill>
                    <a:blip r:embed="rId14"/>
                    <a:stretch>
                      <a:fillRect/>
                    </a:stretch>
                  </pic:blipFill>
                  <pic:spPr>
                    <a:xfrm>
                      <a:off x="0" y="0"/>
                      <a:ext cx="2433955" cy="2393315"/>
                    </a:xfrm>
                    <a:prstGeom prst="rect">
                      <a:avLst/>
                    </a:prstGeom>
                    <a:noFill/>
                    <a:ln>
                      <a:noFill/>
                    </a:ln>
                  </pic:spPr>
                </pic:pic>
              </a:graphicData>
            </a:graphic>
          </wp:anchor>
        </w:drawing>
      </w:r>
      <w:r>
        <w:rPr>
          <w:rFonts w:hint="eastAsia" w:ascii="新宋体" w:hAnsi="新宋体" w:eastAsia="新宋体" w:cs="新宋体"/>
          <w:color w:val="auto"/>
          <w:kern w:val="0"/>
          <w:sz w:val="24"/>
          <w:highlight w:val="none"/>
          <w:lang w:bidi="ar"/>
        </w:rPr>
        <w:drawing>
          <wp:anchor distT="0" distB="0" distL="114300" distR="114300" simplePos="0" relativeHeight="251665408" behindDoc="0" locked="0" layoutInCell="1" allowOverlap="1">
            <wp:simplePos x="0" y="0"/>
            <wp:positionH relativeFrom="column">
              <wp:posOffset>3349625</wp:posOffset>
            </wp:positionH>
            <wp:positionV relativeFrom="paragraph">
              <wp:posOffset>168910</wp:posOffset>
            </wp:positionV>
            <wp:extent cx="2369185" cy="2153920"/>
            <wp:effectExtent l="0" t="0" r="12065" b="17780"/>
            <wp:wrapNone/>
            <wp:docPr id="13"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1" descr="IMG_256"/>
                    <pic:cNvPicPr>
                      <a:picLocks noChangeAspect="1"/>
                    </pic:cNvPicPr>
                  </pic:nvPicPr>
                  <pic:blipFill>
                    <a:blip r:embed="rId15"/>
                    <a:stretch>
                      <a:fillRect/>
                    </a:stretch>
                  </pic:blipFill>
                  <pic:spPr>
                    <a:xfrm>
                      <a:off x="0" y="0"/>
                      <a:ext cx="2369185" cy="2153920"/>
                    </a:xfrm>
                    <a:prstGeom prst="rect">
                      <a:avLst/>
                    </a:prstGeom>
                    <a:noFill/>
                    <a:ln>
                      <a:noFill/>
                    </a:ln>
                  </pic:spPr>
                </pic:pic>
              </a:graphicData>
            </a:graphic>
          </wp:anchor>
        </w:drawing>
      </w: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spacing w:line="360" w:lineRule="auto"/>
        <w:ind w:firstLine="539" w:firstLineChars="245"/>
        <w:jc w:val="left"/>
        <w:rPr>
          <w:rFonts w:hint="eastAsia" w:ascii="新宋体" w:hAnsi="新宋体" w:eastAsia="新宋体" w:cs="新宋体"/>
          <w:bCs/>
          <w:color w:val="auto"/>
          <w:sz w:val="22"/>
          <w:szCs w:val="22"/>
          <w:highlight w:val="none"/>
        </w:rPr>
      </w:pPr>
    </w:p>
    <w:p>
      <w:pPr>
        <w:widowControl/>
        <w:jc w:val="left"/>
        <w:rPr>
          <w:rFonts w:hint="eastAsia" w:ascii="新宋体" w:hAnsi="新宋体" w:eastAsia="新宋体" w:cs="新宋体"/>
          <w:color w:val="auto"/>
          <w:highlight w:val="none"/>
        </w:rPr>
      </w:pPr>
    </w:p>
    <w:p>
      <w:pPr>
        <w:spacing w:line="360" w:lineRule="auto"/>
        <w:ind w:firstLine="663" w:firstLineChars="300"/>
        <w:jc w:val="left"/>
        <w:rPr>
          <w:rFonts w:hint="eastAsia" w:ascii="新宋体" w:hAnsi="新宋体" w:eastAsia="新宋体" w:cs="新宋体"/>
          <w:b/>
          <w:bCs/>
          <w:color w:val="auto"/>
          <w:sz w:val="22"/>
          <w:szCs w:val="22"/>
          <w:highlight w:val="none"/>
        </w:rPr>
      </w:pPr>
    </w:p>
    <w:p>
      <w:pPr>
        <w:pStyle w:val="22"/>
        <w:rPr>
          <w:rFonts w:hint="eastAsia"/>
          <w:color w:val="auto"/>
          <w:highlight w:val="none"/>
        </w:rPr>
      </w:pPr>
    </w:p>
    <w:p>
      <w:pPr>
        <w:spacing w:line="360" w:lineRule="auto"/>
        <w:ind w:firstLine="663" w:firstLineChars="300"/>
        <w:jc w:val="left"/>
        <w:rPr>
          <w:rFonts w:hint="eastAsia" w:ascii="新宋体" w:hAnsi="新宋体" w:eastAsia="新宋体" w:cs="新宋体"/>
          <w:b/>
          <w:bCs/>
          <w:color w:val="auto"/>
          <w:sz w:val="22"/>
          <w:szCs w:val="22"/>
          <w:highlight w:val="none"/>
        </w:rPr>
      </w:pPr>
    </w:p>
    <w:p>
      <w:pPr>
        <w:spacing w:line="360" w:lineRule="auto"/>
        <w:ind w:firstLine="663" w:firstLineChars="300"/>
        <w:jc w:val="lef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道路灯灯具参考类型</w:t>
      </w:r>
    </w:p>
    <w:p>
      <w:pPr>
        <w:spacing w:line="360" w:lineRule="auto"/>
        <w:ind w:firstLine="588" w:firstLineChars="245"/>
        <w:jc w:val="left"/>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kern w:val="0"/>
          <w:sz w:val="24"/>
          <w:highlight w:val="none"/>
          <w:lang w:bidi="ar"/>
        </w:rPr>
        <w:drawing>
          <wp:anchor distT="0" distB="0" distL="114300" distR="114300" simplePos="0" relativeHeight="251667456" behindDoc="0" locked="0" layoutInCell="1" allowOverlap="1">
            <wp:simplePos x="0" y="0"/>
            <wp:positionH relativeFrom="column">
              <wp:posOffset>1799590</wp:posOffset>
            </wp:positionH>
            <wp:positionV relativeFrom="paragraph">
              <wp:posOffset>8255</wp:posOffset>
            </wp:positionV>
            <wp:extent cx="2441575" cy="2369820"/>
            <wp:effectExtent l="0" t="0" r="15875" b="11430"/>
            <wp:wrapNone/>
            <wp:docPr id="12"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3" descr="IMG_256"/>
                    <pic:cNvPicPr>
                      <a:picLocks noChangeAspect="1"/>
                    </pic:cNvPicPr>
                  </pic:nvPicPr>
                  <pic:blipFill>
                    <a:blip r:embed="rId16"/>
                    <a:stretch>
                      <a:fillRect/>
                    </a:stretch>
                  </pic:blipFill>
                  <pic:spPr>
                    <a:xfrm>
                      <a:off x="0" y="0"/>
                      <a:ext cx="2441575" cy="2369820"/>
                    </a:xfrm>
                    <a:prstGeom prst="rect">
                      <a:avLst/>
                    </a:prstGeom>
                    <a:noFill/>
                    <a:ln>
                      <a:noFill/>
                    </a:ln>
                  </pic:spPr>
                </pic:pic>
              </a:graphicData>
            </a:graphic>
          </wp:anchor>
        </w:drawing>
      </w: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ind w:firstLine="541" w:firstLineChars="245"/>
        <w:jc w:val="left"/>
        <w:rPr>
          <w:rFonts w:hint="eastAsia" w:ascii="新宋体" w:hAnsi="新宋体" w:eastAsia="新宋体" w:cs="新宋体"/>
          <w:color w:val="auto"/>
          <w:highlight w:val="none"/>
        </w:rPr>
      </w:pPr>
      <w:r>
        <w:rPr>
          <w:rFonts w:hint="eastAsia" w:ascii="新宋体" w:hAnsi="新宋体" w:eastAsia="新宋体" w:cs="新宋体"/>
          <w:b/>
          <w:bCs/>
          <w:color w:val="auto"/>
          <w:sz w:val="22"/>
          <w:szCs w:val="22"/>
          <w:highlight w:val="none"/>
        </w:rPr>
        <w:t>投光灯灯具参考类型</w:t>
      </w:r>
    </w:p>
    <w:p>
      <w:pPr>
        <w:widowControl/>
        <w:jc w:val="left"/>
        <w:rPr>
          <w:rFonts w:hint="eastAsia" w:ascii="新宋体" w:hAnsi="新宋体" w:eastAsia="新宋体" w:cs="新宋体"/>
          <w:color w:val="auto"/>
          <w:highlight w:val="none"/>
        </w:rPr>
      </w:pPr>
    </w:p>
    <w:p>
      <w:pPr>
        <w:spacing w:line="360" w:lineRule="auto"/>
        <w:jc w:val="left"/>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kern w:val="0"/>
          <w:sz w:val="24"/>
          <w:highlight w:val="none"/>
          <w:lang w:bidi="ar"/>
        </w:rPr>
        <w:drawing>
          <wp:anchor distT="0" distB="0" distL="114300" distR="114300" simplePos="0" relativeHeight="251666432" behindDoc="0" locked="0" layoutInCell="1" allowOverlap="1">
            <wp:simplePos x="0" y="0"/>
            <wp:positionH relativeFrom="column">
              <wp:posOffset>1156970</wp:posOffset>
            </wp:positionH>
            <wp:positionV relativeFrom="paragraph">
              <wp:posOffset>107950</wp:posOffset>
            </wp:positionV>
            <wp:extent cx="3616325" cy="2733040"/>
            <wp:effectExtent l="0" t="0" r="3175" b="10160"/>
            <wp:wrapNone/>
            <wp:docPr id="1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4" descr="IMG_256"/>
                    <pic:cNvPicPr>
                      <a:picLocks noChangeAspect="1"/>
                    </pic:cNvPicPr>
                  </pic:nvPicPr>
                  <pic:blipFill>
                    <a:blip r:embed="rId17"/>
                    <a:stretch>
                      <a:fillRect/>
                    </a:stretch>
                  </pic:blipFill>
                  <pic:spPr>
                    <a:xfrm>
                      <a:off x="0" y="0"/>
                      <a:ext cx="3616325" cy="2733040"/>
                    </a:xfrm>
                    <a:prstGeom prst="rect">
                      <a:avLst/>
                    </a:prstGeom>
                    <a:noFill/>
                    <a:ln>
                      <a:noFill/>
                    </a:ln>
                  </pic:spPr>
                </pic:pic>
              </a:graphicData>
            </a:graphic>
          </wp:anchor>
        </w:drawing>
      </w: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spacing w:line="360" w:lineRule="auto"/>
        <w:jc w:val="left"/>
        <w:rPr>
          <w:rFonts w:hint="eastAsia" w:ascii="新宋体" w:hAnsi="新宋体" w:eastAsia="新宋体" w:cs="新宋体"/>
          <w:b/>
          <w:bCs/>
          <w:color w:val="auto"/>
          <w:sz w:val="22"/>
          <w:szCs w:val="22"/>
          <w:highlight w:val="none"/>
        </w:rPr>
      </w:pPr>
    </w:p>
    <w:p>
      <w:pPr>
        <w:pStyle w:val="24"/>
        <w:rPr>
          <w:rFonts w:hint="eastAsia" w:ascii="新宋体" w:hAnsi="新宋体" w:eastAsia="新宋体" w:cs="新宋体"/>
          <w:b/>
          <w:bCs/>
          <w:color w:val="auto"/>
          <w:sz w:val="22"/>
          <w:szCs w:val="22"/>
          <w:highlight w:val="none"/>
        </w:rPr>
      </w:pPr>
    </w:p>
    <w:p>
      <w:pPr>
        <w:pStyle w:val="22"/>
        <w:ind w:left="0" w:leftChars="0" w:firstLine="0" w:firstLineChars="0"/>
        <w:rPr>
          <w:rFonts w:hint="eastAsia" w:ascii="新宋体" w:hAnsi="新宋体" w:eastAsia="新宋体" w:cs="新宋体"/>
          <w:color w:val="auto"/>
          <w:sz w:val="22"/>
          <w:szCs w:val="22"/>
          <w:highlight w:val="none"/>
        </w:rPr>
      </w:pPr>
    </w:p>
    <w:p>
      <w:pPr>
        <w:pStyle w:val="22"/>
        <w:rPr>
          <w:rFonts w:hint="eastAsia" w:ascii="新宋体" w:hAnsi="新宋体" w:eastAsia="新宋体" w:cs="新宋体"/>
          <w:color w:val="auto"/>
          <w:sz w:val="22"/>
          <w:szCs w:val="22"/>
          <w:highlight w:val="none"/>
        </w:rPr>
      </w:pPr>
    </w:p>
    <w:p>
      <w:pPr>
        <w:pStyle w:val="24"/>
        <w:rPr>
          <w:rFonts w:hint="eastAsia"/>
          <w:color w:val="auto"/>
          <w:highlight w:val="none"/>
        </w:rPr>
      </w:pPr>
    </w:p>
    <w:p>
      <w:pPr>
        <w:spacing w:line="360" w:lineRule="auto"/>
        <w:ind w:firstLine="719" w:firstLineChars="327"/>
        <w:jc w:val="lef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lang w:val="en-US" w:eastAsia="zh-CN"/>
        </w:rPr>
        <w:t xml:space="preserve">            </w:t>
      </w:r>
    </w:p>
    <w:p>
      <w:pPr>
        <w:pStyle w:val="24"/>
        <w:rPr>
          <w:rFonts w:hint="eastAsia" w:ascii="新宋体" w:hAnsi="新宋体" w:eastAsia="新宋体" w:cs="新宋体"/>
          <w:bCs/>
          <w:color w:val="auto"/>
          <w:sz w:val="22"/>
          <w:szCs w:val="22"/>
          <w:highlight w:val="none"/>
        </w:rPr>
      </w:pPr>
    </w:p>
    <w:p>
      <w:pPr>
        <w:pStyle w:val="24"/>
        <w:rPr>
          <w:rFonts w:hint="eastAsia" w:ascii="新宋体" w:hAnsi="新宋体" w:eastAsia="新宋体" w:cs="新宋体"/>
          <w:bCs/>
          <w:color w:val="auto"/>
          <w:sz w:val="22"/>
          <w:szCs w:val="22"/>
          <w:highlight w:val="none"/>
        </w:rPr>
      </w:pPr>
    </w:p>
    <w:p>
      <w:pPr>
        <w:pStyle w:val="24"/>
        <w:ind w:left="0" w:leftChars="0" w:firstLine="0" w:firstLineChars="0"/>
        <w:rPr>
          <w:rFonts w:hint="eastAsia" w:ascii="新宋体" w:hAnsi="新宋体" w:eastAsia="新宋体" w:cs="新宋体"/>
          <w:bCs/>
          <w:color w:val="auto"/>
          <w:sz w:val="22"/>
          <w:szCs w:val="22"/>
          <w:highlight w:val="none"/>
        </w:rPr>
        <w:sectPr>
          <w:footerReference r:id="rId6" w:type="default"/>
          <w:pgSz w:w="11907" w:h="16840"/>
          <w:pgMar w:top="1134" w:right="1134" w:bottom="1134" w:left="1134" w:header="851" w:footer="992" w:gutter="0"/>
          <w:cols w:space="720" w:num="1"/>
          <w:docGrid w:linePitch="312" w:charSpace="0"/>
        </w:sectPr>
      </w:pP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（七）庭园灯基础</w:t>
      </w:r>
    </w:p>
    <w:p>
      <w:pPr>
        <w:spacing w:line="360" w:lineRule="auto"/>
        <w:ind w:firstLine="719" w:firstLineChars="327"/>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pict>
          <v:shape id="Picture 2" o:spid="_x0000_s1035" o:spt="75" type="#_x0000_t75" style="position:absolute;left:0pt;margin-left:3.6pt;margin-top:0.45pt;height:420.1pt;width:719.15pt;z-index:251662336;mso-width-relative:page;mso-height-relative:page;" o:ole="t" fillcolor="#6D6D6D" filled="t" o:preferrelative="t" stroked="f" coordsize="21600,21600">
            <v:path/>
            <v:fill on="t" color2="#6D6D6D" focussize="0,0"/>
            <v:stroke on="f"/>
            <v:imagedata r:id="rId19" cropleft="7002f" croptop="4396f" cropright="3739f" cropbottom="7157f" o:title=""/>
            <o:lock v:ext="edit" aspectratio="t"/>
          </v:shape>
          <o:OLEObject Type="Embed" ProgID="" ShapeID="Picture 2" DrawAspect="Content" ObjectID="_1468075726" r:id="rId18">
            <o:LockedField>false</o:LockedField>
          </o:OLEObject>
        </w:pict>
      </w: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spacing w:line="360" w:lineRule="auto"/>
        <w:jc w:val="left"/>
        <w:rPr>
          <w:rFonts w:hint="eastAsia" w:ascii="新宋体" w:hAnsi="新宋体" w:eastAsia="新宋体" w:cs="新宋体"/>
          <w:color w:val="auto"/>
          <w:sz w:val="22"/>
          <w:szCs w:val="22"/>
          <w:highlight w:val="none"/>
        </w:rPr>
      </w:pP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pict>
          <v:shape id="Picture 13" o:spid="_x0000_s1036" o:spt="75" type="#_x0000_t75" style="position:absolute;left:0pt;margin-left:-14.05pt;margin-top:21pt;height:450.3pt;width:757.75pt;z-index:251668480;mso-width-relative:page;mso-height-relative:page;" o:ole="t" fillcolor="#6D6D6D" filled="t" o:preferrelative="t" stroked="f" coordsize="21600,21600">
            <v:path/>
            <v:fill on="t" color2="#6D6D6D" focussize="0,0"/>
            <v:stroke on="f"/>
            <v:imagedata r:id="rId21" cropleft="11138f" croptop="9888f" cropright="9193f" cropbottom="4789f" o:title=""/>
            <o:lock v:ext="edit" aspectratio="t"/>
          </v:shape>
          <o:OLEObject Type="Embed" ProgID="" ShapeID="Picture 13" DrawAspect="Content" ObjectID="_1468075727" r:id="rId20">
            <o:LockedField>false</o:LockedField>
          </o:OLEObject>
        </w:pict>
      </w:r>
      <w:r>
        <w:rPr>
          <w:rFonts w:hint="eastAsia" w:ascii="新宋体" w:hAnsi="新宋体" w:eastAsia="新宋体" w:cs="新宋体"/>
          <w:b/>
          <w:bCs/>
          <w:color w:val="auto"/>
          <w:sz w:val="22"/>
          <w:szCs w:val="22"/>
          <w:highlight w:val="none"/>
        </w:rPr>
        <w:t>（八）道路灯基础</w:t>
      </w: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spacing w:line="360" w:lineRule="auto"/>
        <w:ind w:firstLine="719" w:firstLineChars="327"/>
        <w:jc w:val="left"/>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pPr>
    </w:p>
    <w:p>
      <w:pPr>
        <w:pStyle w:val="24"/>
        <w:rPr>
          <w:rFonts w:hint="eastAsia" w:ascii="新宋体" w:hAnsi="新宋体" w:eastAsia="新宋体" w:cs="新宋体"/>
          <w:color w:val="auto"/>
          <w:sz w:val="22"/>
          <w:szCs w:val="22"/>
          <w:highlight w:val="none"/>
        </w:rPr>
        <w:sectPr>
          <w:pgSz w:w="16840" w:h="11907" w:orient="landscape"/>
          <w:pgMar w:top="1134" w:right="1134" w:bottom="1134" w:left="1134" w:header="851" w:footer="992" w:gutter="0"/>
          <w:cols w:space="720" w:num="1"/>
          <w:docGrid w:linePitch="312" w:charSpace="0"/>
        </w:sectPr>
      </w:pP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（九）中杆灯基础</w:t>
      </w:r>
    </w:p>
    <w:p>
      <w:pPr>
        <w:spacing w:line="360" w:lineRule="auto"/>
        <w:jc w:val="left"/>
        <w:rPr>
          <w:rFonts w:hint="eastAsia" w:ascii="新宋体" w:hAnsi="新宋体" w:eastAsia="新宋体" w:cs="新宋体"/>
          <w:color w:val="auto"/>
          <w:highlight w:val="none"/>
        </w:rPr>
      </w:pPr>
    </w:p>
    <w:p>
      <w:pPr>
        <w:spacing w:line="360" w:lineRule="auto"/>
        <w:jc w:val="left"/>
        <w:rPr>
          <w:rFonts w:hint="eastAsia" w:ascii="新宋体" w:hAnsi="新宋体" w:eastAsia="新宋体" w:cs="新宋体"/>
          <w:color w:val="auto"/>
          <w:highlight w:val="none"/>
        </w:rPr>
      </w:pPr>
      <w:r>
        <w:rPr>
          <w:rFonts w:hint="eastAsia" w:ascii="新宋体" w:hAnsi="新宋体" w:eastAsia="新宋体" w:cs="新宋体"/>
          <w:color w:val="auto"/>
          <w:highlight w:val="none"/>
        </w:rPr>
        <w:object>
          <v:shape id="_x0000_i1026" o:spt="75" type="#_x0000_t75" style="height:339.9pt;width:477.05pt;" o:ole="t" filled="f" stroked="f" coordsize="21600,21600">
            <v:path/>
            <v:fill on="f" focussize="0,0"/>
            <v:stroke on="f"/>
            <v:imagedata r:id="rId23" cropleft="2713f" croptop="12507f" cropright="21673f" cropbottom="11394f" o:title=""/>
            <o:lock v:ext="edit" grouping="f" rotation="f" text="f" aspectratio="t"/>
            <w10:wrap type="none"/>
            <w10:anchorlock/>
          </v:shape>
          <o:OLEObject Type="Embed" ProgID="AutoCAD.Drawing.17" ShapeID="_x0000_i1026" DrawAspect="Content" ObjectID="_1468075728" r:id="rId22">
            <o:LockedField>false</o:LockedField>
          </o:OLEObject>
        </w:objec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color w:val="auto"/>
          <w:highlight w:val="none"/>
        </w:rPr>
      </w:pPr>
      <w:r>
        <w:rPr>
          <w:rFonts w:hint="eastAsia" w:ascii="新宋体" w:hAnsi="新宋体" w:eastAsia="新宋体" w:cs="新宋体"/>
          <w:b/>
          <w:bCs/>
          <w:color w:val="auto"/>
          <w:sz w:val="22"/>
          <w:szCs w:val="22"/>
          <w:highlight w:val="none"/>
        </w:rPr>
        <w:t>（十）路灯小手孔井制作要求</w:t>
      </w:r>
    </w:p>
    <w:p>
      <w:pPr>
        <w:spacing w:line="360" w:lineRule="auto"/>
        <w:jc w:val="left"/>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highlight w:val="none"/>
        </w:rPr>
        <w:drawing>
          <wp:inline distT="0" distB="0" distL="114300" distR="114300">
            <wp:extent cx="6184900" cy="3702050"/>
            <wp:effectExtent l="0" t="0" r="6350" b="12700"/>
            <wp:docPr id="8"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2"/>
                    <pic:cNvPicPr>
                      <a:picLocks noChangeAspect="1"/>
                    </pic:cNvPicPr>
                  </pic:nvPicPr>
                  <pic:blipFill>
                    <a:blip r:embed="rId24"/>
                    <a:stretch>
                      <a:fillRect/>
                    </a:stretch>
                  </pic:blipFill>
                  <pic:spPr>
                    <a:xfrm>
                      <a:off x="0" y="0"/>
                      <a:ext cx="6184900" cy="3702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color w:val="auto"/>
          <w:highlight w:val="none"/>
        </w:rPr>
      </w:pPr>
      <w:r>
        <w:rPr>
          <w:rFonts w:hint="eastAsia" w:ascii="新宋体" w:hAnsi="新宋体" w:eastAsia="新宋体" w:cs="新宋体"/>
          <w:b/>
          <w:bCs/>
          <w:color w:val="auto"/>
          <w:sz w:val="22"/>
          <w:szCs w:val="22"/>
          <w:highlight w:val="none"/>
        </w:rPr>
        <w:t>（十一）路灯大手孔井</w:t>
      </w:r>
    </w:p>
    <w:p>
      <w:pPr>
        <w:spacing w:line="360" w:lineRule="auto"/>
        <w:jc w:val="left"/>
        <w:rPr>
          <w:rFonts w:hint="eastAsia" w:ascii="新宋体" w:hAnsi="新宋体" w:eastAsia="新宋体" w:cs="新宋体"/>
          <w:color w:val="auto"/>
          <w:highlight w:val="none"/>
        </w:rPr>
      </w:pPr>
      <w:r>
        <w:rPr>
          <w:rFonts w:hint="eastAsia" w:ascii="新宋体" w:hAnsi="新宋体" w:eastAsia="新宋体" w:cs="新宋体"/>
          <w:color w:val="auto"/>
          <w:highlight w:val="none"/>
        </w:rPr>
        <w:object>
          <v:shape id="_x0000_i1027" o:spt="75" type="#_x0000_t75" style="height:344.35pt;width:478.55pt;" o:ole="t" filled="f" o:preferrelative="t" stroked="f" coordsize="21600,21600">
            <v:path/>
            <v:fill on="f" focussize="0,0"/>
            <v:stroke on="f"/>
            <v:imagedata r:id="rId26" cropleft="20594f" croptop="13845f" cropright="12712f" cropbottom="18269f" o:title=""/>
            <o:lock v:ext="edit" aspectratio="t"/>
            <w10:wrap type="none"/>
            <w10:anchorlock/>
          </v:shape>
          <o:OLEObject Type="Embed" ProgID="AutoCAD.Drawing.17" ShapeID="_x0000_i1027" DrawAspect="Content" ObjectID="_1468075729" r:id="rId25">
            <o:LockedField>false</o:LockedField>
          </o:OLEObject>
        </w:object>
      </w: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十二</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rPr>
        <w:t>路灯配电箱基础</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514" w:rightChars="0"/>
        <w:jc w:val="both"/>
        <w:textAlignment w:val="auto"/>
        <w:outlineLvl w:val="9"/>
        <w:rPr>
          <w:rFonts w:hint="eastAsia"/>
          <w:color w:val="auto"/>
          <w:highlight w:val="none"/>
          <w:lang w:val="en-US" w:eastAsia="zh-CN"/>
        </w:rPr>
      </w:pPr>
      <w:r>
        <w:rPr>
          <w:rFonts w:hint="eastAsia" w:ascii="新宋体" w:hAnsi="新宋体" w:eastAsia="新宋体" w:cs="新宋体"/>
          <w:color w:val="auto"/>
          <w:highlight w:val="none"/>
        </w:rPr>
        <w:pict>
          <v:shape id="_x0000_s1037" o:spid="_x0000_s1037" o:spt="75" type="#_x0000_t75" style="position:absolute;left:0pt;margin-left:5pt;margin-top:2.9pt;height:315.3pt;width:475.75pt;z-index:251669504;mso-width-relative:page;mso-height-relative:page;" o:ole="t" filled="f" o:preferrelative="t" stroked="f" coordsize="21600,21600">
            <v:path/>
            <v:fill on="f" focussize="0,0"/>
            <v:stroke on="f"/>
            <v:imagedata r:id="rId28" cropleft="18020f" croptop="7013f" cropright="12764f" cropbottom="20342f" o:title=""/>
            <o:lock v:ext="edit" aspectratio="t"/>
          </v:shape>
          <o:OLEObject Type="Embed" ProgID="" ShapeID="_x0000_s1037" DrawAspect="Content" ObjectID="_1468075730" r:id="rId27">
            <o:LockedField>false</o:LockedField>
          </o:OLEObject>
        </w:pict>
      </w: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outlineLvl w:val="9"/>
        <w:rPr>
          <w:rFonts w:hint="eastAsia" w:ascii="新宋体" w:hAnsi="新宋体" w:eastAsia="新宋体" w:cs="新宋体"/>
          <w:b/>
          <w:bCs/>
          <w:color w:val="auto"/>
          <w:sz w:val="22"/>
          <w:szCs w:val="22"/>
          <w:highlight w:val="none"/>
        </w:rPr>
      </w:pPr>
    </w:p>
    <w:p>
      <w:pPr>
        <w:pStyle w:val="24"/>
        <w:ind w:left="0" w:leftChars="0" w:firstLine="0" w:firstLineChars="0"/>
        <w:rPr>
          <w:rFonts w:hint="eastAsia"/>
          <w:color w:val="auto"/>
          <w:highlight w:val="none"/>
        </w:rPr>
      </w:pPr>
    </w:p>
    <w:p>
      <w:pPr>
        <w:keepNext w:val="0"/>
        <w:keepLines w:val="0"/>
        <w:pageBreakBefore w:val="0"/>
        <w:widowControl w:val="0"/>
        <w:kinsoku/>
        <w:wordWrap/>
        <w:overflowPunct/>
        <w:topLinePunct w:val="0"/>
        <w:autoSpaceDE/>
        <w:autoSpaceDN/>
        <w:bidi w:val="0"/>
        <w:spacing w:line="460" w:lineRule="exact"/>
        <w:ind w:firstLine="442" w:firstLineChars="200"/>
        <w:textAlignment w:val="auto"/>
        <w:outlineLvl w:val="2"/>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（十三）其他</w:t>
      </w:r>
    </w:p>
    <w:p>
      <w:pPr>
        <w:keepNext w:val="0"/>
        <w:keepLines w:val="0"/>
        <w:pageBreakBefore w:val="0"/>
        <w:widowControl w:val="0"/>
        <w:kinsoku/>
        <w:wordWrap/>
        <w:overflowPunct/>
        <w:topLinePunct w:val="0"/>
        <w:autoSpaceDE/>
        <w:bidi w:val="0"/>
        <w:adjustRightInd/>
        <w:snapToGrid/>
        <w:spacing w:line="460" w:lineRule="exact"/>
        <w:ind w:firstLine="440" w:firstLineChars="200"/>
        <w:jc w:val="left"/>
        <w:textAlignment w:val="auto"/>
        <w:rPr>
          <w:rFonts w:hint="eastAsia" w:ascii="新宋体" w:hAnsi="新宋体" w:eastAsia="新宋体" w:cs="新宋体"/>
          <w:color w:val="auto"/>
          <w:highlight w:val="none"/>
        </w:rPr>
      </w:pPr>
      <w:r>
        <w:rPr>
          <w:rFonts w:hint="eastAsia" w:ascii="新宋体" w:hAnsi="新宋体" w:eastAsia="新宋体" w:cs="新宋体"/>
          <w:color w:val="auto"/>
          <w:sz w:val="22"/>
          <w:szCs w:val="22"/>
          <w:highlight w:val="none"/>
        </w:rPr>
        <w:t>若以上型号、参数涉及调整，在不出现重大金额出入的情况下，造价按相同或相似的型号、参数路灯设施套用，乙方应予支持，若涉及金额较大，双方协调解决</w:t>
      </w:r>
      <w:r>
        <w:rPr>
          <w:rFonts w:hint="eastAsia" w:ascii="新宋体" w:hAnsi="新宋体" w:eastAsia="新宋体" w:cs="新宋体"/>
          <w:b/>
          <w:bCs/>
          <w:color w:val="auto"/>
          <w:sz w:val="22"/>
          <w:szCs w:val="22"/>
          <w:highlight w:val="none"/>
        </w:rPr>
        <w:t>。</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1"/>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四</w:t>
      </w: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维修响应时间</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1、在接到采购单位应急维修指令后，应于1小时内派人到达现场，处理路灯设施所出现的故障，保证路灯在最短的时间内复明。并及时将修复情况反馈给采购单位。</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2、控制开关发生故障或损坏、一般电器故障在24小时内修复。</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3、电缆断线造成路灯失明或线路碰线、断路一般在48小时内查清情况修复（需要道路开挖修复的报甲方另行确定时限）。</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4、在抗台、防涝等特殊情况时,应加强值班工作，服从采购单位的统一调度。</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1"/>
        <w:rPr>
          <w:rFonts w:hint="eastAsia" w:ascii="新宋体" w:hAnsi="新宋体" w:eastAsia="新宋体" w:cs="新宋体"/>
          <w:b/>
          <w:color w:val="auto"/>
          <w:sz w:val="22"/>
          <w:szCs w:val="22"/>
          <w:highlight w:val="none"/>
        </w:rPr>
      </w:pPr>
      <w:r>
        <w:rPr>
          <w:rFonts w:hint="eastAsia" w:ascii="新宋体" w:hAnsi="新宋体" w:eastAsia="新宋体" w:cs="新宋体"/>
          <w:b/>
          <w:bCs/>
          <w:color w:val="auto"/>
          <w:sz w:val="22"/>
          <w:szCs w:val="22"/>
          <w:highlight w:val="none"/>
        </w:rPr>
        <w:t>五、路灯设施的</w:t>
      </w:r>
      <w:r>
        <w:rPr>
          <w:rFonts w:hint="eastAsia" w:ascii="新宋体" w:hAnsi="新宋体" w:eastAsia="新宋体" w:cs="新宋体"/>
          <w:b/>
          <w:color w:val="auto"/>
          <w:sz w:val="22"/>
          <w:szCs w:val="22"/>
          <w:highlight w:val="none"/>
        </w:rPr>
        <w:t>被偷盗补装及路灯设施遭人为损坏的补装要求</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1、路灯设施的被偷盗补装及路灯设施人为破坏的补装工作由乙方承担。补装所用的设备、电缆、器材的规格、质量、技术性能和参数应和原先的一致或相近，必须是新品。</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为了去除繁杂的被偷盗补装费用结算流程、同时更好地激励乙方的责任意识，本次项目已将路灯设施的被偷盗补装费用含入投标报价中，以后不再另外追加费用。乙方应采取有力的防偷盗技术措施和管理措施，使路灯设施被偷盗损失降到最低程度。</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路灯设施遭交通肇事损坏、其他施工单位作业损坏等人为破坏的补装费用，由人为损坏方承担。其处理工作（含与交警配合处理、与肇事者商谈赔偿事宜等）由乙方负责，甲方可提供协助服务。特殊情况下因交通肇事逃逸造成赔偿费用无法落实的，由双方协商解决。</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 补装所用的设备、电缆、器材的规格、质量、技术性能和参数应和原先的一致或相近，必须是新品。</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5、新移交的路灯设施维护费用亦包含被盗补装费用，风险因素由乙方承担。</w:t>
      </w:r>
      <w:r>
        <w:rPr>
          <w:rFonts w:hint="eastAsia" w:ascii="新宋体" w:hAnsi="新宋体" w:eastAsia="新宋体" w:cs="新宋体"/>
          <w:b w:val="0"/>
          <w:bCs/>
          <w:color w:val="auto"/>
          <w:sz w:val="22"/>
          <w:szCs w:val="22"/>
          <w:highlight w:val="none"/>
        </w:rPr>
        <w:t>新移交路灯设施养护的养护经费结算方式套用《浙江省市政设施养护维修定额》（20</w:t>
      </w:r>
      <w:r>
        <w:rPr>
          <w:rFonts w:hint="eastAsia" w:ascii="新宋体" w:hAnsi="新宋体" w:eastAsia="新宋体" w:cs="新宋体"/>
          <w:b w:val="0"/>
          <w:bCs/>
          <w:color w:val="auto"/>
          <w:sz w:val="22"/>
          <w:szCs w:val="22"/>
          <w:highlight w:val="none"/>
          <w:lang w:val="en-US" w:eastAsia="zh-CN"/>
        </w:rPr>
        <w:t>18</w:t>
      </w:r>
      <w:r>
        <w:rPr>
          <w:rFonts w:hint="eastAsia" w:ascii="新宋体" w:hAnsi="新宋体" w:eastAsia="新宋体" w:cs="新宋体"/>
          <w:b w:val="0"/>
          <w:bCs/>
          <w:color w:val="auto"/>
          <w:sz w:val="22"/>
          <w:szCs w:val="22"/>
          <w:highlight w:val="none"/>
        </w:rPr>
        <w:t>版），人工市场信息价施工当月市场信息价执行，项目造价按上述规定计算后，按投标人的中标价相对路灯设施正常维修养护费预算金额的下浮率下浮，公式=（中标价-路灯设施正常维修养护费预算金额）/路灯设施正常维修养护费预算金额×100%。</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1"/>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六、其他要求及说明</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b w:val="0"/>
          <w:bCs/>
          <w:color w:val="auto"/>
          <w:sz w:val="22"/>
          <w:szCs w:val="22"/>
          <w:highlight w:val="none"/>
        </w:rPr>
      </w:pPr>
      <w:r>
        <w:rPr>
          <w:rFonts w:hint="eastAsia" w:ascii="新宋体" w:hAnsi="新宋体" w:eastAsia="新宋体" w:cs="新宋体"/>
          <w:b w:val="0"/>
          <w:bCs/>
          <w:color w:val="auto"/>
          <w:sz w:val="22"/>
          <w:szCs w:val="22"/>
          <w:highlight w:val="none"/>
        </w:rPr>
        <w:t>1、若供应商投标前在温州市区（鹿城、龙湾、瓯海）没有独立办公场所（包括办公场地、仓库）,中标供应商</w:t>
      </w:r>
      <w:r>
        <w:rPr>
          <w:rFonts w:hint="eastAsia" w:ascii="新宋体" w:hAnsi="新宋体" w:eastAsia="新宋体" w:cs="新宋体"/>
          <w:b w:val="0"/>
          <w:bCs/>
          <w:color w:val="auto"/>
          <w:sz w:val="22"/>
          <w:szCs w:val="22"/>
          <w:highlight w:val="none"/>
          <w:lang w:val="en-US" w:eastAsia="zh-CN"/>
        </w:rPr>
        <w:t>可承诺</w:t>
      </w:r>
      <w:r>
        <w:rPr>
          <w:rFonts w:hint="eastAsia" w:ascii="新宋体" w:hAnsi="新宋体" w:eastAsia="新宋体" w:cs="新宋体"/>
          <w:b w:val="0"/>
          <w:bCs/>
          <w:color w:val="auto"/>
          <w:sz w:val="22"/>
          <w:szCs w:val="22"/>
          <w:highlight w:val="none"/>
        </w:rPr>
        <w:t>中标后15日内在温州市区（鹿城、龙湾、瓯海）设置独立办公场所（包括办公场地、仓库等），其面积不小于300平方米。</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b w:val="0"/>
          <w:bCs/>
          <w:color w:val="auto"/>
          <w:sz w:val="22"/>
          <w:szCs w:val="22"/>
          <w:highlight w:val="none"/>
        </w:rPr>
      </w:pPr>
      <w:r>
        <w:rPr>
          <w:rFonts w:hint="eastAsia" w:ascii="新宋体" w:hAnsi="新宋体" w:eastAsia="新宋体" w:cs="新宋体"/>
          <w:b w:val="0"/>
          <w:bCs/>
          <w:color w:val="auto"/>
          <w:sz w:val="22"/>
          <w:szCs w:val="22"/>
          <w:highlight w:val="none"/>
        </w:rPr>
        <w:t>2、龙湾区雄心工业区有一权属采购人的养护基地约500平米</w:t>
      </w:r>
      <w:r>
        <w:rPr>
          <w:rFonts w:hint="eastAsia" w:ascii="新宋体" w:hAnsi="新宋体" w:eastAsia="新宋体" w:cs="新宋体"/>
          <w:b w:val="0"/>
          <w:bCs/>
          <w:color w:val="auto"/>
          <w:sz w:val="22"/>
          <w:szCs w:val="22"/>
          <w:highlight w:val="none"/>
          <w:lang w:eastAsia="zh-CN"/>
        </w:rPr>
        <w:t>（</w:t>
      </w:r>
      <w:r>
        <w:rPr>
          <w:rFonts w:hint="eastAsia" w:ascii="新宋体" w:hAnsi="新宋体" w:eastAsia="新宋体" w:cs="新宋体"/>
          <w:b w:val="0"/>
          <w:bCs/>
          <w:color w:val="auto"/>
          <w:sz w:val="22"/>
          <w:szCs w:val="22"/>
          <w:highlight w:val="none"/>
          <w:lang w:val="en-US" w:eastAsia="zh-CN"/>
        </w:rPr>
        <w:t>基地面积采购人有权根据实际情况进行调整</w:t>
      </w:r>
      <w:r>
        <w:rPr>
          <w:rFonts w:hint="eastAsia" w:ascii="新宋体" w:hAnsi="新宋体" w:eastAsia="新宋体" w:cs="新宋体"/>
          <w:b w:val="0"/>
          <w:bCs/>
          <w:color w:val="auto"/>
          <w:sz w:val="22"/>
          <w:szCs w:val="22"/>
          <w:highlight w:val="none"/>
          <w:lang w:eastAsia="zh-CN"/>
        </w:rPr>
        <w:t>）</w:t>
      </w:r>
      <w:r>
        <w:rPr>
          <w:rFonts w:hint="eastAsia" w:ascii="新宋体" w:hAnsi="新宋体" w:eastAsia="新宋体" w:cs="新宋体"/>
          <w:b w:val="0"/>
          <w:bCs/>
          <w:color w:val="auto"/>
          <w:sz w:val="22"/>
          <w:szCs w:val="22"/>
          <w:highlight w:val="none"/>
        </w:rPr>
        <w:t>，可作为日常路灯养护维修的材料堆放场所、维修车辆停放、基地管理人员看护值班，但不得挪作他用,采购人不另行收取费用，基地设施、场地养护费用由中标供应商负责；因本项目路灯设施范围广、设施量大，可能还需要其他养护基地，投标供应商投标报价时给予综合考虑。</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b w:val="0"/>
          <w:bCs/>
          <w:color w:val="auto"/>
          <w:sz w:val="22"/>
          <w:szCs w:val="22"/>
          <w:highlight w:val="none"/>
        </w:rPr>
      </w:pPr>
      <w:r>
        <w:rPr>
          <w:rFonts w:hint="eastAsia" w:ascii="新宋体" w:hAnsi="新宋体" w:eastAsia="新宋体" w:cs="新宋体"/>
          <w:b w:val="0"/>
          <w:bCs/>
          <w:color w:val="auto"/>
          <w:sz w:val="22"/>
          <w:szCs w:val="22"/>
          <w:highlight w:val="none"/>
        </w:rPr>
        <w:t>3、维护服务期间，中途</w:t>
      </w:r>
      <w:r>
        <w:rPr>
          <w:rFonts w:hint="eastAsia" w:ascii="新宋体" w:hAnsi="新宋体" w:eastAsia="新宋体" w:cs="新宋体"/>
          <w:b w:val="0"/>
          <w:bCs/>
          <w:color w:val="auto"/>
          <w:sz w:val="22"/>
          <w:szCs w:val="22"/>
          <w:highlight w:val="none"/>
          <w:lang w:val="en-US" w:eastAsia="zh-CN"/>
        </w:rPr>
        <w:t>招标人</w:t>
      </w:r>
      <w:r>
        <w:rPr>
          <w:rFonts w:hint="eastAsia" w:ascii="新宋体" w:hAnsi="新宋体" w:eastAsia="新宋体" w:cs="新宋体"/>
          <w:b w:val="0"/>
          <w:bCs/>
          <w:color w:val="auto"/>
          <w:sz w:val="22"/>
          <w:szCs w:val="22"/>
          <w:highlight w:val="none"/>
        </w:rPr>
        <w:t>新移交的路灯设施交由</w:t>
      </w:r>
      <w:r>
        <w:rPr>
          <w:rFonts w:hint="eastAsia" w:ascii="新宋体" w:hAnsi="新宋体" w:eastAsia="新宋体" w:cs="新宋体"/>
          <w:b w:val="0"/>
          <w:bCs/>
          <w:color w:val="auto"/>
          <w:sz w:val="22"/>
          <w:szCs w:val="22"/>
          <w:highlight w:val="none"/>
          <w:lang w:val="en-US" w:eastAsia="zh-CN"/>
        </w:rPr>
        <w:t>中标供应商</w:t>
      </w:r>
      <w:r>
        <w:rPr>
          <w:rFonts w:hint="eastAsia" w:ascii="新宋体" w:hAnsi="新宋体" w:eastAsia="新宋体" w:cs="新宋体"/>
          <w:b w:val="0"/>
          <w:bCs/>
          <w:color w:val="auto"/>
          <w:sz w:val="22"/>
          <w:szCs w:val="22"/>
          <w:highlight w:val="none"/>
        </w:rPr>
        <w:t>实施常态化维护，</w:t>
      </w:r>
      <w:r>
        <w:rPr>
          <w:rFonts w:hint="eastAsia" w:ascii="新宋体" w:hAnsi="新宋体" w:eastAsia="新宋体" w:cs="新宋体"/>
          <w:b w:val="0"/>
          <w:bCs/>
          <w:color w:val="auto"/>
          <w:sz w:val="22"/>
          <w:szCs w:val="22"/>
          <w:highlight w:val="none"/>
          <w:lang w:val="en-US" w:eastAsia="zh-CN"/>
        </w:rPr>
        <w:t>中标供应商</w:t>
      </w:r>
      <w:r>
        <w:rPr>
          <w:rFonts w:hint="eastAsia" w:ascii="新宋体" w:hAnsi="新宋体" w:eastAsia="新宋体" w:cs="新宋体"/>
          <w:b w:val="0"/>
          <w:bCs/>
          <w:color w:val="auto"/>
          <w:sz w:val="22"/>
          <w:szCs w:val="22"/>
          <w:highlight w:val="none"/>
        </w:rPr>
        <w:t>必须无条件接收，否则</w:t>
      </w:r>
      <w:r>
        <w:rPr>
          <w:rFonts w:hint="eastAsia" w:ascii="新宋体" w:hAnsi="新宋体" w:eastAsia="新宋体" w:cs="新宋体"/>
          <w:b w:val="0"/>
          <w:bCs/>
          <w:color w:val="auto"/>
          <w:sz w:val="22"/>
          <w:szCs w:val="22"/>
          <w:highlight w:val="none"/>
          <w:lang w:val="en-US" w:eastAsia="zh-CN"/>
        </w:rPr>
        <w:t>招标人</w:t>
      </w:r>
      <w:r>
        <w:rPr>
          <w:rFonts w:hint="eastAsia" w:ascii="新宋体" w:hAnsi="新宋体" w:eastAsia="新宋体" w:cs="新宋体"/>
          <w:b w:val="0"/>
          <w:bCs/>
          <w:color w:val="auto"/>
          <w:sz w:val="22"/>
          <w:szCs w:val="22"/>
          <w:highlight w:val="none"/>
        </w:rPr>
        <w:t>有权解除后续合同约定，一切后果由</w:t>
      </w:r>
      <w:r>
        <w:rPr>
          <w:rFonts w:hint="eastAsia" w:ascii="新宋体" w:hAnsi="新宋体" w:eastAsia="新宋体" w:cs="新宋体"/>
          <w:b w:val="0"/>
          <w:bCs/>
          <w:color w:val="auto"/>
          <w:sz w:val="22"/>
          <w:szCs w:val="22"/>
          <w:highlight w:val="none"/>
          <w:lang w:val="en-US" w:eastAsia="zh-CN"/>
        </w:rPr>
        <w:t>中标供应商</w:t>
      </w:r>
      <w:r>
        <w:rPr>
          <w:rFonts w:hint="eastAsia" w:ascii="新宋体" w:hAnsi="新宋体" w:eastAsia="新宋体" w:cs="新宋体"/>
          <w:b w:val="0"/>
          <w:bCs/>
          <w:color w:val="auto"/>
          <w:sz w:val="22"/>
          <w:szCs w:val="22"/>
          <w:highlight w:val="none"/>
        </w:rPr>
        <w:t>承担。</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 w:val="0"/>
          <w:bCs/>
          <w:color w:val="auto"/>
          <w:sz w:val="22"/>
          <w:szCs w:val="22"/>
          <w:highlight w:val="none"/>
        </w:rPr>
        <w:t>4、</w:t>
      </w:r>
      <w:r>
        <w:rPr>
          <w:rFonts w:hint="eastAsia" w:ascii="新宋体" w:hAnsi="新宋体" w:eastAsia="新宋体" w:cs="新宋体"/>
          <w:color w:val="auto"/>
          <w:sz w:val="22"/>
          <w:szCs w:val="22"/>
          <w:highlight w:val="none"/>
        </w:rPr>
        <w:t>应建立完善的维修养护工作管理制度、维护规程和保障体系，制订服务质量保证措施及安全文明施工措施。</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5、在合同签订后第一个月，要对整个路灯设施进行全面检查和综合技术测试，提供技术分析和测试报告，建立设施运行和维护档案，为日后制定工作方案，搞好维修养护服务，奠定基础。</w:t>
      </w:r>
    </w:p>
    <w:p>
      <w:pPr>
        <w:keepNext w:val="0"/>
        <w:keepLines w:val="0"/>
        <w:pageBreakBefore w:val="0"/>
        <w:widowControl w:val="0"/>
        <w:kinsoku/>
        <w:wordWrap/>
        <w:overflowPunct/>
        <w:topLinePunct w:val="0"/>
        <w:autoSpaceDE/>
        <w:bidi w:val="0"/>
        <w:adjustRightInd/>
        <w:snapToGrid/>
        <w:spacing w:line="460" w:lineRule="exact"/>
        <w:ind w:firstLine="539" w:firstLineChars="245"/>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6、本标书中的服务内容和要求不得被认为是详尽无遗的，无论规定与否，投标供应商应提供所有本标书没有规定但投标供应商认为完成本项目必须要提供服务的，应在投标文件中一一列明，并含入分项报价表</w:t>
      </w:r>
      <w:r>
        <w:rPr>
          <w:rFonts w:hint="eastAsia" w:ascii="新宋体" w:hAnsi="新宋体" w:eastAsia="新宋体" w:cs="新宋体"/>
          <w:color w:val="auto"/>
          <w:sz w:val="22"/>
          <w:szCs w:val="22"/>
          <w:highlight w:val="none"/>
          <w:lang w:val="en-US" w:eastAsia="zh-CN"/>
        </w:rPr>
        <w:t>其他相关费用</w:t>
      </w:r>
      <w:r>
        <w:rPr>
          <w:rFonts w:hint="eastAsia" w:ascii="新宋体" w:hAnsi="新宋体" w:eastAsia="新宋体" w:cs="新宋体"/>
          <w:color w:val="auto"/>
          <w:sz w:val="22"/>
          <w:szCs w:val="22"/>
          <w:highlight w:val="none"/>
        </w:rPr>
        <w:t>中。</w:t>
      </w:r>
    </w:p>
    <w:p>
      <w:pPr>
        <w:keepNext w:val="0"/>
        <w:keepLines w:val="0"/>
        <w:pageBreakBefore w:val="0"/>
        <w:widowControl w:val="0"/>
        <w:kinsoku/>
        <w:wordWrap/>
        <w:overflowPunct/>
        <w:topLinePunct w:val="0"/>
        <w:autoSpaceDE/>
        <w:autoSpaceDN w:val="0"/>
        <w:bidi w:val="0"/>
        <w:adjustRightInd/>
        <w:snapToGrid/>
        <w:spacing w:line="360" w:lineRule="auto"/>
        <w:ind w:firstLine="663" w:firstLineChars="300"/>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7、本项目的路灯是指功能性照明，提供景观性照明的业绩视为无效。</w:t>
      </w:r>
    </w:p>
    <w:p>
      <w:pPr>
        <w:keepNext w:val="0"/>
        <w:keepLines w:val="0"/>
        <w:pageBreakBefore w:val="0"/>
        <w:widowControl w:val="0"/>
        <w:kinsoku/>
        <w:wordWrap/>
        <w:overflowPunct/>
        <w:topLinePunct w:val="0"/>
        <w:autoSpaceDE/>
        <w:autoSpaceDN w:val="0"/>
        <w:bidi w:val="0"/>
        <w:adjustRightInd/>
        <w:snapToGrid/>
        <w:spacing w:line="360" w:lineRule="auto"/>
        <w:ind w:firstLine="663" w:firstLineChars="300"/>
        <w:textAlignment w:val="auto"/>
        <w:rPr>
          <w:rFonts w:hint="eastAsia" w:ascii="新宋体" w:hAnsi="新宋体" w:eastAsia="新宋体" w:cs="新宋体"/>
          <w:b/>
          <w:color w:val="auto"/>
          <w:sz w:val="22"/>
          <w:szCs w:val="22"/>
          <w:highlight w:val="none"/>
          <w:u w:val="single"/>
          <w:lang w:val="en-US" w:eastAsia="zh-CN"/>
        </w:rPr>
      </w:pPr>
      <w:r>
        <w:rPr>
          <w:rFonts w:hint="eastAsia" w:ascii="新宋体" w:hAnsi="新宋体" w:eastAsia="新宋体" w:cs="新宋体"/>
          <w:b/>
          <w:color w:val="auto"/>
          <w:sz w:val="22"/>
          <w:szCs w:val="22"/>
          <w:highlight w:val="none"/>
          <w:u w:val="single"/>
          <w:lang w:val="en-US" w:eastAsia="zh-CN"/>
        </w:rPr>
        <w:t>8、投标人如中标，需提供第三方责任险，费用包括投标报价中。</w:t>
      </w:r>
    </w:p>
    <w:p>
      <w:pPr>
        <w:pStyle w:val="22"/>
        <w:spacing w:line="360" w:lineRule="auto"/>
        <w:ind w:left="439" w:leftChars="209" w:firstLine="221" w:firstLineChars="100"/>
        <w:rPr>
          <w:rFonts w:hint="default"/>
          <w:color w:val="auto"/>
          <w:highlight w:val="none"/>
          <w:lang w:val="en-US" w:eastAsia="zh-CN"/>
        </w:rPr>
      </w:pPr>
      <w:r>
        <w:rPr>
          <w:rFonts w:hint="eastAsia" w:ascii="新宋体" w:hAnsi="新宋体" w:eastAsia="新宋体" w:cs="新宋体"/>
          <w:b/>
          <w:color w:val="auto"/>
          <w:sz w:val="22"/>
          <w:szCs w:val="22"/>
          <w:highlight w:val="none"/>
          <w:u w:val="single"/>
          <w:lang w:val="en-US" w:eastAsia="zh-CN"/>
        </w:rPr>
        <w:t>9、投标报价包括疫情抗疫所需的费用，中标后不再做调整。</w:t>
      </w:r>
    </w:p>
    <w:p>
      <w:pPr>
        <w:keepNext w:val="0"/>
        <w:keepLines w:val="0"/>
        <w:pageBreakBefore w:val="0"/>
        <w:widowControl w:val="0"/>
        <w:kinsoku/>
        <w:wordWrap/>
        <w:overflowPunct/>
        <w:topLinePunct w:val="0"/>
        <w:autoSpaceDE/>
        <w:autoSpaceDN/>
        <w:bidi w:val="0"/>
        <w:spacing w:line="460" w:lineRule="exact"/>
        <w:ind w:firstLine="541" w:firstLineChars="245"/>
        <w:textAlignment w:val="auto"/>
        <w:outlineLvl w:val="1"/>
        <w:rPr>
          <w:rFonts w:hint="eastAsia" w:ascii="新宋体" w:hAnsi="新宋体" w:eastAsia="新宋体" w:cs="新宋体"/>
          <w:b/>
          <w:color w:val="auto"/>
          <w:sz w:val="22"/>
          <w:szCs w:val="22"/>
          <w:highlight w:val="none"/>
          <w:lang w:val="en-US" w:eastAsia="zh-CN"/>
        </w:rPr>
      </w:pPr>
      <w:r>
        <w:rPr>
          <w:rFonts w:hint="eastAsia" w:ascii="新宋体" w:hAnsi="新宋体" w:eastAsia="新宋体" w:cs="新宋体"/>
          <w:b/>
          <w:color w:val="auto"/>
          <w:sz w:val="22"/>
          <w:szCs w:val="22"/>
          <w:highlight w:val="none"/>
          <w:lang w:val="en-US" w:eastAsia="zh-CN"/>
        </w:rPr>
        <w:t>七、维护清单</w:t>
      </w:r>
    </w:p>
    <w:p>
      <w:pPr>
        <w:pStyle w:val="22"/>
        <w:keepNext w:val="0"/>
        <w:keepLines w:val="0"/>
        <w:pageBreakBefore w:val="0"/>
        <w:widowControl w:val="0"/>
        <w:kinsoku/>
        <w:wordWrap/>
        <w:overflowPunct/>
        <w:topLinePunct w:val="0"/>
        <w:autoSpaceDE/>
        <w:autoSpaceDN/>
        <w:bidi w:val="0"/>
        <w:adjustRightInd/>
        <w:snapToGrid/>
        <w:spacing w:line="460" w:lineRule="exact"/>
        <w:textAlignment w:val="auto"/>
        <w:outlineLvl w:val="2"/>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lang w:val="en-US" w:eastAsia="zh-CN"/>
        </w:rPr>
        <w:t>（1）</w:t>
      </w:r>
      <w:r>
        <w:rPr>
          <w:rFonts w:hint="eastAsia" w:ascii="新宋体" w:hAnsi="新宋体" w:eastAsia="新宋体" w:cs="新宋体"/>
          <w:b w:val="0"/>
          <w:bCs w:val="0"/>
          <w:color w:val="auto"/>
          <w:sz w:val="22"/>
          <w:szCs w:val="22"/>
          <w:highlight w:val="none"/>
        </w:rPr>
        <w:t>路灯设施正常维修养护</w:t>
      </w:r>
      <w:r>
        <w:rPr>
          <w:rFonts w:hint="eastAsia" w:ascii="新宋体" w:hAnsi="新宋体" w:eastAsia="新宋体" w:cs="新宋体"/>
          <w:b w:val="0"/>
          <w:bCs w:val="0"/>
          <w:color w:val="auto"/>
          <w:sz w:val="22"/>
          <w:szCs w:val="22"/>
          <w:highlight w:val="none"/>
          <w:lang w:val="en-US" w:eastAsia="zh-CN"/>
        </w:rPr>
        <w:t>清单</w:t>
      </w:r>
    </w:p>
    <w:tbl>
      <w:tblPr>
        <w:tblStyle w:val="52"/>
        <w:tblW w:w="10059"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600"/>
        <w:gridCol w:w="1511"/>
        <w:gridCol w:w="4085"/>
        <w:gridCol w:w="872"/>
        <w:gridCol w:w="835"/>
        <w:gridCol w:w="1275"/>
        <w:gridCol w:w="88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600" w:type="dxa"/>
            <w:tcBorders>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序号</w:t>
            </w:r>
          </w:p>
        </w:tc>
        <w:tc>
          <w:tcPr>
            <w:tcW w:w="1511"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项目名称</w:t>
            </w:r>
          </w:p>
        </w:tc>
        <w:tc>
          <w:tcPr>
            <w:tcW w:w="4085"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项目特征</w:t>
            </w:r>
          </w:p>
        </w:tc>
        <w:tc>
          <w:tcPr>
            <w:tcW w:w="872"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计量</w:t>
            </w:r>
            <w:r>
              <w:rPr>
                <w:rFonts w:hint="eastAsia" w:ascii="新宋体" w:hAnsi="新宋体" w:eastAsia="新宋体" w:cs="新宋体"/>
                <w:i w:val="0"/>
                <w:color w:val="auto"/>
                <w:kern w:val="0"/>
                <w:sz w:val="22"/>
                <w:szCs w:val="22"/>
                <w:highlight w:val="none"/>
                <w:u w:val="none"/>
                <w:lang w:val="en-US" w:eastAsia="zh-CN" w:bidi="ar"/>
              </w:rPr>
              <w:br w:type="textWrapping"/>
            </w:r>
            <w:r>
              <w:rPr>
                <w:rFonts w:hint="eastAsia" w:ascii="新宋体" w:hAnsi="新宋体" w:eastAsia="新宋体" w:cs="新宋体"/>
                <w:i w:val="0"/>
                <w:color w:val="auto"/>
                <w:kern w:val="0"/>
                <w:sz w:val="22"/>
                <w:szCs w:val="22"/>
                <w:highlight w:val="none"/>
                <w:u w:val="none"/>
                <w:lang w:val="en-US" w:eastAsia="zh-CN" w:bidi="ar"/>
              </w:rPr>
              <w:t>单位</w:t>
            </w:r>
          </w:p>
        </w:tc>
        <w:tc>
          <w:tcPr>
            <w:tcW w:w="835" w:type="dxa"/>
            <w:tcBorders>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工程量</w:t>
            </w:r>
          </w:p>
        </w:tc>
        <w:tc>
          <w:tcPr>
            <w:tcW w:w="1275" w:type="dxa"/>
            <w:tcBorders>
              <w:left w:val="single" w:color="000000" w:sz="4" w:space="0"/>
              <w:bottom w:val="nil"/>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color w:val="auto"/>
                <w:kern w:val="0"/>
                <w:sz w:val="22"/>
                <w:szCs w:val="22"/>
                <w:highlight w:val="none"/>
                <w:lang w:bidi="ar"/>
              </w:rPr>
              <w:t>合价最高限价（元）</w:t>
            </w:r>
          </w:p>
        </w:tc>
        <w:tc>
          <w:tcPr>
            <w:tcW w:w="881" w:type="dxa"/>
            <w:tcBorders>
              <w:left w:val="single" w:color="auto" w:sz="4" w:space="0"/>
              <w:bottom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一、灯具由节能服务方提供部分（灯具材料不计入本次维护项目）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（一）主要道路道路灯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30W（护套线，灯杆等配套设施含材料、制作及安装服务养护，不含灯光源养护）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2440.4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60W（护套线，灯杆等配套设施含材料、制作及安装服务养护，不含灯光源养护）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2728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166435.28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5722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349099.22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165W（护套线，灯杆等配套设施含材料、制作及安装服务养护，不含灯光源养护）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2096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129637.6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200W（护套线，灯杆等配套设施含材料、制作及安装服务养护，不含灯光源养护）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1716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108382.56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250W（护套线，灯杆等配套设施含材料、制作及安装服务养护，不含灯光源养护）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780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49264.8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300W（护套线，灯杆等配套设施含材料、制作及安装服务养护，不含灯光源养护）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376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23748.16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30W（护套线，灯杆等配套设施含材料、制作及安装服务养护，不含灯光源养护）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1988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154030.24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40W（护套线，灯杆等配套设施含材料、制作及安装服务养护，不含灯光源养护）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20144.8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60W（护套线，灯杆等配套设施含材料、制作及安装服务养护，不含灯光源养护）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3940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305271.2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100W（护套线，灯杆等配套设施含材料、制作及安装服务养护，不含灯光源养护）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1002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77634.96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165W（护套线，灯杆等配套设施含材料、制作及安装服务养护，不含灯光源养护）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3380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267594.6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200W（护套线，灯杆等配套设施含材料、制作及安装服务养护，不含灯光源养护）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1492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122000.84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250W（护套线，灯杆等配套设施含材料、制作及安装服务养护，不含灯光源养护）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1734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141789.18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300W（护套线，灯杆等配套设施含材料、制作及安装服务养护，不含灯光源养护）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28455.96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（二）隧道灯、投光灯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地道涵洞照明灯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隧道LED投光灯 40W（护套线等配套设施含材料、制作及安装服务养护，不含灯光源养护）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2698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95563.16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地道涵洞照明灯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隧道LED投光灯 60W（护套线等配套设施含材料、制作及安装服务养护，不含灯光源养护）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4876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172707.92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地道涵洞照明灯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隧道LED投光灯 100W（护套线等配套设施含材料、制作及安装服务养护，不含灯光源养护）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1596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56530.32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地道涵洞照明灯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隧道LED投光灯 1650W（护套线等配套设施含材料、制作及安装服务养护，不含灯光源养护）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4354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154218.68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（三）中杆灯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3火及3火以内（护套线，灯杆等配套设施含材料、制作及安装服务养护，不含灯光源养护）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50785.68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3火及3火以内（护套线，灯杆等配套设施含材料、制作及安装服务养护，不含灯光源养护）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212376.48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300W LED灯 3火及3火以内（护套线，灯杆等配套设施含材料、制作及安装服务养护，不含灯光源养护）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33472.38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4火及3火以内（护套线，灯杆等配套设施含材料、制作及安装服务养护，不含灯光源养护）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4火及3火以内（护套线，灯杆等配套设施含材料、制作及安装服务养护，不含灯光源养护）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5火及3火以内（护套线，灯杆等配套设施含材料、制作及安装服务养护，不含灯光源养护）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5火及3火以内（护套线，灯杆等配套设施含材料、制作及安装服务养护，不含灯光源养护）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6火及3火以内（护套线，灯杆等配套设施含材料、制作及安装服务养护，不含灯光源养护）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11528.28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6火及3火以内（护套线，灯杆等配套设施含材料、制作及安装服务养护，不含灯光源养护）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390680.6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8火及3火以内（护套线，灯杆等配套设施含材料、制作及安装服务养护，不含灯光源养护）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35476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8火及3火以内（护套线，灯杆等配套设施含材料、制作及安装服务养护，不含灯光源养护）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5676.16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12火及3火以内（护套线，灯杆等配套设施含材料、制作及安装服务养护，不含灯光源养护）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3163.72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12火及3火以内（护套线，灯杆等配套设施含材料、制作及安装服务养护，不含灯光源养护）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11073.02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（四）小街小巷道路灯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30W（护套线，灯杆等配套设施含材料、制作及安装服务养护，不含灯光源养护）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3538.58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40W（护套线，灯杆等配套设施含材料、制作及安装服务养护，不含灯光源养护）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1220.2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60W（护套线，灯杆等配套设施含材料、制作及安装服务养护，不含灯光源养护）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5988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365327.88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2482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151426.82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165W（护套线，灯杆等配套设施含材料、制作及安装服务养护，不含灯光源养护）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12493.7</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30W（护套线，灯杆等配套设施含材料、制作及安装服务养护，不含灯光源养护）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5423.6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60W（护套线，灯杆等配套设施含材料、制作及安装服务养护，不含灯光源养护）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8367.84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100W（护套线，灯杆等配套设施含材料、制作及安装服务养护，不含灯光源养护）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619.84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（五）庭院灯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景观照明灯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LED庭院柱灯 30W（成套灯具、护套线等配套设施含材料、制作及安装服务养护，修复）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14066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965771.56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（六）挑灯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30W（成套灯具、护套线等配套设施含材料、制作及安装服务养护，修复）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9280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558934.4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60W（成套灯具、护套线等配套设施含材料、制作及安装服务养护，修复）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166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9998.18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100W（成套灯具、护套线等配套设施含材料、制作及安装服务养护，修复）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481.84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165W（成套灯具、护套线等配套设施含材料、制作及安装服务养护，修复）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3975.18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（七）高杆灯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高杆照明设施 165W LED灯 12火（护套线，灯杆等配套设施含材料、制作及安装服务养护，不含灯光源养护）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23895.52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高杆照明设施 165W LED灯 18火（护套线，灯杆等配套设施含材料、制作及安装服务养护，不含灯光源养护）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7073.4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高杆照明设施 165W LED灯 24火（护套线，灯杆等配套设施含材料、制作及安装服务养护，不含灯光源养护）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6981.2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（八）主要道路挑灯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165W（护套线，灯杆等配套设施含材料、制作及安装服务养护，不含灯光源养护）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3092.5</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（九）控终端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控制器</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监控终端（护套线等配套设施含材料、制作及安装服务养护）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台</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1118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1050852.92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控制器</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单灯控制模块（含监控终端模块维护，护套线等配套设施含材料、制作及安装服务养护）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台</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33922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893166.26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路灯配电箱养护</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kern w:val="0"/>
                <w:sz w:val="22"/>
                <w:szCs w:val="22"/>
                <w:highlight w:val="none"/>
                <w:u w:val="none"/>
                <w:lang w:val="en-US" w:eastAsia="zh-CN" w:bidi="ar"/>
              </w:rPr>
            </w:pP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kern w:val="0"/>
                <w:sz w:val="22"/>
                <w:szCs w:val="22"/>
                <w:highlight w:val="none"/>
                <w:u w:val="none"/>
                <w:lang w:val="en-US" w:eastAsia="zh-CN" w:bidi="ar"/>
              </w:rPr>
            </w:pP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杆上配电箱</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路灯配电柜出线回路数量9路（含配电箱清洁，校正，破损修复及配电箱基础修复）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台</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1200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744384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二、灯具非节能服务方提供部分（灯具材料计入本次维护项目）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2"/>
                <w:szCs w:val="22"/>
                <w:highlight w:val="none"/>
                <w:u w:val="none"/>
                <w:lang w:val="en-US" w:eastAsia="zh-CN" w:bidi="ar"/>
              </w:rPr>
            </w:pPr>
            <w:r>
              <w:rPr>
                <w:rFonts w:hint="eastAsia" w:ascii="新宋体" w:hAnsi="新宋体" w:eastAsia="新宋体" w:cs="新宋体"/>
                <w:b/>
                <w:bCs/>
                <w:i w:val="0"/>
                <w:color w:val="auto"/>
                <w:kern w:val="0"/>
                <w:sz w:val="22"/>
                <w:szCs w:val="22"/>
                <w:highlight w:val="none"/>
                <w:u w:val="none"/>
                <w:lang w:val="en-US" w:eastAsia="zh-CN" w:bidi="ar"/>
              </w:rPr>
              <w:t>（一）主要道路道路灯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单挑LED道路灯7米及以下 60W（成套灯具、护套线、灯杆等配套设施含材料、制作及安装服务养护，修复）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20355.28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60W（成套灯具、护套线、灯杆等配套设施含材料、制作及安装服务养护，修复）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20972.28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446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134544.82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200W（成套灯具、护套线、灯杆等配套设施含材料、制作及安装服务养护，修复）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1214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568540.48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250W（成套灯具、护套线、灯杆等配套设施含材料、制作及安装服务养护，修复）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19199.52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300W（成套灯具、护套线、灯杆等配套设施含材料、制作及安装服务养护，修复）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78978.24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单挑LED道路灯15米及以下 200W（成套灯具、护套线、灯杆等配套设施含材料、制作及安装服务养护，修复）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324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153239.04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单挑LED道路灯15米及以下 250W（成套灯具、护套线、灯杆等配套设施含材料、制作及安装服务养护，修复）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18290.64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40W+100W（成套灯具、护套线、灯杆等配套设施含材料、制作及安装服务养护，修复）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50001.6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60W+100W（护套线，灯杆等配套设施含材料、制作及安装服务养护，不含灯光源养护）</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158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106969.16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60W+165W（成套灯具、护套线、灯杆等配套设施含材料、制作及安装服务养护，修复）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932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818957.72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200W+200W（成套灯具、护套线、灯杆等配套设施含材料、制作及安装服务养护，修复）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118190.66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40W+200W（成套灯具、护套线、灯杆等配套设施含材料、制作及安装服务养护，修复）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67081.7</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165W+300W（成套灯具、护套线、灯杆等配套设施含材料、制作及安装服务养护，修复）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422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651276.82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30W+250W（成套灯具、护套线、灯杆等配套设施含材料、制作及安装服务养护，修复）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138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146598.78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双挑LED道路灯13米及以下 60W+250W（成套灯具、护套线、灯杆等配套设施含材料、制作及安装服务养护，修复）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100347.28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双挑LED道路灯15米及以下 100W+200W（成套灯具、护套线、灯杆等配套设施含材料、制作及安装服务养护，修复）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53908.8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（二）庭院灯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景观照明灯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LED庭院柱灯 30W（成套灯具、护套线等配套设施含材料、制作及安装服务养护，修复）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348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93361.44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景观照明灯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LED庭院柱灯 40W（成套灯具、护套线等配套设施含材料、制作及安装服务养护，修复）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49800.84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（三）中杆灯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100W LED灯 4火及3火以内（成套灯具、护套线、灯杆等配套设施含材料、制作及安装服务养护，修复）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19212.04</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73</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4火及3火以内（成套灯具、护套线、灯杆等配套设施含材料、制作及安装服务养护，修复）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177606.26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74</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300W LED灯 4火及3火以内（成套灯具、护套线、灯杆等配套设施含材料、制作及安装服务养护，修复）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287118.26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75</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固定式中杆照明设施 165W LED灯 5火及3火以内（成套灯具、护套线、灯杆等配套设施含材料、制作及安装服务养护，修复）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12</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97416.12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（四）主要道路挑灯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2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76</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165W（成套灯具、护套线、灯杆等配套设施含材料、制作及安装服务养护，修复）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19504.8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bCs/>
                <w:i w:val="0"/>
                <w:color w:val="auto"/>
                <w:kern w:val="0"/>
                <w:sz w:val="22"/>
                <w:szCs w:val="22"/>
                <w:highlight w:val="none"/>
                <w:u w:val="none"/>
                <w:lang w:val="en-US" w:eastAsia="zh-CN" w:bidi="ar"/>
              </w:rPr>
              <w:t>（五）小街小巷道路灯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77</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单挑LED道路灯9米及以下 60W（成套灯具、护套线、灯杆等配套设施含材料、制作及安装服务养护，修复）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70</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17476.9</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78</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单挑LED道路灯9米及以下 100W（成套灯具、护套线、灯杆等配套设施含材料、制作及安装服务养护，修复）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994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299859.98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79</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单挑LED道路灯13米及以下 100W（成套灯具、护套线、灯杆等配套设施含材料、制作及安装服务养护，修复）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308</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92914.36</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2"/>
                <w:szCs w:val="22"/>
                <w:highlight w:val="none"/>
                <w:u w:val="none"/>
                <w:lang w:val="en-US" w:eastAsia="zh-CN" w:bidi="ar"/>
              </w:rPr>
            </w:pPr>
            <w:r>
              <w:rPr>
                <w:rFonts w:hint="eastAsia" w:ascii="新宋体" w:hAnsi="新宋体" w:eastAsia="新宋体" w:cs="新宋体"/>
                <w:b/>
                <w:bCs/>
                <w:i w:val="0"/>
                <w:color w:val="auto"/>
                <w:kern w:val="0"/>
                <w:sz w:val="22"/>
                <w:szCs w:val="22"/>
                <w:highlight w:val="none"/>
                <w:u w:val="none"/>
                <w:lang w:val="en-US" w:eastAsia="zh-CN" w:bidi="ar"/>
              </w:rPr>
              <w:t>（六）小街小巷庭院灯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80</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景观照明灯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LED庭院柱灯 30W（成套灯具、护套线、灯杆等配套设施含材料、制作及安装服务养护，修复）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644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172772.32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81</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景观照明灯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LED庭院柱灯 40W（成套灯具、护套线、灯杆等配套设施含材料、制作及安装服务养护，修复）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724</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202560.72</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450" w:hRule="atLeast"/>
        </w:trPr>
        <w:tc>
          <w:tcPr>
            <w:tcW w:w="10059" w:type="dxa"/>
            <w:gridSpan w:val="7"/>
            <w:tcBorders>
              <w:top w:val="single" w:color="000000" w:sz="4" w:space="0"/>
              <w:bottom w:val="nil"/>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2"/>
                <w:szCs w:val="22"/>
                <w:highlight w:val="none"/>
                <w:u w:val="none"/>
                <w:lang w:val="en-US" w:eastAsia="zh-CN" w:bidi="ar"/>
              </w:rPr>
            </w:pPr>
            <w:r>
              <w:rPr>
                <w:rFonts w:hint="eastAsia" w:ascii="新宋体" w:hAnsi="新宋体" w:eastAsia="新宋体" w:cs="新宋体"/>
                <w:b/>
                <w:bCs/>
                <w:i w:val="0"/>
                <w:color w:val="auto"/>
                <w:kern w:val="0"/>
                <w:sz w:val="22"/>
                <w:szCs w:val="22"/>
                <w:highlight w:val="none"/>
                <w:u w:val="none"/>
                <w:lang w:val="en-US" w:eastAsia="zh-CN" w:bidi="ar"/>
              </w:rPr>
              <w:t>（七）小街小巷挑灯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82</w:t>
            </w:r>
          </w:p>
        </w:tc>
        <w:tc>
          <w:tcPr>
            <w:tcW w:w="151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30W（成套灯具、护套线、灯杆等配套设施含材料、制作及安装服务养护，修复）</w:t>
            </w:r>
          </w:p>
        </w:tc>
        <w:tc>
          <w:tcPr>
            <w:tcW w:w="872"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306</w:t>
            </w:r>
          </w:p>
        </w:tc>
        <w:tc>
          <w:tcPr>
            <w:tcW w:w="1275"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52876.8</w:t>
            </w:r>
          </w:p>
        </w:tc>
        <w:tc>
          <w:tcPr>
            <w:tcW w:w="881" w:type="dxa"/>
            <w:tcBorders>
              <w:top w:val="single" w:color="000000" w:sz="4" w:space="0"/>
              <w:left w:val="single" w:color="000000" w:sz="4" w:space="0"/>
              <w:bottom w:val="nil"/>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83</w:t>
            </w:r>
          </w:p>
        </w:tc>
        <w:tc>
          <w:tcPr>
            <w:tcW w:w="1511"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常规照明灯</w:t>
            </w:r>
          </w:p>
        </w:tc>
        <w:tc>
          <w:tcPr>
            <w:tcW w:w="408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架空线路1.2m以内悬挑LED灯 60W（成套灯具、护套线、灯杆等配套设施含材料、制作及安装服务养护，修复）</w:t>
            </w:r>
          </w:p>
        </w:tc>
        <w:tc>
          <w:tcPr>
            <w:tcW w:w="87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83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400</w:t>
            </w:r>
          </w:p>
        </w:tc>
        <w:tc>
          <w:tcPr>
            <w:tcW w:w="127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84720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10059" w:type="dxa"/>
            <w:gridSpan w:val="7"/>
            <w:tcBorders>
              <w:top w:val="single" w:color="000000" w:sz="4" w:space="0"/>
              <w:bottom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b/>
                <w:bCs/>
                <w:i w:val="0"/>
                <w:color w:val="auto"/>
                <w:kern w:val="0"/>
                <w:sz w:val="22"/>
                <w:szCs w:val="22"/>
                <w:highlight w:val="none"/>
                <w:u w:val="none"/>
                <w:lang w:val="en-US" w:eastAsia="zh-CN" w:bidi="ar"/>
              </w:rPr>
            </w:pPr>
            <w:r>
              <w:rPr>
                <w:rFonts w:hint="eastAsia" w:ascii="新宋体" w:hAnsi="新宋体" w:eastAsia="新宋体" w:cs="新宋体"/>
                <w:b/>
                <w:bCs/>
                <w:i w:val="0"/>
                <w:color w:val="auto"/>
                <w:kern w:val="0"/>
                <w:sz w:val="22"/>
                <w:szCs w:val="22"/>
                <w:highlight w:val="none"/>
                <w:u w:val="none"/>
                <w:lang w:val="en-US" w:eastAsia="zh-CN" w:bidi="ar"/>
              </w:rPr>
              <w:t>三、技术措施项目子分部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84</w:t>
            </w:r>
          </w:p>
        </w:tc>
        <w:tc>
          <w:tcPr>
            <w:tcW w:w="1511"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路灯值班抢修</w:t>
            </w:r>
          </w:p>
        </w:tc>
        <w:tc>
          <w:tcPr>
            <w:tcW w:w="408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路灯监控室24小时值班、监控室硬件维护；路灯应急抢修、抗台抢险等措施费用</w:t>
            </w:r>
          </w:p>
        </w:tc>
        <w:tc>
          <w:tcPr>
            <w:tcW w:w="87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项</w:t>
            </w:r>
          </w:p>
        </w:tc>
        <w:tc>
          <w:tcPr>
            <w:tcW w:w="83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27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87142.18</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85</w:t>
            </w:r>
          </w:p>
        </w:tc>
        <w:tc>
          <w:tcPr>
            <w:tcW w:w="1511"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路灯设施被偷盗补装费</w:t>
            </w:r>
          </w:p>
        </w:tc>
        <w:tc>
          <w:tcPr>
            <w:tcW w:w="408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路灯设施被偷盗补装费</w:t>
            </w:r>
          </w:p>
        </w:tc>
        <w:tc>
          <w:tcPr>
            <w:tcW w:w="87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项</w:t>
            </w:r>
          </w:p>
        </w:tc>
        <w:tc>
          <w:tcPr>
            <w:tcW w:w="83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27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400000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810" w:hRule="atLeast"/>
        </w:trPr>
        <w:tc>
          <w:tcPr>
            <w:tcW w:w="600" w:type="dxa"/>
            <w:tcBorders>
              <w:top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86</w:t>
            </w:r>
          </w:p>
        </w:tc>
        <w:tc>
          <w:tcPr>
            <w:tcW w:w="1511"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巡查、拆除</w:t>
            </w:r>
          </w:p>
        </w:tc>
        <w:tc>
          <w:tcPr>
            <w:tcW w:w="408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电缆、架空线、护管巡查；灯杆悬挂物、外接电源拆除等措施费用</w:t>
            </w:r>
          </w:p>
        </w:tc>
        <w:tc>
          <w:tcPr>
            <w:tcW w:w="872"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项</w:t>
            </w:r>
          </w:p>
        </w:tc>
        <w:tc>
          <w:tcPr>
            <w:tcW w:w="83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275"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40000</w:t>
            </w:r>
          </w:p>
        </w:tc>
        <w:tc>
          <w:tcPr>
            <w:tcW w:w="881" w:type="dxa"/>
            <w:tcBorders>
              <w:top w:val="single" w:color="000000" w:sz="4" w:space="0"/>
              <w:left w:val="single" w:color="000000" w:sz="4" w:space="0"/>
              <w:bottom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10" w:hRule="atLeast"/>
        </w:trPr>
        <w:tc>
          <w:tcPr>
            <w:tcW w:w="600" w:type="dxa"/>
            <w:tcBorders>
              <w:top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87</w:t>
            </w:r>
          </w:p>
        </w:tc>
        <w:tc>
          <w:tcPr>
            <w:tcW w:w="1511" w:type="dxa"/>
            <w:tcBorders>
              <w:top w:val="single" w:color="000000" w:sz="4" w:space="0"/>
              <w:left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其他所有措施费</w:t>
            </w:r>
          </w:p>
        </w:tc>
        <w:tc>
          <w:tcPr>
            <w:tcW w:w="4085" w:type="dxa"/>
            <w:tcBorders>
              <w:top w:val="single" w:color="000000" w:sz="4" w:space="0"/>
              <w:left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其他所有措施费</w:t>
            </w:r>
          </w:p>
        </w:tc>
        <w:tc>
          <w:tcPr>
            <w:tcW w:w="872" w:type="dxa"/>
            <w:tcBorders>
              <w:top w:val="single" w:color="000000" w:sz="4" w:space="0"/>
              <w:left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color w:val="auto"/>
                <w:kern w:val="0"/>
                <w:sz w:val="22"/>
                <w:szCs w:val="22"/>
                <w:highlight w:val="none"/>
                <w:u w:val="none"/>
                <w:lang w:val="en-US" w:eastAsia="zh-CN" w:bidi="ar"/>
              </w:rPr>
              <w:t>项</w:t>
            </w:r>
          </w:p>
        </w:tc>
        <w:tc>
          <w:tcPr>
            <w:tcW w:w="835" w:type="dxa"/>
            <w:tcBorders>
              <w:top w:val="single" w:color="000000" w:sz="4" w:space="0"/>
              <w:left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w:t>
            </w:r>
          </w:p>
        </w:tc>
        <w:tc>
          <w:tcPr>
            <w:tcW w:w="1275" w:type="dxa"/>
            <w:tcBorders>
              <w:top w:val="single" w:color="000000" w:sz="4" w:space="0"/>
              <w:left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1"/>
                <w:szCs w:val="21"/>
                <w:highlight w:val="none"/>
                <w:u w:val="none"/>
                <w:lang w:val="en-US" w:eastAsia="zh-CN" w:bidi="ar"/>
              </w:rPr>
              <w:t>20000</w:t>
            </w:r>
          </w:p>
        </w:tc>
        <w:tc>
          <w:tcPr>
            <w:tcW w:w="881" w:type="dxa"/>
            <w:tcBorders>
              <w:top w:val="single" w:color="000000" w:sz="4" w:space="0"/>
              <w:lef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p>
        </w:tc>
      </w:tr>
    </w:tbl>
    <w:p>
      <w:pPr>
        <w:pStyle w:val="22"/>
        <w:rPr>
          <w:rFonts w:hint="eastAsia"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b/>
          <w:bCs/>
          <w:color w:val="auto"/>
          <w:sz w:val="20"/>
          <w:szCs w:val="20"/>
          <w:highlight w:val="none"/>
          <w:u w:val="single"/>
          <w:lang w:val="en-US" w:eastAsia="zh-CN"/>
        </w:rPr>
        <w:t xml:space="preserve">  注：1、本次项目灯具由节能改造项目中标人提供部分（灯具材料不计入本次维护项目）</w:t>
      </w:r>
    </w:p>
    <w:p>
      <w:pPr>
        <w:pStyle w:val="22"/>
        <w:ind w:left="401" w:leftChars="191" w:firstLine="201" w:firstLineChars="100"/>
        <w:rPr>
          <w:rFonts w:hint="eastAsia"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b/>
          <w:bCs/>
          <w:color w:val="auto"/>
          <w:sz w:val="20"/>
          <w:szCs w:val="20"/>
          <w:highlight w:val="none"/>
          <w:u w:val="single"/>
          <w:lang w:val="en-US" w:eastAsia="zh-CN"/>
        </w:rPr>
        <w:t>2、本次项目单灯控制器（控制器材料由节能改造中标人提供，不计入本次维护项目）</w:t>
      </w:r>
    </w:p>
    <w:p>
      <w:pPr>
        <w:pStyle w:val="22"/>
        <w:ind w:left="401" w:leftChars="191" w:firstLine="201" w:firstLineChars="100"/>
        <w:rPr>
          <w:rFonts w:hint="eastAsia" w:ascii="新宋体" w:hAnsi="新宋体" w:eastAsia="新宋体" w:cs="新宋体"/>
          <w:b/>
          <w:bCs/>
          <w:color w:val="auto"/>
          <w:sz w:val="20"/>
          <w:szCs w:val="20"/>
          <w:highlight w:val="none"/>
          <w:u w:val="single"/>
          <w:lang w:val="en-US" w:eastAsia="zh-CN"/>
        </w:rPr>
      </w:pPr>
      <w:r>
        <w:rPr>
          <w:rFonts w:hint="eastAsia" w:ascii="新宋体" w:hAnsi="新宋体" w:eastAsia="新宋体" w:cs="新宋体"/>
          <w:b/>
          <w:bCs/>
          <w:color w:val="auto"/>
          <w:sz w:val="20"/>
          <w:szCs w:val="20"/>
          <w:highlight w:val="none"/>
          <w:u w:val="single"/>
          <w:lang w:val="en-US" w:eastAsia="zh-CN"/>
        </w:rPr>
        <w:t>3、本次项目灯具非节能改造项目中标人提供部分（灯具材料计入本次维护项目）</w:t>
      </w:r>
    </w:p>
    <w:p>
      <w:pPr>
        <w:pStyle w:val="22"/>
        <w:ind w:left="0" w:leftChars="0" w:firstLine="0" w:firstLineChars="0"/>
        <w:rPr>
          <w:rFonts w:hint="default" w:ascii="新宋体" w:hAnsi="新宋体" w:eastAsia="新宋体" w:cs="新宋体"/>
          <w:b/>
          <w:bCs/>
          <w:color w:val="auto"/>
          <w:sz w:val="20"/>
          <w:szCs w:val="20"/>
          <w:highlight w:val="none"/>
          <w:u w:val="single"/>
          <w:lang w:val="en-US" w:eastAsia="zh-CN"/>
        </w:rPr>
      </w:pPr>
    </w:p>
    <w:p>
      <w:pPr>
        <w:pStyle w:val="22"/>
        <w:keepNext w:val="0"/>
        <w:keepLines w:val="0"/>
        <w:pageBreakBefore w:val="0"/>
        <w:widowControl w:val="0"/>
        <w:numPr>
          <w:ilvl w:val="0"/>
          <w:numId w:val="3"/>
        </w:numPr>
        <w:kinsoku/>
        <w:wordWrap/>
        <w:overflowPunct/>
        <w:topLinePunct w:val="0"/>
        <w:autoSpaceDE/>
        <w:autoSpaceDN/>
        <w:bidi w:val="0"/>
        <w:adjustRightInd/>
        <w:snapToGrid/>
        <w:spacing w:line="460" w:lineRule="exact"/>
        <w:ind w:left="105" w:leftChars="50" w:firstLine="440" w:firstLineChars="200"/>
        <w:textAlignment w:val="auto"/>
        <w:outlineLvl w:val="2"/>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rPr>
        <w:t>路灯设施正常维修养护范围外的维修安装</w:t>
      </w:r>
      <w:r>
        <w:rPr>
          <w:rFonts w:hint="eastAsia" w:ascii="新宋体" w:hAnsi="新宋体" w:eastAsia="新宋体" w:cs="新宋体"/>
          <w:b w:val="0"/>
          <w:bCs w:val="0"/>
          <w:color w:val="auto"/>
          <w:sz w:val="22"/>
          <w:szCs w:val="22"/>
          <w:highlight w:val="none"/>
          <w:lang w:val="en-US" w:eastAsia="zh-CN"/>
        </w:rPr>
        <w:t>清单</w:t>
      </w:r>
    </w:p>
    <w:tbl>
      <w:tblPr>
        <w:tblStyle w:val="52"/>
        <w:tblW w:w="9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67"/>
        <w:gridCol w:w="1660"/>
        <w:gridCol w:w="2919"/>
        <w:gridCol w:w="784"/>
        <w:gridCol w:w="739"/>
        <w:gridCol w:w="15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序号</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项目名称</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项目特征</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计量</w:t>
            </w:r>
            <w:r>
              <w:rPr>
                <w:rFonts w:hint="eastAsia" w:ascii="新宋体" w:hAnsi="新宋体" w:eastAsia="新宋体" w:cs="新宋体"/>
                <w:i w:val="0"/>
                <w:color w:val="auto"/>
                <w:kern w:val="0"/>
                <w:sz w:val="22"/>
                <w:szCs w:val="22"/>
                <w:highlight w:val="none"/>
                <w:u w:val="none"/>
                <w:lang w:val="en-US" w:eastAsia="zh-CN" w:bidi="ar"/>
              </w:rPr>
              <w:br w:type="textWrapping"/>
            </w:r>
            <w:r>
              <w:rPr>
                <w:rFonts w:hint="eastAsia" w:ascii="新宋体" w:hAnsi="新宋体" w:eastAsia="新宋体" w:cs="新宋体"/>
                <w:i w:val="0"/>
                <w:color w:val="auto"/>
                <w:kern w:val="0"/>
                <w:sz w:val="22"/>
                <w:szCs w:val="22"/>
                <w:highlight w:val="none"/>
                <w:u w:val="none"/>
                <w:lang w:val="en-US" w:eastAsia="zh-CN" w:bidi="ar"/>
              </w:rPr>
              <w:t>单位</w:t>
            </w:r>
          </w:p>
        </w:tc>
        <w:tc>
          <w:tcPr>
            <w:tcW w:w="73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工程量</w:t>
            </w:r>
          </w:p>
        </w:tc>
        <w:tc>
          <w:tcPr>
            <w:tcW w:w="154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kern w:val="0"/>
                <w:sz w:val="22"/>
                <w:szCs w:val="22"/>
                <w:highlight w:val="none"/>
                <w:u w:val="none"/>
                <w:lang w:val="en-US" w:eastAsia="zh-CN" w:bidi="ar"/>
              </w:rPr>
            </w:pPr>
            <w:r>
              <w:rPr>
                <w:rFonts w:hint="eastAsia" w:ascii="新宋体" w:hAnsi="新宋体" w:eastAsia="新宋体" w:cs="新宋体"/>
                <w:b/>
                <w:bCs/>
                <w:color w:val="auto"/>
                <w:sz w:val="22"/>
                <w:szCs w:val="22"/>
                <w:highlight w:val="none"/>
              </w:rPr>
              <w:t>合价最高限价（元）</w:t>
            </w:r>
          </w:p>
        </w:tc>
        <w:tc>
          <w:tcPr>
            <w:tcW w:w="1662"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路灯配电箱整体更换（包括箱内电气配件）</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台</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97141</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配电箱箱売更换（包括检修门）</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配电箱维修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新做配电箱基础</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11670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道路灯基础封项（C15砼块400*400*100mm）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庭园灯基础封项（C15砼块300*300*100mm）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11668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中杆灯基础封项（C15砼块500*500*100mm）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新做道路灯基础（规格为1300*1300*1400mm，含钢筋笼）</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50502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新做庭园灯基础（规格为600*600*800mm，含钢筋笼）</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路灯基础维修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新做中杆灯基础（规格为1500*1500*800mm，含钢筋笼）</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36324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灯杆倾斜校直（因不可抗力因素造成）</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路灯设施油漆（包括除锈）</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m2</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229500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灯杆门盖缺失补装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27740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灯杆补撞形变修复（需运至灯具厂加工）</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54400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道路灯灯杆补装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庭院灯灯杆补装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46602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中杆灯灯杆补装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杆</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28250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灯挑安装（含辅材）</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7585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其他灯具补装（不包括电气配件）</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个</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135906.4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19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挑灯拆除（灯具、护套线等配套设施）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8017.8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庭园灯拆除（含灯杆、灯具、护套线等配套设施）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7219.2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道路灯拆除（含灯杆、灯具、护套线等配套设施）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2842.6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中杆灯拆除（含灯杆、灯具、护套线等配套设施）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38155.4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挑灯灯具拆除（含灯杆、灯具、护套线等配套设施）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5339.2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庭园灯具拆除（含灯杆、灯具、护套线等配套设施）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7225.2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道路灯、中杆灯灯具拆除（含灯具、护套线等配套设施）</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盏</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38121</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LED30W光源（含驱动电源）含安装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LED40W光源（含驱动电源）含安装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LED60W光源（含驱动电源）含安装）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29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LED90W光源（含驱动电源）含安装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LED120W光源（含驱动电源）含安装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LED150W光源（含驱动电源）含安装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LED180W光源（含驱动电源）含安装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LED210W灯具（含驱动电源）含安装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LED240W灯具（含驱动电源）含安装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灯具维修</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LED300W灯具（含驱动电源）含安装</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小手孔井井圈边角破损修复</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9728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小手孔井井盖边角破损修复</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9728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小手孔井井圈更换</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23316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39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小手孔井井盖更换</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33992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新做路灯小手孔井</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15541.2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大手孔井井圈边角破损修复</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29140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大手孔井井盖边角破损修复</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项</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8758.2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大手孔井井圈更换</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7776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大手孔井井盖更换</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3893</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手孔井</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新做路灯大手孔井</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11670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人行道花岗岩路面开挖及修复（宽*深=0.4m*0.5m）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96260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人行道地砖路面开挖及修复（宽*深=0.4m*0.5m）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77670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人行道透水砖路面开挖及修复（宽*深=0.4m*0.5m）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62144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49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绿化带开挖及修复（宽*深=0.4m*0.5m）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29160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路面开挖及修复</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砼路面过街开挖及修复（宽*深=0.5m*0.7m）</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87378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埋地敷设1寸厚塑管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埋地敷设1.5寸厚塑管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26500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埋地敷设2寸厚塑管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埋地敷设3寸厚塑管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埋地敷设4寸厚塑管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21060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埋地敷设1寸热镀锌钢管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3532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埋地敷设1.5寸热镀锌钢管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15840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埋地敷设2寸热镀锌钢管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12964</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59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埋地敷设3寸热镀锌钢管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20436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套管</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埋地敷设4寸热镀锌钢管</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13188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敷设电缆VV-3*4（含电缆接头制作）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30400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43125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敷设电缆VV-3*10（含电缆接头制作）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27600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敷设电缆VV-3*16（含电缆接头制作）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39170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敷设电缆VV-3*25（含电缆接头制作）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55100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敷设电缆VV-4*16+1*10（含电缆接头制作）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57890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敷设电缆VV-4*25+1*16（含电缆接头制作）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88950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敷设电缆VV-4*35+1*16（含电缆接头制作）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179955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69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敷设电缆VV-4*50+1*25（含电缆接头制作）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38750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敷设电缆VV-5*4（含电缆接头制作）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44460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193950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敷设电缆VV-5*10（含电缆接头制作）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91250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敷设电缆VV-5*16（含电缆接头制作）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94500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敷设电缆VV-5*25（含电缆接头制作）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敷设电缆VV-5*35（含电缆接头制作）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69125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敷设电缆VV-5*50（含电缆接头制作）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49925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敷设电缆VV-5*70（含电缆接头制作）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40050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78</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电缆</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敷设电缆VV-5*95（含电缆接头制作）</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35285</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79</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架设架空线BLV-10mm2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8340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80</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架设架空线BLV-16mm2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81</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架设架空线BLV-25mm2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10320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82</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架设架空线BLV-35mm2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8418</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83</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架设架空线BV-6mm2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11120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84</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架设架空线BV-10mm2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13776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85</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架设架空线BV-16mm2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5200</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86</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架空线</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架设架空线BV-25mm2</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m</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7812</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0" w:hRule="atLeast"/>
        </w:trPr>
        <w:tc>
          <w:tcPr>
            <w:tcW w:w="56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87</w:t>
            </w:r>
          </w:p>
        </w:tc>
        <w:tc>
          <w:tcPr>
            <w:tcW w:w="1660"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监控终端</w:t>
            </w:r>
          </w:p>
        </w:tc>
        <w:tc>
          <w:tcPr>
            <w:tcW w:w="291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新装监控终端整机(含电流互感器、电压互感器等附带配件、线路)</w:t>
            </w:r>
          </w:p>
        </w:tc>
        <w:tc>
          <w:tcPr>
            <w:tcW w:w="784"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color w:val="auto"/>
                <w:kern w:val="0"/>
                <w:sz w:val="22"/>
                <w:szCs w:val="22"/>
                <w:highlight w:val="none"/>
                <w:u w:val="none"/>
                <w:lang w:val="en-US" w:eastAsia="zh-CN" w:bidi="ar"/>
              </w:rPr>
              <w:t>座</w:t>
            </w:r>
          </w:p>
        </w:tc>
        <w:tc>
          <w:tcPr>
            <w:tcW w:w="739"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1546"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86781.6</w:t>
            </w:r>
          </w:p>
        </w:tc>
        <w:tc>
          <w:tcPr>
            <w:tcW w:w="1662" w:type="dxa"/>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color w:val="auto"/>
                <w:sz w:val="22"/>
                <w:szCs w:val="22"/>
                <w:highlight w:val="none"/>
                <w:u w:val="none"/>
              </w:rPr>
            </w:pPr>
            <w:r>
              <w:rPr>
                <w:rFonts w:hint="eastAsia" w:ascii="新宋体" w:hAnsi="新宋体" w:eastAsia="新宋体" w:cs="新宋体"/>
                <w:b w:val="0"/>
                <w:bCs w:val="0"/>
                <w:color w:val="auto"/>
                <w:sz w:val="22"/>
                <w:szCs w:val="22"/>
                <w:highlight w:val="none"/>
              </w:rPr>
              <w:t>报价含材料、制作及安装服务等</w:t>
            </w:r>
          </w:p>
        </w:tc>
      </w:tr>
      <w:bookmarkEnd w:id="82"/>
      <w:bookmarkEnd w:id="83"/>
      <w:bookmarkEnd w:id="84"/>
    </w:tbl>
    <w:p>
      <w:pPr>
        <w:keepNext w:val="0"/>
        <w:keepLines w:val="0"/>
        <w:pageBreakBefore w:val="0"/>
        <w:widowControl w:val="0"/>
        <w:kinsoku/>
        <w:wordWrap/>
        <w:overflowPunct/>
        <w:topLinePunct w:val="0"/>
        <w:bidi w:val="0"/>
        <w:spacing w:line="460" w:lineRule="exact"/>
        <w:textAlignment w:val="auto"/>
        <w:rPr>
          <w:rFonts w:hint="eastAsia" w:ascii="宋体" w:hAnsi="宋体" w:eastAsia="宋体" w:cs="宋体"/>
          <w:b/>
          <w:color w:val="auto"/>
          <w:sz w:val="22"/>
          <w:highlight w:val="none"/>
        </w:rPr>
      </w:pP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Pr>
        <w:keepNext w:val="0"/>
        <w:keepLines w:val="0"/>
        <w:pageBreakBefore w:val="0"/>
        <w:widowControl w:val="0"/>
        <w:numPr>
          <w:ilvl w:val="0"/>
          <w:numId w:val="10"/>
        </w:numPr>
        <w:kinsoku/>
        <w:wordWrap/>
        <w:overflowPunct/>
        <w:topLinePunct w:val="0"/>
        <w:bidi w:val="0"/>
        <w:spacing w:line="460" w:lineRule="exact"/>
        <w:textAlignment w:val="auto"/>
        <w:rPr>
          <w:rFonts w:hint="eastAsia" w:ascii="宋体" w:hAnsi="宋体" w:eastAsia="宋体" w:cs="宋体"/>
          <w:b/>
          <w:color w:val="auto"/>
          <w:sz w:val="30"/>
          <w:highlight w:val="none"/>
        </w:rPr>
      </w:pPr>
      <w:r>
        <w:rPr>
          <w:rFonts w:hint="eastAsia" w:ascii="宋体" w:hAnsi="宋体" w:eastAsia="宋体" w:cs="宋体"/>
          <w:b/>
          <w:color w:val="auto"/>
          <w:sz w:val="30"/>
          <w:highlight w:val="none"/>
        </w:rPr>
        <w:br w:type="page"/>
      </w:r>
    </w:p>
    <w:p>
      <w:pPr>
        <w:pStyle w:val="4"/>
        <w:bidi w:val="0"/>
        <w:rPr>
          <w:rFonts w:hint="eastAsia" w:ascii="宋体" w:hAnsi="宋体" w:eastAsia="宋体" w:cs="宋体"/>
          <w:color w:val="auto"/>
          <w:highlight w:val="none"/>
        </w:rPr>
      </w:pPr>
      <w:bookmarkStart w:id="85" w:name="_Toc23544"/>
      <w:bookmarkStart w:id="86" w:name="_Toc30323"/>
      <w:r>
        <w:rPr>
          <w:rFonts w:hint="eastAsia" w:ascii="宋体" w:hAnsi="宋体" w:eastAsia="宋体" w:cs="宋体"/>
          <w:color w:val="auto"/>
          <w:highlight w:val="none"/>
        </w:rPr>
        <w:t>第五部分   评标原则及方法</w:t>
      </w:r>
      <w:bookmarkEnd w:id="85"/>
      <w:bookmarkEnd w:id="86"/>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根据《中华人民共和国政府采购法》、《政府采购货物和服务招标投标管理办法》、《中华人民共和国政府采购法实施条例》和《关于进一步规范政府采购活动的若干意见》等相关法规特制定以下评标办法。</w:t>
      </w:r>
    </w:p>
    <w:p>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87" w:name="_Toc20590"/>
      <w:bookmarkStart w:id="88" w:name="_Toc4407"/>
      <w:r>
        <w:rPr>
          <w:rFonts w:hint="eastAsia" w:ascii="宋体" w:hAnsi="宋体" w:eastAsia="宋体" w:cs="宋体"/>
          <w:b/>
          <w:color w:val="auto"/>
          <w:sz w:val="22"/>
          <w:szCs w:val="22"/>
          <w:highlight w:val="none"/>
        </w:rPr>
        <w:t>一、总 则</w:t>
      </w:r>
      <w:bookmarkEnd w:id="87"/>
      <w:bookmarkEnd w:id="88"/>
    </w:p>
    <w:p>
      <w:pPr>
        <w:spacing w:line="460" w:lineRule="exact"/>
        <w:ind w:firstLine="539" w:firstLineChars="245"/>
        <w:rPr>
          <w:rFonts w:hint="eastAsia" w:ascii="宋体" w:hAnsi="宋体" w:eastAsia="宋体" w:cs="宋体"/>
          <w:b/>
          <w:color w:val="auto"/>
          <w:sz w:val="22"/>
          <w:highlight w:val="none"/>
        </w:rPr>
      </w:pPr>
      <w:r>
        <w:rPr>
          <w:rFonts w:hint="eastAsia" w:ascii="宋体" w:hAnsi="宋体" w:eastAsia="宋体" w:cs="宋体"/>
          <w:color w:val="auto"/>
          <w:sz w:val="22"/>
          <w:szCs w:val="22"/>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89" w:name="_Toc23948"/>
      <w:bookmarkStart w:id="90" w:name="_Toc24468"/>
      <w:r>
        <w:rPr>
          <w:rFonts w:hint="eastAsia" w:ascii="宋体" w:hAnsi="宋体" w:eastAsia="宋体" w:cs="宋体"/>
          <w:b/>
          <w:color w:val="auto"/>
          <w:sz w:val="22"/>
          <w:szCs w:val="22"/>
          <w:highlight w:val="none"/>
        </w:rPr>
        <w:t>二、评标组织</w:t>
      </w:r>
      <w:bookmarkEnd w:id="89"/>
      <w:bookmarkEnd w:id="90"/>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评标工作由招标人组建的评标委员会负责，评标全过程由有关部门指导监督。</w:t>
      </w:r>
    </w:p>
    <w:p>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91" w:name="_Toc11679"/>
      <w:bookmarkStart w:id="92" w:name="_Toc15153"/>
      <w:r>
        <w:rPr>
          <w:rFonts w:hint="eastAsia" w:ascii="宋体" w:hAnsi="宋体" w:eastAsia="宋体" w:cs="宋体"/>
          <w:b/>
          <w:color w:val="auto"/>
          <w:sz w:val="22"/>
          <w:szCs w:val="22"/>
          <w:highlight w:val="none"/>
        </w:rPr>
        <w:t>三、评标程序</w:t>
      </w:r>
      <w:bookmarkEnd w:id="91"/>
      <w:bookmarkEnd w:id="92"/>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1、评标委员按照招标文件中规定的评标方法和标准，对投标文件进行商务和技术评估，综合比较与评价</w:t>
      </w:r>
      <w:r>
        <w:rPr>
          <w:rFonts w:hint="eastAsia" w:ascii="宋体" w:hAnsi="宋体" w:eastAsia="宋体" w:cs="宋体"/>
          <w:color w:val="auto"/>
          <w:sz w:val="22"/>
          <w:szCs w:val="22"/>
          <w:highlight w:val="none"/>
        </w:rPr>
        <w:t>，根据综合评审结果，提交评审报告。</w:t>
      </w:r>
    </w:p>
    <w:p>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2、提供相同品牌产品且通过资格审查、符合性审查的不同投标人参加同一合同项下投标的,按一家投标人计算,评审后综合得分最高的同品牌投标人获得中标人推荐资格；综合得分相同的,报价最低一家供应商获得中标人推荐资格；均相同时采取随机抽取方式确认一个投标人获得中标人推荐资格,其他同品牌投标人不作为中标候选人。</w:t>
      </w:r>
    </w:p>
    <w:p>
      <w:pPr>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u w:val="single"/>
        </w:rPr>
        <w:t>非单一产品采购项目，应当根据采购项目技术构成、产品价格比重等合理确定核心产品。多家投标人提供的核心产品品牌相同的，按前款规定处理。</w:t>
      </w:r>
    </w:p>
    <w:p>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93" w:name="_Toc11306"/>
      <w:bookmarkStart w:id="94" w:name="_Toc29263"/>
      <w:r>
        <w:rPr>
          <w:rFonts w:hint="eastAsia" w:ascii="宋体" w:hAnsi="宋体" w:eastAsia="宋体" w:cs="宋体"/>
          <w:b/>
          <w:color w:val="auto"/>
          <w:sz w:val="22"/>
          <w:szCs w:val="22"/>
          <w:highlight w:val="none"/>
        </w:rPr>
        <w:t>四、评标办法</w:t>
      </w:r>
      <w:bookmarkEnd w:id="93"/>
      <w:bookmarkEnd w:id="94"/>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本次采购采用百分制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eastAsia="宋体" w:cs="宋体"/>
          <w:b/>
          <w:color w:val="auto"/>
          <w:sz w:val="22"/>
          <w:szCs w:val="22"/>
          <w:highlight w:val="none"/>
        </w:rPr>
        <w:t>总分设定为100分：技术标</w:t>
      </w:r>
      <w:r>
        <w:rPr>
          <w:rFonts w:hint="eastAsia" w:ascii="宋体" w:hAnsi="宋体" w:cs="宋体"/>
          <w:b/>
          <w:color w:val="auto"/>
          <w:sz w:val="22"/>
          <w:szCs w:val="22"/>
          <w:highlight w:val="none"/>
          <w:lang w:val="en-US" w:eastAsia="zh-CN"/>
        </w:rPr>
        <w:t>8</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8</w:t>
      </w:r>
      <w:r>
        <w:rPr>
          <w:rFonts w:hint="eastAsia" w:ascii="宋体" w:hAnsi="宋体" w:eastAsia="宋体" w:cs="宋体"/>
          <w:b/>
          <w:color w:val="auto"/>
          <w:sz w:val="22"/>
          <w:szCs w:val="22"/>
          <w:highlight w:val="none"/>
        </w:rPr>
        <w:t>0%），商务标（报价）</w:t>
      </w: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0%）。</w:t>
      </w:r>
    </w:p>
    <w:p>
      <w:pPr>
        <w:keepNext w:val="0"/>
        <w:keepLines w:val="0"/>
        <w:pageBreakBefore w:val="0"/>
        <w:widowControl w:val="0"/>
        <w:numPr>
          <w:ilvl w:val="0"/>
          <w:numId w:val="11"/>
        </w:numPr>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95" w:name="_Toc29685"/>
      <w:bookmarkStart w:id="96" w:name="_Toc1535"/>
      <w:r>
        <w:rPr>
          <w:rFonts w:hint="eastAsia" w:ascii="宋体" w:hAnsi="宋体" w:eastAsia="宋体" w:cs="宋体"/>
          <w:b/>
          <w:color w:val="auto"/>
          <w:sz w:val="22"/>
          <w:szCs w:val="22"/>
          <w:highlight w:val="none"/>
        </w:rPr>
        <w:t>评分细则</w:t>
      </w:r>
      <w:bookmarkEnd w:id="95"/>
      <w:bookmarkEnd w:id="96"/>
    </w:p>
    <w:p>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1、技术分的评定：技术标</w:t>
      </w:r>
      <w:r>
        <w:rPr>
          <w:rFonts w:hint="eastAsia" w:ascii="宋体" w:hAnsi="宋体" w:cs="宋体"/>
          <w:b/>
          <w:color w:val="auto"/>
          <w:sz w:val="22"/>
          <w:szCs w:val="22"/>
          <w:highlight w:val="none"/>
          <w:lang w:val="en-US" w:eastAsia="zh-CN"/>
        </w:rPr>
        <w:t>8</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8</w:t>
      </w:r>
      <w:r>
        <w:rPr>
          <w:rFonts w:hint="eastAsia" w:ascii="宋体" w:hAnsi="宋体" w:eastAsia="宋体" w:cs="宋体"/>
          <w:b/>
          <w:color w:val="auto"/>
          <w:sz w:val="22"/>
          <w:szCs w:val="22"/>
          <w:highlight w:val="none"/>
        </w:rPr>
        <w:t>0%）</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各评委成员按下列评分项目进行评判，每人一张评分计算票，并记名。投标文件各项评分内容由评标委员会成员各自评分，如某张票的一个因素项目超过规定的范围，则该张票无效。</w:t>
      </w:r>
      <w:r>
        <w:rPr>
          <w:rFonts w:hint="eastAsia" w:ascii="宋体" w:hAnsi="宋体" w:eastAsia="宋体" w:cs="宋体"/>
          <w:color w:val="auto"/>
          <w:sz w:val="22"/>
          <w:highlight w:val="none"/>
        </w:rPr>
        <w:t>各评标委员会成员对各投标人的各项评分内容评分的算术平均值为各投标人技术分得分</w:t>
      </w:r>
      <w:r>
        <w:rPr>
          <w:rFonts w:hint="eastAsia" w:ascii="宋体" w:hAnsi="宋体" w:eastAsia="宋体" w:cs="宋体"/>
          <w:color w:val="auto"/>
          <w:sz w:val="22"/>
          <w:szCs w:val="22"/>
          <w:highlight w:val="none"/>
        </w:rPr>
        <w:t>（小数点后按四舍五入保留2位）。</w:t>
      </w:r>
    </w:p>
    <w:tbl>
      <w:tblPr>
        <w:tblStyle w:val="52"/>
        <w:tblW w:w="10244" w:type="dxa"/>
        <w:tblInd w:w="-96"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7"/>
        <w:gridCol w:w="1188"/>
        <w:gridCol w:w="815"/>
        <w:gridCol w:w="616"/>
        <w:gridCol w:w="720"/>
        <w:gridCol w:w="6058"/>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2619" w:type="dxa"/>
            <w:gridSpan w:val="3"/>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评分内容</w:t>
            </w:r>
          </w:p>
        </w:tc>
        <w:tc>
          <w:tcPr>
            <w:tcW w:w="720" w:type="dxa"/>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分值</w:t>
            </w:r>
          </w:p>
        </w:tc>
        <w:tc>
          <w:tcPr>
            <w:tcW w:w="6058"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评分标准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2619" w:type="dxa"/>
            <w:gridSpan w:val="3"/>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业绩</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5分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提供201</w:t>
            </w:r>
            <w:r>
              <w:rPr>
                <w:rFonts w:hint="eastAsia" w:ascii="新宋体" w:hAnsi="新宋体" w:eastAsia="新宋体" w:cs="新宋体"/>
                <w:color w:val="auto"/>
                <w:sz w:val="22"/>
                <w:szCs w:val="22"/>
                <w:highlight w:val="none"/>
                <w:lang w:val="en-US" w:eastAsia="zh-CN"/>
              </w:rPr>
              <w:t>8</w:t>
            </w:r>
            <w:r>
              <w:rPr>
                <w:rFonts w:hint="eastAsia" w:ascii="新宋体" w:hAnsi="新宋体" w:eastAsia="新宋体" w:cs="新宋体"/>
                <w:color w:val="auto"/>
                <w:sz w:val="22"/>
                <w:szCs w:val="22"/>
                <w:highlight w:val="none"/>
              </w:rPr>
              <w:t>年1月1日以来路灯设施维护业绩</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每个得1分，</w:t>
            </w:r>
            <w:r>
              <w:rPr>
                <w:rFonts w:hint="eastAsia" w:ascii="新宋体" w:hAnsi="新宋体" w:eastAsia="新宋体" w:cs="新宋体"/>
                <w:color w:val="auto"/>
                <w:sz w:val="22"/>
                <w:szCs w:val="22"/>
                <w:highlight w:val="none"/>
              </w:rPr>
              <w:t>最高</w:t>
            </w: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strike/>
                <w:dstrike w:val="0"/>
                <w:color w:val="auto"/>
                <w:sz w:val="22"/>
                <w:szCs w:val="22"/>
                <w:highlight w:val="none"/>
              </w:rPr>
            </w:pPr>
            <w:r>
              <w:rPr>
                <w:rFonts w:hint="eastAsia" w:ascii="新宋体" w:hAnsi="新宋体" w:eastAsia="新宋体" w:cs="新宋体"/>
                <w:color w:val="auto"/>
                <w:sz w:val="22"/>
                <w:szCs w:val="22"/>
                <w:highlight w:val="none"/>
              </w:rPr>
              <w:t>注：业绩证明文件需提供：（1）合同复印件（加盖单位公章）；（2）已完成项目需提供业主方出具的</w:t>
            </w:r>
            <w:r>
              <w:rPr>
                <w:rFonts w:hint="eastAsia" w:ascii="新宋体" w:hAnsi="新宋体" w:eastAsia="新宋体" w:cs="新宋体"/>
                <w:color w:val="auto"/>
                <w:sz w:val="22"/>
                <w:szCs w:val="22"/>
                <w:highlight w:val="none"/>
                <w:u w:val="single"/>
                <w:lang w:val="en-US" w:eastAsia="zh-CN"/>
              </w:rPr>
              <w:t>履约情况良好的</w:t>
            </w:r>
            <w:r>
              <w:rPr>
                <w:rFonts w:hint="eastAsia" w:ascii="新宋体" w:hAnsi="新宋体" w:eastAsia="新宋体" w:cs="新宋体"/>
                <w:color w:val="auto"/>
                <w:sz w:val="22"/>
                <w:szCs w:val="22"/>
                <w:highlight w:val="none"/>
              </w:rPr>
              <w:t>合同履行评价表，未完成项目需提供业主方开具的该项目</w:t>
            </w:r>
            <w:r>
              <w:rPr>
                <w:rFonts w:hint="eastAsia" w:ascii="新宋体" w:hAnsi="新宋体" w:eastAsia="新宋体" w:cs="新宋体"/>
                <w:color w:val="auto"/>
                <w:sz w:val="22"/>
                <w:szCs w:val="22"/>
                <w:highlight w:val="none"/>
                <w:u w:val="single"/>
                <w:lang w:val="en-US" w:eastAsia="zh-CN"/>
              </w:rPr>
              <w:t>履约情况良好的</w:t>
            </w:r>
            <w:r>
              <w:rPr>
                <w:rFonts w:hint="eastAsia" w:ascii="新宋体" w:hAnsi="新宋体" w:eastAsia="新宋体" w:cs="新宋体"/>
                <w:color w:val="auto"/>
                <w:sz w:val="22"/>
                <w:szCs w:val="22"/>
                <w:highlight w:val="none"/>
              </w:rPr>
              <w:t>证明材料。（以上材料需加盖业主方单位公章）</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
                <w:color w:val="auto"/>
                <w:sz w:val="22"/>
                <w:szCs w:val="22"/>
                <w:highlight w:val="none"/>
              </w:rPr>
              <w:t>本项目的路灯是指功能性照明，提供景观性照明的业绩视为无效。</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2</w:t>
            </w:r>
          </w:p>
        </w:tc>
        <w:tc>
          <w:tcPr>
            <w:tcW w:w="1188" w:type="dxa"/>
            <w:vMerge w:val="restar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项目</w:t>
            </w:r>
            <w:r>
              <w:rPr>
                <w:rFonts w:hint="eastAsia" w:ascii="新宋体" w:hAnsi="新宋体" w:eastAsia="新宋体" w:cs="新宋体"/>
                <w:color w:val="auto"/>
                <w:sz w:val="22"/>
                <w:szCs w:val="22"/>
                <w:highlight w:val="none"/>
                <w:lang w:val="en-US" w:eastAsia="zh-CN"/>
              </w:rPr>
              <w:t>履行</w:t>
            </w:r>
            <w:r>
              <w:rPr>
                <w:rFonts w:hint="eastAsia" w:ascii="新宋体" w:hAnsi="新宋体" w:eastAsia="新宋体" w:cs="新宋体"/>
                <w:color w:val="auto"/>
                <w:sz w:val="22"/>
                <w:szCs w:val="22"/>
                <w:highlight w:val="none"/>
              </w:rPr>
              <w:t>能力</w:t>
            </w: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能力</w:t>
            </w:r>
            <w:r>
              <w:rPr>
                <w:rFonts w:hint="eastAsia" w:ascii="新宋体" w:hAnsi="新宋体" w:eastAsia="新宋体" w:cs="新宋体"/>
                <w:color w:val="auto"/>
                <w:sz w:val="22"/>
                <w:szCs w:val="22"/>
                <w:highlight w:val="none"/>
              </w:rPr>
              <w:t>配置情况</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20分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1、项目负责人具备机电二级及以上注册建造师资格得2分；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2、项目技术负责人具有电气专业中级及以上职称得2分；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3、安全员、施工员各1名得2分，只提供1名不得分；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4、10名持有电工证的电工得2分，每多1名得0.5分，本小项最多5分；</w:t>
            </w:r>
          </w:p>
          <w:p>
            <w:pPr>
              <w:keepNext w:val="0"/>
              <w:keepLines w:val="0"/>
              <w:pageBreakBefore w:val="0"/>
              <w:numPr>
                <w:ilvl w:val="0"/>
                <w:numId w:val="12"/>
              </w:numPr>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持有B2类（或A1、A2）驾驶证的高空作业车专职驾驶员4名参与维修养护服务工作得2分，每多1名得1分，本小项最多6分；</w:t>
            </w:r>
          </w:p>
          <w:p>
            <w:pPr>
              <w:keepNext w:val="0"/>
              <w:keepLines w:val="0"/>
              <w:pageBreakBefore w:val="0"/>
              <w:numPr>
                <w:ilvl w:val="0"/>
                <w:numId w:val="12"/>
              </w:numPr>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持有C1类（及C1类以上）</w:t>
            </w:r>
            <w:r>
              <w:rPr>
                <w:rFonts w:hint="eastAsia" w:ascii="新宋体" w:hAnsi="新宋体" w:eastAsia="新宋体" w:cs="新宋体"/>
                <w:color w:val="auto"/>
                <w:sz w:val="22"/>
                <w:szCs w:val="22"/>
                <w:highlight w:val="none"/>
              </w:rPr>
              <w:t>四轮小货车</w:t>
            </w:r>
            <w:r>
              <w:rPr>
                <w:rFonts w:hint="eastAsia" w:ascii="新宋体" w:hAnsi="新宋体" w:eastAsia="新宋体" w:cs="新宋体"/>
                <w:color w:val="auto"/>
                <w:sz w:val="22"/>
                <w:szCs w:val="22"/>
                <w:highlight w:val="none"/>
                <w:lang w:eastAsia="zh-CN"/>
              </w:rPr>
              <w:t>专职驾驶员</w:t>
            </w:r>
            <w:r>
              <w:rPr>
                <w:rFonts w:hint="eastAsia" w:ascii="新宋体" w:hAnsi="新宋体" w:eastAsia="新宋体" w:cs="新宋体"/>
                <w:color w:val="auto"/>
                <w:sz w:val="22"/>
                <w:szCs w:val="22"/>
                <w:highlight w:val="none"/>
                <w:lang w:val="en-US" w:eastAsia="zh-CN"/>
              </w:rPr>
              <w:t>3名得1分，每多1名得0.5分，本小项最多3分；</w:t>
            </w:r>
          </w:p>
          <w:p>
            <w:pPr>
              <w:keepNext w:val="0"/>
              <w:keepLines w:val="0"/>
              <w:pageBreakBefore w:val="0"/>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7、本项目最多20分。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需提供人员身份证、驾驶证、资格证书扫描件及截止投标前在</w:t>
            </w:r>
            <w:r>
              <w:rPr>
                <w:rFonts w:hint="eastAsia" w:ascii="新宋体" w:hAnsi="新宋体" w:eastAsia="新宋体" w:cs="新宋体"/>
                <w:color w:val="auto"/>
                <w:sz w:val="22"/>
                <w:szCs w:val="22"/>
                <w:highlight w:val="none"/>
              </w:rPr>
              <w:t>投标人的社保缴费证明</w:t>
            </w:r>
            <w:r>
              <w:rPr>
                <w:rFonts w:hint="eastAsia" w:ascii="新宋体" w:hAnsi="新宋体" w:eastAsia="新宋体" w:cs="新宋体"/>
                <w:color w:val="auto"/>
                <w:sz w:val="22"/>
                <w:szCs w:val="22"/>
                <w:highlight w:val="none"/>
                <w:lang w:val="en-US" w:eastAsia="zh-CN"/>
              </w:rPr>
              <w:t>。（以上人员不得兼任，否则该人员不得分）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8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车辆配备情况</w:t>
            </w:r>
          </w:p>
        </w:tc>
        <w:tc>
          <w:tcPr>
            <w:tcW w:w="616" w:type="dxa"/>
            <w:vMerge w:val="restar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高空作业车</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9分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12米以上带操作斗的高空作业车</w:t>
            </w:r>
            <w:r>
              <w:rPr>
                <w:rFonts w:hint="eastAsia" w:ascii="新宋体" w:hAnsi="新宋体" w:eastAsia="新宋体" w:cs="新宋体"/>
                <w:color w:val="auto"/>
                <w:sz w:val="22"/>
                <w:szCs w:val="22"/>
                <w:highlight w:val="none"/>
                <w:lang w:val="en-US" w:eastAsia="zh-CN"/>
              </w:rPr>
              <w:t>（自有或租赁）3辆得 6 分，</w:t>
            </w:r>
            <w:r>
              <w:rPr>
                <w:rFonts w:hint="eastAsia" w:ascii="新宋体" w:hAnsi="新宋体" w:eastAsia="新宋体" w:cs="新宋体"/>
                <w:color w:val="auto"/>
                <w:sz w:val="22"/>
                <w:szCs w:val="22"/>
                <w:highlight w:val="none"/>
              </w:rPr>
              <w:t>每增加1辆车得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最多增加2分。</w:t>
            </w:r>
            <w:r>
              <w:rPr>
                <w:rFonts w:hint="eastAsia" w:ascii="新宋体" w:hAnsi="新宋体" w:eastAsia="新宋体" w:cs="新宋体"/>
                <w:color w:val="auto"/>
                <w:sz w:val="22"/>
                <w:szCs w:val="22"/>
                <w:highlight w:val="none"/>
                <w:u w:val="none"/>
                <w:lang w:val="en-US" w:eastAsia="zh-CN"/>
              </w:rPr>
              <w:t>自有车辆占投标人提供的本项总车数的50%以上加1分</w:t>
            </w:r>
            <w:r>
              <w:rPr>
                <w:rFonts w:hint="eastAsia" w:ascii="新宋体" w:hAnsi="新宋体" w:eastAsia="新宋体" w:cs="新宋体"/>
                <w:color w:val="auto"/>
                <w:sz w:val="22"/>
                <w:szCs w:val="22"/>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本项目最多9分。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自有车辆</w:t>
            </w:r>
            <w:r>
              <w:rPr>
                <w:rFonts w:hint="eastAsia" w:ascii="新宋体" w:hAnsi="新宋体" w:eastAsia="新宋体" w:cs="新宋体"/>
                <w:color w:val="auto"/>
                <w:sz w:val="22"/>
                <w:szCs w:val="22"/>
                <w:highlight w:val="none"/>
              </w:rPr>
              <w:t>提供车辆行驶证扫描件、机动车登记证书</w:t>
            </w:r>
            <w:r>
              <w:rPr>
                <w:rFonts w:hint="eastAsia" w:ascii="新宋体" w:hAnsi="新宋体" w:eastAsia="新宋体" w:cs="新宋体"/>
                <w:color w:val="auto"/>
                <w:sz w:val="22"/>
                <w:szCs w:val="22"/>
                <w:highlight w:val="none"/>
                <w:lang w:val="en-US" w:eastAsia="zh-CN"/>
              </w:rPr>
              <w:t>复印件</w:t>
            </w:r>
            <w:r>
              <w:rPr>
                <w:rFonts w:hint="eastAsia" w:ascii="新宋体" w:hAnsi="新宋体" w:eastAsia="新宋体" w:cs="新宋体"/>
                <w:color w:val="auto"/>
                <w:sz w:val="22"/>
                <w:szCs w:val="22"/>
                <w:highlight w:val="none"/>
              </w:rPr>
              <w:t>及车辆最大作业高度证明材料</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租赁车辆可承诺中标后1个月内提供车辆</w:t>
            </w:r>
            <w:r>
              <w:rPr>
                <w:rFonts w:hint="eastAsia" w:ascii="新宋体" w:hAnsi="新宋体" w:eastAsia="新宋体" w:cs="新宋体"/>
                <w:color w:val="auto"/>
                <w:sz w:val="22"/>
                <w:szCs w:val="22"/>
                <w:highlight w:val="none"/>
              </w:rPr>
              <w:t>，不提供或不齐全不得分。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81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p>
        </w:tc>
        <w:tc>
          <w:tcPr>
            <w:tcW w:w="616" w:type="dxa"/>
            <w:vMerge w:val="continue"/>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9分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u w:val="none"/>
                <w:lang w:val="en-US" w:eastAsia="zh-CN"/>
              </w:rPr>
            </w:pPr>
            <w:r>
              <w:rPr>
                <w:rFonts w:hint="eastAsia" w:ascii="新宋体" w:hAnsi="新宋体" w:eastAsia="新宋体" w:cs="新宋体"/>
                <w:color w:val="auto"/>
                <w:sz w:val="22"/>
                <w:szCs w:val="22"/>
                <w:highlight w:val="none"/>
                <w:u w:val="none"/>
              </w:rPr>
              <w:t>20米及以上高空作业车</w:t>
            </w:r>
            <w:r>
              <w:rPr>
                <w:rFonts w:hint="eastAsia" w:ascii="新宋体" w:hAnsi="新宋体" w:eastAsia="新宋体" w:cs="新宋体"/>
                <w:color w:val="auto"/>
                <w:sz w:val="22"/>
                <w:szCs w:val="22"/>
                <w:highlight w:val="none"/>
                <w:u w:val="none"/>
                <w:lang w:val="en-US" w:eastAsia="zh-CN"/>
              </w:rPr>
              <w:t>（自有或租赁）1</w:t>
            </w:r>
            <w:r>
              <w:rPr>
                <w:rFonts w:hint="eastAsia" w:ascii="新宋体" w:hAnsi="新宋体" w:eastAsia="新宋体" w:cs="新宋体"/>
                <w:color w:val="auto"/>
                <w:sz w:val="22"/>
                <w:szCs w:val="22"/>
                <w:highlight w:val="none"/>
                <w:u w:val="none"/>
              </w:rPr>
              <w:t>辆</w:t>
            </w:r>
            <w:r>
              <w:rPr>
                <w:rFonts w:hint="eastAsia" w:ascii="新宋体" w:hAnsi="新宋体" w:eastAsia="新宋体" w:cs="新宋体"/>
                <w:color w:val="auto"/>
                <w:sz w:val="22"/>
                <w:szCs w:val="22"/>
                <w:highlight w:val="none"/>
                <w:u w:val="none"/>
                <w:lang w:val="en-US" w:eastAsia="zh-CN"/>
              </w:rPr>
              <w:t>得 4分,</w:t>
            </w:r>
            <w:r>
              <w:rPr>
                <w:rFonts w:hint="eastAsia" w:ascii="新宋体" w:hAnsi="新宋体" w:eastAsia="新宋体" w:cs="新宋体"/>
                <w:color w:val="auto"/>
                <w:sz w:val="22"/>
                <w:szCs w:val="22"/>
                <w:highlight w:val="none"/>
                <w:u w:val="none"/>
              </w:rPr>
              <w:t>每增加1辆车得</w:t>
            </w:r>
            <w:r>
              <w:rPr>
                <w:rFonts w:hint="eastAsia" w:ascii="新宋体" w:hAnsi="新宋体" w:eastAsia="新宋体" w:cs="新宋体"/>
                <w:color w:val="auto"/>
                <w:sz w:val="22"/>
                <w:szCs w:val="22"/>
                <w:highlight w:val="none"/>
                <w:u w:val="none"/>
                <w:lang w:val="en-US" w:eastAsia="zh-CN"/>
              </w:rPr>
              <w:t>2</w:t>
            </w:r>
            <w:r>
              <w:rPr>
                <w:rFonts w:hint="eastAsia" w:ascii="新宋体" w:hAnsi="新宋体" w:eastAsia="新宋体" w:cs="新宋体"/>
                <w:color w:val="auto"/>
                <w:sz w:val="22"/>
                <w:szCs w:val="22"/>
                <w:highlight w:val="none"/>
                <w:u w:val="none"/>
              </w:rPr>
              <w:t>分，</w:t>
            </w:r>
            <w:r>
              <w:rPr>
                <w:rFonts w:hint="eastAsia" w:ascii="新宋体" w:hAnsi="新宋体" w:eastAsia="新宋体" w:cs="新宋体"/>
                <w:color w:val="auto"/>
                <w:sz w:val="22"/>
                <w:szCs w:val="22"/>
                <w:highlight w:val="none"/>
                <w:u w:val="none"/>
                <w:lang w:val="en-US" w:eastAsia="zh-CN"/>
              </w:rPr>
              <w:t>最多增加4分。自有车辆占投标人提供的本项总车数的50%以上加1分。</w:t>
            </w:r>
          </w:p>
          <w:p>
            <w:pPr>
              <w:pStyle w:val="2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本项目最多9分。</w:t>
            </w:r>
          </w:p>
          <w:p>
            <w:pPr>
              <w:pStyle w:val="2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自有车辆</w:t>
            </w:r>
            <w:r>
              <w:rPr>
                <w:rFonts w:hint="eastAsia" w:ascii="新宋体" w:hAnsi="新宋体" w:eastAsia="新宋体" w:cs="新宋体"/>
                <w:color w:val="auto"/>
                <w:sz w:val="22"/>
                <w:szCs w:val="22"/>
                <w:highlight w:val="none"/>
              </w:rPr>
              <w:t>提供车辆行驶证扫描件、机动车登记证书</w:t>
            </w:r>
            <w:r>
              <w:rPr>
                <w:rFonts w:hint="eastAsia" w:ascii="新宋体" w:hAnsi="新宋体" w:eastAsia="新宋体" w:cs="新宋体"/>
                <w:color w:val="auto"/>
                <w:sz w:val="22"/>
                <w:szCs w:val="22"/>
                <w:highlight w:val="none"/>
                <w:lang w:val="en-US" w:eastAsia="zh-CN"/>
              </w:rPr>
              <w:t>复印件</w:t>
            </w:r>
            <w:r>
              <w:rPr>
                <w:rFonts w:hint="eastAsia" w:ascii="新宋体" w:hAnsi="新宋体" w:eastAsia="新宋体" w:cs="新宋体"/>
                <w:color w:val="auto"/>
                <w:sz w:val="22"/>
                <w:szCs w:val="22"/>
                <w:highlight w:val="none"/>
              </w:rPr>
              <w:t>及车辆最大作业高度证明材料</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租赁车辆可承诺中标后1个月内提供车辆</w:t>
            </w:r>
            <w:r>
              <w:rPr>
                <w:rFonts w:hint="eastAsia" w:ascii="新宋体" w:hAnsi="新宋体" w:eastAsia="新宋体" w:cs="新宋体"/>
                <w:color w:val="auto"/>
                <w:sz w:val="22"/>
                <w:szCs w:val="22"/>
                <w:highlight w:val="none"/>
              </w:rPr>
              <w:t>，不提供或不齐全不得分。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81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p>
        </w:tc>
        <w:tc>
          <w:tcPr>
            <w:tcW w:w="616" w:type="dxa"/>
            <w:vMerge w:val="restar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四轮小货车</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用于背街小巷路灯设施维修的四轮小货车</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自有或租赁</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辆</w:t>
            </w:r>
            <w:r>
              <w:rPr>
                <w:rFonts w:hint="eastAsia" w:ascii="新宋体" w:hAnsi="新宋体" w:eastAsia="新宋体" w:cs="新宋体"/>
                <w:color w:val="auto"/>
                <w:sz w:val="22"/>
                <w:szCs w:val="22"/>
                <w:highlight w:val="none"/>
                <w:lang w:val="en-US" w:eastAsia="zh-CN"/>
              </w:rPr>
              <w:t>得  1 分，</w:t>
            </w:r>
            <w:r>
              <w:rPr>
                <w:rFonts w:hint="eastAsia" w:ascii="新宋体" w:hAnsi="新宋体" w:eastAsia="新宋体" w:cs="新宋体"/>
                <w:color w:val="auto"/>
                <w:sz w:val="22"/>
                <w:szCs w:val="22"/>
                <w:highlight w:val="none"/>
              </w:rPr>
              <w:t>每增加1辆车得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最多增加2分。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lang w:val="en-US"/>
              </w:rPr>
            </w:pPr>
            <w:r>
              <w:rPr>
                <w:rFonts w:hint="eastAsia" w:ascii="新宋体" w:hAnsi="新宋体" w:eastAsia="新宋体" w:cs="新宋体"/>
                <w:color w:val="auto"/>
                <w:sz w:val="22"/>
                <w:szCs w:val="22"/>
                <w:highlight w:val="none"/>
                <w:lang w:val="en-US" w:eastAsia="zh-CN"/>
              </w:rPr>
              <w:t>本项目最多3 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ascii="新宋体" w:hAnsi="新宋体" w:eastAsia="新宋体" w:cs="新宋体"/>
                <w:color w:val="auto"/>
                <w:sz w:val="22"/>
                <w:szCs w:val="22"/>
                <w:highlight w:val="none"/>
                <w:lang w:val="en-US" w:eastAsia="zh-CN"/>
              </w:rPr>
              <w:t>自有车辆</w:t>
            </w:r>
            <w:r>
              <w:rPr>
                <w:rFonts w:hint="eastAsia" w:ascii="新宋体" w:hAnsi="新宋体" w:eastAsia="新宋体" w:cs="新宋体"/>
                <w:color w:val="auto"/>
                <w:sz w:val="22"/>
                <w:szCs w:val="22"/>
                <w:highlight w:val="none"/>
              </w:rPr>
              <w:t>提供车辆行驶证扫描件、机动车登记证书</w:t>
            </w:r>
            <w:r>
              <w:rPr>
                <w:rFonts w:hint="eastAsia" w:ascii="新宋体" w:hAnsi="新宋体" w:eastAsia="新宋体" w:cs="新宋体"/>
                <w:color w:val="auto"/>
                <w:sz w:val="22"/>
                <w:szCs w:val="22"/>
                <w:highlight w:val="none"/>
                <w:lang w:val="en-US" w:eastAsia="zh-CN"/>
              </w:rPr>
              <w:t>复印件</w:t>
            </w:r>
            <w:r>
              <w:rPr>
                <w:rFonts w:hint="eastAsia" w:ascii="新宋体" w:hAnsi="新宋体" w:eastAsia="新宋体" w:cs="新宋体"/>
                <w:color w:val="auto"/>
                <w:sz w:val="22"/>
                <w:szCs w:val="22"/>
                <w:highlight w:val="none"/>
              </w:rPr>
              <w:t>及车辆最大作业高度证明材料</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租赁车辆可承诺中标后1个月内提供车辆</w:t>
            </w:r>
            <w:r>
              <w:rPr>
                <w:rFonts w:hint="eastAsia" w:ascii="新宋体" w:hAnsi="新宋体" w:eastAsia="新宋体" w:cs="新宋体"/>
                <w:color w:val="auto"/>
                <w:sz w:val="22"/>
                <w:szCs w:val="22"/>
                <w:highlight w:val="none"/>
              </w:rPr>
              <w:t>，不提供或不齐全不得分。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8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p>
        </w:tc>
        <w:tc>
          <w:tcPr>
            <w:tcW w:w="616" w:type="dxa"/>
            <w:vMerge w:val="continue"/>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用于巡查、协调的小四轮</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自有或租赁</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辆</w:t>
            </w:r>
            <w:r>
              <w:rPr>
                <w:rFonts w:hint="eastAsia" w:ascii="新宋体" w:hAnsi="新宋体" w:eastAsia="新宋体" w:cs="新宋体"/>
                <w:color w:val="auto"/>
                <w:sz w:val="22"/>
                <w:szCs w:val="22"/>
                <w:highlight w:val="none"/>
                <w:lang w:val="en-US" w:eastAsia="zh-CN"/>
              </w:rPr>
              <w:t>得  1 分，</w:t>
            </w:r>
            <w:r>
              <w:rPr>
                <w:rFonts w:hint="eastAsia" w:ascii="新宋体" w:hAnsi="新宋体" w:eastAsia="新宋体" w:cs="新宋体"/>
                <w:color w:val="auto"/>
                <w:sz w:val="22"/>
                <w:szCs w:val="22"/>
                <w:highlight w:val="none"/>
              </w:rPr>
              <w:t>每增加1辆车得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最多增加2 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本项目最多3分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自有车辆</w:t>
            </w:r>
            <w:r>
              <w:rPr>
                <w:rFonts w:hint="eastAsia" w:ascii="新宋体" w:hAnsi="新宋体" w:eastAsia="新宋体" w:cs="新宋体"/>
                <w:color w:val="auto"/>
                <w:sz w:val="22"/>
                <w:szCs w:val="22"/>
                <w:highlight w:val="none"/>
              </w:rPr>
              <w:t>提供车辆行驶证扫描件、机动车登记证书</w:t>
            </w:r>
            <w:r>
              <w:rPr>
                <w:rFonts w:hint="eastAsia" w:ascii="新宋体" w:hAnsi="新宋体" w:eastAsia="新宋体" w:cs="新宋体"/>
                <w:color w:val="auto"/>
                <w:sz w:val="22"/>
                <w:szCs w:val="22"/>
                <w:highlight w:val="none"/>
                <w:lang w:val="en-US" w:eastAsia="zh-CN"/>
              </w:rPr>
              <w:t>复印件</w:t>
            </w:r>
            <w:r>
              <w:rPr>
                <w:rFonts w:hint="eastAsia" w:ascii="新宋体" w:hAnsi="新宋体" w:eastAsia="新宋体" w:cs="新宋体"/>
                <w:color w:val="auto"/>
                <w:sz w:val="22"/>
                <w:szCs w:val="22"/>
                <w:highlight w:val="none"/>
              </w:rPr>
              <w:t>及车辆最大作业高度证明材料</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租赁车辆可承诺中标后1个月内提供车辆</w:t>
            </w:r>
            <w:r>
              <w:rPr>
                <w:rFonts w:hint="eastAsia" w:ascii="新宋体" w:hAnsi="新宋体" w:eastAsia="新宋体" w:cs="新宋体"/>
                <w:color w:val="auto"/>
                <w:sz w:val="22"/>
                <w:szCs w:val="22"/>
                <w:highlight w:val="none"/>
              </w:rPr>
              <w:t>，不提供或不齐全不得分。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设备、工具</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5分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接地电阻测试仪1套、照度表1套、摇表（兆欧表）1套，以上3</w:t>
            </w:r>
            <w:r>
              <w:rPr>
                <w:rFonts w:hint="eastAsia" w:ascii="新宋体" w:hAnsi="新宋体" w:eastAsia="新宋体" w:cs="新宋体"/>
                <w:color w:val="auto"/>
                <w:sz w:val="22"/>
                <w:szCs w:val="22"/>
                <w:highlight w:val="none"/>
                <w:lang w:val="en-US" w:eastAsia="zh-CN"/>
              </w:rPr>
              <w:t>种</w:t>
            </w:r>
            <w:r>
              <w:rPr>
                <w:rFonts w:hint="eastAsia" w:ascii="新宋体" w:hAnsi="新宋体" w:eastAsia="新宋体" w:cs="新宋体"/>
                <w:color w:val="auto"/>
                <w:sz w:val="22"/>
                <w:szCs w:val="22"/>
                <w:highlight w:val="none"/>
              </w:rPr>
              <w:t>仪器需提供购置发票，否则视为未提供，每提供一</w:t>
            </w:r>
            <w:r>
              <w:rPr>
                <w:rFonts w:hint="eastAsia" w:ascii="新宋体" w:hAnsi="新宋体" w:eastAsia="新宋体" w:cs="新宋体"/>
                <w:color w:val="auto"/>
                <w:sz w:val="22"/>
                <w:szCs w:val="22"/>
                <w:highlight w:val="none"/>
                <w:lang w:val="en-US" w:eastAsia="zh-CN"/>
              </w:rPr>
              <w:t>种</w:t>
            </w:r>
            <w:r>
              <w:rPr>
                <w:rFonts w:hint="eastAsia" w:ascii="新宋体" w:hAnsi="新宋体" w:eastAsia="新宋体" w:cs="新宋体"/>
                <w:color w:val="auto"/>
                <w:sz w:val="22"/>
                <w:szCs w:val="22"/>
                <w:highlight w:val="none"/>
              </w:rPr>
              <w:t>仪器得1分。</w:t>
            </w:r>
          </w:p>
          <w:p>
            <w:pPr>
              <w:keepNext w:val="0"/>
              <w:keepLines w:val="0"/>
              <w:pageBreakBefore w:val="0"/>
              <w:numPr>
                <w:ilvl w:val="0"/>
                <w:numId w:val="0"/>
              </w:numPr>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路灯维修工具（钳形表、钢丝钳、螺丝刀、测电笔、内六角扳手、内三角扳手、活扳手、电工刀等）若干套，以图片依据，</w:t>
            </w:r>
            <w:r>
              <w:rPr>
                <w:rFonts w:hint="eastAsia" w:ascii="新宋体" w:hAnsi="新宋体" w:eastAsia="新宋体" w:cs="新宋体"/>
                <w:color w:val="auto"/>
                <w:sz w:val="22"/>
                <w:szCs w:val="22"/>
                <w:highlight w:val="none"/>
                <w:lang w:val="en-US" w:eastAsia="zh-CN"/>
              </w:rPr>
              <w:t>比较打分。（0-2分）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3</w:t>
            </w:r>
          </w:p>
        </w:tc>
        <w:tc>
          <w:tcPr>
            <w:tcW w:w="1188" w:type="dxa"/>
            <w:vMerge w:val="restar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施工组织方案</w:t>
            </w: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日</w:t>
            </w:r>
            <w:r>
              <w:rPr>
                <w:rFonts w:hint="eastAsia" w:ascii="新宋体" w:hAnsi="新宋体" w:eastAsia="新宋体" w:cs="新宋体"/>
                <w:color w:val="auto"/>
                <w:sz w:val="22"/>
                <w:szCs w:val="22"/>
                <w:highlight w:val="none"/>
              </w:rPr>
              <w:t>常路灯维护组织方案</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结合温州路灯实际，供应商根据自身人员和机具情况、养护组织及作业安排等，制定维护组织方案。根据投标人维护组织方案的规范程度、内容完整程度和可操作性程度，</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路灯应急抢修处置方案</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根据投标人制定方案的规范程度、内容完整程度和可操作性程度，比较打分</w:t>
            </w:r>
            <w:r>
              <w:rPr>
                <w:rFonts w:hint="eastAsia" w:ascii="新宋体" w:hAnsi="新宋体" w:eastAsia="新宋体" w:cs="新宋体"/>
                <w:color w:val="auto"/>
                <w:sz w:val="22"/>
                <w:szCs w:val="22"/>
                <w:highlight w:val="none"/>
                <w:lang w:eastAsia="zh-CN"/>
              </w:rPr>
              <w:t>。</w:t>
            </w:r>
          </w:p>
          <w:p>
            <w:pPr>
              <w:pStyle w:val="24"/>
              <w:keepNext w:val="0"/>
              <w:keepLines w:val="0"/>
              <w:pageBreakBefore w:val="0"/>
              <w:kinsoku/>
              <w:wordWrap/>
              <w:overflowPunct/>
              <w:topLinePunct w:val="0"/>
              <w:autoSpaceDE/>
              <w:autoSpaceDN/>
              <w:bidi w:val="0"/>
              <w:adjustRightInd/>
              <w:snapToGrid/>
              <w:spacing w:line="460" w:lineRule="exact"/>
              <w:ind w:left="0" w:leftChars="0" w:firstLine="0" w:firstLineChars="0"/>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A档</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-2分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B档2-1分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C档1-0分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路灯设施突发安全事故应急预案</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根据投标人制定方案的规范程度、内容完整程度和可操作性程度，比较打分。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A档</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-2分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B档2-1分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C档1-0分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路灯大面积失明处置方案</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根据投标人制定方案的规范程度、内容完整程度和可操作性程度，比较打分。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路灯数字（智慧）城管案卷处置方案</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根据投标人制定方案的规范程度、内容完整程度和可操作性程度，比较打分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安全施工方面的措施</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根据投标人提供的安全施工保障措施可操作性、合理性、完整性等进行比较打分。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文明施工方面的措施</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根据投标人提供的文明施工保障措施可操作性、合理性、完整性等进行比较打分。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路灯设施防偷盗措施</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投标人</w:t>
            </w:r>
            <w:r>
              <w:rPr>
                <w:rFonts w:hint="eastAsia" w:ascii="新宋体" w:hAnsi="新宋体" w:eastAsia="新宋体" w:cs="新宋体"/>
                <w:color w:val="auto"/>
                <w:sz w:val="22"/>
                <w:szCs w:val="22"/>
                <w:highlight w:val="none"/>
              </w:rPr>
              <w:t>提供的技术措施和管理措施的合理性等比较评分。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8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4</w:t>
            </w:r>
          </w:p>
        </w:tc>
        <w:tc>
          <w:tcPr>
            <w:tcW w:w="1188" w:type="dxa"/>
            <w:vMerge w:val="restar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路灯增装、被撞补装，灯杆油漆美化等路灯正常养护范围外的维修安装</w:t>
            </w: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rPr>
            </w:pPr>
            <w:r>
              <w:rPr>
                <w:rFonts w:hint="eastAsia" w:ascii="新宋体" w:hAnsi="新宋体" w:eastAsia="新宋体" w:cs="新宋体"/>
                <w:color w:val="auto"/>
                <w:sz w:val="22"/>
                <w:szCs w:val="22"/>
                <w:highlight w:val="none"/>
                <w:lang w:val="en-US" w:eastAsia="zh-CN"/>
              </w:rPr>
              <w:t>配电箱及相关配备材料</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val="en-US" w:eastAsia="zh-CN"/>
              </w:rPr>
              <w:t>分</w:t>
            </w:r>
          </w:p>
        </w:tc>
        <w:tc>
          <w:tcPr>
            <w:tcW w:w="6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根据所投配电箱材质、灯杆钢材材质、金属漆、电缆等路灯设施的选材、规格、技术指标</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品牌因素、规格</w:t>
            </w:r>
            <w:r>
              <w:rPr>
                <w:rFonts w:hint="eastAsia" w:ascii="新宋体" w:hAnsi="新宋体" w:eastAsia="新宋体" w:cs="新宋体"/>
                <w:color w:val="auto"/>
                <w:sz w:val="22"/>
                <w:szCs w:val="22"/>
                <w:highlight w:val="none"/>
                <w:lang w:val="en-US" w:eastAsia="zh-CN"/>
              </w:rPr>
              <w:t>及</w:t>
            </w:r>
            <w:r>
              <w:rPr>
                <w:rFonts w:hint="eastAsia" w:ascii="新宋体" w:hAnsi="新宋体" w:eastAsia="新宋体" w:cs="新宋体"/>
                <w:color w:val="auto"/>
                <w:sz w:val="22"/>
                <w:szCs w:val="22"/>
                <w:highlight w:val="none"/>
              </w:rPr>
              <w:t>检验检测报告、各种认证证书等情况评分。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A档</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-2分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B档2-1分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C档1-0分。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47"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p>
        </w:tc>
        <w:tc>
          <w:tcPr>
            <w:tcW w:w="1188" w:type="dxa"/>
            <w:vMerge w:val="continue"/>
            <w:tcBorders>
              <w:left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新宋体" w:hAnsi="新宋体" w:eastAsia="新宋体" w:cs="新宋体"/>
                <w:color w:val="auto"/>
                <w:sz w:val="22"/>
                <w:szCs w:val="22"/>
                <w:highlight w:val="none"/>
              </w:rPr>
            </w:pPr>
          </w:p>
        </w:tc>
        <w:tc>
          <w:tcPr>
            <w:tcW w:w="1431" w:type="dxa"/>
            <w:gridSpan w:val="2"/>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LED灯具（提供LED90W灯具检测报告</w:t>
            </w:r>
            <w:r>
              <w:rPr>
                <w:rFonts w:hint="eastAsia" w:ascii="新宋体" w:hAnsi="新宋体" w:eastAsia="新宋体" w:cs="新宋体"/>
                <w:color w:val="auto"/>
                <w:sz w:val="22"/>
                <w:szCs w:val="22"/>
                <w:highlight w:val="none"/>
                <w:lang w:eastAsia="zh-CN"/>
              </w:rPr>
              <w:t>）</w:t>
            </w:r>
          </w:p>
        </w:tc>
        <w:tc>
          <w:tcPr>
            <w:tcW w:w="720" w:type="dxa"/>
            <w:tcBorders>
              <w:top w:val="single" w:color="auto" w:sz="4" w:space="0"/>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5分</w:t>
            </w:r>
          </w:p>
        </w:tc>
        <w:tc>
          <w:tcPr>
            <w:tcW w:w="605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1、90W及以上的LED灯具主体采用铝合金，分值得0.5分,否则不得分；模组化设计，分值得0.5分，否则不得分。 </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2、LED灯具整灯光效在110 lm/w以下不得分，大于110 lm/w（含）且小于120 lm/w得</w:t>
            </w:r>
            <w:r>
              <w:rPr>
                <w:rFonts w:hint="eastAsia" w:ascii="新宋体" w:hAnsi="新宋体" w:eastAsia="新宋体" w:cs="新宋体"/>
                <w:color w:val="auto"/>
                <w:sz w:val="22"/>
                <w:szCs w:val="22"/>
                <w:highlight w:val="none"/>
                <w:lang w:val="en-US" w:eastAsia="zh-CN"/>
              </w:rPr>
              <w:t>0.5</w:t>
            </w:r>
            <w:r>
              <w:rPr>
                <w:rFonts w:hint="eastAsia" w:ascii="新宋体" w:hAnsi="新宋体" w:eastAsia="新宋体" w:cs="新宋体"/>
                <w:color w:val="auto"/>
                <w:sz w:val="22"/>
                <w:szCs w:val="22"/>
                <w:highlight w:val="none"/>
              </w:rPr>
              <w:t>分，大于120 lm/w（含）得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色温3500</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00k</w:t>
            </w:r>
            <w:r>
              <w:rPr>
                <w:rFonts w:hint="eastAsia" w:ascii="新宋体" w:hAnsi="新宋体" w:eastAsia="新宋体" w:cs="新宋体"/>
                <w:color w:val="auto"/>
                <w:sz w:val="22"/>
                <w:szCs w:val="22"/>
                <w:highlight w:val="none"/>
                <w:lang w:val="en-US" w:eastAsia="zh-CN"/>
              </w:rPr>
              <w:t>得1分</w:t>
            </w:r>
            <w:r>
              <w:rPr>
                <w:rFonts w:hint="eastAsia" w:ascii="新宋体" w:hAnsi="新宋体" w:eastAsia="新宋体" w:cs="新宋体"/>
                <w:color w:val="auto"/>
                <w:sz w:val="22"/>
                <w:szCs w:val="22"/>
                <w:highlight w:val="none"/>
              </w:rPr>
              <w:t>。</w:t>
            </w:r>
          </w:p>
          <w:p>
            <w:pPr>
              <w:keepNext w:val="0"/>
              <w:keepLines w:val="0"/>
              <w:pageBreakBefore w:val="0"/>
              <w:kinsoku/>
              <w:wordWrap/>
              <w:overflowPunct/>
              <w:topLinePunct w:val="0"/>
              <w:autoSpaceDE/>
              <w:autoSpaceDN/>
              <w:bidi w:val="0"/>
              <w:adjustRightInd/>
              <w:snapToGrid/>
              <w:spacing w:line="460" w:lineRule="exact"/>
              <w:ind w:left="-50" w:leftChars="-24" w:firstLine="440" w:firstLineChars="200"/>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本项须提供省级或省级以上电光源检测机构出具的检测报告</w:t>
            </w:r>
            <w:r>
              <w:rPr>
                <w:rFonts w:hint="eastAsia" w:ascii="新宋体" w:hAnsi="新宋体" w:eastAsia="新宋体" w:cs="新宋体"/>
                <w:color w:val="auto"/>
                <w:sz w:val="22"/>
                <w:szCs w:val="22"/>
                <w:highlight w:val="none"/>
                <w:lang w:val="en-US" w:eastAsia="zh-CN"/>
              </w:rPr>
              <w:t>复印件，</w:t>
            </w:r>
            <w:r>
              <w:rPr>
                <w:rFonts w:hint="eastAsia" w:ascii="新宋体" w:hAnsi="新宋体" w:eastAsia="新宋体" w:cs="新宋体"/>
                <w:color w:val="auto"/>
                <w:sz w:val="22"/>
                <w:szCs w:val="22"/>
                <w:highlight w:val="none"/>
              </w:rPr>
              <w:t>原件</w:t>
            </w:r>
            <w:r>
              <w:rPr>
                <w:rFonts w:hint="eastAsia" w:ascii="新宋体" w:hAnsi="新宋体" w:eastAsia="新宋体" w:cs="新宋体"/>
                <w:color w:val="auto"/>
                <w:sz w:val="22"/>
                <w:szCs w:val="22"/>
                <w:highlight w:val="none"/>
                <w:lang w:val="en-US" w:eastAsia="zh-CN"/>
              </w:rPr>
              <w:t>备查</w:t>
            </w:r>
            <w:r>
              <w:rPr>
                <w:rFonts w:hint="eastAsia" w:ascii="新宋体" w:hAnsi="新宋体" w:eastAsia="新宋体" w:cs="新宋体"/>
                <w:color w:val="auto"/>
                <w:sz w:val="22"/>
                <w:szCs w:val="22"/>
                <w:highlight w:val="none"/>
              </w:rPr>
              <w:t>。</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、驱动电源品牌因素：根据市场信誉、知名度评分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0-</w:t>
            </w:r>
            <w:r>
              <w:rPr>
                <w:rFonts w:hint="eastAsia" w:ascii="新宋体" w:hAnsi="新宋体" w:eastAsia="新宋体" w:cs="新宋体"/>
                <w:color w:val="auto"/>
                <w:sz w:val="22"/>
                <w:szCs w:val="22"/>
                <w:highlight w:val="none"/>
                <w:lang w:val="en-US" w:eastAsia="zh-CN"/>
              </w:rPr>
              <w:t>1分</w:t>
            </w:r>
            <w:r>
              <w:rPr>
                <w:rFonts w:hint="eastAsia" w:ascii="新宋体" w:hAnsi="新宋体" w:eastAsia="新宋体" w:cs="新宋体"/>
                <w:color w:val="auto"/>
                <w:sz w:val="22"/>
                <w:szCs w:val="22"/>
                <w:highlight w:val="none"/>
                <w:lang w:eastAsia="zh-CN"/>
              </w:rPr>
              <w:t>）</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、芯片：根据芯片市场信誉度、知名度评分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0-</w:t>
            </w:r>
            <w:r>
              <w:rPr>
                <w:rFonts w:hint="eastAsia" w:ascii="新宋体" w:hAnsi="新宋体" w:eastAsia="新宋体" w:cs="新宋体"/>
                <w:color w:val="auto"/>
                <w:sz w:val="22"/>
                <w:szCs w:val="22"/>
                <w:highlight w:val="none"/>
                <w:lang w:val="en-US" w:eastAsia="zh-CN"/>
              </w:rPr>
              <w:t>1分</w:t>
            </w:r>
            <w:r>
              <w:rPr>
                <w:rFonts w:hint="eastAsia" w:ascii="新宋体" w:hAnsi="新宋体" w:eastAsia="新宋体" w:cs="新宋体"/>
                <w:color w:val="auto"/>
                <w:sz w:val="22"/>
                <w:szCs w:val="22"/>
                <w:highlight w:val="none"/>
                <w:lang w:eastAsia="zh-CN"/>
              </w:rPr>
              <w:t>）</w:t>
            </w:r>
          </w:p>
        </w:tc>
      </w:tr>
    </w:tbl>
    <w:p>
      <w:pPr>
        <w:pStyle w:val="22"/>
        <w:spacing w:line="460" w:lineRule="exact"/>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2、报价评分（</w:t>
      </w: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0%）：</w:t>
      </w:r>
    </w:p>
    <w:p>
      <w:pPr>
        <w:spacing w:line="460" w:lineRule="exact"/>
        <w:ind w:firstLine="539" w:firstLineChars="24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1）满足招标文件要求且投标报价最低的投标报价为评标基准价，其余投标人投标报价与该基准价对比，计算出商务报价评分值（保留小数2位）：</w:t>
      </w:r>
    </w:p>
    <w:p>
      <w:pPr>
        <w:spacing w:line="460" w:lineRule="exact"/>
        <w:ind w:firstLine="539" w:firstLineChars="24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2）投标人的价格分按以下公式计算：</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62"/>
        <w:gridCol w:w="2865"/>
        <w:gridCol w:w="2995"/>
        <w:gridCol w:w="1042"/>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62" w:type="dxa"/>
            <w:shd w:val="clear" w:color="auto" w:fill="auto"/>
            <w:noWrap w:val="0"/>
            <w:vAlign w:val="center"/>
          </w:tcPr>
          <w:p>
            <w:pPr>
              <w:widowControl/>
              <w:spacing w:line="460" w:lineRule="exact"/>
              <w:jc w:val="center"/>
              <w:textAlignment w:val="center"/>
              <w:rPr>
                <w:rFonts w:hint="eastAsia" w:ascii="新宋体" w:hAnsi="新宋体" w:eastAsia="新宋体" w:cs="新宋体"/>
                <w:b/>
                <w:color w:val="auto"/>
                <w:kern w:val="0"/>
                <w:sz w:val="22"/>
                <w:szCs w:val="22"/>
                <w:highlight w:val="none"/>
                <w:lang w:bidi="ar"/>
              </w:rPr>
            </w:pPr>
            <w:r>
              <w:rPr>
                <w:rFonts w:hint="eastAsia" w:ascii="新宋体" w:hAnsi="新宋体" w:eastAsia="新宋体" w:cs="新宋体"/>
                <w:b/>
                <w:color w:val="auto"/>
                <w:kern w:val="0"/>
                <w:sz w:val="22"/>
                <w:szCs w:val="22"/>
                <w:highlight w:val="none"/>
                <w:lang w:bidi="ar"/>
              </w:rPr>
              <w:t>序号</w:t>
            </w:r>
          </w:p>
        </w:tc>
        <w:tc>
          <w:tcPr>
            <w:tcW w:w="2865" w:type="dxa"/>
            <w:shd w:val="clear" w:color="auto" w:fill="auto"/>
            <w:noWrap w:val="0"/>
            <w:vAlign w:val="center"/>
          </w:tcPr>
          <w:p>
            <w:pPr>
              <w:widowControl/>
              <w:spacing w:line="460" w:lineRule="exact"/>
              <w:jc w:val="center"/>
              <w:textAlignment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kern w:val="0"/>
                <w:sz w:val="22"/>
                <w:szCs w:val="22"/>
                <w:highlight w:val="none"/>
                <w:lang w:bidi="ar"/>
              </w:rPr>
              <w:t>评分内容</w:t>
            </w:r>
          </w:p>
        </w:tc>
        <w:tc>
          <w:tcPr>
            <w:tcW w:w="2995" w:type="dxa"/>
            <w:shd w:val="clear" w:color="auto" w:fill="auto"/>
            <w:noWrap w:val="0"/>
            <w:vAlign w:val="center"/>
          </w:tcPr>
          <w:p>
            <w:pPr>
              <w:widowControl/>
              <w:spacing w:line="460" w:lineRule="exact"/>
              <w:jc w:val="center"/>
              <w:textAlignment w:val="center"/>
              <w:rPr>
                <w:rFonts w:hint="eastAsia" w:ascii="新宋体" w:hAnsi="新宋体" w:eastAsia="新宋体" w:cs="新宋体"/>
                <w:b/>
                <w:color w:val="auto"/>
                <w:sz w:val="22"/>
                <w:szCs w:val="22"/>
                <w:highlight w:val="none"/>
              </w:rPr>
            </w:pPr>
            <w:r>
              <w:rPr>
                <w:rFonts w:hint="eastAsia" w:ascii="新宋体" w:hAnsi="新宋体" w:eastAsia="新宋体"/>
                <w:b/>
                <w:color w:val="auto"/>
                <w:sz w:val="22"/>
                <w:szCs w:val="22"/>
                <w:highlight w:val="none"/>
              </w:rPr>
              <w:t>评分</w:t>
            </w:r>
            <w:r>
              <w:rPr>
                <w:rFonts w:hint="eastAsia" w:ascii="新宋体" w:hAnsi="新宋体" w:eastAsia="新宋体" w:cs="新宋体"/>
                <w:b/>
                <w:color w:val="auto"/>
                <w:kern w:val="0"/>
                <w:sz w:val="22"/>
                <w:szCs w:val="22"/>
                <w:highlight w:val="none"/>
                <w:lang w:bidi="ar"/>
              </w:rPr>
              <w:t>方式</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kern w:val="0"/>
                <w:sz w:val="22"/>
                <w:szCs w:val="22"/>
                <w:highlight w:val="none"/>
                <w:lang w:bidi="ar"/>
              </w:rPr>
              <w:t>分值</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b/>
                <w:color w:val="auto"/>
                <w:kern w:val="0"/>
                <w:sz w:val="22"/>
                <w:szCs w:val="22"/>
                <w:highlight w:val="none"/>
                <w:lang w:bidi="ar"/>
              </w:rPr>
            </w:pPr>
            <w:r>
              <w:rPr>
                <w:rFonts w:hint="eastAsia" w:ascii="新宋体" w:hAnsi="新宋体" w:eastAsia="新宋体" w:cs="新宋体"/>
                <w:b/>
                <w:color w:val="auto"/>
                <w:kern w:val="0"/>
                <w:sz w:val="22"/>
                <w:szCs w:val="22"/>
                <w:highlight w:val="none"/>
                <w:lang w:bidi="ar"/>
              </w:rPr>
              <w:t>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0" w:hRule="atLeast"/>
          <w:jc w:val="center"/>
        </w:trPr>
        <w:tc>
          <w:tcPr>
            <w:tcW w:w="96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1</w:t>
            </w:r>
          </w:p>
        </w:tc>
        <w:tc>
          <w:tcPr>
            <w:tcW w:w="2865" w:type="dxa"/>
            <w:shd w:val="clear" w:color="auto" w:fill="auto"/>
            <w:noWrap w:val="0"/>
            <w:vAlign w:val="center"/>
          </w:tcPr>
          <w:p>
            <w:pPr>
              <w:pStyle w:val="47"/>
              <w:spacing w:before="0" w:beforeAutospacing="0" w:after="0" w:afterAutospacing="0" w:line="400" w:lineRule="exact"/>
              <w:jc w:val="center"/>
              <w:rPr>
                <w:rFonts w:hint="eastAsia" w:ascii="新宋体" w:hAnsi="新宋体" w:eastAsia="新宋体" w:cs="新宋体"/>
                <w:color w:val="auto"/>
                <w:sz w:val="22"/>
                <w:szCs w:val="22"/>
                <w:highlight w:val="none"/>
                <w:lang w:eastAsia="zh-CN"/>
              </w:rPr>
            </w:pPr>
            <w:r>
              <w:rPr>
                <w:rFonts w:hint="eastAsia" w:ascii="新宋体" w:hAnsi="新宋体" w:eastAsia="新宋体" w:cs="新宋体"/>
                <w:b w:val="0"/>
                <w:bCs w:val="0"/>
                <w:color w:val="auto"/>
                <w:sz w:val="22"/>
                <w:szCs w:val="22"/>
                <w:highlight w:val="none"/>
                <w:lang w:eastAsia="zh-CN"/>
              </w:rPr>
              <w:t>路灯设施正常维修养护费</w:t>
            </w:r>
          </w:p>
        </w:tc>
        <w:tc>
          <w:tcPr>
            <w:tcW w:w="2995" w:type="dxa"/>
            <w:vMerge w:val="restart"/>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投标报价得分=(评审基准价／投标报价)×价格权值%×100</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val="en-US" w:eastAsia="zh-CN" w:bidi="ar"/>
              </w:rPr>
              <w:t>16</w:t>
            </w:r>
            <w:r>
              <w:rPr>
                <w:rFonts w:hint="eastAsia" w:ascii="新宋体" w:hAnsi="新宋体" w:eastAsia="新宋体" w:cs="新宋体"/>
                <w:color w:val="auto"/>
                <w:kern w:val="0"/>
                <w:sz w:val="22"/>
                <w:szCs w:val="22"/>
                <w:highlight w:val="none"/>
                <w:lang w:bidi="ar"/>
              </w:rPr>
              <w:t>分</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val="en-US" w:eastAsia="zh-CN" w:bidi="ar"/>
              </w:rPr>
              <w:t>16</w:t>
            </w:r>
            <w:r>
              <w:rPr>
                <w:rFonts w:hint="eastAsia" w:ascii="新宋体" w:hAnsi="新宋体" w:eastAsia="新宋体" w:cs="新宋体"/>
                <w:color w:val="auto"/>
                <w:kern w:val="0"/>
                <w:sz w:val="22"/>
                <w:szCs w:val="22"/>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0" w:hRule="atLeast"/>
          <w:jc w:val="center"/>
        </w:trPr>
        <w:tc>
          <w:tcPr>
            <w:tcW w:w="96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2</w:t>
            </w:r>
          </w:p>
        </w:tc>
        <w:tc>
          <w:tcPr>
            <w:tcW w:w="2865" w:type="dxa"/>
            <w:shd w:val="clear" w:color="auto" w:fill="auto"/>
            <w:noWrap w:val="0"/>
            <w:vAlign w:val="center"/>
          </w:tcPr>
          <w:p>
            <w:pPr>
              <w:pStyle w:val="47"/>
              <w:spacing w:before="0" w:beforeAutospacing="0" w:after="0" w:afterAutospacing="0" w:line="400" w:lineRule="exact"/>
              <w:jc w:val="center"/>
              <w:rPr>
                <w:rFonts w:hint="eastAsia" w:ascii="新宋体" w:hAnsi="新宋体" w:eastAsia="新宋体" w:cs="新宋体"/>
                <w:color w:val="auto"/>
                <w:sz w:val="22"/>
                <w:szCs w:val="22"/>
                <w:highlight w:val="none"/>
                <w:lang w:eastAsia="zh-CN"/>
              </w:rPr>
            </w:pPr>
            <w:r>
              <w:rPr>
                <w:rFonts w:hint="eastAsia" w:ascii="新宋体" w:hAnsi="新宋体" w:eastAsia="新宋体" w:cs="新宋体"/>
                <w:b w:val="0"/>
                <w:bCs w:val="0"/>
                <w:color w:val="auto"/>
                <w:sz w:val="22"/>
                <w:szCs w:val="22"/>
                <w:highlight w:val="none"/>
                <w:lang w:eastAsia="zh-CN"/>
              </w:rPr>
              <w:t>路灯设施正常维修养护范围外的维修安装费</w:t>
            </w:r>
          </w:p>
        </w:tc>
        <w:tc>
          <w:tcPr>
            <w:tcW w:w="2995" w:type="dxa"/>
            <w:vMerge w:val="continue"/>
            <w:shd w:val="clear" w:color="auto" w:fill="auto"/>
            <w:noWrap w:val="0"/>
            <w:vAlign w:val="center"/>
          </w:tcPr>
          <w:p>
            <w:pPr>
              <w:spacing w:line="460" w:lineRule="exact"/>
              <w:jc w:val="center"/>
              <w:rPr>
                <w:rFonts w:hint="eastAsia" w:ascii="新宋体" w:hAnsi="新宋体" w:eastAsia="新宋体" w:cs="新宋体"/>
                <w:color w:val="auto"/>
                <w:sz w:val="22"/>
                <w:szCs w:val="22"/>
                <w:highlight w:val="none"/>
              </w:rPr>
            </w:pP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val="en-US" w:eastAsia="zh-CN" w:bidi="ar"/>
              </w:rPr>
            </w:pPr>
            <w:r>
              <w:rPr>
                <w:rFonts w:hint="eastAsia" w:ascii="新宋体" w:hAnsi="新宋体" w:eastAsia="新宋体" w:cs="新宋体"/>
                <w:color w:val="auto"/>
                <w:kern w:val="0"/>
                <w:sz w:val="22"/>
                <w:szCs w:val="22"/>
                <w:highlight w:val="none"/>
                <w:lang w:val="en-US" w:eastAsia="zh-CN" w:bidi="ar"/>
              </w:rPr>
              <w:t>4分</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val="en-US" w:eastAsia="zh-CN" w:bidi="ar"/>
              </w:rPr>
            </w:pPr>
            <w:r>
              <w:rPr>
                <w:rFonts w:hint="eastAsia" w:ascii="新宋体" w:hAnsi="新宋体" w:eastAsia="新宋体" w:cs="新宋体"/>
                <w:color w:val="auto"/>
                <w:kern w:val="0"/>
                <w:sz w:val="22"/>
                <w:szCs w:val="22"/>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6822" w:type="dxa"/>
            <w:gridSpan w:val="3"/>
            <w:shd w:val="clear" w:color="auto" w:fill="auto"/>
            <w:noWrap w:val="0"/>
            <w:vAlign w:val="center"/>
          </w:tcPr>
          <w:p>
            <w:pPr>
              <w:spacing w:line="460" w:lineRule="exact"/>
              <w:jc w:val="center"/>
              <w:rPr>
                <w:rFonts w:hint="eastAsia" w:ascii="新宋体" w:hAnsi="新宋体" w:eastAsia="新宋体" w:cs="新宋体"/>
                <w:color w:val="auto"/>
                <w:sz w:val="22"/>
                <w:szCs w:val="22"/>
                <w:highlight w:val="none"/>
              </w:rPr>
            </w:pPr>
            <w:r>
              <w:rPr>
                <w:rFonts w:hint="eastAsia" w:ascii="新宋体" w:hAnsi="新宋体" w:eastAsia="新宋体"/>
                <w:b/>
                <w:color w:val="auto"/>
                <w:sz w:val="22"/>
                <w:szCs w:val="22"/>
                <w:highlight w:val="none"/>
              </w:rPr>
              <w:t>商务评分总计：</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val="en-US" w:eastAsia="zh-CN" w:bidi="ar"/>
              </w:rPr>
            </w:pPr>
            <w:r>
              <w:rPr>
                <w:rFonts w:hint="eastAsia" w:ascii="新宋体" w:hAnsi="新宋体" w:eastAsia="新宋体" w:cs="新宋体"/>
                <w:color w:val="auto"/>
                <w:kern w:val="0"/>
                <w:sz w:val="22"/>
                <w:szCs w:val="22"/>
                <w:highlight w:val="none"/>
                <w:lang w:val="en-US" w:eastAsia="zh-CN" w:bidi="ar"/>
              </w:rPr>
              <w:t>20分</w:t>
            </w:r>
          </w:p>
        </w:tc>
        <w:tc>
          <w:tcPr>
            <w:tcW w:w="1042" w:type="dxa"/>
            <w:shd w:val="clear" w:color="auto" w:fill="auto"/>
            <w:noWrap w:val="0"/>
            <w:vAlign w:val="center"/>
          </w:tcPr>
          <w:p>
            <w:pPr>
              <w:widowControl/>
              <w:spacing w:line="460" w:lineRule="exact"/>
              <w:jc w:val="center"/>
              <w:textAlignment w:val="center"/>
              <w:rPr>
                <w:rFonts w:hint="eastAsia" w:ascii="新宋体" w:hAnsi="新宋体" w:eastAsia="新宋体" w:cs="新宋体"/>
                <w:color w:val="auto"/>
                <w:kern w:val="0"/>
                <w:sz w:val="22"/>
                <w:szCs w:val="22"/>
                <w:highlight w:val="none"/>
                <w:lang w:val="en-US" w:eastAsia="zh-CN" w:bidi="ar"/>
              </w:rPr>
            </w:pPr>
            <w:r>
              <w:rPr>
                <w:rFonts w:hint="eastAsia" w:ascii="新宋体" w:hAnsi="新宋体" w:eastAsia="新宋体" w:cs="新宋体"/>
                <w:color w:val="auto"/>
                <w:kern w:val="0"/>
                <w:sz w:val="22"/>
                <w:szCs w:val="22"/>
                <w:highlight w:val="none"/>
                <w:lang w:val="en-US" w:eastAsia="zh-CN" w:bidi="ar"/>
              </w:rPr>
              <w:t>20%</w:t>
            </w:r>
          </w:p>
        </w:tc>
      </w:tr>
    </w:tbl>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3、有效投标人的综合得分为技术分和商务（报价）分的总和。</w:t>
      </w:r>
    </w:p>
    <w:p>
      <w:pPr>
        <w:spacing w:line="460" w:lineRule="exact"/>
        <w:rPr>
          <w:rFonts w:hint="eastAsia" w:ascii="宋体" w:hAnsi="宋体" w:eastAsia="宋体" w:cs="宋体"/>
          <w:b/>
          <w:bCs/>
          <w:color w:val="auto"/>
          <w:sz w:val="22"/>
          <w:szCs w:val="22"/>
          <w:highlight w:val="none"/>
          <w:u w:val="single"/>
        </w:rPr>
      </w:pPr>
      <w:r>
        <w:rPr>
          <w:rFonts w:hint="eastAsia" w:ascii="宋体" w:hAnsi="宋体" w:eastAsia="宋体" w:cs="宋体"/>
          <w:b/>
          <w:color w:val="auto"/>
          <w:sz w:val="22"/>
          <w:szCs w:val="22"/>
          <w:highlight w:val="none"/>
        </w:rPr>
        <w:t xml:space="preserve">   </w:t>
      </w:r>
      <w:r>
        <w:rPr>
          <w:rFonts w:hint="eastAsia" w:ascii="宋体" w:hAnsi="宋体" w:eastAsia="宋体" w:cs="宋体"/>
          <w:b/>
          <w:bCs/>
          <w:color w:val="auto"/>
          <w:sz w:val="22"/>
          <w:szCs w:val="22"/>
          <w:highlight w:val="none"/>
          <w:u w:val="singl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60" w:lineRule="exact"/>
        <w:ind w:firstLine="541" w:firstLineChars="245"/>
        <w:outlineLvl w:val="1"/>
        <w:rPr>
          <w:rFonts w:hint="eastAsia" w:ascii="宋体" w:hAnsi="宋体" w:eastAsia="宋体" w:cs="宋体"/>
          <w:b/>
          <w:bCs/>
          <w:color w:val="auto"/>
          <w:sz w:val="22"/>
          <w:szCs w:val="22"/>
          <w:highlight w:val="none"/>
        </w:rPr>
      </w:pPr>
      <w:bookmarkStart w:id="97" w:name="_Toc29842"/>
      <w:bookmarkStart w:id="98" w:name="_Toc2482"/>
      <w:r>
        <w:rPr>
          <w:rFonts w:hint="eastAsia" w:ascii="宋体" w:hAnsi="宋体" w:eastAsia="宋体" w:cs="宋体"/>
          <w:b/>
          <w:bCs/>
          <w:color w:val="auto"/>
          <w:sz w:val="22"/>
          <w:szCs w:val="22"/>
          <w:highlight w:val="none"/>
        </w:rPr>
        <w:t>六、定标办法</w:t>
      </w:r>
      <w:bookmarkEnd w:id="97"/>
      <w:bookmarkEnd w:id="98"/>
    </w:p>
    <w:p>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确定中标候选人</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1.1由评标委员会确定中标候选人。</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2、确定中标人</w:t>
      </w:r>
    </w:p>
    <w:p>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2.1招标人按照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中标人确定后，招标人将在指定媒体公告中标结果，招标人向中标人发出中标通知书。</w:t>
      </w:r>
    </w:p>
    <w:p>
      <w:pPr>
        <w:spacing w:line="460" w:lineRule="exact"/>
        <w:ind w:firstLine="541" w:firstLineChars="245"/>
        <w:outlineLvl w:val="1"/>
        <w:rPr>
          <w:rFonts w:hint="eastAsia" w:ascii="宋体" w:hAnsi="宋体" w:eastAsia="宋体" w:cs="宋体"/>
          <w:b/>
          <w:color w:val="auto"/>
          <w:sz w:val="22"/>
          <w:szCs w:val="22"/>
          <w:highlight w:val="none"/>
        </w:rPr>
      </w:pPr>
      <w:bookmarkStart w:id="99" w:name="_Toc17404"/>
      <w:bookmarkStart w:id="100" w:name="_Toc17587"/>
      <w:r>
        <w:rPr>
          <w:rFonts w:hint="eastAsia" w:ascii="宋体" w:hAnsi="宋体" w:eastAsia="宋体" w:cs="宋体"/>
          <w:b/>
          <w:color w:val="auto"/>
          <w:sz w:val="22"/>
          <w:szCs w:val="22"/>
          <w:highlight w:val="none"/>
        </w:rPr>
        <w:t>七、投标人义务</w:t>
      </w:r>
      <w:bookmarkEnd w:id="99"/>
      <w:bookmarkEnd w:id="100"/>
    </w:p>
    <w:p>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投标人应随时接受评标委员会的询标，解答包括有关的商务、技术问题等。评标结束，所有评标资料存招标机构备查。</w:t>
      </w:r>
    </w:p>
    <w:sectPr>
      <w:headerReference r:id="rId7" w:type="default"/>
      <w:footerReference r:id="rId8" w:type="default"/>
      <w:pgSz w:w="11906" w:h="16838"/>
      <w:pgMar w:top="1134" w:right="1134" w:bottom="1134" w:left="1134" w:header="850" w:footer="992" w:gutter="0"/>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6"/>
      </w:rPr>
    </w:pPr>
    <w:r>
      <w:fldChar w:fldCharType="begin"/>
    </w:r>
    <w:r>
      <w:rPr>
        <w:rStyle w:val="56"/>
      </w:rPr>
      <w:instrText xml:space="preserve">PAGE  </w:instrText>
    </w:r>
    <w:r>
      <w:fldChar w:fldCharType="separate"/>
    </w:r>
    <w:r>
      <w:rPr>
        <w:rStyle w:val="56"/>
      </w:rPr>
      <w:t>28</w:t>
    </w:r>
    <w:r>
      <w:fldChar w:fldCharType="end"/>
    </w:r>
  </w:p>
  <w:p>
    <w:pPr>
      <w:pStyle w:val="34"/>
      <w:ind w:right="360" w:firstLine="4500" w:firstLineChars="25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firstLine="4500" w:firstLineChars="250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4"/>
                            <w:rPr>
                              <w:rStyle w:val="56"/>
                              <w:rFonts w:hint="eastAsia"/>
                            </w:rPr>
                          </w:pPr>
                          <w:r>
                            <w:fldChar w:fldCharType="begin"/>
                          </w:r>
                          <w:r>
                            <w:rPr>
                              <w:rStyle w:val="56"/>
                            </w:rPr>
                            <w:instrText xml:space="preserve">PAGE  </w:instrText>
                          </w:r>
                          <w:r>
                            <w:fldChar w:fldCharType="separate"/>
                          </w:r>
                          <w:r>
                            <w:rPr>
                              <w:rStyle w:val="56"/>
                            </w:rPr>
                            <w:t>37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pPr>
                      <w:pStyle w:val="34"/>
                      <w:rPr>
                        <w:rStyle w:val="56"/>
                        <w:rFonts w:hint="eastAsia"/>
                      </w:rPr>
                    </w:pPr>
                    <w:r>
                      <w:fldChar w:fldCharType="begin"/>
                    </w:r>
                    <w:r>
                      <w:rPr>
                        <w:rStyle w:val="56"/>
                      </w:rPr>
                      <w:instrText xml:space="preserve">PAGE  </w:instrText>
                    </w:r>
                    <w:r>
                      <w:fldChar w:fldCharType="separate"/>
                    </w:r>
                    <w:r>
                      <w:rPr>
                        <w:rStyle w:val="56"/>
                      </w:rP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4"/>
                            <w:jc w:val="both"/>
                            <w:rPr>
                              <w:rStyle w:val="56"/>
                            </w:rPr>
                          </w:pPr>
                          <w:r>
                            <w:fldChar w:fldCharType="begin"/>
                          </w:r>
                          <w:r>
                            <w:rPr>
                              <w:rStyle w:val="56"/>
                            </w:rPr>
                            <w:instrText xml:space="preserve">PAGE  </w:instrText>
                          </w:r>
                          <w:r>
                            <w:fldChar w:fldCharType="separate"/>
                          </w:r>
                          <w:r>
                            <w:rPr>
                              <w:rStyle w:val="56"/>
                            </w:rPr>
                            <w:t>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E1FxvR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4ZISywxO/PT71+nP&#10;v9PfnwR9KFDvoca8e4+ZcfjkBkye/YDOxHuQwaQvMiIYR3mPZ3nFEAlPj6plVZUY4hibL4hfPD73&#10;AeJn4QxJRkMDzi/Lyg5fIY6pc0qqZt2t0jrPUFvSJxLV1WV+cQ4hurZYJLEYu01WHLbDRG3r2iMy&#10;63EJGmpx5ynRXyxqnPZlNsJsbGdj74PadXmhUivgb/YR28ldpgoj7FQYp5d5TpuW1uPpPWc9/l3r&#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hNRcb0QEAAKUDAAAOAAAAAAAAAAEAIAAAACIB&#10;AABkcnMvZTJvRG9jLnhtbFBLBQYAAAAABgAGAFkBAABlBQAAAAA=&#10;">
              <v:fill on="f" focussize="0,0"/>
              <v:stroke on="f" weight="1.25pt"/>
              <v:imagedata o:title=""/>
              <o:lock v:ext="edit" aspectratio="f"/>
              <v:textbox inset="0mm,0mm,0mm,0mm" style="mso-fit-shape-to-text:t;">
                <w:txbxContent>
                  <w:p>
                    <w:pPr>
                      <w:pStyle w:val="34"/>
                      <w:jc w:val="both"/>
                      <w:rPr>
                        <w:rStyle w:val="56"/>
                      </w:rPr>
                    </w:pPr>
                    <w:r>
                      <w:fldChar w:fldCharType="begin"/>
                    </w:r>
                    <w:r>
                      <w:rPr>
                        <w:rStyle w:val="56"/>
                      </w:rPr>
                      <w:instrText xml:space="preserve">PAGE  </w:instrText>
                    </w:r>
                    <w:r>
                      <w:fldChar w:fldCharType="separate"/>
                    </w:r>
                    <w:r>
                      <w:rPr>
                        <w:rStyle w:val="56"/>
                      </w:rPr>
                      <w:t>54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6"/>
      </w:rPr>
    </w:pPr>
    <w:r>
      <w:fldChar w:fldCharType="begin"/>
    </w:r>
    <w:r>
      <w:rPr>
        <w:rStyle w:val="56"/>
      </w:rPr>
      <w:instrText xml:space="preserve">PAGE  </w:instrText>
    </w:r>
    <w:r>
      <w:fldChar w:fldCharType="separate"/>
    </w:r>
    <w:r>
      <w:rPr>
        <w:rStyle w:val="56"/>
      </w:rPr>
      <w:t>72</w:t>
    </w:r>
    <w:r>
      <w:fldChar w:fldCharType="end"/>
    </w:r>
  </w:p>
  <w:p>
    <w:pPr>
      <w:pStyle w:val="34"/>
      <w:ind w:right="360" w:firstLine="4500" w:firstLineChars="250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single" w:color="auto" w:sz="6" w:space="0"/>
      </w:pBdr>
      <w:jc w:val="both"/>
    </w:pPr>
    <w:r>
      <w:rPr>
        <w:rFonts w:hint="eastAsia"/>
      </w:rPr>
      <w:t>温州市政府（分散）采购招标文件                                             项目编号：</w:t>
    </w:r>
    <w:r>
      <w:rPr>
        <w:rFonts w:hint="eastAsia"/>
        <w:lang w:eastAsia="zh-CN"/>
      </w:rPr>
      <w:t xml:space="preserve">WZLCZB（W）-2021-04045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single" w:color="auto" w:sz="6" w:space="0"/>
      </w:pBdr>
      <w:jc w:val="both"/>
    </w:pPr>
    <w:r>
      <w:rPr>
        <w:rFonts w:hint="eastAsia"/>
      </w:rPr>
      <w:t>温州市政府（分散）采购招标文件                                             项目编号：</w:t>
    </w:r>
    <w:r>
      <w:rPr>
        <w:rFonts w:hint="eastAsia"/>
        <w:lang w:eastAsia="zh-CN"/>
      </w:rPr>
      <w:t xml:space="preserve">WZLCZB（W）-2021-04045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15C1C"/>
    <w:multiLevelType w:val="singleLevel"/>
    <w:tmpl w:val="92615C1C"/>
    <w:lvl w:ilvl="0" w:tentative="0">
      <w:start w:val="5"/>
      <w:numFmt w:val="decimal"/>
      <w:suff w:val="nothing"/>
      <w:lvlText w:val="%1、"/>
      <w:lvlJc w:val="left"/>
    </w:lvl>
  </w:abstractNum>
  <w:abstractNum w:abstractNumId="1">
    <w:nsid w:val="9DED2AFC"/>
    <w:multiLevelType w:val="singleLevel"/>
    <w:tmpl w:val="9DED2AFC"/>
    <w:lvl w:ilvl="0" w:tentative="0">
      <w:start w:val="4"/>
      <w:numFmt w:val="chineseCounting"/>
      <w:suff w:val="space"/>
      <w:lvlText w:val="第%1部分"/>
      <w:lvlJc w:val="left"/>
      <w:rPr>
        <w:rFonts w:hint="eastAsia"/>
      </w:rPr>
    </w:lvl>
  </w:abstractNum>
  <w:abstractNum w:abstractNumId="2">
    <w:nsid w:val="AF4B8B48"/>
    <w:multiLevelType w:val="singleLevel"/>
    <w:tmpl w:val="AF4B8B48"/>
    <w:lvl w:ilvl="0" w:tentative="0">
      <w:start w:val="1"/>
      <w:numFmt w:val="decimal"/>
      <w:suff w:val="nothing"/>
      <w:lvlText w:val="（%1）"/>
      <w:lvlJc w:val="left"/>
    </w:lvl>
  </w:abstractNum>
  <w:abstractNum w:abstractNumId="3">
    <w:nsid w:val="B1C0EE6B"/>
    <w:multiLevelType w:val="singleLevel"/>
    <w:tmpl w:val="B1C0EE6B"/>
    <w:lvl w:ilvl="0" w:tentative="0">
      <w:start w:val="5"/>
      <w:numFmt w:val="chineseCounting"/>
      <w:suff w:val="nothing"/>
      <w:lvlText w:val="%1、"/>
      <w:lvlJc w:val="left"/>
      <w:rPr>
        <w:rFonts w:hint="eastAsia"/>
      </w:rPr>
    </w:lvl>
  </w:abstractNum>
  <w:abstractNum w:abstractNumId="4">
    <w:nsid w:val="BAF9EC89"/>
    <w:multiLevelType w:val="singleLevel"/>
    <w:tmpl w:val="BAF9EC89"/>
    <w:lvl w:ilvl="0" w:tentative="0">
      <w:start w:val="1"/>
      <w:numFmt w:val="chineseCounting"/>
      <w:suff w:val="nothing"/>
      <w:lvlText w:val="（%1）"/>
      <w:lvlJc w:val="left"/>
      <w:rPr>
        <w:rFonts w:hint="eastAsia"/>
      </w:rPr>
    </w:lvl>
  </w:abstractNum>
  <w:abstractNum w:abstractNumId="5">
    <w:nsid w:val="CE2FDD96"/>
    <w:multiLevelType w:val="singleLevel"/>
    <w:tmpl w:val="CE2FDD96"/>
    <w:lvl w:ilvl="0" w:tentative="0">
      <w:start w:val="2"/>
      <w:numFmt w:val="decimal"/>
      <w:suff w:val="nothing"/>
      <w:lvlText w:val="%1、"/>
      <w:lvlJc w:val="left"/>
    </w:lvl>
  </w:abstractNum>
  <w:abstractNum w:abstractNumId="6">
    <w:nsid w:val="1E6A1CD4"/>
    <w:multiLevelType w:val="singleLevel"/>
    <w:tmpl w:val="1E6A1CD4"/>
    <w:lvl w:ilvl="0" w:tentative="0">
      <w:start w:val="3"/>
      <w:numFmt w:val="decimal"/>
      <w:lvlText w:val="%1."/>
      <w:lvlJc w:val="left"/>
      <w:pPr>
        <w:tabs>
          <w:tab w:val="left" w:pos="312"/>
        </w:tabs>
        <w:ind w:left="440" w:leftChars="0" w:firstLine="0" w:firstLineChars="0"/>
      </w:pPr>
    </w:lvl>
  </w:abstractNum>
  <w:abstractNum w:abstractNumId="7">
    <w:nsid w:val="4BF19A30"/>
    <w:multiLevelType w:val="singleLevel"/>
    <w:tmpl w:val="4BF19A30"/>
    <w:lvl w:ilvl="0" w:tentative="0">
      <w:start w:val="7"/>
      <w:numFmt w:val="decimal"/>
      <w:suff w:val="nothing"/>
      <w:lvlText w:val="（%1）"/>
      <w:lvlJc w:val="left"/>
    </w:lvl>
  </w:abstractNum>
  <w:abstractNum w:abstractNumId="8">
    <w:nsid w:val="4D8E6666"/>
    <w:multiLevelType w:val="singleLevel"/>
    <w:tmpl w:val="4D8E6666"/>
    <w:lvl w:ilvl="0" w:tentative="0">
      <w:start w:val="10"/>
      <w:numFmt w:val="decimal"/>
      <w:suff w:val="nothing"/>
      <w:lvlText w:val="%1、"/>
      <w:lvlJc w:val="left"/>
    </w:lvl>
  </w:abstractNum>
  <w:abstractNum w:abstractNumId="9">
    <w:nsid w:val="52D7A3B6"/>
    <w:multiLevelType w:val="singleLevel"/>
    <w:tmpl w:val="52D7A3B6"/>
    <w:lvl w:ilvl="0" w:tentative="0">
      <w:start w:val="1"/>
      <w:numFmt w:val="decimal"/>
      <w:suff w:val="nothing"/>
      <w:lvlText w:val="（%1）"/>
      <w:lvlJc w:val="left"/>
    </w:lvl>
  </w:abstractNum>
  <w:abstractNum w:abstractNumId="10">
    <w:nsid w:val="59DE7C9A"/>
    <w:multiLevelType w:val="singleLevel"/>
    <w:tmpl w:val="59DE7C9A"/>
    <w:lvl w:ilvl="0" w:tentative="0">
      <w:start w:val="3"/>
      <w:numFmt w:val="chineseCounting"/>
      <w:suff w:val="nothing"/>
      <w:lvlText w:val="%1、"/>
      <w:lvlJc w:val="left"/>
      <w:rPr>
        <w:rFonts w:hint="eastAsia"/>
      </w:rPr>
    </w:lvl>
  </w:abstractNum>
  <w:abstractNum w:abstractNumId="11">
    <w:nsid w:val="726F6F30"/>
    <w:multiLevelType w:val="singleLevel"/>
    <w:tmpl w:val="726F6F30"/>
    <w:lvl w:ilvl="0" w:tentative="0">
      <w:start w:val="3"/>
      <w:numFmt w:val="decimal"/>
      <w:suff w:val="nothing"/>
      <w:lvlText w:val="%1）"/>
      <w:lvlJc w:val="left"/>
    </w:lvl>
  </w:abstractNum>
  <w:num w:numId="1">
    <w:abstractNumId w:val="6"/>
  </w:num>
  <w:num w:numId="2">
    <w:abstractNumId w:val="9"/>
  </w:num>
  <w:num w:numId="3">
    <w:abstractNumId w:val="2"/>
  </w:num>
  <w:num w:numId="4">
    <w:abstractNumId w:val="7"/>
  </w:num>
  <w:num w:numId="5">
    <w:abstractNumId w:val="11"/>
  </w:num>
  <w:num w:numId="6">
    <w:abstractNumId w:val="5"/>
  </w:num>
  <w:num w:numId="7">
    <w:abstractNumId w:val="4"/>
  </w:num>
  <w:num w:numId="8">
    <w:abstractNumId w:val="8"/>
  </w:num>
  <w:num w:numId="9">
    <w:abstractNumId w:val="1"/>
  </w:num>
  <w:num w:numId="10">
    <w:abstractNumId w:val="10"/>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dit="forms" w:enforcement="0"/>
  <w:defaultTabStop w:val="420"/>
  <w:drawingGridHorizontalSpacing w:val="210"/>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9E3"/>
    <w:rsid w:val="00020693"/>
    <w:rsid w:val="000217C7"/>
    <w:rsid w:val="00026A46"/>
    <w:rsid w:val="00027D0D"/>
    <w:rsid w:val="00031F49"/>
    <w:rsid w:val="00037B6F"/>
    <w:rsid w:val="000474B4"/>
    <w:rsid w:val="00063600"/>
    <w:rsid w:val="000A6326"/>
    <w:rsid w:val="000B2878"/>
    <w:rsid w:val="0010260A"/>
    <w:rsid w:val="0013451B"/>
    <w:rsid w:val="00146E35"/>
    <w:rsid w:val="00172A27"/>
    <w:rsid w:val="00176791"/>
    <w:rsid w:val="0019644F"/>
    <w:rsid w:val="001B0F17"/>
    <w:rsid w:val="001B2275"/>
    <w:rsid w:val="001D4048"/>
    <w:rsid w:val="001D49A1"/>
    <w:rsid w:val="001E7897"/>
    <w:rsid w:val="001F5D2B"/>
    <w:rsid w:val="002018F6"/>
    <w:rsid w:val="002044B9"/>
    <w:rsid w:val="00212172"/>
    <w:rsid w:val="00223CC1"/>
    <w:rsid w:val="00227214"/>
    <w:rsid w:val="00230913"/>
    <w:rsid w:val="00243D5B"/>
    <w:rsid w:val="002447E7"/>
    <w:rsid w:val="00261F3C"/>
    <w:rsid w:val="00270294"/>
    <w:rsid w:val="00271C2D"/>
    <w:rsid w:val="002843F3"/>
    <w:rsid w:val="00296547"/>
    <w:rsid w:val="002A31D6"/>
    <w:rsid w:val="002B5782"/>
    <w:rsid w:val="002C08AE"/>
    <w:rsid w:val="002C09AD"/>
    <w:rsid w:val="002D20EE"/>
    <w:rsid w:val="002D2D3D"/>
    <w:rsid w:val="002E7DAB"/>
    <w:rsid w:val="003058EA"/>
    <w:rsid w:val="00327AB8"/>
    <w:rsid w:val="00350DF6"/>
    <w:rsid w:val="00351F86"/>
    <w:rsid w:val="00352124"/>
    <w:rsid w:val="0035435E"/>
    <w:rsid w:val="00357388"/>
    <w:rsid w:val="00357A7B"/>
    <w:rsid w:val="003654EF"/>
    <w:rsid w:val="00372FCF"/>
    <w:rsid w:val="00373BB2"/>
    <w:rsid w:val="00380B23"/>
    <w:rsid w:val="00383F1F"/>
    <w:rsid w:val="003B0A15"/>
    <w:rsid w:val="003B1471"/>
    <w:rsid w:val="003B5050"/>
    <w:rsid w:val="003C713C"/>
    <w:rsid w:val="00405F28"/>
    <w:rsid w:val="0041137E"/>
    <w:rsid w:val="00430AB9"/>
    <w:rsid w:val="00441256"/>
    <w:rsid w:val="0045663E"/>
    <w:rsid w:val="00461389"/>
    <w:rsid w:val="0046542D"/>
    <w:rsid w:val="00481BD3"/>
    <w:rsid w:val="004B66F1"/>
    <w:rsid w:val="004C013A"/>
    <w:rsid w:val="004C7034"/>
    <w:rsid w:val="005001D6"/>
    <w:rsid w:val="00522EF2"/>
    <w:rsid w:val="005238A3"/>
    <w:rsid w:val="00526065"/>
    <w:rsid w:val="00532669"/>
    <w:rsid w:val="00533C40"/>
    <w:rsid w:val="00555FA3"/>
    <w:rsid w:val="00561E5D"/>
    <w:rsid w:val="0056534C"/>
    <w:rsid w:val="00565E01"/>
    <w:rsid w:val="005674BB"/>
    <w:rsid w:val="00572B8A"/>
    <w:rsid w:val="00582AEF"/>
    <w:rsid w:val="00586839"/>
    <w:rsid w:val="00587A14"/>
    <w:rsid w:val="005A1DD3"/>
    <w:rsid w:val="005A3AA2"/>
    <w:rsid w:val="005A65DF"/>
    <w:rsid w:val="005B3595"/>
    <w:rsid w:val="005C388F"/>
    <w:rsid w:val="00607A59"/>
    <w:rsid w:val="00631E7A"/>
    <w:rsid w:val="0064398C"/>
    <w:rsid w:val="00644CD7"/>
    <w:rsid w:val="00647AB1"/>
    <w:rsid w:val="00654A9F"/>
    <w:rsid w:val="00692D32"/>
    <w:rsid w:val="00696C82"/>
    <w:rsid w:val="00697F55"/>
    <w:rsid w:val="006A1CF7"/>
    <w:rsid w:val="006B3E1C"/>
    <w:rsid w:val="006D6C7C"/>
    <w:rsid w:val="006E2672"/>
    <w:rsid w:val="007068AC"/>
    <w:rsid w:val="00722BB3"/>
    <w:rsid w:val="00740E65"/>
    <w:rsid w:val="00753072"/>
    <w:rsid w:val="007546B0"/>
    <w:rsid w:val="007671B7"/>
    <w:rsid w:val="00774E3F"/>
    <w:rsid w:val="00776F48"/>
    <w:rsid w:val="00780CBF"/>
    <w:rsid w:val="00781B95"/>
    <w:rsid w:val="007A21E8"/>
    <w:rsid w:val="007A62BD"/>
    <w:rsid w:val="007B564B"/>
    <w:rsid w:val="007B769B"/>
    <w:rsid w:val="007E29D6"/>
    <w:rsid w:val="007F2164"/>
    <w:rsid w:val="00800A72"/>
    <w:rsid w:val="00804ACD"/>
    <w:rsid w:val="0080543D"/>
    <w:rsid w:val="00817CE2"/>
    <w:rsid w:val="00831C7B"/>
    <w:rsid w:val="00832D9C"/>
    <w:rsid w:val="00836E00"/>
    <w:rsid w:val="00846CC5"/>
    <w:rsid w:val="00850622"/>
    <w:rsid w:val="00870DFA"/>
    <w:rsid w:val="00871EBE"/>
    <w:rsid w:val="00873949"/>
    <w:rsid w:val="00875629"/>
    <w:rsid w:val="00877499"/>
    <w:rsid w:val="00892732"/>
    <w:rsid w:val="00893202"/>
    <w:rsid w:val="0089599B"/>
    <w:rsid w:val="008A127E"/>
    <w:rsid w:val="008B2FA9"/>
    <w:rsid w:val="008C2D7B"/>
    <w:rsid w:val="008C31BC"/>
    <w:rsid w:val="008D62C9"/>
    <w:rsid w:val="008D75C3"/>
    <w:rsid w:val="008E0B76"/>
    <w:rsid w:val="008E26D5"/>
    <w:rsid w:val="008F4E37"/>
    <w:rsid w:val="008F7BE3"/>
    <w:rsid w:val="008F7D27"/>
    <w:rsid w:val="00902AA2"/>
    <w:rsid w:val="009254A6"/>
    <w:rsid w:val="0093089E"/>
    <w:rsid w:val="00933974"/>
    <w:rsid w:val="00936127"/>
    <w:rsid w:val="00945DCB"/>
    <w:rsid w:val="009652E5"/>
    <w:rsid w:val="00973F7A"/>
    <w:rsid w:val="0097671D"/>
    <w:rsid w:val="00977673"/>
    <w:rsid w:val="00987F54"/>
    <w:rsid w:val="00991B38"/>
    <w:rsid w:val="00996305"/>
    <w:rsid w:val="009C748F"/>
    <w:rsid w:val="009E4D45"/>
    <w:rsid w:val="00A24A5C"/>
    <w:rsid w:val="00A42424"/>
    <w:rsid w:val="00A45873"/>
    <w:rsid w:val="00A56219"/>
    <w:rsid w:val="00A61866"/>
    <w:rsid w:val="00A77176"/>
    <w:rsid w:val="00A92B83"/>
    <w:rsid w:val="00A957CF"/>
    <w:rsid w:val="00AA3DA6"/>
    <w:rsid w:val="00AA7C87"/>
    <w:rsid w:val="00AD66E6"/>
    <w:rsid w:val="00AE4B39"/>
    <w:rsid w:val="00AF7BEB"/>
    <w:rsid w:val="00B06E43"/>
    <w:rsid w:val="00B2584A"/>
    <w:rsid w:val="00B41362"/>
    <w:rsid w:val="00B43A9E"/>
    <w:rsid w:val="00B44537"/>
    <w:rsid w:val="00B5466C"/>
    <w:rsid w:val="00B74039"/>
    <w:rsid w:val="00B87E26"/>
    <w:rsid w:val="00B9767A"/>
    <w:rsid w:val="00BA78D1"/>
    <w:rsid w:val="00BC0A13"/>
    <w:rsid w:val="00BC2B54"/>
    <w:rsid w:val="00BC4AC5"/>
    <w:rsid w:val="00BC66D1"/>
    <w:rsid w:val="00BF1399"/>
    <w:rsid w:val="00BF32BD"/>
    <w:rsid w:val="00C12358"/>
    <w:rsid w:val="00C232C8"/>
    <w:rsid w:val="00C468B7"/>
    <w:rsid w:val="00C67C97"/>
    <w:rsid w:val="00C70CE6"/>
    <w:rsid w:val="00C758F7"/>
    <w:rsid w:val="00C816DD"/>
    <w:rsid w:val="00C95163"/>
    <w:rsid w:val="00CB28CE"/>
    <w:rsid w:val="00CB584C"/>
    <w:rsid w:val="00CC06DE"/>
    <w:rsid w:val="00CC3B91"/>
    <w:rsid w:val="00CE590D"/>
    <w:rsid w:val="00CF5C76"/>
    <w:rsid w:val="00D00FFE"/>
    <w:rsid w:val="00D13A1C"/>
    <w:rsid w:val="00D224FF"/>
    <w:rsid w:val="00D27DB2"/>
    <w:rsid w:val="00D3078D"/>
    <w:rsid w:val="00D30E82"/>
    <w:rsid w:val="00D47AC2"/>
    <w:rsid w:val="00D56369"/>
    <w:rsid w:val="00D70EBE"/>
    <w:rsid w:val="00D73718"/>
    <w:rsid w:val="00D7763D"/>
    <w:rsid w:val="00D844F8"/>
    <w:rsid w:val="00DB09B7"/>
    <w:rsid w:val="00DB2DE0"/>
    <w:rsid w:val="00DB41D0"/>
    <w:rsid w:val="00DF073C"/>
    <w:rsid w:val="00DF0B3F"/>
    <w:rsid w:val="00E02244"/>
    <w:rsid w:val="00E05AD1"/>
    <w:rsid w:val="00E11D98"/>
    <w:rsid w:val="00E15CD1"/>
    <w:rsid w:val="00E22045"/>
    <w:rsid w:val="00E248CD"/>
    <w:rsid w:val="00E36483"/>
    <w:rsid w:val="00E53874"/>
    <w:rsid w:val="00E56BD4"/>
    <w:rsid w:val="00E57D1E"/>
    <w:rsid w:val="00E72ABC"/>
    <w:rsid w:val="00E74DBC"/>
    <w:rsid w:val="00E76E5A"/>
    <w:rsid w:val="00EC182D"/>
    <w:rsid w:val="00EC6C26"/>
    <w:rsid w:val="00EC7DF8"/>
    <w:rsid w:val="00ED2873"/>
    <w:rsid w:val="00ED3B24"/>
    <w:rsid w:val="00ED7497"/>
    <w:rsid w:val="00EE45C7"/>
    <w:rsid w:val="00EF4A4C"/>
    <w:rsid w:val="00F03D32"/>
    <w:rsid w:val="00F06ABE"/>
    <w:rsid w:val="00F270F8"/>
    <w:rsid w:val="00F27576"/>
    <w:rsid w:val="00F36312"/>
    <w:rsid w:val="00F5082C"/>
    <w:rsid w:val="00F52CCB"/>
    <w:rsid w:val="00F52CD3"/>
    <w:rsid w:val="00F52E99"/>
    <w:rsid w:val="00F60DCB"/>
    <w:rsid w:val="00F80AAA"/>
    <w:rsid w:val="00F93BBA"/>
    <w:rsid w:val="00F95280"/>
    <w:rsid w:val="00FA662A"/>
    <w:rsid w:val="00FB0E0C"/>
    <w:rsid w:val="00FB1229"/>
    <w:rsid w:val="00FC44CE"/>
    <w:rsid w:val="00FD52B1"/>
    <w:rsid w:val="00FF3A66"/>
    <w:rsid w:val="00FF6977"/>
    <w:rsid w:val="0116709E"/>
    <w:rsid w:val="01606883"/>
    <w:rsid w:val="01F83E12"/>
    <w:rsid w:val="020D29B1"/>
    <w:rsid w:val="021F7DAD"/>
    <w:rsid w:val="0224444B"/>
    <w:rsid w:val="022D7429"/>
    <w:rsid w:val="02451328"/>
    <w:rsid w:val="027D25C0"/>
    <w:rsid w:val="02841565"/>
    <w:rsid w:val="02A67124"/>
    <w:rsid w:val="02B3222E"/>
    <w:rsid w:val="02F63BA4"/>
    <w:rsid w:val="031D0871"/>
    <w:rsid w:val="03283281"/>
    <w:rsid w:val="03331487"/>
    <w:rsid w:val="034A64CB"/>
    <w:rsid w:val="039714E5"/>
    <w:rsid w:val="03BE392F"/>
    <w:rsid w:val="03E13A1E"/>
    <w:rsid w:val="04156ACE"/>
    <w:rsid w:val="042A5AFC"/>
    <w:rsid w:val="043D6DF1"/>
    <w:rsid w:val="043F2279"/>
    <w:rsid w:val="044865A2"/>
    <w:rsid w:val="048D46D7"/>
    <w:rsid w:val="04A01243"/>
    <w:rsid w:val="04C27070"/>
    <w:rsid w:val="04E23C80"/>
    <w:rsid w:val="04FD6D0A"/>
    <w:rsid w:val="050751FC"/>
    <w:rsid w:val="05133968"/>
    <w:rsid w:val="05166806"/>
    <w:rsid w:val="0529508C"/>
    <w:rsid w:val="053A30CA"/>
    <w:rsid w:val="055954BC"/>
    <w:rsid w:val="057D25F0"/>
    <w:rsid w:val="05936339"/>
    <w:rsid w:val="05D76F02"/>
    <w:rsid w:val="062F7E7F"/>
    <w:rsid w:val="0650016B"/>
    <w:rsid w:val="06695ADA"/>
    <w:rsid w:val="067F52AB"/>
    <w:rsid w:val="06E17425"/>
    <w:rsid w:val="06E81491"/>
    <w:rsid w:val="07081502"/>
    <w:rsid w:val="072046E3"/>
    <w:rsid w:val="07373C8C"/>
    <w:rsid w:val="074234A9"/>
    <w:rsid w:val="0747552D"/>
    <w:rsid w:val="07592C30"/>
    <w:rsid w:val="07762731"/>
    <w:rsid w:val="07791E20"/>
    <w:rsid w:val="078177D5"/>
    <w:rsid w:val="07924879"/>
    <w:rsid w:val="079C0E64"/>
    <w:rsid w:val="07D60F62"/>
    <w:rsid w:val="07DC4205"/>
    <w:rsid w:val="08621901"/>
    <w:rsid w:val="086F4439"/>
    <w:rsid w:val="08911C02"/>
    <w:rsid w:val="08913549"/>
    <w:rsid w:val="08B53A61"/>
    <w:rsid w:val="08E76FD5"/>
    <w:rsid w:val="08FD20E7"/>
    <w:rsid w:val="09101BCD"/>
    <w:rsid w:val="09315C91"/>
    <w:rsid w:val="09510BFE"/>
    <w:rsid w:val="097E368B"/>
    <w:rsid w:val="09816EE6"/>
    <w:rsid w:val="09A34824"/>
    <w:rsid w:val="09B85302"/>
    <w:rsid w:val="09B94936"/>
    <w:rsid w:val="09D26DBF"/>
    <w:rsid w:val="09F65854"/>
    <w:rsid w:val="0A07422F"/>
    <w:rsid w:val="0A1B49C1"/>
    <w:rsid w:val="0A3D0590"/>
    <w:rsid w:val="0A7416D8"/>
    <w:rsid w:val="0A8945EB"/>
    <w:rsid w:val="0BAC1F4C"/>
    <w:rsid w:val="0BBE4F63"/>
    <w:rsid w:val="0BDA530A"/>
    <w:rsid w:val="0C0247C0"/>
    <w:rsid w:val="0C353302"/>
    <w:rsid w:val="0C496297"/>
    <w:rsid w:val="0C660E5E"/>
    <w:rsid w:val="0C9A109E"/>
    <w:rsid w:val="0CA74D09"/>
    <w:rsid w:val="0CA9483B"/>
    <w:rsid w:val="0CC3029C"/>
    <w:rsid w:val="0CC51217"/>
    <w:rsid w:val="0D0A01F7"/>
    <w:rsid w:val="0D1F1C9D"/>
    <w:rsid w:val="0D735BCC"/>
    <w:rsid w:val="0D7C2119"/>
    <w:rsid w:val="0D920730"/>
    <w:rsid w:val="0DE33D9A"/>
    <w:rsid w:val="0E022677"/>
    <w:rsid w:val="0E064CB1"/>
    <w:rsid w:val="0E4706D1"/>
    <w:rsid w:val="0E4B6575"/>
    <w:rsid w:val="0E5C2643"/>
    <w:rsid w:val="0E6537C4"/>
    <w:rsid w:val="0E701E1B"/>
    <w:rsid w:val="0E750CB0"/>
    <w:rsid w:val="0E8E6882"/>
    <w:rsid w:val="0ECD09E7"/>
    <w:rsid w:val="0EE50D43"/>
    <w:rsid w:val="0F0377AE"/>
    <w:rsid w:val="0F0E6EE3"/>
    <w:rsid w:val="0F706416"/>
    <w:rsid w:val="0FCD5779"/>
    <w:rsid w:val="0FD03A0D"/>
    <w:rsid w:val="10381F40"/>
    <w:rsid w:val="104869BA"/>
    <w:rsid w:val="107C5016"/>
    <w:rsid w:val="10B16CA9"/>
    <w:rsid w:val="10D47707"/>
    <w:rsid w:val="10F47168"/>
    <w:rsid w:val="110264F1"/>
    <w:rsid w:val="1104198D"/>
    <w:rsid w:val="115434FF"/>
    <w:rsid w:val="115D3896"/>
    <w:rsid w:val="11B62E53"/>
    <w:rsid w:val="11F21053"/>
    <w:rsid w:val="12103D4D"/>
    <w:rsid w:val="12345EA5"/>
    <w:rsid w:val="124027F2"/>
    <w:rsid w:val="124B03F6"/>
    <w:rsid w:val="125A673E"/>
    <w:rsid w:val="12775E6D"/>
    <w:rsid w:val="12A01322"/>
    <w:rsid w:val="12AB0828"/>
    <w:rsid w:val="12E05DF5"/>
    <w:rsid w:val="133616DD"/>
    <w:rsid w:val="13582BF6"/>
    <w:rsid w:val="13583E3E"/>
    <w:rsid w:val="138356B4"/>
    <w:rsid w:val="13884680"/>
    <w:rsid w:val="13996DA4"/>
    <w:rsid w:val="13A56966"/>
    <w:rsid w:val="13B56A40"/>
    <w:rsid w:val="13D309B3"/>
    <w:rsid w:val="13E240F1"/>
    <w:rsid w:val="13EC3F05"/>
    <w:rsid w:val="14077D57"/>
    <w:rsid w:val="14342819"/>
    <w:rsid w:val="14965811"/>
    <w:rsid w:val="14BA435D"/>
    <w:rsid w:val="14D92610"/>
    <w:rsid w:val="15001500"/>
    <w:rsid w:val="15021B40"/>
    <w:rsid w:val="15122719"/>
    <w:rsid w:val="154A25D7"/>
    <w:rsid w:val="15525604"/>
    <w:rsid w:val="156E5828"/>
    <w:rsid w:val="15B36E57"/>
    <w:rsid w:val="15B43A33"/>
    <w:rsid w:val="15C02CFA"/>
    <w:rsid w:val="15D02588"/>
    <w:rsid w:val="163004AD"/>
    <w:rsid w:val="164356BB"/>
    <w:rsid w:val="166F777C"/>
    <w:rsid w:val="16835587"/>
    <w:rsid w:val="169C21B8"/>
    <w:rsid w:val="169C6B59"/>
    <w:rsid w:val="16BB60A4"/>
    <w:rsid w:val="16D604C4"/>
    <w:rsid w:val="173A5387"/>
    <w:rsid w:val="17504FD1"/>
    <w:rsid w:val="17725C57"/>
    <w:rsid w:val="17755246"/>
    <w:rsid w:val="17800AEC"/>
    <w:rsid w:val="18245E40"/>
    <w:rsid w:val="1869168B"/>
    <w:rsid w:val="186B461D"/>
    <w:rsid w:val="188B4950"/>
    <w:rsid w:val="18C7387D"/>
    <w:rsid w:val="18C76564"/>
    <w:rsid w:val="19087A11"/>
    <w:rsid w:val="191A4C8F"/>
    <w:rsid w:val="191B7534"/>
    <w:rsid w:val="196E2C37"/>
    <w:rsid w:val="1974690A"/>
    <w:rsid w:val="1A510684"/>
    <w:rsid w:val="1A5A491F"/>
    <w:rsid w:val="1A6171B2"/>
    <w:rsid w:val="1AA65F2A"/>
    <w:rsid w:val="1AA666F2"/>
    <w:rsid w:val="1ADC340E"/>
    <w:rsid w:val="1ADC6552"/>
    <w:rsid w:val="1AED2C78"/>
    <w:rsid w:val="1AEF15D5"/>
    <w:rsid w:val="1B1F6B22"/>
    <w:rsid w:val="1B343FD0"/>
    <w:rsid w:val="1B356551"/>
    <w:rsid w:val="1B377F92"/>
    <w:rsid w:val="1B3E4ABA"/>
    <w:rsid w:val="1B9D2D2C"/>
    <w:rsid w:val="1BAB13EA"/>
    <w:rsid w:val="1BE02644"/>
    <w:rsid w:val="1BF27CE6"/>
    <w:rsid w:val="1BF57F17"/>
    <w:rsid w:val="1C13053F"/>
    <w:rsid w:val="1C162BF5"/>
    <w:rsid w:val="1C212DFA"/>
    <w:rsid w:val="1C3065A1"/>
    <w:rsid w:val="1C32514E"/>
    <w:rsid w:val="1C8449C2"/>
    <w:rsid w:val="1C8676F7"/>
    <w:rsid w:val="1C8B5EF5"/>
    <w:rsid w:val="1C9B7764"/>
    <w:rsid w:val="1C9C37E6"/>
    <w:rsid w:val="1CA3081A"/>
    <w:rsid w:val="1CB81673"/>
    <w:rsid w:val="1CEB7EC5"/>
    <w:rsid w:val="1D0A50BD"/>
    <w:rsid w:val="1D2A3DAB"/>
    <w:rsid w:val="1D46542E"/>
    <w:rsid w:val="1D562D45"/>
    <w:rsid w:val="1D6359BB"/>
    <w:rsid w:val="1D664936"/>
    <w:rsid w:val="1D71729C"/>
    <w:rsid w:val="1D981331"/>
    <w:rsid w:val="1DAB3C89"/>
    <w:rsid w:val="1DC06E93"/>
    <w:rsid w:val="1DCC77C2"/>
    <w:rsid w:val="1DCF4890"/>
    <w:rsid w:val="1DFB57EB"/>
    <w:rsid w:val="1E0062C5"/>
    <w:rsid w:val="1E4F15C4"/>
    <w:rsid w:val="1E665E93"/>
    <w:rsid w:val="1E6D0B8E"/>
    <w:rsid w:val="1E8A1B7B"/>
    <w:rsid w:val="1EAC6314"/>
    <w:rsid w:val="1ED05FDD"/>
    <w:rsid w:val="1EDA4565"/>
    <w:rsid w:val="1F0115E6"/>
    <w:rsid w:val="1F8B73B9"/>
    <w:rsid w:val="1FC0508F"/>
    <w:rsid w:val="1FD17519"/>
    <w:rsid w:val="1FDE37FF"/>
    <w:rsid w:val="1FE87CF6"/>
    <w:rsid w:val="20142293"/>
    <w:rsid w:val="202875D1"/>
    <w:rsid w:val="203B6405"/>
    <w:rsid w:val="204042C4"/>
    <w:rsid w:val="204434A6"/>
    <w:rsid w:val="208E2CB0"/>
    <w:rsid w:val="20C7192F"/>
    <w:rsid w:val="20F3606E"/>
    <w:rsid w:val="213009EF"/>
    <w:rsid w:val="213D75BE"/>
    <w:rsid w:val="217A33A1"/>
    <w:rsid w:val="21872636"/>
    <w:rsid w:val="218F2648"/>
    <w:rsid w:val="21AB5C9B"/>
    <w:rsid w:val="21B427AB"/>
    <w:rsid w:val="21BD46E0"/>
    <w:rsid w:val="227C0C68"/>
    <w:rsid w:val="227D1F07"/>
    <w:rsid w:val="22AE5DFE"/>
    <w:rsid w:val="23025E80"/>
    <w:rsid w:val="235C31B0"/>
    <w:rsid w:val="23C16FD2"/>
    <w:rsid w:val="242C445B"/>
    <w:rsid w:val="248B6BF0"/>
    <w:rsid w:val="24975A35"/>
    <w:rsid w:val="24A451C8"/>
    <w:rsid w:val="24B0777F"/>
    <w:rsid w:val="24B80E3D"/>
    <w:rsid w:val="24BA3A6C"/>
    <w:rsid w:val="24C14262"/>
    <w:rsid w:val="24DB11B1"/>
    <w:rsid w:val="24DB1DC1"/>
    <w:rsid w:val="254579AD"/>
    <w:rsid w:val="25550995"/>
    <w:rsid w:val="25916749"/>
    <w:rsid w:val="25E5097B"/>
    <w:rsid w:val="25ED1CE2"/>
    <w:rsid w:val="260366CA"/>
    <w:rsid w:val="26190B1E"/>
    <w:rsid w:val="261954E5"/>
    <w:rsid w:val="26B25A04"/>
    <w:rsid w:val="26E86A48"/>
    <w:rsid w:val="27101EDB"/>
    <w:rsid w:val="273C24E5"/>
    <w:rsid w:val="27450F96"/>
    <w:rsid w:val="27A03254"/>
    <w:rsid w:val="27A230C5"/>
    <w:rsid w:val="27A851CF"/>
    <w:rsid w:val="27F6755B"/>
    <w:rsid w:val="28116797"/>
    <w:rsid w:val="2835156C"/>
    <w:rsid w:val="285E7742"/>
    <w:rsid w:val="285F589C"/>
    <w:rsid w:val="2860075F"/>
    <w:rsid w:val="288E7537"/>
    <w:rsid w:val="28CB7FE6"/>
    <w:rsid w:val="28D51CE9"/>
    <w:rsid w:val="28E0382C"/>
    <w:rsid w:val="28FB2940"/>
    <w:rsid w:val="2935387C"/>
    <w:rsid w:val="29923BE6"/>
    <w:rsid w:val="29D70027"/>
    <w:rsid w:val="29E4565C"/>
    <w:rsid w:val="2A150292"/>
    <w:rsid w:val="2A217644"/>
    <w:rsid w:val="2A5522DC"/>
    <w:rsid w:val="2A6D7AE4"/>
    <w:rsid w:val="2A706C7C"/>
    <w:rsid w:val="2A81126C"/>
    <w:rsid w:val="2A9A509F"/>
    <w:rsid w:val="2ABE75C5"/>
    <w:rsid w:val="2AC54EDF"/>
    <w:rsid w:val="2ACA73D4"/>
    <w:rsid w:val="2ADE1592"/>
    <w:rsid w:val="2AE72478"/>
    <w:rsid w:val="2AFE6BB2"/>
    <w:rsid w:val="2AFF547A"/>
    <w:rsid w:val="2B0F5BE3"/>
    <w:rsid w:val="2B194010"/>
    <w:rsid w:val="2B1A0A86"/>
    <w:rsid w:val="2B766889"/>
    <w:rsid w:val="2BB62C14"/>
    <w:rsid w:val="2BB82208"/>
    <w:rsid w:val="2BC1544C"/>
    <w:rsid w:val="2BF83122"/>
    <w:rsid w:val="2C4D4422"/>
    <w:rsid w:val="2C61592A"/>
    <w:rsid w:val="2C9C1E8C"/>
    <w:rsid w:val="2CF23348"/>
    <w:rsid w:val="2D0003C8"/>
    <w:rsid w:val="2D0212AF"/>
    <w:rsid w:val="2D0721CE"/>
    <w:rsid w:val="2D2D0FB8"/>
    <w:rsid w:val="2D5369A4"/>
    <w:rsid w:val="2D553E12"/>
    <w:rsid w:val="2D563294"/>
    <w:rsid w:val="2D572DE8"/>
    <w:rsid w:val="2D7657B0"/>
    <w:rsid w:val="2DA92533"/>
    <w:rsid w:val="2DC542FD"/>
    <w:rsid w:val="2E027319"/>
    <w:rsid w:val="2E740C9C"/>
    <w:rsid w:val="2E912614"/>
    <w:rsid w:val="2EB82B9B"/>
    <w:rsid w:val="2EDB211E"/>
    <w:rsid w:val="2FAF734F"/>
    <w:rsid w:val="2FB74538"/>
    <w:rsid w:val="2FE83E9B"/>
    <w:rsid w:val="2FF16930"/>
    <w:rsid w:val="30255652"/>
    <w:rsid w:val="302A5959"/>
    <w:rsid w:val="305B0C4B"/>
    <w:rsid w:val="306F34C7"/>
    <w:rsid w:val="30CD026B"/>
    <w:rsid w:val="30F131F5"/>
    <w:rsid w:val="31024AE6"/>
    <w:rsid w:val="313F60CD"/>
    <w:rsid w:val="316C164E"/>
    <w:rsid w:val="31933947"/>
    <w:rsid w:val="31AC33EA"/>
    <w:rsid w:val="31B469D0"/>
    <w:rsid w:val="31D64F96"/>
    <w:rsid w:val="32017181"/>
    <w:rsid w:val="3202578C"/>
    <w:rsid w:val="326D3B31"/>
    <w:rsid w:val="327021FA"/>
    <w:rsid w:val="329C1DF0"/>
    <w:rsid w:val="329E2BA3"/>
    <w:rsid w:val="32AE7A75"/>
    <w:rsid w:val="32D0674F"/>
    <w:rsid w:val="32E032B1"/>
    <w:rsid w:val="32EF11A3"/>
    <w:rsid w:val="32EF2028"/>
    <w:rsid w:val="33011C41"/>
    <w:rsid w:val="333C6A3D"/>
    <w:rsid w:val="33644CFD"/>
    <w:rsid w:val="33774568"/>
    <w:rsid w:val="33A0028D"/>
    <w:rsid w:val="33A570FA"/>
    <w:rsid w:val="33D32C1C"/>
    <w:rsid w:val="33D92429"/>
    <w:rsid w:val="343B3818"/>
    <w:rsid w:val="343C1893"/>
    <w:rsid w:val="34A8663E"/>
    <w:rsid w:val="358526AE"/>
    <w:rsid w:val="35B54B22"/>
    <w:rsid w:val="35DF0F8E"/>
    <w:rsid w:val="35E83CBD"/>
    <w:rsid w:val="35EF293B"/>
    <w:rsid w:val="35F13A2A"/>
    <w:rsid w:val="35F65A6A"/>
    <w:rsid w:val="360451D7"/>
    <w:rsid w:val="360453EB"/>
    <w:rsid w:val="362C0965"/>
    <w:rsid w:val="36495F37"/>
    <w:rsid w:val="36523501"/>
    <w:rsid w:val="366A6E58"/>
    <w:rsid w:val="37366041"/>
    <w:rsid w:val="373D0F4E"/>
    <w:rsid w:val="37625DAE"/>
    <w:rsid w:val="377717B0"/>
    <w:rsid w:val="37842016"/>
    <w:rsid w:val="379D7A74"/>
    <w:rsid w:val="37A03DDA"/>
    <w:rsid w:val="37BE5F2C"/>
    <w:rsid w:val="37DC389E"/>
    <w:rsid w:val="37E41DF1"/>
    <w:rsid w:val="37FC364E"/>
    <w:rsid w:val="38463090"/>
    <w:rsid w:val="3882116E"/>
    <w:rsid w:val="388234B9"/>
    <w:rsid w:val="38973473"/>
    <w:rsid w:val="38A56CC9"/>
    <w:rsid w:val="38C05F24"/>
    <w:rsid w:val="38D750B8"/>
    <w:rsid w:val="38F2240C"/>
    <w:rsid w:val="39171CC0"/>
    <w:rsid w:val="393F39C1"/>
    <w:rsid w:val="3941283A"/>
    <w:rsid w:val="395212E1"/>
    <w:rsid w:val="39976574"/>
    <w:rsid w:val="39A165F9"/>
    <w:rsid w:val="39B72706"/>
    <w:rsid w:val="39C84E5A"/>
    <w:rsid w:val="39FA0921"/>
    <w:rsid w:val="3A3457E8"/>
    <w:rsid w:val="3A3F0320"/>
    <w:rsid w:val="3A536E24"/>
    <w:rsid w:val="3A565A98"/>
    <w:rsid w:val="3A810ECA"/>
    <w:rsid w:val="3A871F8A"/>
    <w:rsid w:val="3AA31206"/>
    <w:rsid w:val="3AB57780"/>
    <w:rsid w:val="3AC65AD2"/>
    <w:rsid w:val="3ACF5A26"/>
    <w:rsid w:val="3B3575B2"/>
    <w:rsid w:val="3B4764C1"/>
    <w:rsid w:val="3B54731C"/>
    <w:rsid w:val="3B67428D"/>
    <w:rsid w:val="3B713350"/>
    <w:rsid w:val="3B7A26BE"/>
    <w:rsid w:val="3BE767A5"/>
    <w:rsid w:val="3C1701DB"/>
    <w:rsid w:val="3C2E25AC"/>
    <w:rsid w:val="3C33699A"/>
    <w:rsid w:val="3C41291B"/>
    <w:rsid w:val="3C447C27"/>
    <w:rsid w:val="3C4E3440"/>
    <w:rsid w:val="3D6A02BC"/>
    <w:rsid w:val="3E225ED0"/>
    <w:rsid w:val="3E29108F"/>
    <w:rsid w:val="3E763568"/>
    <w:rsid w:val="3E86448E"/>
    <w:rsid w:val="3EB341AB"/>
    <w:rsid w:val="3EC20226"/>
    <w:rsid w:val="3EC451E1"/>
    <w:rsid w:val="3EC47F80"/>
    <w:rsid w:val="3F1E63B0"/>
    <w:rsid w:val="3F2226EC"/>
    <w:rsid w:val="3F601C75"/>
    <w:rsid w:val="3FAC6CE4"/>
    <w:rsid w:val="3FDA48AC"/>
    <w:rsid w:val="3FEF3E0E"/>
    <w:rsid w:val="402A3DD6"/>
    <w:rsid w:val="402E363B"/>
    <w:rsid w:val="403A7A13"/>
    <w:rsid w:val="40883F9A"/>
    <w:rsid w:val="40A6403B"/>
    <w:rsid w:val="40B51DE8"/>
    <w:rsid w:val="40B638E3"/>
    <w:rsid w:val="40C31767"/>
    <w:rsid w:val="40D11C13"/>
    <w:rsid w:val="40D14228"/>
    <w:rsid w:val="40E32648"/>
    <w:rsid w:val="413D517E"/>
    <w:rsid w:val="413F338F"/>
    <w:rsid w:val="415D3A83"/>
    <w:rsid w:val="41A50FA5"/>
    <w:rsid w:val="41CC07BC"/>
    <w:rsid w:val="41DD5AAF"/>
    <w:rsid w:val="420569A4"/>
    <w:rsid w:val="4246080B"/>
    <w:rsid w:val="42CE24FD"/>
    <w:rsid w:val="42F302DD"/>
    <w:rsid w:val="43260C43"/>
    <w:rsid w:val="433E2402"/>
    <w:rsid w:val="43795C2C"/>
    <w:rsid w:val="438034F8"/>
    <w:rsid w:val="441A31FF"/>
    <w:rsid w:val="446A3759"/>
    <w:rsid w:val="446B4961"/>
    <w:rsid w:val="449428DA"/>
    <w:rsid w:val="45132E7E"/>
    <w:rsid w:val="45A142FA"/>
    <w:rsid w:val="45B725A0"/>
    <w:rsid w:val="462E25CA"/>
    <w:rsid w:val="46303A17"/>
    <w:rsid w:val="465A58CC"/>
    <w:rsid w:val="46D637ED"/>
    <w:rsid w:val="46DD3F38"/>
    <w:rsid w:val="46F16F1D"/>
    <w:rsid w:val="46FD2CBF"/>
    <w:rsid w:val="472910BD"/>
    <w:rsid w:val="47553E8E"/>
    <w:rsid w:val="477C293C"/>
    <w:rsid w:val="47CA2F97"/>
    <w:rsid w:val="47D5162D"/>
    <w:rsid w:val="47D84675"/>
    <w:rsid w:val="47E17B3A"/>
    <w:rsid w:val="481379C4"/>
    <w:rsid w:val="481947FE"/>
    <w:rsid w:val="483B043E"/>
    <w:rsid w:val="486B0826"/>
    <w:rsid w:val="486B1D8E"/>
    <w:rsid w:val="48A55816"/>
    <w:rsid w:val="48A93D74"/>
    <w:rsid w:val="48B03156"/>
    <w:rsid w:val="48D139F6"/>
    <w:rsid w:val="48F56DD6"/>
    <w:rsid w:val="491916C6"/>
    <w:rsid w:val="49573AC8"/>
    <w:rsid w:val="49AA7971"/>
    <w:rsid w:val="49D503B7"/>
    <w:rsid w:val="49FE240E"/>
    <w:rsid w:val="4A141151"/>
    <w:rsid w:val="4A316318"/>
    <w:rsid w:val="4A5B1C7C"/>
    <w:rsid w:val="4A643B84"/>
    <w:rsid w:val="4A777A6A"/>
    <w:rsid w:val="4AC9062D"/>
    <w:rsid w:val="4AE52C42"/>
    <w:rsid w:val="4AF2187D"/>
    <w:rsid w:val="4AFC3953"/>
    <w:rsid w:val="4B1E385E"/>
    <w:rsid w:val="4B33569B"/>
    <w:rsid w:val="4B4854EE"/>
    <w:rsid w:val="4B6870F9"/>
    <w:rsid w:val="4B6C2969"/>
    <w:rsid w:val="4BCF6DCB"/>
    <w:rsid w:val="4BD06B38"/>
    <w:rsid w:val="4BDF321A"/>
    <w:rsid w:val="4C0065CE"/>
    <w:rsid w:val="4C0F11A6"/>
    <w:rsid w:val="4C18241E"/>
    <w:rsid w:val="4C227943"/>
    <w:rsid w:val="4C472142"/>
    <w:rsid w:val="4C5F22C4"/>
    <w:rsid w:val="4DC86CD0"/>
    <w:rsid w:val="4DD62C1F"/>
    <w:rsid w:val="4DF46D27"/>
    <w:rsid w:val="4E367509"/>
    <w:rsid w:val="4E5211BA"/>
    <w:rsid w:val="4E90713C"/>
    <w:rsid w:val="4E9D1D1E"/>
    <w:rsid w:val="4F0E0B1D"/>
    <w:rsid w:val="4FA56C1C"/>
    <w:rsid w:val="4FBD41CA"/>
    <w:rsid w:val="4FD246D2"/>
    <w:rsid w:val="50077D56"/>
    <w:rsid w:val="50131451"/>
    <w:rsid w:val="50831BFE"/>
    <w:rsid w:val="50926390"/>
    <w:rsid w:val="50B52FE4"/>
    <w:rsid w:val="50BF2E54"/>
    <w:rsid w:val="51390BE4"/>
    <w:rsid w:val="51C804DE"/>
    <w:rsid w:val="51CF0D4C"/>
    <w:rsid w:val="51E33826"/>
    <w:rsid w:val="51E71C22"/>
    <w:rsid w:val="51F81642"/>
    <w:rsid w:val="520C6B50"/>
    <w:rsid w:val="522E62F3"/>
    <w:rsid w:val="52A33960"/>
    <w:rsid w:val="52B476CE"/>
    <w:rsid w:val="52F47A95"/>
    <w:rsid w:val="531645CA"/>
    <w:rsid w:val="531F2A96"/>
    <w:rsid w:val="53262EC9"/>
    <w:rsid w:val="53734149"/>
    <w:rsid w:val="53932760"/>
    <w:rsid w:val="539873E7"/>
    <w:rsid w:val="53B46D0C"/>
    <w:rsid w:val="53DE77E1"/>
    <w:rsid w:val="54087353"/>
    <w:rsid w:val="54375044"/>
    <w:rsid w:val="544232E7"/>
    <w:rsid w:val="549661B6"/>
    <w:rsid w:val="54D24E79"/>
    <w:rsid w:val="5503429F"/>
    <w:rsid w:val="551027C6"/>
    <w:rsid w:val="554B0FDD"/>
    <w:rsid w:val="55631D2D"/>
    <w:rsid w:val="55BB1E97"/>
    <w:rsid w:val="55C8709D"/>
    <w:rsid w:val="560509A3"/>
    <w:rsid w:val="56250237"/>
    <w:rsid w:val="564569EB"/>
    <w:rsid w:val="56AB5944"/>
    <w:rsid w:val="56F645A2"/>
    <w:rsid w:val="57214861"/>
    <w:rsid w:val="572B4616"/>
    <w:rsid w:val="57541EAD"/>
    <w:rsid w:val="577465D8"/>
    <w:rsid w:val="5783110B"/>
    <w:rsid w:val="57AE5029"/>
    <w:rsid w:val="57C23486"/>
    <w:rsid w:val="57D123D3"/>
    <w:rsid w:val="58117CC1"/>
    <w:rsid w:val="582C3384"/>
    <w:rsid w:val="58624A55"/>
    <w:rsid w:val="58D65196"/>
    <w:rsid w:val="59216A89"/>
    <w:rsid w:val="59A175DF"/>
    <w:rsid w:val="59B819C2"/>
    <w:rsid w:val="59C7668D"/>
    <w:rsid w:val="59FC4729"/>
    <w:rsid w:val="5A0B75E4"/>
    <w:rsid w:val="5A575BFF"/>
    <w:rsid w:val="5A77586F"/>
    <w:rsid w:val="5AA12CBD"/>
    <w:rsid w:val="5AC678FA"/>
    <w:rsid w:val="5ACA65CD"/>
    <w:rsid w:val="5AE51758"/>
    <w:rsid w:val="5AEE4F00"/>
    <w:rsid w:val="5B581F93"/>
    <w:rsid w:val="5B6B529B"/>
    <w:rsid w:val="5BB250E2"/>
    <w:rsid w:val="5BB3320D"/>
    <w:rsid w:val="5BC31A45"/>
    <w:rsid w:val="5BC772C9"/>
    <w:rsid w:val="5C465FA2"/>
    <w:rsid w:val="5C510D50"/>
    <w:rsid w:val="5C544090"/>
    <w:rsid w:val="5C726BB6"/>
    <w:rsid w:val="5C7322D1"/>
    <w:rsid w:val="5C982EB4"/>
    <w:rsid w:val="5CEF4070"/>
    <w:rsid w:val="5CFC28A8"/>
    <w:rsid w:val="5D246FFC"/>
    <w:rsid w:val="5D36426B"/>
    <w:rsid w:val="5DDA696A"/>
    <w:rsid w:val="5E410FFD"/>
    <w:rsid w:val="5E544606"/>
    <w:rsid w:val="5E8E05EA"/>
    <w:rsid w:val="5EB83D10"/>
    <w:rsid w:val="5EFB61FA"/>
    <w:rsid w:val="5EFB695E"/>
    <w:rsid w:val="5F2C7D02"/>
    <w:rsid w:val="5F7663E9"/>
    <w:rsid w:val="5FB656F9"/>
    <w:rsid w:val="5FBC2CFA"/>
    <w:rsid w:val="5FC53466"/>
    <w:rsid w:val="5FD13015"/>
    <w:rsid w:val="5FDD4406"/>
    <w:rsid w:val="60190EE3"/>
    <w:rsid w:val="601D48F2"/>
    <w:rsid w:val="601E31F8"/>
    <w:rsid w:val="602832C7"/>
    <w:rsid w:val="60300D10"/>
    <w:rsid w:val="603D1F50"/>
    <w:rsid w:val="603F673E"/>
    <w:rsid w:val="605467C6"/>
    <w:rsid w:val="609B61A5"/>
    <w:rsid w:val="60D605A1"/>
    <w:rsid w:val="60D6184F"/>
    <w:rsid w:val="61464F6C"/>
    <w:rsid w:val="61515A7F"/>
    <w:rsid w:val="61633E93"/>
    <w:rsid w:val="61A4558D"/>
    <w:rsid w:val="61A54722"/>
    <w:rsid w:val="61C32B70"/>
    <w:rsid w:val="61E045CD"/>
    <w:rsid w:val="62016875"/>
    <w:rsid w:val="628B7263"/>
    <w:rsid w:val="62902D58"/>
    <w:rsid w:val="62AE4BDA"/>
    <w:rsid w:val="62C97640"/>
    <w:rsid w:val="62D27C48"/>
    <w:rsid w:val="6307315E"/>
    <w:rsid w:val="63184211"/>
    <w:rsid w:val="631B5AD9"/>
    <w:rsid w:val="635C575B"/>
    <w:rsid w:val="636863CF"/>
    <w:rsid w:val="63752C12"/>
    <w:rsid w:val="638C1080"/>
    <w:rsid w:val="63B413CF"/>
    <w:rsid w:val="63FF6C27"/>
    <w:rsid w:val="6405263C"/>
    <w:rsid w:val="642454D9"/>
    <w:rsid w:val="6452433C"/>
    <w:rsid w:val="6464336B"/>
    <w:rsid w:val="64AD7524"/>
    <w:rsid w:val="655C7828"/>
    <w:rsid w:val="65BA3742"/>
    <w:rsid w:val="65CB1350"/>
    <w:rsid w:val="66330E7B"/>
    <w:rsid w:val="66351622"/>
    <w:rsid w:val="665A2304"/>
    <w:rsid w:val="669C6349"/>
    <w:rsid w:val="66A80AC6"/>
    <w:rsid w:val="67144976"/>
    <w:rsid w:val="67202357"/>
    <w:rsid w:val="67603F26"/>
    <w:rsid w:val="67D3264E"/>
    <w:rsid w:val="67E2148A"/>
    <w:rsid w:val="68024DD3"/>
    <w:rsid w:val="680F332B"/>
    <w:rsid w:val="6832253F"/>
    <w:rsid w:val="685C3C4D"/>
    <w:rsid w:val="687102AD"/>
    <w:rsid w:val="68724B40"/>
    <w:rsid w:val="68902798"/>
    <w:rsid w:val="68C532F8"/>
    <w:rsid w:val="68F32DEA"/>
    <w:rsid w:val="690C7142"/>
    <w:rsid w:val="69412846"/>
    <w:rsid w:val="695907E9"/>
    <w:rsid w:val="6964290E"/>
    <w:rsid w:val="698304CD"/>
    <w:rsid w:val="69932BAE"/>
    <w:rsid w:val="69A16FDB"/>
    <w:rsid w:val="69BA6060"/>
    <w:rsid w:val="6A223F21"/>
    <w:rsid w:val="6A4771F0"/>
    <w:rsid w:val="6A641277"/>
    <w:rsid w:val="6A8E66B4"/>
    <w:rsid w:val="6A985E45"/>
    <w:rsid w:val="6AAD0001"/>
    <w:rsid w:val="6ABC3F1D"/>
    <w:rsid w:val="6ACB461D"/>
    <w:rsid w:val="6ACC3B62"/>
    <w:rsid w:val="6AE30427"/>
    <w:rsid w:val="6B1B05C6"/>
    <w:rsid w:val="6B35684E"/>
    <w:rsid w:val="6B6C1D6A"/>
    <w:rsid w:val="6B706DFD"/>
    <w:rsid w:val="6B735145"/>
    <w:rsid w:val="6B76701F"/>
    <w:rsid w:val="6BB64940"/>
    <w:rsid w:val="6BBA5ABD"/>
    <w:rsid w:val="6BBB1EFA"/>
    <w:rsid w:val="6BC04151"/>
    <w:rsid w:val="6BFF6B53"/>
    <w:rsid w:val="6C161EDD"/>
    <w:rsid w:val="6C17534B"/>
    <w:rsid w:val="6C52384A"/>
    <w:rsid w:val="6C5F577B"/>
    <w:rsid w:val="6C5F6B13"/>
    <w:rsid w:val="6C831486"/>
    <w:rsid w:val="6C860D52"/>
    <w:rsid w:val="6C8C7141"/>
    <w:rsid w:val="6C903E5F"/>
    <w:rsid w:val="6C92595F"/>
    <w:rsid w:val="6CA31D11"/>
    <w:rsid w:val="6CE513BE"/>
    <w:rsid w:val="6CEE595E"/>
    <w:rsid w:val="6CF82160"/>
    <w:rsid w:val="6D094BFA"/>
    <w:rsid w:val="6D1D7324"/>
    <w:rsid w:val="6D283EB3"/>
    <w:rsid w:val="6D476F5C"/>
    <w:rsid w:val="6D524D35"/>
    <w:rsid w:val="6D631E8B"/>
    <w:rsid w:val="6DA45721"/>
    <w:rsid w:val="6DEF5724"/>
    <w:rsid w:val="6DF321D9"/>
    <w:rsid w:val="6DFF6F75"/>
    <w:rsid w:val="6E2D7396"/>
    <w:rsid w:val="6E977E1E"/>
    <w:rsid w:val="6E9A083E"/>
    <w:rsid w:val="6F1013D6"/>
    <w:rsid w:val="6F1830F3"/>
    <w:rsid w:val="6F2C4E6B"/>
    <w:rsid w:val="6F7502BE"/>
    <w:rsid w:val="6F8E346E"/>
    <w:rsid w:val="6F922D77"/>
    <w:rsid w:val="6FA85985"/>
    <w:rsid w:val="6FD65ACB"/>
    <w:rsid w:val="6FEA2DEF"/>
    <w:rsid w:val="70411BFE"/>
    <w:rsid w:val="708C386D"/>
    <w:rsid w:val="7093353E"/>
    <w:rsid w:val="709F2FAB"/>
    <w:rsid w:val="70A25D2A"/>
    <w:rsid w:val="70EC15F1"/>
    <w:rsid w:val="70F606D1"/>
    <w:rsid w:val="710C3141"/>
    <w:rsid w:val="71104E62"/>
    <w:rsid w:val="713927A1"/>
    <w:rsid w:val="71426CAF"/>
    <w:rsid w:val="719525E5"/>
    <w:rsid w:val="71C43EDF"/>
    <w:rsid w:val="71D12B7B"/>
    <w:rsid w:val="72047D57"/>
    <w:rsid w:val="72563FB1"/>
    <w:rsid w:val="726E28BC"/>
    <w:rsid w:val="729701F7"/>
    <w:rsid w:val="72C13435"/>
    <w:rsid w:val="7332304C"/>
    <w:rsid w:val="73460DCF"/>
    <w:rsid w:val="736F51CC"/>
    <w:rsid w:val="73765DF7"/>
    <w:rsid w:val="739C093C"/>
    <w:rsid w:val="739D0315"/>
    <w:rsid w:val="73CE4F10"/>
    <w:rsid w:val="73DE0BF4"/>
    <w:rsid w:val="73EF72A5"/>
    <w:rsid w:val="740166CA"/>
    <w:rsid w:val="741606DE"/>
    <w:rsid w:val="746B4618"/>
    <w:rsid w:val="748E187D"/>
    <w:rsid w:val="74F727ED"/>
    <w:rsid w:val="75200A9B"/>
    <w:rsid w:val="75395A4F"/>
    <w:rsid w:val="75A62599"/>
    <w:rsid w:val="75C718AC"/>
    <w:rsid w:val="75E5168E"/>
    <w:rsid w:val="75E65018"/>
    <w:rsid w:val="75FD7923"/>
    <w:rsid w:val="76253C31"/>
    <w:rsid w:val="764536B8"/>
    <w:rsid w:val="764C1E95"/>
    <w:rsid w:val="765340BE"/>
    <w:rsid w:val="76600B0B"/>
    <w:rsid w:val="76EC025F"/>
    <w:rsid w:val="77104195"/>
    <w:rsid w:val="77532B5B"/>
    <w:rsid w:val="77A72B49"/>
    <w:rsid w:val="77BA48A1"/>
    <w:rsid w:val="77EA45C3"/>
    <w:rsid w:val="77F3515D"/>
    <w:rsid w:val="77F537AF"/>
    <w:rsid w:val="781D65D4"/>
    <w:rsid w:val="78427D95"/>
    <w:rsid w:val="7875319A"/>
    <w:rsid w:val="78BB302E"/>
    <w:rsid w:val="78CE3373"/>
    <w:rsid w:val="78EA06B1"/>
    <w:rsid w:val="79303653"/>
    <w:rsid w:val="79332894"/>
    <w:rsid w:val="79432FDA"/>
    <w:rsid w:val="794E031B"/>
    <w:rsid w:val="796340FE"/>
    <w:rsid w:val="79F651E3"/>
    <w:rsid w:val="7A4A0DFD"/>
    <w:rsid w:val="7A552236"/>
    <w:rsid w:val="7A735659"/>
    <w:rsid w:val="7A7E0068"/>
    <w:rsid w:val="7AC17447"/>
    <w:rsid w:val="7AD70C9B"/>
    <w:rsid w:val="7ADA5B3C"/>
    <w:rsid w:val="7B4531F1"/>
    <w:rsid w:val="7B4D07FD"/>
    <w:rsid w:val="7BAB3DF5"/>
    <w:rsid w:val="7BD26364"/>
    <w:rsid w:val="7BDB29F1"/>
    <w:rsid w:val="7C2957D6"/>
    <w:rsid w:val="7C2F53CB"/>
    <w:rsid w:val="7C3A3603"/>
    <w:rsid w:val="7C461D0D"/>
    <w:rsid w:val="7C485C63"/>
    <w:rsid w:val="7CA834CE"/>
    <w:rsid w:val="7CB9036C"/>
    <w:rsid w:val="7D047631"/>
    <w:rsid w:val="7D213591"/>
    <w:rsid w:val="7D3475DB"/>
    <w:rsid w:val="7D771F95"/>
    <w:rsid w:val="7D942460"/>
    <w:rsid w:val="7DDD5D1F"/>
    <w:rsid w:val="7E0B3754"/>
    <w:rsid w:val="7E3C4D54"/>
    <w:rsid w:val="7E4C4C85"/>
    <w:rsid w:val="7E563F68"/>
    <w:rsid w:val="7E816425"/>
    <w:rsid w:val="7EC40A24"/>
    <w:rsid w:val="7F5F072D"/>
    <w:rsid w:val="7F711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29"/>
    <w:qFormat/>
    <w:uiPriority w:val="0"/>
    <w:pPr>
      <w:keepNext/>
      <w:jc w:val="center"/>
      <w:outlineLvl w:val="0"/>
    </w:pPr>
    <w:rPr>
      <w:rFonts w:eastAsia="黑体"/>
      <w:b/>
      <w:sz w:val="32"/>
      <w:szCs w:val="20"/>
    </w:rPr>
  </w:style>
  <w:style w:type="paragraph" w:styleId="5">
    <w:name w:val="heading 2"/>
    <w:basedOn w:val="1"/>
    <w:next w:val="1"/>
    <w:link w:val="67"/>
    <w:qFormat/>
    <w:uiPriority w:val="0"/>
    <w:pPr>
      <w:keepNext/>
      <w:outlineLvl w:val="1"/>
    </w:pPr>
    <w:rPr>
      <w:rFonts w:ascii="仿宋_GB2312"/>
      <w:b/>
      <w:sz w:val="28"/>
      <w:szCs w:val="32"/>
    </w:rPr>
  </w:style>
  <w:style w:type="paragraph" w:styleId="6">
    <w:name w:val="heading 3"/>
    <w:basedOn w:val="1"/>
    <w:next w:val="1"/>
    <w:link w:val="152"/>
    <w:qFormat/>
    <w:uiPriority w:val="0"/>
    <w:pPr>
      <w:keepNext/>
      <w:keepLines/>
      <w:spacing w:line="540" w:lineRule="atLeast"/>
      <w:outlineLvl w:val="2"/>
    </w:pPr>
    <w:rPr>
      <w:rFonts w:eastAsia="黑体"/>
      <w:b/>
      <w:sz w:val="28"/>
      <w:szCs w:val="20"/>
    </w:rPr>
  </w:style>
  <w:style w:type="paragraph" w:styleId="2">
    <w:name w:val="heading 4"/>
    <w:basedOn w:val="1"/>
    <w:next w:val="1"/>
    <w:link w:val="149"/>
    <w:qFormat/>
    <w:uiPriority w:val="0"/>
    <w:pPr>
      <w:keepNext/>
      <w:keepLines/>
      <w:spacing w:line="540" w:lineRule="atLeast"/>
      <w:outlineLvl w:val="3"/>
    </w:pPr>
    <w:rPr>
      <w:sz w:val="28"/>
      <w:szCs w:val="28"/>
    </w:rPr>
  </w:style>
  <w:style w:type="paragraph" w:styleId="7">
    <w:name w:val="heading 5"/>
    <w:basedOn w:val="1"/>
    <w:next w:val="1"/>
    <w:link w:val="132"/>
    <w:qFormat/>
    <w:uiPriority w:val="0"/>
    <w:pPr>
      <w:keepNext/>
      <w:keepLines/>
      <w:spacing w:before="280" w:after="290" w:line="372" w:lineRule="auto"/>
      <w:outlineLvl w:val="4"/>
    </w:pPr>
    <w:rPr>
      <w:b/>
      <w:bCs/>
      <w:kern w:val="0"/>
      <w:sz w:val="28"/>
      <w:szCs w:val="28"/>
    </w:rPr>
  </w:style>
  <w:style w:type="paragraph" w:styleId="8">
    <w:name w:val="heading 6"/>
    <w:basedOn w:val="1"/>
    <w:next w:val="9"/>
    <w:link w:val="173"/>
    <w:qFormat/>
    <w:uiPriority w:val="0"/>
    <w:pPr>
      <w:keepNext/>
      <w:keepLines/>
      <w:spacing w:before="240" w:after="64" w:line="317" w:lineRule="auto"/>
      <w:outlineLvl w:val="5"/>
    </w:pPr>
    <w:rPr>
      <w:rFonts w:ascii="Arial" w:hAnsi="Arial" w:eastAsia="黑体"/>
      <w:b/>
      <w:sz w:val="24"/>
      <w:szCs w:val="20"/>
    </w:rPr>
  </w:style>
  <w:style w:type="paragraph" w:styleId="10">
    <w:name w:val="heading 7"/>
    <w:basedOn w:val="1"/>
    <w:next w:val="9"/>
    <w:link w:val="70"/>
    <w:qFormat/>
    <w:uiPriority w:val="0"/>
    <w:pPr>
      <w:keepNext/>
      <w:keepLines/>
      <w:spacing w:before="240" w:after="64" w:line="317" w:lineRule="auto"/>
      <w:outlineLvl w:val="6"/>
    </w:pPr>
    <w:rPr>
      <w:b/>
      <w:sz w:val="24"/>
      <w:szCs w:val="20"/>
    </w:rPr>
  </w:style>
  <w:style w:type="paragraph" w:styleId="11">
    <w:name w:val="heading 8"/>
    <w:basedOn w:val="1"/>
    <w:next w:val="9"/>
    <w:link w:val="176"/>
    <w:qFormat/>
    <w:uiPriority w:val="0"/>
    <w:pPr>
      <w:keepNext/>
      <w:keepLines/>
      <w:spacing w:before="240" w:after="64" w:line="317" w:lineRule="auto"/>
      <w:outlineLvl w:val="7"/>
    </w:pPr>
    <w:rPr>
      <w:rFonts w:ascii="Arial" w:hAnsi="Arial" w:eastAsia="黑体"/>
      <w:sz w:val="24"/>
      <w:szCs w:val="20"/>
    </w:rPr>
  </w:style>
  <w:style w:type="paragraph" w:styleId="12">
    <w:name w:val="heading 9"/>
    <w:basedOn w:val="1"/>
    <w:next w:val="9"/>
    <w:link w:val="163"/>
    <w:qFormat/>
    <w:uiPriority w:val="0"/>
    <w:pPr>
      <w:keepNext/>
      <w:keepLines/>
      <w:spacing w:before="240" w:after="64" w:line="317" w:lineRule="auto"/>
      <w:outlineLvl w:val="8"/>
    </w:pPr>
    <w:rPr>
      <w:rFonts w:ascii="Arial" w:hAnsi="Arial" w:eastAsia="黑体"/>
      <w:szCs w:val="20"/>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3">
    <w:name w:val="macro"/>
    <w:link w:val="11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Times New Roman"/>
      <w:kern w:val="2"/>
      <w:sz w:val="24"/>
      <w:szCs w:val="24"/>
      <w:lang w:val="en-US" w:eastAsia="zh-CN" w:bidi="ar-SA"/>
    </w:rPr>
  </w:style>
  <w:style w:type="paragraph" w:styleId="9">
    <w:name w:val="Normal Indent"/>
    <w:basedOn w:val="1"/>
    <w:next w:val="1"/>
    <w:link w:val="105"/>
    <w:qFormat/>
    <w:uiPriority w:val="0"/>
    <w:pPr>
      <w:adjustRightInd w:val="0"/>
      <w:spacing w:line="312" w:lineRule="atLeast"/>
      <w:ind w:firstLine="420"/>
      <w:textAlignment w:val="baseline"/>
    </w:pPr>
    <w:rPr>
      <w:rFonts w:ascii="仿宋_GB2312"/>
      <w:b/>
      <w:kern w:val="0"/>
      <w:szCs w:val="32"/>
    </w:rPr>
  </w:style>
  <w:style w:type="paragraph" w:styleId="13">
    <w:name w:val="toc 7"/>
    <w:basedOn w:val="1"/>
    <w:next w:val="1"/>
    <w:qFormat/>
    <w:uiPriority w:val="0"/>
    <w:pPr>
      <w:autoSpaceDE w:val="0"/>
      <w:autoSpaceDN w:val="0"/>
      <w:adjustRightInd w:val="0"/>
      <w:ind w:left="2520" w:leftChars="1200"/>
      <w:jc w:val="left"/>
    </w:pPr>
    <w:rPr>
      <w:kern w:val="0"/>
      <w:sz w:val="20"/>
      <w:szCs w:val="20"/>
    </w:rPr>
  </w:style>
  <w:style w:type="paragraph" w:styleId="14">
    <w:name w:val="List Number"/>
    <w:basedOn w:val="1"/>
    <w:qFormat/>
    <w:uiPriority w:val="0"/>
    <w:pPr>
      <w:tabs>
        <w:tab w:val="left" w:pos="360"/>
      </w:tabs>
      <w:ind w:left="360" w:hanging="360" w:hangingChars="200"/>
    </w:pPr>
  </w:style>
  <w:style w:type="paragraph" w:styleId="15">
    <w:name w:val="caption"/>
    <w:basedOn w:val="1"/>
    <w:next w:val="1"/>
    <w:qFormat/>
    <w:uiPriority w:val="0"/>
    <w:pPr>
      <w:autoSpaceDE w:val="0"/>
      <w:autoSpaceDN w:val="0"/>
      <w:adjustRightInd w:val="0"/>
      <w:jc w:val="left"/>
    </w:pPr>
    <w:rPr>
      <w:rFonts w:ascii="Arial" w:hAnsi="Arial" w:eastAsia="黑体" w:cs="Arial"/>
      <w:kern w:val="0"/>
      <w:sz w:val="20"/>
      <w:szCs w:val="20"/>
    </w:rPr>
  </w:style>
  <w:style w:type="paragraph" w:styleId="16">
    <w:name w:val="List Bullet"/>
    <w:basedOn w:val="1"/>
    <w:qFormat/>
    <w:uiPriority w:val="0"/>
    <w:pPr>
      <w:tabs>
        <w:tab w:val="left" w:pos="360"/>
      </w:tabs>
    </w:pPr>
    <w:rPr>
      <w:rFonts w:ascii="Calibri" w:hAnsi="Calibri"/>
      <w:szCs w:val="22"/>
    </w:rPr>
  </w:style>
  <w:style w:type="paragraph" w:styleId="17">
    <w:name w:val="Document Map"/>
    <w:basedOn w:val="1"/>
    <w:link w:val="131"/>
    <w:qFormat/>
    <w:uiPriority w:val="0"/>
    <w:pPr>
      <w:shd w:val="clear" w:color="auto" w:fill="000080"/>
    </w:pPr>
  </w:style>
  <w:style w:type="paragraph" w:styleId="18">
    <w:name w:val="annotation text"/>
    <w:basedOn w:val="1"/>
    <w:link w:val="91"/>
    <w:qFormat/>
    <w:uiPriority w:val="0"/>
    <w:pPr>
      <w:jc w:val="left"/>
    </w:pPr>
  </w:style>
  <w:style w:type="paragraph" w:styleId="19">
    <w:name w:val="Salutation"/>
    <w:basedOn w:val="1"/>
    <w:next w:val="1"/>
    <w:link w:val="79"/>
    <w:qFormat/>
    <w:uiPriority w:val="0"/>
    <w:pPr>
      <w:tabs>
        <w:tab w:val="left" w:pos="840"/>
      </w:tabs>
      <w:autoSpaceDE w:val="0"/>
      <w:autoSpaceDN w:val="0"/>
      <w:adjustRightInd w:val="0"/>
      <w:jc w:val="left"/>
    </w:pPr>
    <w:rPr>
      <w:rFonts w:ascii="仿宋_GB2312" w:eastAsia="仿宋_GB2312"/>
      <w:b/>
      <w:kern w:val="0"/>
      <w:sz w:val="24"/>
      <w:szCs w:val="32"/>
    </w:rPr>
  </w:style>
  <w:style w:type="paragraph" w:styleId="20">
    <w:name w:val="Body Text 3"/>
    <w:basedOn w:val="1"/>
    <w:link w:val="95"/>
    <w:qFormat/>
    <w:uiPriority w:val="0"/>
    <w:pPr>
      <w:autoSpaceDE w:val="0"/>
      <w:autoSpaceDN w:val="0"/>
      <w:adjustRightInd w:val="0"/>
      <w:jc w:val="center"/>
    </w:pPr>
  </w:style>
  <w:style w:type="paragraph" w:styleId="21">
    <w:name w:val="Body Text"/>
    <w:basedOn w:val="1"/>
    <w:next w:val="1"/>
    <w:link w:val="164"/>
    <w:qFormat/>
    <w:uiPriority w:val="0"/>
    <w:pPr>
      <w:spacing w:after="120"/>
    </w:pPr>
    <w:rPr>
      <w:rFonts w:ascii="仿宋_GB2312"/>
      <w:b/>
    </w:rPr>
  </w:style>
  <w:style w:type="paragraph" w:styleId="22">
    <w:name w:val="Body Text Indent"/>
    <w:basedOn w:val="1"/>
    <w:link w:val="144"/>
    <w:qFormat/>
    <w:uiPriority w:val="0"/>
    <w:pPr>
      <w:ind w:left="480" w:hanging="480" w:hangingChars="200"/>
    </w:pPr>
    <w:rPr>
      <w:sz w:val="24"/>
    </w:rPr>
  </w:style>
  <w:style w:type="paragraph" w:styleId="23">
    <w:name w:val="List Number 3"/>
    <w:basedOn w:val="1"/>
    <w:qFormat/>
    <w:uiPriority w:val="0"/>
    <w:pPr>
      <w:tabs>
        <w:tab w:val="left" w:pos="1200"/>
      </w:tabs>
      <w:ind w:left="1200" w:leftChars="400" w:hanging="360" w:hangingChars="200"/>
    </w:pPr>
  </w:style>
  <w:style w:type="paragraph" w:styleId="24">
    <w:name w:val="Block Text"/>
    <w:basedOn w:val="1"/>
    <w:qFormat/>
    <w:uiPriority w:val="0"/>
    <w:pPr>
      <w:spacing w:line="520" w:lineRule="exact"/>
      <w:ind w:left="540" w:leftChars="257" w:right="-514"/>
    </w:pPr>
    <w:rPr>
      <w:rFonts w:ascii="宋体" w:hAnsi="宋体"/>
      <w:sz w:val="24"/>
    </w:rPr>
  </w:style>
  <w:style w:type="paragraph" w:styleId="25">
    <w:name w:val="List Bullet 2"/>
    <w:basedOn w:val="1"/>
    <w:qFormat/>
    <w:uiPriority w:val="0"/>
    <w:pPr>
      <w:tabs>
        <w:tab w:val="left" w:pos="780"/>
      </w:tabs>
      <w:spacing w:line="360" w:lineRule="auto"/>
      <w:ind w:left="780" w:leftChars="200" w:hanging="360" w:hangingChars="200"/>
    </w:pPr>
  </w:style>
  <w:style w:type="paragraph" w:styleId="26">
    <w:name w:val="toc 5"/>
    <w:basedOn w:val="1"/>
    <w:next w:val="1"/>
    <w:qFormat/>
    <w:uiPriority w:val="0"/>
    <w:pPr>
      <w:autoSpaceDE w:val="0"/>
      <w:autoSpaceDN w:val="0"/>
      <w:adjustRightInd w:val="0"/>
      <w:ind w:left="1680" w:leftChars="800"/>
      <w:jc w:val="left"/>
    </w:pPr>
    <w:rPr>
      <w:kern w:val="0"/>
      <w:sz w:val="20"/>
      <w:szCs w:val="20"/>
    </w:rPr>
  </w:style>
  <w:style w:type="paragraph" w:styleId="27">
    <w:name w:val="toc 3"/>
    <w:basedOn w:val="1"/>
    <w:next w:val="1"/>
    <w:qFormat/>
    <w:uiPriority w:val="0"/>
    <w:pPr>
      <w:ind w:left="840" w:leftChars="400"/>
    </w:pPr>
  </w:style>
  <w:style w:type="paragraph" w:styleId="28">
    <w:name w:val="Plain Text"/>
    <w:basedOn w:val="1"/>
    <w:link w:val="192"/>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29">
    <w:name w:val="List Number 4"/>
    <w:basedOn w:val="1"/>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30">
    <w:name w:val="toc 8"/>
    <w:basedOn w:val="1"/>
    <w:next w:val="1"/>
    <w:qFormat/>
    <w:uiPriority w:val="0"/>
    <w:pPr>
      <w:autoSpaceDE w:val="0"/>
      <w:autoSpaceDN w:val="0"/>
      <w:adjustRightInd w:val="0"/>
      <w:ind w:left="2940" w:leftChars="1400"/>
      <w:jc w:val="left"/>
    </w:pPr>
    <w:rPr>
      <w:kern w:val="0"/>
      <w:sz w:val="20"/>
      <w:szCs w:val="20"/>
    </w:rPr>
  </w:style>
  <w:style w:type="paragraph" w:styleId="31">
    <w:name w:val="Date"/>
    <w:basedOn w:val="1"/>
    <w:next w:val="1"/>
    <w:link w:val="133"/>
    <w:qFormat/>
    <w:uiPriority w:val="0"/>
    <w:pPr>
      <w:ind w:left="100" w:leftChars="2500"/>
    </w:pPr>
  </w:style>
  <w:style w:type="paragraph" w:styleId="32">
    <w:name w:val="Body Text Indent 2"/>
    <w:basedOn w:val="1"/>
    <w:link w:val="178"/>
    <w:qFormat/>
    <w:uiPriority w:val="0"/>
    <w:pPr>
      <w:spacing w:line="500" w:lineRule="exact"/>
      <w:ind w:firstLine="511" w:firstLineChars="213"/>
    </w:pPr>
    <w:rPr>
      <w:sz w:val="24"/>
    </w:rPr>
  </w:style>
  <w:style w:type="paragraph" w:styleId="33">
    <w:name w:val="Balloon Text"/>
    <w:basedOn w:val="1"/>
    <w:link w:val="151"/>
    <w:qFormat/>
    <w:uiPriority w:val="0"/>
    <w:rPr>
      <w:sz w:val="18"/>
      <w:szCs w:val="18"/>
    </w:rPr>
  </w:style>
  <w:style w:type="paragraph" w:styleId="34">
    <w:name w:val="footer"/>
    <w:basedOn w:val="1"/>
    <w:link w:val="120"/>
    <w:qFormat/>
    <w:uiPriority w:val="0"/>
    <w:pPr>
      <w:tabs>
        <w:tab w:val="center" w:pos="4153"/>
        <w:tab w:val="right" w:pos="8306"/>
      </w:tabs>
      <w:snapToGrid w:val="0"/>
      <w:jc w:val="left"/>
    </w:pPr>
    <w:rPr>
      <w:sz w:val="18"/>
      <w:szCs w:val="18"/>
    </w:rPr>
  </w:style>
  <w:style w:type="paragraph" w:styleId="35">
    <w:name w:val="header"/>
    <w:basedOn w:val="1"/>
    <w:link w:val="135"/>
    <w:qFormat/>
    <w:uiPriority w:val="0"/>
    <w:pPr>
      <w:pBdr>
        <w:bottom w:val="single" w:color="auto" w:sz="6" w:space="1"/>
      </w:pBdr>
      <w:tabs>
        <w:tab w:val="center" w:pos="4153"/>
        <w:tab w:val="right" w:pos="8306"/>
      </w:tabs>
      <w:snapToGrid w:val="0"/>
      <w:jc w:val="center"/>
    </w:pPr>
    <w:rPr>
      <w:sz w:val="18"/>
      <w:szCs w:val="18"/>
    </w:rPr>
  </w:style>
  <w:style w:type="paragraph" w:styleId="36">
    <w:name w:val="Signature"/>
    <w:basedOn w:val="1"/>
    <w:link w:val="154"/>
    <w:qFormat/>
    <w:uiPriority w:val="0"/>
    <w:pPr>
      <w:autoSpaceDE w:val="0"/>
      <w:autoSpaceDN w:val="0"/>
      <w:adjustRightInd w:val="0"/>
      <w:spacing w:after="600" w:line="312" w:lineRule="atLeast"/>
      <w:jc w:val="center"/>
      <w:textAlignment w:val="baseline"/>
    </w:pPr>
    <w:rPr>
      <w:rFonts w:ascii="仿宋_GB2312" w:eastAsia="仿宋_GB2312"/>
      <w:b/>
      <w:kern w:val="0"/>
      <w:sz w:val="24"/>
      <w:szCs w:val="32"/>
    </w:rPr>
  </w:style>
  <w:style w:type="paragraph" w:styleId="37">
    <w:name w:val="toc 1"/>
    <w:basedOn w:val="1"/>
    <w:next w:val="1"/>
    <w:qFormat/>
    <w:uiPriority w:val="0"/>
  </w:style>
  <w:style w:type="paragraph" w:styleId="38">
    <w:name w:val="toc 4"/>
    <w:basedOn w:val="1"/>
    <w:next w:val="1"/>
    <w:qFormat/>
    <w:uiPriority w:val="0"/>
    <w:pPr>
      <w:autoSpaceDE w:val="0"/>
      <w:autoSpaceDN w:val="0"/>
      <w:adjustRightInd w:val="0"/>
      <w:ind w:left="1260" w:leftChars="600"/>
      <w:jc w:val="left"/>
    </w:pPr>
    <w:rPr>
      <w:kern w:val="0"/>
      <w:sz w:val="20"/>
      <w:szCs w:val="20"/>
    </w:rPr>
  </w:style>
  <w:style w:type="paragraph" w:styleId="39">
    <w:name w:val="Subtitle"/>
    <w:basedOn w:val="1"/>
    <w:next w:val="1"/>
    <w:link w:val="134"/>
    <w:qFormat/>
    <w:uiPriority w:val="0"/>
    <w:pPr>
      <w:spacing w:before="240" w:after="60" w:line="312" w:lineRule="auto"/>
      <w:jc w:val="center"/>
      <w:outlineLvl w:val="1"/>
    </w:pPr>
    <w:rPr>
      <w:rFonts w:ascii="Cambria" w:hAnsi="Cambria"/>
      <w:b/>
      <w:bCs/>
      <w:kern w:val="28"/>
      <w:sz w:val="32"/>
      <w:szCs w:val="32"/>
    </w:rPr>
  </w:style>
  <w:style w:type="paragraph" w:styleId="40">
    <w:name w:val="List Number 5"/>
    <w:basedOn w:val="1"/>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41">
    <w:name w:val="List"/>
    <w:basedOn w:val="1"/>
    <w:qFormat/>
    <w:uiPriority w:val="0"/>
    <w:pPr>
      <w:ind w:left="200" w:hanging="200" w:hangingChars="200"/>
    </w:pPr>
  </w:style>
  <w:style w:type="paragraph" w:styleId="42">
    <w:name w:val="toc 6"/>
    <w:basedOn w:val="1"/>
    <w:next w:val="1"/>
    <w:qFormat/>
    <w:uiPriority w:val="0"/>
    <w:pPr>
      <w:autoSpaceDE w:val="0"/>
      <w:autoSpaceDN w:val="0"/>
      <w:adjustRightInd w:val="0"/>
      <w:ind w:left="2100" w:leftChars="1000"/>
      <w:jc w:val="left"/>
    </w:pPr>
    <w:rPr>
      <w:kern w:val="0"/>
      <w:sz w:val="20"/>
      <w:szCs w:val="20"/>
    </w:rPr>
  </w:style>
  <w:style w:type="paragraph" w:styleId="43">
    <w:name w:val="Body Text Indent 3"/>
    <w:basedOn w:val="1"/>
    <w:link w:val="146"/>
    <w:qFormat/>
    <w:uiPriority w:val="0"/>
    <w:pPr>
      <w:spacing w:line="500" w:lineRule="exact"/>
      <w:ind w:left="511" w:hanging="511" w:hangingChars="213"/>
    </w:pPr>
    <w:rPr>
      <w:sz w:val="24"/>
    </w:rPr>
  </w:style>
  <w:style w:type="paragraph" w:styleId="44">
    <w:name w:val="toc 2"/>
    <w:basedOn w:val="1"/>
    <w:next w:val="1"/>
    <w:qFormat/>
    <w:uiPriority w:val="0"/>
    <w:pPr>
      <w:ind w:left="420" w:leftChars="200"/>
    </w:pPr>
  </w:style>
  <w:style w:type="paragraph" w:styleId="45">
    <w:name w:val="toc 9"/>
    <w:basedOn w:val="1"/>
    <w:next w:val="1"/>
    <w:qFormat/>
    <w:uiPriority w:val="0"/>
    <w:pPr>
      <w:autoSpaceDE w:val="0"/>
      <w:autoSpaceDN w:val="0"/>
      <w:adjustRightInd w:val="0"/>
      <w:ind w:left="3360" w:leftChars="1600"/>
      <w:jc w:val="left"/>
    </w:pPr>
    <w:rPr>
      <w:kern w:val="0"/>
      <w:sz w:val="20"/>
      <w:szCs w:val="20"/>
    </w:rPr>
  </w:style>
  <w:style w:type="paragraph" w:styleId="46">
    <w:name w:val="Body Text 2"/>
    <w:basedOn w:val="1"/>
    <w:link w:val="198"/>
    <w:qFormat/>
    <w:uiPriority w:val="0"/>
    <w:pPr>
      <w:autoSpaceDE w:val="0"/>
      <w:autoSpaceDN w:val="0"/>
      <w:adjustRightInd w:val="0"/>
      <w:spacing w:after="120" w:line="480" w:lineRule="auto"/>
      <w:jc w:val="left"/>
    </w:pPr>
  </w:style>
  <w:style w:type="paragraph" w:styleId="4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8">
    <w:name w:val="Title"/>
    <w:basedOn w:val="1"/>
    <w:next w:val="1"/>
    <w:link w:val="111"/>
    <w:qFormat/>
    <w:uiPriority w:val="0"/>
    <w:pPr>
      <w:spacing w:before="240" w:after="60"/>
      <w:jc w:val="center"/>
      <w:outlineLvl w:val="0"/>
    </w:pPr>
    <w:rPr>
      <w:rFonts w:ascii="Cambria" w:hAnsi="Cambria"/>
      <w:b/>
      <w:bCs/>
      <w:sz w:val="32"/>
      <w:szCs w:val="32"/>
    </w:rPr>
  </w:style>
  <w:style w:type="paragraph" w:styleId="49">
    <w:name w:val="annotation subject"/>
    <w:basedOn w:val="18"/>
    <w:next w:val="18"/>
    <w:link w:val="96"/>
    <w:qFormat/>
    <w:uiPriority w:val="0"/>
    <w:rPr>
      <w:b/>
      <w:bCs/>
    </w:rPr>
  </w:style>
  <w:style w:type="paragraph" w:styleId="50">
    <w:name w:val="Body Text First Indent"/>
    <w:basedOn w:val="21"/>
    <w:link w:val="196"/>
    <w:qFormat/>
    <w:uiPriority w:val="0"/>
    <w:pPr>
      <w:autoSpaceDE w:val="0"/>
      <w:autoSpaceDN w:val="0"/>
      <w:adjustRightInd w:val="0"/>
      <w:ind w:firstLine="420" w:firstLineChars="100"/>
      <w:jc w:val="left"/>
    </w:pPr>
    <w:rPr>
      <w:rFonts w:ascii="Times New Roman"/>
      <w:b w:val="0"/>
      <w:kern w:val="0"/>
      <w:sz w:val="20"/>
      <w:szCs w:val="20"/>
    </w:rPr>
  </w:style>
  <w:style w:type="paragraph" w:styleId="51">
    <w:name w:val="Body Text First Indent 2"/>
    <w:basedOn w:val="22"/>
    <w:qFormat/>
    <w:uiPriority w:val="0"/>
    <w:pPr>
      <w:spacing w:after="120"/>
      <w:ind w:left="420" w:leftChars="200" w:firstLine="420"/>
    </w:pPr>
    <w:rPr>
      <w:rFonts w:cs="宋体"/>
      <w:sz w:val="21"/>
      <w:szCs w:val="21"/>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basedOn w:val="54"/>
    <w:qFormat/>
    <w:uiPriority w:val="0"/>
    <w:rPr>
      <w:rFonts w:ascii="仿宋_GB2312" w:eastAsia="仿宋_GB2312"/>
      <w:bCs/>
      <w:sz w:val="32"/>
      <w:szCs w:val="32"/>
    </w:rPr>
  </w:style>
  <w:style w:type="character" w:styleId="56">
    <w:name w:val="page number"/>
    <w:basedOn w:val="54"/>
    <w:qFormat/>
    <w:uiPriority w:val="0"/>
  </w:style>
  <w:style w:type="character" w:styleId="57">
    <w:name w:val="FollowedHyperlink"/>
    <w:qFormat/>
    <w:uiPriority w:val="0"/>
    <w:rPr>
      <w:rFonts w:ascii="仿宋_GB2312" w:eastAsia="仿宋_GB2312"/>
      <w:b/>
      <w:color w:val="800080"/>
      <w:sz w:val="32"/>
      <w:szCs w:val="32"/>
      <w:u w:val="none"/>
    </w:rPr>
  </w:style>
  <w:style w:type="character" w:styleId="58">
    <w:name w:val="Emphasis"/>
    <w:qFormat/>
    <w:uiPriority w:val="0"/>
    <w:rPr>
      <w:i/>
      <w:iCs/>
    </w:rPr>
  </w:style>
  <w:style w:type="character" w:styleId="59">
    <w:name w:val="line number"/>
    <w:basedOn w:val="54"/>
    <w:qFormat/>
    <w:uiPriority w:val="0"/>
  </w:style>
  <w:style w:type="character" w:styleId="60">
    <w:name w:val="Hyperlink"/>
    <w:qFormat/>
    <w:uiPriority w:val="0"/>
    <w:rPr>
      <w:rFonts w:ascii="仿宋_GB2312" w:eastAsia="仿宋_GB2312"/>
      <w:b/>
      <w:color w:val="0000FF"/>
      <w:sz w:val="32"/>
      <w:szCs w:val="32"/>
      <w:u w:val="none"/>
    </w:rPr>
  </w:style>
  <w:style w:type="character" w:styleId="61">
    <w:name w:val="annotation reference"/>
    <w:qFormat/>
    <w:uiPriority w:val="0"/>
    <w:rPr>
      <w:sz w:val="21"/>
      <w:szCs w:val="21"/>
    </w:rPr>
  </w:style>
  <w:style w:type="character" w:styleId="62">
    <w:name w:val="HTML Cite"/>
    <w:qFormat/>
    <w:uiPriority w:val="0"/>
    <w:rPr>
      <w:color w:val="008000"/>
    </w:rPr>
  </w:style>
  <w:style w:type="paragraph" w:customStyle="1" w:styleId="63">
    <w:name w:val="_Style 3"/>
    <w:basedOn w:val="1"/>
    <w:next w:val="1"/>
    <w:qFormat/>
    <w:uiPriority w:val="34"/>
    <w:pPr>
      <w:spacing w:line="360" w:lineRule="auto"/>
      <w:ind w:firstLine="420" w:firstLineChars="200"/>
    </w:pPr>
  </w:style>
  <w:style w:type="paragraph" w:customStyle="1" w:styleId="64">
    <w:name w:val="Char3 Char Char Char"/>
    <w:basedOn w:val="1"/>
    <w:qFormat/>
    <w:uiPriority w:val="0"/>
  </w:style>
  <w:style w:type="character" w:customStyle="1" w:styleId="65">
    <w:name w:val="不明显参考1"/>
    <w:qFormat/>
    <w:uiPriority w:val="0"/>
    <w:rPr>
      <w:smallCaps/>
      <w:color w:val="C0504D"/>
      <w:u w:val="single"/>
    </w:rPr>
  </w:style>
  <w:style w:type="character" w:customStyle="1" w:styleId="66">
    <w:name w:val="PI Char1"/>
    <w:qFormat/>
    <w:uiPriority w:val="0"/>
    <w:rPr>
      <w:rFonts w:eastAsia="宋体"/>
      <w:kern w:val="2"/>
      <w:sz w:val="24"/>
      <w:szCs w:val="24"/>
      <w:lang w:val="en-US" w:eastAsia="zh-CN" w:bidi="ar-SA"/>
    </w:rPr>
  </w:style>
  <w:style w:type="character" w:customStyle="1" w:styleId="67">
    <w:name w:val="标题 2 Char"/>
    <w:link w:val="5"/>
    <w:qFormat/>
    <w:uiPriority w:val="0"/>
    <w:rPr>
      <w:rFonts w:ascii="仿宋_GB2312" w:eastAsia="宋体"/>
      <w:b/>
      <w:kern w:val="2"/>
      <w:sz w:val="28"/>
      <w:szCs w:val="32"/>
      <w:lang w:val="en-US" w:eastAsia="zh-CN" w:bidi="ar-SA"/>
    </w:rPr>
  </w:style>
  <w:style w:type="character" w:customStyle="1" w:styleId="68">
    <w:name w:val="pt141"/>
    <w:qFormat/>
    <w:uiPriority w:val="0"/>
    <w:rPr>
      <w:color w:val="330066"/>
      <w:spacing w:val="450"/>
      <w:sz w:val="22"/>
      <w:szCs w:val="22"/>
    </w:rPr>
  </w:style>
  <w:style w:type="character" w:customStyle="1" w:styleId="69">
    <w:name w:val="Char Char27"/>
    <w:qFormat/>
    <w:uiPriority w:val="0"/>
    <w:rPr>
      <w:rFonts w:eastAsia="宋体"/>
      <w:kern w:val="2"/>
      <w:sz w:val="28"/>
      <w:lang w:val="en-US" w:eastAsia="zh-CN" w:bidi="ar-SA"/>
    </w:rPr>
  </w:style>
  <w:style w:type="character" w:customStyle="1" w:styleId="70">
    <w:name w:val="标题 7 Char"/>
    <w:link w:val="10"/>
    <w:qFormat/>
    <w:uiPriority w:val="0"/>
    <w:rPr>
      <w:rFonts w:eastAsia="宋体"/>
      <w:b/>
      <w:kern w:val="2"/>
      <w:sz w:val="24"/>
      <w:lang w:val="en-US" w:eastAsia="zh-CN" w:bidi="ar-SA"/>
    </w:rPr>
  </w:style>
  <w:style w:type="character" w:customStyle="1" w:styleId="71">
    <w:name w:val="明显参考1"/>
    <w:qFormat/>
    <w:uiPriority w:val="0"/>
    <w:rPr>
      <w:b/>
      <w:bCs/>
      <w:smallCaps/>
      <w:color w:val="C0504D"/>
      <w:spacing w:val="5"/>
      <w:u w:val="single"/>
    </w:rPr>
  </w:style>
  <w:style w:type="character" w:customStyle="1" w:styleId="72">
    <w:name w:val="书籍标题1"/>
    <w:qFormat/>
    <w:uiPriority w:val="0"/>
    <w:rPr>
      <w:b/>
      <w:bCs/>
      <w:smallCaps/>
      <w:spacing w:val="5"/>
    </w:rPr>
  </w:style>
  <w:style w:type="character" w:customStyle="1" w:styleId="73">
    <w:name w:val="Char Char61"/>
    <w:qFormat/>
    <w:uiPriority w:val="0"/>
    <w:rPr>
      <w:rFonts w:ascii="Times New Roman" w:hAnsi="Times New Roman" w:eastAsia="宋体" w:cs="Times New Roman"/>
      <w:szCs w:val="24"/>
    </w:rPr>
  </w:style>
  <w:style w:type="character" w:customStyle="1" w:styleId="74">
    <w:name w:val="Char Char24"/>
    <w:qFormat/>
    <w:uiPriority w:val="0"/>
    <w:rPr>
      <w:rFonts w:eastAsia="宋体"/>
      <w:b/>
      <w:kern w:val="2"/>
      <w:sz w:val="28"/>
      <w:lang w:val="en-US" w:eastAsia="zh-CN" w:bidi="ar-SA"/>
    </w:rPr>
  </w:style>
  <w:style w:type="character" w:customStyle="1" w:styleId="75">
    <w:name w:val="Style4"/>
    <w:qFormat/>
    <w:uiPriority w:val="0"/>
    <w:rPr>
      <w:rFonts w:ascii="Calibri" w:hAnsi="宋体" w:eastAsia="宋体" w:cs="Times New Roman"/>
      <w:szCs w:val="22"/>
      <w:lang w:eastAsia="zh-CN"/>
    </w:rPr>
  </w:style>
  <w:style w:type="character" w:customStyle="1" w:styleId="76">
    <w:name w:val="Style1"/>
    <w:qFormat/>
    <w:uiPriority w:val="0"/>
    <w:rPr>
      <w:rFonts w:ascii="Calibri" w:hAnsi="宋体" w:eastAsia="宋体" w:cs="Times New Roman"/>
      <w:sz w:val="22"/>
      <w:szCs w:val="22"/>
      <w:lang w:eastAsia="zh-CN"/>
    </w:rPr>
  </w:style>
  <w:style w:type="character" w:customStyle="1" w:styleId="77">
    <w:name w:val="heading 1 Char1"/>
    <w:qFormat/>
    <w:uiPriority w:val="0"/>
    <w:rPr>
      <w:rFonts w:eastAsia="宋体"/>
      <w:b/>
      <w:bCs/>
      <w:kern w:val="44"/>
      <w:sz w:val="44"/>
      <w:szCs w:val="44"/>
      <w:lang w:val="en-US" w:eastAsia="zh-CN" w:bidi="ar-SA"/>
    </w:rPr>
  </w:style>
  <w:style w:type="character" w:customStyle="1" w:styleId="78">
    <w:name w:val="Style5"/>
    <w:qFormat/>
    <w:uiPriority w:val="0"/>
    <w:rPr>
      <w:rFonts w:ascii="Calibri" w:hAnsi="宋体" w:eastAsia="宋体" w:cs="Times New Roman"/>
      <w:sz w:val="22"/>
      <w:szCs w:val="22"/>
      <w:lang w:eastAsia="zh-CN"/>
    </w:rPr>
  </w:style>
  <w:style w:type="character" w:customStyle="1" w:styleId="79">
    <w:name w:val="称呼 Char"/>
    <w:link w:val="19"/>
    <w:qFormat/>
    <w:uiPriority w:val="0"/>
    <w:rPr>
      <w:rFonts w:ascii="仿宋_GB2312" w:eastAsia="仿宋_GB2312"/>
      <w:b/>
      <w:sz w:val="24"/>
      <w:szCs w:val="32"/>
    </w:rPr>
  </w:style>
  <w:style w:type="character" w:customStyle="1" w:styleId="80">
    <w:name w:val="Ò³Ã¼ Char Char2"/>
    <w:qFormat/>
    <w:uiPriority w:val="0"/>
    <w:rPr>
      <w:kern w:val="2"/>
      <w:sz w:val="18"/>
      <w:szCs w:val="18"/>
    </w:rPr>
  </w:style>
  <w:style w:type="character" w:customStyle="1" w:styleId="81">
    <w:name w:val="明显强调1"/>
    <w:qFormat/>
    <w:uiPriority w:val="0"/>
    <w:rPr>
      <w:b/>
      <w:bCs/>
      <w:i/>
      <w:iCs/>
      <w:color w:val="4F81BD"/>
    </w:rPr>
  </w:style>
  <w:style w:type="character" w:customStyle="1" w:styleId="82">
    <w:name w:val="样式 标题 3 + 黑体 小四 Char Char"/>
    <w:link w:val="83"/>
    <w:qFormat/>
    <w:uiPriority w:val="0"/>
    <w:rPr>
      <w:rFonts w:ascii="黑体" w:hAnsi="Arial" w:eastAsia="黑体"/>
      <w:bCs/>
      <w:sz w:val="24"/>
      <w:szCs w:val="24"/>
      <w:lang w:bidi="ar-SA"/>
    </w:rPr>
  </w:style>
  <w:style w:type="paragraph" w:customStyle="1" w:styleId="83">
    <w:name w:val="样式 标题 3 + 黑体 小四"/>
    <w:basedOn w:val="6"/>
    <w:link w:val="82"/>
    <w:qFormat/>
    <w:uiPriority w:val="0"/>
    <w:pPr>
      <w:spacing w:before="260" w:after="260" w:line="413" w:lineRule="auto"/>
    </w:pPr>
    <w:rPr>
      <w:rFonts w:ascii="黑体" w:hAnsi="Arial"/>
      <w:b w:val="0"/>
      <w:bCs/>
      <w:kern w:val="0"/>
      <w:sz w:val="24"/>
      <w:szCs w:val="24"/>
    </w:rPr>
  </w:style>
  <w:style w:type="character" w:customStyle="1" w:styleId="84">
    <w:name w:val="heading 7 Char1"/>
    <w:qFormat/>
    <w:uiPriority w:val="0"/>
    <w:rPr>
      <w:rFonts w:ascii="Arial" w:hAnsi="Arial" w:eastAsia="黑体"/>
      <w:sz w:val="21"/>
      <w:szCs w:val="21"/>
      <w:lang w:val="en-US" w:eastAsia="zh-CN" w:bidi="ar-SA"/>
    </w:rPr>
  </w:style>
  <w:style w:type="character" w:customStyle="1" w:styleId="85">
    <w:name w:val="Char Char1"/>
    <w:qFormat/>
    <w:uiPriority w:val="0"/>
    <w:rPr>
      <w:rFonts w:eastAsia="宋体"/>
      <w:sz w:val="21"/>
      <w:lang w:val="en-US" w:eastAsia="zh-CN" w:bidi="ar-SA"/>
    </w:rPr>
  </w:style>
  <w:style w:type="character" w:customStyle="1" w:styleId="86">
    <w:name w:val="Char Char12"/>
    <w:qFormat/>
    <w:uiPriority w:val="0"/>
    <w:rPr>
      <w:rFonts w:eastAsia="宋体"/>
      <w:kern w:val="2"/>
      <w:sz w:val="21"/>
      <w:szCs w:val="24"/>
      <w:lang w:val="en-US" w:eastAsia="zh-CN" w:bidi="ar-SA"/>
    </w:rPr>
  </w:style>
  <w:style w:type="character" w:customStyle="1" w:styleId="87">
    <w:name w:val="Char Char18"/>
    <w:qFormat/>
    <w:uiPriority w:val="0"/>
    <w:rPr>
      <w:b/>
      <w:bCs/>
      <w:kern w:val="2"/>
      <w:sz w:val="32"/>
      <w:szCs w:val="32"/>
    </w:rPr>
  </w:style>
  <w:style w:type="character" w:customStyle="1" w:styleId="88">
    <w:name w:val="Char Char4"/>
    <w:qFormat/>
    <w:uiPriority w:val="0"/>
    <w:rPr>
      <w:rFonts w:ascii="Cambria" w:hAnsi="Cambria" w:eastAsia="宋体"/>
      <w:b/>
      <w:bCs/>
      <w:sz w:val="32"/>
      <w:szCs w:val="32"/>
      <w:lang w:bidi="ar-SA"/>
    </w:rPr>
  </w:style>
  <w:style w:type="character" w:customStyle="1" w:styleId="89">
    <w:name w:val="PI Char"/>
    <w:qFormat/>
    <w:uiPriority w:val="0"/>
    <w:rPr>
      <w:rFonts w:ascii="宋体" w:hAnsi="宋体"/>
      <w:sz w:val="24"/>
    </w:rPr>
  </w:style>
  <w:style w:type="character" w:customStyle="1" w:styleId="90">
    <w:name w:val="明显参考2"/>
    <w:qFormat/>
    <w:uiPriority w:val="0"/>
    <w:rPr>
      <w:b/>
      <w:bCs/>
      <w:smallCaps/>
      <w:color w:val="C0504D"/>
      <w:spacing w:val="5"/>
      <w:u w:val="single"/>
    </w:rPr>
  </w:style>
  <w:style w:type="character" w:customStyle="1" w:styleId="91">
    <w:name w:val="批注文字 Char"/>
    <w:link w:val="18"/>
    <w:qFormat/>
    <w:uiPriority w:val="0"/>
    <w:rPr>
      <w:rFonts w:eastAsia="宋体"/>
      <w:kern w:val="2"/>
      <w:sz w:val="21"/>
      <w:szCs w:val="24"/>
      <w:lang w:val="en-US" w:eastAsia="zh-CN" w:bidi="ar-SA"/>
    </w:rPr>
  </w:style>
  <w:style w:type="character" w:customStyle="1" w:styleId="92">
    <w:name w:val="Style2"/>
    <w:qFormat/>
    <w:uiPriority w:val="0"/>
    <w:rPr>
      <w:rFonts w:ascii="Calibri" w:hAnsi="宋体" w:eastAsia="宋体" w:cs="Times New Roman"/>
      <w:sz w:val="22"/>
      <w:szCs w:val="22"/>
      <w:lang w:eastAsia="zh-CN"/>
    </w:rPr>
  </w:style>
  <w:style w:type="character" w:customStyle="1" w:styleId="93">
    <w:name w:val="Footer-Even Char1"/>
    <w:qFormat/>
    <w:uiPriority w:val="0"/>
    <w:rPr>
      <w:rFonts w:eastAsia="宋体"/>
      <w:kern w:val="2"/>
      <w:sz w:val="18"/>
      <w:szCs w:val="18"/>
      <w:lang w:val="en-US" w:eastAsia="zh-CN" w:bidi="ar-SA"/>
    </w:rPr>
  </w:style>
  <w:style w:type="character" w:customStyle="1" w:styleId="94">
    <w:name w:val="heading 4 Char1"/>
    <w:qFormat/>
    <w:uiPriority w:val="0"/>
    <w:rPr>
      <w:rFonts w:ascii="Cambria" w:hAnsi="Cambria" w:eastAsia="宋体"/>
      <w:b/>
      <w:bCs/>
      <w:kern w:val="2"/>
      <w:sz w:val="28"/>
      <w:szCs w:val="28"/>
      <w:lang w:val="en-US" w:eastAsia="zh-CN" w:bidi="ar-SA"/>
    </w:rPr>
  </w:style>
  <w:style w:type="character" w:customStyle="1" w:styleId="95">
    <w:name w:val="正文文本 3 Char"/>
    <w:basedOn w:val="54"/>
    <w:link w:val="20"/>
    <w:qFormat/>
    <w:uiPriority w:val="0"/>
  </w:style>
  <w:style w:type="character" w:customStyle="1" w:styleId="96">
    <w:name w:val="批注主题 Char"/>
    <w:link w:val="49"/>
    <w:qFormat/>
    <w:uiPriority w:val="0"/>
    <w:rPr>
      <w:rFonts w:eastAsia="宋体"/>
      <w:b/>
      <w:bCs/>
      <w:kern w:val="2"/>
      <w:sz w:val="21"/>
      <w:szCs w:val="24"/>
      <w:lang w:val="en-US" w:eastAsia="zh-CN" w:bidi="ar-SA"/>
    </w:rPr>
  </w:style>
  <w:style w:type="character" w:customStyle="1" w:styleId="97">
    <w:name w:val="不明显参考11"/>
    <w:qFormat/>
    <w:uiPriority w:val="0"/>
    <w:rPr>
      <w:smallCaps/>
      <w:color w:val="C0504D"/>
      <w:u w:val="single"/>
    </w:rPr>
  </w:style>
  <w:style w:type="character" w:customStyle="1" w:styleId="98">
    <w:name w:val="Plain Text Char"/>
    <w:qFormat/>
    <w:uiPriority w:val="0"/>
    <w:rPr>
      <w:rFonts w:ascii="宋体" w:hAnsi="Courier New" w:eastAsia="宋体" w:cs="Times New Roman"/>
      <w:sz w:val="21"/>
      <w:szCs w:val="21"/>
    </w:rPr>
  </w:style>
  <w:style w:type="character" w:customStyle="1" w:styleId="99">
    <w:name w:val="Char Char111"/>
    <w:qFormat/>
    <w:uiPriority w:val="0"/>
    <w:rPr>
      <w:rFonts w:ascii="Times New Roman" w:hAnsi="Times New Roman" w:eastAsia="宋体" w:cs="Times New Roman"/>
      <w:sz w:val="18"/>
      <w:szCs w:val="18"/>
    </w:rPr>
  </w:style>
  <w:style w:type="character" w:customStyle="1" w:styleId="100">
    <w:name w:val="无间距字符"/>
    <w:link w:val="101"/>
    <w:qFormat/>
    <w:uiPriority w:val="0"/>
    <w:rPr>
      <w:rFonts w:eastAsia="Times New Roman"/>
      <w:sz w:val="22"/>
      <w:szCs w:val="22"/>
      <w:lang w:val="en-US" w:eastAsia="zh-CN" w:bidi="ar-SA"/>
    </w:rPr>
  </w:style>
  <w:style w:type="paragraph" w:customStyle="1" w:styleId="101">
    <w:name w:val="无间距"/>
    <w:link w:val="100"/>
    <w:qFormat/>
    <w:uiPriority w:val="0"/>
    <w:rPr>
      <w:rFonts w:ascii="Times New Roman" w:hAnsi="Times New Roman" w:eastAsia="Times New Roman" w:cs="Times New Roman"/>
      <w:sz w:val="22"/>
      <w:szCs w:val="22"/>
      <w:lang w:val="en-US" w:eastAsia="zh-CN" w:bidi="ar-SA"/>
    </w:rPr>
  </w:style>
  <w:style w:type="character" w:customStyle="1" w:styleId="102">
    <w:name w:val="heading 5 Char2"/>
    <w:qFormat/>
    <w:uiPriority w:val="0"/>
    <w:rPr>
      <w:b/>
      <w:bCs/>
      <w:kern w:val="2"/>
      <w:sz w:val="28"/>
      <w:szCs w:val="28"/>
    </w:rPr>
  </w:style>
  <w:style w:type="character" w:customStyle="1" w:styleId="103">
    <w:name w:val="样式2 Char Char"/>
    <w:link w:val="104"/>
    <w:qFormat/>
    <w:uiPriority w:val="0"/>
    <w:rPr>
      <w:rFonts w:ascii="宋体" w:hAnsi="宋体" w:eastAsia="宋体"/>
      <w:bCs/>
      <w:kern w:val="2"/>
      <w:sz w:val="28"/>
      <w:szCs w:val="28"/>
      <w:lang w:val="en-US" w:eastAsia="zh-CN" w:bidi="ar-SA"/>
    </w:rPr>
  </w:style>
  <w:style w:type="paragraph" w:customStyle="1" w:styleId="104">
    <w:name w:val="样式2"/>
    <w:basedOn w:val="5"/>
    <w:link w:val="103"/>
    <w:qFormat/>
    <w:uiPriority w:val="0"/>
    <w:pPr>
      <w:keepLines/>
      <w:snapToGrid w:val="0"/>
      <w:spacing w:before="260" w:afterLines="50" w:line="480" w:lineRule="exact"/>
      <w:ind w:firstLine="556"/>
    </w:pPr>
    <w:rPr>
      <w:rFonts w:ascii="宋体" w:hAnsi="宋体"/>
      <w:b w:val="0"/>
      <w:bCs/>
      <w:szCs w:val="28"/>
    </w:rPr>
  </w:style>
  <w:style w:type="character" w:customStyle="1" w:styleId="105">
    <w:name w:val="正文缩进 Char"/>
    <w:link w:val="9"/>
    <w:qFormat/>
    <w:uiPriority w:val="0"/>
    <w:rPr>
      <w:rFonts w:ascii="仿宋_GB2312" w:eastAsia="宋体"/>
      <w:b/>
      <w:sz w:val="21"/>
      <w:szCs w:val="32"/>
      <w:lang w:val="en-US" w:eastAsia="zh-CN" w:bidi="ar-SA"/>
    </w:rPr>
  </w:style>
  <w:style w:type="character" w:customStyle="1" w:styleId="106">
    <w:name w:val="heading 2 Char1"/>
    <w:qFormat/>
    <w:uiPriority w:val="0"/>
    <w:rPr>
      <w:rFonts w:ascii="Cambria" w:hAnsi="Cambria" w:eastAsia="宋体"/>
      <w:b/>
      <w:bCs/>
      <w:kern w:val="2"/>
      <w:sz w:val="32"/>
      <w:szCs w:val="32"/>
      <w:lang w:val="en-US" w:eastAsia="zh-CN" w:bidi="ar-SA"/>
    </w:rPr>
  </w:style>
  <w:style w:type="character" w:customStyle="1" w:styleId="107">
    <w:name w:val="heading 3 Char1"/>
    <w:qFormat/>
    <w:uiPriority w:val="0"/>
    <w:rPr>
      <w:rFonts w:eastAsia="宋体"/>
      <w:b/>
      <w:bCs/>
      <w:kern w:val="2"/>
      <w:sz w:val="32"/>
      <w:szCs w:val="32"/>
      <w:lang w:val="en-US" w:eastAsia="zh-CN" w:bidi="ar-SA"/>
    </w:rPr>
  </w:style>
  <w:style w:type="character" w:customStyle="1" w:styleId="108">
    <w:name w:val="Char Char15"/>
    <w:qFormat/>
    <w:uiPriority w:val="0"/>
    <w:rPr>
      <w:rFonts w:ascii="Arial" w:hAnsi="Arial" w:eastAsia="黑体"/>
      <w:sz w:val="24"/>
      <w:szCs w:val="24"/>
    </w:rPr>
  </w:style>
  <w:style w:type="character" w:customStyle="1" w:styleId="109">
    <w:name w:val="heading 1 Char"/>
    <w:qFormat/>
    <w:uiPriority w:val="0"/>
    <w:rPr>
      <w:rFonts w:ascii="Arial" w:hAnsi="Arial" w:eastAsia="黑体"/>
      <w:b/>
      <w:sz w:val="36"/>
      <w:szCs w:val="36"/>
    </w:rPr>
  </w:style>
  <w:style w:type="character" w:customStyle="1" w:styleId="110">
    <w:name w:val="ändrad Char"/>
    <w:qFormat/>
    <w:uiPriority w:val="0"/>
    <w:rPr>
      <w:rFonts w:eastAsia="宋体"/>
      <w:kern w:val="2"/>
      <w:sz w:val="21"/>
      <w:szCs w:val="24"/>
      <w:lang w:val="en-US" w:eastAsia="zh-CN" w:bidi="ar-SA"/>
    </w:rPr>
  </w:style>
  <w:style w:type="character" w:customStyle="1" w:styleId="111">
    <w:name w:val="标题 Char"/>
    <w:link w:val="48"/>
    <w:qFormat/>
    <w:uiPriority w:val="0"/>
    <w:rPr>
      <w:rFonts w:ascii="Cambria" w:hAnsi="Cambria" w:eastAsia="宋体"/>
      <w:b/>
      <w:bCs/>
      <w:kern w:val="2"/>
      <w:sz w:val="32"/>
      <w:szCs w:val="32"/>
      <w:lang w:val="en-US" w:eastAsia="zh-CN" w:bidi="ar-SA"/>
    </w:rPr>
  </w:style>
  <w:style w:type="character" w:customStyle="1" w:styleId="112">
    <w:name w:val="Char Char22"/>
    <w:qFormat/>
    <w:uiPriority w:val="0"/>
    <w:rPr>
      <w:rFonts w:ascii="Arial" w:hAnsi="Arial" w:eastAsia="黑体"/>
      <w:b/>
      <w:bCs/>
      <w:kern w:val="44"/>
      <w:sz w:val="30"/>
      <w:szCs w:val="44"/>
      <w:lang w:val="en-US" w:eastAsia="zh-CN" w:bidi="ar-SA"/>
    </w:rPr>
  </w:style>
  <w:style w:type="character" w:customStyle="1" w:styleId="113">
    <w:name w:val="blue1"/>
    <w:basedOn w:val="54"/>
    <w:qFormat/>
    <w:uiPriority w:val="0"/>
  </w:style>
  <w:style w:type="character" w:customStyle="1" w:styleId="114">
    <w:name w:val="样式 宋体"/>
    <w:qFormat/>
    <w:uiPriority w:val="0"/>
    <w:rPr>
      <w:rFonts w:ascii="宋体" w:hAnsi="宋体" w:eastAsia="宋体"/>
      <w:sz w:val="24"/>
      <w:szCs w:val="24"/>
    </w:rPr>
  </w:style>
  <w:style w:type="character" w:customStyle="1" w:styleId="115">
    <w:name w:val="dandyren_title1"/>
    <w:qFormat/>
    <w:uiPriority w:val="0"/>
    <w:rPr>
      <w:b/>
      <w:bCs/>
      <w:color w:val="FF6633"/>
      <w:sz w:val="18"/>
      <w:szCs w:val="18"/>
    </w:rPr>
  </w:style>
  <w:style w:type="character" w:customStyle="1" w:styleId="116">
    <w:name w:val="font21"/>
    <w:basedOn w:val="54"/>
    <w:qFormat/>
    <w:uiPriority w:val="0"/>
    <w:rPr>
      <w:rFonts w:ascii="Wingdings 2" w:hAnsi="Wingdings 2" w:eastAsia="Wingdings 2" w:cs="Wingdings 2"/>
      <w:b/>
      <w:color w:val="000000"/>
      <w:sz w:val="20"/>
      <w:szCs w:val="20"/>
      <w:u w:val="none"/>
    </w:rPr>
  </w:style>
  <w:style w:type="character" w:customStyle="1" w:styleId="117">
    <w:name w:val="Ò³Ã¼ Char Char1"/>
    <w:qFormat/>
    <w:uiPriority w:val="0"/>
    <w:rPr>
      <w:rFonts w:eastAsia="宋体"/>
      <w:kern w:val="2"/>
      <w:sz w:val="18"/>
      <w:szCs w:val="18"/>
      <w:lang w:val="en-US" w:eastAsia="zh-CN" w:bidi="ar-SA"/>
    </w:rPr>
  </w:style>
  <w:style w:type="character" w:customStyle="1" w:styleId="118">
    <w:name w:val="宏文本 Char"/>
    <w:link w:val="3"/>
    <w:qFormat/>
    <w:uiPriority w:val="0"/>
    <w:rPr>
      <w:rFonts w:ascii="Courier New" w:hAnsi="Courier New" w:eastAsia="Times New Roman"/>
      <w:kern w:val="2"/>
      <w:sz w:val="24"/>
      <w:szCs w:val="24"/>
      <w:lang w:val="en-US" w:eastAsia="zh-CN" w:bidi="ar-SA"/>
    </w:rPr>
  </w:style>
  <w:style w:type="character" w:customStyle="1" w:styleId="119">
    <w:name w:val="Footer-Even Char"/>
    <w:qFormat/>
    <w:uiPriority w:val="0"/>
    <w:rPr>
      <w:sz w:val="18"/>
      <w:szCs w:val="18"/>
    </w:rPr>
  </w:style>
  <w:style w:type="character" w:customStyle="1" w:styleId="120">
    <w:name w:val="页脚 Char"/>
    <w:link w:val="34"/>
    <w:qFormat/>
    <w:uiPriority w:val="0"/>
    <w:rPr>
      <w:rFonts w:eastAsia="宋体"/>
      <w:kern w:val="2"/>
      <w:sz w:val="18"/>
      <w:szCs w:val="18"/>
      <w:lang w:val="en-US" w:eastAsia="zh-CN" w:bidi="ar-SA"/>
    </w:rPr>
  </w:style>
  <w:style w:type="character" w:customStyle="1" w:styleId="121">
    <w:name w:val="style111"/>
    <w:qFormat/>
    <w:uiPriority w:val="0"/>
    <w:rPr>
      <w:sz w:val="27"/>
      <w:szCs w:val="27"/>
    </w:rPr>
  </w:style>
  <w:style w:type="character" w:customStyle="1" w:styleId="122">
    <w:name w:val="PI Char2"/>
    <w:qFormat/>
    <w:uiPriority w:val="0"/>
    <w:rPr>
      <w:kern w:val="2"/>
      <w:sz w:val="24"/>
      <w:szCs w:val="24"/>
    </w:rPr>
  </w:style>
  <w:style w:type="character" w:customStyle="1" w:styleId="123">
    <w:name w:val="gray6"/>
    <w:basedOn w:val="54"/>
    <w:qFormat/>
    <w:uiPriority w:val="0"/>
  </w:style>
  <w:style w:type="character" w:customStyle="1" w:styleId="124">
    <w:name w:val="Char Char Char1"/>
    <w:qFormat/>
    <w:uiPriority w:val="0"/>
    <w:rPr>
      <w:rFonts w:ascii="宋体" w:hAnsi="Courier New"/>
      <w:sz w:val="21"/>
      <w:szCs w:val="21"/>
    </w:rPr>
  </w:style>
  <w:style w:type="character" w:customStyle="1" w:styleId="125">
    <w:name w:val="Char Char121"/>
    <w:qFormat/>
    <w:uiPriority w:val="0"/>
    <w:rPr>
      <w:rFonts w:eastAsia="宋体"/>
      <w:kern w:val="2"/>
      <w:sz w:val="21"/>
      <w:szCs w:val="24"/>
      <w:lang w:val="en-US" w:eastAsia="zh-CN" w:bidi="ar-SA"/>
    </w:rPr>
  </w:style>
  <w:style w:type="character" w:customStyle="1" w:styleId="126">
    <w:name w:val="Char Char Char Char Char Char Char Char Char"/>
    <w:qFormat/>
    <w:uiPriority w:val="0"/>
    <w:rPr>
      <w:rFonts w:ascii="宋体" w:hAnsi="Courier New" w:eastAsia="宋体"/>
      <w:sz w:val="21"/>
      <w:szCs w:val="21"/>
      <w:lang w:val="en-US" w:eastAsia="zh-CN" w:bidi="ar-SA"/>
    </w:rPr>
  </w:style>
  <w:style w:type="character" w:customStyle="1" w:styleId="127">
    <w:name w:val="heading 4 Char2"/>
    <w:qFormat/>
    <w:uiPriority w:val="0"/>
    <w:rPr>
      <w:rFonts w:ascii="Cambria" w:hAnsi="Cambria"/>
      <w:b/>
      <w:bCs/>
      <w:kern w:val="2"/>
      <w:sz w:val="28"/>
      <w:szCs w:val="28"/>
    </w:rPr>
  </w:style>
  <w:style w:type="character" w:customStyle="1" w:styleId="128">
    <w:name w:val="heading 3 Char"/>
    <w:qFormat/>
    <w:uiPriority w:val="0"/>
    <w:rPr>
      <w:rFonts w:ascii="Arial" w:hAnsi="Arial" w:eastAsia="黑体"/>
      <w:sz w:val="28"/>
      <w:szCs w:val="24"/>
    </w:rPr>
  </w:style>
  <w:style w:type="character" w:customStyle="1" w:styleId="129">
    <w:name w:val="标题 1 Char"/>
    <w:link w:val="4"/>
    <w:qFormat/>
    <w:uiPriority w:val="0"/>
    <w:rPr>
      <w:rFonts w:eastAsia="黑体"/>
      <w:b/>
      <w:kern w:val="2"/>
      <w:sz w:val="32"/>
      <w:lang w:val="en-US" w:eastAsia="zh-CN" w:bidi="ar-SA"/>
    </w:rPr>
  </w:style>
  <w:style w:type="character" w:customStyle="1" w:styleId="130">
    <w:name w:val="Char Char16"/>
    <w:qFormat/>
    <w:uiPriority w:val="0"/>
    <w:rPr>
      <w:b/>
      <w:bCs/>
      <w:kern w:val="2"/>
      <w:sz w:val="28"/>
      <w:szCs w:val="28"/>
    </w:rPr>
  </w:style>
  <w:style w:type="character" w:customStyle="1" w:styleId="131">
    <w:name w:val="文档结构图 Char"/>
    <w:link w:val="17"/>
    <w:qFormat/>
    <w:uiPriority w:val="0"/>
    <w:rPr>
      <w:rFonts w:eastAsia="宋体"/>
      <w:kern w:val="2"/>
      <w:sz w:val="21"/>
      <w:szCs w:val="24"/>
      <w:lang w:val="en-US" w:eastAsia="zh-CN" w:bidi="ar-SA"/>
    </w:rPr>
  </w:style>
  <w:style w:type="character" w:customStyle="1" w:styleId="132">
    <w:name w:val="标题 5 Char"/>
    <w:link w:val="7"/>
    <w:qFormat/>
    <w:uiPriority w:val="0"/>
    <w:rPr>
      <w:rFonts w:eastAsia="宋体"/>
      <w:b/>
      <w:bCs/>
      <w:sz w:val="28"/>
      <w:szCs w:val="28"/>
      <w:lang w:bidi="ar-SA"/>
    </w:rPr>
  </w:style>
  <w:style w:type="character" w:customStyle="1" w:styleId="133">
    <w:name w:val="日期 Char"/>
    <w:link w:val="31"/>
    <w:qFormat/>
    <w:uiPriority w:val="0"/>
    <w:rPr>
      <w:rFonts w:eastAsia="宋体"/>
      <w:kern w:val="2"/>
      <w:sz w:val="21"/>
      <w:szCs w:val="24"/>
      <w:lang w:val="en-US" w:eastAsia="zh-CN" w:bidi="ar-SA"/>
    </w:rPr>
  </w:style>
  <w:style w:type="character" w:customStyle="1" w:styleId="134">
    <w:name w:val="副标题 Char"/>
    <w:link w:val="39"/>
    <w:qFormat/>
    <w:uiPriority w:val="0"/>
    <w:rPr>
      <w:rFonts w:ascii="Cambria" w:hAnsi="Cambria" w:eastAsia="宋体"/>
      <w:b/>
      <w:bCs/>
      <w:kern w:val="28"/>
      <w:sz w:val="32"/>
      <w:szCs w:val="32"/>
      <w:lang w:val="en-US" w:eastAsia="zh-CN" w:bidi="ar-SA"/>
    </w:rPr>
  </w:style>
  <w:style w:type="character" w:customStyle="1" w:styleId="135">
    <w:name w:val="页眉 Char"/>
    <w:link w:val="35"/>
    <w:qFormat/>
    <w:uiPriority w:val="0"/>
    <w:rPr>
      <w:rFonts w:eastAsia="宋体"/>
      <w:kern w:val="2"/>
      <w:sz w:val="18"/>
      <w:szCs w:val="18"/>
      <w:lang w:val="en-US" w:eastAsia="zh-CN" w:bidi="ar-SA"/>
    </w:rPr>
  </w:style>
  <w:style w:type="character" w:customStyle="1" w:styleId="136">
    <w:name w:val="style13"/>
    <w:basedOn w:val="54"/>
    <w:qFormat/>
    <w:uiPriority w:val="0"/>
  </w:style>
  <w:style w:type="character" w:customStyle="1" w:styleId="137">
    <w:name w:val="textcolor1"/>
    <w:qFormat/>
    <w:uiPriority w:val="0"/>
    <w:rPr>
      <w:rFonts w:ascii="仿宋_GB2312" w:eastAsia="仿宋_GB2312"/>
      <w:b/>
      <w:color w:val="FF6600"/>
      <w:sz w:val="32"/>
      <w:szCs w:val="32"/>
    </w:rPr>
  </w:style>
  <w:style w:type="character" w:customStyle="1" w:styleId="138">
    <w:name w:val="Table Text Char Char"/>
    <w:link w:val="139"/>
    <w:qFormat/>
    <w:uiPriority w:val="0"/>
    <w:rPr>
      <w:sz w:val="21"/>
      <w:lang w:val="en-US" w:eastAsia="en-US" w:bidi="ar-SA"/>
    </w:rPr>
  </w:style>
  <w:style w:type="paragraph" w:customStyle="1" w:styleId="139">
    <w:name w:val="Table Text"/>
    <w:basedOn w:val="1"/>
    <w:link w:val="138"/>
    <w:qFormat/>
    <w:uiPriority w:val="0"/>
    <w:pPr>
      <w:widowControl/>
      <w:tabs>
        <w:tab w:val="decimal" w:pos="0"/>
      </w:tabs>
      <w:overflowPunct w:val="0"/>
      <w:autoSpaceDE w:val="0"/>
      <w:autoSpaceDN w:val="0"/>
      <w:adjustRightInd w:val="0"/>
      <w:jc w:val="left"/>
      <w:textAlignment w:val="baseline"/>
    </w:pPr>
    <w:rPr>
      <w:kern w:val="0"/>
      <w:szCs w:val="20"/>
      <w:lang w:eastAsia="en-US"/>
    </w:rPr>
  </w:style>
  <w:style w:type="character" w:customStyle="1" w:styleId="140">
    <w:name w:val="Ò³Ã¼ Char Char"/>
    <w:qFormat/>
    <w:uiPriority w:val="0"/>
    <w:rPr>
      <w:sz w:val="18"/>
      <w:szCs w:val="18"/>
    </w:rPr>
  </w:style>
  <w:style w:type="character" w:customStyle="1" w:styleId="141">
    <w:name w:val="heading 2 Char2"/>
    <w:qFormat/>
    <w:uiPriority w:val="0"/>
    <w:rPr>
      <w:rFonts w:ascii="Cambria" w:hAnsi="Cambria"/>
      <w:b/>
      <w:bCs/>
      <w:kern w:val="2"/>
      <w:sz w:val="32"/>
      <w:szCs w:val="32"/>
    </w:rPr>
  </w:style>
  <w:style w:type="character" w:customStyle="1" w:styleId="142">
    <w:name w:val="书籍标题11"/>
    <w:qFormat/>
    <w:uiPriority w:val="0"/>
    <w:rPr>
      <w:b/>
      <w:bCs/>
      <w:smallCaps/>
      <w:spacing w:val="5"/>
    </w:rPr>
  </w:style>
  <w:style w:type="character" w:customStyle="1" w:styleId="143">
    <w:name w:val="Char Char21"/>
    <w:qFormat/>
    <w:uiPriority w:val="0"/>
    <w:rPr>
      <w:rFonts w:ascii="Times New Roman" w:hAnsi="Times New Roman" w:eastAsia="宋体" w:cs="Times New Roman"/>
      <w:b/>
      <w:bCs/>
      <w:kern w:val="44"/>
      <w:sz w:val="44"/>
      <w:szCs w:val="44"/>
    </w:rPr>
  </w:style>
  <w:style w:type="character" w:customStyle="1" w:styleId="144">
    <w:name w:val="正文文本缩进 Char"/>
    <w:link w:val="22"/>
    <w:qFormat/>
    <w:uiPriority w:val="0"/>
    <w:rPr>
      <w:rFonts w:eastAsia="宋体"/>
      <w:kern w:val="2"/>
      <w:sz w:val="24"/>
      <w:szCs w:val="24"/>
      <w:lang w:val="en-US" w:eastAsia="zh-CN" w:bidi="ar-SA"/>
    </w:rPr>
  </w:style>
  <w:style w:type="character" w:customStyle="1" w:styleId="145">
    <w:name w:val="不明显强调1"/>
    <w:qFormat/>
    <w:uiPriority w:val="0"/>
    <w:rPr>
      <w:i/>
      <w:iCs/>
      <w:color w:val="808080"/>
    </w:rPr>
  </w:style>
  <w:style w:type="character" w:customStyle="1" w:styleId="146">
    <w:name w:val="正文文本缩进 3 Char"/>
    <w:link w:val="43"/>
    <w:qFormat/>
    <w:uiPriority w:val="0"/>
    <w:rPr>
      <w:rFonts w:eastAsia="宋体"/>
      <w:kern w:val="2"/>
      <w:sz w:val="24"/>
      <w:szCs w:val="24"/>
      <w:lang w:val="en-US" w:eastAsia="zh-CN" w:bidi="ar-SA"/>
    </w:rPr>
  </w:style>
  <w:style w:type="character" w:customStyle="1" w:styleId="147">
    <w:name w:val="heading 5 Char"/>
    <w:qFormat/>
    <w:uiPriority w:val="0"/>
    <w:rPr>
      <w:rFonts w:ascii="Arial" w:hAnsi="Arial" w:eastAsia="黑体"/>
      <w:sz w:val="21"/>
      <w:szCs w:val="21"/>
    </w:rPr>
  </w:style>
  <w:style w:type="character" w:customStyle="1" w:styleId="148">
    <w:name w:val="Style3"/>
    <w:qFormat/>
    <w:uiPriority w:val="0"/>
    <w:rPr>
      <w:rFonts w:ascii="Calibri" w:hAnsi="宋体" w:eastAsia="宋体" w:cs="Times New Roman"/>
      <w:szCs w:val="22"/>
      <w:lang w:eastAsia="zh-CN"/>
    </w:rPr>
  </w:style>
  <w:style w:type="character" w:customStyle="1" w:styleId="149">
    <w:name w:val="标题 4 Char"/>
    <w:link w:val="2"/>
    <w:qFormat/>
    <w:uiPriority w:val="0"/>
    <w:rPr>
      <w:rFonts w:eastAsia="宋体"/>
      <w:kern w:val="2"/>
      <w:sz w:val="28"/>
      <w:szCs w:val="28"/>
      <w:lang w:val="en-US" w:eastAsia="zh-CN" w:bidi="ar-SA"/>
    </w:rPr>
  </w:style>
  <w:style w:type="character" w:customStyle="1" w:styleId="150">
    <w:name w:val="Char Char241"/>
    <w:qFormat/>
    <w:uiPriority w:val="0"/>
    <w:rPr>
      <w:rFonts w:eastAsia="宋体"/>
      <w:b/>
      <w:kern w:val="2"/>
      <w:sz w:val="28"/>
      <w:lang w:val="en-US" w:eastAsia="zh-CN" w:bidi="ar-SA"/>
    </w:rPr>
  </w:style>
  <w:style w:type="character" w:customStyle="1" w:styleId="151">
    <w:name w:val="批注框文本 Char"/>
    <w:link w:val="33"/>
    <w:qFormat/>
    <w:uiPriority w:val="0"/>
    <w:rPr>
      <w:rFonts w:eastAsia="宋体"/>
      <w:kern w:val="2"/>
      <w:sz w:val="18"/>
      <w:szCs w:val="18"/>
      <w:lang w:val="en-US" w:eastAsia="zh-CN" w:bidi="ar-SA"/>
    </w:rPr>
  </w:style>
  <w:style w:type="character" w:customStyle="1" w:styleId="152">
    <w:name w:val="标题 3 Char"/>
    <w:link w:val="6"/>
    <w:qFormat/>
    <w:uiPriority w:val="0"/>
    <w:rPr>
      <w:rFonts w:eastAsia="黑体"/>
      <w:b/>
      <w:kern w:val="2"/>
      <w:sz w:val="28"/>
      <w:lang w:val="en-US" w:eastAsia="zh-CN" w:bidi="ar-SA"/>
    </w:rPr>
  </w:style>
  <w:style w:type="character" w:customStyle="1" w:styleId="153">
    <w:name w:val="明显强调11"/>
    <w:qFormat/>
    <w:uiPriority w:val="0"/>
    <w:rPr>
      <w:b/>
      <w:bCs/>
      <w:i/>
      <w:iCs/>
      <w:color w:val="4F81BD"/>
    </w:rPr>
  </w:style>
  <w:style w:type="character" w:customStyle="1" w:styleId="154">
    <w:name w:val="签名 Char"/>
    <w:link w:val="36"/>
    <w:qFormat/>
    <w:uiPriority w:val="0"/>
    <w:rPr>
      <w:rFonts w:ascii="仿宋_GB2312" w:eastAsia="仿宋_GB2312"/>
      <w:b/>
      <w:sz w:val="24"/>
      <w:szCs w:val="32"/>
    </w:rPr>
  </w:style>
  <w:style w:type="character" w:customStyle="1" w:styleId="155">
    <w:name w:val="heading 3 Char2"/>
    <w:qFormat/>
    <w:uiPriority w:val="0"/>
    <w:rPr>
      <w:b/>
      <w:bCs/>
      <w:kern w:val="2"/>
      <w:sz w:val="32"/>
      <w:szCs w:val="32"/>
    </w:rPr>
  </w:style>
  <w:style w:type="character" w:customStyle="1" w:styleId="156">
    <w:name w:val="style21"/>
    <w:qFormat/>
    <w:uiPriority w:val="0"/>
    <w:rPr>
      <w:sz w:val="15"/>
      <w:szCs w:val="15"/>
    </w:rPr>
  </w:style>
  <w:style w:type="character" w:customStyle="1" w:styleId="157">
    <w:name w:val="Char Char271"/>
    <w:qFormat/>
    <w:uiPriority w:val="0"/>
    <w:rPr>
      <w:rFonts w:eastAsia="宋体"/>
      <w:kern w:val="2"/>
      <w:sz w:val="28"/>
      <w:lang w:val="en-US" w:eastAsia="zh-CN" w:bidi="ar-SA"/>
    </w:rPr>
  </w:style>
  <w:style w:type="character" w:customStyle="1" w:styleId="158">
    <w:name w:val="表格 Char Char"/>
    <w:link w:val="159"/>
    <w:qFormat/>
    <w:uiPriority w:val="0"/>
    <w:rPr>
      <w:rFonts w:ascii="宋体" w:hAnsi="宋体" w:eastAsia="宋体"/>
      <w:lang w:val="en-US" w:eastAsia="zh-CN" w:bidi="ar-SA"/>
    </w:rPr>
  </w:style>
  <w:style w:type="paragraph" w:customStyle="1" w:styleId="159">
    <w:name w:val="表格"/>
    <w:basedOn w:val="1"/>
    <w:link w:val="158"/>
    <w:qFormat/>
    <w:uiPriority w:val="0"/>
    <w:pPr>
      <w:autoSpaceDE w:val="0"/>
      <w:autoSpaceDN w:val="0"/>
      <w:adjustRightInd w:val="0"/>
      <w:snapToGrid w:val="0"/>
      <w:ind w:firstLine="42" w:firstLineChars="21"/>
      <w:jc w:val="left"/>
    </w:pPr>
    <w:rPr>
      <w:rFonts w:ascii="宋体" w:hAnsi="宋体"/>
      <w:kern w:val="0"/>
      <w:sz w:val="20"/>
      <w:szCs w:val="20"/>
    </w:rPr>
  </w:style>
  <w:style w:type="character" w:customStyle="1" w:styleId="160">
    <w:name w:val="heading 6 Char1"/>
    <w:qFormat/>
    <w:uiPriority w:val="0"/>
    <w:rPr>
      <w:rFonts w:ascii="Arial" w:hAnsi="Arial" w:eastAsia="黑体"/>
      <w:kern w:val="2"/>
      <w:sz w:val="24"/>
      <w:szCs w:val="24"/>
      <w:lang w:val="en-US" w:eastAsia="zh-CN" w:bidi="ar-SA"/>
    </w:rPr>
  </w:style>
  <w:style w:type="character" w:customStyle="1" w:styleId="161">
    <w:name w:val="Char Char211"/>
    <w:qFormat/>
    <w:uiPriority w:val="0"/>
    <w:rPr>
      <w:rFonts w:ascii="Times New Roman" w:hAnsi="Times New Roman" w:eastAsia="宋体" w:cs="Times New Roman"/>
      <w:b/>
      <w:bCs/>
      <w:kern w:val="44"/>
      <w:sz w:val="44"/>
      <w:szCs w:val="44"/>
    </w:rPr>
  </w:style>
  <w:style w:type="character" w:customStyle="1" w:styleId="162">
    <w:name w:val="不明显强调11"/>
    <w:qFormat/>
    <w:uiPriority w:val="0"/>
    <w:rPr>
      <w:i/>
      <w:iCs/>
      <w:color w:val="808080"/>
    </w:rPr>
  </w:style>
  <w:style w:type="character" w:customStyle="1" w:styleId="163">
    <w:name w:val="标题 9 Char"/>
    <w:link w:val="12"/>
    <w:qFormat/>
    <w:uiPriority w:val="0"/>
    <w:rPr>
      <w:rFonts w:ascii="Arial" w:hAnsi="Arial" w:eastAsia="黑体"/>
      <w:kern w:val="2"/>
      <w:sz w:val="21"/>
      <w:lang w:val="en-US" w:eastAsia="zh-CN" w:bidi="ar-SA"/>
    </w:rPr>
  </w:style>
  <w:style w:type="character" w:customStyle="1" w:styleId="164">
    <w:name w:val="正文文本 Char"/>
    <w:link w:val="21"/>
    <w:qFormat/>
    <w:uiPriority w:val="0"/>
    <w:rPr>
      <w:rFonts w:ascii="仿宋_GB2312" w:eastAsia="宋体"/>
      <w:b/>
      <w:kern w:val="2"/>
      <w:sz w:val="21"/>
      <w:szCs w:val="24"/>
      <w:lang w:val="en-US" w:eastAsia="zh-CN" w:bidi="ar-SA"/>
    </w:rPr>
  </w:style>
  <w:style w:type="character" w:customStyle="1" w:styleId="165">
    <w:name w:val="明显引用 Char"/>
    <w:link w:val="166"/>
    <w:qFormat/>
    <w:uiPriority w:val="0"/>
    <w:rPr>
      <w:rFonts w:ascii="Calibri" w:hAnsi="Calibri" w:eastAsia="宋体"/>
      <w:b/>
      <w:bCs/>
      <w:i/>
      <w:iCs/>
      <w:color w:val="4F81BD"/>
      <w:lang w:val="en-US" w:eastAsia="zh-CN" w:bidi="ar-SA"/>
    </w:rPr>
  </w:style>
  <w:style w:type="paragraph" w:styleId="166">
    <w:name w:val="Intense Quote"/>
    <w:basedOn w:val="1"/>
    <w:next w:val="1"/>
    <w:link w:val="165"/>
    <w:qFormat/>
    <w:uiPriority w:val="0"/>
    <w:pPr>
      <w:pBdr>
        <w:bottom w:val="single" w:color="4F81BD" w:sz="4" w:space="4"/>
      </w:pBdr>
      <w:spacing w:before="200" w:after="280"/>
      <w:ind w:left="936" w:right="936"/>
    </w:pPr>
    <w:rPr>
      <w:rFonts w:ascii="Calibri" w:hAnsi="Calibri"/>
      <w:b/>
      <w:bCs/>
      <w:i/>
      <w:iCs/>
      <w:color w:val="4F81BD"/>
      <w:kern w:val="0"/>
      <w:sz w:val="20"/>
      <w:szCs w:val="20"/>
    </w:rPr>
  </w:style>
  <w:style w:type="character" w:customStyle="1" w:styleId="167">
    <w:name w:val="heading 5 Char1"/>
    <w:qFormat/>
    <w:uiPriority w:val="0"/>
    <w:rPr>
      <w:rFonts w:eastAsia="宋体"/>
      <w:b/>
      <w:bCs/>
      <w:kern w:val="2"/>
      <w:sz w:val="28"/>
      <w:szCs w:val="28"/>
      <w:lang w:val="en-US" w:eastAsia="zh-CN" w:bidi="ar-SA"/>
    </w:rPr>
  </w:style>
  <w:style w:type="character" w:customStyle="1" w:styleId="168">
    <w:name w:val="Texte Char Char"/>
    <w:qFormat/>
    <w:uiPriority w:val="0"/>
    <w:rPr>
      <w:rFonts w:ascii="宋体" w:hAnsi="Courier New" w:eastAsia="宋体"/>
      <w:sz w:val="21"/>
      <w:szCs w:val="21"/>
      <w:lang w:val="en-US" w:eastAsia="zh-CN" w:bidi="ar-SA"/>
    </w:rPr>
  </w:style>
  <w:style w:type="character" w:customStyle="1" w:styleId="169">
    <w:name w:val="正文1 Char Char"/>
    <w:link w:val="170"/>
    <w:qFormat/>
    <w:uiPriority w:val="0"/>
    <w:rPr>
      <w:rFonts w:ascii="宋体" w:hAnsi="宋体" w:eastAsia="宋体" w:cs="宋体"/>
      <w:sz w:val="21"/>
      <w:lang w:val="en-US" w:eastAsia="zh-CN" w:bidi="ar-SA"/>
    </w:rPr>
  </w:style>
  <w:style w:type="paragraph" w:customStyle="1" w:styleId="170">
    <w:name w:val="正文1"/>
    <w:basedOn w:val="1"/>
    <w:link w:val="169"/>
    <w:qFormat/>
    <w:uiPriority w:val="0"/>
    <w:pPr>
      <w:widowControl/>
      <w:spacing w:line="360" w:lineRule="auto"/>
      <w:ind w:left="360" w:firstLine="420"/>
      <w:jc w:val="left"/>
    </w:pPr>
    <w:rPr>
      <w:rFonts w:ascii="宋体" w:hAnsi="宋体" w:cs="宋体"/>
      <w:kern w:val="0"/>
      <w:szCs w:val="20"/>
    </w:rPr>
  </w:style>
  <w:style w:type="character" w:customStyle="1" w:styleId="171">
    <w:name w:val="heading 8 Char1"/>
    <w:qFormat/>
    <w:uiPriority w:val="0"/>
    <w:rPr>
      <w:rFonts w:ascii="Arial" w:hAnsi="Arial" w:eastAsia="黑体"/>
      <w:sz w:val="24"/>
      <w:lang w:val="en-US" w:eastAsia="zh-CN" w:bidi="ar-SA"/>
    </w:rPr>
  </w:style>
  <w:style w:type="character" w:customStyle="1" w:styleId="172">
    <w:name w:val="heading 9 Char1"/>
    <w:qFormat/>
    <w:uiPriority w:val="0"/>
    <w:rPr>
      <w:rFonts w:ascii="Arial" w:hAnsi="Arial" w:eastAsia="黑体"/>
      <w:sz w:val="21"/>
      <w:lang w:val="en-US" w:eastAsia="zh-CN" w:bidi="ar-SA"/>
    </w:rPr>
  </w:style>
  <w:style w:type="character" w:customStyle="1" w:styleId="173">
    <w:name w:val="标题 6 Char"/>
    <w:link w:val="8"/>
    <w:qFormat/>
    <w:uiPriority w:val="0"/>
    <w:rPr>
      <w:rFonts w:ascii="Arial" w:hAnsi="Arial" w:eastAsia="黑体"/>
      <w:b/>
      <w:kern w:val="2"/>
      <w:sz w:val="24"/>
      <w:lang w:val="en-US" w:eastAsia="zh-CN" w:bidi="ar-SA"/>
    </w:rPr>
  </w:style>
  <w:style w:type="character" w:customStyle="1" w:styleId="174">
    <w:name w:val="ändrad Char1"/>
    <w:qFormat/>
    <w:uiPriority w:val="0"/>
    <w:rPr>
      <w:rFonts w:ascii="仿宋_GB2312" w:eastAsia="宋体"/>
      <w:b/>
      <w:kern w:val="2"/>
      <w:sz w:val="21"/>
      <w:szCs w:val="24"/>
      <w:lang w:val="en-US" w:eastAsia="zh-CN" w:bidi="ar-SA"/>
    </w:rPr>
  </w:style>
  <w:style w:type="character" w:customStyle="1" w:styleId="175">
    <w:name w:val="Char Char41"/>
    <w:qFormat/>
    <w:uiPriority w:val="0"/>
    <w:rPr>
      <w:rFonts w:ascii="Cambria" w:hAnsi="Cambria" w:eastAsia="宋体"/>
      <w:b/>
      <w:bCs/>
      <w:sz w:val="32"/>
      <w:szCs w:val="32"/>
      <w:lang w:bidi="ar-SA"/>
    </w:rPr>
  </w:style>
  <w:style w:type="character" w:customStyle="1" w:styleId="176">
    <w:name w:val="标题 8 Char"/>
    <w:link w:val="11"/>
    <w:qFormat/>
    <w:uiPriority w:val="0"/>
    <w:rPr>
      <w:rFonts w:ascii="Arial" w:hAnsi="Arial" w:eastAsia="黑体"/>
      <w:kern w:val="2"/>
      <w:sz w:val="24"/>
      <w:lang w:val="en-US" w:eastAsia="zh-CN" w:bidi="ar-SA"/>
    </w:rPr>
  </w:style>
  <w:style w:type="character" w:customStyle="1" w:styleId="177">
    <w:name w:val="Char Char11"/>
    <w:qFormat/>
    <w:uiPriority w:val="0"/>
    <w:rPr>
      <w:rFonts w:ascii="Times New Roman" w:hAnsi="Times New Roman" w:eastAsia="宋体" w:cs="Times New Roman"/>
      <w:sz w:val="18"/>
      <w:szCs w:val="18"/>
    </w:rPr>
  </w:style>
  <w:style w:type="character" w:customStyle="1" w:styleId="178">
    <w:name w:val="正文文本缩进 2 Char"/>
    <w:link w:val="32"/>
    <w:qFormat/>
    <w:uiPriority w:val="0"/>
    <w:rPr>
      <w:rFonts w:eastAsia="宋体"/>
      <w:kern w:val="2"/>
      <w:sz w:val="24"/>
      <w:szCs w:val="24"/>
      <w:lang w:val="en-US" w:eastAsia="zh-CN" w:bidi="ar-SA"/>
    </w:rPr>
  </w:style>
  <w:style w:type="character" w:customStyle="1" w:styleId="179">
    <w:name w:val="Char Char6"/>
    <w:qFormat/>
    <w:uiPriority w:val="0"/>
    <w:rPr>
      <w:rFonts w:ascii="Times New Roman" w:hAnsi="Times New Roman" w:eastAsia="宋体" w:cs="Times New Roman"/>
      <w:szCs w:val="24"/>
    </w:rPr>
  </w:style>
  <w:style w:type="character" w:customStyle="1" w:styleId="180">
    <w:name w:val="Char Char Char"/>
    <w:qFormat/>
    <w:uiPriority w:val="0"/>
    <w:rPr>
      <w:rFonts w:ascii="宋体" w:hAnsi="Courier New" w:eastAsia="宋体"/>
      <w:b/>
      <w:sz w:val="21"/>
      <w:szCs w:val="21"/>
      <w:lang w:val="en-US" w:eastAsia="zh-CN" w:bidi="ar-SA"/>
    </w:rPr>
  </w:style>
  <w:style w:type="character" w:customStyle="1" w:styleId="181">
    <w:name w:val="heading 2 Char"/>
    <w:qFormat/>
    <w:uiPriority w:val="0"/>
    <w:rPr>
      <w:rFonts w:ascii="Arial" w:hAnsi="Arial" w:eastAsia="黑体" w:cs="Times New Roman"/>
      <w:sz w:val="30"/>
      <w:szCs w:val="24"/>
    </w:rPr>
  </w:style>
  <w:style w:type="character" w:customStyle="1" w:styleId="182">
    <w:name w:val="Char Char2"/>
    <w:qFormat/>
    <w:uiPriority w:val="0"/>
    <w:rPr>
      <w:rFonts w:ascii="Arial" w:hAnsi="Arial" w:eastAsia="黑体"/>
      <w:b/>
      <w:bCs/>
      <w:kern w:val="44"/>
      <w:sz w:val="30"/>
      <w:szCs w:val="44"/>
      <w:lang w:val="en-US" w:eastAsia="zh-CN" w:bidi="ar-SA"/>
    </w:rPr>
  </w:style>
  <w:style w:type="character" w:customStyle="1" w:styleId="183">
    <w:name w:val="Footer-Even Char2"/>
    <w:qFormat/>
    <w:uiPriority w:val="0"/>
    <w:rPr>
      <w:kern w:val="2"/>
      <w:sz w:val="18"/>
      <w:szCs w:val="18"/>
    </w:rPr>
  </w:style>
  <w:style w:type="character" w:customStyle="1" w:styleId="184">
    <w:name w:val="Char Char17"/>
    <w:qFormat/>
    <w:uiPriority w:val="0"/>
    <w:rPr>
      <w:rFonts w:ascii="Cambria" w:hAnsi="Cambria"/>
      <w:b/>
      <w:bCs/>
      <w:kern w:val="2"/>
      <w:sz w:val="28"/>
      <w:szCs w:val="28"/>
    </w:rPr>
  </w:style>
  <w:style w:type="character" w:customStyle="1" w:styleId="185">
    <w:name w:val="heading 4 Char"/>
    <w:qFormat/>
    <w:uiPriority w:val="0"/>
    <w:rPr>
      <w:rFonts w:ascii="Arial" w:hAnsi="Arial" w:eastAsia="黑体" w:cs="Times New Roman"/>
      <w:sz w:val="21"/>
      <w:szCs w:val="21"/>
    </w:rPr>
  </w:style>
  <w:style w:type="character" w:customStyle="1" w:styleId="186">
    <w:name w:val="Char Char20"/>
    <w:qFormat/>
    <w:uiPriority w:val="0"/>
    <w:rPr>
      <w:b/>
      <w:bCs/>
      <w:kern w:val="44"/>
      <w:sz w:val="44"/>
      <w:szCs w:val="44"/>
    </w:rPr>
  </w:style>
  <w:style w:type="character" w:customStyle="1" w:styleId="187">
    <w:name w:val="heading 1 Char2"/>
    <w:qFormat/>
    <w:uiPriority w:val="0"/>
    <w:rPr>
      <w:b/>
      <w:bCs/>
      <w:kern w:val="44"/>
      <w:sz w:val="44"/>
      <w:szCs w:val="44"/>
    </w:rPr>
  </w:style>
  <w:style w:type="character" w:customStyle="1" w:styleId="188">
    <w:name w:val="font11"/>
    <w:qFormat/>
    <w:uiPriority w:val="0"/>
    <w:rPr>
      <w:rFonts w:hint="eastAsia" w:ascii="宋体" w:hAnsi="宋体" w:eastAsia="宋体" w:cs="宋体"/>
      <w:b/>
      <w:color w:val="000000"/>
      <w:sz w:val="20"/>
      <w:szCs w:val="20"/>
      <w:u w:val="none"/>
    </w:rPr>
  </w:style>
  <w:style w:type="character" w:customStyle="1" w:styleId="189">
    <w:name w:val="表正文 Char2"/>
    <w:qFormat/>
    <w:uiPriority w:val="0"/>
    <w:rPr>
      <w:rFonts w:ascii="Times New Roman" w:hAnsi="Times New Roman" w:eastAsia="宋体" w:cs="Times New Roman"/>
      <w:szCs w:val="24"/>
    </w:rPr>
  </w:style>
  <w:style w:type="character" w:customStyle="1" w:styleId="190">
    <w:name w:val="引用 Char"/>
    <w:link w:val="191"/>
    <w:qFormat/>
    <w:uiPriority w:val="0"/>
    <w:rPr>
      <w:rFonts w:ascii="Calibri" w:hAnsi="Calibri" w:eastAsia="宋体"/>
      <w:i/>
      <w:iCs/>
      <w:color w:val="000000"/>
      <w:lang w:val="en-US" w:eastAsia="zh-CN" w:bidi="ar-SA"/>
    </w:rPr>
  </w:style>
  <w:style w:type="paragraph" w:styleId="191">
    <w:name w:val="Quote"/>
    <w:basedOn w:val="1"/>
    <w:next w:val="1"/>
    <w:link w:val="190"/>
    <w:qFormat/>
    <w:uiPriority w:val="0"/>
    <w:rPr>
      <w:rFonts w:ascii="Calibri" w:hAnsi="Calibri"/>
      <w:i/>
      <w:iCs/>
      <w:color w:val="000000"/>
      <w:kern w:val="0"/>
      <w:sz w:val="20"/>
      <w:szCs w:val="20"/>
    </w:rPr>
  </w:style>
  <w:style w:type="character" w:customStyle="1" w:styleId="192">
    <w:name w:val="纯文本 Char"/>
    <w:link w:val="28"/>
    <w:qFormat/>
    <w:uiPriority w:val="0"/>
    <w:rPr>
      <w:rFonts w:ascii="宋体" w:hAnsi="Courier New" w:eastAsia="宋体"/>
      <w:b/>
      <w:sz w:val="21"/>
      <w:szCs w:val="21"/>
      <w:lang w:val="en-US" w:eastAsia="zh-CN" w:bidi="ar-SA"/>
    </w:rPr>
  </w:style>
  <w:style w:type="character" w:customStyle="1" w:styleId="193">
    <w:name w:val="Char Char19"/>
    <w:qFormat/>
    <w:uiPriority w:val="0"/>
    <w:rPr>
      <w:rFonts w:ascii="Cambria" w:hAnsi="Cambria"/>
      <w:b/>
      <w:bCs/>
      <w:kern w:val="2"/>
      <w:sz w:val="32"/>
      <w:szCs w:val="32"/>
    </w:rPr>
  </w:style>
  <w:style w:type="character" w:customStyle="1" w:styleId="194">
    <w:name w:val="style41"/>
    <w:qFormat/>
    <w:uiPriority w:val="0"/>
    <w:rPr>
      <w:color w:val="auto"/>
    </w:rPr>
  </w:style>
  <w:style w:type="character" w:customStyle="1" w:styleId="195">
    <w:name w:val="Char Char201"/>
    <w:qFormat/>
    <w:uiPriority w:val="0"/>
    <w:rPr>
      <w:rFonts w:ascii="Cambria" w:hAnsi="Cambria" w:eastAsia="宋体" w:cs="Times New Roman"/>
      <w:b/>
      <w:bCs/>
      <w:sz w:val="32"/>
      <w:szCs w:val="32"/>
    </w:rPr>
  </w:style>
  <w:style w:type="character" w:customStyle="1" w:styleId="196">
    <w:name w:val="正文首行缩进 Char"/>
    <w:link w:val="50"/>
    <w:qFormat/>
    <w:uiPriority w:val="0"/>
    <w:rPr>
      <w:rFonts w:eastAsia="宋体"/>
      <w:lang w:val="en-US" w:eastAsia="zh-CN" w:bidi="ar-SA"/>
    </w:rPr>
  </w:style>
  <w:style w:type="character" w:customStyle="1" w:styleId="197">
    <w:name w:val="smalltxt1"/>
    <w:qFormat/>
    <w:uiPriority w:val="0"/>
    <w:rPr>
      <w:rFonts w:hint="default" w:ascii="ˎ̥" w:hAnsi="ˎ̥"/>
      <w:sz w:val="24"/>
      <w:szCs w:val="24"/>
    </w:rPr>
  </w:style>
  <w:style w:type="character" w:customStyle="1" w:styleId="198">
    <w:name w:val="正文文本 2 Char"/>
    <w:basedOn w:val="54"/>
    <w:link w:val="46"/>
    <w:qFormat/>
    <w:uiPriority w:val="0"/>
  </w:style>
  <w:style w:type="paragraph" w:customStyle="1" w:styleId="19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00">
    <w:name w:val="Char Char Char Char"/>
    <w:basedOn w:val="1"/>
    <w:qFormat/>
    <w:uiPriority w:val="0"/>
    <w:pPr>
      <w:autoSpaceDE w:val="0"/>
      <w:autoSpaceDN w:val="0"/>
      <w:adjustRightInd w:val="0"/>
      <w:jc w:val="left"/>
    </w:pPr>
    <w:rPr>
      <w:rFonts w:ascii="Tahoma" w:hAnsi="Tahoma"/>
      <w:kern w:val="0"/>
      <w:sz w:val="24"/>
      <w:szCs w:val="20"/>
    </w:rPr>
  </w:style>
  <w:style w:type="paragraph" w:customStyle="1" w:styleId="201">
    <w:name w:val="表内文字"/>
    <w:basedOn w:val="1"/>
    <w:qFormat/>
    <w:uiPriority w:val="0"/>
    <w:pPr>
      <w:spacing w:line="240" w:lineRule="atLeast"/>
      <w:jc w:val="center"/>
    </w:pPr>
    <w:rPr>
      <w:rFonts w:ascii="Arial" w:hAnsi="Arial" w:cs="Arial"/>
      <w:b/>
      <w:bCs/>
    </w:rPr>
  </w:style>
  <w:style w:type="paragraph" w:customStyle="1" w:styleId="202">
    <w:name w:val="列项——（一级）"/>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203">
    <w:name w:val="Char Char Char Char Char Char Char"/>
    <w:basedOn w:val="1"/>
    <w:qFormat/>
    <w:uiPriority w:val="0"/>
    <w:rPr>
      <w:rFonts w:ascii="仿宋_GB2312" w:eastAsia="仿宋_GB2312"/>
      <w:b/>
      <w:sz w:val="32"/>
      <w:szCs w:val="32"/>
    </w:rPr>
  </w:style>
  <w:style w:type="paragraph" w:customStyle="1" w:styleId="20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5">
    <w:name w:val="列出段落1"/>
    <w:basedOn w:val="1"/>
    <w:qFormat/>
    <w:uiPriority w:val="0"/>
    <w:pPr>
      <w:ind w:firstLine="420" w:firstLineChars="200"/>
    </w:pPr>
    <w:rPr>
      <w:szCs w:val="20"/>
    </w:rPr>
  </w:style>
  <w:style w:type="paragraph" w:customStyle="1" w:styleId="206">
    <w:name w:val="一级条标题"/>
    <w:next w:val="1"/>
    <w:qFormat/>
    <w:uiPriority w:val="0"/>
    <w:pPr>
      <w:tabs>
        <w:tab w:val="left" w:pos="3889"/>
      </w:tabs>
      <w:ind w:left="3889" w:hanging="420"/>
      <w:outlineLvl w:val="2"/>
    </w:pPr>
    <w:rPr>
      <w:rFonts w:ascii="Times New Roman" w:hAnsi="Times New Roman" w:eastAsia="黑体" w:cs="Times New Roman"/>
      <w:sz w:val="21"/>
      <w:lang w:val="en-US" w:eastAsia="zh-CN" w:bidi="ar-SA"/>
    </w:rPr>
  </w:style>
  <w:style w:type="paragraph" w:customStyle="1" w:styleId="2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08">
    <w:name w:val="技术报告正文"/>
    <w:basedOn w:val="1"/>
    <w:qFormat/>
    <w:uiPriority w:val="0"/>
    <w:pPr>
      <w:autoSpaceDE w:val="0"/>
      <w:autoSpaceDN w:val="0"/>
      <w:adjustRightInd w:val="0"/>
      <w:spacing w:beforeLines="50" w:line="440" w:lineRule="exact"/>
      <w:ind w:firstLine="538" w:firstLineChars="192"/>
      <w:jc w:val="left"/>
    </w:pPr>
    <w:rPr>
      <w:rFonts w:cs="Arial"/>
      <w:bCs/>
      <w:kern w:val="0"/>
      <w:sz w:val="28"/>
      <w:szCs w:val="20"/>
    </w:rPr>
  </w:style>
  <w:style w:type="paragraph" w:customStyle="1" w:styleId="209">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1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1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2">
    <w:name w:val="NICMAN Body Text"/>
    <w:basedOn w:val="1"/>
    <w:next w:val="21"/>
    <w:qFormat/>
    <w:uiPriority w:val="0"/>
    <w:pPr>
      <w:autoSpaceDE w:val="0"/>
      <w:autoSpaceDN w:val="0"/>
      <w:adjustRightInd w:val="0"/>
      <w:spacing w:after="120"/>
      <w:jc w:val="left"/>
    </w:pPr>
    <w:rPr>
      <w:kern w:val="0"/>
      <w:sz w:val="20"/>
      <w:szCs w:val="20"/>
    </w:rPr>
  </w:style>
  <w:style w:type="paragraph" w:customStyle="1" w:styleId="213">
    <w:name w:val="Char Char Char Char Char Char Char Char Char Char Char Char Char"/>
    <w:basedOn w:val="1"/>
    <w:qFormat/>
    <w:uiPriority w:val="0"/>
    <w:rPr>
      <w:rFonts w:ascii="Tahoma" w:hAnsi="Tahoma"/>
      <w:sz w:val="24"/>
      <w:szCs w:val="20"/>
    </w:rPr>
  </w:style>
  <w:style w:type="paragraph" w:customStyle="1" w:styleId="21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15">
    <w:name w:val="正文缩进1"/>
    <w:basedOn w:val="1"/>
    <w:next w:val="22"/>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216">
    <w:name w:val="Table Heading"/>
    <w:qFormat/>
    <w:uiPriority w:val="0"/>
    <w:pPr>
      <w:keepNext/>
      <w:snapToGrid w:val="0"/>
      <w:spacing w:before="80" w:after="80"/>
      <w:jc w:val="center"/>
    </w:pPr>
    <w:rPr>
      <w:rFonts w:ascii="Times New Roman" w:hAnsi="Times New Roman" w:eastAsia="黑体" w:cs="Arial"/>
      <w:kern w:val="2"/>
      <w:sz w:val="18"/>
      <w:szCs w:val="18"/>
      <w:lang w:val="en-US" w:eastAsia="zh-CN" w:bidi="ar-SA"/>
    </w:rPr>
  </w:style>
  <w:style w:type="paragraph" w:customStyle="1" w:styleId="217">
    <w:name w:val="Char Char Char Char1"/>
    <w:basedOn w:val="17"/>
    <w:qFormat/>
    <w:uiPriority w:val="0"/>
    <w:rPr>
      <w:rFonts w:ascii="Tahoma" w:hAnsi="Tahoma"/>
      <w:sz w:val="24"/>
    </w:rPr>
  </w:style>
  <w:style w:type="paragraph" w:customStyle="1" w:styleId="218">
    <w:name w:val="正文 首行缩进:  2 字符 Char"/>
    <w:basedOn w:val="1"/>
    <w:qFormat/>
    <w:uiPriority w:val="0"/>
    <w:pPr>
      <w:spacing w:line="360" w:lineRule="auto"/>
      <w:ind w:firstLine="480"/>
    </w:pPr>
    <w:rPr>
      <w:rFonts w:cs="宋体"/>
      <w:sz w:val="24"/>
      <w:szCs w:val="20"/>
    </w:rPr>
  </w:style>
  <w:style w:type="paragraph" w:customStyle="1" w:styleId="219">
    <w:name w:val="样式1"/>
    <w:basedOn w:val="1"/>
    <w:qFormat/>
    <w:uiPriority w:val="0"/>
    <w:pPr>
      <w:autoSpaceDE w:val="0"/>
      <w:autoSpaceDN w:val="0"/>
      <w:adjustRightInd w:val="0"/>
      <w:spacing w:line="400" w:lineRule="exact"/>
    </w:pPr>
    <w:rPr>
      <w:rFonts w:ascii="宋体" w:cs="宋体"/>
      <w:kern w:val="0"/>
    </w:rPr>
  </w:style>
  <w:style w:type="paragraph" w:customStyle="1" w:styleId="2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小标题"/>
    <w:basedOn w:val="1"/>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22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3">
    <w:name w:val="Char Char Char Char Char Char Char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224">
    <w:name w:val="样式"/>
    <w:basedOn w:val="1"/>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225">
    <w:name w:val="二级条标题"/>
    <w:basedOn w:val="206"/>
    <w:next w:val="1"/>
    <w:qFormat/>
    <w:uiPriority w:val="0"/>
    <w:pPr>
      <w:tabs>
        <w:tab w:val="left" w:pos="4309"/>
        <w:tab w:val="clear" w:pos="3889"/>
      </w:tabs>
      <w:ind w:left="4309"/>
      <w:outlineLvl w:val="3"/>
    </w:pPr>
  </w:style>
  <w:style w:type="paragraph" w:customStyle="1" w:styleId="226">
    <w:name w:val="正文－恩普"/>
    <w:basedOn w:val="9"/>
    <w:qFormat/>
    <w:uiPriority w:val="0"/>
    <w:pPr>
      <w:adjustRightInd/>
      <w:spacing w:line="360" w:lineRule="auto"/>
      <w:ind w:firstLine="200" w:firstLineChars="200"/>
      <w:textAlignment w:val="auto"/>
    </w:pPr>
    <w:rPr>
      <w:kern w:val="2"/>
      <w:sz w:val="24"/>
      <w:szCs w:val="24"/>
    </w:rPr>
  </w:style>
  <w:style w:type="paragraph" w:customStyle="1" w:styleId="227">
    <w:name w:val="列表内容"/>
    <w:basedOn w:val="1"/>
    <w:next w:val="1"/>
    <w:qFormat/>
    <w:uiPriority w:val="0"/>
    <w:pPr>
      <w:widowControl/>
      <w:autoSpaceDE w:val="0"/>
      <w:autoSpaceDN w:val="0"/>
      <w:adjustRightInd w:val="0"/>
      <w:ind w:firstLine="200"/>
      <w:jc w:val="left"/>
    </w:pPr>
    <w:rPr>
      <w:kern w:val="0"/>
      <w:sz w:val="18"/>
      <w:szCs w:val="20"/>
    </w:rPr>
  </w:style>
  <w:style w:type="paragraph" w:customStyle="1" w:styleId="228">
    <w:name w:val="正文（首行缩进）"/>
    <w:basedOn w:val="22"/>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spacing w:val="10"/>
      <w:kern w:val="0"/>
      <w:szCs w:val="20"/>
    </w:rPr>
  </w:style>
  <w:style w:type="paragraph" w:customStyle="1" w:styleId="2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30">
    <w:name w:val="文字"/>
    <w:basedOn w:val="1"/>
    <w:qFormat/>
    <w:uiPriority w:val="0"/>
    <w:pPr>
      <w:tabs>
        <w:tab w:val="left" w:pos="8520"/>
      </w:tabs>
      <w:spacing w:line="312" w:lineRule="auto"/>
      <w:ind w:right="-210" w:firstLine="556"/>
    </w:pPr>
    <w:rPr>
      <w:rFonts w:ascii="宋体"/>
      <w:sz w:val="28"/>
      <w:szCs w:val="20"/>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32">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3">
    <w:name w:val="标准段落"/>
    <w:basedOn w:val="1"/>
    <w:qFormat/>
    <w:uiPriority w:val="0"/>
    <w:pPr>
      <w:spacing w:after="120" w:line="360" w:lineRule="auto"/>
      <w:ind w:firstLine="420"/>
    </w:pPr>
    <w:rPr>
      <w:rFonts w:ascii="黑体" w:hAnsi="宋体" w:eastAsia="黑体"/>
      <w:b/>
      <w:spacing w:val="6"/>
      <w:szCs w:val="22"/>
    </w:rPr>
  </w:style>
  <w:style w:type="paragraph" w:customStyle="1" w:styleId="234">
    <w:name w:val="三级条标题"/>
    <w:basedOn w:val="225"/>
    <w:next w:val="1"/>
    <w:qFormat/>
    <w:uiPriority w:val="0"/>
    <w:pPr>
      <w:tabs>
        <w:tab w:val="left" w:pos="4729"/>
        <w:tab w:val="clear" w:pos="4309"/>
      </w:tabs>
      <w:ind w:left="4729"/>
      <w:outlineLvl w:val="4"/>
    </w:pPr>
  </w:style>
  <w:style w:type="paragraph" w:customStyle="1" w:styleId="235">
    <w:name w:val="Test2"/>
    <w:basedOn w:val="5"/>
    <w:qFormat/>
    <w:uiPriority w:val="0"/>
    <w:pPr>
      <w:keepNext w:val="0"/>
      <w:widowControl/>
      <w:tabs>
        <w:tab w:val="left" w:pos="774"/>
      </w:tabs>
      <w:autoSpaceDE w:val="0"/>
      <w:autoSpaceDN w:val="0"/>
      <w:adjustRightInd w:val="0"/>
      <w:snapToGrid w:val="0"/>
      <w:spacing w:before="360" w:after="360" w:line="240" w:lineRule="atLeast"/>
      <w:ind w:left="774" w:hanging="576"/>
      <w:jc w:val="left"/>
    </w:pPr>
    <w:rPr>
      <w:rFonts w:ascii="宋体" w:hAnsi="Arial"/>
      <w:snapToGrid w:val="0"/>
      <w:kern w:val="0"/>
    </w:rPr>
  </w:style>
  <w:style w:type="paragraph" w:customStyle="1" w:styleId="236">
    <w:name w:val="默认段落字体 Para Char Char Char Char Char Char Char"/>
    <w:basedOn w:val="1"/>
    <w:qFormat/>
    <w:uiPriority w:val="0"/>
  </w:style>
  <w:style w:type="paragraph" w:customStyle="1" w:styleId="237">
    <w:name w:val="标准小四"/>
    <w:basedOn w:val="1"/>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2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9">
    <w:name w:val="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240">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41">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仿宋_GB2312" w:eastAsia="新宋体"/>
      <w:kern w:val="0"/>
      <w:sz w:val="24"/>
      <w:szCs w:val="20"/>
    </w:rPr>
  </w:style>
  <w:style w:type="paragraph" w:customStyle="1" w:styleId="242">
    <w:name w:val="列表段落"/>
    <w:basedOn w:val="1"/>
    <w:qFormat/>
    <w:uiPriority w:val="0"/>
    <w:pPr>
      <w:ind w:firstLine="420" w:firstLineChars="200"/>
    </w:pPr>
    <w:rPr>
      <w:rFonts w:ascii="Calibri" w:hAnsi="Calibri"/>
      <w:szCs w:val="22"/>
    </w:rPr>
  </w:style>
  <w:style w:type="paragraph" w:customStyle="1" w:styleId="243">
    <w:name w:val="五级条标题"/>
    <w:basedOn w:val="244"/>
    <w:next w:val="1"/>
    <w:qFormat/>
    <w:uiPriority w:val="0"/>
    <w:pPr>
      <w:tabs>
        <w:tab w:val="left" w:pos="5149"/>
        <w:tab w:val="left" w:pos="5569"/>
      </w:tabs>
      <w:ind w:left="5569"/>
      <w:outlineLvl w:val="6"/>
    </w:pPr>
  </w:style>
  <w:style w:type="paragraph" w:customStyle="1" w:styleId="244">
    <w:name w:val="四级条标题"/>
    <w:basedOn w:val="234"/>
    <w:next w:val="1"/>
    <w:qFormat/>
    <w:uiPriority w:val="0"/>
    <w:pPr>
      <w:tabs>
        <w:tab w:val="left" w:pos="5149"/>
        <w:tab w:val="clear" w:pos="4729"/>
      </w:tabs>
      <w:ind w:left="5149"/>
      <w:outlineLvl w:val="5"/>
    </w:pPr>
  </w:style>
  <w:style w:type="paragraph" w:customStyle="1" w:styleId="245">
    <w:name w:val="正文-宋体四号"/>
    <w:basedOn w:val="1"/>
    <w:qFormat/>
    <w:uiPriority w:val="0"/>
    <w:pPr>
      <w:spacing w:line="360" w:lineRule="auto"/>
      <w:ind w:firstLine="560" w:firstLineChars="200"/>
    </w:pPr>
    <w:rPr>
      <w:rFonts w:cs="宋体"/>
      <w:sz w:val="28"/>
      <w:szCs w:val="20"/>
    </w:rPr>
  </w:style>
  <w:style w:type="paragraph" w:customStyle="1" w:styleId="246">
    <w:name w:val="纯文本1"/>
    <w:basedOn w:val="1"/>
    <w:qFormat/>
    <w:uiPriority w:val="0"/>
    <w:pPr>
      <w:adjustRightInd w:val="0"/>
      <w:textAlignment w:val="baseline"/>
    </w:pPr>
    <w:rPr>
      <w:rFonts w:ascii="宋体" w:hAnsi="Courier New" w:eastAsia="楷体_GB2312"/>
      <w:sz w:val="28"/>
      <w:szCs w:val="20"/>
    </w:rPr>
  </w:style>
  <w:style w:type="paragraph" w:customStyle="1" w:styleId="247">
    <w:name w:val="Char2"/>
    <w:basedOn w:val="1"/>
    <w:qFormat/>
    <w:uiPriority w:val="0"/>
  </w:style>
  <w:style w:type="paragraph" w:customStyle="1" w:styleId="248">
    <w:name w:val="Char Char Char Char Char Char Char Char Char Char Char Char Char Char Char Char Char Char Char"/>
    <w:basedOn w:val="1"/>
    <w:qFormat/>
    <w:uiPriority w:val="0"/>
    <w:rPr>
      <w:rFonts w:ascii="仿宋_GB2312" w:eastAsia="仿宋_GB2312"/>
      <w:b/>
      <w:sz w:val="32"/>
      <w:szCs w:val="32"/>
    </w:rPr>
  </w:style>
  <w:style w:type="paragraph" w:customStyle="1" w:styleId="249">
    <w:name w:val="样式5"/>
    <w:basedOn w:val="9"/>
    <w:qFormat/>
    <w:uiPriority w:val="0"/>
    <w:pPr>
      <w:adjustRightInd/>
      <w:spacing w:line="360" w:lineRule="auto"/>
      <w:ind w:firstLine="200" w:firstLineChars="200"/>
      <w:textAlignment w:val="auto"/>
    </w:pPr>
    <w:rPr>
      <w:sz w:val="28"/>
      <w:szCs w:val="21"/>
    </w:rPr>
  </w:style>
  <w:style w:type="paragraph" w:customStyle="1" w:styleId="250">
    <w:name w:val="14"/>
    <w:basedOn w:val="1"/>
    <w:qFormat/>
    <w:uiPriority w:val="0"/>
    <w:pPr>
      <w:snapToGrid w:val="0"/>
      <w:spacing w:beforeLines="30" w:line="288" w:lineRule="auto"/>
      <w:ind w:left="852" w:leftChars="355" w:firstLine="420" w:firstLineChars="175"/>
    </w:pPr>
    <w:rPr>
      <w:rFonts w:ascii="新宋体" w:hAnsi="新宋体"/>
      <w:sz w:val="24"/>
      <w:szCs w:val="20"/>
    </w:rPr>
  </w:style>
  <w:style w:type="paragraph" w:customStyle="1" w:styleId="251">
    <w:name w:val="Char Char Char Char Char Char Char Char Char Char Char Char Char1"/>
    <w:basedOn w:val="1"/>
    <w:qFormat/>
    <w:uiPriority w:val="0"/>
  </w:style>
  <w:style w:type="paragraph" w:customStyle="1" w:styleId="252">
    <w:name w:val="样式 标题 1Level 1Level 11h1II+IHeading1H1-Heading 1Header 1..."/>
    <w:basedOn w:val="4"/>
    <w:qFormat/>
    <w:uiPriority w:val="0"/>
    <w:pPr>
      <w:keepLines/>
      <w:pageBreakBefore/>
      <w:spacing w:before="100" w:after="100" w:line="360" w:lineRule="auto"/>
      <w:ind w:left="1680" w:hanging="420"/>
      <w:jc w:val="left"/>
    </w:pPr>
    <w:rPr>
      <w:rFonts w:ascii="Arial" w:hAnsi="Arial" w:cs="宋体"/>
      <w:bCs/>
      <w:kern w:val="44"/>
      <w:sz w:val="44"/>
    </w:rPr>
  </w:style>
  <w:style w:type="paragraph" w:customStyle="1" w:styleId="253">
    <w:name w:val="样式 标题 3 + 黑色 段前: 5 磅 段后: 5 磅 行距: 1.5 倍行距"/>
    <w:basedOn w:val="1"/>
    <w:qFormat/>
    <w:uiPriority w:val="0"/>
    <w:pPr>
      <w:ind w:left="855" w:hanging="855"/>
    </w:pPr>
    <w:rPr>
      <w:sz w:val="24"/>
      <w:szCs w:val="20"/>
    </w:rPr>
  </w:style>
  <w:style w:type="paragraph" w:customStyle="1" w:styleId="254">
    <w:name w:val="button"/>
    <w:basedOn w:val="1"/>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255">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25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7">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58">
    <w:name w:val="标书正文带编号"/>
    <w:basedOn w:val="1"/>
    <w:qFormat/>
    <w:uiPriority w:val="0"/>
    <w:pPr>
      <w:tabs>
        <w:tab w:val="left" w:pos="397"/>
      </w:tabs>
      <w:autoSpaceDE w:val="0"/>
      <w:autoSpaceDN w:val="0"/>
      <w:adjustRightInd w:val="0"/>
      <w:ind w:firstLine="397"/>
      <w:jc w:val="left"/>
    </w:pPr>
    <w:rPr>
      <w:rFonts w:cs="宋体"/>
      <w:kern w:val="0"/>
      <w:sz w:val="20"/>
      <w:szCs w:val="21"/>
    </w:rPr>
  </w:style>
  <w:style w:type="paragraph" w:customStyle="1" w:styleId="259">
    <w:name w:val="表格文字（大）"/>
    <w:basedOn w:val="1"/>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260">
    <w:name w:val="排列"/>
    <w:basedOn w:val="1"/>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261">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kern w:val="0"/>
      <w:sz w:val="20"/>
      <w:szCs w:val="20"/>
    </w:rPr>
  </w:style>
  <w:style w:type="paragraph" w:customStyle="1" w:styleId="26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6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65">
    <w:name w:val="tabletext"/>
    <w:basedOn w:val="1"/>
    <w:qFormat/>
    <w:uiPriority w:val="0"/>
    <w:pPr>
      <w:widowControl/>
      <w:spacing w:line="300" w:lineRule="atLeast"/>
      <w:jc w:val="left"/>
    </w:pPr>
    <w:rPr>
      <w:rFonts w:ascii="宋体" w:hAnsi="宋体" w:cs="宋体"/>
      <w:kern w:val="0"/>
      <w:sz w:val="18"/>
      <w:szCs w:val="18"/>
    </w:rPr>
  </w:style>
  <w:style w:type="paragraph" w:customStyle="1" w:styleId="266">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67">
    <w:name w:val="TOC 标题1"/>
    <w:basedOn w:val="4"/>
    <w:next w:val="1"/>
    <w:unhideWhenUsed/>
    <w:qFormat/>
    <w:uiPriority w:val="39"/>
    <w:pPr>
      <w:widowControl/>
      <w:spacing w:before="480" w:line="276" w:lineRule="auto"/>
      <w:jc w:val="left"/>
      <w:outlineLvl w:val="9"/>
    </w:pPr>
    <w:rPr>
      <w:rFonts w:ascii="Cambria" w:hAnsi="Cambria" w:eastAsia="宋体"/>
      <w:color w:val="366091"/>
      <w:kern w:val="0"/>
      <w:sz w:val="28"/>
      <w:szCs w:val="28"/>
    </w:rPr>
  </w:style>
  <w:style w:type="paragraph" w:customStyle="1" w:styleId="268">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69">
    <w:name w:val="xl8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0">
    <w:name w:val="WW-正文文字缩进 2"/>
    <w:basedOn w:val="1"/>
    <w:qFormat/>
    <w:uiPriority w:val="0"/>
    <w:pPr>
      <w:suppressAutoHyphens/>
      <w:autoSpaceDE w:val="0"/>
      <w:autoSpaceDN w:val="0"/>
      <w:adjustRightInd w:val="0"/>
      <w:ind w:firstLine="420"/>
      <w:jc w:val="left"/>
    </w:pPr>
    <w:rPr>
      <w:kern w:val="1"/>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72">
    <w:name w:val="正文样式 首行缩进:  0.74 厘米"/>
    <w:basedOn w:val="1"/>
    <w:qFormat/>
    <w:uiPriority w:val="0"/>
    <w:pPr>
      <w:autoSpaceDE w:val="0"/>
      <w:autoSpaceDN w:val="0"/>
      <w:adjustRightInd w:val="0"/>
      <w:spacing w:beforeLines="50" w:line="360" w:lineRule="auto"/>
      <w:ind w:firstLine="420"/>
      <w:jc w:val="left"/>
    </w:pPr>
    <w:rPr>
      <w:rFonts w:cs="宋体"/>
      <w:kern w:val="0"/>
      <w:sz w:val="24"/>
      <w:szCs w:val="20"/>
    </w:rPr>
  </w:style>
  <w:style w:type="paragraph" w:customStyle="1" w:styleId="273">
    <w:name w:val="简单回函地址"/>
    <w:basedOn w:val="1"/>
    <w:qFormat/>
    <w:uiPriority w:val="0"/>
  </w:style>
  <w:style w:type="paragraph" w:customStyle="1" w:styleId="274">
    <w:name w:val="前言、引言标题"/>
    <w:next w:val="1"/>
    <w:qFormat/>
    <w:uiPriority w:val="0"/>
    <w:pPr>
      <w:shd w:val="clear" w:color="FFFFFF" w:fill="FFFFFF"/>
      <w:tabs>
        <w:tab w:val="left" w:pos="3349"/>
      </w:tabs>
      <w:spacing w:before="640" w:after="560"/>
      <w:ind w:left="3349" w:hanging="720"/>
      <w:jc w:val="center"/>
      <w:outlineLvl w:val="0"/>
    </w:pPr>
    <w:rPr>
      <w:rFonts w:ascii="黑体" w:hAnsi="Times New Roman" w:eastAsia="黑体" w:cs="Times New Roman"/>
      <w:sz w:val="32"/>
      <w:lang w:val="en-US" w:eastAsia="zh-CN" w:bidi="ar-SA"/>
    </w:rPr>
  </w:style>
  <w:style w:type="paragraph" w:customStyle="1" w:styleId="275">
    <w:name w:val="正文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76">
    <w:name w:val="部分1"/>
    <w:basedOn w:val="1"/>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277">
    <w:name w:val="1 Char"/>
    <w:basedOn w:val="9"/>
    <w:qFormat/>
    <w:uiPriority w:val="0"/>
    <w:pPr>
      <w:adjustRightInd/>
      <w:spacing w:line="360" w:lineRule="auto"/>
      <w:ind w:firstLine="200" w:firstLineChars="200"/>
      <w:textAlignment w:val="auto"/>
    </w:pPr>
    <w:rPr>
      <w:kern w:val="2"/>
    </w:rPr>
  </w:style>
  <w:style w:type="paragraph" w:customStyle="1" w:styleId="278">
    <w:name w:val="正文文本 2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279">
    <w:name w:val="TOC 标题2"/>
    <w:basedOn w:val="4"/>
    <w:next w:val="1"/>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280">
    <w:name w:val="Char Char"/>
    <w:basedOn w:val="1"/>
    <w:qFormat/>
    <w:uiPriority w:val="0"/>
    <w:rPr>
      <w:rFonts w:ascii="仿宋_GB2312" w:eastAsia="仿宋_GB2312"/>
      <w:b/>
      <w:sz w:val="32"/>
      <w:szCs w:val="32"/>
    </w:rPr>
  </w:style>
  <w:style w:type="paragraph" w:customStyle="1" w:styleId="281">
    <w:name w:val="l正文"/>
    <w:basedOn w:val="1"/>
    <w:qFormat/>
    <w:uiPriority w:val="0"/>
    <w:pPr>
      <w:spacing w:line="360" w:lineRule="auto"/>
      <w:ind w:firstLine="200" w:firstLineChars="200"/>
    </w:pPr>
    <w:rPr>
      <w:rFonts w:ascii="宋体" w:hAnsi="宋体"/>
      <w:sz w:val="24"/>
    </w:rPr>
  </w:style>
  <w:style w:type="paragraph" w:customStyle="1" w:styleId="282">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新宋体" w:hAnsi="新宋体" w:eastAsia="新宋体" w:cs="宋体"/>
      <w:b/>
      <w:bCs/>
      <w:color w:val="FF0000"/>
      <w:kern w:val="0"/>
      <w:sz w:val="24"/>
    </w:rPr>
  </w:style>
  <w:style w:type="paragraph" w:customStyle="1" w:styleId="28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4">
    <w:name w:val="Item List in Tabl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285">
    <w:name w:val="Char Char Char Char Char Char Char Char Char Char Char Char Char Char Char Char Char Char Char1"/>
    <w:basedOn w:val="1"/>
    <w:qFormat/>
    <w:uiPriority w:val="0"/>
    <w:rPr>
      <w:rFonts w:ascii="仿宋_GB2312" w:eastAsia="仿宋_GB2312"/>
      <w:b/>
      <w:sz w:val="32"/>
      <w:szCs w:val="32"/>
    </w:rPr>
  </w:style>
  <w:style w:type="paragraph" w:customStyle="1" w:styleId="286">
    <w:name w:val="xl29"/>
    <w:basedOn w:val="1"/>
    <w:qFormat/>
    <w:uiPriority w:val="0"/>
    <w:pPr>
      <w:widowControl/>
      <w:autoSpaceDE w:val="0"/>
      <w:autoSpaceDN w:val="0"/>
      <w:adjustRightInd w:val="0"/>
      <w:spacing w:before="100" w:beforeAutospacing="1" w:after="100" w:afterAutospacing="1"/>
      <w:jc w:val="center"/>
    </w:pPr>
    <w:rPr>
      <w:rFonts w:ascii="Arial Unicode MS" w:hAnsi="Arial Unicode MS" w:eastAsia="Arial Unicode MS"/>
      <w:kern w:val="0"/>
      <w:sz w:val="24"/>
      <w:szCs w:val="20"/>
    </w:rPr>
  </w:style>
  <w:style w:type="paragraph" w:customStyle="1" w:styleId="287">
    <w:name w:val="Char Char Char Char Char Char Char1"/>
    <w:basedOn w:val="1"/>
    <w:qFormat/>
    <w:uiPriority w:val="0"/>
    <w:rPr>
      <w:rFonts w:ascii="仿宋_GB2312" w:eastAsia="仿宋_GB2312"/>
      <w:b/>
      <w:sz w:val="32"/>
      <w:szCs w:val="32"/>
    </w:rPr>
  </w:style>
  <w:style w:type="paragraph" w:customStyle="1" w:styleId="28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9">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0">
    <w:name w:val="标题2"/>
    <w:basedOn w:val="5"/>
    <w:qFormat/>
    <w:uiPriority w:val="0"/>
    <w:pPr>
      <w:tabs>
        <w:tab w:val="left" w:pos="709"/>
      </w:tabs>
    </w:pPr>
    <w:rPr>
      <w:rFonts w:ascii="宋体" w:hAnsi="宋体"/>
      <w:sz w:val="36"/>
      <w:szCs w:val="36"/>
    </w:rPr>
  </w:style>
  <w:style w:type="paragraph" w:customStyle="1" w:styleId="291">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293">
    <w:name w:val="Char1"/>
    <w:basedOn w:val="1"/>
    <w:qFormat/>
    <w:uiPriority w:val="0"/>
    <w:rPr>
      <w:rFonts w:ascii="仿宋_GB2312" w:eastAsia="仿宋_GB2312"/>
      <w:b/>
      <w:sz w:val="32"/>
      <w:szCs w:val="32"/>
    </w:rPr>
  </w:style>
  <w:style w:type="paragraph" w:customStyle="1" w:styleId="294">
    <w:name w:val="正文字缩2字"/>
    <w:basedOn w:val="1"/>
    <w:qFormat/>
    <w:uiPriority w:val="0"/>
    <w:pPr>
      <w:spacing w:before="60" w:after="60" w:line="360" w:lineRule="auto"/>
      <w:ind w:left="200" w:leftChars="200" w:firstLine="200" w:firstLineChars="200"/>
    </w:pPr>
    <w:rPr>
      <w:sz w:val="24"/>
    </w:rPr>
  </w:style>
  <w:style w:type="paragraph" w:customStyle="1" w:styleId="295">
    <w:name w:val="正文2"/>
    <w:basedOn w:val="1"/>
    <w:qFormat/>
    <w:uiPriority w:val="0"/>
    <w:pPr>
      <w:autoSpaceDE w:val="0"/>
      <w:autoSpaceDN w:val="0"/>
      <w:adjustRightInd w:val="0"/>
      <w:spacing w:before="156" w:line="360" w:lineRule="auto"/>
      <w:ind w:firstLine="510" w:firstLineChars="200"/>
      <w:jc w:val="left"/>
    </w:pPr>
    <w:rPr>
      <w:kern w:val="0"/>
      <w:sz w:val="24"/>
      <w:szCs w:val="20"/>
    </w:rPr>
  </w:style>
  <w:style w:type="paragraph" w:customStyle="1" w:styleId="296">
    <w:name w:val="保留正文"/>
    <w:basedOn w:val="21"/>
    <w:qFormat/>
    <w:uiPriority w:val="0"/>
    <w:pPr>
      <w:keepNext/>
      <w:spacing w:after="160"/>
    </w:pPr>
    <w:rPr>
      <w:szCs w:val="20"/>
    </w:rPr>
  </w:style>
  <w:style w:type="paragraph" w:customStyle="1" w:styleId="297">
    <w:name w:val="xl76"/>
    <w:basedOn w:val="1"/>
    <w:qFormat/>
    <w:uiPriority w:val="0"/>
    <w:pPr>
      <w:widowControl/>
      <w:pBdr>
        <w:top w:val="single" w:color="auto" w:sz="4" w:space="0"/>
        <w:bottom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新宋体" w:hAnsi="新宋体" w:eastAsia="新宋体" w:cs="宋体"/>
      <w:color w:val="000000"/>
      <w:kern w:val="0"/>
      <w:sz w:val="24"/>
    </w:rPr>
  </w:style>
  <w:style w:type="paragraph" w:customStyle="1" w:styleId="29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00">
    <w:name w:val="Char"/>
    <w:basedOn w:val="1"/>
    <w:qFormat/>
    <w:uiPriority w:val="0"/>
    <w:rPr>
      <w:rFonts w:ascii="仿宋_GB2312" w:eastAsia="仿宋_GB2312"/>
      <w:b/>
      <w:sz w:val="32"/>
      <w:szCs w:val="32"/>
    </w:rPr>
  </w:style>
  <w:style w:type="paragraph" w:customStyle="1" w:styleId="301">
    <w:name w:val="Char2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2">
    <w:name w:val="正文文字表格居中"/>
    <w:basedOn w:val="1"/>
    <w:next w:val="46"/>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303">
    <w:name w:val="Table Contents"/>
    <w:basedOn w:val="1"/>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304">
    <w:name w:val="Char1 Char Char Char Char Char Char"/>
    <w:basedOn w:val="1"/>
    <w:qFormat/>
    <w:uiPriority w:val="0"/>
    <w:rPr>
      <w:rFonts w:ascii="宋体" w:hAnsi="宋体"/>
      <w:color w:val="000000"/>
      <w:sz w:val="24"/>
    </w:rPr>
  </w:style>
  <w:style w:type="paragraph" w:customStyle="1" w:styleId="305">
    <w:name w:val="此正文"/>
    <w:basedOn w:val="1"/>
    <w:qFormat/>
    <w:uiPriority w:val="0"/>
    <w:pPr>
      <w:autoSpaceDE w:val="0"/>
      <w:autoSpaceDN w:val="0"/>
      <w:adjustRightInd w:val="0"/>
      <w:spacing w:line="360" w:lineRule="auto"/>
      <w:ind w:firstLine="200" w:firstLineChars="200"/>
      <w:jc w:val="left"/>
    </w:pPr>
    <w:rPr>
      <w:kern w:val="0"/>
      <w:sz w:val="24"/>
      <w:szCs w:val="20"/>
    </w:rPr>
  </w:style>
  <w:style w:type="paragraph" w:customStyle="1" w:styleId="306">
    <w:name w:val="Char1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2"/>
    </w:rPr>
  </w:style>
  <w:style w:type="paragraph" w:customStyle="1" w:styleId="308">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09">
    <w:name w:val="图"/>
    <w:basedOn w:val="1"/>
    <w:qFormat/>
    <w:uiPriority w:val="0"/>
    <w:pPr>
      <w:keepNext/>
      <w:adjustRightInd w:val="0"/>
      <w:spacing w:before="60" w:after="60" w:line="300" w:lineRule="auto"/>
      <w:jc w:val="center"/>
      <w:textAlignment w:val="center"/>
    </w:pPr>
    <w:rPr>
      <w:snapToGrid w:val="0"/>
      <w:spacing w:val="20"/>
      <w:kern w:val="0"/>
      <w:sz w:val="24"/>
      <w:szCs w:val="20"/>
      <w:lang w:val="zh-CN"/>
    </w:rPr>
  </w:style>
  <w:style w:type="paragraph" w:customStyle="1" w:styleId="310">
    <w:name w:val="xl83"/>
    <w:basedOn w:val="1"/>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11">
    <w:name w:val="Char Char13"/>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13">
    <w:name w:val="features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14">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15">
    <w:name w:val="章标题"/>
    <w:next w:val="1"/>
    <w:qFormat/>
    <w:uiPriority w:val="0"/>
    <w:pPr>
      <w:tabs>
        <w:tab w:val="left" w:pos="3469"/>
      </w:tabs>
      <w:spacing w:beforeLines="50" w:afterLines="50"/>
      <w:ind w:left="3469" w:hanging="420"/>
      <w:jc w:val="both"/>
      <w:outlineLvl w:val="1"/>
    </w:pPr>
    <w:rPr>
      <w:rFonts w:ascii="黑体" w:hAnsi="Times New Roman" w:eastAsia="黑体" w:cs="Times New Roman"/>
      <w:sz w:val="21"/>
      <w:lang w:val="en-US" w:eastAsia="zh-CN" w:bidi="ar-SA"/>
    </w:rPr>
  </w:style>
  <w:style w:type="paragraph" w:customStyle="1" w:styleId="316">
    <w:name w:val="样式 标题 3 + 黑体 小四 非加粗"/>
    <w:basedOn w:val="6"/>
    <w:qFormat/>
    <w:uiPriority w:val="0"/>
    <w:pPr>
      <w:spacing w:before="260" w:after="260" w:line="413" w:lineRule="auto"/>
    </w:pPr>
    <w:rPr>
      <w:rFonts w:ascii="黑体" w:hAnsi="黑体"/>
      <w:b w:val="0"/>
      <w:kern w:val="0"/>
      <w:sz w:val="24"/>
      <w:szCs w:val="32"/>
    </w:rPr>
  </w:style>
  <w:style w:type="paragraph" w:customStyle="1" w:styleId="317">
    <w:name w:val="正文_0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8">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19">
    <w:name w:val="样式 左侧:  0.85 厘米 首行缩进:  0.85 厘米"/>
    <w:basedOn w:val="1"/>
    <w:qFormat/>
    <w:uiPriority w:val="0"/>
    <w:pPr>
      <w:autoSpaceDE w:val="0"/>
      <w:autoSpaceDN w:val="0"/>
      <w:adjustRightInd w:val="0"/>
      <w:spacing w:line="360" w:lineRule="auto"/>
      <w:ind w:firstLine="482"/>
      <w:jc w:val="left"/>
    </w:pPr>
    <w:rPr>
      <w:rFonts w:cs="宋体"/>
      <w:kern w:val="0"/>
      <w:sz w:val="24"/>
      <w:szCs w:val="20"/>
    </w:rPr>
  </w:style>
  <w:style w:type="paragraph" w:customStyle="1" w:styleId="32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VIT-Text"/>
    <w:basedOn w:val="1"/>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322">
    <w:name w:val="文档正文"/>
    <w:basedOn w:val="1"/>
    <w:qFormat/>
    <w:uiPriority w:val="0"/>
    <w:pPr>
      <w:adjustRightInd w:val="0"/>
      <w:spacing w:line="300" w:lineRule="auto"/>
      <w:ind w:firstLine="567"/>
      <w:textAlignment w:val="baseline"/>
    </w:pPr>
    <w:rPr>
      <w:kern w:val="0"/>
      <w:sz w:val="24"/>
      <w:szCs w:val="20"/>
    </w:rPr>
  </w:style>
  <w:style w:type="paragraph" w:customStyle="1" w:styleId="323">
    <w:name w:val="列出段落2"/>
    <w:basedOn w:val="1"/>
    <w:qFormat/>
    <w:uiPriority w:val="0"/>
    <w:pPr>
      <w:ind w:firstLine="420" w:firstLineChars="200"/>
    </w:pPr>
  </w:style>
  <w:style w:type="paragraph" w:customStyle="1" w:styleId="324">
    <w:name w:val="标题五"/>
    <w:basedOn w:val="1"/>
    <w:qFormat/>
    <w:uiPriority w:val="0"/>
    <w:pPr>
      <w:tabs>
        <w:tab w:val="left" w:pos="1440"/>
      </w:tabs>
      <w:autoSpaceDE w:val="0"/>
      <w:autoSpaceDN w:val="0"/>
      <w:adjustRightInd w:val="0"/>
      <w:spacing w:beforeLines="50" w:line="360" w:lineRule="auto"/>
      <w:ind w:left="1440" w:hanging="420"/>
      <w:jc w:val="left"/>
    </w:pPr>
    <w:rPr>
      <w:b/>
      <w:kern w:val="0"/>
      <w:sz w:val="24"/>
      <w:szCs w:val="20"/>
    </w:rPr>
  </w:style>
  <w:style w:type="paragraph" w:customStyle="1" w:styleId="325">
    <w:name w:val="È±Ê¡ÎÄ±¾ Char"/>
    <w:basedOn w:val="1"/>
    <w:qFormat/>
    <w:uiPriority w:val="0"/>
    <w:pPr>
      <w:widowControl/>
      <w:overflowPunct w:val="0"/>
      <w:autoSpaceDE w:val="0"/>
      <w:autoSpaceDN w:val="0"/>
      <w:adjustRightInd w:val="0"/>
      <w:textAlignment w:val="baseline"/>
    </w:pPr>
    <w:rPr>
      <w:szCs w:val="21"/>
      <w:lang w:val="zh-CN"/>
    </w:rPr>
  </w:style>
  <w:style w:type="paragraph" w:customStyle="1" w:styleId="326">
    <w:name w:val="p0"/>
    <w:basedOn w:val="1"/>
    <w:qFormat/>
    <w:uiPriority w:val="0"/>
    <w:pPr>
      <w:widowControl/>
    </w:pPr>
    <w:rPr>
      <w:kern w:val="0"/>
      <w:szCs w:val="21"/>
    </w:rPr>
  </w:style>
  <w:style w:type="paragraph" w:customStyle="1" w:styleId="327">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table" w:customStyle="1" w:styleId="328">
    <w:name w:val="TableGrid"/>
    <w:qFormat/>
    <w:uiPriority w:val="0"/>
    <w:tblPr>
      <w:tblCellMar>
        <w:top w:w="0" w:type="dxa"/>
        <w:left w:w="0" w:type="dxa"/>
        <w:bottom w:w="0" w:type="dxa"/>
        <w:right w:w="0" w:type="dxa"/>
      </w:tblCellMar>
    </w:tblPr>
  </w:style>
  <w:style w:type="paragraph" w:styleId="329">
    <w:name w:val="List Paragraph"/>
    <w:basedOn w:val="1"/>
    <w:qFormat/>
    <w:uiPriority w:val="99"/>
    <w:pPr>
      <w:ind w:firstLine="420" w:firstLineChars="200"/>
    </w:pPr>
  </w:style>
  <w:style w:type="paragraph" w:customStyle="1" w:styleId="330">
    <w:name w:val="正文段"/>
    <w:basedOn w:val="1"/>
    <w:qFormat/>
    <w:uiPriority w:val="0"/>
    <w:pPr>
      <w:widowControl/>
      <w:snapToGrid w:val="0"/>
      <w:spacing w:afterLines="50"/>
      <w:ind w:firstLine="200" w:firstLineChars="200"/>
    </w:pPr>
    <w:rPr>
      <w:sz w:val="24"/>
      <w:szCs w:val="20"/>
    </w:rPr>
  </w:style>
  <w:style w:type="paragraph" w:customStyle="1" w:styleId="331">
    <w:name w:val="_Style 2"/>
    <w:basedOn w:val="1"/>
    <w:next w:val="1"/>
    <w:qFormat/>
    <w:uiPriority w:val="0"/>
    <w:pPr>
      <w:pBdr>
        <w:bottom w:val="single" w:color="auto" w:sz="6" w:space="1"/>
      </w:pBdr>
      <w:jc w:val="center"/>
    </w:pPr>
    <w:rPr>
      <w:rFonts w:ascii="Arial"/>
      <w:vanish/>
      <w:sz w:val="16"/>
    </w:rPr>
  </w:style>
  <w:style w:type="character" w:customStyle="1" w:styleId="332">
    <w:name w:val="font31"/>
    <w:basedOn w:val="54"/>
    <w:qFormat/>
    <w:uiPriority w:val="0"/>
    <w:rPr>
      <w:rFonts w:hint="eastAsia" w:ascii="宋体" w:hAnsi="宋体" w:eastAsia="宋体" w:cs="宋体"/>
      <w:color w:val="000000"/>
      <w:sz w:val="24"/>
      <w:szCs w:val="24"/>
      <w:u w:val="single"/>
    </w:rPr>
  </w:style>
  <w:style w:type="paragraph" w:customStyle="1" w:styleId="333">
    <w:name w:val="表格文字"/>
    <w:basedOn w:val="1"/>
    <w:next w:val="21"/>
    <w:qFormat/>
    <w:uiPriority w:val="0"/>
    <w:pPr>
      <w:adjustRightInd w:val="0"/>
      <w:spacing w:line="420" w:lineRule="atLeast"/>
      <w:jc w:val="left"/>
      <w:textAlignment w:val="baseline"/>
    </w:pPr>
    <w:rPr>
      <w:kern w:val="0"/>
    </w:rPr>
  </w:style>
  <w:style w:type="character" w:customStyle="1" w:styleId="334">
    <w:name w:val="font01"/>
    <w:basedOn w:val="54"/>
    <w:qFormat/>
    <w:uiPriority w:val="0"/>
    <w:rPr>
      <w:rFonts w:ascii="Arial" w:hAnsi="Arial" w:cs="Arial"/>
      <w:color w:val="000000"/>
      <w:sz w:val="18"/>
      <w:szCs w:val="18"/>
      <w:u w:val="none"/>
    </w:rPr>
  </w:style>
  <w:style w:type="paragraph" w:customStyle="1" w:styleId="335">
    <w:name w:val="列出段落3"/>
    <w:basedOn w:val="1"/>
    <w:qFormat/>
    <w:uiPriority w:val="34"/>
    <w:pPr>
      <w:adjustRightInd w:val="0"/>
      <w:snapToGrid w:val="0"/>
      <w:spacing w:after="200"/>
      <w:ind w:firstLine="420" w:firstLineChars="200"/>
    </w:pPr>
    <w:rPr>
      <w:rFonts w:ascii="Tahoma" w:hAnsi="Tahoma" w:eastAsia="微软雅黑"/>
      <w:sz w:val="22"/>
    </w:rPr>
  </w:style>
  <w:style w:type="paragraph" w:customStyle="1" w:styleId="336">
    <w:name w:val="标题3 附件1"/>
    <w:basedOn w:val="1"/>
    <w:qFormat/>
    <w:uiPriority w:val="0"/>
    <w:pPr>
      <w:keepNext/>
      <w:keepLines/>
      <w:spacing w:before="340" w:after="330" w:line="360" w:lineRule="exact"/>
      <w:jc w:val="left"/>
      <w:outlineLvl w:val="2"/>
    </w:pPr>
    <w:rPr>
      <w:b/>
      <w:bCs/>
      <w:kern w:val="44"/>
      <w:szCs w:val="21"/>
    </w:rPr>
  </w:style>
  <w:style w:type="character" w:customStyle="1" w:styleId="337">
    <w:name w:val="font61"/>
    <w:basedOn w:val="54"/>
    <w:qFormat/>
    <w:uiPriority w:val="0"/>
    <w:rPr>
      <w:rFonts w:hint="eastAsia" w:ascii="宋体" w:hAnsi="宋体" w:eastAsia="宋体" w:cs="宋体"/>
      <w:color w:val="000000"/>
      <w:sz w:val="20"/>
      <w:szCs w:val="20"/>
      <w:u w:val="none"/>
    </w:rPr>
  </w:style>
  <w:style w:type="character" w:customStyle="1" w:styleId="338">
    <w:name w:val="font81"/>
    <w:basedOn w:val="54"/>
    <w:qFormat/>
    <w:uiPriority w:val="0"/>
    <w:rPr>
      <w:rFonts w:ascii="Calibri" w:hAnsi="Calibri" w:cs="Calibri"/>
      <w:color w:val="000000"/>
      <w:sz w:val="20"/>
      <w:szCs w:val="20"/>
      <w:u w:val="none"/>
    </w:rPr>
  </w:style>
  <w:style w:type="character" w:customStyle="1" w:styleId="339">
    <w:name w:val="font71"/>
    <w:basedOn w:val="5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wmf"/><Relationship Id="rId27" Type="http://schemas.openxmlformats.org/officeDocument/2006/relationships/oleObject" Target="embeddings/oleObject6.bin"/><Relationship Id="rId26" Type="http://schemas.openxmlformats.org/officeDocument/2006/relationships/image" Target="media/image12.wmf"/><Relationship Id="rId25" Type="http://schemas.openxmlformats.org/officeDocument/2006/relationships/oleObject" Target="embeddings/oleObject5.bin"/><Relationship Id="rId24" Type="http://schemas.openxmlformats.org/officeDocument/2006/relationships/image" Target="media/image11.jpeg"/><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中国远东国际贸易总公司</Company>
  <Pages>77</Pages>
  <Words>6790</Words>
  <Characters>38706</Characters>
  <Lines>322</Lines>
  <Paragraphs>90</Paragraphs>
  <TotalTime>2</TotalTime>
  <ScaleCrop>false</ScaleCrop>
  <LinksUpToDate>false</LinksUpToDate>
  <CharactersWithSpaces>45406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2020-10-13T06:50:00Z</dcterms:created>
  <dc:creator>zyq</dc:creator>
  <cp:lastModifiedBy>admin</cp:lastModifiedBy>
  <cp:lastPrinted>2021-05-26T02:17:00Z</cp:lastPrinted>
  <dcterms:modified xsi:type="dcterms:W3CDTF">2021-05-26T04:25:45Z</dcterms:modified>
  <dc:title>招标文件目录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9DBEB241284E407CBE762C57356FD86D</vt:lpwstr>
  </property>
</Properties>
</file>