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auto"/>
        <w:jc w:val="center"/>
        <w:rPr>
          <w:rFonts w:hint="eastAsia"/>
          <w:color w:val="auto"/>
          <w:sz w:val="72"/>
          <w:szCs w:val="72"/>
          <w:highlight w:val="none"/>
        </w:rPr>
      </w:pPr>
      <w:bookmarkStart w:id="169" w:name="_GoBack"/>
      <w:bookmarkEnd w:id="169"/>
    </w:p>
    <w:p>
      <w:pPr>
        <w:snapToGrid w:val="0"/>
        <w:spacing w:before="120" w:beforeLines="50" w:line="360" w:lineRule="auto"/>
        <w:jc w:val="center"/>
        <w:rPr>
          <w:rFonts w:hint="eastAsia"/>
          <w:color w:val="auto"/>
          <w:sz w:val="72"/>
          <w:szCs w:val="72"/>
          <w:highlight w:val="none"/>
        </w:rPr>
      </w:pPr>
    </w:p>
    <w:p>
      <w:pPr>
        <w:snapToGrid w:val="0"/>
        <w:spacing w:before="120" w:beforeLines="50" w:line="360" w:lineRule="auto"/>
        <w:jc w:val="center"/>
        <w:rPr>
          <w:rFonts w:ascii="Arial" w:hAnsi="Arial" w:cs="Arial"/>
          <w:b/>
          <w:color w:val="auto"/>
          <w:sz w:val="72"/>
          <w:szCs w:val="72"/>
          <w:highlight w:val="none"/>
        </w:rPr>
      </w:pPr>
      <w:r>
        <w:rPr>
          <w:rFonts w:hint="eastAsia"/>
          <w:color w:val="auto"/>
          <w:sz w:val="72"/>
          <w:szCs w:val="72"/>
          <w:highlight w:val="none"/>
        </w:rPr>
        <w:t>公开招标采购文件</w:t>
      </w:r>
    </w:p>
    <w:p>
      <w:pPr>
        <w:snapToGrid w:val="0"/>
        <w:spacing w:before="120" w:beforeLines="50" w:line="360" w:lineRule="auto"/>
        <w:jc w:val="left"/>
        <w:rPr>
          <w:rFonts w:hint="eastAsia" w:ascii="宋体" w:hAnsi="宋体" w:cs="宋体"/>
          <w:b/>
          <w:bCs/>
          <w:color w:val="auto"/>
          <w:sz w:val="32"/>
          <w:szCs w:val="32"/>
          <w:highlight w:val="none"/>
          <w:lang w:val="zh-CN"/>
        </w:rPr>
      </w:pPr>
    </w:p>
    <w:p>
      <w:pPr>
        <w:snapToGrid w:val="0"/>
        <w:spacing w:before="120" w:beforeLines="50" w:line="360" w:lineRule="auto"/>
        <w:jc w:val="left"/>
        <w:rPr>
          <w:rFonts w:hint="eastAsia" w:ascii="宋体" w:hAnsi="宋体" w:cs="宋体"/>
          <w:b/>
          <w:bCs/>
          <w:color w:val="auto"/>
          <w:sz w:val="32"/>
          <w:szCs w:val="32"/>
          <w:highlight w:val="none"/>
          <w:lang w:val="zh-CN"/>
        </w:rPr>
      </w:pPr>
    </w:p>
    <w:p>
      <w:pPr>
        <w:pStyle w:val="18"/>
        <w:rPr>
          <w:rFonts w:hint="eastAsia"/>
          <w:color w:val="auto"/>
          <w:highlight w:val="none"/>
          <w:lang w:val="zh-CN"/>
        </w:rPr>
      </w:pPr>
    </w:p>
    <w:p>
      <w:pPr>
        <w:snapToGrid w:val="0"/>
        <w:spacing w:before="120" w:beforeLines="50" w:line="360" w:lineRule="auto"/>
        <w:jc w:val="left"/>
        <w:rPr>
          <w:rFonts w:hint="eastAsia" w:ascii="宋体" w:hAnsi="宋体" w:cs="宋体"/>
          <w:b/>
          <w:bCs/>
          <w:color w:val="auto"/>
          <w:sz w:val="32"/>
          <w:szCs w:val="32"/>
          <w:highlight w:val="none"/>
          <w:lang w:val="zh-CN"/>
        </w:rPr>
      </w:pPr>
    </w:p>
    <w:p>
      <w:pPr>
        <w:snapToGrid w:val="0"/>
        <w:spacing w:before="120" w:beforeLines="50" w:line="360" w:lineRule="auto"/>
        <w:jc w:val="left"/>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zh-CN"/>
        </w:rPr>
        <w:t>项目编号：</w:t>
      </w:r>
      <w:r>
        <w:rPr>
          <w:rFonts w:hint="eastAsia" w:ascii="宋体" w:hAnsi="宋体" w:cs="宋体"/>
          <w:b/>
          <w:bCs/>
          <w:color w:val="auto"/>
          <w:sz w:val="32"/>
          <w:szCs w:val="32"/>
          <w:highlight w:val="none"/>
          <w:lang w:val="en-US" w:eastAsia="zh-CN"/>
        </w:rPr>
        <w:t>ZJJS-2021-013</w:t>
      </w:r>
    </w:p>
    <w:p>
      <w:pPr>
        <w:snapToGrid w:val="0"/>
        <w:spacing w:before="120" w:beforeLines="50" w:line="480" w:lineRule="auto"/>
        <w:jc w:val="left"/>
        <w:rPr>
          <w:rFonts w:hint="eastAsia" w:ascii="宋体" w:hAnsi="宋体" w:cs="宋体"/>
          <w:b/>
          <w:bCs/>
          <w:color w:val="auto"/>
          <w:sz w:val="28"/>
          <w:szCs w:val="28"/>
          <w:highlight w:val="none"/>
          <w:lang w:val="zh-CN"/>
        </w:rPr>
      </w:pPr>
      <w:r>
        <w:rPr>
          <w:rFonts w:hint="eastAsia" w:ascii="宋体" w:hAnsi="宋体" w:cs="宋体"/>
          <w:b/>
          <w:bCs/>
          <w:color w:val="auto"/>
          <w:sz w:val="32"/>
          <w:szCs w:val="32"/>
          <w:highlight w:val="none"/>
          <w:lang w:val="zh-CN"/>
        </w:rPr>
        <w:t>项目名称：潘火街道中小学（幼儿园）保安服务项目</w:t>
      </w:r>
    </w:p>
    <w:p>
      <w:pPr>
        <w:snapToGrid w:val="0"/>
        <w:spacing w:before="120" w:beforeLines="50" w:line="480" w:lineRule="auto"/>
        <w:jc w:val="left"/>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采购人：宁波市鄞州区人民政府潘火街道办事处</w:t>
      </w:r>
    </w:p>
    <w:p>
      <w:pPr>
        <w:snapToGrid w:val="0"/>
        <w:spacing w:before="120" w:beforeLines="50" w:line="480" w:lineRule="auto"/>
        <w:jc w:val="left"/>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zh-CN"/>
        </w:rPr>
        <w:t>采购代理机构：</w:t>
      </w:r>
      <w:r>
        <w:rPr>
          <w:rFonts w:hint="eastAsia" w:ascii="宋体" w:hAnsi="宋体" w:cs="宋体"/>
          <w:b/>
          <w:bCs/>
          <w:color w:val="auto"/>
          <w:sz w:val="32"/>
          <w:szCs w:val="32"/>
          <w:highlight w:val="none"/>
          <w:lang w:val="en-US" w:eastAsia="zh-CN"/>
        </w:rPr>
        <w:t>浙江金穗工程项目管理有限公司</w:t>
      </w:r>
    </w:p>
    <w:p>
      <w:pPr>
        <w:snapToGrid w:val="0"/>
        <w:spacing w:before="120" w:beforeLines="50" w:line="360" w:lineRule="auto"/>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 xml:space="preserve"> 2021年</w:t>
      </w:r>
      <w:r>
        <w:rPr>
          <w:rFonts w:hint="eastAsia" w:ascii="宋体" w:hAnsi="宋体" w:cs="宋体"/>
          <w:b/>
          <w:bCs/>
          <w:color w:val="auto"/>
          <w:sz w:val="32"/>
          <w:szCs w:val="32"/>
          <w:highlight w:val="none"/>
          <w:lang w:val="en-US" w:eastAsia="zh-CN"/>
        </w:rPr>
        <w:t>12</w:t>
      </w:r>
      <w:r>
        <w:rPr>
          <w:rFonts w:hint="eastAsia" w:ascii="宋体" w:hAnsi="宋体" w:cs="宋体"/>
          <w:b/>
          <w:bCs/>
          <w:color w:val="auto"/>
          <w:sz w:val="32"/>
          <w:szCs w:val="32"/>
          <w:highlight w:val="none"/>
          <w:lang w:val="zh-CN"/>
        </w:rPr>
        <w:t>月</w:t>
      </w:r>
    </w:p>
    <w:p>
      <w:pPr>
        <w:pStyle w:val="17"/>
        <w:rPr>
          <w:rFonts w:hint="eastAsia" w:ascii="宋体" w:hAnsi="宋体" w:cs="宋体"/>
          <w:b/>
          <w:bCs/>
          <w:color w:val="auto"/>
          <w:sz w:val="32"/>
          <w:szCs w:val="32"/>
          <w:highlight w:val="none"/>
          <w:lang w:val="zh-CN"/>
        </w:rPr>
      </w:pPr>
    </w:p>
    <w:p>
      <w:pPr>
        <w:pStyle w:val="17"/>
        <w:rPr>
          <w:rFonts w:hint="eastAsia" w:ascii="宋体" w:hAnsi="宋体" w:cs="宋体"/>
          <w:b/>
          <w:bCs/>
          <w:color w:val="auto"/>
          <w:sz w:val="32"/>
          <w:szCs w:val="32"/>
          <w:highlight w:val="none"/>
          <w:lang w:val="zh-CN"/>
        </w:rPr>
      </w:pPr>
    </w:p>
    <w:p>
      <w:pPr>
        <w:pStyle w:val="17"/>
        <w:rPr>
          <w:rFonts w:hint="eastAsia" w:ascii="宋体" w:hAnsi="宋体" w:cs="宋体"/>
          <w:b/>
          <w:bCs/>
          <w:color w:val="auto"/>
          <w:sz w:val="32"/>
          <w:szCs w:val="32"/>
          <w:highlight w:val="none"/>
          <w:lang w:val="zh-CN"/>
        </w:rPr>
      </w:pPr>
    </w:p>
    <w:p>
      <w:pPr>
        <w:rPr>
          <w:rFonts w:hint="eastAsia" w:ascii="宋体" w:hAnsi="宋体" w:cs="宋体"/>
          <w:b/>
          <w:bCs/>
          <w:color w:val="auto"/>
          <w:sz w:val="32"/>
          <w:szCs w:val="32"/>
          <w:highlight w:val="none"/>
          <w:lang w:val="zh-CN"/>
        </w:rPr>
      </w:pPr>
    </w:p>
    <w:p>
      <w:pPr>
        <w:pStyle w:val="18"/>
        <w:rPr>
          <w:rFonts w:hint="eastAsia"/>
          <w:color w:val="auto"/>
          <w:highlight w:val="none"/>
          <w:lang w:val="zh-CN"/>
        </w:rPr>
      </w:pPr>
    </w:p>
    <w:p>
      <w:pPr>
        <w:pStyle w:val="17"/>
        <w:rPr>
          <w:rFonts w:hint="eastAsia" w:ascii="宋体" w:hAnsi="宋体" w:cs="宋体"/>
          <w:b/>
          <w:bCs/>
          <w:color w:val="auto"/>
          <w:sz w:val="32"/>
          <w:szCs w:val="32"/>
          <w:highlight w:val="none"/>
          <w:lang w:val="zh-CN"/>
        </w:rPr>
      </w:pPr>
    </w:p>
    <w:p>
      <w:pPr>
        <w:pStyle w:val="4"/>
        <w:keepNext w:val="0"/>
        <w:keepLines w:val="0"/>
        <w:snapToGrid w:val="0"/>
        <w:spacing w:before="0" w:after="0" w:line="440" w:lineRule="exact"/>
        <w:rPr>
          <w:rFonts w:hint="eastAsia" w:ascii="宋体" w:hAnsi="宋体" w:cs="宋体"/>
          <w:color w:val="auto"/>
          <w:sz w:val="24"/>
          <w:szCs w:val="24"/>
          <w:highlight w:val="none"/>
        </w:rPr>
      </w:pPr>
      <w:bookmarkStart w:id="0" w:name="_Toc61965560"/>
      <w:bookmarkStart w:id="1" w:name="_Toc31695"/>
      <w:r>
        <w:rPr>
          <w:rFonts w:hint="eastAsia" w:ascii="宋体" w:hAnsi="宋体" w:cs="宋体"/>
          <w:color w:val="auto"/>
          <w:sz w:val="24"/>
          <w:szCs w:val="24"/>
          <w:highlight w:val="none"/>
        </w:rPr>
        <w:t>目  录</w:t>
      </w:r>
      <w:bookmarkEnd w:id="0"/>
      <w:bookmarkEnd w:id="1"/>
    </w:p>
    <w:p>
      <w:pPr>
        <w:adjustRightInd w:val="0"/>
        <w:snapToGrid w:val="0"/>
        <w:spacing w:line="560" w:lineRule="exact"/>
        <w:rPr>
          <w:rFonts w:hint="eastAsia"/>
          <w:color w:val="auto"/>
          <w:highlight w:val="none"/>
        </w:rPr>
      </w:pPr>
    </w:p>
    <w:p>
      <w:pPr>
        <w:pStyle w:val="15"/>
        <w:tabs>
          <w:tab w:val="right" w:leader="dot" w:pos="8777"/>
        </w:tabs>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fldChar w:fldCharType="begin"/>
      </w:r>
      <w:r>
        <w:rPr>
          <w:rStyle w:val="23"/>
          <w:rFonts w:hint="eastAsia" w:ascii="宋体" w:hAnsi="宋体" w:eastAsia="宋体" w:cs="宋体"/>
          <w:color w:val="auto"/>
          <w:highlight w:val="none"/>
        </w:rPr>
        <w:instrText xml:space="preserve">TOC \o "1-1" \h \u </w:instrText>
      </w:r>
      <w:r>
        <w:rPr>
          <w:rStyle w:val="23"/>
          <w:rFonts w:hint="eastAsia" w:ascii="宋体" w:hAnsi="宋体" w:eastAsia="宋体" w:cs="宋体"/>
          <w:color w:val="auto"/>
          <w:highlight w:val="none"/>
        </w:rPr>
        <w:fldChar w:fldCharType="separate"/>
      </w:r>
      <w:r>
        <w:rPr>
          <w:rStyle w:val="23"/>
          <w:rFonts w:hint="eastAsia" w:ascii="宋体" w:hAnsi="宋体" w:eastAsia="宋体" w:cs="宋体"/>
          <w:color w:val="auto"/>
          <w:highlight w:val="none"/>
        </w:rPr>
        <w:fldChar w:fldCharType="begin"/>
      </w:r>
      <w:r>
        <w:rPr>
          <w:rStyle w:val="23"/>
          <w:rFonts w:hint="eastAsia" w:ascii="宋体" w:hAnsi="宋体" w:eastAsia="宋体" w:cs="宋体"/>
          <w:color w:val="auto"/>
          <w:highlight w:val="none"/>
        </w:rPr>
        <w:instrText xml:space="preserve"> HYPERLINK \l "_Toc61965561" </w:instrText>
      </w:r>
      <w:r>
        <w:rPr>
          <w:rStyle w:val="23"/>
          <w:rFonts w:hint="eastAsia" w:ascii="宋体" w:hAnsi="宋体" w:eastAsia="宋体" w:cs="宋体"/>
          <w:color w:val="auto"/>
          <w:highlight w:val="none"/>
        </w:rPr>
        <w:fldChar w:fldCharType="separate"/>
      </w:r>
      <w:r>
        <w:rPr>
          <w:rStyle w:val="23"/>
          <w:rFonts w:hint="eastAsia" w:ascii="宋体" w:hAnsi="宋体" w:eastAsia="宋体" w:cs="宋体"/>
          <w:color w:val="auto"/>
          <w:highlight w:val="none"/>
        </w:rPr>
        <w:t>第一章  采购公告</w:t>
      </w:r>
      <w:r>
        <w:rPr>
          <w:rStyle w:val="23"/>
          <w:rFonts w:hint="eastAsia" w:ascii="宋体" w:hAnsi="宋体" w:eastAsia="宋体" w:cs="宋体"/>
          <w:color w:val="auto"/>
          <w:highlight w:val="none"/>
        </w:rPr>
        <w:tab/>
      </w:r>
      <w:r>
        <w:rPr>
          <w:rStyle w:val="23"/>
          <w:rFonts w:hint="eastAsia" w:ascii="宋体" w:hAnsi="宋体" w:eastAsia="宋体" w:cs="宋体"/>
          <w:color w:val="auto"/>
          <w:highlight w:val="none"/>
        </w:rPr>
        <w:fldChar w:fldCharType="begin"/>
      </w:r>
      <w:r>
        <w:rPr>
          <w:rStyle w:val="23"/>
          <w:rFonts w:hint="eastAsia" w:ascii="宋体" w:hAnsi="宋体" w:eastAsia="宋体" w:cs="宋体"/>
          <w:color w:val="auto"/>
          <w:highlight w:val="none"/>
        </w:rPr>
        <w:instrText xml:space="preserve"> PAGEREF _Toc61965561 \h </w:instrText>
      </w:r>
      <w:r>
        <w:rPr>
          <w:rStyle w:val="23"/>
          <w:rFonts w:hint="eastAsia" w:ascii="宋体" w:hAnsi="宋体" w:eastAsia="宋体" w:cs="宋体"/>
          <w:color w:val="auto"/>
          <w:highlight w:val="none"/>
        </w:rPr>
        <w:fldChar w:fldCharType="separate"/>
      </w:r>
      <w:r>
        <w:rPr>
          <w:rStyle w:val="23"/>
          <w:rFonts w:hint="eastAsia" w:ascii="宋体" w:hAnsi="宋体" w:eastAsia="宋体" w:cs="宋体"/>
          <w:color w:val="auto"/>
          <w:highlight w:val="none"/>
        </w:rPr>
        <w:t>3</w:t>
      </w:r>
      <w:r>
        <w:rPr>
          <w:rStyle w:val="23"/>
          <w:rFonts w:hint="eastAsia" w:ascii="宋体" w:hAnsi="宋体" w:eastAsia="宋体" w:cs="宋体"/>
          <w:color w:val="auto"/>
          <w:highlight w:val="none"/>
        </w:rPr>
        <w:fldChar w:fldCharType="end"/>
      </w:r>
      <w:r>
        <w:rPr>
          <w:rStyle w:val="23"/>
          <w:rFonts w:hint="eastAsia" w:ascii="宋体" w:hAnsi="宋体" w:eastAsia="宋体" w:cs="宋体"/>
          <w:color w:val="auto"/>
          <w:highlight w:val="none"/>
        </w:rPr>
        <w:fldChar w:fldCharType="end"/>
      </w:r>
    </w:p>
    <w:p>
      <w:pPr>
        <w:pStyle w:val="15"/>
        <w:tabs>
          <w:tab w:val="right" w:leader="dot" w:pos="8777"/>
        </w:tabs>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fldChar w:fldCharType="begin"/>
      </w:r>
      <w:r>
        <w:rPr>
          <w:rStyle w:val="23"/>
          <w:rFonts w:hint="eastAsia" w:ascii="宋体" w:hAnsi="宋体" w:eastAsia="宋体" w:cs="宋体"/>
          <w:color w:val="auto"/>
          <w:highlight w:val="none"/>
        </w:rPr>
        <w:instrText xml:space="preserve"> HYPERLINK \l "_Toc61965562" </w:instrText>
      </w:r>
      <w:r>
        <w:rPr>
          <w:rStyle w:val="23"/>
          <w:rFonts w:hint="eastAsia" w:ascii="宋体" w:hAnsi="宋体" w:eastAsia="宋体" w:cs="宋体"/>
          <w:color w:val="auto"/>
          <w:highlight w:val="none"/>
        </w:rPr>
        <w:fldChar w:fldCharType="separate"/>
      </w:r>
      <w:r>
        <w:rPr>
          <w:rStyle w:val="23"/>
          <w:rFonts w:hint="eastAsia" w:ascii="宋体" w:hAnsi="宋体" w:eastAsia="宋体" w:cs="宋体"/>
          <w:color w:val="auto"/>
          <w:highlight w:val="none"/>
        </w:rPr>
        <w:t>第二章  投标资料表</w:t>
      </w:r>
      <w:r>
        <w:rPr>
          <w:rStyle w:val="23"/>
          <w:rFonts w:hint="eastAsia" w:ascii="宋体" w:hAnsi="宋体" w:eastAsia="宋体" w:cs="宋体"/>
          <w:color w:val="auto"/>
          <w:highlight w:val="none"/>
        </w:rPr>
        <w:tab/>
      </w:r>
      <w:r>
        <w:rPr>
          <w:rStyle w:val="23"/>
          <w:rFonts w:hint="eastAsia" w:ascii="宋体" w:hAnsi="宋体" w:eastAsia="宋体" w:cs="宋体"/>
          <w:color w:val="auto"/>
          <w:highlight w:val="none"/>
        </w:rPr>
        <w:fldChar w:fldCharType="begin"/>
      </w:r>
      <w:r>
        <w:rPr>
          <w:rStyle w:val="23"/>
          <w:rFonts w:hint="eastAsia" w:ascii="宋体" w:hAnsi="宋体" w:eastAsia="宋体" w:cs="宋体"/>
          <w:color w:val="auto"/>
          <w:highlight w:val="none"/>
        </w:rPr>
        <w:instrText xml:space="preserve"> PAGEREF _Toc61965562 \h </w:instrText>
      </w:r>
      <w:r>
        <w:rPr>
          <w:rStyle w:val="23"/>
          <w:rFonts w:hint="eastAsia" w:ascii="宋体" w:hAnsi="宋体" w:eastAsia="宋体" w:cs="宋体"/>
          <w:color w:val="auto"/>
          <w:highlight w:val="none"/>
        </w:rPr>
        <w:fldChar w:fldCharType="separate"/>
      </w:r>
      <w:r>
        <w:rPr>
          <w:rStyle w:val="23"/>
          <w:rFonts w:hint="eastAsia" w:ascii="宋体" w:hAnsi="宋体" w:eastAsia="宋体" w:cs="宋体"/>
          <w:color w:val="auto"/>
          <w:highlight w:val="none"/>
        </w:rPr>
        <w:t>7</w:t>
      </w:r>
      <w:r>
        <w:rPr>
          <w:rStyle w:val="23"/>
          <w:rFonts w:hint="eastAsia" w:ascii="宋体" w:hAnsi="宋体" w:eastAsia="宋体" w:cs="宋体"/>
          <w:color w:val="auto"/>
          <w:highlight w:val="none"/>
        </w:rPr>
        <w:fldChar w:fldCharType="end"/>
      </w:r>
      <w:r>
        <w:rPr>
          <w:rStyle w:val="23"/>
          <w:rFonts w:hint="eastAsia" w:ascii="宋体" w:hAnsi="宋体" w:eastAsia="宋体" w:cs="宋体"/>
          <w:color w:val="auto"/>
          <w:highlight w:val="none"/>
        </w:rPr>
        <w:fldChar w:fldCharType="end"/>
      </w:r>
    </w:p>
    <w:p>
      <w:pPr>
        <w:pStyle w:val="15"/>
        <w:tabs>
          <w:tab w:val="right" w:leader="dot" w:pos="8777"/>
        </w:tabs>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fldChar w:fldCharType="begin"/>
      </w:r>
      <w:r>
        <w:rPr>
          <w:rStyle w:val="23"/>
          <w:rFonts w:hint="eastAsia" w:ascii="宋体" w:hAnsi="宋体" w:eastAsia="宋体" w:cs="宋体"/>
          <w:color w:val="auto"/>
          <w:highlight w:val="none"/>
        </w:rPr>
        <w:instrText xml:space="preserve"> HYPERLINK \l "_Toc61965563" </w:instrText>
      </w:r>
      <w:r>
        <w:rPr>
          <w:rStyle w:val="23"/>
          <w:rFonts w:hint="eastAsia" w:ascii="宋体" w:hAnsi="宋体" w:eastAsia="宋体" w:cs="宋体"/>
          <w:color w:val="auto"/>
          <w:highlight w:val="none"/>
        </w:rPr>
        <w:fldChar w:fldCharType="separate"/>
      </w:r>
      <w:r>
        <w:rPr>
          <w:rStyle w:val="23"/>
          <w:rFonts w:hint="eastAsia" w:ascii="宋体" w:hAnsi="宋体" w:eastAsia="宋体" w:cs="宋体"/>
          <w:color w:val="auto"/>
          <w:highlight w:val="none"/>
        </w:rPr>
        <w:t>第三章  投标人须知</w:t>
      </w:r>
      <w:r>
        <w:rPr>
          <w:rStyle w:val="23"/>
          <w:rFonts w:hint="eastAsia" w:ascii="宋体" w:hAnsi="宋体" w:eastAsia="宋体" w:cs="宋体"/>
          <w:color w:val="auto"/>
          <w:highlight w:val="none"/>
        </w:rPr>
        <w:tab/>
      </w:r>
      <w:r>
        <w:rPr>
          <w:rStyle w:val="23"/>
          <w:rFonts w:hint="eastAsia" w:ascii="宋体" w:hAnsi="宋体" w:eastAsia="宋体" w:cs="宋体"/>
          <w:color w:val="auto"/>
          <w:highlight w:val="none"/>
        </w:rPr>
        <w:fldChar w:fldCharType="begin"/>
      </w:r>
      <w:r>
        <w:rPr>
          <w:rStyle w:val="23"/>
          <w:rFonts w:hint="eastAsia" w:ascii="宋体" w:hAnsi="宋体" w:eastAsia="宋体" w:cs="宋体"/>
          <w:color w:val="auto"/>
          <w:highlight w:val="none"/>
        </w:rPr>
        <w:instrText xml:space="preserve"> PAGEREF _Toc61965563 \h </w:instrText>
      </w:r>
      <w:r>
        <w:rPr>
          <w:rStyle w:val="23"/>
          <w:rFonts w:hint="eastAsia" w:ascii="宋体" w:hAnsi="宋体" w:eastAsia="宋体" w:cs="宋体"/>
          <w:color w:val="auto"/>
          <w:highlight w:val="none"/>
        </w:rPr>
        <w:fldChar w:fldCharType="separate"/>
      </w:r>
      <w:r>
        <w:rPr>
          <w:rStyle w:val="23"/>
          <w:rFonts w:hint="eastAsia" w:ascii="宋体" w:hAnsi="宋体" w:eastAsia="宋体" w:cs="宋体"/>
          <w:color w:val="auto"/>
          <w:highlight w:val="none"/>
        </w:rPr>
        <w:t>10</w:t>
      </w:r>
      <w:r>
        <w:rPr>
          <w:rStyle w:val="23"/>
          <w:rFonts w:hint="eastAsia" w:ascii="宋体" w:hAnsi="宋体" w:eastAsia="宋体" w:cs="宋体"/>
          <w:color w:val="auto"/>
          <w:highlight w:val="none"/>
        </w:rPr>
        <w:fldChar w:fldCharType="end"/>
      </w:r>
      <w:r>
        <w:rPr>
          <w:rStyle w:val="23"/>
          <w:rFonts w:hint="eastAsia" w:ascii="宋体" w:hAnsi="宋体" w:eastAsia="宋体" w:cs="宋体"/>
          <w:color w:val="auto"/>
          <w:highlight w:val="none"/>
        </w:rPr>
        <w:fldChar w:fldCharType="end"/>
      </w:r>
    </w:p>
    <w:p>
      <w:pPr>
        <w:pStyle w:val="15"/>
        <w:tabs>
          <w:tab w:val="right" w:leader="dot" w:pos="8777"/>
        </w:tabs>
        <w:rPr>
          <w:rStyle w:val="23"/>
          <w:rFonts w:hint="default" w:ascii="宋体" w:hAnsi="宋体" w:eastAsia="宋体" w:cs="宋体"/>
          <w:color w:val="auto"/>
          <w:highlight w:val="none"/>
          <w:lang w:val="en-US" w:eastAsia="zh-CN"/>
        </w:rPr>
      </w:pPr>
      <w:r>
        <w:rPr>
          <w:rStyle w:val="23"/>
          <w:rFonts w:hint="eastAsia" w:ascii="宋体" w:hAnsi="宋体" w:eastAsia="宋体" w:cs="宋体"/>
          <w:color w:val="auto"/>
          <w:highlight w:val="none"/>
          <w:lang w:val="en-US" w:eastAsia="zh-CN"/>
        </w:rPr>
        <w:t xml:space="preserve">第四章  招标需求 </w:t>
      </w:r>
      <w:r>
        <w:rPr>
          <w:rStyle w:val="23"/>
          <w:rFonts w:hint="eastAsia" w:ascii="宋体" w:hAnsi="宋体" w:eastAsia="宋体" w:cs="宋体"/>
          <w:color w:val="auto"/>
          <w:highlight w:val="none"/>
        </w:rPr>
        <w:tab/>
      </w:r>
      <w:r>
        <w:rPr>
          <w:rStyle w:val="23"/>
          <w:rFonts w:hint="eastAsia" w:ascii="宋体" w:hAnsi="宋体" w:eastAsia="宋体" w:cs="宋体"/>
          <w:color w:val="auto"/>
          <w:highlight w:val="none"/>
          <w:lang w:val="en-US" w:eastAsia="zh-CN"/>
        </w:rPr>
        <w:t>22</w:t>
      </w:r>
    </w:p>
    <w:p>
      <w:pPr>
        <w:pStyle w:val="15"/>
        <w:tabs>
          <w:tab w:val="right" w:leader="dot" w:pos="8777"/>
        </w:tabs>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fldChar w:fldCharType="begin"/>
      </w:r>
      <w:r>
        <w:rPr>
          <w:rStyle w:val="23"/>
          <w:rFonts w:hint="eastAsia" w:ascii="宋体" w:hAnsi="宋体" w:eastAsia="宋体" w:cs="宋体"/>
          <w:color w:val="auto"/>
          <w:highlight w:val="none"/>
        </w:rPr>
        <w:instrText xml:space="preserve"> HYPERLINK \l "_Toc61965564" </w:instrText>
      </w:r>
      <w:r>
        <w:rPr>
          <w:rStyle w:val="23"/>
          <w:rFonts w:hint="eastAsia" w:ascii="宋体" w:hAnsi="宋体" w:eastAsia="宋体" w:cs="宋体"/>
          <w:color w:val="auto"/>
          <w:highlight w:val="none"/>
        </w:rPr>
        <w:fldChar w:fldCharType="separate"/>
      </w:r>
      <w:r>
        <w:rPr>
          <w:rStyle w:val="23"/>
          <w:rFonts w:hint="eastAsia" w:ascii="宋体" w:hAnsi="宋体" w:eastAsia="宋体" w:cs="宋体"/>
          <w:color w:val="auto"/>
          <w:highlight w:val="none"/>
        </w:rPr>
        <w:t>第五章  评标办法及评分标准</w:t>
      </w:r>
      <w:r>
        <w:rPr>
          <w:rStyle w:val="23"/>
          <w:rFonts w:hint="eastAsia" w:ascii="宋体" w:hAnsi="宋体" w:eastAsia="宋体" w:cs="宋体"/>
          <w:color w:val="auto"/>
          <w:highlight w:val="none"/>
        </w:rPr>
        <w:tab/>
      </w:r>
      <w:r>
        <w:rPr>
          <w:rStyle w:val="23"/>
          <w:rFonts w:hint="eastAsia" w:ascii="宋体" w:hAnsi="宋体" w:eastAsia="宋体" w:cs="宋体"/>
          <w:color w:val="auto"/>
          <w:highlight w:val="none"/>
        </w:rPr>
        <w:fldChar w:fldCharType="begin"/>
      </w:r>
      <w:r>
        <w:rPr>
          <w:rStyle w:val="23"/>
          <w:rFonts w:hint="eastAsia" w:ascii="宋体" w:hAnsi="宋体" w:eastAsia="宋体" w:cs="宋体"/>
          <w:color w:val="auto"/>
          <w:highlight w:val="none"/>
        </w:rPr>
        <w:instrText xml:space="preserve"> PAGEREF _Toc61965564 \h </w:instrText>
      </w:r>
      <w:r>
        <w:rPr>
          <w:rStyle w:val="23"/>
          <w:rFonts w:hint="eastAsia" w:ascii="宋体" w:hAnsi="宋体" w:eastAsia="宋体" w:cs="宋体"/>
          <w:color w:val="auto"/>
          <w:highlight w:val="none"/>
        </w:rPr>
        <w:fldChar w:fldCharType="separate"/>
      </w:r>
      <w:r>
        <w:rPr>
          <w:rStyle w:val="23"/>
          <w:rFonts w:hint="eastAsia" w:ascii="宋体" w:hAnsi="宋体" w:eastAsia="宋体" w:cs="宋体"/>
          <w:color w:val="auto"/>
          <w:highlight w:val="none"/>
        </w:rPr>
        <w:t>25</w:t>
      </w:r>
      <w:r>
        <w:rPr>
          <w:rStyle w:val="23"/>
          <w:rFonts w:hint="eastAsia" w:ascii="宋体" w:hAnsi="宋体" w:eastAsia="宋体" w:cs="宋体"/>
          <w:color w:val="auto"/>
          <w:highlight w:val="none"/>
        </w:rPr>
        <w:fldChar w:fldCharType="end"/>
      </w:r>
      <w:r>
        <w:rPr>
          <w:rStyle w:val="23"/>
          <w:rFonts w:hint="eastAsia" w:ascii="宋体" w:hAnsi="宋体" w:eastAsia="宋体" w:cs="宋体"/>
          <w:color w:val="auto"/>
          <w:highlight w:val="none"/>
        </w:rPr>
        <w:fldChar w:fldCharType="end"/>
      </w:r>
    </w:p>
    <w:p>
      <w:pPr>
        <w:pStyle w:val="15"/>
        <w:tabs>
          <w:tab w:val="right" w:leader="dot" w:pos="8777"/>
        </w:tabs>
        <w:rPr>
          <w:rStyle w:val="23"/>
          <w:rFonts w:hint="eastAsia" w:ascii="宋体" w:hAnsi="宋体" w:eastAsia="宋体" w:cs="宋体"/>
          <w:color w:val="auto"/>
          <w:highlight w:val="none"/>
          <w:lang w:val="en-US" w:eastAsia="zh-CN"/>
        </w:rPr>
      </w:pPr>
      <w:r>
        <w:rPr>
          <w:rStyle w:val="23"/>
          <w:rFonts w:hint="eastAsia" w:ascii="宋体" w:hAnsi="宋体" w:eastAsia="宋体" w:cs="宋体"/>
          <w:color w:val="auto"/>
          <w:highlight w:val="none"/>
        </w:rPr>
        <w:fldChar w:fldCharType="begin"/>
      </w:r>
      <w:r>
        <w:rPr>
          <w:rStyle w:val="23"/>
          <w:rFonts w:hint="eastAsia" w:ascii="宋体" w:hAnsi="宋体" w:eastAsia="宋体" w:cs="宋体"/>
          <w:color w:val="auto"/>
          <w:highlight w:val="none"/>
        </w:rPr>
        <w:instrText xml:space="preserve"> HYPERLINK \l "_Toc61965565" </w:instrText>
      </w:r>
      <w:r>
        <w:rPr>
          <w:rStyle w:val="23"/>
          <w:rFonts w:hint="eastAsia" w:ascii="宋体" w:hAnsi="宋体" w:eastAsia="宋体" w:cs="宋体"/>
          <w:color w:val="auto"/>
          <w:highlight w:val="none"/>
        </w:rPr>
        <w:fldChar w:fldCharType="separate"/>
      </w:r>
      <w:r>
        <w:rPr>
          <w:rStyle w:val="23"/>
          <w:rFonts w:hint="eastAsia" w:ascii="宋体" w:hAnsi="宋体" w:eastAsia="宋体" w:cs="宋体"/>
          <w:color w:val="auto"/>
          <w:highlight w:val="none"/>
        </w:rPr>
        <w:t>第六章  政府采购合同文本</w:t>
      </w:r>
      <w:r>
        <w:rPr>
          <w:rStyle w:val="23"/>
          <w:rFonts w:hint="eastAsia" w:ascii="宋体" w:hAnsi="宋体" w:eastAsia="宋体" w:cs="宋体"/>
          <w:color w:val="auto"/>
          <w:highlight w:val="none"/>
        </w:rPr>
        <w:tab/>
      </w:r>
      <w:r>
        <w:rPr>
          <w:rStyle w:val="23"/>
          <w:rFonts w:hint="eastAsia" w:ascii="宋体" w:hAnsi="宋体" w:eastAsia="宋体" w:cs="宋体"/>
          <w:color w:val="auto"/>
          <w:highlight w:val="none"/>
          <w:lang w:val="en-US" w:eastAsia="zh-CN"/>
        </w:rPr>
        <w:t>3</w:t>
      </w:r>
      <w:r>
        <w:rPr>
          <w:rStyle w:val="23"/>
          <w:rFonts w:hint="eastAsia" w:ascii="宋体" w:hAnsi="宋体" w:eastAsia="宋体" w:cs="宋体"/>
          <w:color w:val="auto"/>
          <w:highlight w:val="none"/>
        </w:rPr>
        <w:fldChar w:fldCharType="end"/>
      </w:r>
      <w:r>
        <w:rPr>
          <w:rStyle w:val="23"/>
          <w:rFonts w:hint="eastAsia" w:ascii="宋体" w:hAnsi="宋体" w:eastAsia="宋体" w:cs="宋体"/>
          <w:color w:val="auto"/>
          <w:highlight w:val="none"/>
          <w:lang w:val="en-US" w:eastAsia="zh-CN"/>
        </w:rPr>
        <w:t>5</w:t>
      </w:r>
    </w:p>
    <w:p>
      <w:pPr>
        <w:pStyle w:val="15"/>
        <w:tabs>
          <w:tab w:val="right" w:leader="dot" w:pos="8777"/>
        </w:tabs>
        <w:rPr>
          <w:rStyle w:val="23"/>
          <w:rFonts w:hint="eastAsia" w:ascii="宋体" w:hAnsi="宋体" w:eastAsia="宋体" w:cs="宋体"/>
          <w:color w:val="auto"/>
          <w:highlight w:val="none"/>
          <w:lang w:val="en-US" w:eastAsia="zh-CN"/>
        </w:rPr>
      </w:pPr>
      <w:r>
        <w:rPr>
          <w:rStyle w:val="23"/>
          <w:rFonts w:hint="eastAsia" w:ascii="宋体" w:hAnsi="宋体" w:eastAsia="宋体" w:cs="宋体"/>
          <w:color w:val="auto"/>
          <w:highlight w:val="none"/>
        </w:rPr>
        <w:fldChar w:fldCharType="begin"/>
      </w:r>
      <w:r>
        <w:rPr>
          <w:rStyle w:val="23"/>
          <w:rFonts w:hint="eastAsia" w:ascii="宋体" w:hAnsi="宋体" w:eastAsia="宋体" w:cs="宋体"/>
          <w:color w:val="auto"/>
          <w:highlight w:val="none"/>
        </w:rPr>
        <w:instrText xml:space="preserve"> HYPERLINK \l "_Toc61965566" </w:instrText>
      </w:r>
      <w:r>
        <w:rPr>
          <w:rStyle w:val="23"/>
          <w:rFonts w:hint="eastAsia" w:ascii="宋体" w:hAnsi="宋体" w:eastAsia="宋体" w:cs="宋体"/>
          <w:color w:val="auto"/>
          <w:highlight w:val="none"/>
        </w:rPr>
        <w:fldChar w:fldCharType="separate"/>
      </w:r>
      <w:r>
        <w:rPr>
          <w:rStyle w:val="23"/>
          <w:rFonts w:hint="eastAsia" w:ascii="宋体" w:hAnsi="宋体" w:eastAsia="宋体" w:cs="宋体"/>
          <w:color w:val="auto"/>
          <w:highlight w:val="none"/>
        </w:rPr>
        <w:t>第七章  投标文件格式及附件</w:t>
      </w:r>
      <w:r>
        <w:rPr>
          <w:rStyle w:val="23"/>
          <w:rFonts w:hint="eastAsia" w:ascii="宋体" w:hAnsi="宋体" w:eastAsia="宋体" w:cs="宋体"/>
          <w:color w:val="auto"/>
          <w:highlight w:val="none"/>
        </w:rPr>
        <w:tab/>
      </w:r>
      <w:r>
        <w:rPr>
          <w:rStyle w:val="23"/>
          <w:rFonts w:hint="eastAsia" w:ascii="宋体" w:hAnsi="宋体" w:eastAsia="宋体" w:cs="宋体"/>
          <w:color w:val="auto"/>
          <w:highlight w:val="none"/>
          <w:lang w:val="en-US" w:eastAsia="zh-CN"/>
        </w:rPr>
        <w:t>4</w:t>
      </w:r>
      <w:r>
        <w:rPr>
          <w:rStyle w:val="23"/>
          <w:rFonts w:hint="eastAsia" w:ascii="宋体" w:hAnsi="宋体" w:eastAsia="宋体" w:cs="宋体"/>
          <w:color w:val="auto"/>
          <w:highlight w:val="none"/>
        </w:rPr>
        <w:fldChar w:fldCharType="end"/>
      </w:r>
      <w:r>
        <w:rPr>
          <w:rStyle w:val="23"/>
          <w:rFonts w:hint="eastAsia" w:ascii="宋体" w:hAnsi="宋体" w:eastAsia="宋体" w:cs="宋体"/>
          <w:color w:val="auto"/>
          <w:highlight w:val="none"/>
          <w:lang w:val="en-US" w:eastAsia="zh-CN"/>
        </w:rPr>
        <w:t>2</w:t>
      </w:r>
    </w:p>
    <w:p>
      <w:pPr>
        <w:pStyle w:val="15"/>
        <w:tabs>
          <w:tab w:val="right" w:leader="dot" w:pos="8777"/>
        </w:tabs>
        <w:rPr>
          <w:rFonts w:hint="eastAsia"/>
          <w:color w:val="auto"/>
          <w:highlight w:val="none"/>
        </w:rPr>
        <w:sectPr>
          <w:footerReference r:id="rId3" w:type="default"/>
          <w:footerReference r:id="rId4" w:type="even"/>
          <w:pgSz w:w="11849" w:h="16781"/>
          <w:pgMar w:top="1247" w:right="1531" w:bottom="1304" w:left="1531" w:header="720" w:footer="720" w:gutter="0"/>
          <w:pgNumType w:start="1"/>
          <w:cols w:space="720" w:num="1"/>
          <w:docGrid w:linePitch="312" w:charSpace="0"/>
        </w:sectPr>
      </w:pPr>
      <w:r>
        <w:rPr>
          <w:rStyle w:val="23"/>
          <w:rFonts w:hint="eastAsia" w:ascii="宋体" w:hAnsi="宋体" w:eastAsia="宋体" w:cs="宋体"/>
          <w:color w:val="auto"/>
          <w:highlight w:val="none"/>
        </w:rPr>
        <w:fldChar w:fldCharType="end"/>
      </w:r>
    </w:p>
    <w:p>
      <w:pPr>
        <w:pStyle w:val="4"/>
        <w:snapToGrid w:val="0"/>
        <w:spacing w:before="0" w:after="0" w:line="440" w:lineRule="exact"/>
        <w:rPr>
          <w:rFonts w:hint="eastAsia" w:ascii="宋体" w:hAnsi="宋体" w:cs="宋体"/>
          <w:color w:val="auto"/>
          <w:sz w:val="21"/>
          <w:szCs w:val="21"/>
          <w:highlight w:val="none"/>
        </w:rPr>
      </w:pPr>
      <w:bookmarkStart w:id="2" w:name="_Toc22982"/>
      <w:bookmarkStart w:id="3" w:name="_Toc18231"/>
      <w:bookmarkStart w:id="4" w:name="_Toc61965561"/>
      <w:bookmarkStart w:id="5" w:name="_Toc15427"/>
      <w:r>
        <w:rPr>
          <w:rFonts w:hint="eastAsia" w:ascii="宋体" w:hAnsi="宋体" w:cs="宋体"/>
          <w:color w:val="auto"/>
          <w:sz w:val="24"/>
          <w:szCs w:val="24"/>
          <w:highlight w:val="none"/>
        </w:rPr>
        <w:t>第一章  采购公告</w:t>
      </w:r>
      <w:bookmarkEnd w:id="2"/>
      <w:bookmarkEnd w:id="3"/>
      <w:bookmarkEnd w:id="4"/>
      <w:bookmarkEnd w:id="5"/>
    </w:p>
    <w:p>
      <w:pPr>
        <w:pStyle w:val="26"/>
        <w:widowControl w:val="0"/>
        <w:adjustRightInd w:val="0"/>
        <w:spacing w:after="0" w:afterLines="0" w:line="480" w:lineRule="exact"/>
        <w:ind w:firstLine="218" w:firstLineChars="10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p>
      <w:pPr>
        <w:pBdr>
          <w:top w:val="single" w:color="auto" w:sz="4" w:space="1"/>
          <w:left w:val="single" w:color="auto" w:sz="4" w:space="4"/>
          <w:bottom w:val="single" w:color="auto" w:sz="4" w:space="1"/>
          <w:right w:val="single" w:color="auto" w:sz="4" w:space="4"/>
        </w:pBdr>
        <w:adjustRightInd w:val="0"/>
        <w:snapToGrid w:val="0"/>
        <w:spacing w:line="480" w:lineRule="exact"/>
        <w:rPr>
          <w:rFonts w:hint="eastAsia"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潘火街道中小学（幼儿园）保安服务项目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的潜在投标人应在</w:t>
      </w:r>
      <w:r>
        <w:rPr>
          <w:rFonts w:hint="eastAsia" w:ascii="宋体" w:hAnsi="宋体" w:cs="宋体"/>
          <w:color w:val="auto"/>
          <w:szCs w:val="21"/>
          <w:highlight w:val="none"/>
          <w:u w:val="single"/>
        </w:rPr>
        <w:t>政府采购云平台（</w:t>
      </w:r>
      <w:r>
        <w:rPr>
          <w:rFonts w:hint="eastAsia" w:ascii="宋体" w:hAnsi="宋体" w:cs="宋体"/>
          <w:color w:val="auto"/>
          <w:szCs w:val="21"/>
          <w:highlight w:val="none"/>
          <w:u w:val="single"/>
          <w:shd w:val="clear" w:color="auto" w:fill="FFFFFF"/>
        </w:rPr>
        <w:t>www.zcygov.cn）</w:t>
      </w:r>
      <w:r>
        <w:rPr>
          <w:rFonts w:hint="eastAsia" w:ascii="宋体" w:hAnsi="宋体" w:cs="宋体"/>
          <w:color w:val="auto"/>
          <w:szCs w:val="21"/>
          <w:highlight w:val="none"/>
        </w:rPr>
        <w:t>获取（下载）招标文件，并于</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日09:</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0 </w:t>
      </w:r>
      <w:r>
        <w:rPr>
          <w:rFonts w:hint="eastAsia" w:ascii="宋体" w:hAnsi="宋体" w:cs="宋体"/>
          <w:color w:val="auto"/>
          <w:szCs w:val="21"/>
          <w:highlight w:val="none"/>
        </w:rPr>
        <w:t>（北京时间）前递交（上传）投标文件。</w:t>
      </w:r>
    </w:p>
    <w:p>
      <w:pPr>
        <w:pStyle w:val="16"/>
        <w:adjustRightInd w:val="0"/>
        <w:snapToGrid w:val="0"/>
        <w:spacing w:before="0" w:beforeAutospacing="0" w:after="0" w:afterAutospacing="0" w:line="460" w:lineRule="exact"/>
        <w:jc w:val="both"/>
        <w:rPr>
          <w:rFonts w:hint="eastAsia" w:ascii="宋体" w:hAnsi="宋体" w:cs="宋体"/>
          <w:color w:val="auto"/>
          <w:sz w:val="21"/>
          <w:szCs w:val="21"/>
          <w:highlight w:val="none"/>
        </w:rPr>
      </w:pPr>
      <w:r>
        <w:rPr>
          <w:rStyle w:val="22"/>
          <w:rFonts w:hint="eastAsia" w:ascii="宋体" w:hAnsi="宋体" w:cs="宋体"/>
          <w:color w:val="auto"/>
          <w:sz w:val="21"/>
          <w:szCs w:val="21"/>
          <w:highlight w:val="none"/>
          <w:shd w:val="clear" w:color="auto" w:fill="FFFFFF"/>
        </w:rPr>
        <w:t>一、项目基本情况</w:t>
      </w:r>
    </w:p>
    <w:p>
      <w:pPr>
        <w:pStyle w:val="16"/>
        <w:adjustRightInd w:val="0"/>
        <w:snapToGrid w:val="0"/>
        <w:spacing w:before="0" w:beforeAutospacing="0" w:after="0" w:afterAutospacing="0" w:line="460" w:lineRule="exact"/>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rPr>
        <w:t>项目编号：</w:t>
      </w:r>
      <w:r>
        <w:rPr>
          <w:rFonts w:hint="eastAsia" w:ascii="宋体" w:hAnsi="宋体" w:eastAsia="宋体" w:cs="宋体"/>
          <w:color w:val="auto"/>
          <w:sz w:val="21"/>
          <w:szCs w:val="21"/>
          <w:highlight w:val="none"/>
          <w:shd w:val="clear" w:color="auto" w:fill="FFFFFF"/>
          <w:lang w:val="en-US" w:eastAsia="zh-CN"/>
        </w:rPr>
        <w:t xml:space="preserve">ZJJS-2021-013 </w:t>
      </w:r>
    </w:p>
    <w:p>
      <w:pPr>
        <w:pStyle w:val="16"/>
        <w:adjustRightInd w:val="0"/>
        <w:snapToGrid w:val="0"/>
        <w:spacing w:before="0" w:beforeAutospacing="0" w:after="0" w:afterAutospacing="0" w:line="46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shd w:val="clear" w:color="auto" w:fill="FFFFFF"/>
        </w:rPr>
        <w:t>项目名称：</w:t>
      </w:r>
      <w:r>
        <w:rPr>
          <w:rFonts w:hint="eastAsia" w:ascii="宋体" w:hAnsi="宋体" w:cs="宋体"/>
          <w:color w:val="auto"/>
          <w:kern w:val="2"/>
          <w:sz w:val="21"/>
          <w:szCs w:val="21"/>
          <w:highlight w:val="none"/>
          <w:shd w:val="clear" w:color="auto" w:fill="FFFFFF"/>
          <w:lang w:eastAsia="zh-CN"/>
        </w:rPr>
        <w:t>潘火街道中小学（幼儿园）保安服务项目</w:t>
      </w:r>
    </w:p>
    <w:p>
      <w:pPr>
        <w:spacing w:before="120" w:beforeLines="50" w:line="360" w:lineRule="auto"/>
        <w:jc w:val="left"/>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预算金额</w:t>
      </w:r>
      <w:r>
        <w:rPr>
          <w:rFonts w:hint="eastAsia" w:ascii="宋体" w:hAnsi="宋体" w:cs="宋体"/>
          <w:szCs w:val="21"/>
        </w:rPr>
        <w:t>（元）</w:t>
      </w:r>
      <w:r>
        <w:rPr>
          <w:rFonts w:hint="eastAsia" w:ascii="宋体" w:hAnsi="宋体" w:eastAsia="宋体" w:cs="宋体"/>
          <w:color w:val="auto"/>
          <w:szCs w:val="21"/>
          <w:highlight w:val="none"/>
          <w:shd w:val="clear" w:color="auto" w:fill="FFFFFF"/>
        </w:rPr>
        <w:t>：</w:t>
      </w:r>
      <w:r>
        <w:rPr>
          <w:rFonts w:hint="eastAsia" w:ascii="宋体" w:hAnsi="宋体" w:eastAsia="宋体" w:cs="宋体"/>
          <w:color w:val="auto"/>
          <w:szCs w:val="21"/>
          <w:highlight w:val="none"/>
          <w:shd w:val="clear" w:color="auto" w:fill="FFFFFF"/>
          <w:lang w:val="en-US" w:eastAsia="zh-CN"/>
        </w:rPr>
        <w:t>3508800.00</w:t>
      </w:r>
    </w:p>
    <w:p>
      <w:pPr>
        <w:spacing w:before="120" w:beforeLines="50" w:line="360" w:lineRule="auto"/>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采购限价</w:t>
      </w:r>
      <w:r>
        <w:rPr>
          <w:rFonts w:hint="eastAsia" w:ascii="宋体" w:hAnsi="宋体" w:cs="宋体"/>
          <w:szCs w:val="21"/>
        </w:rPr>
        <w:t>（元）</w:t>
      </w:r>
      <w:r>
        <w:rPr>
          <w:rFonts w:hint="eastAsia" w:ascii="宋体" w:hAnsi="宋体" w:eastAsia="宋体" w:cs="宋体"/>
          <w:color w:val="auto"/>
          <w:szCs w:val="21"/>
          <w:highlight w:val="none"/>
          <w:shd w:val="clear" w:color="auto" w:fill="FFFFFF"/>
        </w:rPr>
        <w:t>：</w:t>
      </w:r>
      <w:r>
        <w:rPr>
          <w:rFonts w:hint="eastAsia" w:ascii="宋体" w:hAnsi="宋体" w:eastAsia="宋体" w:cs="宋体"/>
          <w:color w:val="auto"/>
          <w:szCs w:val="21"/>
          <w:highlight w:val="none"/>
          <w:shd w:val="clear" w:color="auto" w:fill="FFFFFF"/>
          <w:lang w:val="en-US" w:eastAsia="zh-CN"/>
        </w:rPr>
        <w:t>3508800.00</w:t>
      </w:r>
    </w:p>
    <w:p>
      <w:pPr>
        <w:spacing w:before="120" w:beforeLines="50" w:line="360" w:lineRule="auto"/>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采购需求：</w:t>
      </w:r>
    </w:p>
    <w:p>
      <w:pPr>
        <w:spacing w:before="120" w:beforeLines="50" w:line="360" w:lineRule="auto"/>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标项名称：</w:t>
      </w:r>
      <w:r>
        <w:rPr>
          <w:rFonts w:hint="eastAsia" w:ascii="宋体" w:hAnsi="宋体" w:cs="宋体"/>
          <w:color w:val="auto"/>
          <w:kern w:val="2"/>
          <w:sz w:val="21"/>
          <w:szCs w:val="21"/>
          <w:highlight w:val="none"/>
          <w:shd w:val="clear" w:color="auto" w:fill="FFFFFF"/>
          <w:lang w:eastAsia="zh-CN"/>
        </w:rPr>
        <w:t>潘火街道中小学（幼儿园）保安服务项目</w:t>
      </w:r>
      <w:r>
        <w:rPr>
          <w:rFonts w:hint="eastAsia" w:ascii="宋体" w:hAnsi="宋体" w:eastAsia="宋体" w:cs="宋体"/>
          <w:color w:val="auto"/>
          <w:szCs w:val="21"/>
          <w:highlight w:val="none"/>
          <w:shd w:val="clear" w:color="auto" w:fill="FFFFFF"/>
        </w:rPr>
        <w:t xml:space="preserve"> </w:t>
      </w:r>
    </w:p>
    <w:p>
      <w:pPr>
        <w:spacing w:before="120" w:beforeLines="50" w:line="360" w:lineRule="auto"/>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数量：</w:t>
      </w:r>
      <w:r>
        <w:rPr>
          <w:rFonts w:hint="eastAsia" w:ascii="宋体" w:hAnsi="宋体" w:eastAsia="宋体" w:cs="宋体"/>
          <w:color w:val="auto"/>
          <w:szCs w:val="21"/>
          <w:highlight w:val="none"/>
          <w:shd w:val="clear" w:color="auto" w:fill="FFFFFF"/>
          <w:lang w:val="en-US" w:eastAsia="zh-CN"/>
        </w:rPr>
        <w:t>1</w:t>
      </w:r>
    </w:p>
    <w:p>
      <w:pPr>
        <w:spacing w:before="120" w:beforeLines="50" w:line="360" w:lineRule="auto"/>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预算金额（元）：</w:t>
      </w:r>
      <w:r>
        <w:rPr>
          <w:rFonts w:hint="eastAsia" w:ascii="宋体" w:hAnsi="宋体" w:eastAsia="宋体" w:cs="宋体"/>
          <w:color w:val="auto"/>
          <w:szCs w:val="21"/>
          <w:highlight w:val="none"/>
          <w:shd w:val="clear" w:color="auto" w:fill="FFFFFF"/>
          <w:lang w:val="en-US" w:eastAsia="zh-CN"/>
        </w:rPr>
        <w:t>3508800</w:t>
      </w:r>
    </w:p>
    <w:p>
      <w:pPr>
        <w:spacing w:before="120" w:beforeLines="50" w:line="360" w:lineRule="auto"/>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简要规格描述或项目基本概况介绍、用途：</w:t>
      </w:r>
      <w:r>
        <w:rPr>
          <w:rFonts w:hint="eastAsia" w:ascii="宋体" w:hAnsi="宋体" w:cs="宋体"/>
          <w:color w:val="auto"/>
          <w:szCs w:val="21"/>
          <w:highlight w:val="none"/>
          <w:shd w:val="clear" w:color="auto" w:fill="FFFFFF"/>
          <w:lang w:eastAsia="zh-CN"/>
        </w:rPr>
        <w:t>潘火街道中小学（幼儿园）保安服务项目</w:t>
      </w:r>
      <w:r>
        <w:rPr>
          <w:rFonts w:hint="eastAsia" w:ascii="宋体" w:hAnsi="宋体" w:eastAsia="宋体" w:cs="宋体"/>
          <w:color w:val="auto"/>
          <w:szCs w:val="21"/>
          <w:highlight w:val="none"/>
          <w:shd w:val="clear" w:color="auto" w:fill="FFFFFF"/>
        </w:rPr>
        <w:t>，具体详见第</w:t>
      </w:r>
      <w:r>
        <w:rPr>
          <w:rFonts w:hint="eastAsia" w:ascii="宋体" w:hAnsi="宋体" w:eastAsia="宋体" w:cs="宋体"/>
          <w:color w:val="auto"/>
          <w:szCs w:val="21"/>
          <w:highlight w:val="none"/>
          <w:shd w:val="clear" w:color="auto" w:fill="FFFFFF"/>
          <w:lang w:val="en-US" w:eastAsia="zh-CN"/>
        </w:rPr>
        <w:t>四</w:t>
      </w:r>
      <w:r>
        <w:rPr>
          <w:rFonts w:hint="eastAsia" w:ascii="宋体" w:hAnsi="宋体" w:eastAsia="宋体" w:cs="宋体"/>
          <w:color w:val="auto"/>
          <w:szCs w:val="21"/>
          <w:highlight w:val="none"/>
          <w:shd w:val="clear" w:color="auto" w:fill="FFFFFF"/>
        </w:rPr>
        <w:t xml:space="preserve">章招标需求。 </w:t>
      </w:r>
    </w:p>
    <w:p>
      <w:pPr>
        <w:spacing w:before="120" w:beforeLines="50" w:line="360" w:lineRule="auto"/>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备注：</w:t>
      </w:r>
      <w:r>
        <w:rPr>
          <w:rFonts w:hint="eastAsia" w:ascii="宋体" w:hAnsi="宋体" w:eastAsia="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rPr>
        <w:t xml:space="preserve">。 </w:t>
      </w:r>
    </w:p>
    <w:p>
      <w:pPr>
        <w:spacing w:before="120" w:beforeLines="50" w:line="360" w:lineRule="auto"/>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合同履行期限：标项1</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三年，合同一年一签，因政策更改及实际需求变化，甲方有权提前终止合同或核减安保人员人数，合同金额等额调整</w:t>
      </w:r>
      <w:r>
        <w:rPr>
          <w:rFonts w:hint="eastAsia" w:ascii="宋体" w:hAnsi="宋体" w:eastAsia="宋体" w:cs="宋体"/>
          <w:color w:val="auto"/>
          <w:szCs w:val="21"/>
          <w:highlight w:val="none"/>
          <w:shd w:val="clear" w:color="auto" w:fill="FFFFFF"/>
        </w:rPr>
        <w:t>。</w:t>
      </w:r>
    </w:p>
    <w:p>
      <w:pPr>
        <w:spacing w:before="120" w:beforeLines="50" w:line="360" w:lineRule="auto"/>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本项目（否）接受联合体投标。</w:t>
      </w:r>
    </w:p>
    <w:p>
      <w:pPr>
        <w:pStyle w:val="16"/>
        <w:adjustRightInd w:val="0"/>
        <w:snapToGrid w:val="0"/>
        <w:spacing w:before="0" w:beforeAutospacing="0" w:after="0" w:afterAutospacing="0" w:line="460" w:lineRule="exact"/>
        <w:jc w:val="both"/>
        <w:rPr>
          <w:rFonts w:hint="eastAsia" w:ascii="宋体" w:hAnsi="宋体" w:cs="宋体"/>
          <w:color w:val="auto"/>
          <w:sz w:val="21"/>
          <w:szCs w:val="21"/>
          <w:highlight w:val="none"/>
        </w:rPr>
      </w:pPr>
      <w:r>
        <w:rPr>
          <w:rStyle w:val="22"/>
          <w:rFonts w:hint="eastAsia" w:ascii="宋体" w:hAnsi="宋体" w:cs="宋体"/>
          <w:color w:val="auto"/>
          <w:sz w:val="21"/>
          <w:szCs w:val="21"/>
          <w:highlight w:val="none"/>
          <w:shd w:val="clear" w:color="auto" w:fill="FFFFFF"/>
        </w:rPr>
        <w:t>二、申请人的资格要求：</w:t>
      </w:r>
    </w:p>
    <w:p>
      <w:pPr>
        <w:pStyle w:val="16"/>
        <w:adjustRightInd w:val="0"/>
        <w:snapToGrid w:val="0"/>
        <w:spacing w:before="0" w:beforeAutospacing="0" w:after="0" w:afterAutospacing="0" w:line="48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1.满足《中华人民共和国政府采购法》第二十二条规定； </w:t>
      </w:r>
    </w:p>
    <w:p>
      <w:pPr>
        <w:pStyle w:val="16"/>
        <w:adjustRightInd w:val="0"/>
        <w:snapToGrid w:val="0"/>
        <w:spacing w:before="0" w:beforeAutospacing="0" w:after="0" w:afterAutospacing="0" w:line="48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2.未被“信用中国”（www.creditchina.gov.cn）、中国政府采购网（www.ccgp.gov.cn）列入失信被执行人、重大税收违法案件当事人名单、政府采购严重违法失信行为记录名单。</w:t>
      </w:r>
    </w:p>
    <w:p>
      <w:pPr>
        <w:pStyle w:val="16"/>
        <w:adjustRightInd w:val="0"/>
        <w:snapToGrid w:val="0"/>
        <w:spacing w:before="0" w:beforeAutospacing="0" w:after="0" w:afterAutospacing="0" w:line="48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3.落实政府采购政策需满足的资格要求：无；</w:t>
      </w:r>
    </w:p>
    <w:p>
      <w:pPr>
        <w:pStyle w:val="16"/>
        <w:adjustRightInd w:val="0"/>
        <w:snapToGrid w:val="0"/>
        <w:spacing w:before="0" w:beforeAutospacing="0" w:after="0" w:afterAutospacing="0" w:line="48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4.本项目的特定资格要求：投标人具有公安部门核准颁发的保安服务许可证。</w:t>
      </w:r>
    </w:p>
    <w:p>
      <w:pPr>
        <w:pStyle w:val="16"/>
        <w:adjustRightInd w:val="0"/>
        <w:snapToGrid w:val="0"/>
        <w:spacing w:before="0" w:beforeAutospacing="0" w:after="0" w:afterAutospacing="0" w:line="480" w:lineRule="exact"/>
        <w:ind w:firstLine="420" w:firstLineChars="200"/>
        <w:rPr>
          <w:rFonts w:hint="eastAsia" w:ascii="宋体" w:hAnsi="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16"/>
        <w:adjustRightInd w:val="0"/>
        <w:snapToGrid w:val="0"/>
        <w:spacing w:before="0" w:beforeAutospacing="0" w:after="0" w:afterAutospacing="0" w:line="4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shd w:val="clear" w:color="auto" w:fill="FFFFFF"/>
          <w:lang w:val="en-US" w:eastAsia="zh-CN"/>
        </w:rPr>
        <w:t>6</w:t>
      </w:r>
      <w:r>
        <w:rPr>
          <w:rFonts w:hint="eastAsia" w:ascii="宋体" w:hAnsi="宋体" w:cs="宋体"/>
          <w:color w:val="auto"/>
          <w:sz w:val="21"/>
          <w:szCs w:val="21"/>
          <w:highlight w:val="none"/>
          <w:shd w:val="clear" w:color="auto" w:fill="FFFFFF"/>
        </w:rPr>
        <w:t>.资格审查采用资格后审。</w:t>
      </w:r>
    </w:p>
    <w:p>
      <w:pPr>
        <w:pStyle w:val="16"/>
        <w:adjustRightInd w:val="0"/>
        <w:snapToGrid w:val="0"/>
        <w:spacing w:before="0" w:beforeAutospacing="0" w:after="0" w:afterAutospacing="0" w:line="460" w:lineRule="exact"/>
        <w:jc w:val="both"/>
        <w:rPr>
          <w:rFonts w:hint="eastAsia" w:ascii="宋体" w:hAnsi="宋体" w:cs="宋体"/>
          <w:color w:val="auto"/>
          <w:sz w:val="21"/>
          <w:szCs w:val="21"/>
          <w:highlight w:val="none"/>
        </w:rPr>
      </w:pPr>
      <w:r>
        <w:rPr>
          <w:rStyle w:val="22"/>
          <w:rFonts w:hint="eastAsia" w:ascii="宋体" w:hAnsi="宋体" w:cs="宋体"/>
          <w:color w:val="auto"/>
          <w:sz w:val="21"/>
          <w:szCs w:val="21"/>
          <w:highlight w:val="none"/>
          <w:shd w:val="clear" w:color="auto" w:fill="FFFFFF"/>
        </w:rPr>
        <w:t>三、获取招标文件</w:t>
      </w:r>
    </w:p>
    <w:p>
      <w:pPr>
        <w:pStyle w:val="16"/>
        <w:adjustRightInd w:val="0"/>
        <w:snapToGrid w:val="0"/>
        <w:spacing w:before="0" w:beforeAutospacing="0" w:after="0" w:afterAutospacing="0" w:line="46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shd w:val="clear" w:color="auto" w:fill="FFFFFF"/>
        </w:rPr>
        <w:t>时间：</w:t>
      </w:r>
      <w:r>
        <w:rPr>
          <w:rFonts w:hint="eastAsia" w:ascii="宋体" w:hAnsi="宋体" w:cs="宋体"/>
          <w:color w:val="auto"/>
          <w:sz w:val="21"/>
          <w:szCs w:val="21"/>
          <w:highlight w:val="none"/>
          <w:u w:val="single"/>
          <w:shd w:val="clear" w:color="auto" w:fill="FFFFFF"/>
        </w:rPr>
        <w:t xml:space="preserve"> 2021年</w:t>
      </w:r>
      <w:r>
        <w:rPr>
          <w:rFonts w:hint="eastAsia" w:ascii="宋体" w:hAnsi="宋体" w:cs="宋体"/>
          <w:color w:val="auto"/>
          <w:sz w:val="21"/>
          <w:szCs w:val="21"/>
          <w:highlight w:val="none"/>
          <w:u w:val="single"/>
          <w:shd w:val="clear" w:color="auto" w:fill="FFFFFF"/>
          <w:lang w:val="en-US" w:eastAsia="zh-CN"/>
        </w:rPr>
        <w:t>12</w:t>
      </w:r>
      <w:r>
        <w:rPr>
          <w:rFonts w:hint="eastAsia" w:ascii="宋体" w:hAnsi="宋体" w:cs="宋体"/>
          <w:color w:val="auto"/>
          <w:sz w:val="21"/>
          <w:szCs w:val="21"/>
          <w:highlight w:val="none"/>
          <w:u w:val="single"/>
          <w:shd w:val="clear" w:color="auto" w:fill="FFFFFF"/>
        </w:rPr>
        <w:t>月</w:t>
      </w:r>
      <w:r>
        <w:rPr>
          <w:rFonts w:hint="eastAsia" w:ascii="宋体" w:hAnsi="宋体" w:cs="宋体"/>
          <w:color w:val="auto"/>
          <w:sz w:val="21"/>
          <w:szCs w:val="21"/>
          <w:highlight w:val="none"/>
          <w:u w:val="single"/>
          <w:shd w:val="clear" w:color="auto" w:fill="FFFFFF"/>
          <w:lang w:val="en-US" w:eastAsia="zh-CN"/>
        </w:rPr>
        <w:t>13</w:t>
      </w:r>
      <w:r>
        <w:rPr>
          <w:rFonts w:hint="eastAsia" w:ascii="宋体" w:hAnsi="宋体" w:cs="宋体"/>
          <w:color w:val="auto"/>
          <w:sz w:val="21"/>
          <w:szCs w:val="21"/>
          <w:highlight w:val="none"/>
          <w:u w:val="single"/>
          <w:shd w:val="clear" w:color="auto" w:fill="FFFFFF"/>
        </w:rPr>
        <w:t>日</w:t>
      </w:r>
      <w:r>
        <w:rPr>
          <w:rFonts w:hint="eastAsia" w:ascii="宋体" w:hAnsi="宋体" w:cs="宋体"/>
          <w:color w:val="auto"/>
          <w:sz w:val="21"/>
          <w:szCs w:val="21"/>
          <w:highlight w:val="none"/>
          <w:shd w:val="clear" w:color="auto" w:fill="FFFFFF"/>
        </w:rPr>
        <w:t>至</w:t>
      </w:r>
      <w:r>
        <w:rPr>
          <w:rFonts w:hint="eastAsia" w:ascii="宋体" w:hAnsi="宋体" w:cs="宋体"/>
          <w:color w:val="auto"/>
          <w:sz w:val="21"/>
          <w:szCs w:val="21"/>
          <w:highlight w:val="none"/>
          <w:u w:val="single"/>
          <w:shd w:val="clear" w:color="auto" w:fill="FFFFFF"/>
        </w:rPr>
        <w:t xml:space="preserve"> 202</w:t>
      </w:r>
      <w:r>
        <w:rPr>
          <w:rFonts w:hint="eastAsia" w:ascii="宋体" w:hAnsi="宋体" w:cs="宋体"/>
          <w:color w:val="auto"/>
          <w:sz w:val="21"/>
          <w:szCs w:val="21"/>
          <w:highlight w:val="none"/>
          <w:u w:val="single"/>
          <w:shd w:val="clear" w:color="auto" w:fill="FFFFFF"/>
          <w:lang w:val="en-US" w:eastAsia="zh-CN"/>
        </w:rPr>
        <w:t>1</w:t>
      </w:r>
      <w:r>
        <w:rPr>
          <w:rFonts w:hint="eastAsia" w:ascii="宋体" w:hAnsi="宋体" w:cs="宋体"/>
          <w:color w:val="auto"/>
          <w:sz w:val="21"/>
          <w:szCs w:val="21"/>
          <w:highlight w:val="none"/>
          <w:u w:val="single"/>
          <w:shd w:val="clear" w:color="auto" w:fill="FFFFFF"/>
        </w:rPr>
        <w:t>年</w:t>
      </w:r>
      <w:r>
        <w:rPr>
          <w:rFonts w:hint="eastAsia" w:ascii="宋体" w:hAnsi="宋体" w:cs="宋体"/>
          <w:color w:val="auto"/>
          <w:sz w:val="21"/>
          <w:szCs w:val="21"/>
          <w:highlight w:val="none"/>
          <w:u w:val="single"/>
          <w:shd w:val="clear" w:color="auto" w:fill="FFFFFF"/>
          <w:lang w:val="en-US" w:eastAsia="zh-CN"/>
        </w:rPr>
        <w:t>12</w:t>
      </w:r>
      <w:r>
        <w:rPr>
          <w:rFonts w:hint="eastAsia" w:ascii="宋体" w:hAnsi="宋体" w:cs="宋体"/>
          <w:color w:val="auto"/>
          <w:sz w:val="21"/>
          <w:szCs w:val="21"/>
          <w:highlight w:val="none"/>
          <w:u w:val="single"/>
          <w:shd w:val="clear" w:color="auto" w:fill="FFFFFF"/>
        </w:rPr>
        <w:t>月</w:t>
      </w:r>
      <w:r>
        <w:rPr>
          <w:rFonts w:hint="eastAsia" w:ascii="宋体" w:hAnsi="宋体" w:cs="宋体"/>
          <w:color w:val="auto"/>
          <w:sz w:val="21"/>
          <w:szCs w:val="21"/>
          <w:highlight w:val="none"/>
          <w:u w:val="single"/>
          <w:shd w:val="clear" w:color="auto" w:fill="FFFFFF"/>
          <w:lang w:val="en-US" w:eastAsia="zh-CN"/>
        </w:rPr>
        <w:t>20</w:t>
      </w:r>
      <w:r>
        <w:rPr>
          <w:rFonts w:hint="eastAsia" w:ascii="宋体" w:hAnsi="宋体" w:cs="宋体"/>
          <w:color w:val="auto"/>
          <w:sz w:val="21"/>
          <w:szCs w:val="21"/>
          <w:highlight w:val="none"/>
          <w:u w:val="single"/>
          <w:shd w:val="clear" w:color="auto" w:fill="FFFFFF"/>
        </w:rPr>
        <w:t>日</w:t>
      </w:r>
      <w:r>
        <w:rPr>
          <w:rFonts w:hint="eastAsia" w:ascii="宋体" w:hAnsi="宋体" w:cs="宋体"/>
          <w:color w:val="auto"/>
          <w:sz w:val="21"/>
          <w:szCs w:val="21"/>
          <w:highlight w:val="none"/>
          <w:shd w:val="clear" w:color="auto" w:fill="FFFFFF"/>
        </w:rPr>
        <w:t>，每天上午</w:t>
      </w:r>
      <w:r>
        <w:rPr>
          <w:rFonts w:hint="eastAsia" w:ascii="宋体" w:hAnsi="宋体" w:cs="宋体"/>
          <w:color w:val="auto"/>
          <w:sz w:val="21"/>
          <w:szCs w:val="21"/>
          <w:highlight w:val="none"/>
          <w:u w:val="single"/>
          <w:shd w:val="clear" w:color="auto" w:fill="FFFFFF"/>
        </w:rPr>
        <w:t>00:00至12:00</w:t>
      </w:r>
      <w:r>
        <w:rPr>
          <w:rFonts w:hint="eastAsia" w:ascii="宋体" w:hAnsi="宋体" w:cs="宋体"/>
          <w:color w:val="auto"/>
          <w:sz w:val="21"/>
          <w:szCs w:val="21"/>
          <w:highlight w:val="none"/>
          <w:shd w:val="clear" w:color="auto" w:fill="FFFFFF"/>
        </w:rPr>
        <w:t>，下午</w:t>
      </w:r>
      <w:r>
        <w:rPr>
          <w:rFonts w:hint="eastAsia" w:ascii="宋体" w:hAnsi="宋体" w:cs="宋体"/>
          <w:color w:val="auto"/>
          <w:sz w:val="21"/>
          <w:szCs w:val="21"/>
          <w:highlight w:val="none"/>
          <w:u w:val="single"/>
          <w:shd w:val="clear" w:color="auto" w:fill="FFFFFF"/>
        </w:rPr>
        <w:t>12:00至23:59</w:t>
      </w:r>
      <w:r>
        <w:rPr>
          <w:rFonts w:hint="eastAsia" w:ascii="宋体" w:hAnsi="宋体" w:cs="宋体"/>
          <w:color w:val="auto"/>
          <w:sz w:val="21"/>
          <w:szCs w:val="21"/>
          <w:highlight w:val="none"/>
          <w:shd w:val="clear" w:color="auto" w:fill="FFFFFF"/>
        </w:rPr>
        <w:t>（北京时间）；</w:t>
      </w:r>
    </w:p>
    <w:p>
      <w:pPr>
        <w:pStyle w:val="16"/>
        <w:adjustRightInd w:val="0"/>
        <w:snapToGrid w:val="0"/>
        <w:spacing w:before="0" w:beforeAutospacing="0" w:after="0" w:afterAutospacing="0" w:line="46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shd w:val="clear" w:color="auto" w:fill="FFFFFF"/>
        </w:rPr>
        <w:t>地点（网址）：政府采购云平台</w:t>
      </w:r>
      <w:r>
        <w:rPr>
          <w:rFonts w:hint="eastAsia" w:ascii="宋体" w:hAnsi="宋体" w:cs="宋体"/>
          <w:color w:val="auto"/>
          <w:sz w:val="21"/>
          <w:szCs w:val="21"/>
          <w:highlight w:val="none"/>
        </w:rPr>
        <w:t>（www.zcygov.cn）</w:t>
      </w:r>
      <w:r>
        <w:rPr>
          <w:rFonts w:hint="eastAsia" w:ascii="宋体" w:hAnsi="宋体" w:cs="宋体"/>
          <w:color w:val="auto"/>
          <w:sz w:val="21"/>
          <w:szCs w:val="21"/>
          <w:highlight w:val="none"/>
          <w:shd w:val="clear" w:color="auto" w:fill="FFFFFF"/>
        </w:rPr>
        <w:t>； </w:t>
      </w:r>
    </w:p>
    <w:p>
      <w:pPr>
        <w:pStyle w:val="16"/>
        <w:adjustRightInd w:val="0"/>
        <w:snapToGrid w:val="0"/>
        <w:spacing w:before="0" w:beforeAutospacing="0" w:after="0" w:afterAutospacing="0" w:line="46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shd w:val="clear" w:color="auto" w:fill="FFFFFF"/>
        </w:rPr>
        <w:t>方式：本项目招标文件实行“政府采购云平台”在线获取，不提供招标文件纸质版。供应商获取招标文件前应先完成“政府采购云平台”的账号注册； 潜在供应商登陆政府采购云平台，在线申请获取招标文件（进入“项目采购”应用，在获取招标文件菜单中选择项目，申请获取招标文件；仅需浏览招标文件的供应商可点击“游客，浏览招标文件”直接下载招标文件浏览）； 招标公告附件内的招标文件仅供阅览使用，投标人只有在“政府采购云平台”完成获取招标文件申请并下载了招标文件后才视作依法获取招标文件（法律法规所指的供应商获取招标文件时间以供应商完成获取招标文件申请后下载招标文件的时间为准）。 注：请投标人按上述要求获取招标文件，如未在“政采云”系统内完成相关流程，引起的投标无效责任自负。 </w:t>
      </w:r>
    </w:p>
    <w:p>
      <w:pPr>
        <w:pStyle w:val="16"/>
        <w:adjustRightInd w:val="0"/>
        <w:snapToGrid w:val="0"/>
        <w:spacing w:before="0" w:beforeAutospacing="0" w:after="0" w:afterAutospacing="0" w:line="46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shd w:val="clear" w:color="auto" w:fill="FFFFFF"/>
        </w:rPr>
        <w:t>售价（元）：0。 </w:t>
      </w:r>
    </w:p>
    <w:p>
      <w:pPr>
        <w:pStyle w:val="16"/>
        <w:adjustRightInd w:val="0"/>
        <w:snapToGrid w:val="0"/>
        <w:spacing w:before="0" w:beforeAutospacing="0" w:after="0" w:afterAutospacing="0" w:line="460" w:lineRule="exact"/>
        <w:jc w:val="both"/>
        <w:rPr>
          <w:rFonts w:hint="eastAsia" w:ascii="宋体" w:hAnsi="宋体" w:cs="宋体"/>
          <w:color w:val="auto"/>
          <w:sz w:val="21"/>
          <w:szCs w:val="21"/>
          <w:highlight w:val="none"/>
        </w:rPr>
      </w:pPr>
      <w:r>
        <w:rPr>
          <w:rStyle w:val="22"/>
          <w:rFonts w:hint="eastAsia" w:ascii="宋体" w:hAnsi="宋体" w:cs="宋体"/>
          <w:color w:val="auto"/>
          <w:sz w:val="21"/>
          <w:szCs w:val="21"/>
          <w:highlight w:val="none"/>
          <w:shd w:val="clear" w:color="auto" w:fill="FFFFFF"/>
        </w:rPr>
        <w:t>四、提交投标文件截止时间、开标时间和地点</w:t>
      </w:r>
    </w:p>
    <w:p>
      <w:pPr>
        <w:pStyle w:val="16"/>
        <w:spacing w:before="0" w:beforeAutospacing="0" w:after="0" w:afterAutospacing="0" w:line="480" w:lineRule="atLeast"/>
        <w:ind w:firstLine="420"/>
        <w:rPr>
          <w:rFonts w:ascii="微软雅黑" w:hAnsi="微软雅黑" w:eastAsia="微软雅黑" w:cs="微软雅黑"/>
          <w:color w:val="auto"/>
          <w:sz w:val="27"/>
          <w:szCs w:val="27"/>
          <w:highlight w:val="none"/>
        </w:rPr>
      </w:pPr>
      <w:r>
        <w:rPr>
          <w:rFonts w:hint="eastAsia" w:ascii="宋体" w:hAnsi="宋体" w:cs="宋体"/>
          <w:color w:val="auto"/>
          <w:sz w:val="21"/>
          <w:szCs w:val="21"/>
          <w:highlight w:val="none"/>
          <w:shd w:val="clear" w:color="auto" w:fill="FFFFFF"/>
        </w:rPr>
        <w:t>提交投标文件截止时间：</w:t>
      </w:r>
      <w:r>
        <w:rPr>
          <w:rFonts w:hint="eastAsia" w:ascii="宋体" w:hAnsi="宋体" w:cs="宋体"/>
          <w:color w:val="auto"/>
          <w:sz w:val="21"/>
          <w:szCs w:val="21"/>
          <w:highlight w:val="none"/>
          <w:u w:val="single"/>
          <w:shd w:val="clear" w:color="auto" w:fill="FFFFFF"/>
        </w:rPr>
        <w:t>202</w:t>
      </w:r>
      <w:r>
        <w:rPr>
          <w:rFonts w:hint="eastAsia" w:ascii="宋体" w:hAnsi="宋体" w:cs="宋体"/>
          <w:color w:val="auto"/>
          <w:sz w:val="21"/>
          <w:szCs w:val="21"/>
          <w:highlight w:val="none"/>
          <w:u w:val="single"/>
          <w:shd w:val="clear" w:color="auto" w:fill="FFFFFF"/>
          <w:lang w:val="en-US" w:eastAsia="zh-CN"/>
        </w:rPr>
        <w:t>2</w:t>
      </w:r>
      <w:r>
        <w:rPr>
          <w:rFonts w:hint="eastAsia" w:ascii="宋体" w:hAnsi="宋体" w:cs="宋体"/>
          <w:color w:val="auto"/>
          <w:sz w:val="21"/>
          <w:szCs w:val="21"/>
          <w:highlight w:val="none"/>
          <w:u w:val="single"/>
          <w:shd w:val="clear" w:color="auto" w:fill="FFFFFF"/>
        </w:rPr>
        <w:t>年</w:t>
      </w:r>
      <w:r>
        <w:rPr>
          <w:rFonts w:hint="eastAsia" w:ascii="宋体" w:hAnsi="宋体" w:cs="宋体"/>
          <w:color w:val="auto"/>
          <w:sz w:val="21"/>
          <w:szCs w:val="21"/>
          <w:highlight w:val="none"/>
          <w:u w:val="single"/>
          <w:shd w:val="clear" w:color="auto" w:fill="FFFFFF"/>
          <w:lang w:val="en-US" w:eastAsia="zh-CN"/>
        </w:rPr>
        <w:t>1</w:t>
      </w:r>
      <w:r>
        <w:rPr>
          <w:rFonts w:hint="eastAsia" w:ascii="宋体" w:hAnsi="宋体" w:cs="宋体"/>
          <w:color w:val="auto"/>
          <w:sz w:val="21"/>
          <w:szCs w:val="21"/>
          <w:highlight w:val="none"/>
          <w:u w:val="single"/>
          <w:shd w:val="clear" w:color="auto" w:fill="FFFFFF"/>
        </w:rPr>
        <w:t>月</w:t>
      </w:r>
      <w:r>
        <w:rPr>
          <w:rFonts w:hint="eastAsia" w:ascii="宋体" w:hAnsi="宋体" w:cs="宋体"/>
          <w:color w:val="auto"/>
          <w:sz w:val="21"/>
          <w:szCs w:val="21"/>
          <w:highlight w:val="none"/>
          <w:u w:val="single"/>
          <w:shd w:val="clear" w:color="auto" w:fill="FFFFFF"/>
          <w:lang w:val="en-US" w:eastAsia="zh-CN"/>
        </w:rPr>
        <w:t>4</w:t>
      </w:r>
      <w:r>
        <w:rPr>
          <w:rFonts w:hint="eastAsia" w:ascii="宋体" w:hAnsi="宋体" w:cs="宋体"/>
          <w:color w:val="auto"/>
          <w:sz w:val="21"/>
          <w:szCs w:val="21"/>
          <w:highlight w:val="none"/>
          <w:u w:val="single"/>
          <w:shd w:val="clear" w:color="auto" w:fill="FFFFFF"/>
        </w:rPr>
        <w:t>日09:</w:t>
      </w:r>
      <w:r>
        <w:rPr>
          <w:rFonts w:hint="eastAsia" w:ascii="宋体" w:hAnsi="宋体" w:cs="宋体"/>
          <w:color w:val="auto"/>
          <w:sz w:val="21"/>
          <w:szCs w:val="21"/>
          <w:highlight w:val="none"/>
          <w:u w:val="single"/>
          <w:shd w:val="clear" w:color="auto" w:fill="FFFFFF"/>
          <w:lang w:val="en-US" w:eastAsia="zh-CN"/>
        </w:rPr>
        <w:t>3</w:t>
      </w:r>
      <w:r>
        <w:rPr>
          <w:rFonts w:hint="eastAsia" w:ascii="宋体" w:hAnsi="宋体" w:cs="宋体"/>
          <w:color w:val="auto"/>
          <w:sz w:val="21"/>
          <w:szCs w:val="21"/>
          <w:highlight w:val="none"/>
          <w:u w:val="single"/>
          <w:shd w:val="clear" w:color="auto" w:fill="FFFFFF"/>
        </w:rPr>
        <w:t>0（北京时间）前</w:t>
      </w:r>
    </w:p>
    <w:p>
      <w:pPr>
        <w:pStyle w:val="16"/>
        <w:spacing w:before="0" w:beforeAutospacing="0" w:after="0" w:afterAutospacing="0" w:line="480" w:lineRule="atLeast"/>
        <w:ind w:firstLine="420"/>
        <w:rPr>
          <w:rFonts w:hint="eastAsia" w:ascii="微软雅黑" w:hAnsi="微软雅黑" w:eastAsia="微软雅黑" w:cs="微软雅黑"/>
          <w:color w:val="auto"/>
          <w:sz w:val="27"/>
          <w:szCs w:val="27"/>
          <w:highlight w:val="none"/>
        </w:rPr>
      </w:pPr>
      <w:r>
        <w:rPr>
          <w:rFonts w:hint="eastAsia" w:ascii="宋体" w:hAnsi="宋体" w:cs="宋体"/>
          <w:color w:val="auto"/>
          <w:sz w:val="21"/>
          <w:szCs w:val="21"/>
          <w:highlight w:val="none"/>
          <w:shd w:val="clear" w:color="auto" w:fill="FFFFFF"/>
        </w:rPr>
        <w:t>投标地点（网址）：</w:t>
      </w:r>
      <w:r>
        <w:rPr>
          <w:rFonts w:hint="eastAsia" w:ascii="宋体" w:hAnsi="宋体" w:cs="宋体"/>
          <w:color w:val="auto"/>
          <w:sz w:val="21"/>
          <w:szCs w:val="21"/>
          <w:highlight w:val="none"/>
          <w:u w:val="single"/>
          <w:shd w:val="clear" w:color="auto" w:fill="FFFFFF"/>
        </w:rPr>
        <w:t>本项目通过“政府采购云平台（www.zcygov.cn）”实行在线制作并提交投标文件（电子投标）。</w:t>
      </w:r>
    </w:p>
    <w:p>
      <w:pPr>
        <w:pStyle w:val="16"/>
        <w:spacing w:before="0" w:beforeAutospacing="0" w:after="0" w:afterAutospacing="0" w:line="480" w:lineRule="atLeast"/>
        <w:ind w:firstLine="420"/>
        <w:rPr>
          <w:rFonts w:hint="eastAsia" w:ascii="微软雅黑" w:hAnsi="微软雅黑" w:eastAsia="微软雅黑" w:cs="微软雅黑"/>
          <w:color w:val="auto"/>
          <w:sz w:val="27"/>
          <w:szCs w:val="27"/>
          <w:highlight w:val="none"/>
        </w:rPr>
      </w:pPr>
      <w:r>
        <w:rPr>
          <w:rFonts w:hint="eastAsia" w:ascii="宋体" w:hAnsi="宋体" w:cs="宋体"/>
          <w:color w:val="auto"/>
          <w:sz w:val="21"/>
          <w:szCs w:val="21"/>
          <w:highlight w:val="none"/>
          <w:shd w:val="clear" w:color="auto" w:fill="FFFFFF"/>
        </w:rPr>
        <w:t>开标时间：</w:t>
      </w:r>
      <w:r>
        <w:rPr>
          <w:rFonts w:hint="eastAsia" w:ascii="宋体" w:hAnsi="宋体" w:cs="宋体"/>
          <w:color w:val="auto"/>
          <w:sz w:val="21"/>
          <w:szCs w:val="21"/>
          <w:highlight w:val="none"/>
          <w:u w:val="single"/>
          <w:shd w:val="clear" w:color="auto" w:fill="FFFFFF"/>
        </w:rPr>
        <w:t>202</w:t>
      </w:r>
      <w:r>
        <w:rPr>
          <w:rFonts w:hint="eastAsia" w:ascii="宋体" w:hAnsi="宋体" w:cs="宋体"/>
          <w:color w:val="auto"/>
          <w:sz w:val="21"/>
          <w:szCs w:val="21"/>
          <w:highlight w:val="none"/>
          <w:u w:val="single"/>
          <w:shd w:val="clear" w:color="auto" w:fill="FFFFFF"/>
          <w:lang w:val="en-US" w:eastAsia="zh-CN"/>
        </w:rPr>
        <w:t>2</w:t>
      </w:r>
      <w:r>
        <w:rPr>
          <w:rFonts w:hint="eastAsia" w:ascii="宋体" w:hAnsi="宋体" w:cs="宋体"/>
          <w:color w:val="auto"/>
          <w:sz w:val="21"/>
          <w:szCs w:val="21"/>
          <w:highlight w:val="none"/>
          <w:u w:val="single"/>
          <w:shd w:val="clear" w:color="auto" w:fill="FFFFFF"/>
        </w:rPr>
        <w:t>年</w:t>
      </w:r>
      <w:r>
        <w:rPr>
          <w:rFonts w:hint="eastAsia" w:ascii="宋体" w:hAnsi="宋体" w:cs="宋体"/>
          <w:color w:val="auto"/>
          <w:sz w:val="21"/>
          <w:szCs w:val="21"/>
          <w:highlight w:val="none"/>
          <w:u w:val="single"/>
          <w:shd w:val="clear" w:color="auto" w:fill="FFFFFF"/>
          <w:lang w:val="en-US" w:eastAsia="zh-CN"/>
        </w:rPr>
        <w:t>1</w:t>
      </w:r>
      <w:r>
        <w:rPr>
          <w:rFonts w:hint="eastAsia" w:ascii="宋体" w:hAnsi="宋体" w:cs="宋体"/>
          <w:color w:val="auto"/>
          <w:sz w:val="21"/>
          <w:szCs w:val="21"/>
          <w:highlight w:val="none"/>
          <w:u w:val="single"/>
          <w:shd w:val="clear" w:color="auto" w:fill="FFFFFF"/>
        </w:rPr>
        <w:t>月</w:t>
      </w:r>
      <w:r>
        <w:rPr>
          <w:rFonts w:hint="eastAsia" w:ascii="宋体" w:hAnsi="宋体" w:cs="宋体"/>
          <w:color w:val="auto"/>
          <w:sz w:val="21"/>
          <w:szCs w:val="21"/>
          <w:highlight w:val="none"/>
          <w:u w:val="single"/>
          <w:shd w:val="clear" w:color="auto" w:fill="FFFFFF"/>
          <w:lang w:val="en-US" w:eastAsia="zh-CN"/>
        </w:rPr>
        <w:t>4</w:t>
      </w:r>
      <w:r>
        <w:rPr>
          <w:rFonts w:hint="eastAsia" w:ascii="宋体" w:hAnsi="宋体" w:cs="宋体"/>
          <w:color w:val="auto"/>
          <w:sz w:val="21"/>
          <w:szCs w:val="21"/>
          <w:highlight w:val="none"/>
          <w:u w:val="single"/>
          <w:shd w:val="clear" w:color="auto" w:fill="FFFFFF"/>
        </w:rPr>
        <w:t>日09:</w:t>
      </w:r>
      <w:r>
        <w:rPr>
          <w:rFonts w:hint="eastAsia" w:ascii="宋体" w:hAnsi="宋体" w:cs="宋体"/>
          <w:color w:val="auto"/>
          <w:sz w:val="21"/>
          <w:szCs w:val="21"/>
          <w:highlight w:val="none"/>
          <w:u w:val="single"/>
          <w:shd w:val="clear" w:color="auto" w:fill="FFFFFF"/>
          <w:lang w:val="en-US" w:eastAsia="zh-CN"/>
        </w:rPr>
        <w:t>3</w:t>
      </w:r>
      <w:r>
        <w:rPr>
          <w:rFonts w:hint="eastAsia" w:ascii="宋体" w:hAnsi="宋体" w:cs="宋体"/>
          <w:color w:val="auto"/>
          <w:sz w:val="21"/>
          <w:szCs w:val="21"/>
          <w:highlight w:val="none"/>
          <w:u w:val="single"/>
          <w:shd w:val="clear" w:color="auto" w:fill="FFFFFF"/>
        </w:rPr>
        <w:t>0（北京时间）</w:t>
      </w:r>
    </w:p>
    <w:p>
      <w:pPr>
        <w:pStyle w:val="16"/>
        <w:spacing w:before="0" w:beforeAutospacing="0" w:after="0" w:afterAutospacing="0" w:line="480" w:lineRule="atLeast"/>
        <w:ind w:firstLine="420"/>
        <w:rPr>
          <w:rFonts w:hint="eastAsia" w:ascii="微软雅黑" w:hAnsi="微软雅黑" w:eastAsia="微软雅黑" w:cs="微软雅黑"/>
          <w:color w:val="auto"/>
          <w:sz w:val="27"/>
          <w:szCs w:val="27"/>
          <w:highlight w:val="none"/>
        </w:rPr>
      </w:pPr>
      <w:r>
        <w:rPr>
          <w:rFonts w:hint="eastAsia" w:ascii="宋体" w:hAnsi="宋体" w:cs="宋体"/>
          <w:color w:val="auto"/>
          <w:sz w:val="21"/>
          <w:szCs w:val="21"/>
          <w:highlight w:val="none"/>
          <w:shd w:val="clear" w:color="auto" w:fill="FFFFFF"/>
        </w:rPr>
        <w:t>开标地点（网址）：</w:t>
      </w:r>
      <w:r>
        <w:rPr>
          <w:rFonts w:hint="eastAsia" w:ascii="宋体" w:hAnsi="宋体" w:cs="宋体"/>
          <w:color w:val="auto"/>
          <w:sz w:val="21"/>
          <w:szCs w:val="21"/>
          <w:highlight w:val="none"/>
          <w:u w:val="single"/>
          <w:shd w:val="clear" w:color="auto" w:fill="FFFFFF"/>
        </w:rPr>
        <w:t>宁波市鄞州区行政服务中心五楼（鄞州区惠江路567号，鄞州区妇儿医院对面，详见电子显示屏），本项目通过“政府采购云平台”实行在线电子评标，投标人可在线参加开标。</w:t>
      </w:r>
    </w:p>
    <w:p>
      <w:pPr>
        <w:pStyle w:val="16"/>
        <w:adjustRightInd w:val="0"/>
        <w:snapToGrid w:val="0"/>
        <w:spacing w:before="0" w:beforeAutospacing="0" w:after="0" w:afterAutospacing="0" w:line="460" w:lineRule="exact"/>
        <w:jc w:val="both"/>
        <w:rPr>
          <w:rFonts w:hint="eastAsia" w:ascii="宋体" w:hAnsi="宋体" w:cs="宋体"/>
          <w:color w:val="auto"/>
          <w:sz w:val="21"/>
          <w:szCs w:val="21"/>
          <w:highlight w:val="none"/>
        </w:rPr>
      </w:pPr>
      <w:r>
        <w:rPr>
          <w:rStyle w:val="22"/>
          <w:rFonts w:hint="eastAsia" w:ascii="宋体" w:hAnsi="宋体" w:cs="宋体"/>
          <w:color w:val="auto"/>
          <w:sz w:val="21"/>
          <w:szCs w:val="21"/>
          <w:highlight w:val="none"/>
          <w:shd w:val="clear" w:color="auto" w:fill="FFFFFF"/>
        </w:rPr>
        <w:t>五、公告期限</w:t>
      </w:r>
    </w:p>
    <w:p>
      <w:pPr>
        <w:pStyle w:val="16"/>
        <w:adjustRightInd w:val="0"/>
        <w:snapToGrid w:val="0"/>
        <w:spacing w:before="0" w:beforeAutospacing="0" w:after="0" w:afterAutospacing="0" w:line="46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shd w:val="clear" w:color="auto" w:fill="FFFFFF"/>
        </w:rPr>
        <w:t>自本公告发布之日起5个工作日。</w:t>
      </w:r>
    </w:p>
    <w:p>
      <w:pPr>
        <w:pStyle w:val="16"/>
        <w:adjustRightInd w:val="0"/>
        <w:snapToGrid w:val="0"/>
        <w:spacing w:before="0" w:beforeAutospacing="0" w:after="0" w:afterAutospacing="0" w:line="460" w:lineRule="exact"/>
        <w:jc w:val="both"/>
        <w:rPr>
          <w:rFonts w:hint="eastAsia" w:ascii="宋体" w:hAnsi="宋体" w:cs="宋体"/>
          <w:color w:val="auto"/>
          <w:sz w:val="21"/>
          <w:szCs w:val="21"/>
          <w:highlight w:val="none"/>
        </w:rPr>
      </w:pPr>
      <w:r>
        <w:rPr>
          <w:rStyle w:val="22"/>
          <w:rFonts w:hint="eastAsia" w:ascii="宋体" w:hAnsi="宋体" w:cs="宋体"/>
          <w:color w:val="auto"/>
          <w:sz w:val="21"/>
          <w:szCs w:val="21"/>
          <w:highlight w:val="none"/>
          <w:shd w:val="clear" w:color="auto" w:fill="FFFFFF"/>
        </w:rPr>
        <w:t>六、其他补充事宜</w:t>
      </w:r>
    </w:p>
    <w:p>
      <w:pPr>
        <w:pStyle w:val="16"/>
        <w:adjustRightInd w:val="0"/>
        <w:snapToGrid w:val="0"/>
        <w:spacing w:before="0" w:beforeAutospacing="0" w:after="0" w:afterAutospacing="0" w:line="460" w:lineRule="exact"/>
        <w:ind w:firstLine="420" w:firstLineChars="20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1.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16"/>
        <w:adjustRightInd w:val="0"/>
        <w:snapToGrid w:val="0"/>
        <w:spacing w:before="0" w:beforeAutospacing="0" w:after="0" w:afterAutospacing="0" w:line="460" w:lineRule="exact"/>
        <w:ind w:firstLine="420" w:firstLineChars="20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2.落实政策：</w:t>
      </w:r>
      <w:r>
        <w:rPr>
          <w:rFonts w:hint="eastAsia" w:ascii="宋体" w:hAnsi="宋体" w:cs="宋体"/>
          <w:color w:val="auto"/>
          <w:sz w:val="21"/>
          <w:szCs w:val="21"/>
          <w:highlight w:val="none"/>
        </w:rPr>
        <w:t>《政府采购促进中小企业发展管理办法》（财库〔2020〕46号）、《关于政府采购支持监狱企业发展有关问题的通知》(财库[2014]68号)、《关于促进残疾人就业政府采购政策的通知》（财库[2017]141号）。</w:t>
      </w:r>
    </w:p>
    <w:p>
      <w:pPr>
        <w:pStyle w:val="16"/>
        <w:adjustRightInd w:val="0"/>
        <w:snapToGrid w:val="0"/>
        <w:spacing w:before="0" w:beforeAutospacing="0" w:after="0" w:afterAutospacing="0" w:line="460" w:lineRule="exact"/>
        <w:ind w:firstLine="420" w:firstLineChars="20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3.各投标人应在开标前确保成为浙江省政府采购网正式注册入库投标人，并完成CA数字证书办理。因未注册入库、未办理CA数字证书等原因造成无法投标或投标失败等后果由投标人自行承担。（具体操作详见投标人CA申领操作指南https://help.zcygov.cn/web/site_2/2018/11-29/2452.html）。</w:t>
      </w:r>
    </w:p>
    <w:p>
      <w:pPr>
        <w:pStyle w:val="16"/>
        <w:adjustRightInd w:val="0"/>
        <w:snapToGrid w:val="0"/>
        <w:spacing w:before="0" w:beforeAutospacing="0" w:after="0" w:afterAutospacing="0" w:line="46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shd w:val="clear" w:color="auto" w:fill="FFFFFF"/>
        </w:rPr>
        <w:t>4.本次政府采购活动有关信息在“浙江政府采购网（http://zfcg.czt.zj.gov.cn/）”、“宁波市政府采购网（www.nbzfcg.cn）”、“宁波市公共资源交易网鄞州区分网（http://bidding.ningbo.gov.cn/yinzhou/）”网站上公布，公布信息视同送达所有潜在投标人。　　　　　　</w:t>
      </w:r>
    </w:p>
    <w:p>
      <w:pPr>
        <w:pStyle w:val="16"/>
        <w:adjustRightInd w:val="0"/>
        <w:snapToGrid w:val="0"/>
        <w:spacing w:before="0" w:beforeAutospacing="0" w:after="0" w:afterAutospacing="0" w:line="460" w:lineRule="exact"/>
        <w:ind w:firstLine="420" w:firstLineChars="20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5.疫情期间特别提醒事项（投标人提交备份投标文件方式）：</w:t>
      </w:r>
    </w:p>
    <w:p>
      <w:pPr>
        <w:pStyle w:val="16"/>
        <w:adjustRightInd w:val="0"/>
        <w:snapToGrid w:val="0"/>
        <w:spacing w:before="0" w:beforeAutospacing="0" w:after="0" w:afterAutospacing="0" w:line="460" w:lineRule="exact"/>
        <w:ind w:firstLine="420" w:firstLineChars="20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（1）采用邮寄方式提交备份投标文件，需按以下要求递交：</w:t>
      </w:r>
    </w:p>
    <w:p>
      <w:pPr>
        <w:pStyle w:val="16"/>
        <w:adjustRightInd w:val="0"/>
        <w:snapToGrid w:val="0"/>
        <w:spacing w:before="0" w:beforeAutospacing="0" w:after="0" w:afterAutospacing="0" w:line="460" w:lineRule="exact"/>
        <w:ind w:firstLine="420" w:firstLineChars="20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投标人须在本项目开标时间前一日16:00前将备份投标文件邮寄至规定地点，由采购代理机构工作人员进行签收。各投标人自行考虑邮寄在途时间，邮寄过程中无论何种因素导致备份投标文件未按时递交的后果，均由投标人自行负责。备份投标文件递交时间以招标代理实际收到投标文件的时间为准。迟到的备份投标文件将被拒收。请各投标人确保密封包装在邮寄过程密封包装完好，并在邮寄包裹上注明项目名称，因邮寄过程的密封破损造成不符合开标要求的，本招标代理及采购人概不负责。</w:t>
      </w:r>
    </w:p>
    <w:p>
      <w:pPr>
        <w:pStyle w:val="16"/>
        <w:adjustRightInd w:val="0"/>
        <w:snapToGrid w:val="0"/>
        <w:spacing w:before="0" w:beforeAutospacing="0" w:after="0" w:afterAutospacing="0" w:line="460" w:lineRule="exact"/>
        <w:ind w:firstLine="420" w:firstLineChars="200"/>
        <w:rPr>
          <w:rFonts w:hint="eastAsia" w:ascii="宋体" w:hAnsi="宋体" w:eastAsia="宋体" w:cs="宋体"/>
          <w:color w:val="auto"/>
          <w:sz w:val="21"/>
          <w:szCs w:val="21"/>
          <w:highlight w:val="none"/>
          <w:shd w:val="clear" w:color="auto" w:fill="FFFFFF"/>
          <w:lang w:val="en-US" w:eastAsia="zh-CN"/>
        </w:rPr>
      </w:pPr>
      <w:r>
        <w:rPr>
          <w:rFonts w:hint="eastAsia" w:ascii="宋体" w:hAnsi="宋体" w:cs="宋体"/>
          <w:color w:val="auto"/>
          <w:sz w:val="21"/>
          <w:szCs w:val="21"/>
          <w:highlight w:val="none"/>
          <w:shd w:val="clear" w:color="auto" w:fill="FFFFFF"/>
        </w:rPr>
        <w:t>备份投标文件邮寄地址为：</w:t>
      </w:r>
      <w:r>
        <w:rPr>
          <w:rFonts w:hint="eastAsia" w:ascii="宋体" w:hAnsi="宋体" w:cs="宋体"/>
          <w:color w:val="auto"/>
          <w:sz w:val="21"/>
          <w:szCs w:val="21"/>
          <w:highlight w:val="none"/>
          <w:shd w:val="clear" w:color="auto" w:fill="FFFFFF"/>
          <w:lang w:eastAsia="zh-CN"/>
        </w:rPr>
        <w:t>宁波市鄞州区银亿都会国际A座1101</w:t>
      </w:r>
    </w:p>
    <w:p>
      <w:pPr>
        <w:pStyle w:val="16"/>
        <w:adjustRightInd w:val="0"/>
        <w:snapToGrid w:val="0"/>
        <w:spacing w:before="0" w:beforeAutospacing="0" w:after="0" w:afterAutospacing="0" w:line="460" w:lineRule="exact"/>
        <w:ind w:firstLine="420" w:firstLineChars="200"/>
        <w:rPr>
          <w:rFonts w:hint="eastAsia" w:ascii="宋体" w:hAnsi="宋体" w:eastAsia="宋体" w:cs="宋体"/>
          <w:color w:val="auto"/>
          <w:sz w:val="21"/>
          <w:szCs w:val="21"/>
          <w:highlight w:val="none"/>
          <w:shd w:val="clear" w:color="auto" w:fill="FFFFFF"/>
          <w:lang w:val="en-US" w:eastAsia="zh-CN"/>
        </w:rPr>
      </w:pPr>
      <w:r>
        <w:rPr>
          <w:rFonts w:hint="eastAsia" w:ascii="宋体" w:hAnsi="宋体" w:cs="宋体"/>
          <w:color w:val="auto"/>
          <w:sz w:val="21"/>
          <w:szCs w:val="21"/>
          <w:highlight w:val="none"/>
          <w:shd w:val="clear" w:color="auto" w:fill="FFFFFF"/>
        </w:rPr>
        <w:t>收件人：</w:t>
      </w:r>
      <w:r>
        <w:rPr>
          <w:rFonts w:hint="eastAsia" w:ascii="宋体" w:hAnsi="宋体" w:cs="宋体"/>
          <w:color w:val="auto"/>
          <w:sz w:val="21"/>
          <w:szCs w:val="21"/>
          <w:highlight w:val="none"/>
          <w:shd w:val="clear" w:color="auto" w:fill="FFFFFF"/>
          <w:lang w:val="en-US" w:eastAsia="zh-CN"/>
        </w:rPr>
        <w:t>张工</w:t>
      </w:r>
      <w:r>
        <w:rPr>
          <w:rFonts w:hint="eastAsia" w:ascii="宋体" w:hAnsi="宋体" w:cs="宋体"/>
          <w:color w:val="auto"/>
          <w:sz w:val="21"/>
          <w:szCs w:val="21"/>
          <w:highlight w:val="none"/>
          <w:shd w:val="clear" w:color="auto" w:fill="FFFFFF"/>
        </w:rPr>
        <w:t xml:space="preserve">  联系方式：</w:t>
      </w:r>
      <w:r>
        <w:rPr>
          <w:rFonts w:hint="eastAsia" w:ascii="宋体" w:hAnsi="宋体" w:cs="宋体"/>
          <w:color w:val="auto"/>
          <w:sz w:val="21"/>
          <w:szCs w:val="21"/>
          <w:highlight w:val="none"/>
          <w:shd w:val="clear" w:color="auto" w:fill="FFFFFF"/>
          <w:lang w:eastAsia="zh-CN"/>
        </w:rPr>
        <w:t>18968273586</w:t>
      </w:r>
    </w:p>
    <w:p>
      <w:pPr>
        <w:pStyle w:val="16"/>
        <w:adjustRightInd w:val="0"/>
        <w:snapToGrid w:val="0"/>
        <w:spacing w:before="0" w:beforeAutospacing="0" w:after="0" w:afterAutospacing="0" w:line="460" w:lineRule="exact"/>
        <w:ind w:firstLine="420" w:firstLineChars="20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2）采用现场递交方式递交电子备份投标文件，在投标当天投标人员需持绿色“甬行码”、佩戴口罩且体温测量正常后（以开标当日测量体温为准）方可递交至开标室，详见电子显示屏。若投标人因未按上述要求办理而导致无法准时进入开标现场的，由投标人自行负责。</w:t>
      </w:r>
    </w:p>
    <w:p>
      <w:pPr>
        <w:pStyle w:val="16"/>
        <w:adjustRightInd w:val="0"/>
        <w:snapToGrid w:val="0"/>
        <w:spacing w:before="0" w:beforeAutospacing="0" w:after="0" w:afterAutospacing="0" w:line="460" w:lineRule="exact"/>
        <w:ind w:firstLine="420" w:firstLineChars="20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6.</w:t>
      </w:r>
      <w:r>
        <w:rPr>
          <w:rFonts w:ascii="宋体" w:hAnsi="宋体" w:cs="宋体"/>
          <w:color w:val="auto"/>
          <w:sz w:val="21"/>
          <w:szCs w:val="21"/>
          <w:highlight w:val="none"/>
          <w:shd w:val="clear" w:color="auto" w:fill="FFFFFF"/>
        </w:rPr>
        <w:t xml:space="preserve"> </w:t>
      </w:r>
      <w:r>
        <w:rPr>
          <w:rFonts w:hint="eastAsia" w:ascii="宋体" w:hAnsi="宋体" w:cs="宋体"/>
          <w:color w:val="auto"/>
          <w:sz w:val="21"/>
          <w:szCs w:val="21"/>
          <w:highlight w:val="none"/>
          <w:shd w:val="clear" w:color="auto" w:fill="FFFFFF"/>
        </w:rPr>
        <w:t xml:space="preserve">若对项目采购电子交易系统操作有疑问，可登录政采云（https://www.zcygov.cn/），点击右侧咨询小采，获取采小蜜智能服务管家帮助，或拨打政采云服务热线400-881-7190获取热线服务帮助。       </w:t>
      </w:r>
    </w:p>
    <w:p>
      <w:pPr>
        <w:pStyle w:val="16"/>
        <w:adjustRightInd w:val="0"/>
        <w:snapToGrid w:val="0"/>
        <w:spacing w:before="0" w:beforeAutospacing="0" w:after="0" w:afterAutospacing="0" w:line="460" w:lineRule="exact"/>
        <w:ind w:firstLine="420" w:firstLineChars="20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CA问题联系电话（人工）：汇信CA 400-888-4636；天谷CA 400-087-8198。</w:t>
      </w:r>
    </w:p>
    <w:p>
      <w:pPr>
        <w:pStyle w:val="16"/>
        <w:adjustRightInd w:val="0"/>
        <w:snapToGrid w:val="0"/>
        <w:spacing w:before="0" w:beforeAutospacing="0" w:after="0" w:afterAutospacing="0" w:line="460" w:lineRule="exact"/>
        <w:rPr>
          <w:rFonts w:hint="eastAsia" w:ascii="宋体" w:hAnsi="宋体" w:cs="宋体"/>
          <w:color w:val="auto"/>
          <w:sz w:val="21"/>
          <w:szCs w:val="21"/>
          <w:highlight w:val="none"/>
        </w:rPr>
      </w:pPr>
      <w:r>
        <w:rPr>
          <w:rStyle w:val="22"/>
          <w:rFonts w:hint="eastAsia" w:ascii="宋体" w:hAnsi="宋体" w:cs="宋体"/>
          <w:color w:val="auto"/>
          <w:sz w:val="21"/>
          <w:szCs w:val="21"/>
          <w:highlight w:val="none"/>
          <w:shd w:val="clear" w:color="auto" w:fill="FFFFFF"/>
        </w:rPr>
        <w:t>七、对本次招标提出询问、质疑、投诉，请按以下方式联系。</w:t>
      </w:r>
      <w:r>
        <w:rPr>
          <w:rFonts w:hint="eastAsia" w:ascii="宋体" w:hAnsi="宋体" w:cs="宋体"/>
          <w:color w:val="auto"/>
          <w:sz w:val="21"/>
          <w:szCs w:val="21"/>
          <w:highlight w:val="none"/>
          <w:shd w:val="clear" w:color="auto" w:fill="FFFFFF"/>
        </w:rPr>
        <w:t>　　　　　　　　　　　　</w:t>
      </w:r>
    </w:p>
    <w:p>
      <w:pPr>
        <w:pStyle w:val="16"/>
        <w:adjustRightInd w:val="0"/>
        <w:snapToGrid w:val="0"/>
        <w:spacing w:before="0" w:beforeAutospacing="0" w:after="0" w:afterAutospacing="0" w:line="46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shd w:val="clear" w:color="auto" w:fill="FFFFFF"/>
        </w:rPr>
        <w:t>1.采购人信息</w:t>
      </w:r>
    </w:p>
    <w:p>
      <w:pPr>
        <w:spacing w:before="120" w:beforeLines="50" w:line="360" w:lineRule="auto"/>
        <w:ind w:firstLine="420" w:firstLineChars="200"/>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名    称：</w:t>
      </w:r>
      <w:r>
        <w:rPr>
          <w:rFonts w:hint="eastAsia" w:ascii="宋体" w:hAnsi="宋体" w:cs="宋体"/>
          <w:color w:val="auto"/>
          <w:kern w:val="0"/>
          <w:szCs w:val="21"/>
          <w:highlight w:val="none"/>
          <w:shd w:val="clear" w:color="auto" w:fill="FFFFFF"/>
          <w:lang w:eastAsia="zh-CN"/>
        </w:rPr>
        <w:t>宁波市鄞州区人民政府潘火街道办事处</w:t>
      </w:r>
      <w:r>
        <w:rPr>
          <w:rFonts w:hint="eastAsia" w:ascii="宋体" w:hAnsi="宋体" w:cs="宋体"/>
          <w:color w:val="auto"/>
          <w:szCs w:val="21"/>
          <w:highlight w:val="none"/>
          <w:shd w:val="clear" w:color="auto" w:fill="FFFFFF"/>
        </w:rPr>
        <w:t>　　</w:t>
      </w:r>
    </w:p>
    <w:p>
      <w:pPr>
        <w:pStyle w:val="16"/>
        <w:adjustRightInd w:val="0"/>
        <w:snapToGrid w:val="0"/>
        <w:spacing w:before="0" w:beforeAutospacing="0" w:after="0" w:afterAutospacing="0" w:line="460" w:lineRule="exact"/>
        <w:ind w:firstLine="420" w:firstLineChars="200"/>
        <w:rPr>
          <w:rFonts w:hint="eastAsia" w:ascii="宋体" w:hAnsi="宋体" w:eastAsia="宋体" w:cs="宋体"/>
          <w:color w:val="auto"/>
          <w:sz w:val="21"/>
          <w:szCs w:val="21"/>
          <w:highlight w:val="none"/>
          <w:shd w:val="clear" w:color="auto" w:fill="FFFFFF"/>
          <w:lang w:eastAsia="zh-CN"/>
        </w:rPr>
      </w:pPr>
      <w:r>
        <w:rPr>
          <w:rFonts w:hint="eastAsia" w:ascii="宋体" w:hAnsi="宋体" w:cs="宋体"/>
          <w:color w:val="auto"/>
          <w:sz w:val="21"/>
          <w:szCs w:val="21"/>
          <w:highlight w:val="none"/>
          <w:shd w:val="clear" w:color="auto" w:fill="FFFFFF"/>
        </w:rPr>
        <w:t>项目联系人（询问）：</w:t>
      </w:r>
      <w:r>
        <w:rPr>
          <w:rFonts w:hint="eastAsia" w:ascii="宋体" w:hAnsi="宋体" w:cs="宋体"/>
          <w:color w:val="auto"/>
          <w:sz w:val="21"/>
          <w:szCs w:val="21"/>
          <w:highlight w:val="none"/>
          <w:shd w:val="clear" w:color="auto" w:fill="FFFFFF"/>
          <w:lang w:val="en-US" w:eastAsia="zh-CN"/>
        </w:rPr>
        <w:t xml:space="preserve">李老师 </w:t>
      </w:r>
    </w:p>
    <w:p>
      <w:pPr>
        <w:pStyle w:val="16"/>
        <w:adjustRightInd w:val="0"/>
        <w:snapToGrid w:val="0"/>
        <w:spacing w:before="0" w:beforeAutospacing="0" w:after="0" w:afterAutospacing="0" w:line="460" w:lineRule="exact"/>
        <w:ind w:firstLine="420" w:firstLineChars="200"/>
        <w:rPr>
          <w:rFonts w:hint="eastAsia" w:ascii="宋体" w:hAnsi="宋体" w:eastAsia="宋体" w:cs="宋体"/>
          <w:color w:val="auto"/>
          <w:sz w:val="21"/>
          <w:szCs w:val="21"/>
          <w:highlight w:val="none"/>
          <w:shd w:val="clear" w:color="auto" w:fill="FFFFFF"/>
          <w:lang w:val="en-US" w:eastAsia="zh-CN"/>
        </w:rPr>
      </w:pPr>
      <w:r>
        <w:rPr>
          <w:rFonts w:hint="eastAsia" w:ascii="宋体" w:hAnsi="宋体" w:cs="宋体"/>
          <w:color w:val="auto"/>
          <w:sz w:val="21"/>
          <w:szCs w:val="21"/>
          <w:highlight w:val="none"/>
          <w:shd w:val="clear" w:color="auto" w:fill="FFFFFF"/>
        </w:rPr>
        <w:t>项目</w:t>
      </w:r>
      <w:r>
        <w:rPr>
          <w:rFonts w:hint="eastAsia" w:ascii="宋体" w:hAnsi="宋体" w:eastAsia="宋体" w:cs="宋体"/>
          <w:color w:val="auto"/>
          <w:sz w:val="21"/>
          <w:szCs w:val="21"/>
          <w:highlight w:val="none"/>
          <w:shd w:val="clear" w:color="auto" w:fill="FFFFFF"/>
          <w:lang w:val="en-US" w:eastAsia="zh-CN"/>
        </w:rPr>
        <w:t>联系方式（询问）：0574-88121773</w:t>
      </w:r>
    </w:p>
    <w:p>
      <w:pPr>
        <w:pStyle w:val="16"/>
        <w:adjustRightInd w:val="0"/>
        <w:snapToGrid w:val="0"/>
        <w:spacing w:before="0" w:beforeAutospacing="0" w:after="0" w:afterAutospacing="0" w:line="460" w:lineRule="exact"/>
        <w:ind w:firstLine="420" w:firstLineChars="200"/>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 xml:space="preserve">质疑联系人：李老师  </w:t>
      </w:r>
    </w:p>
    <w:p>
      <w:pPr>
        <w:pStyle w:val="16"/>
        <w:adjustRightInd w:val="0"/>
        <w:snapToGrid w:val="0"/>
        <w:spacing w:before="0" w:beforeAutospacing="0" w:after="0" w:afterAutospacing="0" w:line="460" w:lineRule="exact"/>
        <w:ind w:firstLine="420" w:firstLineChars="200"/>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质疑联系方式：0574-88121773</w:t>
      </w:r>
    </w:p>
    <w:p>
      <w:pPr>
        <w:pStyle w:val="16"/>
        <w:adjustRightInd w:val="0"/>
        <w:snapToGrid w:val="0"/>
        <w:spacing w:before="0" w:beforeAutospacing="0" w:after="0" w:afterAutospacing="0" w:line="460" w:lineRule="exact"/>
        <w:ind w:firstLine="420" w:firstLineChars="20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2.采购代理机构信息</w:t>
      </w:r>
    </w:p>
    <w:p>
      <w:pPr>
        <w:pStyle w:val="16"/>
        <w:adjustRightInd w:val="0"/>
        <w:snapToGrid w:val="0"/>
        <w:spacing w:before="0" w:beforeAutospacing="0" w:after="0" w:afterAutospacing="0" w:line="460" w:lineRule="exact"/>
        <w:ind w:firstLine="420" w:firstLineChars="20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名    称：</w:t>
      </w:r>
      <w:r>
        <w:rPr>
          <w:rFonts w:hint="eastAsia" w:ascii="宋体" w:hAnsi="宋体" w:cs="宋体"/>
          <w:color w:val="auto"/>
          <w:sz w:val="21"/>
          <w:szCs w:val="21"/>
          <w:highlight w:val="none"/>
          <w:shd w:val="clear" w:color="auto" w:fill="FFFFFF"/>
          <w:lang w:eastAsia="zh-CN"/>
        </w:rPr>
        <w:t>浙江金穗工程项目管理有限公司</w:t>
      </w:r>
      <w:r>
        <w:rPr>
          <w:rFonts w:hint="eastAsia" w:ascii="宋体" w:hAnsi="宋体" w:cs="宋体"/>
          <w:color w:val="auto"/>
          <w:sz w:val="21"/>
          <w:szCs w:val="21"/>
          <w:highlight w:val="none"/>
          <w:shd w:val="clear" w:color="auto" w:fill="FFFFFF"/>
        </w:rPr>
        <w:t>　  　</w:t>
      </w:r>
    </w:p>
    <w:p>
      <w:pPr>
        <w:pStyle w:val="16"/>
        <w:adjustRightInd w:val="0"/>
        <w:snapToGrid w:val="0"/>
        <w:spacing w:before="0" w:beforeAutospacing="0" w:after="0" w:afterAutospacing="0" w:line="460" w:lineRule="exact"/>
        <w:ind w:firstLine="420" w:firstLineChars="200"/>
        <w:rPr>
          <w:rFonts w:hint="eastAsia" w:ascii="宋体" w:hAnsi="宋体" w:eastAsia="宋体" w:cs="宋体"/>
          <w:color w:val="auto"/>
          <w:sz w:val="21"/>
          <w:szCs w:val="21"/>
          <w:highlight w:val="none"/>
          <w:shd w:val="clear" w:color="auto" w:fill="FFFFFF"/>
          <w:lang w:eastAsia="zh-CN"/>
        </w:rPr>
      </w:pPr>
      <w:r>
        <w:rPr>
          <w:rFonts w:hint="eastAsia" w:ascii="宋体" w:hAnsi="宋体" w:cs="宋体"/>
          <w:color w:val="auto"/>
          <w:sz w:val="21"/>
          <w:szCs w:val="21"/>
          <w:highlight w:val="none"/>
          <w:shd w:val="clear" w:color="auto" w:fill="FFFFFF"/>
        </w:rPr>
        <w:t>项目联系人（询问）：</w:t>
      </w:r>
      <w:r>
        <w:rPr>
          <w:rFonts w:hint="eastAsia" w:ascii="宋体" w:hAnsi="宋体" w:cs="宋体"/>
          <w:color w:val="auto"/>
          <w:sz w:val="21"/>
          <w:szCs w:val="21"/>
          <w:highlight w:val="none"/>
          <w:shd w:val="clear" w:color="auto" w:fill="FFFFFF"/>
          <w:lang w:val="en-US" w:eastAsia="zh-CN"/>
        </w:rPr>
        <w:t>张工</w:t>
      </w:r>
    </w:p>
    <w:p>
      <w:pPr>
        <w:pStyle w:val="16"/>
        <w:adjustRightInd w:val="0"/>
        <w:snapToGrid w:val="0"/>
        <w:spacing w:before="0" w:beforeAutospacing="0" w:after="0" w:afterAutospacing="0" w:line="460" w:lineRule="exact"/>
        <w:ind w:firstLine="420" w:firstLineChars="200"/>
        <w:rPr>
          <w:rFonts w:hint="default" w:ascii="宋体" w:hAnsi="宋体" w:cs="宋体"/>
          <w:color w:val="auto"/>
          <w:sz w:val="21"/>
          <w:szCs w:val="21"/>
          <w:highlight w:val="none"/>
          <w:shd w:val="clear" w:color="auto" w:fill="FFFFFF"/>
          <w:lang w:val="en-US" w:eastAsia="zh-CN"/>
        </w:rPr>
      </w:pPr>
      <w:r>
        <w:rPr>
          <w:rFonts w:hint="eastAsia" w:ascii="宋体" w:hAnsi="宋体" w:cs="宋体"/>
          <w:color w:val="auto"/>
          <w:sz w:val="21"/>
          <w:szCs w:val="21"/>
          <w:highlight w:val="none"/>
          <w:shd w:val="clear" w:color="auto" w:fill="FFFFFF"/>
        </w:rPr>
        <w:t>项目联系方式（询问）：</w:t>
      </w:r>
      <w:r>
        <w:rPr>
          <w:rFonts w:hint="eastAsia" w:ascii="宋体" w:hAnsi="宋体" w:cs="宋体"/>
          <w:color w:val="auto"/>
          <w:sz w:val="21"/>
          <w:szCs w:val="21"/>
          <w:highlight w:val="none"/>
          <w:shd w:val="clear" w:color="auto" w:fill="FFFFFF"/>
          <w:lang w:val="en-US" w:eastAsia="zh-CN"/>
        </w:rPr>
        <w:t xml:space="preserve">0574-83085320 </w:t>
      </w:r>
    </w:p>
    <w:p>
      <w:pPr>
        <w:pStyle w:val="16"/>
        <w:adjustRightInd w:val="0"/>
        <w:snapToGrid w:val="0"/>
        <w:spacing w:before="0" w:beforeAutospacing="0" w:after="0" w:afterAutospacing="0" w:line="460" w:lineRule="exact"/>
        <w:ind w:firstLine="420" w:firstLineChars="20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lang w:val="en-US" w:eastAsia="zh-CN"/>
        </w:rPr>
        <w:t xml:space="preserve"> </w:t>
      </w:r>
      <w:r>
        <w:rPr>
          <w:rFonts w:hint="eastAsia" w:ascii="宋体" w:hAnsi="宋体" w:cs="宋体"/>
          <w:color w:val="auto"/>
          <w:sz w:val="21"/>
          <w:szCs w:val="21"/>
          <w:highlight w:val="none"/>
          <w:shd w:val="clear" w:color="auto" w:fill="FFFFFF"/>
        </w:rPr>
        <w:t>邮箱：</w:t>
      </w:r>
      <w:r>
        <w:rPr>
          <w:rFonts w:hint="eastAsia" w:ascii="宋体" w:hAnsi="宋体" w:cs="宋体"/>
          <w:color w:val="auto"/>
          <w:sz w:val="21"/>
          <w:szCs w:val="21"/>
          <w:highlight w:val="none"/>
          <w:shd w:val="clear" w:color="auto" w:fill="FFFFFF"/>
          <w:lang w:val="en-US" w:eastAsia="zh-CN"/>
        </w:rPr>
        <w:t>673983695</w:t>
      </w:r>
      <w:r>
        <w:rPr>
          <w:rFonts w:hint="eastAsia" w:ascii="宋体" w:hAnsi="宋体" w:cs="宋体"/>
          <w:color w:val="auto"/>
          <w:sz w:val="21"/>
          <w:szCs w:val="21"/>
          <w:highlight w:val="none"/>
          <w:shd w:val="clear" w:color="auto" w:fill="FFFFFF"/>
        </w:rPr>
        <w:t>@qq.com</w:t>
      </w:r>
    </w:p>
    <w:p>
      <w:pPr>
        <w:pStyle w:val="16"/>
        <w:adjustRightInd w:val="0"/>
        <w:snapToGrid w:val="0"/>
        <w:spacing w:before="0" w:beforeAutospacing="0" w:after="0" w:afterAutospacing="0" w:line="460" w:lineRule="exact"/>
        <w:ind w:firstLine="420" w:firstLineChars="200"/>
        <w:rPr>
          <w:rFonts w:hint="default" w:ascii="宋体" w:hAnsi="宋体" w:eastAsia="宋体" w:cs="宋体"/>
          <w:color w:val="auto"/>
          <w:sz w:val="21"/>
          <w:szCs w:val="21"/>
          <w:highlight w:val="none"/>
          <w:shd w:val="clear" w:color="auto" w:fill="FFFFFF"/>
          <w:lang w:val="en-US" w:eastAsia="zh-CN"/>
        </w:rPr>
      </w:pPr>
      <w:r>
        <w:rPr>
          <w:rFonts w:hint="eastAsia" w:ascii="宋体" w:hAnsi="宋体" w:cs="宋体"/>
          <w:color w:val="auto"/>
          <w:sz w:val="21"/>
          <w:szCs w:val="21"/>
          <w:highlight w:val="none"/>
          <w:shd w:val="clear" w:color="auto" w:fill="FFFFFF"/>
        </w:rPr>
        <w:t>质疑联系人：</w:t>
      </w:r>
      <w:r>
        <w:rPr>
          <w:rFonts w:hint="eastAsia" w:ascii="宋体" w:hAnsi="宋体" w:cs="宋体"/>
          <w:color w:val="auto"/>
          <w:sz w:val="21"/>
          <w:szCs w:val="21"/>
          <w:highlight w:val="none"/>
          <w:shd w:val="clear" w:color="auto" w:fill="FFFFFF"/>
          <w:lang w:val="en-US" w:eastAsia="zh-CN"/>
        </w:rPr>
        <w:t>吴泉</w:t>
      </w:r>
    </w:p>
    <w:p>
      <w:pPr>
        <w:pStyle w:val="16"/>
        <w:adjustRightInd w:val="0"/>
        <w:snapToGrid w:val="0"/>
        <w:spacing w:before="0" w:beforeAutospacing="0" w:after="0" w:afterAutospacing="0" w:line="460" w:lineRule="exact"/>
        <w:ind w:firstLine="420" w:firstLineChars="200"/>
        <w:rPr>
          <w:rFonts w:hint="eastAsia" w:ascii="宋体" w:hAnsi="宋体" w:eastAsia="宋体" w:cs="宋体"/>
          <w:color w:val="auto"/>
          <w:sz w:val="21"/>
          <w:szCs w:val="21"/>
          <w:highlight w:val="none"/>
          <w:shd w:val="clear" w:color="auto" w:fill="FFFFFF"/>
          <w:lang w:eastAsia="zh-CN"/>
        </w:rPr>
      </w:pPr>
      <w:r>
        <w:rPr>
          <w:rFonts w:hint="eastAsia" w:ascii="宋体" w:hAnsi="宋体" w:cs="宋体"/>
          <w:color w:val="auto"/>
          <w:sz w:val="21"/>
          <w:szCs w:val="21"/>
          <w:highlight w:val="none"/>
          <w:shd w:val="clear" w:color="auto" w:fill="FFFFFF"/>
        </w:rPr>
        <w:t>质疑联系方式：</w:t>
      </w:r>
      <w:r>
        <w:rPr>
          <w:rFonts w:hint="eastAsia" w:ascii="宋体" w:hAnsi="宋体" w:cs="宋体"/>
          <w:color w:val="auto"/>
          <w:sz w:val="21"/>
          <w:szCs w:val="21"/>
          <w:highlight w:val="none"/>
          <w:shd w:val="clear" w:color="auto" w:fill="FFFFFF"/>
          <w:lang w:val="en-US" w:eastAsia="zh-CN"/>
        </w:rPr>
        <w:t xml:space="preserve">0574-83085320 </w:t>
      </w:r>
    </w:p>
    <w:p>
      <w:pPr>
        <w:pStyle w:val="16"/>
        <w:adjustRightInd w:val="0"/>
        <w:snapToGrid w:val="0"/>
        <w:spacing w:before="0" w:beforeAutospacing="0" w:after="0" w:afterAutospacing="0" w:line="460" w:lineRule="exact"/>
        <w:ind w:firstLine="420" w:firstLineChars="20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3.同级政府采购监督管理部门</w:t>
      </w:r>
    </w:p>
    <w:p>
      <w:pPr>
        <w:pStyle w:val="16"/>
        <w:adjustRightInd w:val="0"/>
        <w:snapToGrid w:val="0"/>
        <w:spacing w:before="0" w:beforeAutospacing="0" w:after="0" w:afterAutospacing="0" w:line="460" w:lineRule="exact"/>
        <w:ind w:firstLine="420" w:firstLineChars="20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名    称：</w:t>
      </w:r>
      <w:r>
        <w:rPr>
          <w:rFonts w:hint="eastAsia" w:ascii="宋体" w:hAnsi="宋体" w:cs="宋体"/>
          <w:color w:val="auto"/>
          <w:sz w:val="21"/>
          <w:szCs w:val="21"/>
          <w:highlight w:val="none"/>
        </w:rPr>
        <w:t>宁波市鄞州区政府采购办</w:t>
      </w:r>
      <w:r>
        <w:rPr>
          <w:rFonts w:hint="eastAsia" w:ascii="宋体" w:hAnsi="宋体" w:cs="宋体"/>
          <w:color w:val="auto"/>
          <w:sz w:val="21"/>
          <w:szCs w:val="21"/>
          <w:highlight w:val="none"/>
          <w:shd w:val="clear" w:color="auto" w:fill="FFFFFF"/>
        </w:rPr>
        <w:t>　</w:t>
      </w:r>
    </w:p>
    <w:p>
      <w:pPr>
        <w:pStyle w:val="16"/>
        <w:adjustRightInd w:val="0"/>
        <w:snapToGrid w:val="0"/>
        <w:spacing w:before="0" w:beforeAutospacing="0" w:after="0" w:afterAutospacing="0" w:line="460" w:lineRule="exact"/>
        <w:ind w:firstLine="420" w:firstLineChars="20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地    址：</w:t>
      </w:r>
      <w:r>
        <w:rPr>
          <w:rFonts w:hint="eastAsia" w:ascii="宋体" w:hAnsi="宋体" w:cs="宋体"/>
          <w:color w:val="auto"/>
          <w:sz w:val="21"/>
          <w:szCs w:val="21"/>
          <w:highlight w:val="none"/>
        </w:rPr>
        <w:t>宁波市鄞州区前河南路16号</w:t>
      </w:r>
      <w:r>
        <w:rPr>
          <w:rFonts w:hint="eastAsia" w:ascii="宋体" w:hAnsi="宋体" w:cs="宋体"/>
          <w:color w:val="auto"/>
          <w:sz w:val="21"/>
          <w:szCs w:val="21"/>
          <w:highlight w:val="none"/>
          <w:shd w:val="clear" w:color="auto" w:fill="FFFFFF"/>
        </w:rPr>
        <w:t> </w:t>
      </w:r>
    </w:p>
    <w:p>
      <w:pPr>
        <w:pStyle w:val="16"/>
        <w:adjustRightInd w:val="0"/>
        <w:snapToGrid w:val="0"/>
        <w:spacing w:before="0" w:beforeAutospacing="0" w:after="0" w:afterAutospacing="0" w:line="460" w:lineRule="exact"/>
        <w:ind w:firstLine="420" w:firstLineChars="20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 xml:space="preserve">传     真：/ 　  </w:t>
      </w:r>
    </w:p>
    <w:p>
      <w:pPr>
        <w:pStyle w:val="16"/>
        <w:adjustRightInd w:val="0"/>
        <w:snapToGrid w:val="0"/>
        <w:spacing w:before="0" w:beforeAutospacing="0" w:after="0" w:afterAutospacing="0" w:line="460" w:lineRule="exact"/>
        <w:ind w:firstLine="420" w:firstLineChars="20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联  系  人 ：</w:t>
      </w:r>
      <w:r>
        <w:rPr>
          <w:rFonts w:hint="eastAsia" w:ascii="宋体" w:hAnsi="宋体" w:cs="宋体"/>
          <w:color w:val="auto"/>
          <w:sz w:val="21"/>
          <w:szCs w:val="21"/>
          <w:highlight w:val="none"/>
        </w:rPr>
        <w:t>郑老师</w:t>
      </w:r>
      <w:r>
        <w:rPr>
          <w:rFonts w:hint="eastAsia" w:ascii="宋体" w:hAnsi="宋体" w:cs="宋体"/>
          <w:color w:val="auto"/>
          <w:sz w:val="21"/>
          <w:szCs w:val="21"/>
          <w:highlight w:val="none"/>
          <w:shd w:val="clear" w:color="auto" w:fill="FFFFFF"/>
        </w:rPr>
        <w:t>　</w:t>
      </w:r>
    </w:p>
    <w:p>
      <w:pPr>
        <w:pStyle w:val="16"/>
        <w:adjustRightInd w:val="0"/>
        <w:snapToGrid w:val="0"/>
        <w:spacing w:before="0" w:beforeAutospacing="0" w:after="0" w:afterAutospacing="0" w:line="460" w:lineRule="exact"/>
        <w:ind w:firstLine="420" w:firstLineChars="200"/>
        <w:rPr>
          <w:rFonts w:hint="eastAsia" w:ascii="宋体" w:hAnsi="宋体" w:cs="宋体"/>
          <w:b/>
          <w:color w:val="auto"/>
          <w:szCs w:val="21"/>
          <w:highlight w:val="none"/>
        </w:rPr>
      </w:pPr>
      <w:r>
        <w:rPr>
          <w:rFonts w:hint="eastAsia" w:ascii="宋体" w:hAnsi="宋体" w:cs="宋体"/>
          <w:color w:val="auto"/>
          <w:sz w:val="21"/>
          <w:szCs w:val="21"/>
          <w:highlight w:val="none"/>
          <w:shd w:val="clear" w:color="auto" w:fill="FFFFFF"/>
        </w:rPr>
        <w:t>监督投诉电话：</w:t>
      </w:r>
      <w:r>
        <w:rPr>
          <w:rFonts w:hint="eastAsia" w:ascii="宋体" w:hAnsi="宋体" w:cs="宋体"/>
          <w:color w:val="auto"/>
          <w:sz w:val="21"/>
          <w:szCs w:val="21"/>
          <w:highlight w:val="none"/>
        </w:rPr>
        <w:t>0574-89295894</w:t>
      </w:r>
    </w:p>
    <w:p>
      <w:pPr>
        <w:pStyle w:val="4"/>
        <w:snapToGrid w:val="0"/>
        <w:spacing w:before="0" w:after="0" w:line="440" w:lineRule="exact"/>
        <w:rPr>
          <w:rFonts w:hint="eastAsia" w:ascii="宋体" w:hAnsi="宋体" w:cs="宋体"/>
          <w:color w:val="auto"/>
          <w:sz w:val="24"/>
          <w:szCs w:val="24"/>
          <w:highlight w:val="none"/>
        </w:rPr>
      </w:pPr>
      <w:bookmarkStart w:id="6" w:name="_Toc2894"/>
      <w:bookmarkStart w:id="7" w:name="_Toc29498"/>
      <w:bookmarkStart w:id="8" w:name="_Toc17629"/>
      <w:bookmarkStart w:id="9" w:name="_Toc11688"/>
      <w:r>
        <w:rPr>
          <w:rFonts w:hint="eastAsia" w:ascii="宋体" w:hAnsi="宋体" w:cs="宋体"/>
          <w:color w:val="auto"/>
          <w:sz w:val="24"/>
          <w:szCs w:val="24"/>
          <w:highlight w:val="none"/>
        </w:rPr>
        <w:br w:type="page"/>
      </w:r>
      <w:bookmarkStart w:id="10" w:name="_Toc61965562"/>
      <w:r>
        <w:rPr>
          <w:rFonts w:hint="eastAsia" w:ascii="宋体" w:hAnsi="宋体" w:cs="宋体"/>
          <w:color w:val="auto"/>
          <w:sz w:val="24"/>
          <w:szCs w:val="24"/>
          <w:highlight w:val="none"/>
        </w:rPr>
        <w:t>第二章  投标资料表</w:t>
      </w:r>
      <w:bookmarkEnd w:id="6"/>
      <w:bookmarkEnd w:id="7"/>
      <w:bookmarkEnd w:id="8"/>
      <w:bookmarkEnd w:id="9"/>
      <w:bookmarkEnd w:id="10"/>
    </w:p>
    <w:p>
      <w:pPr>
        <w:rPr>
          <w:rFonts w:hint="eastAsia"/>
          <w:color w:val="auto"/>
          <w:highlight w:val="none"/>
        </w:rPr>
      </w:pPr>
    </w:p>
    <w:tbl>
      <w:tblPr>
        <w:tblStyle w:val="19"/>
        <w:tblW w:w="92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2"/>
        <w:gridCol w:w="84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blHeader/>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84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84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hint="eastAsia" w:ascii="宋体" w:hAnsi="宋体" w:cs="宋体"/>
                <w:color w:val="auto"/>
                <w:szCs w:val="21"/>
                <w:highlight w:val="none"/>
              </w:rPr>
            </w:pPr>
            <w:r>
              <w:rPr>
                <w:rFonts w:hint="eastAsia" w:ascii="宋体" w:hAnsi="宋体" w:cs="宋体"/>
                <w:b/>
                <w:color w:val="auto"/>
                <w:szCs w:val="21"/>
                <w:highlight w:val="none"/>
              </w:rPr>
              <w:t>项目名称：</w:t>
            </w:r>
            <w:r>
              <w:rPr>
                <w:rFonts w:hint="eastAsia" w:ascii="宋体" w:hAnsi="宋体" w:cs="宋体"/>
                <w:bCs/>
                <w:color w:val="auto"/>
                <w:szCs w:val="21"/>
                <w:highlight w:val="none"/>
                <w:lang w:eastAsia="zh-CN"/>
              </w:rPr>
              <w:t>潘火街道中小学（幼儿园）保安服务项目</w:t>
            </w:r>
            <w:r>
              <w:rPr>
                <w:rFonts w:hint="eastAsia" w:ascii="宋体" w:hAnsi="宋体" w:cs="宋体"/>
                <w:bCs/>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84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投标报价及费用：</w:t>
            </w:r>
          </w:p>
          <w:p>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1、本项目投标货币以人民币报价。</w:t>
            </w:r>
          </w:p>
          <w:p>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2、投标总报价（元/年）包含了完成本项目服务（</w:t>
            </w:r>
            <w:r>
              <w:rPr>
                <w:rFonts w:hint="eastAsia" w:ascii="宋体" w:hAnsi="宋体" w:eastAsia="宋体" w:cs="Times New Roman"/>
                <w:color w:val="auto"/>
                <w:szCs w:val="21"/>
                <w:highlight w:val="none"/>
                <w:lang w:val="en-US" w:eastAsia="zh-CN"/>
              </w:rPr>
              <w:t>68个</w:t>
            </w:r>
            <w:r>
              <w:rPr>
                <w:rFonts w:hint="eastAsia" w:ascii="宋体" w:hAnsi="宋体" w:eastAsia="宋体" w:cs="Times New Roman"/>
                <w:color w:val="auto"/>
                <w:szCs w:val="21"/>
                <w:highlight w:val="none"/>
              </w:rPr>
              <w:t>保安及其他）一年所需的所有费用，包括但不限于以下内容：人员费用[含工资、奖金、加班费、劳保福利、各类补贴（如高温津贴等）、五险一金、人身意外险及教育培训等费用]、工作服、节庆氛围布置、招标代理服务费及利润、管理费用（包括人员培训费、办公管理费、其他管理费等）、</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双减政策</w:t>
            </w:r>
            <w:r>
              <w:rPr>
                <w:rFonts w:hint="default"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en-US" w:eastAsia="zh-CN"/>
              </w:rPr>
              <w:t>下的加班费</w:t>
            </w:r>
            <w:r>
              <w:rPr>
                <w:rFonts w:hint="eastAsia" w:ascii="宋体" w:hAnsi="宋体" w:eastAsia="宋体" w:cs="Times New Roman"/>
                <w:color w:val="auto"/>
                <w:szCs w:val="21"/>
                <w:highlight w:val="none"/>
              </w:rPr>
              <w:t>、利润、规费、税金等完成本项目服务所产生的一切费用。</w:t>
            </w:r>
          </w:p>
          <w:p>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
                <w:bCs/>
                <w:color w:val="auto"/>
                <w:szCs w:val="21"/>
                <w:highlight w:val="none"/>
              </w:rPr>
              <w:t>本项目的最高限价为</w:t>
            </w:r>
            <w:r>
              <w:rPr>
                <w:rFonts w:hint="eastAsia" w:ascii="宋体" w:hAnsi="宋体" w:eastAsia="宋体" w:cs="Times New Roman"/>
                <w:b/>
                <w:bCs/>
                <w:color w:val="auto"/>
                <w:szCs w:val="21"/>
                <w:highlight w:val="none"/>
                <w:lang w:val="en-US" w:eastAsia="zh-CN"/>
              </w:rPr>
              <w:t>3508800</w:t>
            </w:r>
            <w:r>
              <w:rPr>
                <w:rFonts w:hint="eastAsia" w:ascii="宋体" w:hAnsi="宋体" w:eastAsia="宋体" w:cs="Times New Roman"/>
                <w:b/>
                <w:bCs/>
                <w:color w:val="auto"/>
                <w:szCs w:val="21"/>
                <w:highlight w:val="none"/>
              </w:rPr>
              <w:t>元/年</w:t>
            </w:r>
            <w:r>
              <w:rPr>
                <w:rFonts w:hint="eastAsia" w:ascii="宋体" w:hAnsi="宋体" w:eastAsia="宋体" w:cs="Times New Roman"/>
                <w:b/>
                <w:bCs/>
                <w:color w:val="auto"/>
                <w:szCs w:val="21"/>
                <w:highlight w:val="none"/>
                <w:lang w:eastAsia="zh-CN"/>
              </w:rPr>
              <w:t>；</w:t>
            </w:r>
            <w:r>
              <w:rPr>
                <w:rFonts w:hint="eastAsia" w:ascii="宋体" w:hAnsi="宋体" w:eastAsia="宋体" w:cs="Times New Roman"/>
                <w:b/>
                <w:bCs/>
                <w:color w:val="auto"/>
                <w:szCs w:val="21"/>
                <w:highlight w:val="none"/>
                <w:lang w:val="en-US" w:eastAsia="zh-CN"/>
              </w:rPr>
              <w:t>10526400元/三年</w:t>
            </w:r>
            <w:r>
              <w:rPr>
                <w:rFonts w:hint="eastAsia" w:ascii="宋体" w:hAnsi="宋体" w:eastAsia="宋体" w:cs="Times New Roman"/>
                <w:b/>
                <w:bCs/>
                <w:color w:val="auto"/>
                <w:szCs w:val="21"/>
                <w:highlight w:val="none"/>
              </w:rPr>
              <w:t>，投标报价超过最高限价的作无效投标。</w:t>
            </w:r>
          </w:p>
          <w:p>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4、不论投标结果如何，投标人均应自行承担所有与投标有关的全部费用。</w:t>
            </w:r>
          </w:p>
          <w:p>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5、中标服务费的收取标准：</w:t>
            </w:r>
            <w:r>
              <w:rPr>
                <w:rFonts w:hint="eastAsia" w:hAnsi="宋体"/>
                <w:color w:val="auto"/>
                <w:sz w:val="21"/>
                <w:szCs w:val="21"/>
                <w:highlight w:val="none"/>
              </w:rPr>
              <w:t>代理机构参照国家发改委发改办价格[2003]857号通知和原国家计[2002]1980号文件规定的服务招标费率收费标准</w:t>
            </w:r>
            <w:r>
              <w:rPr>
                <w:rFonts w:hint="eastAsia" w:hAnsi="宋体"/>
                <w:color w:val="auto"/>
                <w:sz w:val="21"/>
                <w:szCs w:val="21"/>
                <w:highlight w:val="none"/>
                <w:lang w:val="en-US" w:eastAsia="zh-CN"/>
              </w:rPr>
              <w:t>下浮20%计取</w:t>
            </w:r>
            <w:r>
              <w:rPr>
                <w:rFonts w:hint="eastAsia" w:hAnsi="宋体"/>
                <w:color w:val="auto"/>
                <w:sz w:val="21"/>
                <w:szCs w:val="21"/>
                <w:highlight w:val="none"/>
              </w:rPr>
              <w:t>，根据</w:t>
            </w:r>
            <w:r>
              <w:rPr>
                <w:rFonts w:hint="eastAsia" w:hAnsi="宋体"/>
                <w:color w:val="auto"/>
                <w:sz w:val="21"/>
                <w:szCs w:val="21"/>
                <w:highlight w:val="none"/>
                <w:lang w:val="en-US" w:eastAsia="zh-CN"/>
              </w:rPr>
              <w:t>三年</w:t>
            </w:r>
            <w:r>
              <w:rPr>
                <w:rFonts w:hint="eastAsia" w:hAnsi="宋体"/>
                <w:color w:val="auto"/>
                <w:sz w:val="21"/>
                <w:szCs w:val="21"/>
                <w:highlight w:val="none"/>
              </w:rPr>
              <w:t>中标总金额向中标人收取中标服务费</w:t>
            </w:r>
            <w:r>
              <w:rPr>
                <w:rFonts w:hint="eastAsia" w:ascii="宋体" w:hAnsi="宋体" w:eastAsia="宋体" w:cs="Times New Roman"/>
                <w:color w:val="auto"/>
                <w:szCs w:val="21"/>
                <w:highlight w:val="none"/>
              </w:rPr>
              <w:t>。</w:t>
            </w:r>
          </w:p>
          <w:p>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6、中标人在收取中标通知书时即向本招标代理机构以现金、转账方式支付服务费。</w:t>
            </w:r>
          </w:p>
          <w:p>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 、因中标人原因导致本次招标失败的，中标人依旧按本条约定向代理机构支付服务费。</w:t>
            </w:r>
          </w:p>
          <w:p>
            <w:pPr>
              <w:spacing w:line="360" w:lineRule="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8、本项目由</w:t>
            </w:r>
            <w:r>
              <w:rPr>
                <w:rFonts w:hint="eastAsia" w:ascii="宋体" w:hAnsi="宋体" w:eastAsia="宋体" w:cs="Times New Roman"/>
                <w:color w:val="auto"/>
                <w:szCs w:val="21"/>
                <w:highlight w:val="none"/>
                <w:lang w:eastAsia="zh-CN"/>
              </w:rPr>
              <w:t>鄞州</w:t>
            </w:r>
            <w:r>
              <w:rPr>
                <w:rFonts w:hint="eastAsia" w:ascii="宋体" w:hAnsi="宋体" w:eastAsia="宋体" w:cs="Times New Roman"/>
                <w:color w:val="auto"/>
                <w:szCs w:val="21"/>
                <w:highlight w:val="none"/>
              </w:rPr>
              <w:t>区</w:t>
            </w:r>
            <w:r>
              <w:rPr>
                <w:rFonts w:hint="eastAsia" w:ascii="宋体" w:hAnsi="宋体" w:eastAsia="宋体" w:cs="Times New Roman"/>
                <w:color w:val="auto"/>
                <w:szCs w:val="21"/>
                <w:highlight w:val="none"/>
                <w:lang w:eastAsia="zh-CN"/>
              </w:rPr>
              <w:t>潘火街道</w:t>
            </w:r>
            <w:r>
              <w:rPr>
                <w:rFonts w:hint="eastAsia" w:ascii="宋体" w:hAnsi="宋体" w:eastAsia="宋体" w:cs="Times New Roman"/>
                <w:color w:val="auto"/>
                <w:szCs w:val="21"/>
                <w:highlight w:val="none"/>
              </w:rPr>
              <w:t>人民政府统一招标</w:t>
            </w:r>
            <w:r>
              <w:rPr>
                <w:rFonts w:hint="eastAsia" w:ascii="宋体" w:hAnsi="宋体" w:eastAsia="宋体" w:cs="Times New Roman"/>
                <w:color w:val="auto"/>
                <w:szCs w:val="21"/>
                <w:highlight w:val="none"/>
                <w:lang w:eastAsia="zh-CN"/>
              </w:rPr>
              <w:t>，</w:t>
            </w:r>
            <w:r>
              <w:rPr>
                <w:rFonts w:hint="eastAsia" w:ascii="宋体" w:hAnsi="宋体"/>
                <w:color w:val="auto"/>
                <w:szCs w:val="21"/>
                <w:highlight w:val="none"/>
              </w:rPr>
              <w:t>中标人与</w:t>
            </w:r>
            <w:r>
              <w:rPr>
                <w:rFonts w:hint="eastAsia" w:ascii="宋体" w:hAnsi="宋体" w:cs="宋体"/>
                <w:bCs/>
                <w:color w:val="auto"/>
                <w:szCs w:val="21"/>
                <w:highlight w:val="none"/>
                <w:lang w:eastAsia="zh-CN"/>
              </w:rPr>
              <w:t>潘火街道中小学（幼儿园）</w:t>
            </w:r>
            <w:r>
              <w:rPr>
                <w:rFonts w:hint="eastAsia" w:ascii="宋体" w:hAnsi="宋体"/>
                <w:color w:val="auto"/>
                <w:szCs w:val="21"/>
                <w:highlight w:val="none"/>
              </w:rPr>
              <w:t>分别签订三方合同，</w:t>
            </w:r>
            <w:r>
              <w:rPr>
                <w:rFonts w:hint="eastAsia" w:ascii="宋体" w:hAnsi="宋体"/>
                <w:color w:val="auto"/>
                <w:szCs w:val="21"/>
                <w:highlight w:val="none"/>
                <w:lang w:val="en-US" w:eastAsia="zh-CN"/>
              </w:rPr>
              <w:t>潘火街道</w:t>
            </w:r>
            <w:r>
              <w:rPr>
                <w:rFonts w:hint="eastAsia" w:ascii="宋体" w:hAnsi="宋体"/>
                <w:color w:val="auto"/>
                <w:szCs w:val="21"/>
                <w:highlight w:val="none"/>
              </w:rPr>
              <w:t>人民政府作为见证方</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84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hint="eastAsia" w:ascii="宋体" w:hAnsi="宋体" w:cs="宋体"/>
                <w:b/>
                <w:color w:val="auto"/>
                <w:szCs w:val="21"/>
                <w:highlight w:val="none"/>
              </w:rPr>
            </w:pPr>
            <w:r>
              <w:rPr>
                <w:rFonts w:hint="eastAsia" w:ascii="宋体" w:hAnsi="宋体" w:cs="宋体"/>
                <w:b/>
                <w:color w:val="auto"/>
                <w:szCs w:val="21"/>
                <w:highlight w:val="none"/>
              </w:rPr>
              <w:t>投标保证金：</w:t>
            </w:r>
            <w:r>
              <w:rPr>
                <w:rFonts w:hint="eastAsia" w:ascii="宋体" w:hAnsi="宋体" w:cs="宋体"/>
                <w:bCs/>
                <w:color w:val="auto"/>
                <w:szCs w:val="21"/>
                <w:highlight w:val="none"/>
              </w:rPr>
              <w:t>本项目不需要缴纳投标保证金。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84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hint="eastAsia" w:ascii="宋体" w:hAnsi="宋体" w:cs="宋体"/>
                <w:b/>
                <w:bCs/>
                <w:color w:val="auto"/>
                <w:szCs w:val="21"/>
                <w:highlight w:val="none"/>
              </w:rPr>
            </w:pPr>
            <w:r>
              <w:rPr>
                <w:rFonts w:hint="eastAsia" w:ascii="宋体" w:hAnsi="宋体" w:cs="宋体"/>
                <w:b/>
                <w:bCs/>
                <w:color w:val="auto"/>
                <w:szCs w:val="21"/>
                <w:highlight w:val="none"/>
              </w:rPr>
              <w:t>投标文件份数：</w:t>
            </w:r>
          </w:p>
          <w:p>
            <w:pPr>
              <w:adjustRightInd w:val="0"/>
              <w:snapToGrid w:val="0"/>
              <w:spacing w:line="420" w:lineRule="exact"/>
              <w:ind w:left="304" w:hanging="304" w:hangingChars="145"/>
              <w:rPr>
                <w:rFonts w:hint="eastAsia" w:ascii="宋体" w:hAnsi="宋体" w:cs="宋体"/>
                <w:color w:val="auto"/>
                <w:szCs w:val="21"/>
                <w:highlight w:val="none"/>
              </w:rPr>
            </w:pPr>
            <w:r>
              <w:rPr>
                <w:rFonts w:hint="eastAsia" w:ascii="宋体" w:hAnsi="宋体" w:cs="宋体"/>
                <w:color w:val="auto"/>
                <w:szCs w:val="21"/>
                <w:highlight w:val="none"/>
              </w:rPr>
              <w:t>本项目实行网上投标，投标人应准备以下投标文件：</w:t>
            </w:r>
          </w:p>
          <w:p>
            <w:pPr>
              <w:adjustRightInd w:val="0"/>
              <w:snapToGrid w:val="0"/>
              <w:spacing w:line="420" w:lineRule="exact"/>
              <w:rPr>
                <w:rFonts w:hint="eastAsia"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1、上传到政府采购云平台的电子投标文件（含资格文件、商务技术文件、报价文件）1份。</w:t>
            </w:r>
          </w:p>
          <w:p>
            <w:pPr>
              <w:adjustRightInd w:val="0"/>
              <w:snapToGrid w:val="0"/>
              <w:spacing w:line="420" w:lineRule="exact"/>
              <w:ind w:left="304" w:hanging="304" w:hangingChars="145"/>
              <w:rPr>
                <w:rFonts w:hint="eastAsia" w:ascii="宋体" w:hAnsi="宋体" w:cs="宋体"/>
                <w:color w:val="auto"/>
                <w:szCs w:val="21"/>
                <w:highlight w:val="none"/>
              </w:rPr>
            </w:pPr>
            <w:r>
              <w:rPr>
                <w:rFonts w:hint="eastAsia" w:ascii="宋体" w:hAnsi="宋体" w:cs="宋体"/>
                <w:color w:val="auto"/>
                <w:szCs w:val="21"/>
                <w:highlight w:val="none"/>
              </w:rPr>
              <w:t>2、以U盘形式存储的电子备份投标文件（含资格文件、商务技术文件、报价文件）1份。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84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hint="eastAsia" w:ascii="宋体" w:hAnsi="宋体" w:cs="宋体"/>
                <w:b/>
                <w:color w:val="auto"/>
                <w:szCs w:val="21"/>
                <w:highlight w:val="none"/>
              </w:rPr>
            </w:pPr>
            <w:r>
              <w:rPr>
                <w:rFonts w:hint="eastAsia" w:ascii="宋体" w:hAnsi="宋体" w:cs="宋体"/>
                <w:b/>
                <w:color w:val="auto"/>
                <w:szCs w:val="21"/>
                <w:highlight w:val="none"/>
              </w:rPr>
              <w:t>投标截止时间和地点：</w:t>
            </w:r>
            <w:r>
              <w:rPr>
                <w:rFonts w:hint="eastAsia" w:ascii="宋体" w:hAnsi="宋体" w:cs="宋体"/>
                <w:bCs/>
                <w:color w:val="auto"/>
                <w:szCs w:val="21"/>
                <w:highlight w:val="none"/>
              </w:rPr>
              <w:t>详见第一章  采购公告“投标截止时间和地点”。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84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hint="eastAsia" w:ascii="宋体" w:hAnsi="宋体" w:cs="宋体"/>
                <w:b/>
                <w:color w:val="auto"/>
                <w:szCs w:val="21"/>
                <w:highlight w:val="none"/>
              </w:rPr>
            </w:pPr>
            <w:r>
              <w:rPr>
                <w:rFonts w:hint="eastAsia" w:ascii="宋体" w:hAnsi="宋体" w:cs="宋体"/>
                <w:b/>
                <w:color w:val="auto"/>
                <w:szCs w:val="21"/>
                <w:highlight w:val="none"/>
              </w:rPr>
              <w:t>开标时间和地点：</w:t>
            </w:r>
            <w:r>
              <w:rPr>
                <w:rFonts w:hint="eastAsia" w:ascii="宋体" w:hAnsi="宋体" w:cs="宋体"/>
                <w:bCs/>
                <w:color w:val="auto"/>
                <w:szCs w:val="21"/>
                <w:highlight w:val="none"/>
              </w:rPr>
              <w:t>详见第一章  采购公告“开标时间和地点”。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84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hint="eastAsia" w:ascii="宋体" w:hAnsi="宋体" w:cs="宋体"/>
                <w:color w:val="auto"/>
                <w:szCs w:val="21"/>
                <w:highlight w:val="none"/>
              </w:rPr>
            </w:pPr>
            <w:r>
              <w:rPr>
                <w:rFonts w:hint="eastAsia" w:ascii="宋体" w:hAnsi="宋体" w:cs="宋体"/>
                <w:b/>
                <w:color w:val="auto"/>
                <w:szCs w:val="21"/>
                <w:highlight w:val="none"/>
              </w:rPr>
              <w:t>评标办法及评分标准：</w:t>
            </w:r>
            <w:r>
              <w:rPr>
                <w:rFonts w:hint="eastAsia" w:ascii="宋体" w:hAnsi="宋体" w:cs="宋体"/>
                <w:color w:val="auto"/>
                <w:szCs w:val="21"/>
                <w:highlight w:val="none"/>
              </w:rPr>
              <w:t>详见招标文件第五章“</w:t>
            </w:r>
            <w:r>
              <w:rPr>
                <w:rFonts w:hint="eastAsia" w:ascii="宋体" w:hAnsi="宋体" w:cs="宋体"/>
                <w:color w:val="auto"/>
                <w:kern w:val="44"/>
                <w:szCs w:val="21"/>
                <w:highlight w:val="none"/>
              </w:rPr>
              <w:t>评标办法及评分标准</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84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hint="eastAsia" w:ascii="宋体" w:hAnsi="宋体" w:cs="宋体"/>
                <w:color w:val="auto"/>
                <w:szCs w:val="21"/>
                <w:highlight w:val="none"/>
              </w:rPr>
            </w:pPr>
            <w:r>
              <w:rPr>
                <w:rFonts w:hint="eastAsia" w:ascii="宋体" w:hAnsi="宋体" w:cs="宋体"/>
                <w:b/>
                <w:color w:val="auto"/>
                <w:szCs w:val="21"/>
                <w:highlight w:val="none"/>
              </w:rPr>
              <w:t>评标结果公告：</w:t>
            </w:r>
            <w:r>
              <w:rPr>
                <w:rFonts w:hint="eastAsia" w:ascii="宋体" w:hAnsi="宋体" w:cs="宋体"/>
                <w:color w:val="auto"/>
                <w:szCs w:val="21"/>
                <w:highlight w:val="none"/>
              </w:rPr>
              <w:t>评标结束后，评标结果公示于浙江政府采购网、宁波政府采购站点、宁波公共资源交易网鄞州区分网。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84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hint="eastAsia" w:ascii="宋体" w:hAnsi="宋体" w:cs="宋体"/>
                <w:color w:val="auto"/>
                <w:szCs w:val="21"/>
                <w:highlight w:val="none"/>
              </w:rPr>
            </w:pPr>
            <w:r>
              <w:rPr>
                <w:rFonts w:hint="eastAsia" w:ascii="宋体" w:hAnsi="宋体" w:cs="宋体"/>
                <w:b/>
                <w:color w:val="auto"/>
                <w:szCs w:val="21"/>
                <w:highlight w:val="none"/>
              </w:rPr>
              <w:t>签订合同时间：</w:t>
            </w:r>
            <w:r>
              <w:rPr>
                <w:rFonts w:hint="eastAsia" w:ascii="宋体" w:hAnsi="宋体" w:cs="宋体"/>
                <w:color w:val="auto"/>
                <w:szCs w:val="21"/>
                <w:highlight w:val="none"/>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84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hint="eastAsia" w:ascii="宋体" w:hAnsi="宋体" w:cs="宋体"/>
                <w:color w:val="auto"/>
                <w:szCs w:val="21"/>
                <w:highlight w:val="none"/>
              </w:rPr>
            </w:pPr>
            <w:r>
              <w:rPr>
                <w:rFonts w:hint="eastAsia" w:ascii="宋体" w:hAnsi="宋体" w:cs="宋体"/>
                <w:b/>
                <w:color w:val="auto"/>
                <w:szCs w:val="21"/>
                <w:highlight w:val="none"/>
              </w:rPr>
              <w:t>投标文件有效期：</w:t>
            </w:r>
            <w:r>
              <w:rPr>
                <w:rFonts w:hint="eastAsia" w:ascii="宋体" w:hAnsi="宋体" w:cs="宋体"/>
                <w:color w:val="auto"/>
                <w:szCs w:val="21"/>
                <w:highlight w:val="none"/>
              </w:rPr>
              <w:t>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11</w:t>
            </w:r>
          </w:p>
        </w:tc>
        <w:tc>
          <w:tcPr>
            <w:tcW w:w="84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hint="eastAsia" w:ascii="宋体" w:hAnsi="宋体" w:cs="宋体"/>
                <w:b/>
                <w:color w:val="auto"/>
                <w:szCs w:val="21"/>
                <w:highlight w:val="none"/>
              </w:rPr>
            </w:pPr>
            <w:r>
              <w:rPr>
                <w:rFonts w:hint="eastAsia" w:ascii="宋体" w:hAnsi="宋体" w:cs="宋体"/>
                <w:b/>
                <w:color w:val="auto"/>
                <w:szCs w:val="21"/>
                <w:highlight w:val="none"/>
              </w:rPr>
              <w:t>中标候选人及中标人数量：</w:t>
            </w:r>
            <w:r>
              <w:rPr>
                <w:rFonts w:hint="eastAsia" w:ascii="宋体" w:hAnsi="宋体" w:cs="宋体"/>
                <w:bCs/>
                <w:color w:val="auto"/>
                <w:szCs w:val="21"/>
                <w:highlight w:val="none"/>
              </w:rPr>
              <w:t>由评标委员会推荐1名中标候选人。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12</w:t>
            </w:r>
          </w:p>
        </w:tc>
        <w:tc>
          <w:tcPr>
            <w:tcW w:w="84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hint="eastAsia" w:ascii="宋体" w:hAnsi="宋体" w:cs="宋体"/>
                <w:bCs/>
                <w:color w:val="auto"/>
                <w:szCs w:val="21"/>
                <w:highlight w:val="none"/>
              </w:rPr>
            </w:pPr>
            <w:r>
              <w:rPr>
                <w:rFonts w:hint="eastAsia" w:ascii="宋体" w:hAnsi="宋体" w:cs="宋体"/>
                <w:b/>
                <w:color w:val="auto"/>
                <w:szCs w:val="21"/>
                <w:highlight w:val="none"/>
              </w:rPr>
              <w:t>履约保证金金额（人民币）：</w:t>
            </w:r>
            <w:r>
              <w:rPr>
                <w:rFonts w:hint="eastAsia" w:ascii="宋体" w:hAnsi="宋体" w:cs="宋体"/>
                <w:bCs/>
                <w:color w:val="auto"/>
                <w:szCs w:val="21"/>
                <w:highlight w:val="none"/>
                <w:lang w:val="en-US" w:eastAsia="zh-CN"/>
              </w:rPr>
              <w:t>一年</w:t>
            </w:r>
            <w:r>
              <w:rPr>
                <w:rFonts w:hint="eastAsia" w:ascii="宋体" w:hAnsi="宋体" w:cs="宋体"/>
                <w:bCs/>
                <w:color w:val="auto"/>
                <w:szCs w:val="21"/>
                <w:highlight w:val="none"/>
              </w:rPr>
              <w:t>合同价的5%；</w:t>
            </w:r>
          </w:p>
          <w:p>
            <w:pPr>
              <w:adjustRightInd w:val="0"/>
              <w:snapToGrid w:val="0"/>
              <w:spacing w:line="420" w:lineRule="exact"/>
              <w:rPr>
                <w:rFonts w:hint="eastAsia" w:ascii="宋体" w:hAnsi="宋体" w:cs="宋体"/>
                <w:bCs/>
                <w:color w:val="auto"/>
                <w:szCs w:val="21"/>
                <w:highlight w:val="none"/>
              </w:rPr>
            </w:pPr>
            <w:r>
              <w:rPr>
                <w:rFonts w:hint="eastAsia" w:ascii="宋体" w:hAnsi="宋体" w:cs="宋体"/>
                <w:b/>
                <w:color w:val="auto"/>
                <w:szCs w:val="21"/>
                <w:highlight w:val="none"/>
              </w:rPr>
              <w:t>履约保证金形式：</w:t>
            </w:r>
            <w:r>
              <w:rPr>
                <w:rFonts w:hint="eastAsia" w:ascii="宋体" w:hAnsi="宋体" w:cs="宋体"/>
                <w:color w:val="auto"/>
                <w:szCs w:val="21"/>
                <w:highlight w:val="none"/>
              </w:rPr>
              <w:t>银行汇票（电汇）、支票等招标人认可的非现金形式</w:t>
            </w:r>
            <w:r>
              <w:rPr>
                <w:rFonts w:hint="eastAsia" w:ascii="宋体" w:hAnsi="宋体" w:cs="宋体"/>
                <w:bCs/>
                <w:color w:val="auto"/>
                <w:szCs w:val="21"/>
                <w:highlight w:val="none"/>
              </w:rPr>
              <w:t>；</w:t>
            </w:r>
          </w:p>
          <w:p>
            <w:pPr>
              <w:adjustRightInd w:val="0"/>
              <w:snapToGrid w:val="0"/>
              <w:spacing w:line="420" w:lineRule="exact"/>
              <w:rPr>
                <w:rFonts w:hint="eastAsia" w:ascii="宋体" w:hAnsi="宋体" w:cs="宋体"/>
                <w:b/>
                <w:color w:val="auto"/>
                <w:szCs w:val="21"/>
                <w:highlight w:val="none"/>
              </w:rPr>
            </w:pPr>
            <w:r>
              <w:rPr>
                <w:rFonts w:hint="eastAsia" w:ascii="宋体" w:hAnsi="宋体" w:cs="宋体"/>
                <w:b/>
                <w:color w:val="auto"/>
                <w:szCs w:val="21"/>
                <w:highlight w:val="none"/>
              </w:rPr>
              <w:t>提交时间：</w:t>
            </w:r>
            <w:r>
              <w:rPr>
                <w:rFonts w:hint="eastAsia" w:ascii="宋体" w:hAnsi="宋体" w:cs="宋体"/>
                <w:bCs/>
                <w:color w:val="auto"/>
                <w:szCs w:val="21"/>
                <w:highlight w:val="none"/>
              </w:rPr>
              <w:t>合同签订后10个工作日内；</w:t>
            </w:r>
          </w:p>
          <w:p>
            <w:pPr>
              <w:adjustRightInd w:val="0"/>
              <w:snapToGrid w:val="0"/>
              <w:spacing w:line="420" w:lineRule="exact"/>
              <w:rPr>
                <w:rFonts w:hint="eastAsia" w:ascii="宋体" w:hAnsi="宋体" w:cs="宋体"/>
                <w:b/>
                <w:color w:val="auto"/>
                <w:szCs w:val="21"/>
                <w:highlight w:val="none"/>
              </w:rPr>
            </w:pPr>
            <w:r>
              <w:rPr>
                <w:rFonts w:hint="eastAsia" w:ascii="宋体" w:hAnsi="宋体" w:cs="宋体"/>
                <w:b/>
                <w:color w:val="auto"/>
                <w:szCs w:val="21"/>
                <w:highlight w:val="none"/>
              </w:rPr>
              <w:t>履约保证金的退还：</w:t>
            </w:r>
            <w:r>
              <w:rPr>
                <w:rFonts w:hint="eastAsia" w:ascii="宋体" w:hAnsi="宋体" w:cs="宋体"/>
                <w:bCs/>
                <w:color w:val="auto"/>
                <w:szCs w:val="21"/>
                <w:highlight w:val="none"/>
              </w:rPr>
              <w:t>合同</w:t>
            </w:r>
            <w:r>
              <w:rPr>
                <w:rFonts w:hint="eastAsia" w:ascii="宋体" w:hAnsi="宋体" w:cs="宋体"/>
                <w:bCs/>
                <w:color w:val="auto"/>
                <w:szCs w:val="21"/>
                <w:highlight w:val="none"/>
                <w:lang w:val="en-US" w:eastAsia="zh-CN"/>
              </w:rPr>
              <w:t>履行</w:t>
            </w:r>
            <w:r>
              <w:rPr>
                <w:rFonts w:hint="eastAsia" w:ascii="宋体" w:hAnsi="宋体" w:cs="宋体"/>
                <w:bCs/>
                <w:color w:val="auto"/>
                <w:szCs w:val="21"/>
                <w:highlight w:val="none"/>
              </w:rPr>
              <w:t>结束后30日内无息退还，但如中标人未履行或未完全履行合同规定的任何义务，给采购人造成损失的，采购人有权在其提交的履约保证金中获得相应赔偿，不足部分采购人有权继续向中标人追偿。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84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hint="eastAsia" w:ascii="宋体" w:hAnsi="宋体" w:cs="宋体"/>
                <w:color w:val="auto"/>
                <w:szCs w:val="21"/>
                <w:highlight w:val="none"/>
              </w:rPr>
            </w:pPr>
            <w:r>
              <w:rPr>
                <w:rFonts w:hint="eastAsia" w:ascii="宋体" w:hAnsi="宋体" w:cs="宋体"/>
                <w:b/>
                <w:color w:val="auto"/>
                <w:szCs w:val="21"/>
                <w:highlight w:val="none"/>
              </w:rPr>
              <w:t>采购资金来源：</w:t>
            </w:r>
            <w:r>
              <w:rPr>
                <w:rFonts w:hint="eastAsia" w:ascii="宋体" w:hAnsi="宋体" w:cs="宋体"/>
                <w:color w:val="auto"/>
                <w:szCs w:val="21"/>
                <w:highlight w:val="none"/>
              </w:rPr>
              <w:t>预算资金，已落实。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14</w:t>
            </w:r>
          </w:p>
        </w:tc>
        <w:tc>
          <w:tcPr>
            <w:tcW w:w="84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hint="eastAsia" w:ascii="宋体" w:hAnsi="宋体" w:eastAsia="宋体" w:cs="宋体"/>
                <w:bCs/>
                <w:color w:val="auto"/>
                <w:szCs w:val="21"/>
                <w:highlight w:val="none"/>
              </w:rPr>
            </w:pPr>
            <w:r>
              <w:rPr>
                <w:rFonts w:hint="eastAsia" w:ascii="宋体" w:hAnsi="宋体" w:cs="宋体"/>
                <w:b/>
                <w:bCs/>
                <w:color w:val="auto"/>
                <w:szCs w:val="21"/>
                <w:highlight w:val="none"/>
              </w:rPr>
              <w:t>付款方法：</w:t>
            </w:r>
            <w:r>
              <w:rPr>
                <w:rFonts w:hint="eastAsia" w:ascii="宋体" w:hAnsi="宋体" w:eastAsia="宋体" w:cs="宋体"/>
                <w:bCs/>
                <w:color w:val="auto"/>
                <w:szCs w:val="21"/>
                <w:highlight w:val="none"/>
              </w:rPr>
              <w:t>1、按季支付；</w:t>
            </w:r>
          </w:p>
          <w:p>
            <w:pPr>
              <w:adjustRightInd w:val="0"/>
              <w:snapToGrid w:val="0"/>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2、当月服务经费与该月度考核结果挂钩，当月服务经费=年度总费用/12-该月度考核扣款。</w:t>
            </w:r>
          </w:p>
          <w:p>
            <w:pPr>
              <w:adjustRightInd w:val="0"/>
              <w:snapToGrid w:val="0"/>
              <w:spacing w:line="420" w:lineRule="exact"/>
              <w:rPr>
                <w:rFonts w:hint="eastAsia" w:ascii="宋体" w:hAnsi="宋体" w:cs="宋体"/>
                <w:b/>
                <w:color w:val="auto"/>
                <w:szCs w:val="21"/>
                <w:highlight w:val="none"/>
              </w:rPr>
            </w:pPr>
            <w:r>
              <w:rPr>
                <w:rFonts w:hint="eastAsia" w:ascii="宋体" w:hAnsi="宋体" w:eastAsia="宋体" w:cs="宋体"/>
                <w:bCs/>
                <w:color w:val="auto"/>
                <w:szCs w:val="21"/>
                <w:highlight w:val="none"/>
              </w:rPr>
              <w:t>3、采购人于次月5日前向中标人通知上月度考核结果及相应扣款，中标人于5个工作日内，向采购人提交该月服务经费的等额发票，采购人收到发票后，核拨经费</w:t>
            </w:r>
            <w:r>
              <w:rPr>
                <w:rFonts w:hint="eastAsia" w:ascii="宋体" w:hAnsi="宋体" w:eastAsia="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Cs/>
                <w:color w:val="auto"/>
                <w:szCs w:val="21"/>
                <w:highlight w:val="none"/>
              </w:rPr>
              <w:t>15</w:t>
            </w:r>
          </w:p>
        </w:tc>
        <w:tc>
          <w:tcPr>
            <w:tcW w:w="8486" w:type="dxa"/>
            <w:tcBorders>
              <w:top w:val="single" w:color="auto" w:sz="4" w:space="0"/>
              <w:left w:val="single" w:color="auto" w:sz="4" w:space="0"/>
              <w:bottom w:val="single" w:color="auto" w:sz="4" w:space="0"/>
              <w:right w:val="single" w:color="auto" w:sz="4" w:space="0"/>
            </w:tcBorders>
            <w:noWrap w:val="0"/>
            <w:vAlign w:val="center"/>
          </w:tcPr>
          <w:p>
            <w:pPr>
              <w:pStyle w:val="16"/>
              <w:adjustRightInd w:val="0"/>
              <w:snapToGrid w:val="0"/>
              <w:spacing w:before="0" w:beforeAutospacing="0" w:after="0" w:afterAutospacing="0" w:line="460" w:lineRule="exact"/>
              <w:rPr>
                <w:rFonts w:hint="eastAsia" w:ascii="宋体" w:hAnsi="宋体" w:cs="宋体"/>
                <w:b/>
                <w:color w:val="auto"/>
                <w:szCs w:val="21"/>
                <w:highlight w:val="none"/>
              </w:rPr>
            </w:pPr>
            <w:r>
              <w:rPr>
                <w:rFonts w:hint="eastAsia" w:ascii="宋体" w:hAnsi="宋体" w:eastAsia="宋体" w:cs="宋体"/>
                <w:b/>
                <w:bCs/>
                <w:color w:val="auto"/>
                <w:kern w:val="2"/>
                <w:sz w:val="21"/>
                <w:szCs w:val="21"/>
                <w:highlight w:val="none"/>
                <w:lang w:val="en-US" w:eastAsia="zh-CN" w:bidi="ar-SA"/>
              </w:rPr>
              <w:t>服务期限：</w:t>
            </w:r>
            <w:r>
              <w:rPr>
                <w:rFonts w:hint="eastAsia" w:ascii="宋体" w:hAnsi="宋体" w:cs="宋体"/>
                <w:color w:val="auto"/>
                <w:sz w:val="21"/>
                <w:szCs w:val="21"/>
                <w:highlight w:val="none"/>
                <w:shd w:val="clear" w:color="auto" w:fill="FFFFFF"/>
              </w:rPr>
              <w:t>合</w:t>
            </w:r>
            <w:r>
              <w:rPr>
                <w:rFonts w:hint="eastAsia" w:ascii="宋体" w:hAnsi="宋体" w:eastAsia="宋体" w:cs="宋体"/>
                <w:bCs/>
                <w:color w:val="auto"/>
                <w:kern w:val="2"/>
                <w:sz w:val="21"/>
                <w:szCs w:val="21"/>
                <w:highlight w:val="none"/>
                <w:lang w:val="en-US" w:eastAsia="zh-CN" w:bidi="ar-SA"/>
              </w:rPr>
              <w:t>同期限三年，合同一年一签，第一年自合同签订之日起1年，后续两年合同的签订将根据中标人在上一年度的合同履约情况、考核情况及财政资金审批情况决定是否续签。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1"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p>
        </w:tc>
        <w:tc>
          <w:tcPr>
            <w:tcW w:w="84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hint="eastAsia" w:ascii="宋体" w:hAnsi="宋体" w:cs="宋体"/>
                <w:b/>
                <w:color w:val="auto"/>
                <w:szCs w:val="21"/>
                <w:highlight w:val="none"/>
              </w:rPr>
            </w:pPr>
            <w:r>
              <w:rPr>
                <w:rFonts w:hint="eastAsia" w:ascii="宋体" w:hAnsi="宋体" w:cs="宋体"/>
                <w:b/>
                <w:color w:val="auto"/>
                <w:szCs w:val="21"/>
                <w:highlight w:val="none"/>
              </w:rPr>
              <w:t>招标代理服务费：</w:t>
            </w:r>
          </w:p>
          <w:p>
            <w:pPr>
              <w:adjustRightInd w:val="0"/>
              <w:snapToGrid w:val="0"/>
              <w:spacing w:line="420" w:lineRule="exact"/>
              <w:rPr>
                <w:rFonts w:hint="eastAsia" w:ascii="宋体" w:hAnsi="宋体" w:cs="宋体"/>
                <w:b/>
                <w:color w:val="auto"/>
                <w:szCs w:val="21"/>
                <w:highlight w:val="none"/>
              </w:rPr>
            </w:pPr>
            <w:r>
              <w:rPr>
                <w:rFonts w:hint="eastAsia" w:ascii="宋体" w:hAnsi="宋体" w:cs="宋体"/>
                <w:bCs/>
                <w:color w:val="auto"/>
                <w:szCs w:val="21"/>
                <w:highlight w:val="none"/>
              </w:rPr>
              <w:t>中标服务费的收取标准：</w:t>
            </w:r>
            <w:r>
              <w:rPr>
                <w:rFonts w:hint="eastAsia" w:hAnsi="宋体"/>
                <w:color w:val="auto"/>
                <w:sz w:val="21"/>
                <w:szCs w:val="21"/>
                <w:highlight w:val="none"/>
              </w:rPr>
              <w:t>代理机构参照国家发改委发改办价格[2003]857号通知和原国家计[2002]1980号文件规定的服务招标费率收费标准</w:t>
            </w:r>
            <w:r>
              <w:rPr>
                <w:rFonts w:hint="eastAsia" w:hAnsi="宋体"/>
                <w:color w:val="auto"/>
                <w:sz w:val="21"/>
                <w:szCs w:val="21"/>
                <w:highlight w:val="none"/>
                <w:lang w:val="en-US" w:eastAsia="zh-CN"/>
              </w:rPr>
              <w:t>下浮20%计取</w:t>
            </w:r>
            <w:r>
              <w:rPr>
                <w:rFonts w:hint="eastAsia" w:hAnsi="宋体"/>
                <w:color w:val="auto"/>
                <w:sz w:val="21"/>
                <w:szCs w:val="21"/>
                <w:highlight w:val="none"/>
              </w:rPr>
              <w:t>，根据</w:t>
            </w:r>
            <w:r>
              <w:rPr>
                <w:rFonts w:hint="eastAsia" w:hAnsi="宋体"/>
                <w:color w:val="auto"/>
                <w:sz w:val="21"/>
                <w:szCs w:val="21"/>
                <w:highlight w:val="none"/>
                <w:lang w:val="en-US" w:eastAsia="zh-CN"/>
              </w:rPr>
              <w:t>三年</w:t>
            </w:r>
            <w:r>
              <w:rPr>
                <w:rFonts w:hint="eastAsia" w:hAnsi="宋体"/>
                <w:color w:val="auto"/>
                <w:sz w:val="21"/>
                <w:szCs w:val="21"/>
                <w:highlight w:val="none"/>
              </w:rPr>
              <w:t>中标总金额向中标人收取中标服务费</w:t>
            </w:r>
            <w:r>
              <w:rPr>
                <w:rFonts w:hint="eastAsia" w:ascii="宋体" w:hAnsi="宋体" w:eastAsia="宋体"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p>
        </w:tc>
        <w:tc>
          <w:tcPr>
            <w:tcW w:w="84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hint="eastAsia" w:ascii="宋体" w:hAnsi="宋体" w:cs="宋体"/>
                <w:b/>
                <w:color w:val="auto"/>
                <w:szCs w:val="21"/>
                <w:highlight w:val="none"/>
              </w:rPr>
            </w:pPr>
            <w:r>
              <w:rPr>
                <w:rFonts w:hint="eastAsia" w:ascii="宋体" w:hAnsi="宋体" w:cs="宋体"/>
                <w:bCs/>
                <w:color w:val="auto"/>
                <w:szCs w:val="21"/>
                <w:highlight w:val="none"/>
              </w:rPr>
              <w:t>根据浙财采购监字</w:t>
            </w:r>
            <w:r>
              <w:rPr>
                <w:rFonts w:hint="eastAsia" w:ascii="宋体" w:hAnsi="宋体" w:cs="宋体"/>
                <w:color w:val="auto"/>
                <w:szCs w:val="21"/>
                <w:highlight w:val="none"/>
                <w:shd w:val="clear" w:color="auto" w:fill="FFFFFF"/>
              </w:rPr>
              <w:t>〔2009〕</w:t>
            </w:r>
            <w:r>
              <w:rPr>
                <w:rFonts w:hint="eastAsia" w:ascii="宋体" w:hAnsi="宋体" w:cs="宋体"/>
                <w:bCs/>
                <w:color w:val="auto"/>
                <w:szCs w:val="21"/>
                <w:highlight w:val="none"/>
              </w:rPr>
              <w:t>28号文《浙江省财政厅关于印发浙江省政府采购投标人注册及诚信管理暂行办法的通知》的要求，凡参加投标的投标人应于投标前到“浙江政府采购网（zfcg.czt.zj.gov.cn）”上进行投标人注册申请，并通过财政部门的终审后登记加入到“浙江省政府采购投标人库”。中标或成交投标人必须注册并登记加入“浙江省政府采购投标人库”。具体要求及注册申请流程详见《浙江省政府采购投标人注册及诚信管理暂行办法》（浙财采监字</w:t>
            </w:r>
            <w:r>
              <w:rPr>
                <w:rFonts w:hint="eastAsia" w:ascii="宋体" w:hAnsi="宋体" w:cs="宋体"/>
                <w:color w:val="auto"/>
                <w:szCs w:val="21"/>
                <w:highlight w:val="none"/>
                <w:shd w:val="clear" w:color="auto" w:fill="FFFFFF"/>
              </w:rPr>
              <w:t>〔2009〕</w:t>
            </w:r>
            <w:r>
              <w:rPr>
                <w:rFonts w:hint="eastAsia" w:ascii="宋体" w:hAnsi="宋体" w:cs="宋体"/>
                <w:bCs/>
                <w:color w:val="auto"/>
                <w:szCs w:val="21"/>
                <w:highlight w:val="none"/>
              </w:rPr>
              <w:t>28号）和浙江政府采购网“网上办事指南”的“投标人注册申请”。</w:t>
            </w:r>
          </w:p>
        </w:tc>
      </w:tr>
    </w:tbl>
    <w:p>
      <w:pPr>
        <w:snapToGrid w:val="0"/>
        <w:spacing w:line="440" w:lineRule="exact"/>
        <w:rPr>
          <w:rFonts w:hint="eastAsia" w:ascii="宋体" w:hAnsi="宋体" w:cs="宋体"/>
          <w:color w:val="auto"/>
          <w:szCs w:val="21"/>
          <w:highlight w:val="none"/>
        </w:rPr>
      </w:pPr>
    </w:p>
    <w:p>
      <w:pPr>
        <w:pStyle w:val="4"/>
        <w:snapToGrid w:val="0"/>
        <w:spacing w:before="0" w:after="0" w:line="440" w:lineRule="exact"/>
        <w:rPr>
          <w:rFonts w:hint="eastAsia" w:ascii="宋体" w:hAnsi="宋体" w:cs="宋体"/>
          <w:color w:val="auto"/>
          <w:sz w:val="24"/>
          <w:szCs w:val="24"/>
          <w:highlight w:val="none"/>
        </w:rPr>
      </w:pPr>
      <w:bookmarkStart w:id="11" w:name="_Toc6500"/>
      <w:bookmarkStart w:id="12" w:name="_Toc61965563"/>
      <w:bookmarkStart w:id="13" w:name="_Toc8408"/>
      <w:bookmarkStart w:id="14" w:name="_Toc15961"/>
      <w:bookmarkStart w:id="15" w:name="_Toc31199"/>
      <w:r>
        <w:rPr>
          <w:rFonts w:hint="eastAsia" w:ascii="宋体" w:hAnsi="宋体" w:cs="宋体"/>
          <w:color w:val="auto"/>
          <w:sz w:val="24"/>
          <w:szCs w:val="24"/>
          <w:highlight w:val="none"/>
        </w:rPr>
        <w:t>第三章  投标人须知</w:t>
      </w:r>
      <w:bookmarkEnd w:id="11"/>
      <w:bookmarkEnd w:id="12"/>
      <w:bookmarkEnd w:id="13"/>
      <w:bookmarkEnd w:id="14"/>
      <w:bookmarkEnd w:id="15"/>
    </w:p>
    <w:p>
      <w:pPr>
        <w:pStyle w:val="5"/>
        <w:snapToGrid w:val="0"/>
        <w:spacing w:before="0" w:after="0" w:line="440" w:lineRule="exact"/>
        <w:rPr>
          <w:rFonts w:hint="eastAsia" w:ascii="宋体" w:hAnsi="宋体" w:eastAsia="宋体" w:cs="宋体"/>
          <w:color w:val="auto"/>
          <w:sz w:val="21"/>
          <w:szCs w:val="21"/>
          <w:highlight w:val="none"/>
        </w:rPr>
      </w:pPr>
      <w:bookmarkStart w:id="16" w:name="_Toc10469"/>
      <w:bookmarkStart w:id="17" w:name="_Toc10473"/>
      <w:r>
        <w:rPr>
          <w:rFonts w:hint="eastAsia" w:ascii="宋体" w:hAnsi="宋体" w:eastAsia="宋体" w:cs="宋体"/>
          <w:color w:val="auto"/>
          <w:sz w:val="21"/>
          <w:szCs w:val="21"/>
          <w:highlight w:val="none"/>
        </w:rPr>
        <w:t>一、总则</w:t>
      </w:r>
      <w:bookmarkEnd w:id="16"/>
      <w:bookmarkEnd w:id="17"/>
    </w:p>
    <w:p>
      <w:pPr>
        <w:pStyle w:val="6"/>
        <w:snapToGrid w:val="0"/>
        <w:spacing w:before="0" w:after="0" w:line="440" w:lineRule="exact"/>
        <w:jc w:val="both"/>
        <w:rPr>
          <w:rFonts w:hint="eastAsia" w:ascii="宋体" w:hAnsi="宋体" w:cs="宋体"/>
          <w:color w:val="auto"/>
          <w:sz w:val="21"/>
          <w:szCs w:val="21"/>
          <w:highlight w:val="none"/>
        </w:rPr>
      </w:pPr>
      <w:bookmarkStart w:id="18" w:name="_Toc4585"/>
      <w:bookmarkStart w:id="19" w:name="_Toc29096"/>
      <w:r>
        <w:rPr>
          <w:rFonts w:hint="eastAsia" w:ascii="宋体" w:hAnsi="宋体" w:cs="宋体"/>
          <w:color w:val="auto"/>
          <w:sz w:val="21"/>
          <w:szCs w:val="21"/>
          <w:highlight w:val="none"/>
        </w:rPr>
        <w:t>（一）适用范围</w:t>
      </w:r>
      <w:bookmarkEnd w:id="18"/>
      <w:bookmarkEnd w:id="19"/>
    </w:p>
    <w:p>
      <w:pPr>
        <w:pStyle w:val="11"/>
        <w:snapToGrid w:val="0"/>
        <w:spacing w:before="0" w:beforeLines="0" w:after="0" w:afterLines="0" w:line="4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本招标文件适用于</w:t>
      </w:r>
      <w:r>
        <w:rPr>
          <w:rFonts w:hint="eastAsia" w:hAnsi="宋体" w:cs="宋体"/>
          <w:b/>
          <w:bCs/>
          <w:color w:val="auto"/>
          <w:sz w:val="21"/>
          <w:szCs w:val="21"/>
          <w:highlight w:val="none"/>
          <w:u w:val="single"/>
          <w:lang w:eastAsia="zh-CN"/>
        </w:rPr>
        <w:t>潘火街道中小学（幼儿园）保安服务项目</w:t>
      </w:r>
      <w:r>
        <w:rPr>
          <w:rFonts w:hint="eastAsia" w:hAnsi="宋体" w:cs="宋体"/>
          <w:b/>
          <w:bCs/>
          <w:color w:val="auto"/>
          <w:sz w:val="21"/>
          <w:szCs w:val="21"/>
          <w:highlight w:val="none"/>
          <w:u w:val="single"/>
        </w:rPr>
        <w:t xml:space="preserve"> </w:t>
      </w:r>
      <w:r>
        <w:rPr>
          <w:rFonts w:hint="eastAsia" w:hAnsi="宋体" w:cs="宋体"/>
          <w:color w:val="auto"/>
          <w:sz w:val="21"/>
          <w:szCs w:val="21"/>
          <w:highlight w:val="none"/>
        </w:rPr>
        <w:t>的招标、投标、评标、定标、验收、合同履约、付款等行为（法律、法规另有规定的，从其规定）。</w:t>
      </w:r>
    </w:p>
    <w:p>
      <w:pPr>
        <w:pStyle w:val="6"/>
        <w:snapToGrid w:val="0"/>
        <w:spacing w:before="0" w:after="0" w:line="440" w:lineRule="exact"/>
        <w:jc w:val="both"/>
        <w:rPr>
          <w:rFonts w:hint="eastAsia" w:ascii="宋体" w:hAnsi="宋体" w:cs="宋体"/>
          <w:color w:val="auto"/>
          <w:sz w:val="21"/>
          <w:szCs w:val="21"/>
          <w:highlight w:val="none"/>
        </w:rPr>
      </w:pPr>
      <w:bookmarkStart w:id="20" w:name="_Toc990"/>
      <w:bookmarkStart w:id="21" w:name="_Toc15890"/>
      <w:bookmarkStart w:id="22" w:name="_Toc463726785"/>
      <w:r>
        <w:rPr>
          <w:rFonts w:hint="eastAsia" w:ascii="宋体" w:hAnsi="宋体" w:cs="宋体"/>
          <w:color w:val="auto"/>
          <w:sz w:val="21"/>
          <w:szCs w:val="21"/>
          <w:highlight w:val="none"/>
        </w:rPr>
        <w:t>（二）定义</w:t>
      </w:r>
      <w:bookmarkEnd w:id="20"/>
      <w:bookmarkEnd w:id="21"/>
      <w:bookmarkEnd w:id="22"/>
    </w:p>
    <w:p>
      <w:pPr>
        <w:pStyle w:val="11"/>
        <w:snapToGrid w:val="0"/>
        <w:spacing w:before="0" w:beforeLines="0" w:after="0" w:afterLines="0" w:line="4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1．“采购单位”系指组织本次招</w:t>
      </w:r>
      <w:r>
        <w:rPr>
          <w:rFonts w:hint="eastAsia" w:hAnsi="宋体" w:cs="宋体"/>
          <w:bCs/>
          <w:color w:val="auto"/>
          <w:sz w:val="21"/>
          <w:szCs w:val="21"/>
          <w:highlight w:val="none"/>
        </w:rPr>
        <w:t>标的</w:t>
      </w:r>
      <w:r>
        <w:rPr>
          <w:rFonts w:hint="eastAsia" w:hAnsi="宋体" w:cs="宋体"/>
          <w:b/>
          <w:bCs/>
          <w:color w:val="auto"/>
          <w:sz w:val="21"/>
          <w:szCs w:val="21"/>
          <w:highlight w:val="none"/>
        </w:rPr>
        <w:t>“</w:t>
      </w:r>
      <w:r>
        <w:rPr>
          <w:rFonts w:hint="eastAsia" w:hAnsi="宋体" w:cs="宋体"/>
          <w:b/>
          <w:bCs/>
          <w:color w:val="auto"/>
          <w:sz w:val="21"/>
          <w:szCs w:val="21"/>
          <w:highlight w:val="none"/>
          <w:lang w:eastAsia="zh-CN"/>
        </w:rPr>
        <w:t>宁波市鄞州区人民政府潘火街道办事处</w:t>
      </w:r>
      <w:r>
        <w:rPr>
          <w:rFonts w:hint="eastAsia" w:hAnsi="宋体" w:cs="宋体"/>
          <w:b/>
          <w:bCs/>
          <w:color w:val="auto"/>
          <w:sz w:val="21"/>
          <w:szCs w:val="21"/>
          <w:highlight w:val="none"/>
        </w:rPr>
        <w:t>”。</w:t>
      </w:r>
    </w:p>
    <w:p>
      <w:pPr>
        <w:pStyle w:val="11"/>
        <w:snapToGrid w:val="0"/>
        <w:spacing w:before="0" w:beforeLines="0" w:after="0" w:afterLines="0" w:line="4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2．“采购代理机构”系指组织本次招标的</w:t>
      </w:r>
      <w:r>
        <w:rPr>
          <w:rFonts w:hint="eastAsia" w:hAnsi="宋体" w:cs="宋体"/>
          <w:b/>
          <w:bCs/>
          <w:color w:val="auto"/>
          <w:sz w:val="21"/>
          <w:szCs w:val="21"/>
          <w:highlight w:val="none"/>
        </w:rPr>
        <w:t>“</w:t>
      </w:r>
      <w:r>
        <w:rPr>
          <w:rFonts w:hint="eastAsia" w:hAnsi="宋体" w:cs="宋体"/>
          <w:b/>
          <w:bCs/>
          <w:color w:val="auto"/>
          <w:sz w:val="21"/>
          <w:szCs w:val="21"/>
          <w:highlight w:val="none"/>
          <w:lang w:eastAsia="zh-CN"/>
        </w:rPr>
        <w:t>浙江金穗工程项目管理有限公司</w:t>
      </w:r>
      <w:r>
        <w:rPr>
          <w:rFonts w:hint="eastAsia" w:hAnsi="宋体" w:cs="宋体"/>
          <w:color w:val="auto"/>
          <w:sz w:val="21"/>
          <w:szCs w:val="21"/>
          <w:highlight w:val="none"/>
        </w:rPr>
        <w:t>”。</w:t>
      </w:r>
    </w:p>
    <w:p>
      <w:pPr>
        <w:pStyle w:val="11"/>
        <w:snapToGrid w:val="0"/>
        <w:spacing w:before="0" w:beforeLines="0" w:after="0" w:afterLines="0" w:line="4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3．“投标人”系指向招标采购单位提交投标文件的投标单位。</w:t>
      </w:r>
    </w:p>
    <w:p>
      <w:pPr>
        <w:pStyle w:val="11"/>
        <w:snapToGrid w:val="0"/>
        <w:spacing w:before="0" w:beforeLines="0" w:after="0" w:afterLines="0" w:line="4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4．“货物/产品”系指供方按招标文件规定，须向采购人提供的一切设备、保险、税金、备品备件、工具、手册、台账记录及其它有关技术资料和材料。</w:t>
      </w:r>
    </w:p>
    <w:p>
      <w:pPr>
        <w:pStyle w:val="11"/>
        <w:snapToGrid w:val="0"/>
        <w:spacing w:before="0" w:beforeLines="0" w:after="0" w:afterLines="0" w:line="4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5．“服务”系指招标文件规定投标人须承担的服务以及其他类似的义务；投标人应提供合格的服务，合格的服务应是在国内可合法提供的、不受第三方限制的、免受追索的、符合国家法律、法规及规章规定的。</w:t>
      </w:r>
    </w:p>
    <w:p>
      <w:pPr>
        <w:pStyle w:val="11"/>
        <w:snapToGrid w:val="0"/>
        <w:spacing w:before="0" w:beforeLines="0" w:after="0" w:afterLines="0" w:line="4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6．“项目”系指投标人按招标文件规定向采购人提供的货物/产品和服务。</w:t>
      </w:r>
    </w:p>
    <w:p>
      <w:pPr>
        <w:pStyle w:val="11"/>
        <w:snapToGrid w:val="0"/>
        <w:spacing w:before="0" w:beforeLines="0" w:after="0" w:afterLines="0" w:line="4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7．“书面形式”包括信函、传真、电报等。</w:t>
      </w:r>
    </w:p>
    <w:p>
      <w:pPr>
        <w:pStyle w:val="11"/>
        <w:snapToGrid w:val="0"/>
        <w:spacing w:before="0" w:beforeLines="0" w:after="0" w:afterLines="0" w:line="4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8．“★”系指实质性要求条款，投标人的投标对任何带“★”号的重要商务和技术条款的偏离和未作实质性响应都将直接导致无效标。</w:t>
      </w:r>
    </w:p>
    <w:p>
      <w:pPr>
        <w:pStyle w:val="6"/>
        <w:snapToGrid w:val="0"/>
        <w:spacing w:before="0" w:after="0" w:line="440" w:lineRule="exact"/>
        <w:jc w:val="both"/>
        <w:rPr>
          <w:rFonts w:hint="eastAsia" w:ascii="宋体" w:hAnsi="宋体" w:cs="宋体"/>
          <w:color w:val="auto"/>
          <w:sz w:val="21"/>
          <w:szCs w:val="21"/>
          <w:highlight w:val="none"/>
        </w:rPr>
      </w:pPr>
      <w:bookmarkStart w:id="23" w:name="_Toc463726786"/>
      <w:bookmarkStart w:id="24" w:name="_Toc17292"/>
      <w:bookmarkStart w:id="25" w:name="_Toc13997"/>
      <w:r>
        <w:rPr>
          <w:rFonts w:hint="eastAsia" w:ascii="宋体" w:hAnsi="宋体" w:cs="宋体"/>
          <w:color w:val="auto"/>
          <w:sz w:val="21"/>
          <w:szCs w:val="21"/>
          <w:highlight w:val="none"/>
        </w:rPr>
        <w:t>（三）招标方式</w:t>
      </w:r>
      <w:bookmarkEnd w:id="23"/>
      <w:bookmarkEnd w:id="24"/>
      <w:bookmarkEnd w:id="25"/>
    </w:p>
    <w:p>
      <w:pPr>
        <w:pStyle w:val="11"/>
        <w:snapToGrid w:val="0"/>
        <w:spacing w:before="0" w:beforeLines="0" w:after="0" w:afterLines="0" w:line="440" w:lineRule="exact"/>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本次招标采用公开招标方式进行。</w:t>
      </w:r>
    </w:p>
    <w:p>
      <w:pPr>
        <w:pStyle w:val="6"/>
        <w:snapToGrid w:val="0"/>
        <w:spacing w:before="0" w:after="0" w:line="440" w:lineRule="exact"/>
        <w:jc w:val="both"/>
        <w:rPr>
          <w:rFonts w:hint="eastAsia" w:ascii="宋体" w:hAnsi="宋体" w:cs="宋体"/>
          <w:color w:val="auto"/>
          <w:sz w:val="21"/>
          <w:szCs w:val="21"/>
          <w:highlight w:val="none"/>
        </w:rPr>
      </w:pPr>
      <w:bookmarkStart w:id="26" w:name="_Toc5400"/>
      <w:bookmarkStart w:id="27" w:name="_Toc463726787"/>
      <w:bookmarkStart w:id="28" w:name="_Toc5871"/>
      <w:r>
        <w:rPr>
          <w:rFonts w:hint="eastAsia" w:ascii="宋体" w:hAnsi="宋体" w:cs="宋体"/>
          <w:color w:val="auto"/>
          <w:sz w:val="21"/>
          <w:szCs w:val="21"/>
          <w:highlight w:val="none"/>
        </w:rPr>
        <w:t>（四）投标委托</w:t>
      </w:r>
      <w:bookmarkEnd w:id="26"/>
      <w:bookmarkEnd w:id="27"/>
      <w:bookmarkEnd w:id="28"/>
    </w:p>
    <w:p>
      <w:pPr>
        <w:pStyle w:val="11"/>
        <w:adjustRightInd w:val="0"/>
        <w:snapToGrid w:val="0"/>
        <w:spacing w:before="0" w:beforeLines="0" w:after="0" w:afterLines="0" w:line="420" w:lineRule="exact"/>
        <w:ind w:firstLine="422" w:firstLineChars="200"/>
        <w:rPr>
          <w:rFonts w:hint="eastAsia" w:hAnsi="宋体" w:cs="宋体"/>
          <w:b/>
          <w:color w:val="auto"/>
          <w:sz w:val="21"/>
          <w:szCs w:val="21"/>
          <w:highlight w:val="none"/>
        </w:rPr>
      </w:pPr>
      <w:bookmarkStart w:id="29" w:name="_Toc11329"/>
      <w:bookmarkStart w:id="30" w:name="_Toc463726788"/>
      <w:bookmarkStart w:id="31" w:name="_Toc15299"/>
      <w:r>
        <w:rPr>
          <w:rFonts w:hint="eastAsia" w:hAnsi="宋体" w:cs="宋体"/>
          <w:b/>
          <w:color w:val="auto"/>
          <w:sz w:val="21"/>
          <w:szCs w:val="21"/>
          <w:highlight w:val="none"/>
        </w:rPr>
        <w:t>疫情期间，在完成投标文件递交和人员登记后立即离开。同时递交加盖投标人公章参与微信开标的授权人姓名、职务、手机、微信号纸质说明材料。</w:t>
      </w:r>
    </w:p>
    <w:p>
      <w:pPr>
        <w:pStyle w:val="6"/>
        <w:snapToGrid w:val="0"/>
        <w:spacing w:before="0" w:after="0" w:line="440" w:lineRule="exact"/>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（五）投标费用</w:t>
      </w:r>
      <w:bookmarkEnd w:id="29"/>
      <w:bookmarkEnd w:id="30"/>
      <w:bookmarkEnd w:id="31"/>
    </w:p>
    <w:p>
      <w:pPr>
        <w:pStyle w:val="11"/>
        <w:snapToGrid w:val="0"/>
        <w:spacing w:before="0" w:beforeLines="0" w:after="0" w:afterLines="0" w:line="4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不论投标结果如何，投标人均应自行承担所有与投标有关的全部费用。</w:t>
      </w:r>
    </w:p>
    <w:p>
      <w:pPr>
        <w:pStyle w:val="6"/>
        <w:snapToGrid w:val="0"/>
        <w:spacing w:before="0" w:after="0" w:line="440" w:lineRule="exact"/>
        <w:jc w:val="both"/>
        <w:rPr>
          <w:rFonts w:hint="eastAsia" w:ascii="宋体" w:hAnsi="宋体" w:cs="宋体"/>
          <w:color w:val="auto"/>
          <w:sz w:val="21"/>
          <w:szCs w:val="21"/>
          <w:highlight w:val="none"/>
        </w:rPr>
      </w:pPr>
      <w:bookmarkStart w:id="32" w:name="_Toc19724"/>
      <w:bookmarkStart w:id="33" w:name="_Toc20144"/>
      <w:bookmarkStart w:id="34" w:name="_Toc463726789"/>
      <w:r>
        <w:rPr>
          <w:rFonts w:hint="eastAsia" w:ascii="宋体" w:hAnsi="宋体" w:cs="宋体"/>
          <w:color w:val="auto"/>
          <w:sz w:val="21"/>
          <w:szCs w:val="21"/>
          <w:highlight w:val="none"/>
        </w:rPr>
        <w:t>（六）联合体投标</w:t>
      </w:r>
      <w:bookmarkEnd w:id="32"/>
      <w:bookmarkEnd w:id="33"/>
      <w:bookmarkEnd w:id="34"/>
    </w:p>
    <w:p>
      <w:pPr>
        <w:pStyle w:val="11"/>
        <w:snapToGrid w:val="0"/>
        <w:spacing w:before="0" w:beforeLines="0" w:after="0" w:afterLines="0" w:line="4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本项目不接受联合体投标。</w:t>
      </w:r>
    </w:p>
    <w:p>
      <w:pPr>
        <w:pStyle w:val="6"/>
        <w:snapToGrid w:val="0"/>
        <w:spacing w:before="0" w:after="0" w:line="440" w:lineRule="exact"/>
        <w:jc w:val="both"/>
        <w:rPr>
          <w:rFonts w:hint="eastAsia" w:ascii="宋体" w:hAnsi="宋体" w:cs="宋体"/>
          <w:color w:val="auto"/>
          <w:sz w:val="21"/>
          <w:szCs w:val="21"/>
          <w:highlight w:val="none"/>
        </w:rPr>
      </w:pPr>
      <w:bookmarkStart w:id="35" w:name="_Toc23253"/>
      <w:bookmarkStart w:id="36" w:name="_Toc463726790"/>
      <w:bookmarkStart w:id="37" w:name="_Toc23312"/>
      <w:r>
        <w:rPr>
          <w:rFonts w:hint="eastAsia" w:ascii="宋体" w:hAnsi="宋体" w:cs="宋体"/>
          <w:color w:val="auto"/>
          <w:sz w:val="21"/>
          <w:szCs w:val="21"/>
          <w:highlight w:val="none"/>
        </w:rPr>
        <w:t>（七）转包与分包</w:t>
      </w:r>
      <w:bookmarkEnd w:id="35"/>
      <w:bookmarkEnd w:id="36"/>
      <w:bookmarkEnd w:id="37"/>
    </w:p>
    <w:p>
      <w:pPr>
        <w:pStyle w:val="11"/>
        <w:snapToGrid w:val="0"/>
        <w:spacing w:before="0" w:beforeLines="0" w:after="0" w:afterLines="0" w:line="4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本项目不得转包，除非得到采购人的同意，否则中标人不得分包给他人。</w:t>
      </w:r>
    </w:p>
    <w:p>
      <w:pPr>
        <w:pStyle w:val="6"/>
        <w:snapToGrid w:val="0"/>
        <w:spacing w:before="0" w:after="0" w:line="440" w:lineRule="exact"/>
        <w:jc w:val="both"/>
        <w:rPr>
          <w:rFonts w:hint="eastAsia" w:ascii="宋体" w:hAnsi="宋体" w:cs="宋体"/>
          <w:color w:val="auto"/>
          <w:sz w:val="21"/>
          <w:szCs w:val="21"/>
          <w:highlight w:val="none"/>
        </w:rPr>
      </w:pPr>
      <w:bookmarkStart w:id="38" w:name="_Toc463726791"/>
      <w:bookmarkStart w:id="39" w:name="_Toc27052"/>
      <w:bookmarkStart w:id="40" w:name="_Toc6313"/>
      <w:r>
        <w:rPr>
          <w:rFonts w:hint="eastAsia" w:ascii="宋体" w:hAnsi="宋体" w:cs="宋体"/>
          <w:color w:val="auto"/>
          <w:sz w:val="21"/>
          <w:szCs w:val="21"/>
          <w:highlight w:val="none"/>
        </w:rPr>
        <w:t>（八）特别说明</w:t>
      </w:r>
      <w:bookmarkEnd w:id="38"/>
      <w:bookmarkEnd w:id="39"/>
      <w:bookmarkEnd w:id="40"/>
    </w:p>
    <w:p>
      <w:pPr>
        <w:pStyle w:val="11"/>
        <w:snapToGrid w:val="0"/>
        <w:spacing w:before="0" w:beforeLines="0" w:after="0" w:afterLines="0" w:line="440" w:lineRule="exact"/>
        <w:ind w:firstLine="420" w:firstLineChars="200"/>
        <w:rPr>
          <w:rFonts w:hint="eastAsia" w:hAnsi="宋体" w:cs="宋体"/>
          <w:b/>
          <w:color w:val="auto"/>
          <w:sz w:val="21"/>
          <w:szCs w:val="21"/>
          <w:highlight w:val="none"/>
        </w:rPr>
      </w:pPr>
      <w:r>
        <w:rPr>
          <w:rFonts w:hint="eastAsia" w:hAnsi="宋体" w:cs="宋体"/>
          <w:color w:val="auto"/>
          <w:sz w:val="21"/>
          <w:szCs w:val="21"/>
          <w:highlight w:val="none"/>
        </w:rPr>
        <w:t>★</w:t>
      </w:r>
      <w:r>
        <w:rPr>
          <w:rFonts w:hint="eastAsia" w:hAnsi="宋体" w:cs="宋体"/>
          <w:b/>
          <w:color w:val="auto"/>
          <w:sz w:val="21"/>
          <w:szCs w:val="21"/>
          <w:highlight w:val="none"/>
        </w:rPr>
        <w:t>1．投标人投标所使用的资格、信誉、荣誉、业绩与企业认证必须为本法人所拥有（招标文件允许的除外）。投标人投标所使用的采购项目实施人员必须为本法人员工（或必须为本法人或控股公司正式员工）。</w:t>
      </w:r>
    </w:p>
    <w:p>
      <w:pPr>
        <w:pStyle w:val="11"/>
        <w:snapToGrid w:val="0"/>
        <w:spacing w:before="0" w:beforeLines="0" w:after="0" w:afterLines="0" w:line="4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w:t>
      </w:r>
      <w:r>
        <w:rPr>
          <w:rFonts w:hint="eastAsia" w:hAnsi="宋体" w:cs="宋体"/>
          <w:color w:val="auto"/>
          <w:kern w:val="0"/>
          <w:sz w:val="21"/>
          <w:szCs w:val="21"/>
          <w:highlight w:val="none"/>
        </w:rPr>
        <w:t>投标人应仔细阅读招标文件的所有内容</w:t>
      </w:r>
      <w:r>
        <w:rPr>
          <w:rFonts w:hint="eastAsia" w:hAnsi="宋体" w:cs="宋体"/>
          <w:color w:val="auto"/>
          <w:sz w:val="21"/>
          <w:szCs w:val="21"/>
          <w:highlight w:val="none"/>
        </w:rPr>
        <w:t>，按照招标文件的要求提交投标文件，并对所提供的全部资料的真实性承担法律责任。</w:t>
      </w:r>
    </w:p>
    <w:p>
      <w:pPr>
        <w:pStyle w:val="11"/>
        <w:snapToGrid w:val="0"/>
        <w:spacing w:before="0" w:beforeLines="0" w:after="0" w:afterLines="0" w:line="4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★3．投标人在投标活动中提供任何虚假材料，其投标无效，并报监管部门查处。</w:t>
      </w:r>
    </w:p>
    <w:p>
      <w:pPr>
        <w:pStyle w:val="6"/>
        <w:snapToGrid w:val="0"/>
        <w:spacing w:before="0" w:after="0" w:line="440" w:lineRule="exact"/>
        <w:jc w:val="both"/>
        <w:rPr>
          <w:rFonts w:hint="eastAsia" w:ascii="宋体" w:hAnsi="宋体" w:cs="宋体"/>
          <w:color w:val="auto"/>
          <w:sz w:val="21"/>
          <w:szCs w:val="21"/>
          <w:highlight w:val="none"/>
        </w:rPr>
      </w:pPr>
      <w:bookmarkStart w:id="41" w:name="_Toc24860"/>
      <w:bookmarkStart w:id="42" w:name="_Toc463726792"/>
      <w:bookmarkStart w:id="43" w:name="_Toc14980"/>
      <w:r>
        <w:rPr>
          <w:rFonts w:hint="eastAsia" w:ascii="宋体" w:hAnsi="宋体" w:cs="宋体"/>
          <w:color w:val="auto"/>
          <w:sz w:val="21"/>
          <w:szCs w:val="21"/>
          <w:highlight w:val="none"/>
        </w:rPr>
        <w:t>（九）质疑和投诉</w:t>
      </w:r>
      <w:bookmarkEnd w:id="41"/>
      <w:bookmarkEnd w:id="42"/>
      <w:bookmarkEnd w:id="43"/>
    </w:p>
    <w:p>
      <w:pPr>
        <w:pStyle w:val="11"/>
        <w:snapToGrid w:val="0"/>
        <w:spacing w:before="0" w:beforeLines="0" w:after="0" w:afterLines="0" w:line="440" w:lineRule="exact"/>
        <w:ind w:left="3" w:firstLine="415" w:firstLineChars="198"/>
        <w:rPr>
          <w:rFonts w:hint="eastAsia" w:hAnsi="宋体" w:cs="宋体"/>
          <w:color w:val="auto"/>
          <w:sz w:val="21"/>
          <w:szCs w:val="21"/>
          <w:highlight w:val="none"/>
        </w:rPr>
      </w:pPr>
      <w:r>
        <w:rPr>
          <w:rFonts w:hint="eastAsia" w:hAnsi="宋体" w:cs="宋体"/>
          <w:color w:val="auto"/>
          <w:sz w:val="21"/>
          <w:szCs w:val="21"/>
          <w:highlight w:val="none"/>
        </w:rPr>
        <w:t>1．投标人认为招标文件、招标过程或中标结果使自己的合法权益受到损害的，应当在知道或者应知其权益受到损害之日起七个工作日内，以书面形式向采购人、采购代理机构提出质疑。投标人对采购人、采购代理机构的答复不满意或者采购人、采购代理机构未在规定的时间内作出答复的，可以在答复期满后十五个工作日内向同级采购监管部门投诉。</w:t>
      </w:r>
    </w:p>
    <w:p>
      <w:pPr>
        <w:pStyle w:val="11"/>
        <w:snapToGrid w:val="0"/>
        <w:spacing w:before="0" w:beforeLines="0" w:after="0" w:afterLines="0" w:line="4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11"/>
        <w:snapToGrid w:val="0"/>
        <w:spacing w:before="0" w:beforeLines="0" w:after="0" w:afterLines="0" w:line="440" w:lineRule="exact"/>
        <w:ind w:left="823" w:leftChars="200" w:hanging="403" w:hangingChars="192"/>
        <w:rPr>
          <w:rFonts w:hint="eastAsia" w:hAnsi="宋体" w:cs="宋体"/>
          <w:color w:val="auto"/>
          <w:sz w:val="21"/>
          <w:szCs w:val="21"/>
          <w:highlight w:val="none"/>
        </w:rPr>
      </w:pPr>
      <w:r>
        <w:rPr>
          <w:rFonts w:hint="eastAsia" w:hAnsi="宋体" w:cs="宋体"/>
          <w:color w:val="auto"/>
          <w:sz w:val="21"/>
          <w:szCs w:val="21"/>
          <w:highlight w:val="none"/>
        </w:rPr>
        <w:t>3．政府采购法第五十二条规定的投标人应知其权益受到损害之日，是指：</w:t>
      </w:r>
    </w:p>
    <w:p>
      <w:pPr>
        <w:pStyle w:val="11"/>
        <w:snapToGrid w:val="0"/>
        <w:spacing w:before="0" w:beforeLines="0" w:after="0" w:afterLines="0" w:line="4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（1）对可以质疑的采购文件提出质疑的，为收到采购文件之日或者采购文件公告期限届满之日；</w:t>
      </w:r>
    </w:p>
    <w:p>
      <w:pPr>
        <w:pStyle w:val="11"/>
        <w:snapToGrid w:val="0"/>
        <w:spacing w:before="0" w:beforeLines="0" w:after="0" w:afterLines="0" w:line="4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（2）对采购过程提出质疑的，为各采购程序环节结束之日；</w:t>
      </w:r>
    </w:p>
    <w:p>
      <w:pPr>
        <w:pStyle w:val="11"/>
        <w:snapToGrid w:val="0"/>
        <w:spacing w:before="0" w:beforeLines="0" w:after="0" w:afterLines="0" w:line="4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（3）对中标或者成交结果提出质疑的，为中标或者成交结果公告期限届满之日。</w:t>
      </w:r>
    </w:p>
    <w:p>
      <w:pPr>
        <w:pStyle w:val="5"/>
        <w:snapToGrid w:val="0"/>
        <w:spacing w:before="0" w:after="0" w:line="440" w:lineRule="exact"/>
        <w:rPr>
          <w:rFonts w:hint="eastAsia" w:ascii="宋体" w:hAnsi="宋体" w:eastAsia="宋体" w:cs="宋体"/>
          <w:color w:val="auto"/>
          <w:sz w:val="21"/>
          <w:szCs w:val="21"/>
          <w:highlight w:val="none"/>
        </w:rPr>
      </w:pPr>
      <w:bookmarkStart w:id="44" w:name="_Toc7699"/>
      <w:bookmarkStart w:id="45" w:name="_Toc18365"/>
      <w:bookmarkStart w:id="46" w:name="_Toc463726793"/>
      <w:r>
        <w:rPr>
          <w:rFonts w:hint="eastAsia" w:ascii="宋体" w:hAnsi="宋体" w:eastAsia="宋体" w:cs="宋体"/>
          <w:color w:val="auto"/>
          <w:sz w:val="21"/>
          <w:szCs w:val="21"/>
          <w:highlight w:val="none"/>
        </w:rPr>
        <w:t>二、招标文件</w:t>
      </w:r>
      <w:bookmarkEnd w:id="44"/>
      <w:bookmarkEnd w:id="45"/>
      <w:bookmarkEnd w:id="46"/>
    </w:p>
    <w:p>
      <w:pPr>
        <w:pStyle w:val="6"/>
        <w:snapToGrid w:val="0"/>
        <w:spacing w:before="0" w:after="0" w:line="440" w:lineRule="exact"/>
        <w:jc w:val="both"/>
        <w:rPr>
          <w:rFonts w:hint="eastAsia" w:ascii="宋体" w:hAnsi="宋体" w:cs="宋体"/>
          <w:color w:val="auto"/>
          <w:sz w:val="21"/>
          <w:szCs w:val="21"/>
          <w:highlight w:val="none"/>
        </w:rPr>
      </w:pPr>
      <w:bookmarkStart w:id="47" w:name="_Toc18655"/>
      <w:bookmarkStart w:id="48" w:name="_Toc18067"/>
      <w:bookmarkStart w:id="49" w:name="_Toc463726794"/>
      <w:r>
        <w:rPr>
          <w:rFonts w:hint="eastAsia" w:ascii="宋体" w:hAnsi="宋体" w:cs="宋体"/>
          <w:color w:val="auto"/>
          <w:sz w:val="21"/>
          <w:szCs w:val="21"/>
          <w:highlight w:val="none"/>
        </w:rPr>
        <w:t>（一）招标文件的构成</w:t>
      </w:r>
      <w:bookmarkEnd w:id="47"/>
      <w:bookmarkEnd w:id="48"/>
      <w:bookmarkEnd w:id="49"/>
    </w:p>
    <w:p>
      <w:pPr>
        <w:pStyle w:val="11"/>
        <w:snapToGrid w:val="0"/>
        <w:spacing w:before="0" w:beforeLines="0" w:after="0" w:afterLines="0" w:line="4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本招标文件由以下部份组成：</w:t>
      </w:r>
    </w:p>
    <w:p>
      <w:pPr>
        <w:pStyle w:val="11"/>
        <w:snapToGrid w:val="0"/>
        <w:spacing w:before="0" w:beforeLines="0" w:after="0" w:afterLines="0" w:line="4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1．采购公告；</w:t>
      </w:r>
    </w:p>
    <w:p>
      <w:pPr>
        <w:pStyle w:val="11"/>
        <w:snapToGrid w:val="0"/>
        <w:spacing w:before="0" w:beforeLines="0" w:after="0" w:afterLines="0" w:line="4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2．投标资料表；</w:t>
      </w:r>
    </w:p>
    <w:p>
      <w:pPr>
        <w:pStyle w:val="11"/>
        <w:snapToGrid w:val="0"/>
        <w:spacing w:before="0" w:beforeLines="0" w:after="0" w:afterLines="0" w:line="4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3．投标人须知；</w:t>
      </w:r>
    </w:p>
    <w:p>
      <w:pPr>
        <w:pStyle w:val="11"/>
        <w:snapToGrid w:val="0"/>
        <w:spacing w:before="0" w:beforeLines="0" w:after="0" w:afterLines="0" w:line="4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4．招标需求；</w:t>
      </w:r>
    </w:p>
    <w:p>
      <w:pPr>
        <w:pStyle w:val="11"/>
        <w:snapToGrid w:val="0"/>
        <w:spacing w:before="0" w:beforeLines="0" w:after="0" w:afterLines="0" w:line="4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5．评标办法及评分标准；</w:t>
      </w:r>
    </w:p>
    <w:p>
      <w:pPr>
        <w:pStyle w:val="11"/>
        <w:snapToGrid w:val="0"/>
        <w:spacing w:before="0" w:beforeLines="0" w:after="0" w:afterLines="0" w:line="4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6．政府采购合同文本；</w:t>
      </w:r>
    </w:p>
    <w:p>
      <w:pPr>
        <w:pStyle w:val="11"/>
        <w:snapToGrid w:val="0"/>
        <w:spacing w:before="0" w:beforeLines="0" w:after="0" w:afterLines="0" w:line="4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7．投标文件格式；</w:t>
      </w:r>
    </w:p>
    <w:p>
      <w:pPr>
        <w:pStyle w:val="11"/>
        <w:snapToGrid w:val="0"/>
        <w:spacing w:before="0" w:beforeLines="0" w:after="0" w:afterLines="0" w:line="4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8．本项目招标文件的澄清、答复、修改、补充的内容。</w:t>
      </w:r>
    </w:p>
    <w:p>
      <w:pPr>
        <w:pStyle w:val="6"/>
        <w:snapToGrid w:val="0"/>
        <w:spacing w:before="0" w:after="0" w:line="440" w:lineRule="exact"/>
        <w:jc w:val="both"/>
        <w:rPr>
          <w:rFonts w:hint="eastAsia" w:ascii="宋体" w:hAnsi="宋体" w:cs="宋体"/>
          <w:color w:val="auto"/>
          <w:sz w:val="21"/>
          <w:szCs w:val="21"/>
          <w:highlight w:val="none"/>
        </w:rPr>
      </w:pPr>
      <w:bookmarkStart w:id="50" w:name="_Toc1942"/>
      <w:bookmarkStart w:id="51" w:name="_Toc463726795"/>
      <w:bookmarkStart w:id="52" w:name="_Toc4926"/>
      <w:r>
        <w:rPr>
          <w:rFonts w:hint="eastAsia" w:ascii="宋体" w:hAnsi="宋体" w:cs="宋体"/>
          <w:color w:val="auto"/>
          <w:sz w:val="21"/>
          <w:szCs w:val="21"/>
          <w:highlight w:val="none"/>
        </w:rPr>
        <w:t>（二）投标人的风险</w:t>
      </w:r>
      <w:bookmarkEnd w:id="50"/>
      <w:bookmarkEnd w:id="51"/>
      <w:bookmarkEnd w:id="52"/>
    </w:p>
    <w:p>
      <w:pPr>
        <w:pStyle w:val="11"/>
        <w:snapToGrid w:val="0"/>
        <w:spacing w:before="0" w:beforeLines="0" w:after="0" w:afterLines="0" w:line="4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投标人没有按照招标文件要求提供全部资料，或者投标人没有对招标文件在各方面作出实质性响应是投标人的风险，并可能导致其投标被拒绝。</w:t>
      </w:r>
    </w:p>
    <w:p>
      <w:pPr>
        <w:pStyle w:val="6"/>
        <w:snapToGrid w:val="0"/>
        <w:spacing w:before="0" w:after="0" w:line="440" w:lineRule="exact"/>
        <w:jc w:val="both"/>
        <w:rPr>
          <w:rFonts w:hint="eastAsia" w:ascii="宋体" w:hAnsi="宋体" w:cs="宋体"/>
          <w:color w:val="auto"/>
          <w:sz w:val="21"/>
          <w:szCs w:val="21"/>
          <w:highlight w:val="none"/>
        </w:rPr>
      </w:pPr>
      <w:bookmarkStart w:id="53" w:name="_Toc23467"/>
      <w:bookmarkStart w:id="54" w:name="_Toc463726796"/>
      <w:bookmarkStart w:id="55" w:name="_Toc8588"/>
      <w:r>
        <w:rPr>
          <w:rFonts w:hint="eastAsia" w:ascii="宋体" w:hAnsi="宋体" w:cs="宋体"/>
          <w:color w:val="auto"/>
          <w:sz w:val="21"/>
          <w:szCs w:val="21"/>
          <w:highlight w:val="none"/>
        </w:rPr>
        <w:t>（三）招标文件的澄清与修改</w:t>
      </w:r>
      <w:bookmarkEnd w:id="53"/>
      <w:bookmarkEnd w:id="54"/>
      <w:bookmarkEnd w:id="55"/>
    </w:p>
    <w:p>
      <w:pPr>
        <w:pStyle w:val="11"/>
        <w:snapToGrid w:val="0"/>
        <w:spacing w:before="0" w:beforeLines="0" w:after="0" w:afterLines="0" w:line="440" w:lineRule="exact"/>
        <w:ind w:left="3" w:firstLine="415" w:firstLineChars="198"/>
        <w:rPr>
          <w:rFonts w:hint="eastAsia" w:hAnsi="宋体" w:cs="宋体"/>
          <w:color w:val="auto"/>
          <w:sz w:val="21"/>
          <w:szCs w:val="21"/>
          <w:highlight w:val="none"/>
        </w:rPr>
      </w:pPr>
      <w:r>
        <w:rPr>
          <w:rFonts w:hint="eastAsia" w:hAnsi="宋体" w:cs="宋体"/>
          <w:color w:val="auto"/>
          <w:sz w:val="21"/>
          <w:szCs w:val="21"/>
          <w:highlight w:val="none"/>
        </w:rPr>
        <w:t>1．采购单位、采购代理机构对已发出的招标文件进行必要的澄清或者修改时，澄清或者修改的内容可能影响投标文件编制的，将在招标公告规定的投标截止时间十五日前，以书面形式或在规定信息发布网站上通知所有已获取招标文件的潜在投标人，并要求潜在投标人进行传真或书面确认澄清和修改已收悉，澄清和修改的内容作为招标文件的组成部分。采购人或招标代理机构根据实际情况，延长投标截止时间的，在投标截止时间三日前告知所有已获取招标文件的潜在投标人，并要求回执确认。</w:t>
      </w:r>
    </w:p>
    <w:p>
      <w:pPr>
        <w:pStyle w:val="11"/>
        <w:snapToGrid w:val="0"/>
        <w:spacing w:before="0" w:beforeLines="0" w:after="0" w:afterLines="0" w:line="440" w:lineRule="exact"/>
        <w:ind w:left="3" w:firstLine="415" w:firstLineChars="198"/>
        <w:rPr>
          <w:rFonts w:hint="eastAsia" w:hAnsi="宋体" w:cs="宋体"/>
          <w:color w:val="auto"/>
          <w:sz w:val="21"/>
          <w:szCs w:val="21"/>
          <w:highlight w:val="none"/>
        </w:rPr>
      </w:pPr>
      <w:r>
        <w:rPr>
          <w:rFonts w:hint="eastAsia" w:hAnsi="宋体" w:cs="宋体"/>
          <w:color w:val="auto"/>
          <w:sz w:val="21"/>
          <w:szCs w:val="21"/>
          <w:highlight w:val="none"/>
        </w:rPr>
        <w:t>2．招标文件澄清、答复、修改、补充的内容为招标文件的组成部分。当招标文件与招标文件的答复、澄清、修改、补充通知就同一内容的表述不一致时，以最后发出的书面文件为准。</w:t>
      </w:r>
    </w:p>
    <w:p>
      <w:pPr>
        <w:pStyle w:val="11"/>
        <w:snapToGrid w:val="0"/>
        <w:spacing w:before="0" w:beforeLines="0" w:after="0" w:afterLines="0" w:line="440" w:lineRule="exact"/>
        <w:ind w:left="3" w:firstLine="415" w:firstLineChars="198"/>
        <w:rPr>
          <w:rFonts w:hint="eastAsia" w:hAnsi="宋体" w:cs="宋体"/>
          <w:color w:val="auto"/>
          <w:sz w:val="21"/>
          <w:szCs w:val="21"/>
          <w:highlight w:val="none"/>
        </w:rPr>
      </w:pPr>
      <w:r>
        <w:rPr>
          <w:rFonts w:hint="eastAsia" w:hAnsi="宋体" w:cs="宋体"/>
          <w:color w:val="auto"/>
          <w:sz w:val="21"/>
          <w:szCs w:val="21"/>
          <w:highlight w:val="none"/>
        </w:rPr>
        <w:t>3．招标文件的澄清、答复、修改或补充都应该通过本代理机构以法定形式发布，采购人非通过本机构，不得擅自澄清、答复、修改或补充招标文件。</w:t>
      </w:r>
    </w:p>
    <w:p>
      <w:pPr>
        <w:pStyle w:val="6"/>
        <w:snapToGrid w:val="0"/>
        <w:spacing w:before="0" w:after="0" w:line="440" w:lineRule="exact"/>
        <w:jc w:val="both"/>
        <w:rPr>
          <w:rFonts w:hint="eastAsia" w:ascii="宋体" w:hAnsi="宋体" w:cs="宋体"/>
          <w:color w:val="auto"/>
          <w:sz w:val="21"/>
          <w:szCs w:val="21"/>
          <w:highlight w:val="none"/>
        </w:rPr>
      </w:pPr>
      <w:bookmarkStart w:id="56" w:name="_Toc463726797"/>
      <w:bookmarkStart w:id="57" w:name="_Toc15370"/>
      <w:bookmarkStart w:id="58" w:name="_Toc13387"/>
      <w:r>
        <w:rPr>
          <w:rFonts w:hint="eastAsia" w:ascii="宋体" w:hAnsi="宋体" w:cs="宋体"/>
          <w:color w:val="auto"/>
          <w:sz w:val="21"/>
          <w:szCs w:val="21"/>
          <w:highlight w:val="none"/>
        </w:rPr>
        <w:t>（四）对招标文件的异议</w:t>
      </w:r>
      <w:bookmarkEnd w:id="56"/>
      <w:bookmarkEnd w:id="57"/>
      <w:bookmarkEnd w:id="58"/>
    </w:p>
    <w:p>
      <w:pPr>
        <w:pStyle w:val="11"/>
        <w:snapToGrid w:val="0"/>
        <w:spacing w:before="0" w:beforeLines="0" w:after="0" w:afterLines="0" w:line="440" w:lineRule="exact"/>
        <w:ind w:left="3" w:firstLine="415" w:firstLineChars="198"/>
        <w:rPr>
          <w:rFonts w:hint="eastAsia" w:hAnsi="宋体" w:cs="宋体"/>
          <w:color w:val="auto"/>
          <w:sz w:val="21"/>
          <w:szCs w:val="21"/>
          <w:highlight w:val="none"/>
        </w:rPr>
      </w:pPr>
      <w:r>
        <w:rPr>
          <w:rFonts w:hint="eastAsia" w:hAnsi="宋体" w:cs="宋体"/>
          <w:color w:val="auto"/>
          <w:sz w:val="21"/>
          <w:szCs w:val="21"/>
          <w:highlight w:val="none"/>
        </w:rPr>
        <w:t>1．已获取招标文件的潜在投标人对招标文件有异议，应知其权益受到损害之日起七个工作日内书面提出。逾期提出的将不予受理。对招标文件的异议应有法定代表人或其委托代理人签字，并盖投标人公章和注明日期。</w:t>
      </w:r>
    </w:p>
    <w:p>
      <w:pPr>
        <w:pStyle w:val="11"/>
        <w:snapToGrid w:val="0"/>
        <w:spacing w:before="0" w:beforeLines="0" w:after="0" w:afterLines="0" w:line="440" w:lineRule="exact"/>
        <w:ind w:left="3" w:firstLine="415" w:firstLineChars="198"/>
        <w:rPr>
          <w:rFonts w:hint="eastAsia" w:hAnsi="宋体" w:cs="宋体"/>
          <w:color w:val="auto"/>
          <w:sz w:val="21"/>
          <w:szCs w:val="21"/>
          <w:highlight w:val="none"/>
        </w:rPr>
      </w:pPr>
      <w:r>
        <w:rPr>
          <w:rFonts w:hint="eastAsia" w:hAnsi="宋体" w:cs="宋体"/>
          <w:color w:val="auto"/>
          <w:sz w:val="21"/>
          <w:szCs w:val="21"/>
          <w:highlight w:val="none"/>
        </w:rPr>
        <w:t>2．没有提出异议且又参与了该项目投标的投标人将被视为完全认同招标文件。</w:t>
      </w:r>
    </w:p>
    <w:p>
      <w:pPr>
        <w:pStyle w:val="5"/>
        <w:snapToGrid w:val="0"/>
        <w:spacing w:before="0" w:after="0" w:line="440" w:lineRule="exact"/>
        <w:rPr>
          <w:rFonts w:hint="eastAsia" w:ascii="宋体" w:hAnsi="宋体" w:eastAsia="宋体" w:cs="宋体"/>
          <w:color w:val="auto"/>
          <w:sz w:val="21"/>
          <w:szCs w:val="21"/>
          <w:highlight w:val="none"/>
        </w:rPr>
      </w:pPr>
      <w:bookmarkStart w:id="59" w:name="_Toc7461"/>
      <w:bookmarkStart w:id="60" w:name="_Toc463726798"/>
      <w:bookmarkStart w:id="61" w:name="_Toc13154"/>
      <w:r>
        <w:rPr>
          <w:rFonts w:hint="eastAsia" w:ascii="宋体" w:hAnsi="宋体" w:eastAsia="宋体" w:cs="宋体"/>
          <w:color w:val="auto"/>
          <w:sz w:val="21"/>
          <w:szCs w:val="21"/>
          <w:highlight w:val="none"/>
        </w:rPr>
        <w:t>三、投标文件的编制</w:t>
      </w:r>
      <w:bookmarkEnd w:id="59"/>
      <w:bookmarkEnd w:id="60"/>
      <w:bookmarkEnd w:id="61"/>
    </w:p>
    <w:p>
      <w:pPr>
        <w:snapToGrid w:val="0"/>
        <w:spacing w:line="440" w:lineRule="exact"/>
        <w:outlineLvl w:val="2"/>
        <w:rPr>
          <w:rFonts w:hint="eastAsia" w:ascii="宋体" w:hAnsi="宋体"/>
          <w:b/>
          <w:color w:val="auto"/>
          <w:szCs w:val="21"/>
          <w:highlight w:val="none"/>
        </w:rPr>
      </w:pPr>
      <w:r>
        <w:rPr>
          <w:rFonts w:hint="eastAsia" w:ascii="宋体" w:hAnsi="宋体"/>
          <w:b/>
          <w:color w:val="auto"/>
          <w:szCs w:val="21"/>
          <w:highlight w:val="none"/>
        </w:rPr>
        <w:t>（一）投标文件的形式和效力</w:t>
      </w:r>
    </w:p>
    <w:p>
      <w:pPr>
        <w:pStyle w:val="11"/>
        <w:adjustRightInd w:val="0"/>
        <w:snapToGrid w:val="0"/>
        <w:spacing w:before="0" w:beforeLines="0" w:after="0" w:afterLines="0" w:line="440" w:lineRule="exact"/>
        <w:ind w:left="3" w:firstLine="415" w:firstLineChars="198"/>
        <w:rPr>
          <w:rFonts w:hint="eastAsia" w:hAnsi="宋体" w:cs="宋体"/>
          <w:color w:val="auto"/>
          <w:sz w:val="21"/>
          <w:szCs w:val="21"/>
          <w:highlight w:val="none"/>
        </w:rPr>
      </w:pPr>
      <w:r>
        <w:rPr>
          <w:rFonts w:hint="eastAsia" w:hAnsi="宋体" w:cs="宋体"/>
          <w:color w:val="auto"/>
          <w:sz w:val="21"/>
          <w:szCs w:val="21"/>
          <w:highlight w:val="none"/>
        </w:rPr>
        <w:t>1．投标文件分为电子投标文件以及备份投标文件，备份投标文件分为以U盘存储的电子备份投标文件。</w:t>
      </w:r>
    </w:p>
    <w:p>
      <w:pPr>
        <w:pStyle w:val="11"/>
        <w:adjustRightInd w:val="0"/>
        <w:snapToGrid w:val="0"/>
        <w:spacing w:before="0" w:beforeLines="0" w:after="0" w:afterLines="0" w:line="440" w:lineRule="exact"/>
        <w:ind w:left="3" w:firstLine="415" w:firstLineChars="198"/>
        <w:rPr>
          <w:rFonts w:hint="eastAsia" w:hAnsi="宋体" w:cs="宋体"/>
          <w:color w:val="auto"/>
          <w:sz w:val="21"/>
          <w:szCs w:val="21"/>
          <w:highlight w:val="none"/>
        </w:rPr>
      </w:pPr>
      <w:r>
        <w:rPr>
          <w:rFonts w:hint="eastAsia" w:hAnsi="宋体" w:cs="宋体"/>
          <w:color w:val="auto"/>
          <w:sz w:val="21"/>
          <w:szCs w:val="21"/>
          <w:highlight w:val="none"/>
        </w:rPr>
        <w:t>2．电子投标文件，按“政采云投标人项目采购-电子招投标操作指南”及本招标文件要求制作、加密并递交。</w:t>
      </w:r>
    </w:p>
    <w:p>
      <w:pPr>
        <w:pStyle w:val="11"/>
        <w:adjustRightInd w:val="0"/>
        <w:snapToGrid w:val="0"/>
        <w:spacing w:before="0" w:beforeLines="0" w:after="0" w:afterLines="0" w:line="440" w:lineRule="exact"/>
        <w:ind w:left="3" w:firstLine="417" w:firstLineChars="198"/>
        <w:rPr>
          <w:rFonts w:hint="eastAsia" w:hAnsi="宋体" w:cs="宋体"/>
          <w:b/>
          <w:bCs/>
          <w:color w:val="auto"/>
          <w:sz w:val="21"/>
          <w:szCs w:val="21"/>
          <w:highlight w:val="none"/>
        </w:rPr>
      </w:pPr>
      <w:r>
        <w:rPr>
          <w:rFonts w:hint="eastAsia" w:hAnsi="宋体" w:cs="宋体"/>
          <w:b/>
          <w:bCs/>
          <w:color w:val="auto"/>
          <w:sz w:val="21"/>
          <w:szCs w:val="21"/>
          <w:highlight w:val="none"/>
        </w:rPr>
        <w:t>3．以U盘存储的电子备份投标文件，须按“政采云投标人项目采购-电子招投标操作指南”制作的备份文件（电子备份投标文件后缀格式为“.bfbs”）。</w:t>
      </w:r>
    </w:p>
    <w:p>
      <w:pPr>
        <w:pStyle w:val="11"/>
        <w:adjustRightInd w:val="0"/>
        <w:snapToGrid w:val="0"/>
        <w:spacing w:before="0" w:beforeLines="0" w:after="0" w:afterLines="0" w:line="440" w:lineRule="exact"/>
        <w:ind w:left="3" w:firstLine="415" w:firstLineChars="198"/>
        <w:rPr>
          <w:rFonts w:hint="eastAsia" w:hAnsi="宋体" w:cs="宋体"/>
          <w:color w:val="auto"/>
          <w:sz w:val="21"/>
          <w:szCs w:val="21"/>
          <w:highlight w:val="none"/>
        </w:rPr>
      </w:pPr>
      <w:r>
        <w:rPr>
          <w:rFonts w:hint="eastAsia" w:hAnsi="宋体" w:cs="宋体"/>
          <w:color w:val="auto"/>
          <w:sz w:val="21"/>
          <w:szCs w:val="21"/>
          <w:highlight w:val="none"/>
        </w:rPr>
        <w:t>4．投标文件的效力：</w:t>
      </w:r>
    </w:p>
    <w:p>
      <w:pPr>
        <w:pStyle w:val="11"/>
        <w:adjustRightInd w:val="0"/>
        <w:snapToGrid w:val="0"/>
        <w:spacing w:before="0" w:beforeLines="0" w:after="0" w:afterLines="0" w:line="440" w:lineRule="exact"/>
        <w:ind w:left="3" w:firstLine="417" w:firstLineChars="198"/>
        <w:rPr>
          <w:rFonts w:hint="eastAsia" w:hAnsi="宋体" w:cs="宋体"/>
          <w:color w:val="auto"/>
          <w:sz w:val="21"/>
          <w:szCs w:val="21"/>
          <w:highlight w:val="none"/>
        </w:rPr>
      </w:pPr>
      <w:r>
        <w:rPr>
          <w:rFonts w:hint="eastAsia" w:hAnsi="宋体" w:cs="宋体"/>
          <w:b/>
          <w:bCs/>
          <w:color w:val="auto"/>
          <w:sz w:val="21"/>
          <w:szCs w:val="21"/>
          <w:highlight w:val="none"/>
        </w:rPr>
        <w:t>投标文件的启用，按先后顺位分别为电子投标文件、以U盘存储的电子备份投标文件。在下一顺位的投标文件启用时，前一顺位的投标文件自动失效。</w:t>
      </w:r>
    </w:p>
    <w:p>
      <w:pPr>
        <w:adjustRightInd w:val="0"/>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电子投标文件未能按时解密，投标人提供了电子备份投标文件以电子备份投标文件作为评标依据。电子投标文件已按时解密的，电子备份投标文件自动失效。</w:t>
      </w:r>
    </w:p>
    <w:p>
      <w:pPr>
        <w:adjustRightInd w:val="0"/>
        <w:snapToGrid w:val="0"/>
        <w:spacing w:line="440" w:lineRule="exact"/>
        <w:outlineLvl w:val="2"/>
        <w:rPr>
          <w:rFonts w:hint="eastAsia" w:ascii="宋体" w:hAnsi="宋体" w:cs="宋体"/>
          <w:b/>
          <w:color w:val="auto"/>
          <w:szCs w:val="21"/>
          <w:highlight w:val="none"/>
        </w:rPr>
      </w:pPr>
      <w:r>
        <w:rPr>
          <w:rFonts w:hint="eastAsia" w:ascii="宋体" w:hAnsi="宋体" w:cs="宋体"/>
          <w:b/>
          <w:color w:val="auto"/>
          <w:szCs w:val="21"/>
          <w:highlight w:val="none"/>
        </w:rPr>
        <w:t>（二）投标文件的组成</w:t>
      </w:r>
    </w:p>
    <w:p>
      <w:pPr>
        <w:adjustRightInd w:val="0"/>
        <w:snapToGrid w:val="0"/>
        <w:spacing w:line="440" w:lineRule="exact"/>
        <w:ind w:firstLine="422" w:firstLineChars="200"/>
        <w:rPr>
          <w:rFonts w:hint="eastAsia" w:ascii="宋体" w:hAnsi="宋体" w:cs="宋体"/>
          <w:b/>
          <w:bCs/>
          <w:color w:val="auto"/>
          <w:highlight w:val="none"/>
        </w:rPr>
      </w:pPr>
      <w:r>
        <w:rPr>
          <w:rFonts w:hint="eastAsia" w:ascii="宋体" w:hAnsi="宋体" w:cs="宋体"/>
          <w:b/>
          <w:bCs/>
          <w:color w:val="auto"/>
          <w:highlight w:val="none"/>
        </w:rPr>
        <w:t>投标文件由资格文件、商务技术文件和报价文件三部分组成，分别编制，电子投标文件中所须加盖公章部分均采用CA签章。</w:t>
      </w:r>
    </w:p>
    <w:p>
      <w:pPr>
        <w:adjustRightInd w:val="0"/>
        <w:snapToGrid w:val="0"/>
        <w:spacing w:line="440" w:lineRule="exact"/>
        <w:ind w:firstLine="422" w:firstLineChars="200"/>
        <w:rPr>
          <w:rFonts w:hint="eastAsia" w:ascii="宋体" w:hAnsi="宋体" w:cs="宋体"/>
          <w:b/>
          <w:bCs/>
          <w:color w:val="auto"/>
          <w:highlight w:val="none"/>
        </w:rPr>
      </w:pPr>
      <w:r>
        <w:rPr>
          <w:rFonts w:hint="eastAsia" w:ascii="宋体" w:hAnsi="宋体" w:cs="宋体"/>
          <w:b/>
          <w:bCs/>
          <w:color w:val="auto"/>
          <w:highlight w:val="none"/>
        </w:rPr>
        <w:t>1</w:t>
      </w:r>
      <w:r>
        <w:rPr>
          <w:rFonts w:hint="eastAsia" w:ascii="宋体" w:hAnsi="宋体" w:cs="宋体"/>
          <w:b/>
          <w:color w:val="auto"/>
          <w:szCs w:val="21"/>
          <w:highlight w:val="none"/>
        </w:rPr>
        <w:t>．</w:t>
      </w:r>
      <w:r>
        <w:rPr>
          <w:rFonts w:hint="eastAsia" w:ascii="宋体" w:hAnsi="宋体" w:cs="宋体"/>
          <w:b/>
          <w:bCs/>
          <w:color w:val="auto"/>
          <w:highlight w:val="none"/>
        </w:rPr>
        <w:t>资格文件</w:t>
      </w:r>
    </w:p>
    <w:p>
      <w:pPr>
        <w:adjustRightInd w:val="0"/>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（1）符合《中华人民共和国政府采购法》第二十二条规定的投标人资格条件，提供以下材料：</w:t>
      </w:r>
    </w:p>
    <w:p>
      <w:pPr>
        <w:adjustRightInd w:val="0"/>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a、有效的企业法人营业执照（或事业法人登记证）、其他组织（个体工商户）的营业执照或者民办非企业单位登记证书复印件；</w:t>
      </w:r>
    </w:p>
    <w:p>
      <w:pPr>
        <w:adjustRightInd w:val="0"/>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b、2020年财务状况报告复印件（2020年财务状况报告尚未审计的，可提供财务报表），其他组织或投标人新成立不足一年，提供银行出具的资信证明材料复印件；</w:t>
      </w:r>
    </w:p>
    <w:p>
      <w:pPr>
        <w:adjustRightInd w:val="0"/>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c、投标人的2021年1月以来任意月份缴纳税收的凭据证明材料复印件，如依法免税的，应提供相应文件证明其依法免税；</w:t>
      </w:r>
    </w:p>
    <w:p>
      <w:pPr>
        <w:adjustRightInd w:val="0"/>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d、投标人的2021年1月以来任意月份缴纳社会保险的凭据证明材料复印件，如依法不需要缴纳社会保障资金的，应提供相应文件证明其依法不需要缴纳社会保障资金；</w:t>
      </w:r>
    </w:p>
    <w:p>
      <w:pPr>
        <w:adjustRightInd w:val="0"/>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e、提供具有履行合同所必需的设备和专业技术能力的书面声明（</w:t>
      </w:r>
      <w:r>
        <w:rPr>
          <w:rFonts w:hint="eastAsia" w:hAnsi="宋体"/>
          <w:color w:val="auto"/>
          <w:szCs w:val="21"/>
          <w:highlight w:val="none"/>
        </w:rPr>
        <w:t>见投标声明</w:t>
      </w:r>
      <w:r>
        <w:rPr>
          <w:rFonts w:hint="eastAsia" w:hAnsi="宋体"/>
          <w:color w:val="auto"/>
          <w:szCs w:val="21"/>
          <w:highlight w:val="none"/>
          <w:lang w:val="en-US" w:eastAsia="zh-CN"/>
        </w:rPr>
        <w:t>函</w:t>
      </w:r>
      <w:r>
        <w:rPr>
          <w:rFonts w:hint="eastAsia" w:ascii="宋体" w:hAnsi="宋体" w:cs="宋体"/>
          <w:color w:val="auto"/>
          <w:szCs w:val="21"/>
          <w:highlight w:val="none"/>
        </w:rPr>
        <w:t>）；</w:t>
      </w:r>
    </w:p>
    <w:p>
      <w:pPr>
        <w:adjustRightInd w:val="0"/>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f、提供参加政府采购活动前3年内在经营活动中没有重大违法记录的书面声明（</w:t>
      </w:r>
      <w:r>
        <w:rPr>
          <w:rFonts w:hint="eastAsia" w:hAnsi="宋体"/>
          <w:color w:val="auto"/>
          <w:szCs w:val="21"/>
          <w:highlight w:val="none"/>
        </w:rPr>
        <w:t>见投标声明</w:t>
      </w:r>
      <w:r>
        <w:rPr>
          <w:rFonts w:hint="eastAsia" w:hAnsi="宋体"/>
          <w:color w:val="auto"/>
          <w:szCs w:val="21"/>
          <w:highlight w:val="none"/>
          <w:lang w:val="en-US" w:eastAsia="zh-CN"/>
        </w:rPr>
        <w:t>函</w:t>
      </w:r>
      <w:r>
        <w:rPr>
          <w:rFonts w:hint="eastAsia" w:ascii="宋体" w:hAnsi="宋体" w:cs="宋体"/>
          <w:color w:val="auto"/>
          <w:szCs w:val="21"/>
          <w:highlight w:val="none"/>
        </w:rPr>
        <w:t>）。</w:t>
      </w:r>
    </w:p>
    <w:p>
      <w:pPr>
        <w:adjustRightInd w:val="0"/>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（2）投标人的特定条件的证明文件</w:t>
      </w:r>
      <w:r>
        <w:rPr>
          <w:rFonts w:hint="eastAsia" w:ascii="宋体" w:hAnsi="宋体" w:cs="宋体"/>
          <w:color w:val="auto"/>
          <w:szCs w:val="21"/>
          <w:highlight w:val="none"/>
          <w:lang w:eastAsia="zh-CN"/>
        </w:rPr>
        <w:t>，</w:t>
      </w:r>
      <w:r>
        <w:rPr>
          <w:rFonts w:hint="eastAsia" w:ascii="宋体" w:hAnsi="宋体"/>
          <w:color w:val="auto"/>
          <w:szCs w:val="21"/>
          <w:highlight w:val="none"/>
        </w:rPr>
        <w:t>投标人具有公安部门核准颁发的保安服务许可证</w:t>
      </w:r>
      <w:r>
        <w:rPr>
          <w:rFonts w:hint="eastAsia" w:ascii="宋体" w:hAnsi="宋体" w:cs="宋体"/>
          <w:color w:val="auto"/>
          <w:szCs w:val="21"/>
          <w:highlight w:val="none"/>
        </w:rPr>
        <w:t>；</w:t>
      </w:r>
    </w:p>
    <w:p>
      <w:pPr>
        <w:adjustRightInd w:val="0"/>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）其他投标人认为需要补充说明的资料特定条件。</w:t>
      </w:r>
    </w:p>
    <w:p>
      <w:pPr>
        <w:snapToGrid w:val="0"/>
        <w:spacing w:line="44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color w:val="auto"/>
          <w:szCs w:val="21"/>
          <w:highlight w:val="none"/>
        </w:rPr>
        <w:t>．</w:t>
      </w:r>
      <w:r>
        <w:rPr>
          <w:rFonts w:hint="eastAsia" w:ascii="宋体" w:hAnsi="宋体" w:cs="宋体"/>
          <w:b/>
          <w:bCs/>
          <w:color w:val="auto"/>
          <w:szCs w:val="21"/>
          <w:highlight w:val="none"/>
        </w:rPr>
        <w:t>商务技术文件</w:t>
      </w:r>
    </w:p>
    <w:p>
      <w:pPr>
        <w:adjustRightInd w:val="0"/>
        <w:snapToGrid w:val="0"/>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eastAsia="宋体" w:cs="宋体"/>
          <w:color w:val="auto"/>
          <w:szCs w:val="21"/>
          <w:highlight w:val="none"/>
        </w:rPr>
        <w:t>符合性自查表（格式见附件）；</w:t>
      </w:r>
    </w:p>
    <w:p>
      <w:pPr>
        <w:adjustRightInd w:val="0"/>
        <w:snapToGrid w:val="0"/>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rPr>
        <w:t>（2）</w:t>
      </w:r>
      <w:r>
        <w:rPr>
          <w:rFonts w:hint="eastAsia" w:ascii="宋体" w:hAnsi="宋体" w:eastAsia="宋体" w:cs="宋体"/>
          <w:color w:val="auto"/>
          <w:szCs w:val="21"/>
          <w:highlight w:val="none"/>
        </w:rPr>
        <w:t>供应商响应表（格式见附件）；</w:t>
      </w:r>
    </w:p>
    <w:p>
      <w:pPr>
        <w:adjustRightInd w:val="0"/>
        <w:snapToGrid w:val="0"/>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eastAsia="宋体" w:cs="宋体"/>
          <w:color w:val="auto"/>
          <w:szCs w:val="21"/>
          <w:highlight w:val="none"/>
        </w:rPr>
        <w:t>技术部分：针对本项目第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章</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需求及第</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章评分标准中的条款拟定各种方案，格式自拟；</w:t>
      </w:r>
    </w:p>
    <w:p>
      <w:pPr>
        <w:adjustRightInd w:val="0"/>
        <w:snapToGrid w:val="0"/>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eastAsia="宋体" w:cs="宋体"/>
          <w:color w:val="auto"/>
          <w:szCs w:val="21"/>
          <w:highlight w:val="none"/>
        </w:rPr>
        <w:t>投标函（格式见附件）；</w:t>
      </w:r>
    </w:p>
    <w:p>
      <w:pPr>
        <w:adjustRightInd w:val="0"/>
        <w:snapToGrid w:val="0"/>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eastAsia="宋体" w:cs="宋体"/>
          <w:color w:val="auto"/>
          <w:szCs w:val="21"/>
          <w:highlight w:val="none"/>
        </w:rPr>
        <w:t>法定代表人身份证明或法定代表人授权委托书（格式见附件）；</w:t>
      </w:r>
    </w:p>
    <w:p>
      <w:pPr>
        <w:adjustRightInd w:val="0"/>
        <w:snapToGrid w:val="0"/>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eastAsia="宋体" w:cs="宋体"/>
          <w:color w:val="auto"/>
          <w:szCs w:val="21"/>
          <w:highlight w:val="none"/>
        </w:rPr>
        <w:t>技术（服务）条款偏离表（格式见附件）；</w:t>
      </w:r>
      <w:r>
        <w:rPr>
          <w:rFonts w:hint="eastAsia" w:ascii="宋体" w:hAnsi="宋体" w:eastAsia="宋体" w:cs="宋体"/>
          <w:color w:val="auto"/>
          <w:szCs w:val="21"/>
          <w:highlight w:val="none"/>
        </w:rPr>
        <w:tab/>
      </w:r>
    </w:p>
    <w:p>
      <w:pPr>
        <w:adjustRightInd w:val="0"/>
        <w:snapToGrid w:val="0"/>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eastAsia="宋体" w:cs="宋体"/>
          <w:color w:val="auto"/>
          <w:szCs w:val="21"/>
          <w:highlight w:val="none"/>
        </w:rPr>
        <w:t>商务条款偏离表（格式见附件）；</w:t>
      </w:r>
    </w:p>
    <w:p>
      <w:pPr>
        <w:adjustRightInd w:val="0"/>
        <w:snapToGrid w:val="0"/>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hint="eastAsia" w:ascii="宋体" w:hAnsi="宋体" w:eastAsia="宋体" w:cs="宋体"/>
          <w:color w:val="auto"/>
          <w:szCs w:val="21"/>
          <w:highlight w:val="none"/>
        </w:rPr>
        <w:t>供应商情况一览表（格式见附件）；</w:t>
      </w:r>
    </w:p>
    <w:p>
      <w:pPr>
        <w:adjustRightInd w:val="0"/>
        <w:snapToGrid w:val="0"/>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eastAsia="宋体" w:cs="宋体"/>
          <w:color w:val="auto"/>
          <w:szCs w:val="21"/>
          <w:highlight w:val="none"/>
        </w:rPr>
        <w:t>企业业绩表（格式见附件）；</w:t>
      </w:r>
    </w:p>
    <w:p>
      <w:pPr>
        <w:adjustRightInd w:val="0"/>
        <w:snapToGrid w:val="0"/>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w:t>
      </w: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章评标办法及评分标准中需提供的其他相关证明材料复印件加盖公章；</w:t>
      </w:r>
    </w:p>
    <w:p>
      <w:pPr>
        <w:adjustRightInd w:val="0"/>
        <w:snapToGrid w:val="0"/>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w:t>
      </w:r>
      <w:r>
        <w:rPr>
          <w:rFonts w:hint="eastAsia" w:ascii="宋体" w:hAnsi="宋体" w:eastAsia="宋体" w:cs="宋体"/>
          <w:color w:val="auto"/>
          <w:szCs w:val="21"/>
          <w:highlight w:val="none"/>
        </w:rPr>
        <w:t>供应商认为有需要提供的其它证明资料。</w:t>
      </w:r>
    </w:p>
    <w:p>
      <w:pPr>
        <w:snapToGrid w:val="0"/>
        <w:spacing w:line="44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3</w:t>
      </w:r>
      <w:r>
        <w:rPr>
          <w:rFonts w:hint="eastAsia" w:ascii="宋体" w:hAnsi="宋体" w:cs="宋体"/>
          <w:b/>
          <w:color w:val="auto"/>
          <w:szCs w:val="21"/>
          <w:highlight w:val="none"/>
        </w:rPr>
        <w:t>．</w:t>
      </w:r>
      <w:r>
        <w:rPr>
          <w:rFonts w:hint="eastAsia" w:ascii="宋体" w:hAnsi="宋体" w:cs="宋体"/>
          <w:b/>
          <w:bCs/>
          <w:color w:val="auto"/>
          <w:szCs w:val="21"/>
          <w:highlight w:val="none"/>
        </w:rPr>
        <w:t>报价文件</w:t>
      </w:r>
    </w:p>
    <w:p>
      <w:pPr>
        <w:numPr>
          <w:ilvl w:val="0"/>
          <w:numId w:val="3"/>
        </w:numPr>
        <w:snapToGrid w:val="0"/>
        <w:spacing w:line="360" w:lineRule="auto"/>
        <w:ind w:left="210" w:leftChars="100"/>
        <w:rPr>
          <w:rFonts w:hint="eastAsia" w:ascii="宋体" w:hAnsi="宋体" w:cs="宋体"/>
          <w:color w:val="auto"/>
          <w:highlight w:val="none"/>
        </w:rPr>
      </w:pPr>
      <w:bookmarkStart w:id="62" w:name="_Toc25668"/>
      <w:bookmarkStart w:id="63" w:name="_Toc21932"/>
      <w:bookmarkStart w:id="64" w:name="_Toc463726800"/>
      <w:r>
        <w:rPr>
          <w:rFonts w:hint="eastAsia" w:ascii="宋体" w:hAnsi="宋体" w:cs="宋体"/>
          <w:color w:val="auto"/>
          <w:szCs w:val="21"/>
          <w:highlight w:val="none"/>
        </w:rPr>
        <w:t>开标一览表</w:t>
      </w:r>
      <w:r>
        <w:rPr>
          <w:rFonts w:hint="eastAsia" w:ascii="宋体" w:hAnsi="宋体" w:cs="宋体"/>
          <w:color w:val="auto"/>
          <w:highlight w:val="none"/>
        </w:rPr>
        <w:t>（格式见附件）；</w:t>
      </w:r>
    </w:p>
    <w:p>
      <w:pPr>
        <w:numPr>
          <w:ilvl w:val="0"/>
          <w:numId w:val="3"/>
        </w:numPr>
        <w:snapToGrid w:val="0"/>
        <w:spacing w:line="360" w:lineRule="auto"/>
        <w:ind w:left="210" w:leftChars="100"/>
        <w:rPr>
          <w:rFonts w:hint="eastAsia" w:ascii="宋体" w:hAnsi="宋体" w:cs="宋体"/>
          <w:color w:val="auto"/>
          <w:szCs w:val="21"/>
          <w:highlight w:val="none"/>
        </w:rPr>
      </w:pPr>
      <w:r>
        <w:rPr>
          <w:rFonts w:hint="eastAsia" w:ascii="宋体" w:hAnsi="宋体" w:cs="宋体"/>
          <w:color w:val="auto"/>
          <w:szCs w:val="21"/>
          <w:highlight w:val="none"/>
        </w:rPr>
        <w:t>投标分项报价表（格式见附件）</w:t>
      </w:r>
    </w:p>
    <w:p>
      <w:pPr>
        <w:numPr>
          <w:ilvl w:val="0"/>
          <w:numId w:val="3"/>
        </w:numPr>
        <w:snapToGrid w:val="0"/>
        <w:spacing w:line="360" w:lineRule="auto"/>
        <w:ind w:left="210" w:leftChars="100"/>
        <w:rPr>
          <w:rFonts w:hint="eastAsia" w:ascii="宋体" w:hAnsi="宋体" w:cs="宋体"/>
          <w:color w:val="auto"/>
          <w:szCs w:val="21"/>
          <w:highlight w:val="none"/>
        </w:rPr>
      </w:pPr>
      <w:r>
        <w:rPr>
          <w:rFonts w:hint="eastAsia" w:ascii="宋体" w:hAnsi="宋体" w:cs="宋体"/>
          <w:color w:val="auto"/>
          <w:szCs w:val="21"/>
          <w:highlight w:val="none"/>
        </w:rPr>
        <w:t>中小企业声明函（如有，</w:t>
      </w:r>
      <w:r>
        <w:rPr>
          <w:rFonts w:hint="eastAsia" w:ascii="宋体" w:hAnsi="宋体" w:cs="宋体"/>
          <w:color w:val="auto"/>
          <w:highlight w:val="none"/>
        </w:rPr>
        <w:t>格式见附件</w:t>
      </w:r>
      <w:r>
        <w:rPr>
          <w:rFonts w:hint="eastAsia" w:ascii="宋体" w:hAnsi="宋体" w:cs="宋体"/>
          <w:color w:val="auto"/>
          <w:szCs w:val="21"/>
          <w:highlight w:val="none"/>
        </w:rPr>
        <w:t>）；</w:t>
      </w:r>
    </w:p>
    <w:p>
      <w:pPr>
        <w:numPr>
          <w:ilvl w:val="0"/>
          <w:numId w:val="3"/>
        </w:numPr>
        <w:snapToGrid w:val="0"/>
        <w:spacing w:line="360" w:lineRule="auto"/>
        <w:ind w:left="210" w:leftChars="100"/>
        <w:rPr>
          <w:rFonts w:hint="eastAsia" w:ascii="宋体" w:hAnsi="宋体" w:cs="宋体"/>
          <w:color w:val="auto"/>
          <w:szCs w:val="21"/>
          <w:highlight w:val="none"/>
        </w:rPr>
      </w:pPr>
      <w:r>
        <w:rPr>
          <w:rFonts w:hint="eastAsia" w:ascii="宋体" w:hAnsi="宋体" w:cs="宋体"/>
          <w:color w:val="auto"/>
          <w:szCs w:val="21"/>
          <w:highlight w:val="none"/>
        </w:rPr>
        <w:t>残疾人福利性单位声明函（如有）（</w:t>
      </w:r>
      <w:r>
        <w:rPr>
          <w:rFonts w:hint="eastAsia" w:ascii="宋体" w:hAnsi="宋体" w:cs="宋体"/>
          <w:color w:val="auto"/>
          <w:highlight w:val="none"/>
        </w:rPr>
        <w:t>格式见附件</w:t>
      </w:r>
      <w:r>
        <w:rPr>
          <w:rFonts w:hint="eastAsia" w:ascii="宋体" w:hAnsi="宋体" w:cs="宋体"/>
          <w:color w:val="auto"/>
          <w:szCs w:val="21"/>
          <w:highlight w:val="none"/>
        </w:rPr>
        <w:t>）；</w:t>
      </w:r>
    </w:p>
    <w:p>
      <w:pPr>
        <w:numPr>
          <w:ilvl w:val="0"/>
          <w:numId w:val="3"/>
        </w:numPr>
        <w:snapToGrid w:val="0"/>
        <w:spacing w:line="360" w:lineRule="auto"/>
        <w:ind w:left="210" w:leftChars="100"/>
        <w:rPr>
          <w:rFonts w:hint="eastAsia" w:ascii="宋体" w:hAnsi="宋体" w:cs="宋体"/>
          <w:color w:val="auto"/>
          <w:szCs w:val="21"/>
          <w:highlight w:val="none"/>
        </w:rPr>
      </w:pPr>
      <w:r>
        <w:rPr>
          <w:rFonts w:hint="eastAsia" w:ascii="宋体" w:hAnsi="宋体" w:cs="宋体"/>
          <w:color w:val="auto"/>
          <w:szCs w:val="21"/>
          <w:highlight w:val="none"/>
        </w:rPr>
        <w:t>供应商针对报价需要说明的其他文件和说明（</w:t>
      </w:r>
      <w:r>
        <w:rPr>
          <w:rFonts w:hint="eastAsia" w:ascii="宋体" w:hAnsi="宋体" w:cs="宋体"/>
          <w:color w:val="auto"/>
          <w:highlight w:val="none"/>
        </w:rPr>
        <w:t>格式见附件</w:t>
      </w:r>
      <w:r>
        <w:rPr>
          <w:rFonts w:hint="eastAsia" w:ascii="宋体" w:hAnsi="宋体" w:cs="宋体"/>
          <w:color w:val="auto"/>
          <w:szCs w:val="21"/>
          <w:highlight w:val="none"/>
        </w:rPr>
        <w:t>）。</w:t>
      </w:r>
    </w:p>
    <w:p>
      <w:pPr>
        <w:numPr>
          <w:ilvl w:val="0"/>
          <w:numId w:val="3"/>
        </w:numPr>
        <w:snapToGrid w:val="0"/>
        <w:spacing w:line="360" w:lineRule="auto"/>
        <w:ind w:left="210" w:leftChars="100"/>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政府采购统计基础信息表(</w:t>
      </w:r>
      <w:r>
        <w:rPr>
          <w:rFonts w:hint="eastAsia" w:ascii="宋体" w:hAnsi="宋体" w:eastAsia="宋体" w:cs="宋体"/>
          <w:color w:val="auto"/>
          <w:szCs w:val="21"/>
          <w:highlight w:val="none"/>
        </w:rPr>
        <w:t>格式见附件）</w:t>
      </w:r>
      <w:r>
        <w:rPr>
          <w:rFonts w:hint="eastAsia" w:ascii="宋体" w:hAnsi="宋体" w:cs="宋体"/>
          <w:color w:val="auto"/>
          <w:szCs w:val="21"/>
          <w:highlight w:val="none"/>
        </w:rPr>
        <w:t>。</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 注：法定代表人授权委托书必须由法定代表人签署（签名或印章）并加盖单位公章；供应商资格声明函、投标函、开标一览表必须由法定代表人或授权代表签署（签名或印章）并加盖单位公章。</w:t>
      </w:r>
    </w:p>
    <w:p>
      <w:pPr>
        <w:snapToGrid w:val="0"/>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4．注意事项</w:t>
      </w:r>
    </w:p>
    <w:p>
      <w:pPr>
        <w:snapToGrid w:val="0"/>
        <w:spacing w:line="44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★（1）电子投标文件中所须加盖公章部分均采用CA签章。</w:t>
      </w:r>
    </w:p>
    <w:p>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（2）上述组成投标文件的各项资料中本招标文件的有规定格式的，应统一按本招标文件的规定格式填写。未有规定格式的资料，投标人应自行编制，但至少要包含以上要求的内容。</w:t>
      </w:r>
    </w:p>
    <w:p>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投标文件在提供对投标货物/产品技术条款响应表的应答时，对招标文件有技术数值要求的参数，必须以投标货物/产品的具体技术数值据实应答；对于招标文件无数值要求的参数的应答，必须作出明确、直接、无导致两种理解可能的应答。</w:t>
      </w:r>
    </w:p>
    <w:p>
      <w:pPr>
        <w:pStyle w:val="6"/>
        <w:snapToGrid w:val="0"/>
        <w:spacing w:before="0" w:after="0" w:line="440" w:lineRule="exact"/>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（三）投标文件的语言及计量</w:t>
      </w:r>
      <w:bookmarkEnd w:id="62"/>
      <w:bookmarkEnd w:id="63"/>
      <w:bookmarkEnd w:id="64"/>
    </w:p>
    <w:p>
      <w:pPr>
        <w:pStyle w:val="11"/>
        <w:snapToGrid w:val="0"/>
        <w:spacing w:before="0" w:beforeLines="0" w:after="0" w:afterLines="0" w:line="440" w:lineRule="exact"/>
        <w:ind w:firstLine="210" w:firstLineChars="10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kern w:val="0"/>
          <w:sz w:val="21"/>
          <w:szCs w:val="21"/>
          <w:highlight w:val="none"/>
        </w:rPr>
        <w:t>投标文件以及投标人与采购人就有关投标事宜的所有来往函电</w:t>
      </w:r>
      <w:r>
        <w:rPr>
          <w:rFonts w:hint="eastAsia" w:hAnsi="宋体" w:cs="宋体"/>
          <w:color w:val="auto"/>
          <w:sz w:val="21"/>
          <w:szCs w:val="21"/>
          <w:highlight w:val="none"/>
        </w:rPr>
        <w:t>，均应以中文汉语书写。除签名、盖章、专用名称等特殊情形外，以中文汉语以外的文字表述的投标文件视同未提供。</w:t>
      </w:r>
    </w:p>
    <w:p>
      <w:pPr>
        <w:pStyle w:val="11"/>
        <w:snapToGrid w:val="0"/>
        <w:spacing w:before="0" w:beforeLines="0" w:after="0" w:afterLines="0" w:line="440" w:lineRule="exact"/>
        <w:ind w:firstLine="210" w:firstLineChars="100"/>
        <w:rPr>
          <w:rFonts w:hint="eastAsia" w:hAnsi="宋体" w:cs="宋体"/>
          <w:color w:val="auto"/>
          <w:sz w:val="21"/>
          <w:szCs w:val="21"/>
          <w:highlight w:val="none"/>
        </w:rPr>
      </w:pPr>
      <w:r>
        <w:rPr>
          <w:rFonts w:hint="eastAsia" w:hAnsi="宋体" w:cs="宋体"/>
          <w:color w:val="auto"/>
          <w:sz w:val="21"/>
          <w:szCs w:val="21"/>
          <w:highlight w:val="none"/>
        </w:rPr>
        <w:t>★2．投标计量单位，招标文件已有明确规定的，使用招标文件规定的计量单位；招标文件没有规定的，应采用中华人民共和国法定计量单位（货币单位：人民币元），否则视同未响应。</w:t>
      </w:r>
    </w:p>
    <w:p>
      <w:pPr>
        <w:pStyle w:val="6"/>
        <w:snapToGrid w:val="0"/>
        <w:spacing w:before="0" w:after="0" w:line="440" w:lineRule="exact"/>
        <w:jc w:val="both"/>
        <w:rPr>
          <w:rFonts w:hint="eastAsia" w:ascii="宋体" w:hAnsi="宋体" w:cs="宋体"/>
          <w:color w:val="auto"/>
          <w:sz w:val="21"/>
          <w:szCs w:val="21"/>
          <w:highlight w:val="none"/>
        </w:rPr>
      </w:pPr>
      <w:bookmarkStart w:id="65" w:name="_Toc28562"/>
      <w:bookmarkStart w:id="66" w:name="_Toc463726801"/>
      <w:bookmarkStart w:id="67" w:name="_Toc8930"/>
      <w:r>
        <w:rPr>
          <w:rFonts w:hint="eastAsia" w:ascii="宋体" w:hAnsi="宋体" w:cs="宋体"/>
          <w:color w:val="auto"/>
          <w:sz w:val="21"/>
          <w:szCs w:val="21"/>
          <w:highlight w:val="none"/>
        </w:rPr>
        <w:t>（四）投标报价</w:t>
      </w:r>
      <w:bookmarkEnd w:id="65"/>
      <w:bookmarkEnd w:id="66"/>
      <w:bookmarkEnd w:id="67"/>
    </w:p>
    <w:p>
      <w:pPr>
        <w:pStyle w:val="11"/>
        <w:snapToGrid w:val="0"/>
        <w:spacing w:before="0" w:beforeLines="0" w:after="0" w:afterLines="0" w:line="4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1．投标报价应按招标文件中相关附表格式填写。</w:t>
      </w:r>
    </w:p>
    <w:p>
      <w:pPr>
        <w:pStyle w:val="11"/>
        <w:snapToGrid w:val="0"/>
        <w:spacing w:before="0" w:beforeLines="0" w:after="0" w:afterLines="0" w:line="440" w:lineRule="exact"/>
        <w:ind w:firstLine="210" w:firstLineChars="100"/>
        <w:rPr>
          <w:rFonts w:hint="eastAsia" w:hAnsi="宋体" w:cs="宋体"/>
          <w:color w:val="auto"/>
          <w:sz w:val="21"/>
          <w:szCs w:val="21"/>
          <w:highlight w:val="none"/>
        </w:rPr>
      </w:pPr>
      <w:r>
        <w:rPr>
          <w:rFonts w:hint="eastAsia" w:hAnsi="宋体" w:cs="宋体"/>
          <w:color w:val="auto"/>
          <w:sz w:val="21"/>
          <w:szCs w:val="21"/>
          <w:highlight w:val="none"/>
        </w:rPr>
        <w:t>★2．投标文件只允许有一个投标总价，有选择的或有条件的报价将不予接受。</w:t>
      </w:r>
    </w:p>
    <w:p>
      <w:pPr>
        <w:pStyle w:val="11"/>
        <w:snapToGrid w:val="0"/>
        <w:spacing w:before="0" w:beforeLines="0" w:after="0" w:afterLines="0" w:line="4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3．所有投标报价必须以人民币报价，对用外汇支付部分，须折合成人民币计入总价，总报价不受汇率变动影响。不接受外币报价，除非招标文件另有要求。</w:t>
      </w:r>
    </w:p>
    <w:p>
      <w:pPr>
        <w:pStyle w:val="11"/>
        <w:snapToGrid w:val="0"/>
        <w:spacing w:before="0" w:beforeLines="0" w:after="0" w:afterLines="0" w:line="4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4．本项目投标应以含税人民币报价，投标报价是履行合同的最终价格，应包括完成采购内容涉及的所有费用。</w:t>
      </w:r>
    </w:p>
    <w:p>
      <w:pPr>
        <w:pStyle w:val="6"/>
        <w:snapToGrid w:val="0"/>
        <w:spacing w:before="0" w:after="0" w:line="440" w:lineRule="exact"/>
        <w:jc w:val="both"/>
        <w:rPr>
          <w:rFonts w:hint="eastAsia" w:ascii="宋体" w:hAnsi="宋体" w:cs="宋体"/>
          <w:color w:val="auto"/>
          <w:sz w:val="21"/>
          <w:szCs w:val="21"/>
          <w:highlight w:val="none"/>
        </w:rPr>
      </w:pPr>
      <w:bookmarkStart w:id="68" w:name="_Toc13779"/>
      <w:bookmarkStart w:id="69" w:name="_Toc463726802"/>
      <w:bookmarkStart w:id="70" w:name="_Toc8691"/>
      <w:r>
        <w:rPr>
          <w:rFonts w:hint="eastAsia" w:ascii="宋体" w:hAnsi="宋体" w:cs="宋体"/>
          <w:color w:val="auto"/>
          <w:sz w:val="21"/>
          <w:szCs w:val="21"/>
          <w:highlight w:val="none"/>
        </w:rPr>
        <w:t>（五）投标文件的有效期</w:t>
      </w:r>
      <w:bookmarkEnd w:id="68"/>
      <w:bookmarkEnd w:id="69"/>
      <w:bookmarkEnd w:id="70"/>
    </w:p>
    <w:p>
      <w:pPr>
        <w:pStyle w:val="7"/>
        <w:widowControl w:val="0"/>
        <w:numPr>
          <w:ilvl w:val="0"/>
          <w:numId w:val="0"/>
        </w:numPr>
        <w:tabs>
          <w:tab w:val="left" w:pos="720"/>
          <w:tab w:val="clear" w:pos="360"/>
        </w:tabs>
        <w:snapToGrid w:val="0"/>
        <w:spacing w:after="0" w:afterLines="0" w:line="440" w:lineRule="exact"/>
        <w:ind w:leftChars="0"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★1．自投标截止日起</w:t>
      </w:r>
      <w:r>
        <w:rPr>
          <w:rFonts w:hint="eastAsia" w:ascii="宋体" w:hAnsi="宋体" w:cs="宋体"/>
          <w:color w:val="auto"/>
          <w:sz w:val="21"/>
          <w:szCs w:val="21"/>
          <w:highlight w:val="none"/>
          <w:u w:val="single"/>
        </w:rPr>
        <w:t xml:space="preserve"> 90 </w:t>
      </w:r>
      <w:r>
        <w:rPr>
          <w:rFonts w:hint="eastAsia" w:ascii="宋体" w:hAnsi="宋体" w:cs="宋体"/>
          <w:color w:val="auto"/>
          <w:sz w:val="21"/>
          <w:szCs w:val="21"/>
          <w:highlight w:val="none"/>
        </w:rPr>
        <w:t>天投标文件应保持有效，有效期不足的投标文件将被拒绝。</w:t>
      </w:r>
    </w:p>
    <w:p>
      <w:pPr>
        <w:spacing w:line="4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2．在特殊情况下，采购人可与投标人协商延长投标书的有效期，这种要求和答复均以书面形式进行。</w:t>
      </w:r>
    </w:p>
    <w:p>
      <w:pPr>
        <w:pStyle w:val="7"/>
        <w:widowControl w:val="0"/>
        <w:numPr>
          <w:ilvl w:val="0"/>
          <w:numId w:val="0"/>
        </w:numPr>
        <w:tabs>
          <w:tab w:val="left" w:pos="720"/>
          <w:tab w:val="clear" w:pos="360"/>
        </w:tabs>
        <w:snapToGrid w:val="0"/>
        <w:spacing w:after="0" w:afterLines="0" w:line="440" w:lineRule="exact"/>
        <w:ind w:leftChars="196"/>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3．投标人可拒绝接受延期要求，同意延长有效期的投标人不能修改投标文件。 </w:t>
      </w:r>
    </w:p>
    <w:p>
      <w:pPr>
        <w:pStyle w:val="7"/>
        <w:widowControl w:val="0"/>
        <w:numPr>
          <w:ilvl w:val="0"/>
          <w:numId w:val="0"/>
        </w:numPr>
        <w:tabs>
          <w:tab w:val="left" w:pos="720"/>
          <w:tab w:val="clear" w:pos="360"/>
        </w:tabs>
        <w:snapToGrid w:val="0"/>
        <w:spacing w:after="0" w:afterLines="0" w:line="440" w:lineRule="exact"/>
        <w:ind w:leftChars="196"/>
        <w:rPr>
          <w:rFonts w:hint="eastAsia" w:ascii="宋体" w:hAnsi="宋体" w:cs="宋体"/>
          <w:color w:val="auto"/>
          <w:sz w:val="21"/>
          <w:szCs w:val="21"/>
          <w:highlight w:val="none"/>
        </w:rPr>
      </w:pPr>
      <w:r>
        <w:rPr>
          <w:rFonts w:hint="eastAsia" w:ascii="宋体" w:hAnsi="宋体" w:cs="宋体"/>
          <w:color w:val="auto"/>
          <w:sz w:val="21"/>
          <w:szCs w:val="21"/>
          <w:highlight w:val="none"/>
        </w:rPr>
        <w:t>4．中标人的投标文件自开标之日起至合同履行完毕止均应保持有效。</w:t>
      </w:r>
    </w:p>
    <w:p>
      <w:pPr>
        <w:pStyle w:val="6"/>
        <w:snapToGrid w:val="0"/>
        <w:spacing w:before="0" w:after="0" w:line="440" w:lineRule="exact"/>
        <w:jc w:val="both"/>
        <w:rPr>
          <w:rFonts w:hint="eastAsia" w:ascii="宋体" w:hAnsi="宋体"/>
          <w:color w:val="auto"/>
          <w:szCs w:val="21"/>
          <w:highlight w:val="none"/>
        </w:rPr>
      </w:pPr>
      <w:bookmarkStart w:id="71" w:name="_Toc10397"/>
      <w:bookmarkStart w:id="72" w:name="_Toc1810"/>
      <w:bookmarkStart w:id="73" w:name="_Toc463726804"/>
      <w:bookmarkStart w:id="74" w:name="_Toc16604"/>
      <w:bookmarkStart w:id="75" w:name="_Toc26999"/>
      <w:bookmarkStart w:id="76" w:name="_Toc317685588"/>
      <w:bookmarkStart w:id="77" w:name="_Toc463726815"/>
      <w:r>
        <w:rPr>
          <w:rFonts w:hint="eastAsia" w:ascii="宋体" w:hAnsi="宋体" w:cs="宋体"/>
          <w:color w:val="auto"/>
          <w:sz w:val="21"/>
          <w:szCs w:val="21"/>
          <w:highlight w:val="none"/>
        </w:rPr>
        <w:t>（六）投标文件的签署和份数</w:t>
      </w:r>
      <w:bookmarkEnd w:id="71"/>
      <w:bookmarkEnd w:id="72"/>
      <w:bookmarkEnd w:id="73"/>
    </w:p>
    <w:p>
      <w:pPr>
        <w:spacing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1、投标人应按本采购文件规定的格式和顺序编制投标文件并标注页码，投标文件内容不完整、编排混乱、未正确关联定位导致投标文件被误读、漏读或者查找不到相关内容的，是投标人的责任。</w:t>
      </w:r>
    </w:p>
    <w:p>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2、电子投标文件部分：投标人应根据“政采云投标人项目采购-电子招投标操作指南”及本招标文件规定的格式和顺序编制电子投标文件并进行关联定位；电子投标文件中须加盖投标人公章部分均采用CA签章，签字部分可用CA锁法人章（如有），未申请法人章的将签名（或盖章）部分签好（盖完章）后以扫描件形式上传至投标文件（具体操作请咨询政采云400-881-7190）。</w:t>
      </w:r>
    </w:p>
    <w:p>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3、以U盘存储的备份投标文件部分：电子投标文件的备份文件，以U盘形式存储，并单独密封递交。</w:t>
      </w:r>
      <w:r>
        <w:rPr>
          <w:rFonts w:hint="eastAsia" w:ascii="宋体" w:hAnsi="宋体" w:cs="宋体"/>
          <w:b/>
          <w:bCs/>
          <w:color w:val="auto"/>
          <w:szCs w:val="21"/>
          <w:highlight w:val="none"/>
        </w:rPr>
        <w:t>电子备份投标文件不作实质性要求，是否提交由投标人自行决定。</w:t>
      </w:r>
    </w:p>
    <w:p>
      <w:pPr>
        <w:adjustRightInd w:val="0"/>
        <w:snapToGrid w:val="0"/>
        <w:spacing w:line="440" w:lineRule="exact"/>
        <w:jc w:val="left"/>
        <w:outlineLvl w:val="2"/>
        <w:rPr>
          <w:rFonts w:ascii="宋体" w:hAnsi="宋体"/>
          <w:b/>
          <w:color w:val="auto"/>
          <w:szCs w:val="21"/>
          <w:highlight w:val="none"/>
        </w:rPr>
      </w:pPr>
      <w:r>
        <w:rPr>
          <w:rFonts w:hint="eastAsia" w:ascii="宋体" w:hAnsi="宋体"/>
          <w:b/>
          <w:color w:val="auto"/>
          <w:szCs w:val="21"/>
          <w:highlight w:val="none"/>
        </w:rPr>
        <w:t>（七）投标文件的密封和标记</w:t>
      </w:r>
    </w:p>
    <w:p>
      <w:pPr>
        <w:adjustRightInd w:val="0"/>
        <w:snapToGrid w:val="0"/>
        <w:spacing w:line="440" w:lineRule="exact"/>
        <w:ind w:firstLine="420" w:firstLineChars="200"/>
        <w:jc w:val="left"/>
        <w:rPr>
          <w:rFonts w:hint="eastAsia" w:ascii="宋体" w:hAnsi="宋体"/>
          <w:color w:val="auto"/>
          <w:szCs w:val="21"/>
          <w:highlight w:val="none"/>
        </w:rPr>
      </w:pPr>
      <w:bookmarkStart w:id="78" w:name="_Toc16256"/>
      <w:bookmarkStart w:id="79" w:name="_Toc25507"/>
      <w:bookmarkStart w:id="80" w:name="_Toc463726805"/>
      <w:bookmarkStart w:id="81" w:name="_Toc29964"/>
      <w:bookmarkStart w:id="82" w:name="_Toc22883"/>
      <w:bookmarkStart w:id="83" w:name="_Toc463726806"/>
      <w:r>
        <w:rPr>
          <w:rFonts w:hint="eastAsia" w:ascii="宋体" w:hAnsi="宋体"/>
          <w:color w:val="auto"/>
          <w:szCs w:val="21"/>
          <w:highlight w:val="none"/>
        </w:rPr>
        <w:t>1、电子投标文件：投标人应根据“项目采购-电子招投标操作指南”及本招标文件规定的格式和顺序编制电子投标文件并进行关联定位。</w:t>
      </w:r>
    </w:p>
    <w:p>
      <w:pPr>
        <w:adjustRightInd w:val="0"/>
        <w:snapToGrid w:val="0"/>
        <w:spacing w:line="440" w:lineRule="exact"/>
        <w:ind w:firstLine="422" w:firstLineChars="200"/>
        <w:jc w:val="left"/>
        <w:rPr>
          <w:rFonts w:hint="eastAsia" w:ascii="宋体" w:hAnsi="宋体"/>
          <w:b/>
          <w:bCs/>
          <w:color w:val="auto"/>
          <w:szCs w:val="21"/>
          <w:highlight w:val="none"/>
        </w:rPr>
      </w:pPr>
      <w:r>
        <w:rPr>
          <w:rFonts w:hint="eastAsia" w:ascii="宋体" w:hAnsi="宋体"/>
          <w:b/>
          <w:bCs/>
          <w:color w:val="auto"/>
          <w:szCs w:val="21"/>
          <w:highlight w:val="none"/>
        </w:rPr>
        <w:t>2、</w:t>
      </w:r>
      <w:r>
        <w:rPr>
          <w:rFonts w:hint="eastAsia" w:ascii="宋体" w:hAnsi="宋体" w:cs="宋体"/>
          <w:b/>
          <w:bCs/>
          <w:color w:val="auto"/>
          <w:kern w:val="0"/>
          <w:szCs w:val="21"/>
          <w:highlight w:val="none"/>
        </w:rPr>
        <w:t>电子备份投标文件：单独包封，外包装封面上应注明投标人名称、投标人地址、投标文件名称（电子投标文件的备份文件）、投标项目名称、项目编号及</w:t>
      </w:r>
      <w:r>
        <w:rPr>
          <w:rFonts w:hint="eastAsia" w:ascii="宋体" w:hAnsi="宋体" w:cs="宋体"/>
          <w:b/>
          <w:bCs/>
          <w:color w:val="auto"/>
          <w:szCs w:val="21"/>
          <w:highlight w:val="none"/>
        </w:rPr>
        <w:t>“投标文件于投标截止时间前不得启封”</w:t>
      </w:r>
      <w:r>
        <w:rPr>
          <w:rFonts w:hint="eastAsia" w:ascii="宋体" w:hAnsi="宋体" w:cs="宋体"/>
          <w:b/>
          <w:bCs/>
          <w:color w:val="auto"/>
          <w:kern w:val="0"/>
          <w:szCs w:val="21"/>
          <w:highlight w:val="none"/>
        </w:rPr>
        <w:t>字样，并加盖投标人公章。</w:t>
      </w:r>
      <w:r>
        <w:rPr>
          <w:rFonts w:hint="eastAsia" w:ascii="宋体" w:hAnsi="宋体" w:cs="宋体"/>
          <w:b/>
          <w:bCs/>
          <w:color w:val="auto"/>
          <w:szCs w:val="21"/>
          <w:highlight w:val="none"/>
        </w:rPr>
        <w:t>电子备份投标文件不作实质性要求，是否提交由投标人自行决定。</w:t>
      </w:r>
    </w:p>
    <w:p>
      <w:pPr>
        <w:adjustRightInd w:val="0"/>
        <w:snapToGrid w:val="0"/>
        <w:spacing w:line="440" w:lineRule="exact"/>
        <w:ind w:firstLine="420"/>
        <w:jc w:val="left"/>
        <w:rPr>
          <w:rFonts w:hint="eastAsia" w:ascii="宋体" w:hAnsi="宋体"/>
          <w:b/>
          <w:color w:val="auto"/>
          <w:szCs w:val="21"/>
          <w:highlight w:val="none"/>
        </w:rPr>
      </w:pPr>
      <w:r>
        <w:rPr>
          <w:rFonts w:hint="eastAsia" w:ascii="宋体" w:hAnsi="宋体"/>
          <w:b/>
          <w:color w:val="auto"/>
          <w:szCs w:val="21"/>
          <w:highlight w:val="none"/>
        </w:rPr>
        <w:t>3、未按规定密封或标记的投标文件，采购人有权拒绝接受其投标。</w:t>
      </w:r>
    </w:p>
    <w:p>
      <w:pPr>
        <w:adjustRightInd w:val="0"/>
        <w:snapToGrid w:val="0"/>
        <w:spacing w:line="440" w:lineRule="exact"/>
        <w:ind w:firstLine="420"/>
        <w:jc w:val="left"/>
        <w:rPr>
          <w:rFonts w:hint="eastAsia" w:ascii="宋体" w:hAnsi="宋体"/>
          <w:color w:val="auto"/>
          <w:szCs w:val="21"/>
          <w:highlight w:val="none"/>
        </w:rPr>
      </w:pPr>
      <w:r>
        <w:rPr>
          <w:rFonts w:hint="eastAsia" w:ascii="宋体" w:hAnsi="宋体"/>
          <w:color w:val="auto"/>
          <w:szCs w:val="21"/>
          <w:highlight w:val="none"/>
        </w:rPr>
        <w:t>4、如果投标人未按上述要求密封或标记而造成投标文件被误投或提前拆封的风险由投标人承担。</w:t>
      </w:r>
    </w:p>
    <w:p>
      <w:pPr>
        <w:adjustRightInd w:val="0"/>
        <w:snapToGrid w:val="0"/>
        <w:spacing w:line="440" w:lineRule="exact"/>
        <w:ind w:firstLine="420"/>
        <w:jc w:val="left"/>
        <w:rPr>
          <w:rFonts w:hint="eastAsia" w:ascii="宋体" w:hAnsi="宋体"/>
          <w:color w:val="auto"/>
          <w:szCs w:val="21"/>
          <w:highlight w:val="none"/>
        </w:rPr>
      </w:pPr>
      <w:r>
        <w:rPr>
          <w:rFonts w:hint="eastAsia" w:ascii="宋体" w:hAnsi="宋体"/>
          <w:color w:val="auto"/>
          <w:szCs w:val="21"/>
          <w:highlight w:val="none"/>
        </w:rPr>
        <w:t>5、</w:t>
      </w:r>
      <w:r>
        <w:rPr>
          <w:rFonts w:hint="eastAsia" w:ascii="宋体" w:hAnsi="宋体" w:cs="宋体"/>
          <w:color w:val="auto"/>
          <w:szCs w:val="21"/>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电子投标文件，将被政采云平台拒收，其投标将被拒绝。</w:t>
      </w:r>
    </w:p>
    <w:bookmarkEnd w:id="78"/>
    <w:bookmarkEnd w:id="79"/>
    <w:bookmarkEnd w:id="80"/>
    <w:p>
      <w:pPr>
        <w:pStyle w:val="6"/>
        <w:adjustRightInd w:val="0"/>
        <w:snapToGrid w:val="0"/>
        <w:spacing w:before="0" w:after="0" w:line="440" w:lineRule="exact"/>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（八）投标无效的情形</w:t>
      </w:r>
      <w:bookmarkEnd w:id="81"/>
      <w:bookmarkEnd w:id="82"/>
      <w:bookmarkEnd w:id="83"/>
      <w:bookmarkStart w:id="84" w:name="_Toc20578"/>
      <w:bookmarkStart w:id="85" w:name="_Toc463726807"/>
      <w:bookmarkStart w:id="86" w:name="_Toc32277"/>
    </w:p>
    <w:p>
      <w:pPr>
        <w:adjustRightInd w:val="0"/>
        <w:snapToGrid w:val="0"/>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实质上没有响应招标文件要求的投标将被视为无效投标。投标人不得通过修正或撤消不合要求的偏离或保留从而使其投标成为实质上响应的投标。</w:t>
      </w:r>
    </w:p>
    <w:p>
      <w:pPr>
        <w:pStyle w:val="9"/>
        <w:adjustRightInd w:val="0"/>
        <w:snapToGrid w:val="0"/>
        <w:spacing w:line="440" w:lineRule="exact"/>
        <w:ind w:firstLine="422" w:firstLineChars="200"/>
        <w:rPr>
          <w:b/>
          <w:color w:val="auto"/>
          <w:szCs w:val="24"/>
          <w:highlight w:val="none"/>
        </w:rPr>
      </w:pPr>
      <w:r>
        <w:rPr>
          <w:rFonts w:hint="eastAsia" w:ascii="宋体" w:hAnsi="宋体" w:cs="宋体"/>
          <w:b/>
          <w:bCs/>
          <w:color w:val="auto"/>
          <w:szCs w:val="21"/>
          <w:highlight w:val="none"/>
        </w:rPr>
        <w:t>1．</w:t>
      </w:r>
      <w:r>
        <w:rPr>
          <w:rFonts w:hint="eastAsia"/>
          <w:b/>
          <w:color w:val="auto"/>
          <w:szCs w:val="24"/>
          <w:highlight w:val="none"/>
        </w:rPr>
        <w:t>在资格审查、符合性审查和商务评审时，如发现下列情形之一的，将被视为无效投标文件：</w:t>
      </w:r>
    </w:p>
    <w:p>
      <w:pPr>
        <w:adjustRightInd w:val="0"/>
        <w:snapToGrid w:val="0"/>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（1）资格证明文件不全的或者不符合采购文件标明的资格要求的；</w:t>
      </w:r>
    </w:p>
    <w:p>
      <w:pPr>
        <w:adjustRightInd w:val="0"/>
        <w:snapToGrid w:val="0"/>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（2）投标声明</w:t>
      </w:r>
      <w:r>
        <w:rPr>
          <w:rFonts w:hint="eastAsia" w:ascii="宋体" w:hAnsi="宋体" w:cs="宋体"/>
          <w:color w:val="auto"/>
          <w:highlight w:val="none"/>
          <w:lang w:val="en-US" w:eastAsia="zh-CN"/>
        </w:rPr>
        <w:t>函</w:t>
      </w:r>
      <w:r>
        <w:rPr>
          <w:rFonts w:hint="eastAsia" w:ascii="宋体" w:hAnsi="宋体" w:cs="宋体"/>
          <w:color w:val="auto"/>
          <w:highlight w:val="none"/>
        </w:rPr>
        <w:t>填写项目不齐全的；</w:t>
      </w:r>
    </w:p>
    <w:p>
      <w:pPr>
        <w:adjustRightInd w:val="0"/>
        <w:snapToGrid w:val="0"/>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（3）未按招标文件要求盖章的；</w:t>
      </w:r>
    </w:p>
    <w:p>
      <w:pPr>
        <w:adjustRightInd w:val="0"/>
        <w:snapToGrid w:val="0"/>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（4）投标文件</w:t>
      </w:r>
      <w:r>
        <w:rPr>
          <w:rFonts w:hint="eastAsia" w:hAnsi="宋体" w:cs="宋体"/>
          <w:color w:val="auto"/>
          <w:szCs w:val="21"/>
          <w:highlight w:val="none"/>
        </w:rPr>
        <w:t>未按要求提供、内容不齐全</w:t>
      </w:r>
      <w:r>
        <w:rPr>
          <w:rFonts w:hint="eastAsia" w:ascii="宋体" w:hAnsi="宋体" w:cs="宋体"/>
          <w:color w:val="auto"/>
          <w:highlight w:val="none"/>
        </w:rPr>
        <w:t>或者内容虚假的；</w:t>
      </w:r>
    </w:p>
    <w:p>
      <w:pPr>
        <w:adjustRightInd w:val="0"/>
        <w:snapToGrid w:val="0"/>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（5）投标文件的实质性内容未使用中文表述、意思表述不明确、前后矛盾或者使用计量单位不符合采购文件要求的（经评标委员会认定并允许其当场更正的笔误除外）；</w:t>
      </w:r>
    </w:p>
    <w:p>
      <w:pPr>
        <w:adjustRightInd w:val="0"/>
        <w:snapToGrid w:val="0"/>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（6）投标有效期不能满足采购文件要求的；</w:t>
      </w:r>
    </w:p>
    <w:p>
      <w:pPr>
        <w:adjustRightInd w:val="0"/>
        <w:snapToGrid w:val="0"/>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（7）带</w:t>
      </w:r>
      <w:r>
        <w:rPr>
          <w:rFonts w:hint="eastAsia" w:ascii="宋体" w:hAnsi="宋体" w:cs="宋体"/>
          <w:color w:val="auto"/>
          <w:szCs w:val="21"/>
          <w:highlight w:val="none"/>
        </w:rPr>
        <w:t>“★”</w:t>
      </w:r>
      <w:r>
        <w:rPr>
          <w:rFonts w:hint="eastAsia" w:ascii="宋体" w:hAnsi="宋体" w:cs="宋体"/>
          <w:color w:val="auto"/>
          <w:highlight w:val="none"/>
        </w:rPr>
        <w:t>的条款不能满足采购文件要求、未实质性响应采购文件要求或者投标文件有采购方不能接受的附加条件的。</w:t>
      </w:r>
    </w:p>
    <w:p>
      <w:pPr>
        <w:adjustRightInd w:val="0"/>
        <w:snapToGrid w:val="0"/>
        <w:spacing w:line="440" w:lineRule="exact"/>
        <w:ind w:firstLine="420" w:firstLineChars="200"/>
        <w:rPr>
          <w:rFonts w:hint="eastAsia" w:ascii="宋体" w:hAnsi="宋体" w:cs="宋体"/>
          <w:bCs/>
          <w:color w:val="auto"/>
          <w:highlight w:val="none"/>
        </w:rPr>
      </w:pPr>
      <w:r>
        <w:rPr>
          <w:rFonts w:hint="eastAsia" w:ascii="宋体" w:hAnsi="宋体" w:cs="宋体"/>
          <w:bCs/>
          <w:color w:val="auto"/>
          <w:szCs w:val="21"/>
          <w:highlight w:val="none"/>
        </w:rPr>
        <w:t>（8）不同投标人的投标文件出自同一终端设备或在相同Internet主机分配地址（相同IP地址）网上报名投标。</w:t>
      </w:r>
    </w:p>
    <w:p>
      <w:pPr>
        <w:adjustRightInd w:val="0"/>
        <w:snapToGrid w:val="0"/>
        <w:spacing w:line="440" w:lineRule="exact"/>
        <w:ind w:firstLine="422" w:firstLineChars="200"/>
        <w:rPr>
          <w:rFonts w:hint="eastAsia" w:hAnsi="宋体" w:cs="宋体"/>
          <w:b/>
          <w:bCs/>
          <w:color w:val="auto"/>
          <w:szCs w:val="21"/>
          <w:highlight w:val="none"/>
        </w:rPr>
      </w:pPr>
      <w:r>
        <w:rPr>
          <w:rFonts w:hint="eastAsia" w:hAnsi="宋体" w:cs="宋体"/>
          <w:b/>
          <w:bCs/>
          <w:color w:val="auto"/>
          <w:szCs w:val="21"/>
          <w:highlight w:val="none"/>
        </w:rPr>
        <w:t>2．在技术评审时，如发现下列情形之一的，投标文件将被视为无效：</w:t>
      </w:r>
    </w:p>
    <w:p>
      <w:pPr>
        <w:pStyle w:val="10"/>
        <w:adjustRightInd w:val="0"/>
        <w:snapToGrid w:val="0"/>
        <w:spacing w:line="440" w:lineRule="exact"/>
        <w:ind w:firstLine="420" w:firstLineChars="200"/>
        <w:rPr>
          <w:rFonts w:hint="eastAsia" w:hAnsi="宋体" w:cs="宋体"/>
          <w:color w:val="auto"/>
          <w:spacing w:val="0"/>
          <w:sz w:val="21"/>
          <w:szCs w:val="21"/>
          <w:highlight w:val="none"/>
        </w:rPr>
      </w:pPr>
      <w:r>
        <w:rPr>
          <w:rFonts w:hint="eastAsia" w:hAnsi="宋体" w:cs="宋体"/>
          <w:color w:val="auto"/>
          <w:spacing w:val="0"/>
          <w:sz w:val="21"/>
          <w:szCs w:val="21"/>
          <w:highlight w:val="none"/>
        </w:rPr>
        <w:t>（1）投标文件标明的响应或偏离与事实不符或虚假投标的；</w:t>
      </w:r>
    </w:p>
    <w:p>
      <w:pPr>
        <w:pStyle w:val="10"/>
        <w:adjustRightInd w:val="0"/>
        <w:snapToGrid w:val="0"/>
        <w:spacing w:line="440" w:lineRule="exact"/>
        <w:ind w:firstLine="420" w:firstLineChars="200"/>
        <w:rPr>
          <w:rFonts w:hint="eastAsia" w:hAnsi="宋体" w:cs="宋体"/>
          <w:color w:val="auto"/>
          <w:spacing w:val="0"/>
          <w:sz w:val="21"/>
          <w:szCs w:val="21"/>
          <w:highlight w:val="none"/>
        </w:rPr>
      </w:pPr>
      <w:r>
        <w:rPr>
          <w:rFonts w:hint="eastAsia" w:hAnsi="宋体" w:cs="宋体"/>
          <w:color w:val="auto"/>
          <w:spacing w:val="0"/>
          <w:sz w:val="21"/>
          <w:szCs w:val="21"/>
          <w:highlight w:val="none"/>
        </w:rPr>
        <w:t>（2）明显不符合招标文件要求的，或者与招标文件中标“★”的条款发生实质性负偏离的；</w:t>
      </w:r>
    </w:p>
    <w:p>
      <w:pPr>
        <w:pStyle w:val="10"/>
        <w:adjustRightInd w:val="0"/>
        <w:snapToGrid w:val="0"/>
        <w:spacing w:line="440" w:lineRule="exact"/>
        <w:ind w:firstLine="420" w:firstLineChars="200"/>
        <w:rPr>
          <w:rFonts w:hint="eastAsia" w:hAnsi="宋体" w:cs="宋体"/>
          <w:color w:val="auto"/>
          <w:spacing w:val="0"/>
          <w:sz w:val="21"/>
          <w:szCs w:val="21"/>
          <w:highlight w:val="none"/>
        </w:rPr>
      </w:pPr>
      <w:r>
        <w:rPr>
          <w:rFonts w:hint="eastAsia" w:hAnsi="宋体" w:cs="宋体"/>
          <w:color w:val="auto"/>
          <w:spacing w:val="0"/>
          <w:sz w:val="21"/>
          <w:szCs w:val="21"/>
          <w:highlight w:val="none"/>
        </w:rPr>
        <w:t>（3）投标技术方案不明确，存在一个或一个以上备选（替代）投标方案的；</w:t>
      </w:r>
    </w:p>
    <w:p>
      <w:pPr>
        <w:pStyle w:val="10"/>
        <w:adjustRightInd w:val="0"/>
        <w:snapToGrid w:val="0"/>
        <w:spacing w:line="440" w:lineRule="exact"/>
        <w:ind w:firstLine="422" w:firstLineChars="200"/>
        <w:rPr>
          <w:rFonts w:hint="eastAsia" w:hAnsi="宋体" w:cs="宋体"/>
          <w:b/>
          <w:bCs/>
          <w:color w:val="auto"/>
          <w:spacing w:val="0"/>
          <w:sz w:val="21"/>
          <w:szCs w:val="21"/>
          <w:highlight w:val="none"/>
        </w:rPr>
      </w:pPr>
      <w:r>
        <w:rPr>
          <w:rFonts w:hint="eastAsia" w:hAnsi="宋体" w:cs="宋体"/>
          <w:b/>
          <w:bCs/>
          <w:color w:val="auto"/>
          <w:spacing w:val="0"/>
          <w:sz w:val="21"/>
          <w:szCs w:val="21"/>
          <w:highlight w:val="none"/>
        </w:rPr>
        <w:t>3．在报价评审时，如发现下列情形之一的，投标文件将被视为无效：</w:t>
      </w:r>
    </w:p>
    <w:p>
      <w:pPr>
        <w:pStyle w:val="10"/>
        <w:adjustRightInd w:val="0"/>
        <w:snapToGrid w:val="0"/>
        <w:spacing w:line="440" w:lineRule="exact"/>
        <w:ind w:firstLine="420" w:firstLineChars="200"/>
        <w:rPr>
          <w:rFonts w:hint="eastAsia" w:hAnsi="宋体" w:cs="宋体"/>
          <w:color w:val="auto"/>
          <w:spacing w:val="0"/>
          <w:sz w:val="21"/>
          <w:szCs w:val="21"/>
          <w:highlight w:val="none"/>
        </w:rPr>
      </w:pPr>
      <w:r>
        <w:rPr>
          <w:rFonts w:hint="eastAsia" w:hAnsi="宋体" w:cs="宋体"/>
          <w:color w:val="auto"/>
          <w:spacing w:val="0"/>
          <w:sz w:val="21"/>
          <w:szCs w:val="21"/>
          <w:highlight w:val="none"/>
        </w:rPr>
        <w:t>（1）未采用投标文件要求的报价形式报价或报价超过最高限价的；</w:t>
      </w:r>
    </w:p>
    <w:p>
      <w:pPr>
        <w:pStyle w:val="10"/>
        <w:adjustRightInd w:val="0"/>
        <w:snapToGrid w:val="0"/>
        <w:spacing w:line="440" w:lineRule="exact"/>
        <w:ind w:firstLine="420" w:firstLineChars="200"/>
        <w:rPr>
          <w:rFonts w:hint="eastAsia" w:hAnsi="宋体" w:cs="宋体"/>
          <w:color w:val="auto"/>
          <w:spacing w:val="0"/>
          <w:sz w:val="21"/>
          <w:szCs w:val="21"/>
          <w:highlight w:val="none"/>
        </w:rPr>
      </w:pPr>
      <w:r>
        <w:rPr>
          <w:rFonts w:hint="eastAsia" w:hAnsi="宋体" w:cs="宋体"/>
          <w:color w:val="auto"/>
          <w:spacing w:val="0"/>
          <w:sz w:val="21"/>
          <w:szCs w:val="21"/>
          <w:highlight w:val="none"/>
        </w:rPr>
        <w:t>（2）评标委员会认为投标人的报价明显低于其他通过符合性审查投标人的报价，有可能影响产品质量或者不能诚信履约的，而投标人又不能证明其报价合理性的；</w:t>
      </w:r>
    </w:p>
    <w:p>
      <w:pPr>
        <w:pStyle w:val="10"/>
        <w:adjustRightInd w:val="0"/>
        <w:snapToGrid w:val="0"/>
        <w:spacing w:line="440" w:lineRule="exact"/>
        <w:ind w:firstLine="420" w:firstLineChars="200"/>
        <w:rPr>
          <w:rFonts w:hint="eastAsia" w:hAnsi="宋体" w:cs="宋体"/>
          <w:color w:val="auto"/>
          <w:spacing w:val="0"/>
          <w:sz w:val="21"/>
          <w:szCs w:val="21"/>
          <w:highlight w:val="none"/>
        </w:rPr>
      </w:pPr>
      <w:r>
        <w:rPr>
          <w:rFonts w:hint="eastAsia" w:hAnsi="宋体" w:cs="宋体"/>
          <w:color w:val="auto"/>
          <w:spacing w:val="0"/>
          <w:sz w:val="21"/>
          <w:szCs w:val="21"/>
          <w:highlight w:val="none"/>
        </w:rPr>
        <w:t>（3）投标报价具有选择性的；或投标文件中对同一项目（标段）有两个或多个报价，且未声明哪个为有效的，或投标报价中出现重大漏项、漏量的。</w:t>
      </w:r>
    </w:p>
    <w:p>
      <w:pPr>
        <w:pStyle w:val="10"/>
        <w:adjustRightInd w:val="0"/>
        <w:snapToGrid w:val="0"/>
        <w:spacing w:line="440" w:lineRule="exact"/>
        <w:ind w:firstLine="422" w:firstLineChars="200"/>
        <w:rPr>
          <w:rFonts w:hint="eastAsia" w:hAnsi="宋体" w:cs="宋体"/>
          <w:b/>
          <w:bCs/>
          <w:color w:val="auto"/>
          <w:spacing w:val="0"/>
          <w:sz w:val="21"/>
          <w:szCs w:val="21"/>
          <w:highlight w:val="none"/>
        </w:rPr>
      </w:pPr>
      <w:r>
        <w:rPr>
          <w:rFonts w:hint="eastAsia" w:hAnsi="宋体" w:cs="宋体"/>
          <w:b/>
          <w:bCs/>
          <w:color w:val="auto"/>
          <w:spacing w:val="0"/>
          <w:sz w:val="21"/>
          <w:szCs w:val="21"/>
          <w:highlight w:val="none"/>
        </w:rPr>
        <w:t>4．被拒绝的投标文件为无效。</w:t>
      </w:r>
    </w:p>
    <w:p>
      <w:pPr>
        <w:pStyle w:val="5"/>
        <w:adjustRightInd w:val="0"/>
        <w:snapToGrid w:val="0"/>
        <w:spacing w:before="0" w:after="0"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四、开标</w:t>
      </w:r>
      <w:bookmarkEnd w:id="84"/>
      <w:bookmarkEnd w:id="85"/>
      <w:bookmarkEnd w:id="86"/>
    </w:p>
    <w:p>
      <w:pPr>
        <w:adjustRightInd w:val="0"/>
        <w:snapToGrid w:val="0"/>
        <w:spacing w:line="460" w:lineRule="exact"/>
        <w:outlineLvl w:val="1"/>
        <w:rPr>
          <w:rFonts w:ascii="宋体" w:hAnsi="宋体"/>
          <w:color w:val="auto"/>
          <w:szCs w:val="21"/>
          <w:highlight w:val="none"/>
        </w:rPr>
      </w:pPr>
      <w:bookmarkStart w:id="87" w:name="_Toc317685581"/>
      <w:r>
        <w:rPr>
          <w:rFonts w:hint="eastAsia" w:ascii="宋体" w:hAnsi="宋体"/>
          <w:b/>
          <w:color w:val="auto"/>
          <w:szCs w:val="21"/>
          <w:highlight w:val="none"/>
        </w:rPr>
        <w:t>（一）开标准备</w:t>
      </w:r>
      <w:bookmarkEnd w:id="87"/>
    </w:p>
    <w:p>
      <w:pPr>
        <w:pStyle w:val="11"/>
        <w:adjustRightInd w:val="0"/>
        <w:snapToGrid w:val="0"/>
        <w:spacing w:before="0" w:beforeLines="0" w:after="0" w:afterLines="0" w:line="460" w:lineRule="exact"/>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采购代理机构将在规定的时间和地点进行开标，</w:t>
      </w:r>
      <w:r>
        <w:rPr>
          <w:rFonts w:hint="eastAsia" w:hAnsi="宋体" w:cs="宋体"/>
          <w:color w:val="auto"/>
          <w:sz w:val="21"/>
          <w:szCs w:val="21"/>
          <w:highlight w:val="none"/>
        </w:rPr>
        <w:t>疫情期间所有投标人在投标截止时间前安排“甬行码”为绿色的相关人员（原则上不超过一名，须全程佩戴口罩）将电子备份投标文件送至投标地点，在完成投标文件和人员登记后立即离开。投标文件递交时需同时递交投标人的法定代表人（或其委托代理人）联系方式，并保证开标期间联系方式的畅通。</w:t>
      </w:r>
    </w:p>
    <w:p>
      <w:pPr>
        <w:adjustRightInd w:val="0"/>
        <w:snapToGrid w:val="0"/>
        <w:spacing w:line="460" w:lineRule="exact"/>
        <w:jc w:val="left"/>
        <w:outlineLvl w:val="1"/>
        <w:rPr>
          <w:rFonts w:ascii="宋体" w:hAnsi="宋体"/>
          <w:b/>
          <w:bCs/>
          <w:color w:val="auto"/>
          <w:szCs w:val="21"/>
          <w:highlight w:val="none"/>
        </w:rPr>
      </w:pPr>
      <w:r>
        <w:rPr>
          <w:rFonts w:hint="eastAsia" w:ascii="宋体" w:hAnsi="宋体"/>
          <w:b/>
          <w:bCs/>
          <w:color w:val="auto"/>
          <w:szCs w:val="21"/>
          <w:highlight w:val="none"/>
        </w:rPr>
        <w:t>（二）电子投标开标及评审程序</w:t>
      </w:r>
    </w:p>
    <w:p>
      <w:pPr>
        <w:pStyle w:val="11"/>
        <w:adjustRightInd w:val="0"/>
        <w:snapToGrid w:val="0"/>
        <w:spacing w:before="0" w:beforeLines="0" w:after="0" w:afterLines="0" w:line="460" w:lineRule="exact"/>
        <w:ind w:firstLine="420" w:firstLineChars="200"/>
        <w:rPr>
          <w:rFonts w:hint="eastAsia" w:hAnsi="宋体"/>
          <w:color w:val="auto"/>
          <w:sz w:val="21"/>
          <w:szCs w:val="21"/>
          <w:highlight w:val="none"/>
        </w:rPr>
      </w:pPr>
      <w:r>
        <w:rPr>
          <w:rFonts w:hint="eastAsia" w:hAnsi="宋体"/>
          <w:color w:val="auto"/>
          <w:sz w:val="21"/>
          <w:szCs w:val="21"/>
          <w:highlight w:val="none"/>
        </w:rPr>
        <w:t>1、投标截止时间后，投标人登录政采云平台，用“项目采购-开标评标”功能对电子投标文件进行在线解密，在线解密电子投标文件时间为开标时间起60分钟内；</w:t>
      </w:r>
    </w:p>
    <w:p>
      <w:pPr>
        <w:pStyle w:val="11"/>
        <w:adjustRightInd w:val="0"/>
        <w:snapToGrid w:val="0"/>
        <w:spacing w:before="0" w:beforeLines="0" w:after="0" w:afterLines="0" w:line="460" w:lineRule="exact"/>
        <w:ind w:firstLine="420" w:firstLineChars="200"/>
        <w:rPr>
          <w:rFonts w:hint="eastAsia" w:hAnsi="宋体"/>
          <w:color w:val="auto"/>
          <w:sz w:val="21"/>
          <w:szCs w:val="21"/>
          <w:highlight w:val="none"/>
        </w:rPr>
      </w:pPr>
      <w:r>
        <w:rPr>
          <w:rFonts w:hint="eastAsia" w:hAnsi="宋体"/>
          <w:color w:val="auto"/>
          <w:sz w:val="21"/>
          <w:szCs w:val="21"/>
          <w:highlight w:val="none"/>
        </w:rPr>
        <w:t>2、采购人或代理机构对投标人的资格进行审查；</w:t>
      </w:r>
    </w:p>
    <w:p>
      <w:pPr>
        <w:pStyle w:val="11"/>
        <w:adjustRightInd w:val="0"/>
        <w:snapToGrid w:val="0"/>
        <w:spacing w:before="0" w:beforeLines="0" w:after="0" w:afterLines="0" w:line="460" w:lineRule="exact"/>
        <w:ind w:firstLine="420" w:firstLineChars="200"/>
        <w:rPr>
          <w:rFonts w:hint="eastAsia" w:hAnsi="宋体"/>
          <w:color w:val="auto"/>
          <w:sz w:val="21"/>
          <w:szCs w:val="21"/>
          <w:highlight w:val="none"/>
        </w:rPr>
      </w:pPr>
      <w:r>
        <w:rPr>
          <w:rFonts w:hint="eastAsia" w:hAnsi="宋体"/>
          <w:color w:val="auto"/>
          <w:sz w:val="21"/>
          <w:szCs w:val="21"/>
          <w:highlight w:val="none"/>
        </w:rPr>
        <w:t>3、评标委员会对商务技术响应文件进行评审；</w:t>
      </w:r>
    </w:p>
    <w:p>
      <w:pPr>
        <w:pStyle w:val="11"/>
        <w:adjustRightInd w:val="0"/>
        <w:snapToGrid w:val="0"/>
        <w:spacing w:before="0" w:beforeLines="0" w:after="0" w:afterLines="0" w:line="460" w:lineRule="exact"/>
        <w:ind w:firstLine="420" w:firstLineChars="200"/>
        <w:rPr>
          <w:rFonts w:hint="eastAsia" w:hAnsi="宋体"/>
          <w:color w:val="auto"/>
          <w:sz w:val="21"/>
          <w:szCs w:val="21"/>
          <w:highlight w:val="none"/>
        </w:rPr>
      </w:pPr>
      <w:r>
        <w:rPr>
          <w:rFonts w:hint="eastAsia" w:hAnsi="宋体"/>
          <w:color w:val="auto"/>
          <w:sz w:val="21"/>
          <w:szCs w:val="21"/>
          <w:highlight w:val="none"/>
        </w:rPr>
        <w:t>4、在系统上公开资格和商务技术评审结果；</w:t>
      </w:r>
    </w:p>
    <w:p>
      <w:pPr>
        <w:pStyle w:val="11"/>
        <w:adjustRightInd w:val="0"/>
        <w:snapToGrid w:val="0"/>
        <w:spacing w:before="0" w:beforeLines="0" w:after="0" w:afterLines="0" w:line="460" w:lineRule="exact"/>
        <w:ind w:firstLine="420" w:firstLineChars="200"/>
        <w:rPr>
          <w:rFonts w:hint="eastAsia" w:hAnsi="宋体"/>
          <w:color w:val="auto"/>
          <w:sz w:val="21"/>
          <w:szCs w:val="21"/>
          <w:highlight w:val="none"/>
        </w:rPr>
      </w:pPr>
      <w:r>
        <w:rPr>
          <w:rFonts w:hint="eastAsia" w:hAnsi="宋体"/>
          <w:color w:val="auto"/>
          <w:sz w:val="21"/>
          <w:szCs w:val="21"/>
          <w:highlight w:val="none"/>
        </w:rPr>
        <w:t>5、在系统上公开报价开标情况；</w:t>
      </w:r>
    </w:p>
    <w:p>
      <w:pPr>
        <w:pStyle w:val="11"/>
        <w:adjustRightInd w:val="0"/>
        <w:snapToGrid w:val="0"/>
        <w:spacing w:before="0" w:beforeLines="0" w:after="0" w:afterLines="0" w:line="460" w:lineRule="exact"/>
        <w:ind w:firstLine="420" w:firstLineChars="200"/>
        <w:rPr>
          <w:rFonts w:hint="eastAsia" w:hAnsi="宋体"/>
          <w:color w:val="auto"/>
          <w:sz w:val="21"/>
          <w:szCs w:val="21"/>
          <w:highlight w:val="none"/>
        </w:rPr>
      </w:pPr>
      <w:r>
        <w:rPr>
          <w:rFonts w:hint="eastAsia" w:hAnsi="宋体"/>
          <w:color w:val="auto"/>
          <w:sz w:val="21"/>
          <w:szCs w:val="21"/>
          <w:highlight w:val="none"/>
        </w:rPr>
        <w:t>6、评标委员会对报价情况进行评审；</w:t>
      </w:r>
    </w:p>
    <w:p>
      <w:pPr>
        <w:pStyle w:val="11"/>
        <w:adjustRightInd w:val="0"/>
        <w:snapToGrid w:val="0"/>
        <w:spacing w:before="0" w:beforeLines="0" w:after="0" w:afterLines="0" w:line="460" w:lineRule="exact"/>
        <w:ind w:firstLine="420" w:firstLineChars="200"/>
        <w:rPr>
          <w:rFonts w:hint="eastAsia" w:hAnsi="宋体"/>
          <w:color w:val="auto"/>
          <w:sz w:val="21"/>
          <w:szCs w:val="21"/>
          <w:highlight w:val="none"/>
        </w:rPr>
      </w:pPr>
      <w:r>
        <w:rPr>
          <w:rFonts w:hint="eastAsia" w:hAnsi="宋体"/>
          <w:color w:val="auto"/>
          <w:sz w:val="21"/>
          <w:szCs w:val="21"/>
          <w:highlight w:val="none"/>
        </w:rPr>
        <w:t>7、在系统上公布评审结果。</w:t>
      </w:r>
    </w:p>
    <w:p>
      <w:pPr>
        <w:pStyle w:val="10"/>
        <w:adjustRightInd w:val="0"/>
        <w:snapToGrid w:val="0"/>
        <w:spacing w:line="460" w:lineRule="exact"/>
        <w:ind w:firstLine="406" w:firstLineChars="200"/>
        <w:rPr>
          <w:rFonts w:hint="eastAsia" w:hAnsi="宋体" w:cs="宋体"/>
          <w:color w:val="auto"/>
          <w:sz w:val="21"/>
          <w:szCs w:val="21"/>
          <w:highlight w:val="none"/>
        </w:rPr>
      </w:pPr>
      <w:r>
        <w:rPr>
          <w:rFonts w:hint="eastAsia" w:hAnsi="宋体" w:cs="宋体"/>
          <w:b/>
          <w:bCs/>
          <w:color w:val="auto"/>
          <w:sz w:val="21"/>
          <w:szCs w:val="21"/>
          <w:highlight w:val="none"/>
        </w:rPr>
        <w:t>注：（1）开标过程需投标人确认的事宜，通过微信或电子邮箱发送邮件等方式进行，请投标人在开标期间做好相应的准备。</w:t>
      </w:r>
      <w:r>
        <w:rPr>
          <w:rFonts w:hint="eastAsia" w:hAnsi="宋体" w:cs="宋体"/>
          <w:bCs/>
          <w:color w:val="auto"/>
          <w:sz w:val="21"/>
          <w:szCs w:val="21"/>
          <w:highlight w:val="none"/>
        </w:rPr>
        <w:t>（2）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djustRightInd w:val="0"/>
        <w:snapToGrid w:val="0"/>
        <w:spacing w:line="460" w:lineRule="exact"/>
        <w:jc w:val="left"/>
        <w:rPr>
          <w:rFonts w:hint="eastAsia" w:ascii="宋体" w:hAnsi="宋体"/>
          <w:b/>
          <w:bCs/>
          <w:color w:val="auto"/>
          <w:szCs w:val="21"/>
          <w:highlight w:val="none"/>
        </w:rPr>
      </w:pPr>
      <w:r>
        <w:rPr>
          <w:rFonts w:hint="eastAsia" w:ascii="宋体" w:hAnsi="宋体"/>
          <w:b/>
          <w:bCs/>
          <w:color w:val="auto"/>
          <w:szCs w:val="21"/>
          <w:highlight w:val="none"/>
        </w:rPr>
        <w:t>（三）特别说明</w:t>
      </w:r>
    </w:p>
    <w:p>
      <w:pPr>
        <w:adjustRightInd w:val="0"/>
        <w:snapToGrid w:val="0"/>
        <w:spacing w:line="460" w:lineRule="exact"/>
        <w:ind w:firstLine="420" w:firstLineChars="200"/>
        <w:jc w:val="left"/>
        <w:rPr>
          <w:rFonts w:hint="eastAsia" w:ascii="宋体" w:hAnsi="宋体"/>
          <w:color w:val="auto"/>
          <w:szCs w:val="21"/>
          <w:highlight w:val="none"/>
        </w:rPr>
      </w:pPr>
      <w:r>
        <w:rPr>
          <w:rFonts w:hint="eastAsia" w:ascii="宋体" w:hAnsi="宋体" w:cs="宋体"/>
          <w:color w:val="auto"/>
          <w:kern w:val="0"/>
          <w:szCs w:val="21"/>
          <w:highlight w:val="none"/>
        </w:rPr>
        <w:t>政府采购云平台</w:t>
      </w:r>
      <w:r>
        <w:rPr>
          <w:rFonts w:hint="eastAsia" w:ascii="宋体" w:hAnsi="宋体"/>
          <w:color w:val="auto"/>
          <w:szCs w:val="21"/>
          <w:highlight w:val="none"/>
        </w:rPr>
        <w:t>如对电子化开标及评审程序有调整的，按调整后的程序操作。</w:t>
      </w:r>
    </w:p>
    <w:p>
      <w:pPr>
        <w:adjustRightInd w:val="0"/>
        <w:snapToGrid w:val="0"/>
        <w:spacing w:line="4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本项目原则上采用政采云电子投标开标及评审程序，但有下情形之一的，按以下情况处理：</w:t>
      </w:r>
    </w:p>
    <w:p>
      <w:pPr>
        <w:adjustRightInd w:val="0"/>
        <w:snapToGrid w:val="0"/>
        <w:spacing w:line="460" w:lineRule="exact"/>
        <w:ind w:firstLine="420" w:firstLineChars="200"/>
        <w:jc w:val="left"/>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、若投标人在规定时间内无法解密或解密失败，代理机构将开启所有投标人递交的</w:t>
      </w:r>
      <w:r>
        <w:rPr>
          <w:rFonts w:hint="eastAsia" w:ascii="宋体" w:hAnsi="宋体" w:cs="宋体"/>
          <w:color w:val="auto"/>
          <w:kern w:val="0"/>
          <w:szCs w:val="21"/>
          <w:highlight w:val="none"/>
        </w:rPr>
        <w:t>以U盘存储的电子备份投标文件</w:t>
      </w:r>
      <w:r>
        <w:rPr>
          <w:rFonts w:hint="eastAsia" w:ascii="宋体" w:hAnsi="宋体"/>
          <w:color w:val="auto"/>
          <w:szCs w:val="21"/>
          <w:highlight w:val="none"/>
        </w:rPr>
        <w:t>，上传至政采云平台项目采购模块，以完成开标，电子投标文件自动失效。</w:t>
      </w:r>
    </w:p>
    <w:p>
      <w:pPr>
        <w:adjustRightInd w:val="0"/>
        <w:snapToGrid w:val="0"/>
        <w:spacing w:line="460" w:lineRule="exact"/>
        <w:ind w:firstLine="420" w:firstLineChars="200"/>
        <w:jc w:val="left"/>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、采购过程中出现以下情形，导致电子交易平台无法正常运行，或者无法保证电子交易的公平、公正和安全时，采购人（或代理机构）可中止电子交易活动：</w:t>
      </w:r>
    </w:p>
    <w:p>
      <w:pPr>
        <w:adjustRightInd w:val="0"/>
        <w:snapToGrid w:val="0"/>
        <w:spacing w:line="4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（1）电子交易平台发生故障而无法登录访问的；</w:t>
      </w:r>
    </w:p>
    <w:p>
      <w:pPr>
        <w:adjustRightInd w:val="0"/>
        <w:snapToGrid w:val="0"/>
        <w:spacing w:line="4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（2）因</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原因无法读取或电子开评标无法正常进行的；</w:t>
      </w:r>
    </w:p>
    <w:p>
      <w:pPr>
        <w:adjustRightInd w:val="0"/>
        <w:snapToGrid w:val="0"/>
        <w:spacing w:line="4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（3）电子交易平台应用或数据库出现错误，不能进行正常操作的；</w:t>
      </w:r>
    </w:p>
    <w:p>
      <w:pPr>
        <w:adjustRightInd w:val="0"/>
        <w:snapToGrid w:val="0"/>
        <w:spacing w:line="4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（4）电子交易平台发现严重安全漏洞，有潜在泄密危险；</w:t>
      </w:r>
    </w:p>
    <w:p>
      <w:pPr>
        <w:adjustRightInd w:val="0"/>
        <w:snapToGrid w:val="0"/>
        <w:spacing w:line="4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（5）病毒发作导致不能进行正常操作的； </w:t>
      </w:r>
    </w:p>
    <w:p>
      <w:pPr>
        <w:adjustRightInd w:val="0"/>
        <w:snapToGrid w:val="0"/>
        <w:spacing w:line="4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（6）其他无法保证电子交易的公平、公正和安全的情况。</w:t>
      </w:r>
    </w:p>
    <w:p>
      <w:pPr>
        <w:adjustRightInd w:val="0"/>
        <w:snapToGrid w:val="0"/>
        <w:spacing w:line="460" w:lineRule="exact"/>
        <w:ind w:firstLine="420" w:firstLineChars="200"/>
        <w:jc w:val="left"/>
        <w:rPr>
          <w:rFonts w:hint="eastAsia" w:ascii="宋体" w:hAnsi="宋体" w:cs="宋体"/>
          <w:b/>
          <w:color w:val="auto"/>
          <w:szCs w:val="21"/>
          <w:highlight w:val="none"/>
        </w:rPr>
      </w:pPr>
      <w:r>
        <w:rPr>
          <w:rFonts w:hint="eastAsia" w:ascii="宋体" w:hAnsi="宋体"/>
          <w:color w:val="auto"/>
          <w:szCs w:val="21"/>
          <w:highlight w:val="none"/>
        </w:rPr>
        <w:t xml:space="preserve"> 出现前款规定情形，不影响采购公平、公正性的，采购人（或代理机构）可以待上述情形消除后继续组织电子交易活动。</w:t>
      </w:r>
    </w:p>
    <w:p>
      <w:pPr>
        <w:pStyle w:val="5"/>
        <w:adjustRightInd w:val="0"/>
        <w:snapToGrid w:val="0"/>
        <w:spacing w:before="0" w:after="0" w:line="460" w:lineRule="exact"/>
        <w:rPr>
          <w:rFonts w:hint="eastAsia" w:ascii="宋体" w:hAnsi="宋体" w:eastAsia="宋体" w:cs="宋体"/>
          <w:color w:val="auto"/>
          <w:sz w:val="21"/>
          <w:szCs w:val="21"/>
          <w:highlight w:val="none"/>
        </w:rPr>
      </w:pPr>
      <w:bookmarkStart w:id="88" w:name="_Toc11761"/>
      <w:bookmarkStart w:id="89" w:name="_Toc463726810"/>
      <w:bookmarkStart w:id="90" w:name="_Toc29849"/>
      <w:r>
        <w:rPr>
          <w:rFonts w:hint="eastAsia" w:ascii="宋体" w:hAnsi="宋体" w:eastAsia="宋体" w:cs="宋体"/>
          <w:color w:val="auto"/>
          <w:sz w:val="21"/>
          <w:szCs w:val="21"/>
          <w:highlight w:val="none"/>
        </w:rPr>
        <w:t>五、评标</w:t>
      </w:r>
      <w:bookmarkEnd w:id="88"/>
      <w:bookmarkEnd w:id="89"/>
      <w:bookmarkEnd w:id="90"/>
    </w:p>
    <w:p>
      <w:pPr>
        <w:pStyle w:val="6"/>
        <w:adjustRightInd w:val="0"/>
        <w:snapToGrid w:val="0"/>
        <w:spacing w:before="0" w:after="0" w:line="460" w:lineRule="exact"/>
        <w:jc w:val="both"/>
        <w:rPr>
          <w:rFonts w:hint="eastAsia" w:ascii="宋体" w:hAnsi="宋体" w:cs="宋体"/>
          <w:color w:val="auto"/>
          <w:sz w:val="21"/>
          <w:szCs w:val="21"/>
          <w:highlight w:val="none"/>
        </w:rPr>
      </w:pPr>
      <w:bookmarkStart w:id="91" w:name="_Toc26788"/>
      <w:bookmarkStart w:id="92" w:name="_Toc463726811"/>
      <w:bookmarkStart w:id="93" w:name="_Toc25132"/>
      <w:r>
        <w:rPr>
          <w:rFonts w:hint="eastAsia" w:ascii="宋体" w:hAnsi="宋体" w:cs="宋体"/>
          <w:color w:val="auto"/>
          <w:sz w:val="21"/>
          <w:szCs w:val="21"/>
          <w:highlight w:val="none"/>
        </w:rPr>
        <w:t>（一）组建评标委员会</w:t>
      </w:r>
      <w:bookmarkEnd w:id="91"/>
      <w:bookmarkEnd w:id="92"/>
      <w:bookmarkEnd w:id="93"/>
    </w:p>
    <w:p>
      <w:pPr>
        <w:pStyle w:val="11"/>
        <w:adjustRightInd w:val="0"/>
        <w:snapToGrid w:val="0"/>
        <w:spacing w:before="0" w:beforeLines="0" w:after="0" w:afterLines="0" w:line="460" w:lineRule="exact"/>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评标委员会：采购人和采购代理机构根据采购项目的内容特点按照规定组建评标委员会。</w:t>
      </w:r>
    </w:p>
    <w:p>
      <w:pPr>
        <w:pStyle w:val="11"/>
        <w:adjustRightInd w:val="0"/>
        <w:snapToGrid w:val="0"/>
        <w:spacing w:before="0" w:beforeLines="0" w:after="0" w:afterLines="0" w:line="460" w:lineRule="exact"/>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主持人宣布评标期间的有关事项，告知应当回避的情形，提请有关人员回避。</w:t>
      </w:r>
    </w:p>
    <w:p>
      <w:pPr>
        <w:pStyle w:val="6"/>
        <w:adjustRightInd w:val="0"/>
        <w:snapToGrid w:val="0"/>
        <w:spacing w:before="0" w:after="0" w:line="460" w:lineRule="exact"/>
        <w:jc w:val="both"/>
        <w:rPr>
          <w:rFonts w:hint="eastAsia" w:ascii="宋体" w:hAnsi="宋体" w:cs="宋体"/>
          <w:color w:val="auto"/>
          <w:sz w:val="21"/>
          <w:szCs w:val="21"/>
          <w:highlight w:val="none"/>
        </w:rPr>
      </w:pPr>
      <w:bookmarkStart w:id="94" w:name="_Toc463726812"/>
      <w:bookmarkStart w:id="95" w:name="_Toc22910"/>
      <w:bookmarkStart w:id="96" w:name="_Toc4592"/>
      <w:r>
        <w:rPr>
          <w:rFonts w:hint="eastAsia" w:ascii="宋体" w:hAnsi="宋体" w:cs="宋体"/>
          <w:color w:val="auto"/>
          <w:sz w:val="21"/>
          <w:szCs w:val="21"/>
          <w:highlight w:val="none"/>
        </w:rPr>
        <w:t>（二）评标的方式</w:t>
      </w:r>
      <w:bookmarkEnd w:id="94"/>
      <w:bookmarkEnd w:id="95"/>
      <w:bookmarkEnd w:id="96"/>
    </w:p>
    <w:p>
      <w:pPr>
        <w:pStyle w:val="11"/>
        <w:adjustRightInd w:val="0"/>
        <w:snapToGrid w:val="0"/>
        <w:spacing w:before="0" w:beforeLines="0" w:after="0" w:afterLines="0" w:line="460" w:lineRule="exact"/>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本项目采用不公开方式评标，评标的依据为招标文件和投标文件。</w:t>
      </w:r>
    </w:p>
    <w:p>
      <w:pPr>
        <w:pStyle w:val="6"/>
        <w:adjustRightInd w:val="0"/>
        <w:snapToGrid w:val="0"/>
        <w:spacing w:before="0" w:after="0" w:line="460" w:lineRule="exact"/>
        <w:jc w:val="both"/>
        <w:rPr>
          <w:rFonts w:hint="eastAsia" w:ascii="宋体" w:hAnsi="宋体" w:cs="宋体"/>
          <w:color w:val="auto"/>
          <w:sz w:val="21"/>
          <w:szCs w:val="21"/>
          <w:highlight w:val="none"/>
        </w:rPr>
      </w:pPr>
      <w:bookmarkStart w:id="97" w:name="_Toc25360"/>
      <w:bookmarkStart w:id="98" w:name="_Toc6683"/>
      <w:bookmarkStart w:id="99" w:name="_Toc463726813"/>
      <w:r>
        <w:rPr>
          <w:rFonts w:hint="eastAsia" w:ascii="宋体" w:hAnsi="宋体" w:cs="宋体"/>
          <w:color w:val="auto"/>
          <w:sz w:val="21"/>
          <w:szCs w:val="21"/>
          <w:highlight w:val="none"/>
        </w:rPr>
        <w:t>（三）评标程序</w:t>
      </w:r>
      <w:bookmarkEnd w:id="97"/>
      <w:bookmarkEnd w:id="98"/>
      <w:bookmarkEnd w:id="99"/>
    </w:p>
    <w:p>
      <w:pPr>
        <w:adjustRightInd w:val="0"/>
        <w:snapToGrid w:val="0"/>
        <w:spacing w:line="460" w:lineRule="exact"/>
        <w:ind w:firstLine="422" w:firstLineChars="200"/>
        <w:rPr>
          <w:rFonts w:hint="eastAsia" w:ascii="宋体" w:hAnsi="宋体" w:cs="宋体"/>
          <w:b/>
          <w:color w:val="auto"/>
          <w:szCs w:val="21"/>
          <w:highlight w:val="none"/>
        </w:rPr>
      </w:pPr>
      <w:bookmarkStart w:id="100" w:name="_Toc15640"/>
      <w:bookmarkStart w:id="101" w:name="_Toc28796"/>
      <w:bookmarkStart w:id="102" w:name="_Toc463726814"/>
      <w:r>
        <w:rPr>
          <w:rFonts w:hint="eastAsia" w:ascii="宋体" w:hAnsi="宋体" w:cs="宋体"/>
          <w:b/>
          <w:color w:val="auto"/>
          <w:szCs w:val="21"/>
          <w:highlight w:val="none"/>
        </w:rPr>
        <w:t>1、资格条件审查</w:t>
      </w:r>
    </w:p>
    <w:p>
      <w:pPr>
        <w:adjustRightInd w:val="0"/>
        <w:snapToGrid w:val="0"/>
        <w:spacing w:line="460" w:lineRule="exact"/>
        <w:ind w:firstLine="522" w:firstLineChars="249"/>
        <w:rPr>
          <w:rFonts w:hint="eastAsia" w:ascii="宋体" w:hAnsi="宋体" w:cs="宋体"/>
          <w:color w:val="auto"/>
          <w:szCs w:val="21"/>
          <w:highlight w:val="none"/>
        </w:rPr>
      </w:pPr>
      <w:r>
        <w:rPr>
          <w:rFonts w:hint="eastAsia" w:ascii="宋体" w:hAnsi="宋体" w:cs="宋体"/>
          <w:color w:val="auto"/>
          <w:szCs w:val="21"/>
          <w:highlight w:val="none"/>
        </w:rPr>
        <w:t>由采购人或代理机构对投标人的资格进行审查。</w:t>
      </w:r>
    </w:p>
    <w:tbl>
      <w:tblPr>
        <w:tblStyle w:val="19"/>
        <w:tblW w:w="88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7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81" w:type="dxa"/>
            <w:noWrap w:val="0"/>
            <w:vAlign w:val="center"/>
          </w:tcPr>
          <w:p>
            <w:pPr>
              <w:adjustRightInd w:val="0"/>
              <w:snapToGrid w:val="0"/>
              <w:spacing w:line="400" w:lineRule="exact"/>
              <w:jc w:val="center"/>
              <w:rPr>
                <w:b/>
                <w:color w:val="auto"/>
                <w:szCs w:val="21"/>
                <w:highlight w:val="none"/>
              </w:rPr>
            </w:pPr>
            <w:r>
              <w:rPr>
                <w:rFonts w:hint="eastAsia"/>
                <w:b/>
                <w:color w:val="auto"/>
                <w:szCs w:val="21"/>
                <w:highlight w:val="none"/>
              </w:rPr>
              <w:t>审查类别</w:t>
            </w:r>
          </w:p>
        </w:tc>
        <w:tc>
          <w:tcPr>
            <w:tcW w:w="7416" w:type="dxa"/>
            <w:noWrap w:val="0"/>
            <w:vAlign w:val="center"/>
          </w:tcPr>
          <w:p>
            <w:pPr>
              <w:adjustRightInd w:val="0"/>
              <w:snapToGrid w:val="0"/>
              <w:spacing w:line="400" w:lineRule="exact"/>
              <w:jc w:val="center"/>
              <w:rPr>
                <w:b/>
                <w:color w:val="auto"/>
                <w:szCs w:val="21"/>
                <w:highlight w:val="none"/>
              </w:rPr>
            </w:pPr>
            <w:r>
              <w:rPr>
                <w:rFonts w:hint="eastAsia"/>
                <w:b/>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1" w:type="dxa"/>
            <w:vMerge w:val="restart"/>
            <w:noWrap w:val="0"/>
            <w:vAlign w:val="center"/>
          </w:tcPr>
          <w:p>
            <w:pPr>
              <w:adjustRightInd w:val="0"/>
              <w:snapToGrid w:val="0"/>
              <w:spacing w:line="400" w:lineRule="exact"/>
              <w:jc w:val="center"/>
              <w:rPr>
                <w:color w:val="auto"/>
                <w:szCs w:val="21"/>
                <w:highlight w:val="none"/>
              </w:rPr>
            </w:pPr>
            <w:r>
              <w:rPr>
                <w:rFonts w:hint="eastAsia"/>
                <w:color w:val="auto"/>
                <w:szCs w:val="21"/>
                <w:highlight w:val="none"/>
              </w:rPr>
              <w:t>资格条件审查</w:t>
            </w:r>
          </w:p>
        </w:tc>
        <w:tc>
          <w:tcPr>
            <w:tcW w:w="7416" w:type="dxa"/>
            <w:noWrap w:val="0"/>
            <w:vAlign w:val="center"/>
          </w:tcPr>
          <w:p>
            <w:pPr>
              <w:adjustRightInd w:val="0"/>
              <w:snapToGrid w:val="0"/>
              <w:spacing w:line="400" w:lineRule="exact"/>
              <w:rPr>
                <w:rFonts w:hint="eastAsia"/>
                <w:color w:val="auto"/>
                <w:szCs w:val="21"/>
                <w:highlight w:val="none"/>
              </w:rPr>
            </w:pPr>
            <w:r>
              <w:rPr>
                <w:rFonts w:hint="eastAsia" w:ascii="宋体" w:hAnsi="宋体"/>
                <w:color w:val="auto"/>
                <w:highlight w:val="none"/>
              </w:rPr>
              <w:t>（一）符合《中华人民共和国政府采购法》第二十二条规定的投标人资格条件。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4" w:hRule="atLeast"/>
        </w:trPr>
        <w:tc>
          <w:tcPr>
            <w:tcW w:w="1481" w:type="dxa"/>
            <w:vMerge w:val="continue"/>
            <w:noWrap w:val="0"/>
            <w:vAlign w:val="center"/>
          </w:tcPr>
          <w:p>
            <w:pPr>
              <w:adjustRightInd w:val="0"/>
              <w:snapToGrid w:val="0"/>
              <w:spacing w:line="400" w:lineRule="exact"/>
              <w:jc w:val="center"/>
              <w:rPr>
                <w:rFonts w:hint="eastAsia"/>
                <w:color w:val="auto"/>
                <w:szCs w:val="21"/>
                <w:highlight w:val="none"/>
              </w:rPr>
            </w:pPr>
          </w:p>
        </w:tc>
        <w:tc>
          <w:tcPr>
            <w:tcW w:w="7416" w:type="dxa"/>
            <w:noWrap w:val="0"/>
            <w:vAlign w:val="center"/>
          </w:tcPr>
          <w:p>
            <w:pPr>
              <w:adjustRightInd w:val="0"/>
              <w:snapToGrid w:val="0"/>
              <w:spacing w:line="400" w:lineRule="exact"/>
              <w:rPr>
                <w:rFonts w:hint="eastAsia" w:ascii="宋体" w:hAnsi="宋体" w:eastAsia="宋体" w:cs="Times New Roman"/>
                <w:color w:val="auto"/>
                <w:highlight w:val="none"/>
                <w:lang w:val="en-US" w:eastAsia="zh-CN"/>
              </w:rPr>
            </w:pPr>
            <w:r>
              <w:rPr>
                <w:rFonts w:hint="eastAsia"/>
                <w:color w:val="auto"/>
                <w:highlight w:val="none"/>
                <w:lang w:val="en-US" w:eastAsia="zh-CN"/>
              </w:rPr>
              <w:t>（二）符</w:t>
            </w:r>
            <w:r>
              <w:rPr>
                <w:rFonts w:hint="eastAsia" w:ascii="宋体" w:hAnsi="宋体" w:eastAsia="宋体" w:cs="Times New Roman"/>
                <w:color w:val="auto"/>
                <w:highlight w:val="none"/>
                <w:lang w:val="en-US" w:eastAsia="zh-CN"/>
              </w:rPr>
              <w:t>合本项目的特定资格要求：</w:t>
            </w:r>
          </w:p>
          <w:p>
            <w:pPr>
              <w:adjustRightInd w:val="0"/>
              <w:snapToGrid w:val="0"/>
              <w:spacing w:line="400" w:lineRule="exact"/>
              <w:rPr>
                <w:rFonts w:hint="eastAsia" w:ascii="宋体" w:hAnsi="宋体" w:eastAsia="宋体" w:cs="Times New Roman"/>
                <w:color w:val="auto"/>
                <w:highlight w:val="none"/>
              </w:rPr>
            </w:pPr>
            <w:r>
              <w:rPr>
                <w:rFonts w:hint="eastAsia" w:ascii="宋体" w:hAnsi="宋体" w:eastAsia="宋体" w:cs="Times New Roman"/>
                <w:color w:val="auto"/>
                <w:highlight w:val="none"/>
                <w:lang w:val="en-US" w:eastAsia="zh-CN"/>
              </w:rPr>
              <w:t>1、投标人具有公安部门核准颁发的保安服务许可证（投标文件中提供有效期内的证书复印件）。</w:t>
            </w:r>
          </w:p>
          <w:p>
            <w:pPr>
              <w:adjustRightInd w:val="0"/>
              <w:snapToGrid w:val="0"/>
              <w:spacing w:line="400" w:lineRule="exact"/>
              <w:rPr>
                <w:rFonts w:hint="eastAsia" w:ascii="宋体" w:hAnsi="宋体" w:eastAsia="宋体" w:cs="Times New Roman"/>
                <w:color w:val="auto"/>
                <w:highlight w:val="none"/>
              </w:rPr>
            </w:pPr>
            <w:r>
              <w:rPr>
                <w:rFonts w:hint="eastAsia" w:ascii="宋体" w:hAnsi="宋体" w:eastAsia="宋体" w:cs="Times New Roman"/>
                <w:color w:val="auto"/>
                <w:highlight w:val="none"/>
                <w:lang w:val="en-US" w:eastAsia="zh-CN"/>
              </w:rPr>
              <w:t>2、</w:t>
            </w:r>
            <w:r>
              <w:rPr>
                <w:rFonts w:hint="eastAsia" w:ascii="宋体" w:hAnsi="宋体" w:eastAsia="宋体" w:cs="Times New Roman"/>
                <w:color w:val="auto"/>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本项目投标；</w:t>
            </w:r>
          </w:p>
          <w:p>
            <w:pPr>
              <w:adjustRightInd w:val="0"/>
              <w:snapToGrid w:val="0"/>
              <w:spacing w:line="400" w:lineRule="exact"/>
              <w:rPr>
                <w:rFonts w:hint="default"/>
                <w:color w:val="auto"/>
                <w:highlight w:val="none"/>
                <w:lang w:val="en-US" w:eastAsia="zh-CN"/>
              </w:rPr>
            </w:pPr>
            <w:r>
              <w:rPr>
                <w:rFonts w:hint="eastAsia" w:ascii="宋体" w:hAnsi="宋体" w:eastAsia="宋体" w:cs="Times New Roman"/>
                <w:color w:val="auto"/>
                <w:highlight w:val="none"/>
                <w:lang w:val="en-US" w:eastAsia="zh-CN"/>
              </w:rPr>
              <w:t>3、</w:t>
            </w:r>
            <w:r>
              <w:rPr>
                <w:rFonts w:hint="eastAsia" w:ascii="宋体" w:hAnsi="宋体" w:eastAsia="宋体" w:cs="Times New Roman"/>
                <w:color w:val="auto"/>
                <w:highlight w:val="none"/>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及中国政府采购网查询结果为准，如相关失信记录已失效，投标人须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1" w:type="dxa"/>
            <w:vMerge w:val="continue"/>
            <w:noWrap w:val="0"/>
            <w:vAlign w:val="center"/>
          </w:tcPr>
          <w:p>
            <w:pPr>
              <w:adjustRightInd w:val="0"/>
              <w:snapToGrid w:val="0"/>
              <w:spacing w:line="400" w:lineRule="exact"/>
              <w:jc w:val="center"/>
              <w:rPr>
                <w:color w:val="auto"/>
                <w:szCs w:val="21"/>
                <w:highlight w:val="none"/>
              </w:rPr>
            </w:pPr>
          </w:p>
        </w:tc>
        <w:tc>
          <w:tcPr>
            <w:tcW w:w="7416" w:type="dxa"/>
            <w:noWrap w:val="0"/>
            <w:vAlign w:val="center"/>
          </w:tcPr>
          <w:p>
            <w:pPr>
              <w:adjustRightInd w:val="0"/>
              <w:snapToGrid w:val="0"/>
              <w:spacing w:line="400" w:lineRule="exact"/>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三</w:t>
            </w:r>
            <w:r>
              <w:rPr>
                <w:rFonts w:hint="eastAsia" w:ascii="宋体" w:hAnsi="宋体"/>
                <w:color w:val="auto"/>
                <w:highlight w:val="none"/>
              </w:rPr>
              <w:t>）本项目不接受联合体投标。</w:t>
            </w:r>
          </w:p>
        </w:tc>
      </w:tr>
    </w:tbl>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合格投标人不足3家的，评标程序不进行。</w:t>
      </w:r>
    </w:p>
    <w:p>
      <w:pPr>
        <w:adjustRightInd w:val="0"/>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2、符合性审查</w:t>
      </w:r>
    </w:p>
    <w:p>
      <w:pPr>
        <w:adjustRightInd w:val="0"/>
        <w:snapToGrid w:val="0"/>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评标委员会应当对符合资格的投标人的投标文件进行符合性审查，以确定其是否满足采购文件的实质性要求。</w:t>
      </w:r>
    </w:p>
    <w:tbl>
      <w:tblPr>
        <w:tblStyle w:val="19"/>
        <w:tblW w:w="88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7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503" w:type="dxa"/>
            <w:noWrap w:val="0"/>
            <w:vAlign w:val="center"/>
          </w:tcPr>
          <w:p>
            <w:pPr>
              <w:spacing w:line="360" w:lineRule="auto"/>
              <w:jc w:val="center"/>
              <w:rPr>
                <w:b/>
                <w:color w:val="auto"/>
                <w:szCs w:val="21"/>
                <w:highlight w:val="none"/>
              </w:rPr>
            </w:pPr>
            <w:r>
              <w:rPr>
                <w:rFonts w:hint="eastAsia"/>
                <w:b/>
                <w:color w:val="auto"/>
                <w:szCs w:val="21"/>
                <w:highlight w:val="none"/>
              </w:rPr>
              <w:t>审查类别</w:t>
            </w:r>
          </w:p>
        </w:tc>
        <w:tc>
          <w:tcPr>
            <w:tcW w:w="7394" w:type="dxa"/>
            <w:noWrap w:val="0"/>
            <w:vAlign w:val="center"/>
          </w:tcPr>
          <w:p>
            <w:pPr>
              <w:spacing w:line="360" w:lineRule="auto"/>
              <w:jc w:val="center"/>
              <w:rPr>
                <w:b/>
                <w:color w:val="auto"/>
                <w:szCs w:val="21"/>
                <w:highlight w:val="none"/>
              </w:rPr>
            </w:pPr>
            <w:r>
              <w:rPr>
                <w:rFonts w:hint="eastAsia"/>
                <w:b/>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Merge w:val="restart"/>
            <w:noWrap w:val="0"/>
            <w:vAlign w:val="center"/>
          </w:tcPr>
          <w:p>
            <w:pPr>
              <w:spacing w:line="360" w:lineRule="auto"/>
              <w:jc w:val="center"/>
              <w:rPr>
                <w:color w:val="auto"/>
                <w:szCs w:val="21"/>
                <w:highlight w:val="none"/>
              </w:rPr>
            </w:pPr>
            <w:r>
              <w:rPr>
                <w:rFonts w:hint="eastAsia"/>
                <w:color w:val="auto"/>
                <w:szCs w:val="21"/>
                <w:highlight w:val="none"/>
              </w:rPr>
              <w:t>符合性审查</w:t>
            </w:r>
          </w:p>
        </w:tc>
        <w:tc>
          <w:tcPr>
            <w:tcW w:w="7394" w:type="dxa"/>
            <w:noWrap w:val="0"/>
            <w:vAlign w:val="center"/>
          </w:tcPr>
          <w:p>
            <w:pPr>
              <w:tabs>
                <w:tab w:val="left" w:pos="612"/>
              </w:tabs>
              <w:spacing w:before="120" w:beforeLines="50" w:after="120" w:afterLines="50"/>
              <w:rPr>
                <w:rFonts w:hint="eastAsia" w:ascii="宋体" w:hAnsi="宋体" w:cs="宋体"/>
                <w:color w:val="auto"/>
                <w:highlight w:val="none"/>
              </w:rPr>
            </w:pPr>
            <w:r>
              <w:rPr>
                <w:rFonts w:hint="eastAsia" w:ascii="宋体" w:hAnsi="宋体" w:cs="宋体"/>
                <w:color w:val="auto"/>
                <w:highlight w:val="none"/>
              </w:rPr>
              <w:t>投标函已提交并符合采购文件要求的；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Merge w:val="continue"/>
            <w:noWrap w:val="0"/>
            <w:vAlign w:val="top"/>
          </w:tcPr>
          <w:p>
            <w:pPr>
              <w:spacing w:line="360" w:lineRule="auto"/>
              <w:rPr>
                <w:color w:val="auto"/>
                <w:szCs w:val="21"/>
                <w:highlight w:val="none"/>
              </w:rPr>
            </w:pPr>
          </w:p>
        </w:tc>
        <w:tc>
          <w:tcPr>
            <w:tcW w:w="7394" w:type="dxa"/>
            <w:noWrap w:val="0"/>
            <w:vAlign w:val="center"/>
          </w:tcPr>
          <w:p>
            <w:pPr>
              <w:tabs>
                <w:tab w:val="left" w:pos="612"/>
              </w:tabs>
              <w:spacing w:before="120" w:beforeLines="50" w:after="120" w:afterLines="50"/>
              <w:rPr>
                <w:rFonts w:ascii="宋体" w:hAnsi="宋体" w:cs="宋体"/>
                <w:color w:val="auto"/>
                <w:highlight w:val="none"/>
              </w:rPr>
            </w:pPr>
            <w:r>
              <w:rPr>
                <w:rFonts w:hint="eastAsia" w:ascii="宋体" w:hAnsi="宋体" w:cs="宋体"/>
                <w:color w:val="auto"/>
                <w:highlight w:val="none"/>
              </w:rPr>
              <w:t>投标人按照采购文件规定要求盖章；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Merge w:val="continue"/>
            <w:noWrap w:val="0"/>
            <w:vAlign w:val="top"/>
          </w:tcPr>
          <w:p>
            <w:pPr>
              <w:spacing w:line="360" w:lineRule="auto"/>
              <w:rPr>
                <w:color w:val="auto"/>
                <w:szCs w:val="21"/>
                <w:highlight w:val="none"/>
              </w:rPr>
            </w:pPr>
          </w:p>
        </w:tc>
        <w:tc>
          <w:tcPr>
            <w:tcW w:w="7394" w:type="dxa"/>
            <w:noWrap w:val="0"/>
            <w:vAlign w:val="center"/>
          </w:tcPr>
          <w:p>
            <w:pPr>
              <w:tabs>
                <w:tab w:val="left" w:pos="612"/>
              </w:tabs>
              <w:spacing w:before="120" w:beforeLines="50" w:after="120" w:afterLines="50"/>
              <w:rPr>
                <w:rFonts w:hint="eastAsia" w:ascii="宋体" w:hAnsi="宋体" w:cs="宋体"/>
                <w:color w:val="auto"/>
                <w:kern w:val="0"/>
                <w:highlight w:val="none"/>
              </w:rPr>
            </w:pPr>
            <w:r>
              <w:rPr>
                <w:rFonts w:hint="eastAsia" w:ascii="宋体" w:hAnsi="宋体" w:cs="宋体"/>
                <w:color w:val="auto"/>
                <w:highlight w:val="none"/>
              </w:rPr>
              <w:t>投标文件完全满足采购文件的实质性条款（即带“★”的条款）无负偏离的；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Merge w:val="continue"/>
            <w:noWrap w:val="0"/>
            <w:vAlign w:val="top"/>
          </w:tcPr>
          <w:p>
            <w:pPr>
              <w:spacing w:line="360" w:lineRule="auto"/>
              <w:rPr>
                <w:color w:val="auto"/>
                <w:szCs w:val="21"/>
                <w:highlight w:val="none"/>
              </w:rPr>
            </w:pPr>
          </w:p>
        </w:tc>
        <w:tc>
          <w:tcPr>
            <w:tcW w:w="7394" w:type="dxa"/>
            <w:noWrap w:val="0"/>
            <w:vAlign w:val="center"/>
          </w:tcPr>
          <w:p>
            <w:pPr>
              <w:spacing w:before="120" w:beforeLines="50" w:after="120" w:afterLines="50"/>
              <w:rPr>
                <w:rFonts w:ascii="宋体" w:hAnsi="宋体" w:cs="宋体"/>
                <w:color w:val="auto"/>
                <w:highlight w:val="none"/>
              </w:rPr>
            </w:pPr>
            <w:r>
              <w:rPr>
                <w:rFonts w:hint="eastAsia" w:ascii="宋体" w:hAnsi="宋体" w:cs="宋体"/>
                <w:color w:val="auto"/>
                <w:highlight w:val="none"/>
              </w:rPr>
              <w:t>投标文件没有采购文件中规定的其它无效投标条款的；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Merge w:val="continue"/>
            <w:noWrap w:val="0"/>
            <w:vAlign w:val="top"/>
          </w:tcPr>
          <w:p>
            <w:pPr>
              <w:spacing w:line="360" w:lineRule="auto"/>
              <w:rPr>
                <w:color w:val="auto"/>
                <w:szCs w:val="21"/>
                <w:highlight w:val="none"/>
              </w:rPr>
            </w:pPr>
          </w:p>
        </w:tc>
        <w:tc>
          <w:tcPr>
            <w:tcW w:w="7394" w:type="dxa"/>
            <w:noWrap w:val="0"/>
            <w:vAlign w:val="center"/>
          </w:tcPr>
          <w:p>
            <w:pPr>
              <w:spacing w:before="120" w:beforeLines="50" w:after="120" w:afterLines="50"/>
              <w:rPr>
                <w:rFonts w:hint="eastAsia" w:ascii="宋体" w:hAnsi="宋体" w:cs="宋体"/>
                <w:color w:val="auto"/>
                <w:highlight w:val="none"/>
              </w:rPr>
            </w:pPr>
            <w:r>
              <w:rPr>
                <w:rFonts w:hint="eastAsia" w:ascii="宋体" w:hAnsi="宋体" w:cs="宋体"/>
                <w:color w:val="auto"/>
                <w:highlight w:val="none"/>
              </w:rPr>
              <w:t>按有关法律、法规、规章不属于投标无效的。</w:t>
            </w:r>
          </w:p>
        </w:tc>
      </w:tr>
    </w:tbl>
    <w:p>
      <w:pPr>
        <w:snapToGrid w:val="0"/>
        <w:spacing w:line="44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3、实质审查</w:t>
      </w:r>
    </w:p>
    <w:p>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（1）评标委员会审查投标文件的实质性内容是否符合招标文件的实质性要求。</w:t>
      </w:r>
    </w:p>
    <w:p>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（2）评标委员会将根据投标人的投标文件进行审查、核对，如有疑问，将对投标人进行询标，投标人要向评标委员会澄清有关问题。</w:t>
      </w:r>
    </w:p>
    <w:p>
      <w:pPr>
        <w:pStyle w:val="6"/>
        <w:snapToGrid w:val="0"/>
        <w:spacing w:before="0" w:after="0" w:line="440" w:lineRule="exact"/>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（四）澄清问题的形式</w:t>
      </w:r>
      <w:bookmarkEnd w:id="100"/>
      <w:bookmarkEnd w:id="101"/>
      <w:bookmarkEnd w:id="102"/>
    </w:p>
    <w:p>
      <w:pPr>
        <w:pStyle w:val="6"/>
        <w:snapToGrid w:val="0"/>
        <w:spacing w:before="0" w:after="0" w:line="440" w:lineRule="exact"/>
        <w:ind w:firstLine="420" w:firstLineChars="200"/>
        <w:jc w:val="both"/>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对投标文件中含义不明确、同类问题表述不一致或者有明显文字和计算错误的内容，评标委员会可要求投标人作出必要的澄清、说明或者纠正。电子投标文件的，澄清、说明或者补正通过电子交易平台交换数据电子文件，投标人提交澄清说明或补正的时间为30分钟。</w:t>
      </w:r>
    </w:p>
    <w:p>
      <w:pPr>
        <w:pStyle w:val="6"/>
        <w:snapToGrid w:val="0"/>
        <w:spacing w:before="0" w:after="0" w:line="440" w:lineRule="exact"/>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（五）错误修正</w:t>
      </w:r>
      <w:bookmarkEnd w:id="74"/>
      <w:bookmarkEnd w:id="75"/>
      <w:bookmarkEnd w:id="76"/>
      <w:bookmarkEnd w:id="77"/>
    </w:p>
    <w:p>
      <w:pPr>
        <w:pStyle w:val="11"/>
        <w:snapToGrid w:val="0"/>
        <w:spacing w:before="0" w:beforeLines="0" w:after="0" w:afterLines="0" w:line="440" w:lineRule="exact"/>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投标文件如果出现计算或表达上的错误，修正错误的原则如下：</w:t>
      </w:r>
    </w:p>
    <w:p>
      <w:pPr>
        <w:pStyle w:val="11"/>
        <w:adjustRightInd w:val="0"/>
        <w:snapToGrid w:val="0"/>
        <w:spacing w:before="0" w:beforeLines="0" w:after="0" w:afterLines="0" w:line="440" w:lineRule="exact"/>
        <w:ind w:firstLine="420" w:firstLineChars="200"/>
        <w:rPr>
          <w:rFonts w:hint="eastAsia" w:hAnsi="宋体" w:cs="宋体"/>
          <w:color w:val="auto"/>
          <w:sz w:val="21"/>
          <w:szCs w:val="21"/>
          <w:highlight w:val="none"/>
        </w:rPr>
      </w:pPr>
      <w:bookmarkStart w:id="103" w:name="_Toc3305"/>
      <w:bookmarkStart w:id="104" w:name="_Toc463726816"/>
      <w:bookmarkStart w:id="105" w:name="_Toc16545"/>
      <w:r>
        <w:rPr>
          <w:rFonts w:hint="eastAsia" w:hAnsi="宋体" w:cs="宋体"/>
          <w:color w:val="auto"/>
          <w:sz w:val="21"/>
          <w:szCs w:val="21"/>
          <w:highlight w:val="none"/>
        </w:rPr>
        <w:t>1.投标文件中开标一览表内容与投标文件中相应内容不一致的，以开标一览表为准；</w:t>
      </w:r>
    </w:p>
    <w:p>
      <w:pPr>
        <w:pStyle w:val="11"/>
        <w:adjustRightInd w:val="0"/>
        <w:snapToGrid w:val="0"/>
        <w:spacing w:before="0" w:beforeLines="0" w:after="0" w:afterLines="0" w:line="4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2.大写金额和小写金额不一致的，以大写金额为准；</w:t>
      </w:r>
    </w:p>
    <w:p>
      <w:pPr>
        <w:pStyle w:val="11"/>
        <w:adjustRightInd w:val="0"/>
        <w:snapToGrid w:val="0"/>
        <w:spacing w:before="0" w:beforeLines="0" w:after="0" w:afterLines="0" w:line="4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3.单价金额小数点或者百分比有明显错位的，以开标一览表的总价为准，并修改单价；</w:t>
      </w:r>
    </w:p>
    <w:p>
      <w:pPr>
        <w:pStyle w:val="11"/>
        <w:adjustRightInd w:val="0"/>
        <w:snapToGrid w:val="0"/>
        <w:spacing w:before="0" w:beforeLines="0" w:after="0" w:afterLines="0" w:line="4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4.总价金额与按单价汇总金额不一致的，以单价金额计算结果为准。</w:t>
      </w:r>
    </w:p>
    <w:p>
      <w:pPr>
        <w:pStyle w:val="11"/>
        <w:adjustRightInd w:val="0"/>
        <w:snapToGrid w:val="0"/>
        <w:spacing w:before="0" w:beforeLines="0" w:after="0" w:afterLines="0" w:line="4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同时出现两种以上不一致的，按照前款规定的顺序修正。</w:t>
      </w:r>
    </w:p>
    <w:p>
      <w:pPr>
        <w:pStyle w:val="11"/>
        <w:adjustRightInd w:val="0"/>
        <w:snapToGrid w:val="0"/>
        <w:spacing w:before="0" w:beforeLines="0" w:after="0" w:afterLines="0" w:line="44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按上述修正错误的原则及方法调整或修正投标文件的投标报价，投标人同意并签字确认后，调整后的投标报价对投标人具有约束作用。如果投标人不接受修正后的报价，则其投标将作为无效投标处理。对不同文字文本投标文件的解释发生异议的，以中文文本为准。</w:t>
      </w:r>
    </w:p>
    <w:p>
      <w:pPr>
        <w:pStyle w:val="6"/>
        <w:snapToGrid w:val="0"/>
        <w:spacing w:before="0" w:after="0" w:line="440" w:lineRule="exact"/>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（六）评标原则和评标办法</w:t>
      </w:r>
      <w:bookmarkEnd w:id="103"/>
      <w:bookmarkEnd w:id="104"/>
      <w:bookmarkEnd w:id="105"/>
    </w:p>
    <w:p>
      <w:pPr>
        <w:pStyle w:val="11"/>
        <w:adjustRightInd w:val="0"/>
        <w:snapToGrid w:val="0"/>
        <w:spacing w:before="0" w:beforeLines="0" w:after="0" w:afterLines="0"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1．评标原则。评标委员会必须公平、公正、客观，不带任何倾向性和启发性；不得向外界</w:t>
      </w:r>
      <w:r>
        <w:rPr>
          <w:rFonts w:hint="eastAsia" w:hAnsi="宋体" w:cs="宋体"/>
          <w:color w:val="auto"/>
          <w:sz w:val="21"/>
          <w:szCs w:val="21"/>
          <w:highlight w:val="none"/>
        </w:rPr>
        <w:t>透露</w:t>
      </w:r>
      <w:r>
        <w:rPr>
          <w:rFonts w:hint="eastAsia" w:ascii="宋体" w:hAnsi="宋体" w:cs="宋体"/>
          <w:color w:val="auto"/>
          <w:sz w:val="21"/>
          <w:szCs w:val="21"/>
          <w:highlight w:val="none"/>
        </w:rPr>
        <w:t>任何与评标有关的内容；任何单位和个人不得干扰、影响评标的正常进行；评标委员会及有关工作人员不得私下与投标人接触。</w:t>
      </w:r>
    </w:p>
    <w:p>
      <w:pPr>
        <w:pStyle w:val="11"/>
        <w:adjustRightInd w:val="0"/>
        <w:snapToGrid w:val="0"/>
        <w:spacing w:before="0" w:beforeLines="0" w:after="0" w:afterLines="0"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2．评标办法：本项目评标办法是</w:t>
      </w:r>
      <w:r>
        <w:rPr>
          <w:rFonts w:hint="eastAsia" w:ascii="宋体" w:hAnsi="宋体" w:cs="宋体"/>
          <w:b/>
          <w:bCs/>
          <w:color w:val="auto"/>
          <w:sz w:val="21"/>
          <w:szCs w:val="21"/>
          <w:highlight w:val="none"/>
          <w:u w:val="single"/>
        </w:rPr>
        <w:t xml:space="preserve"> 综合评分法 </w:t>
      </w:r>
      <w:r>
        <w:rPr>
          <w:rFonts w:hint="eastAsia" w:ascii="宋体" w:hAnsi="宋体" w:cs="宋体"/>
          <w:color w:val="auto"/>
          <w:sz w:val="21"/>
          <w:szCs w:val="21"/>
          <w:highlight w:val="none"/>
        </w:rPr>
        <w:t>，具体评标内容及评分标准等详见本采购文件第五章《评标办法及评分标准》。</w:t>
      </w:r>
    </w:p>
    <w:p>
      <w:pPr>
        <w:pStyle w:val="5"/>
        <w:snapToGrid w:val="0"/>
        <w:spacing w:before="0" w:after="0" w:line="440" w:lineRule="exact"/>
        <w:rPr>
          <w:rFonts w:hint="eastAsia" w:ascii="宋体" w:hAnsi="宋体" w:eastAsia="宋体" w:cs="宋体"/>
          <w:color w:val="auto"/>
          <w:sz w:val="21"/>
          <w:szCs w:val="21"/>
          <w:highlight w:val="none"/>
        </w:rPr>
      </w:pPr>
      <w:bookmarkStart w:id="106" w:name="_Toc317685590"/>
      <w:bookmarkStart w:id="107" w:name="_Toc463726817"/>
      <w:bookmarkStart w:id="108" w:name="_Toc27736"/>
      <w:bookmarkStart w:id="109" w:name="_Toc24850"/>
      <w:r>
        <w:rPr>
          <w:rFonts w:hint="eastAsia" w:ascii="宋体" w:hAnsi="宋体" w:eastAsia="宋体" w:cs="宋体"/>
          <w:color w:val="auto"/>
          <w:sz w:val="21"/>
          <w:szCs w:val="21"/>
          <w:highlight w:val="none"/>
        </w:rPr>
        <w:t>六、采购方式变更</w:t>
      </w:r>
      <w:bookmarkEnd w:id="106"/>
      <w:bookmarkEnd w:id="107"/>
      <w:bookmarkEnd w:id="108"/>
      <w:bookmarkEnd w:id="109"/>
    </w:p>
    <w:p>
      <w:pPr>
        <w:pStyle w:val="11"/>
        <w:adjustRightInd w:val="0"/>
        <w:snapToGrid w:val="0"/>
        <w:spacing w:before="0" w:beforeLines="0" w:after="0" w:afterLines="0"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政府采购的国内公开招标，采购响应截止时间止或评审期间，出现参与采购响应或者对采购文件作出实质性响应的投标人不足3家的情况，采购人有权全部或部分终止招标。</w:t>
      </w:r>
    </w:p>
    <w:p>
      <w:pPr>
        <w:pStyle w:val="5"/>
        <w:snapToGrid w:val="0"/>
        <w:spacing w:before="0" w:after="0" w:line="440" w:lineRule="exact"/>
        <w:rPr>
          <w:rFonts w:hint="eastAsia" w:ascii="宋体" w:hAnsi="宋体" w:eastAsia="宋体" w:cs="宋体"/>
          <w:color w:val="auto"/>
          <w:sz w:val="21"/>
          <w:szCs w:val="21"/>
          <w:highlight w:val="none"/>
        </w:rPr>
      </w:pPr>
      <w:bookmarkStart w:id="110" w:name="_Toc12052"/>
      <w:bookmarkStart w:id="111" w:name="_Toc443416399"/>
      <w:bookmarkStart w:id="112" w:name="_Toc27651"/>
      <w:bookmarkStart w:id="113" w:name="_Toc16521"/>
      <w:r>
        <w:rPr>
          <w:rFonts w:hint="eastAsia" w:ascii="宋体" w:hAnsi="宋体" w:eastAsia="宋体" w:cs="宋体"/>
          <w:color w:val="auto"/>
          <w:sz w:val="21"/>
          <w:szCs w:val="21"/>
          <w:highlight w:val="none"/>
        </w:rPr>
        <w:t>七、定标</w:t>
      </w:r>
      <w:bookmarkEnd w:id="110"/>
      <w:bookmarkEnd w:id="111"/>
      <w:bookmarkEnd w:id="112"/>
      <w:bookmarkEnd w:id="113"/>
    </w:p>
    <w:p>
      <w:pPr>
        <w:pStyle w:val="11"/>
        <w:adjustRightInd w:val="0"/>
        <w:snapToGrid w:val="0"/>
        <w:spacing w:before="0" w:beforeLines="0" w:after="0" w:afterLines="0"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确定中标人。本项目由评标委员会推荐中标候选人，采购人不得在评标委员会推荐的中标候选人以外确定中标人。</w:t>
      </w:r>
    </w:p>
    <w:p>
      <w:pPr>
        <w:pStyle w:val="11"/>
        <w:adjustRightInd w:val="0"/>
        <w:snapToGrid w:val="0"/>
        <w:spacing w:before="0" w:beforeLines="0" w:after="0" w:afterLines="0" w:line="440" w:lineRule="exact"/>
        <w:ind w:firstLine="420" w:firstLineChars="200"/>
        <w:rPr>
          <w:rFonts w:hint="eastAsia" w:ascii="宋体" w:hAnsi="宋体" w:cs="宋体"/>
          <w:color w:val="auto"/>
          <w:sz w:val="21"/>
          <w:szCs w:val="21"/>
          <w:highlight w:val="none"/>
        </w:rPr>
      </w:pPr>
      <w:r>
        <w:rPr>
          <w:rFonts w:hint="eastAsia" w:hAnsi="宋体" w:cs="宋体"/>
          <w:color w:val="auto"/>
          <w:sz w:val="21"/>
          <w:szCs w:val="21"/>
          <w:highlight w:val="none"/>
          <w:lang w:val="en-US" w:eastAsia="zh-CN"/>
        </w:rPr>
        <w:t>2</w:t>
      </w:r>
      <w:r>
        <w:rPr>
          <w:rFonts w:hint="eastAsia" w:ascii="宋体" w:hAnsi="宋体" w:cs="宋体"/>
          <w:color w:val="auto"/>
          <w:sz w:val="21"/>
          <w:szCs w:val="21"/>
          <w:highlight w:val="none"/>
        </w:rPr>
        <w:t>．采购代理机构应当自评审结束之日起2个工作日内将评审报告送交采购人确认，采购人应当自收到评审报告之日起5个工作日内在评审报告推荐的中标或者成交候选人中按顺序确定中标或成交人，并在发布招标公告的网站上公告中标结果，中标公告期限为1个工作日。</w:t>
      </w:r>
    </w:p>
    <w:p>
      <w:pPr>
        <w:pStyle w:val="11"/>
        <w:adjustRightInd w:val="0"/>
        <w:snapToGrid w:val="0"/>
        <w:spacing w:before="0" w:beforeLines="0" w:after="0" w:afterLines="0" w:line="440" w:lineRule="exact"/>
        <w:ind w:firstLine="420" w:firstLineChars="200"/>
        <w:rPr>
          <w:rFonts w:hint="eastAsia" w:ascii="宋体"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ascii="宋体" w:hAnsi="宋体" w:cs="宋体"/>
          <w:color w:val="auto"/>
          <w:sz w:val="21"/>
          <w:szCs w:val="21"/>
          <w:highlight w:val="none"/>
        </w:rPr>
        <w:t>．在公告中标结果的同时，采购人或采购代理机构向中标人发出中标通知书；中标人无正当理由不得放弃中标；若中标人放弃中标、或因不可抗力提出不能履行合同，或不按招标文件规定提交履约保证金或其它原因被依法撤销中标资格，则采购人可选择该项目（标段）综合得分排名下一位的投标人中标或重新组织招标。</w:t>
      </w:r>
    </w:p>
    <w:p>
      <w:pPr>
        <w:pStyle w:val="5"/>
        <w:spacing w:before="0" w:after="0" w:line="440" w:lineRule="exact"/>
        <w:rPr>
          <w:rFonts w:hint="eastAsia" w:ascii="宋体" w:hAnsi="宋体" w:eastAsia="宋体" w:cs="宋体"/>
          <w:color w:val="auto"/>
          <w:sz w:val="21"/>
          <w:szCs w:val="21"/>
          <w:highlight w:val="none"/>
        </w:rPr>
      </w:pPr>
      <w:bookmarkStart w:id="114" w:name="_Toc463726819"/>
      <w:bookmarkStart w:id="115" w:name="_Toc23205"/>
      <w:bookmarkStart w:id="116" w:name="_Toc28064"/>
      <w:bookmarkStart w:id="117" w:name="_Toc4365"/>
      <w:bookmarkStart w:id="118" w:name="_Toc424544449"/>
      <w:bookmarkStart w:id="119" w:name="_Toc326337794"/>
      <w:bookmarkStart w:id="120" w:name="_Toc251160543"/>
      <w:bookmarkStart w:id="121" w:name="_Toc13803"/>
      <w:bookmarkStart w:id="122" w:name="_Toc443416403"/>
      <w:bookmarkStart w:id="123" w:name="_Toc10586"/>
      <w:r>
        <w:rPr>
          <w:rFonts w:hint="eastAsia" w:ascii="宋体" w:hAnsi="宋体" w:eastAsia="宋体" w:cs="宋体"/>
          <w:color w:val="auto"/>
          <w:sz w:val="21"/>
          <w:szCs w:val="21"/>
          <w:highlight w:val="none"/>
        </w:rPr>
        <w:t>八、合同授予</w:t>
      </w:r>
      <w:bookmarkEnd w:id="114"/>
      <w:r>
        <w:rPr>
          <w:rFonts w:hint="eastAsia" w:ascii="宋体" w:hAnsi="宋体" w:eastAsia="宋体" w:cs="宋体"/>
          <w:color w:val="auto"/>
          <w:sz w:val="21"/>
          <w:szCs w:val="21"/>
          <w:highlight w:val="none"/>
        </w:rPr>
        <w:t>及履约验收</w:t>
      </w:r>
      <w:bookmarkEnd w:id="115"/>
      <w:bookmarkEnd w:id="116"/>
    </w:p>
    <w:p>
      <w:pPr>
        <w:pStyle w:val="6"/>
        <w:spacing w:before="0" w:after="0" w:line="440" w:lineRule="exact"/>
        <w:jc w:val="both"/>
        <w:rPr>
          <w:rFonts w:hint="eastAsia" w:ascii="宋体" w:hAnsi="宋体" w:cs="宋体"/>
          <w:color w:val="auto"/>
          <w:sz w:val="21"/>
          <w:szCs w:val="21"/>
          <w:highlight w:val="none"/>
        </w:rPr>
      </w:pPr>
      <w:bookmarkStart w:id="124" w:name="_Toc29636"/>
      <w:bookmarkStart w:id="125" w:name="_Toc24304"/>
      <w:bookmarkStart w:id="126" w:name="_Toc463726820"/>
      <w:r>
        <w:rPr>
          <w:rFonts w:hint="eastAsia" w:ascii="宋体" w:hAnsi="宋体" w:cs="宋体"/>
          <w:color w:val="auto"/>
          <w:sz w:val="21"/>
          <w:szCs w:val="21"/>
          <w:highlight w:val="none"/>
        </w:rPr>
        <w:t>（一）签订合同</w:t>
      </w:r>
      <w:bookmarkEnd w:id="124"/>
      <w:bookmarkEnd w:id="125"/>
      <w:bookmarkEnd w:id="126"/>
    </w:p>
    <w:p>
      <w:pPr>
        <w:pStyle w:val="11"/>
        <w:adjustRightInd w:val="0"/>
        <w:snapToGrid w:val="0"/>
        <w:spacing w:before="0" w:beforeLines="0" w:after="0" w:afterLines="0"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1．采购人与中标人应当在《中标通知书》发出之日起</w:t>
      </w:r>
      <w:r>
        <w:rPr>
          <w:rFonts w:hint="eastAsia" w:ascii="宋体" w:hAnsi="宋体" w:cs="宋体"/>
          <w:b/>
          <w:color w:val="auto"/>
          <w:sz w:val="21"/>
          <w:szCs w:val="21"/>
          <w:highlight w:val="none"/>
          <w:u w:val="single"/>
        </w:rPr>
        <w:t>30</w:t>
      </w:r>
      <w:r>
        <w:rPr>
          <w:rFonts w:hint="eastAsia" w:ascii="宋体" w:hAnsi="宋体" w:cs="宋体"/>
          <w:color w:val="auto"/>
          <w:sz w:val="21"/>
          <w:szCs w:val="21"/>
          <w:highlight w:val="none"/>
        </w:rPr>
        <w:t>日内签订合同。同时采购代理机构对合同内容进行审查，如发现与采购结果和投标承诺内容不一致的，应予以纠正。</w:t>
      </w:r>
    </w:p>
    <w:p>
      <w:pPr>
        <w:pStyle w:val="11"/>
        <w:adjustRightInd w:val="0"/>
        <w:snapToGrid w:val="0"/>
        <w:spacing w:before="0" w:beforeLines="0" w:after="0" w:afterLines="0"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中标人如不遵守招标文件或投标文件各项条款的邀约与要约，或在接到中标通知书后借故拖延，拒签合同的，采购人将按《浙江省政府采购投标人注册及诚信管理暂行办法》的规定上报诚信状况，并取消中标资格，给采购人造成损失的还应当予以赔偿。</w:t>
      </w:r>
    </w:p>
    <w:p>
      <w:pPr>
        <w:pStyle w:val="11"/>
        <w:adjustRightInd w:val="0"/>
        <w:snapToGrid w:val="0"/>
        <w:spacing w:before="0" w:beforeLines="0" w:after="0" w:afterLines="0"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3．中标人拒绝与采购人签订合同的，采购人可以按照评审报告推荐的中标或成交候选人名单排序，确定下一候选人为中标人或成交人，也可以重新开展政府采购活动。</w:t>
      </w:r>
    </w:p>
    <w:p>
      <w:pPr>
        <w:pStyle w:val="6"/>
        <w:spacing w:before="0" w:after="0" w:line="440" w:lineRule="exact"/>
        <w:jc w:val="both"/>
        <w:rPr>
          <w:rFonts w:hint="eastAsia" w:ascii="宋体" w:hAnsi="宋体" w:cs="宋体"/>
          <w:color w:val="auto"/>
          <w:sz w:val="21"/>
          <w:szCs w:val="21"/>
          <w:highlight w:val="none"/>
        </w:rPr>
      </w:pPr>
      <w:bookmarkStart w:id="127" w:name="_Toc2098"/>
      <w:bookmarkStart w:id="128" w:name="_Toc317685594"/>
      <w:bookmarkStart w:id="129" w:name="_Toc463726821"/>
      <w:bookmarkStart w:id="130" w:name="_Toc22378"/>
      <w:r>
        <w:rPr>
          <w:rFonts w:hint="eastAsia" w:ascii="宋体" w:hAnsi="宋体" w:cs="宋体"/>
          <w:color w:val="auto"/>
          <w:sz w:val="21"/>
          <w:szCs w:val="21"/>
          <w:highlight w:val="none"/>
        </w:rPr>
        <w:t>（二）履约保证金</w:t>
      </w:r>
      <w:bookmarkEnd w:id="127"/>
      <w:bookmarkEnd w:id="128"/>
      <w:bookmarkEnd w:id="129"/>
      <w:bookmarkEnd w:id="130"/>
    </w:p>
    <w:p>
      <w:pPr>
        <w:pStyle w:val="11"/>
        <w:adjustRightInd w:val="0"/>
        <w:snapToGrid w:val="0"/>
        <w:spacing w:before="0" w:beforeLines="0" w:after="0" w:afterLines="0"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1．中标人应按采购代理机构根据采购文件确定的履约保证金的金额，向采购人交纳履约保证金。</w:t>
      </w:r>
    </w:p>
    <w:p>
      <w:pPr>
        <w:pStyle w:val="11"/>
        <w:adjustRightInd w:val="0"/>
        <w:snapToGrid w:val="0"/>
        <w:spacing w:before="0" w:beforeLines="0" w:after="0" w:afterLines="0"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2．签订合同后，如中标人不按双方合同约定履约，则没收其全部履约保证金，履约保证金不足以赔偿损失的，按实际损失赔偿。</w:t>
      </w:r>
    </w:p>
    <w:p>
      <w:pPr>
        <w:pStyle w:val="6"/>
        <w:spacing w:before="0" w:after="0" w:line="440" w:lineRule="exact"/>
        <w:jc w:val="both"/>
        <w:rPr>
          <w:rFonts w:hint="eastAsia" w:ascii="宋体" w:hAnsi="宋体" w:cs="宋体"/>
          <w:color w:val="auto"/>
          <w:sz w:val="21"/>
          <w:szCs w:val="21"/>
          <w:highlight w:val="none"/>
        </w:rPr>
      </w:pPr>
      <w:bookmarkStart w:id="131" w:name="_Toc495957621"/>
      <w:bookmarkStart w:id="132" w:name="_Toc16492"/>
      <w:bookmarkStart w:id="133" w:name="_Toc6008"/>
      <w:bookmarkStart w:id="134" w:name="_Toc493058323"/>
      <w:r>
        <w:rPr>
          <w:rFonts w:hint="eastAsia" w:ascii="宋体" w:hAnsi="宋体" w:cs="宋体"/>
          <w:color w:val="auto"/>
          <w:sz w:val="21"/>
          <w:szCs w:val="21"/>
          <w:highlight w:val="none"/>
        </w:rPr>
        <w:t>（三）履约验收</w:t>
      </w:r>
      <w:bookmarkEnd w:id="131"/>
      <w:bookmarkEnd w:id="132"/>
      <w:bookmarkEnd w:id="133"/>
      <w:bookmarkEnd w:id="134"/>
    </w:p>
    <w:p>
      <w:pPr>
        <w:pStyle w:val="7"/>
        <w:widowControl w:val="0"/>
        <w:numPr>
          <w:ilvl w:val="0"/>
          <w:numId w:val="0"/>
        </w:numPr>
        <w:tabs>
          <w:tab w:val="left" w:pos="720"/>
          <w:tab w:val="clear" w:pos="360"/>
        </w:tabs>
        <w:snapToGrid w:val="0"/>
        <w:spacing w:after="0" w:afterLines="0" w:line="440" w:lineRule="exact"/>
        <w:ind w:leftChars="200"/>
        <w:rPr>
          <w:rFonts w:hint="eastAsia" w:ascii="宋体" w:hAnsi="宋体" w:cs="宋体"/>
          <w:color w:val="auto"/>
          <w:sz w:val="21"/>
          <w:szCs w:val="21"/>
          <w:highlight w:val="none"/>
        </w:rPr>
      </w:pPr>
      <w:r>
        <w:rPr>
          <w:rFonts w:hint="eastAsia" w:ascii="宋体" w:hAnsi="宋体" w:cs="宋体"/>
          <w:color w:val="auto"/>
          <w:sz w:val="21"/>
          <w:szCs w:val="21"/>
          <w:highlight w:val="none"/>
        </w:rPr>
        <w:t>采购人负责对中标投标人的履约行为进行验收。</w:t>
      </w:r>
    </w:p>
    <w:p>
      <w:pPr>
        <w:pStyle w:val="5"/>
        <w:snapToGrid w:val="0"/>
        <w:spacing w:before="0" w:after="0"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九、知识产权</w:t>
      </w:r>
      <w:bookmarkEnd w:id="117"/>
      <w:bookmarkEnd w:id="118"/>
      <w:bookmarkEnd w:id="119"/>
      <w:bookmarkEnd w:id="120"/>
      <w:bookmarkEnd w:id="121"/>
      <w:bookmarkEnd w:id="122"/>
      <w:bookmarkEnd w:id="123"/>
    </w:p>
    <w:p>
      <w:pPr>
        <w:pStyle w:val="11"/>
        <w:adjustRightInd w:val="0"/>
        <w:snapToGrid w:val="0"/>
        <w:spacing w:before="0" w:beforeLines="0" w:after="0" w:afterLines="0"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1．投标人应保证，采购人在中华人民共和国使用该招标内容所包含的任何一部分时，免受第三方有关侵犯其专利权、商标权或其它知识产权的指控。</w:t>
      </w:r>
    </w:p>
    <w:p>
      <w:pPr>
        <w:pStyle w:val="11"/>
        <w:adjustRightInd w:val="0"/>
        <w:snapToGrid w:val="0"/>
        <w:spacing w:before="0" w:beforeLines="0" w:after="0" w:afterLines="0"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2．倘若此类指控发生，投标人应负责与第三方交涉并承担与此有关的一切费用和法律责任。</w:t>
      </w:r>
    </w:p>
    <w:p>
      <w:pPr>
        <w:pStyle w:val="11"/>
        <w:adjustRightInd w:val="0"/>
        <w:snapToGrid w:val="0"/>
        <w:spacing w:before="0" w:beforeLines="0" w:after="0" w:afterLines="0"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3．采购人声明保护有关方面的知识产权，维护其有关合法权益，但这不是采购人的基本义务。</w:t>
      </w:r>
    </w:p>
    <w:p>
      <w:pPr>
        <w:pStyle w:val="5"/>
        <w:snapToGrid w:val="0"/>
        <w:spacing w:before="0" w:after="0" w:line="440" w:lineRule="exact"/>
        <w:rPr>
          <w:rFonts w:hint="eastAsia" w:ascii="宋体" w:hAnsi="宋体" w:eastAsia="宋体" w:cs="宋体"/>
          <w:color w:val="auto"/>
          <w:sz w:val="21"/>
          <w:szCs w:val="21"/>
          <w:highlight w:val="none"/>
        </w:rPr>
      </w:pPr>
      <w:bookmarkStart w:id="135" w:name="_Toc28489"/>
      <w:bookmarkStart w:id="136" w:name="_Toc6255"/>
      <w:bookmarkStart w:id="137" w:name="_Toc443416404"/>
      <w:bookmarkStart w:id="138" w:name="_Toc23147"/>
      <w:r>
        <w:rPr>
          <w:rFonts w:hint="eastAsia" w:ascii="宋体" w:hAnsi="宋体" w:eastAsia="宋体" w:cs="宋体"/>
          <w:color w:val="auto"/>
          <w:sz w:val="21"/>
          <w:szCs w:val="21"/>
          <w:highlight w:val="none"/>
        </w:rPr>
        <w:t>十、其他补充</w:t>
      </w:r>
      <w:bookmarkEnd w:id="135"/>
      <w:bookmarkEnd w:id="136"/>
      <w:bookmarkEnd w:id="137"/>
      <w:bookmarkEnd w:id="138"/>
    </w:p>
    <w:p>
      <w:pPr>
        <w:pStyle w:val="7"/>
        <w:widowControl w:val="0"/>
        <w:numPr>
          <w:ilvl w:val="0"/>
          <w:numId w:val="0"/>
        </w:numPr>
        <w:tabs>
          <w:tab w:val="left" w:pos="0"/>
          <w:tab w:val="clear" w:pos="360"/>
        </w:tabs>
        <w:snapToGrid w:val="0"/>
        <w:spacing w:after="0" w:afterLines="0" w:line="440" w:lineRule="exact"/>
        <w:ind w:leftChars="200"/>
        <w:rPr>
          <w:rFonts w:hint="eastAsia" w:ascii="宋体" w:hAnsi="宋体" w:cs="宋体"/>
          <w:color w:val="auto"/>
          <w:sz w:val="21"/>
          <w:szCs w:val="21"/>
          <w:highlight w:val="none"/>
        </w:rPr>
      </w:pPr>
      <w:r>
        <w:rPr>
          <w:rFonts w:hint="eastAsia" w:ascii="宋体" w:hAnsi="宋体" w:cs="宋体"/>
          <w:color w:val="auto"/>
          <w:sz w:val="21"/>
          <w:szCs w:val="21"/>
          <w:highlight w:val="none"/>
        </w:rPr>
        <w:t>如有，列明在《投标资料表》中。</w:t>
      </w:r>
    </w:p>
    <w:p>
      <w:pPr>
        <w:pStyle w:val="5"/>
        <w:snapToGrid w:val="0"/>
        <w:spacing w:before="0" w:after="0" w:line="440" w:lineRule="exact"/>
        <w:rPr>
          <w:rFonts w:hint="eastAsia" w:ascii="宋体" w:hAnsi="宋体" w:eastAsia="宋体" w:cs="宋体"/>
          <w:color w:val="auto"/>
          <w:sz w:val="21"/>
          <w:szCs w:val="21"/>
          <w:highlight w:val="none"/>
        </w:rPr>
      </w:pPr>
      <w:bookmarkStart w:id="139" w:name="_Toc3061"/>
      <w:bookmarkStart w:id="140" w:name="_Toc2476"/>
      <w:r>
        <w:rPr>
          <w:rFonts w:hint="eastAsia" w:ascii="宋体" w:hAnsi="宋体" w:eastAsia="宋体" w:cs="宋体"/>
          <w:color w:val="auto"/>
          <w:sz w:val="21"/>
          <w:szCs w:val="21"/>
          <w:highlight w:val="none"/>
        </w:rPr>
        <w:t>十一、</w:t>
      </w:r>
      <w:bookmarkEnd w:id="139"/>
      <w:r>
        <w:rPr>
          <w:rFonts w:hint="eastAsia" w:ascii="宋体" w:hAnsi="宋体" w:eastAsia="宋体" w:cs="宋体"/>
          <w:color w:val="auto"/>
          <w:sz w:val="21"/>
          <w:szCs w:val="21"/>
          <w:highlight w:val="none"/>
        </w:rPr>
        <w:t>政府采购政策</w:t>
      </w:r>
      <w:bookmarkEnd w:id="140"/>
    </w:p>
    <w:p>
      <w:pPr>
        <w:pStyle w:val="11"/>
        <w:adjustRightInd w:val="0"/>
        <w:snapToGrid w:val="0"/>
        <w:spacing w:before="0" w:beforeLines="0" w:after="0" w:afterLines="0" w:line="440" w:lineRule="exact"/>
        <w:ind w:firstLine="420" w:firstLineChars="200"/>
        <w:rPr>
          <w:rFonts w:ascii="宋体" w:hAnsi="宋体" w:cs="宋体"/>
          <w:color w:val="auto"/>
          <w:sz w:val="21"/>
          <w:szCs w:val="21"/>
          <w:highlight w:val="none"/>
        </w:rPr>
      </w:pPr>
      <w:bookmarkStart w:id="141" w:name="_Toc29073"/>
      <w:bookmarkStart w:id="142" w:name="_Toc8896"/>
      <w:bookmarkStart w:id="143" w:name="_Toc18072"/>
      <w:bookmarkStart w:id="144" w:name="_Toc29586"/>
      <w:r>
        <w:rPr>
          <w:rFonts w:hint="eastAsia" w:ascii="宋体" w:hAnsi="宋体" w:cs="宋体"/>
          <w:color w:val="auto"/>
          <w:sz w:val="21"/>
          <w:szCs w:val="21"/>
          <w:highlight w:val="none"/>
        </w:rPr>
        <w:t>（一）</w:t>
      </w:r>
      <w:r>
        <w:rPr>
          <w:rFonts w:ascii="宋体" w:hAnsi="宋体" w:cs="宋体"/>
          <w:color w:val="auto"/>
          <w:sz w:val="21"/>
          <w:szCs w:val="21"/>
          <w:highlight w:val="none"/>
        </w:rPr>
        <w:t>执行财政部、工业和信息化部《政府采购促进中小企业发展管理办法》（财库〔2020〕46号）。政府采购活动中有关中小企业的相关规定如下：</w:t>
      </w:r>
    </w:p>
    <w:p>
      <w:pPr>
        <w:pStyle w:val="11"/>
        <w:adjustRightInd w:val="0"/>
        <w:snapToGrid w:val="0"/>
        <w:spacing w:before="0" w:beforeLines="0" w:after="0" w:afterLines="0"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1、中小企业</w:t>
      </w:r>
      <w:r>
        <w:rPr>
          <w:rFonts w:ascii="宋体" w:hAnsi="宋体" w:cs="宋体"/>
          <w:color w:val="auto"/>
          <w:sz w:val="21"/>
          <w:szCs w:val="21"/>
          <w:highlight w:val="none"/>
        </w:rPr>
        <w:t>，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11"/>
        <w:adjustRightInd w:val="0"/>
        <w:snapToGrid w:val="0"/>
        <w:spacing w:before="0" w:beforeLines="0" w:after="0" w:afterLines="0"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在政府采购活动中，供应商提供的货物、工程或者服务符合下列情形的，享受《政府采购</w:t>
      </w:r>
      <w:r>
        <w:rPr>
          <w:rFonts w:hint="eastAsia" w:ascii="宋体" w:hAnsi="宋体" w:cs="宋体"/>
          <w:color w:val="auto"/>
          <w:sz w:val="21"/>
          <w:szCs w:val="21"/>
          <w:highlight w:val="none"/>
        </w:rPr>
        <w:t>促进</w:t>
      </w:r>
      <w:r>
        <w:rPr>
          <w:rFonts w:ascii="宋体" w:hAnsi="宋体" w:cs="宋体"/>
          <w:color w:val="auto"/>
          <w:sz w:val="21"/>
          <w:szCs w:val="21"/>
          <w:highlight w:val="none"/>
        </w:rPr>
        <w:t>中小企业发展管理办法》规定的中小企业扶持政策：</w:t>
      </w:r>
    </w:p>
    <w:p>
      <w:pPr>
        <w:pStyle w:val="11"/>
        <w:adjustRightInd w:val="0"/>
        <w:snapToGrid w:val="0"/>
        <w:spacing w:before="0" w:beforeLines="0" w:after="0" w:afterLines="0" w:line="440" w:lineRule="exact"/>
        <w:ind w:firstLine="420" w:firstLineChars="200"/>
        <w:rPr>
          <w:rFonts w:hint="eastAsia" w:ascii="宋体" w:hAnsi="宋体" w:cs="宋体"/>
          <w:color w:val="auto"/>
          <w:sz w:val="21"/>
          <w:szCs w:val="21"/>
          <w:highlight w:val="none"/>
        </w:rPr>
      </w:pPr>
      <w:r>
        <w:rPr>
          <w:rFonts w:ascii="宋体" w:hAnsi="宋体" w:cs="宋体"/>
          <w:color w:val="auto"/>
          <w:sz w:val="21"/>
          <w:szCs w:val="21"/>
          <w:highlight w:val="none"/>
        </w:rPr>
        <w:t>（1）、在货物采购项目中，货物由中小企业制造，即货物由中小企业生产且使用该中小企业商号</w:t>
      </w:r>
      <w:r>
        <w:rPr>
          <w:rFonts w:hint="eastAsia" w:ascii="宋体" w:hAnsi="宋体" w:cs="宋体"/>
          <w:color w:val="auto"/>
          <w:sz w:val="21"/>
          <w:szCs w:val="21"/>
          <w:highlight w:val="none"/>
        </w:rPr>
        <w:t>或者</w:t>
      </w:r>
      <w:r>
        <w:rPr>
          <w:rFonts w:ascii="宋体" w:hAnsi="宋体" w:cs="宋体"/>
          <w:color w:val="auto"/>
          <w:sz w:val="21"/>
          <w:szCs w:val="21"/>
          <w:highlight w:val="none"/>
        </w:rPr>
        <w:t>注册商标；</w:t>
      </w:r>
    </w:p>
    <w:p>
      <w:pPr>
        <w:pStyle w:val="7"/>
        <w:widowControl w:val="0"/>
        <w:numPr>
          <w:ilvl w:val="0"/>
          <w:numId w:val="0"/>
        </w:numPr>
        <w:tabs>
          <w:tab w:val="left" w:pos="0"/>
          <w:tab w:val="clear" w:pos="360"/>
        </w:tabs>
        <w:snapToGrid w:val="0"/>
        <w:spacing w:after="0" w:afterLines="0" w:line="440" w:lineRule="exact"/>
        <w:ind w:leftChars="200"/>
        <w:rPr>
          <w:rFonts w:hint="eastAsia" w:ascii="宋体" w:hAnsi="宋体" w:cs="宋体"/>
          <w:color w:val="auto"/>
          <w:sz w:val="21"/>
          <w:szCs w:val="21"/>
          <w:highlight w:val="none"/>
        </w:rPr>
      </w:pPr>
      <w:r>
        <w:rPr>
          <w:rFonts w:ascii="宋体" w:hAnsi="宋体" w:cs="宋体"/>
          <w:color w:val="auto"/>
          <w:sz w:val="21"/>
          <w:szCs w:val="21"/>
          <w:highlight w:val="none"/>
        </w:rPr>
        <w:t>（2）、在工程采购项目中，工程由中小企业承建，即工程施工单位为中小企业；</w:t>
      </w:r>
    </w:p>
    <w:p>
      <w:pPr>
        <w:pStyle w:val="11"/>
        <w:adjustRightInd w:val="0"/>
        <w:snapToGrid w:val="0"/>
        <w:spacing w:before="0" w:beforeLines="0" w:after="0" w:afterLines="0" w:line="440" w:lineRule="exact"/>
        <w:ind w:firstLine="420" w:firstLineChars="200"/>
        <w:rPr>
          <w:rFonts w:hint="eastAsia" w:ascii="宋体" w:hAnsi="宋体" w:cs="宋体"/>
          <w:color w:val="auto"/>
          <w:sz w:val="21"/>
          <w:szCs w:val="21"/>
          <w:highlight w:val="none"/>
        </w:rPr>
      </w:pPr>
      <w:r>
        <w:rPr>
          <w:rFonts w:ascii="宋体" w:hAnsi="宋体" w:cs="宋体"/>
          <w:color w:val="auto"/>
          <w:sz w:val="21"/>
          <w:szCs w:val="21"/>
          <w:highlight w:val="none"/>
        </w:rPr>
        <w:t>（3）、在服务采购项目中，服务由中小企业承接，即提供服务的人员为中小企业依照《</w:t>
      </w:r>
      <w:r>
        <w:rPr>
          <w:rFonts w:hint="eastAsia" w:ascii="宋体" w:hAnsi="宋体" w:cs="宋体"/>
          <w:color w:val="auto"/>
          <w:sz w:val="21"/>
          <w:szCs w:val="21"/>
          <w:highlight w:val="none"/>
        </w:rPr>
        <w:t>中华人民共和国</w:t>
      </w:r>
      <w:r>
        <w:rPr>
          <w:rFonts w:ascii="宋体" w:hAnsi="宋体" w:cs="宋体"/>
          <w:color w:val="auto"/>
          <w:sz w:val="21"/>
          <w:szCs w:val="21"/>
          <w:highlight w:val="none"/>
        </w:rPr>
        <w:t>劳动合同法》订立劳动合同的从业人员。</w:t>
      </w:r>
    </w:p>
    <w:p>
      <w:pPr>
        <w:pStyle w:val="11"/>
        <w:adjustRightInd w:val="0"/>
        <w:snapToGrid w:val="0"/>
        <w:spacing w:before="0" w:beforeLines="0" w:after="0" w:afterLines="0" w:line="440" w:lineRule="exact"/>
        <w:ind w:firstLine="420" w:firstLineChars="200"/>
        <w:rPr>
          <w:rFonts w:hint="eastAsia" w:ascii="宋体" w:hAnsi="宋体" w:cs="宋体"/>
          <w:color w:val="auto"/>
          <w:sz w:val="21"/>
          <w:szCs w:val="21"/>
          <w:highlight w:val="none"/>
        </w:rPr>
      </w:pPr>
      <w:r>
        <w:rPr>
          <w:rFonts w:ascii="宋体" w:hAnsi="宋体" w:cs="宋体"/>
          <w:color w:val="auto"/>
          <w:sz w:val="21"/>
          <w:szCs w:val="21"/>
          <w:highlight w:val="none"/>
        </w:rPr>
        <w:t>在货物</w:t>
      </w:r>
      <w:r>
        <w:rPr>
          <w:rFonts w:hint="eastAsia" w:ascii="宋体" w:hAnsi="宋体" w:cs="宋体"/>
          <w:color w:val="auto"/>
          <w:sz w:val="21"/>
          <w:szCs w:val="21"/>
          <w:highlight w:val="none"/>
        </w:rPr>
        <w:t>采购</w:t>
      </w:r>
      <w:r>
        <w:rPr>
          <w:rFonts w:ascii="宋体" w:hAnsi="宋体" w:cs="宋体"/>
          <w:color w:val="auto"/>
          <w:sz w:val="21"/>
          <w:szCs w:val="21"/>
          <w:highlight w:val="none"/>
        </w:rPr>
        <w:t>项目中，供应商提供的货物既有中小企业制造货物，也有大型企业制造货物的，不享受《政府采购促进中小企业发展管理办法》规定的中小企业扶持政策。</w:t>
      </w:r>
    </w:p>
    <w:p>
      <w:pPr>
        <w:pStyle w:val="11"/>
        <w:adjustRightInd w:val="0"/>
        <w:snapToGrid w:val="0"/>
        <w:spacing w:before="0" w:beforeLines="0" w:after="0" w:afterLines="0" w:line="440" w:lineRule="exact"/>
        <w:ind w:firstLine="420" w:firstLineChars="200"/>
        <w:rPr>
          <w:rFonts w:hint="eastAsia" w:ascii="宋体" w:hAnsi="宋体" w:cs="宋体"/>
          <w:color w:val="auto"/>
          <w:sz w:val="21"/>
          <w:szCs w:val="21"/>
          <w:highlight w:val="none"/>
        </w:rPr>
      </w:pPr>
      <w:r>
        <w:rPr>
          <w:rFonts w:ascii="宋体" w:hAnsi="宋体" w:cs="宋体"/>
          <w:color w:val="auto"/>
          <w:sz w:val="21"/>
          <w:szCs w:val="21"/>
          <w:highlight w:val="none"/>
        </w:rPr>
        <w:t>以</w:t>
      </w:r>
      <w:r>
        <w:rPr>
          <w:rFonts w:hint="eastAsia" w:ascii="宋体" w:hAnsi="宋体" w:cs="宋体"/>
          <w:color w:val="auto"/>
          <w:sz w:val="21"/>
          <w:szCs w:val="21"/>
          <w:highlight w:val="none"/>
        </w:rPr>
        <w:t>联合体</w:t>
      </w:r>
      <w:r>
        <w:rPr>
          <w:rFonts w:ascii="宋体" w:hAnsi="宋体" w:cs="宋体"/>
          <w:color w:val="auto"/>
          <w:sz w:val="21"/>
          <w:szCs w:val="21"/>
          <w:highlight w:val="none"/>
        </w:rPr>
        <w:t>形式参加政府采购活动，联合体各方均为中小企业的，联合体视同中小企业。其中，联合体各方均为小微企业的，联合体视同小微企业。</w:t>
      </w:r>
    </w:p>
    <w:p>
      <w:pPr>
        <w:pStyle w:val="11"/>
        <w:adjustRightInd w:val="0"/>
        <w:snapToGrid w:val="0"/>
        <w:spacing w:before="0" w:beforeLines="0" w:after="0" w:afterLines="0"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3、中小企业</w:t>
      </w:r>
      <w:r>
        <w:rPr>
          <w:rFonts w:ascii="宋体" w:hAnsi="宋体" w:cs="宋体"/>
          <w:color w:val="auto"/>
          <w:sz w:val="21"/>
          <w:szCs w:val="21"/>
          <w:highlight w:val="none"/>
        </w:rPr>
        <w:t>参加政府采购活动，应当出具《政府采购促进中小企业发展管理办法》规定的《中小企业声明函》（格式见本采购文件附件），否则不得享受相关中小企业扶持政策。</w:t>
      </w:r>
    </w:p>
    <w:p>
      <w:pPr>
        <w:pStyle w:val="11"/>
        <w:adjustRightInd w:val="0"/>
        <w:snapToGrid w:val="0"/>
        <w:spacing w:before="0" w:beforeLines="0" w:after="0" w:afterLines="0"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w:t>
      </w:r>
      <w:r>
        <w:rPr>
          <w:rFonts w:ascii="宋体" w:hAnsi="宋体" w:cs="宋体"/>
          <w:color w:val="auto"/>
          <w:sz w:val="21"/>
          <w:szCs w:val="21"/>
          <w:highlight w:val="none"/>
        </w:rPr>
        <w:t>采购</w:t>
      </w:r>
      <w:r>
        <w:rPr>
          <w:rFonts w:hint="eastAsia" w:ascii="宋体" w:hAnsi="宋体" w:cs="宋体"/>
          <w:color w:val="auto"/>
          <w:sz w:val="21"/>
          <w:szCs w:val="21"/>
          <w:highlight w:val="none"/>
        </w:rPr>
        <w:t>活动</w:t>
      </w:r>
      <w:r>
        <w:rPr>
          <w:rFonts w:ascii="宋体" w:hAnsi="宋体" w:cs="宋体"/>
          <w:color w:val="auto"/>
          <w:sz w:val="21"/>
          <w:szCs w:val="21"/>
          <w:highlight w:val="none"/>
        </w:rPr>
        <w:t>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pStyle w:val="11"/>
        <w:adjustRightInd w:val="0"/>
        <w:snapToGrid w:val="0"/>
        <w:spacing w:before="0" w:beforeLines="0" w:after="0" w:afterLines="0"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供应商</w:t>
      </w:r>
      <w:r>
        <w:rPr>
          <w:rFonts w:ascii="宋体" w:hAnsi="宋体" w:cs="宋体"/>
          <w:color w:val="auto"/>
          <w:sz w:val="21"/>
          <w:szCs w:val="21"/>
          <w:highlight w:val="none"/>
        </w:rPr>
        <w:t>提供声明函内容不实的，属于提供虚假材料谋取中标、成交，依照《中华人民共和国政府采购法》等国家有关规定追究相应责任。</w:t>
      </w:r>
    </w:p>
    <w:p>
      <w:pPr>
        <w:pStyle w:val="11"/>
        <w:adjustRightInd w:val="0"/>
        <w:snapToGrid w:val="0"/>
        <w:spacing w:before="0" w:beforeLines="0" w:after="0" w:afterLines="0"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适用</w:t>
      </w:r>
      <w:r>
        <w:rPr>
          <w:rFonts w:ascii="宋体" w:hAnsi="宋体" w:cs="宋体"/>
          <w:color w:val="auto"/>
          <w:sz w:val="21"/>
          <w:szCs w:val="21"/>
          <w:highlight w:val="none"/>
        </w:rPr>
        <w:t>招标投标法的政府采购工程建设项目，投标人提供声明函内容不实的，属于弄虚作假骗取中标，依照《中华人民共和国招标投标法》等国家有关规定追究相应责任。</w:t>
      </w:r>
    </w:p>
    <w:p>
      <w:pPr>
        <w:pStyle w:val="11"/>
        <w:adjustRightInd w:val="0"/>
        <w:snapToGrid w:val="0"/>
        <w:spacing w:before="0" w:beforeLines="0" w:after="0" w:afterLines="0"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w:t>
      </w:r>
      <w:r>
        <w:rPr>
          <w:rFonts w:ascii="宋体" w:hAnsi="宋体" w:cs="宋体"/>
          <w:color w:val="auto"/>
          <w:sz w:val="21"/>
          <w:szCs w:val="21"/>
          <w:highlight w:val="none"/>
        </w:rPr>
        <w:t>中小企业声明函》由参加投标的供应商提交，如供应商为代理商，须自行采集制造商的中小企业划分类型信息填入相应栏目并对其真实性负责。</w:t>
      </w:r>
    </w:p>
    <w:p>
      <w:pPr>
        <w:pStyle w:val="11"/>
        <w:adjustRightInd w:val="0"/>
        <w:snapToGrid w:val="0"/>
        <w:spacing w:before="0" w:beforeLines="0" w:after="0" w:afterLines="0"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w:t>
      </w:r>
      <w:r>
        <w:rPr>
          <w:rFonts w:ascii="宋体" w:hAnsi="宋体" w:cs="宋体"/>
          <w:color w:val="auto"/>
          <w:sz w:val="21"/>
          <w:szCs w:val="21"/>
          <w:highlight w:val="none"/>
        </w:rPr>
        <w:t>根据《财政部司法部关于政府采购支持监狱企业发展有关问题的通知》（财库〔2014〕68</w:t>
      </w:r>
      <w:r>
        <w:rPr>
          <w:rFonts w:hint="eastAsia" w:ascii="宋体" w:hAnsi="宋体" w:cs="宋体"/>
          <w:color w:val="auto"/>
          <w:sz w:val="21"/>
          <w:szCs w:val="21"/>
          <w:highlight w:val="none"/>
        </w:rPr>
        <w:t>号）规定，监狱企业视同小型、微型企业。监狱企业参加政府采购活动时，应当提供由省级以上监狱管理局、戒毒管理局（含新疆生产建设兵团）出具的属于监狱企业的证明文件，未能提供上述证明文件的不予认可。</w:t>
      </w:r>
    </w:p>
    <w:p>
      <w:pPr>
        <w:pStyle w:val="11"/>
        <w:adjustRightInd w:val="0"/>
        <w:snapToGrid w:val="0"/>
        <w:spacing w:before="0" w:beforeLines="0" w:after="0" w:afterLines="0"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三）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p>
    <w:p>
      <w:pPr>
        <w:pStyle w:val="11"/>
        <w:adjustRightInd w:val="0"/>
        <w:snapToGrid w:val="0"/>
        <w:spacing w:before="0" w:beforeLines="0" w:after="0" w:afterLines="0" w:line="44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十二</w:t>
      </w:r>
      <w:r>
        <w:rPr>
          <w:rFonts w:hint="eastAsia" w:ascii="宋体" w:hAnsi="宋体" w:eastAsia="宋体" w:cs="宋体"/>
          <w:b/>
          <w:bCs/>
          <w:color w:val="auto"/>
          <w:sz w:val="21"/>
          <w:szCs w:val="21"/>
          <w:highlight w:val="none"/>
        </w:rPr>
        <w:t>、鄞州区政府采购特殊条款</w:t>
      </w:r>
    </w:p>
    <w:p>
      <w:pPr>
        <w:pStyle w:val="11"/>
        <w:adjustRightInd w:val="0"/>
        <w:snapToGrid w:val="0"/>
        <w:spacing w:before="0" w:beforeLines="0" w:after="0" w:afterLines="0"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1、按鄞州区采购办有关规定，中标人在签订合同时需采购代理公司鉴证并报政府采购办备案。</w:t>
      </w:r>
    </w:p>
    <w:p>
      <w:pPr>
        <w:pStyle w:val="11"/>
        <w:adjustRightInd w:val="0"/>
        <w:snapToGrid w:val="0"/>
        <w:spacing w:before="0" w:beforeLines="0" w:after="0" w:afterLines="0"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2、对于鄞州区规定额度以上的货物类采购项目采用由监管部门——鄞州区政府采购管理办公室（以下简称“采购办”）委托</w:t>
      </w:r>
      <w:r>
        <w:rPr>
          <w:rFonts w:hint="eastAsia" w:ascii="宋体" w:hAnsi="宋体" w:eastAsia="宋体" w:cs="宋体"/>
          <w:color w:val="auto"/>
          <w:sz w:val="21"/>
          <w:szCs w:val="21"/>
          <w:highlight w:val="none"/>
          <w:lang w:eastAsia="zh-CN"/>
        </w:rPr>
        <w:t>宁波市鄞州区质量检测中心</w:t>
      </w:r>
      <w:r>
        <w:rPr>
          <w:rFonts w:hint="eastAsia" w:ascii="宋体" w:hAnsi="宋体" w:eastAsia="宋体" w:cs="宋体"/>
          <w:color w:val="auto"/>
          <w:sz w:val="21"/>
          <w:szCs w:val="21"/>
          <w:highlight w:val="none"/>
        </w:rPr>
        <w:t>（以下简称“检测中心”）进行现场检查、检验、综合评定，并客观、公正地作出合格或不合格的验收结论。</w:t>
      </w:r>
    </w:p>
    <w:p>
      <w:pPr>
        <w:pStyle w:val="11"/>
        <w:adjustRightInd w:val="0"/>
        <w:snapToGrid w:val="0"/>
        <w:spacing w:before="0" w:beforeLines="0" w:after="0" w:afterLines="0"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验收范围：</w:t>
      </w:r>
    </w:p>
    <w:p>
      <w:pPr>
        <w:pStyle w:val="11"/>
        <w:adjustRightInd w:val="0"/>
        <w:snapToGrid w:val="0"/>
        <w:spacing w:before="0" w:beforeLines="0" w:after="0" w:afterLines="0"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1）单次采购金额在三十万元以上（含）的货物类采购项目，由检测中心验收；</w:t>
      </w:r>
    </w:p>
    <w:p>
      <w:pPr>
        <w:pStyle w:val="11"/>
        <w:adjustRightInd w:val="0"/>
        <w:snapToGrid w:val="0"/>
        <w:spacing w:before="0" w:beforeLines="0" w:after="0" w:afterLines="0"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2）单次采购金额在三十万元以下的货物类采购项目，由采购人自行组织验收，验收结果报采购办。特殊情况下，采购办也可指定三十万元以下的项目由检测中心验收。</w:t>
      </w:r>
    </w:p>
    <w:p>
      <w:pPr>
        <w:pStyle w:val="11"/>
        <w:adjustRightInd w:val="0"/>
        <w:snapToGrid w:val="0"/>
        <w:spacing w:before="0" w:beforeLines="0" w:after="0" w:afterLines="0"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3）品种、技术较为复杂的单次采购金额在三十万元以下的货物类项目，采购人也可以提出并报采购办同意由检测中心验收。</w:t>
      </w:r>
    </w:p>
    <w:p>
      <w:pPr>
        <w:pStyle w:val="11"/>
        <w:adjustRightInd w:val="0"/>
        <w:snapToGrid w:val="0"/>
        <w:spacing w:before="0" w:beforeLines="0" w:after="0" w:afterLines="0"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4）国家规定由专业机构强制检测的采购项目或已聘请专业监理公司监理的采购项目也可根据实际需要在强制检测或专业监理的基础上由检测中心验收。</w:t>
      </w:r>
    </w:p>
    <w:p>
      <w:pPr>
        <w:pStyle w:val="11"/>
        <w:adjustRightInd w:val="0"/>
        <w:snapToGrid w:val="0"/>
        <w:spacing w:before="0" w:beforeLines="0" w:after="0" w:afterLines="0"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商的投标函中必须有以下内容：“投标方已详细审查并理解全部招标文件，已完全明确招标文件中《鄞州区政府采购售后服务、质量管理须知》告知的全部内容。如有违反，愿意接受监管机构相应的处理。”</w:t>
      </w:r>
    </w:p>
    <w:p>
      <w:pPr>
        <w:pStyle w:val="11"/>
        <w:adjustRightInd w:val="0"/>
        <w:snapToGrid w:val="0"/>
        <w:spacing w:before="0" w:beforeLines="0" w:after="0" w:afterLines="0" w:line="440" w:lineRule="exact"/>
        <w:ind w:firstLine="420" w:firstLineChars="200"/>
        <w:rPr>
          <w:rFonts w:hint="eastAsia" w:ascii="宋体" w:hAnsi="宋体" w:eastAsia="宋体" w:cs="宋体"/>
          <w:color w:val="auto"/>
          <w:sz w:val="21"/>
          <w:szCs w:val="21"/>
          <w:highlight w:val="none"/>
        </w:rPr>
      </w:pPr>
    </w:p>
    <w:p>
      <w:pPr>
        <w:pStyle w:val="11"/>
        <w:adjustRightInd w:val="0"/>
        <w:snapToGrid w:val="0"/>
        <w:spacing w:before="0" w:beforeLines="0" w:after="0" w:afterLines="0"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附：《鄞州区政府采购售后服务、质量管理须知》 </w:t>
      </w:r>
    </w:p>
    <w:p>
      <w:pPr>
        <w:pStyle w:val="11"/>
        <w:adjustRightInd w:val="0"/>
        <w:snapToGrid w:val="0"/>
        <w:spacing w:before="0" w:beforeLines="0" w:after="0" w:afterLines="0"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本招标文件就有关政府采购合同履行、质量及服务事项告知如下：</w:t>
      </w:r>
    </w:p>
    <w:p>
      <w:pPr>
        <w:pStyle w:val="11"/>
        <w:adjustRightInd w:val="0"/>
        <w:snapToGrid w:val="0"/>
        <w:spacing w:before="0" w:beforeLines="0" w:after="0" w:afterLines="0"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 政府采购售后服务联系须知</w:t>
      </w:r>
    </w:p>
    <w:p>
      <w:pPr>
        <w:pStyle w:val="11"/>
        <w:adjustRightInd w:val="0"/>
        <w:snapToGrid w:val="0"/>
        <w:spacing w:before="0" w:beforeLines="0" w:after="0" w:afterLines="0"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鄞州区政府采购售后服务联系单》由鄞州区财政局采购办按统一格式制作，中标或成交供应商向招标机构领取、填写并粘贴在设备醒目位置（不适合粘贴的除外），工程和服务项目由采购单位和供应商协商解决，保证采购单位在遇到售后服务问题时能及时便利与供应商联系。</w:t>
      </w:r>
    </w:p>
    <w:p>
      <w:pPr>
        <w:pStyle w:val="11"/>
        <w:adjustRightInd w:val="0"/>
        <w:snapToGrid w:val="0"/>
        <w:spacing w:before="0" w:beforeLines="0" w:after="0" w:afterLines="0"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二、政府采购质量跟踪和检查须知 </w:t>
      </w:r>
    </w:p>
    <w:p>
      <w:pPr>
        <w:pStyle w:val="11"/>
        <w:adjustRightInd w:val="0"/>
        <w:snapToGrid w:val="0"/>
        <w:spacing w:before="0" w:beforeLines="0" w:after="0" w:afterLines="0"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鄞州区财政局采购办将根据不定期检查的情况或采购单位填写的《鄞州区政府采购质量、服务存在问题反馈表》的反馈情况，聘请质量监督部门、政府采购专家和有关单位鉴定供货（服务）质量，检查是否符合和满足招标文件的要求和配置，有否存在以次充好、弄虚作假、售后服务工作不到位、不负责任或故意推诿、拖延等情节。供应商应自觉接受并积极配合政府采购产品质量监督检查，如实反映情况。</w:t>
      </w:r>
    </w:p>
    <w:p>
      <w:pPr>
        <w:pStyle w:val="11"/>
        <w:adjustRightInd w:val="0"/>
        <w:snapToGrid w:val="0"/>
        <w:spacing w:before="0" w:beforeLines="0" w:after="0" w:afterLines="0"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三、供应商监督管理须知</w:t>
      </w:r>
    </w:p>
    <w:p>
      <w:pPr>
        <w:pStyle w:val="11"/>
        <w:adjustRightInd w:val="0"/>
        <w:snapToGrid w:val="0"/>
        <w:spacing w:before="0" w:beforeLines="0" w:after="0" w:afterLines="0"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1、对不按规定在政府采购货物上粘贴售后服务联系单（不适合粘贴的除外）的供应商，第一次发现的由监管部门予以书面警告并责令改正；第二次发现的作为该供应商下次参加投标时的评分依据之一；</w:t>
      </w:r>
    </w:p>
    <w:p>
      <w:pPr>
        <w:pStyle w:val="11"/>
        <w:adjustRightInd w:val="0"/>
        <w:snapToGrid w:val="0"/>
        <w:spacing w:before="0" w:beforeLines="0" w:after="0" w:afterLines="0"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不按招标文件、投标承诺及政府采购合同要求供货，偷工减料或降低供货质量的供应商，一经查实，即列入不良行为记录名单，第一次发现且合同额在人民币50万元以下的在一年内禁止参加鄞州区政府采购活动；第一次发现且合同额在人民币50万元（含）以上的在两年内禁止参加鄞州区政府采购活动；第二次发现且合同额在人民币50万元以下的在两年内禁止参加鄞州区政府采购活动；第二次发现且合同额在人民币50万元（含）以上的在三年内禁止参加鄞州区政府采购活动。拒不改正的除由采购单位按有关法规要求供应商按招标文件、投标承诺及政府采购合同要求供货外，将无限期禁止参加鄞州区政府采购活动。</w:t>
      </w:r>
    </w:p>
    <w:p>
      <w:pPr>
        <w:pStyle w:val="11"/>
        <w:adjustRightInd w:val="0"/>
        <w:snapToGrid w:val="0"/>
        <w:spacing w:before="0" w:beforeLines="0" w:after="0" w:afterLines="0"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不按招标文件、投标承诺及政府采购合同要求向采购单位提供完整的售后服务，对采购单位的工作造成影响的供应商，经查实，第一次发现的由监管部门予以书面警告并责令改正，并作为该供应商下次参加投标时的评分依据之一；第二次发现的即由监管部门列入不良行为记录名单，两年内禁止参加鄞州区政府采购活动。拒不改正的除由采购单位按有关法规要求供应商按招标文件、投标承诺及政府采购合同要求提供完整的售后服务外，将无限期禁止参加鄞州区政府采购活动。</w:t>
      </w:r>
    </w:p>
    <w:p>
      <w:pPr>
        <w:pStyle w:val="11"/>
        <w:adjustRightInd w:val="0"/>
        <w:snapToGrid w:val="0"/>
        <w:spacing w:before="0" w:beforeLines="0" w:after="0" w:afterLines="0"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4、对不按招标文件、投标承诺及政府采购合同要求供货造成人身、财产损害的，应当承担民事赔偿责任；构成犯罪的，移送司法部门依法追究其刑事责任。</w:t>
      </w:r>
    </w:p>
    <w:p>
      <w:pPr>
        <w:pStyle w:val="11"/>
        <w:adjustRightInd w:val="0"/>
        <w:snapToGrid w:val="0"/>
        <w:spacing w:before="0" w:beforeLines="0" w:after="0" w:afterLines="0"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四、知识产权</w:t>
      </w:r>
    </w:p>
    <w:p>
      <w:pPr>
        <w:pStyle w:val="11"/>
        <w:adjustRightInd w:val="0"/>
        <w:snapToGrid w:val="0"/>
        <w:spacing w:before="0" w:beforeLines="0" w:after="0" w:afterLines="0"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1"/>
        <w:adjustRightInd w:val="0"/>
        <w:snapToGrid w:val="0"/>
        <w:spacing w:before="0" w:beforeLines="0" w:after="0" w:afterLines="0"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采购人享有本项目实施过程中产生的知识成果及知识产权。</w:t>
      </w:r>
    </w:p>
    <w:p>
      <w:pPr>
        <w:pStyle w:val="11"/>
        <w:adjustRightInd w:val="0"/>
        <w:snapToGrid w:val="0"/>
        <w:spacing w:before="0" w:beforeLines="0" w:after="0" w:afterLines="0"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pPr>
        <w:pStyle w:val="11"/>
        <w:adjustRightInd w:val="0"/>
        <w:snapToGrid w:val="0"/>
        <w:spacing w:before="0" w:beforeLines="0" w:after="0" w:afterLines="0"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如采用投标人所不拥有的知识产权，则在投标报价中必须包括合法获得该知识产权的相关费用。</w:t>
      </w:r>
    </w:p>
    <w:p>
      <w:pPr>
        <w:pStyle w:val="7"/>
        <w:widowControl w:val="0"/>
        <w:numPr>
          <w:ilvl w:val="0"/>
          <w:numId w:val="0"/>
        </w:numPr>
        <w:tabs>
          <w:tab w:val="left" w:pos="0"/>
          <w:tab w:val="clear" w:pos="360"/>
        </w:tabs>
        <w:snapToGrid w:val="0"/>
        <w:spacing w:after="0" w:afterLines="0" w:line="440" w:lineRule="exact"/>
        <w:ind w:leftChars="200"/>
        <w:jc w:val="center"/>
        <w:rPr>
          <w:rFonts w:hint="eastAsia" w:ascii="宋体" w:hAnsi="宋体" w:cs="宋体"/>
          <w:color w:val="auto"/>
          <w:szCs w:val="21"/>
          <w:highlight w:val="none"/>
        </w:rPr>
      </w:pPr>
      <w:r>
        <w:rPr>
          <w:rFonts w:hint="eastAsia" w:ascii="宋体" w:hAnsi="宋体" w:cs="宋体"/>
          <w:color w:val="auto"/>
          <w:szCs w:val="21"/>
          <w:highlight w:val="none"/>
        </w:rPr>
        <w:br w:type="page"/>
      </w:r>
      <w:bookmarkStart w:id="145" w:name="_Toc436330181"/>
      <w:r>
        <w:rPr>
          <w:rFonts w:hint="eastAsia" w:ascii="宋体" w:hAnsi="宋体" w:cs="宋体"/>
          <w:b/>
          <w:bCs/>
          <w:color w:val="auto"/>
          <w:kern w:val="44"/>
          <w:sz w:val="32"/>
          <w:szCs w:val="32"/>
          <w:highlight w:val="none"/>
        </w:rPr>
        <w:t>第四章  招标需求</w:t>
      </w:r>
    </w:p>
    <w:bookmarkEnd w:id="141"/>
    <w:bookmarkEnd w:id="142"/>
    <w:bookmarkEnd w:id="143"/>
    <w:bookmarkEnd w:id="144"/>
    <w:bookmarkEnd w:id="145"/>
    <w:p>
      <w:pPr>
        <w:spacing w:line="400" w:lineRule="exact"/>
        <w:rPr>
          <w:rFonts w:hint="eastAsia" w:ascii="宋体" w:hAnsi="宋体"/>
          <w:b/>
          <w:color w:val="auto"/>
          <w:szCs w:val="21"/>
          <w:highlight w:val="none"/>
        </w:rPr>
      </w:pPr>
      <w:bookmarkStart w:id="146" w:name="_Toc12061"/>
      <w:bookmarkStart w:id="147" w:name="_Toc5254"/>
      <w:bookmarkStart w:id="148" w:name="_Toc14866"/>
      <w:bookmarkStart w:id="149" w:name="_Toc8376"/>
      <w:bookmarkStart w:id="150" w:name="_Toc61965564"/>
      <w:r>
        <w:rPr>
          <w:rFonts w:hint="eastAsia" w:ascii="宋体" w:hAnsi="宋体"/>
          <w:b/>
          <w:color w:val="auto"/>
          <w:szCs w:val="21"/>
          <w:highlight w:val="none"/>
        </w:rPr>
        <w:t>一、服务范围</w:t>
      </w:r>
    </w:p>
    <w:p>
      <w:pPr>
        <w:spacing w:line="400" w:lineRule="exact"/>
        <w:ind w:left="432"/>
        <w:rPr>
          <w:rFonts w:hint="eastAsia" w:ascii="宋体" w:hAnsi="宋体"/>
          <w:b/>
          <w:snapToGrid w:val="0"/>
          <w:color w:val="auto"/>
          <w:kern w:val="0"/>
          <w:szCs w:val="21"/>
          <w:highlight w:val="none"/>
        </w:rPr>
      </w:pPr>
      <w:r>
        <w:rPr>
          <w:rFonts w:hint="eastAsia"/>
          <w:color w:val="auto"/>
          <w:szCs w:val="21"/>
          <w:highlight w:val="none"/>
        </w:rPr>
        <w:t>宁波市鄞州区</w:t>
      </w:r>
      <w:r>
        <w:rPr>
          <w:rFonts w:hint="eastAsia"/>
          <w:color w:val="auto"/>
          <w:szCs w:val="21"/>
          <w:highlight w:val="none"/>
          <w:lang w:val="en-US" w:eastAsia="zh-CN"/>
        </w:rPr>
        <w:t>潘火街道</w:t>
      </w:r>
      <w:r>
        <w:rPr>
          <w:rFonts w:hint="eastAsia"/>
          <w:color w:val="auto"/>
          <w:szCs w:val="21"/>
          <w:highlight w:val="none"/>
        </w:rPr>
        <w:t>所辖各中小学、幼儿园（具体学校名称和安保人数见人员配备）</w:t>
      </w:r>
    </w:p>
    <w:p>
      <w:pPr>
        <w:spacing w:line="400" w:lineRule="exact"/>
        <w:rPr>
          <w:rFonts w:hint="eastAsia" w:ascii="宋体" w:hAnsi="宋体" w:cs="宋体"/>
          <w:b/>
          <w:color w:val="auto"/>
          <w:szCs w:val="21"/>
          <w:highlight w:val="none"/>
        </w:rPr>
      </w:pPr>
      <w:r>
        <w:rPr>
          <w:rFonts w:hint="eastAsia" w:ascii="宋体" w:hAnsi="宋体" w:cs="宋体"/>
          <w:b/>
          <w:snapToGrid w:val="0"/>
          <w:color w:val="auto"/>
          <w:kern w:val="0"/>
          <w:szCs w:val="21"/>
          <w:highlight w:val="none"/>
        </w:rPr>
        <w:t>二、</w:t>
      </w:r>
      <w:r>
        <w:rPr>
          <w:rFonts w:hint="eastAsia" w:ascii="宋体" w:hAnsi="宋体" w:cs="宋体"/>
          <w:b/>
          <w:color w:val="auto"/>
          <w:szCs w:val="21"/>
          <w:highlight w:val="none"/>
        </w:rPr>
        <w:t>服务</w:t>
      </w:r>
      <w:r>
        <w:rPr>
          <w:rFonts w:ascii="宋体" w:hAnsi="宋体" w:cs="宋体"/>
          <w:b/>
          <w:color w:val="auto"/>
          <w:szCs w:val="21"/>
          <w:highlight w:val="none"/>
        </w:rPr>
        <w:t>总</w:t>
      </w:r>
      <w:r>
        <w:rPr>
          <w:rFonts w:hint="eastAsia" w:ascii="宋体" w:hAnsi="宋体" w:cs="宋体"/>
          <w:b/>
          <w:color w:val="auto"/>
          <w:szCs w:val="21"/>
          <w:highlight w:val="none"/>
        </w:rPr>
        <w:t>期限</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服务总期限3年。合同一年一签</w:t>
      </w:r>
      <w:r>
        <w:rPr>
          <w:rFonts w:ascii="宋体" w:hAnsi="宋体" w:cs="宋体"/>
          <w:color w:val="auto"/>
          <w:szCs w:val="21"/>
          <w:highlight w:val="none"/>
        </w:rPr>
        <w:t>，第</w:t>
      </w:r>
      <w:r>
        <w:rPr>
          <w:rFonts w:hint="eastAsia" w:ascii="宋体" w:hAnsi="宋体" w:cs="宋体"/>
          <w:color w:val="auto"/>
          <w:szCs w:val="21"/>
          <w:highlight w:val="none"/>
        </w:rPr>
        <w:t>一</w:t>
      </w:r>
      <w:r>
        <w:rPr>
          <w:rFonts w:ascii="宋体" w:hAnsi="宋体" w:cs="宋体"/>
          <w:color w:val="auto"/>
          <w:szCs w:val="21"/>
          <w:highlight w:val="none"/>
        </w:rPr>
        <w:t>年自合同签订之日起</w:t>
      </w:r>
      <w:r>
        <w:rPr>
          <w:rFonts w:hint="eastAsia" w:ascii="宋体" w:hAnsi="宋体" w:cs="宋体"/>
          <w:color w:val="auto"/>
          <w:szCs w:val="21"/>
          <w:highlight w:val="none"/>
        </w:rPr>
        <w:t>1年</w:t>
      </w:r>
      <w:r>
        <w:rPr>
          <w:rFonts w:ascii="宋体" w:hAnsi="宋体" w:cs="宋体"/>
          <w:color w:val="auto"/>
          <w:szCs w:val="21"/>
          <w:highlight w:val="none"/>
        </w:rPr>
        <w:t>，</w:t>
      </w:r>
      <w:r>
        <w:rPr>
          <w:rFonts w:hint="eastAsia" w:ascii="宋体" w:hAnsi="宋体" w:cs="宋体"/>
          <w:color w:val="auto"/>
          <w:szCs w:val="21"/>
          <w:highlight w:val="none"/>
        </w:rPr>
        <w:t>后续两年合同的签订将</w:t>
      </w:r>
      <w:r>
        <w:rPr>
          <w:rFonts w:ascii="宋体" w:hAnsi="宋体" w:cs="宋体"/>
          <w:color w:val="auto"/>
          <w:szCs w:val="21"/>
          <w:highlight w:val="none"/>
        </w:rPr>
        <w:t>根据中标</w:t>
      </w:r>
      <w:r>
        <w:rPr>
          <w:rFonts w:hint="eastAsia" w:ascii="宋体" w:hAnsi="宋体" w:cs="宋体"/>
          <w:color w:val="auto"/>
          <w:szCs w:val="21"/>
          <w:highlight w:val="none"/>
        </w:rPr>
        <w:t>人在</w:t>
      </w:r>
      <w:r>
        <w:rPr>
          <w:rFonts w:ascii="宋体" w:hAnsi="宋体" w:cs="宋体"/>
          <w:color w:val="auto"/>
          <w:szCs w:val="21"/>
          <w:highlight w:val="none"/>
        </w:rPr>
        <w:t>上一年度的合同履约情况、考核情况及财政资金审批情况决定是否续签。</w:t>
      </w:r>
    </w:p>
    <w:p>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三、服务要求</w:t>
      </w:r>
    </w:p>
    <w:p>
      <w:pPr>
        <w:spacing w:line="400" w:lineRule="exact"/>
        <w:rPr>
          <w:rFonts w:ascii="宋体" w:hAnsi="宋体"/>
          <w:b/>
          <w:color w:val="auto"/>
          <w:szCs w:val="21"/>
          <w:highlight w:val="none"/>
        </w:rPr>
      </w:pPr>
      <w:r>
        <w:rPr>
          <w:rFonts w:hint="eastAsia" w:ascii="宋体" w:hAnsi="宋体"/>
          <w:b/>
          <w:color w:val="auto"/>
          <w:szCs w:val="21"/>
          <w:highlight w:val="none"/>
        </w:rPr>
        <w:t>（一）工作要求</w:t>
      </w:r>
    </w:p>
    <w:tbl>
      <w:tblPr>
        <w:tblStyle w:val="19"/>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186"/>
        <w:gridCol w:w="6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24" w:type="dxa"/>
            <w:noWrap w:val="0"/>
            <w:vAlign w:val="center"/>
          </w:tcPr>
          <w:p>
            <w:pPr>
              <w:autoSpaceDE w:val="0"/>
              <w:autoSpaceDN w:val="0"/>
              <w:adjustRightInd w:val="0"/>
              <w:snapToGrid w:val="0"/>
              <w:spacing w:line="380" w:lineRule="exact"/>
              <w:jc w:val="center"/>
              <w:rPr>
                <w:rFonts w:ascii="宋体" w:hAnsi="宋体"/>
                <w:b/>
                <w:color w:val="auto"/>
                <w:szCs w:val="21"/>
                <w:highlight w:val="none"/>
              </w:rPr>
            </w:pPr>
            <w:r>
              <w:rPr>
                <w:rFonts w:hint="eastAsia" w:ascii="宋体" w:hAnsi="宋体"/>
                <w:b/>
                <w:color w:val="auto"/>
                <w:szCs w:val="21"/>
                <w:highlight w:val="none"/>
              </w:rPr>
              <w:t>班次</w:t>
            </w:r>
          </w:p>
        </w:tc>
        <w:tc>
          <w:tcPr>
            <w:tcW w:w="2186" w:type="dxa"/>
            <w:noWrap w:val="0"/>
            <w:vAlign w:val="center"/>
          </w:tcPr>
          <w:p>
            <w:pPr>
              <w:autoSpaceDE w:val="0"/>
              <w:autoSpaceDN w:val="0"/>
              <w:adjustRightInd w:val="0"/>
              <w:snapToGrid w:val="0"/>
              <w:spacing w:line="380" w:lineRule="exact"/>
              <w:ind w:firstLine="422" w:firstLineChars="200"/>
              <w:jc w:val="center"/>
              <w:rPr>
                <w:rFonts w:ascii="宋体" w:hAnsi="宋体"/>
                <w:b/>
                <w:color w:val="auto"/>
                <w:szCs w:val="21"/>
                <w:highlight w:val="none"/>
              </w:rPr>
            </w:pPr>
            <w:r>
              <w:rPr>
                <w:rFonts w:hint="eastAsia" w:ascii="宋体" w:hAnsi="宋体"/>
                <w:b/>
                <w:color w:val="auto"/>
                <w:szCs w:val="21"/>
                <w:highlight w:val="none"/>
              </w:rPr>
              <w:t>工作职责</w:t>
            </w:r>
          </w:p>
        </w:tc>
        <w:tc>
          <w:tcPr>
            <w:tcW w:w="6224" w:type="dxa"/>
            <w:noWrap w:val="0"/>
            <w:vAlign w:val="center"/>
          </w:tcPr>
          <w:p>
            <w:pPr>
              <w:autoSpaceDE w:val="0"/>
              <w:autoSpaceDN w:val="0"/>
              <w:adjustRightInd w:val="0"/>
              <w:snapToGrid w:val="0"/>
              <w:spacing w:line="380" w:lineRule="exact"/>
              <w:ind w:firstLine="422" w:firstLineChars="200"/>
              <w:jc w:val="center"/>
              <w:rPr>
                <w:rFonts w:ascii="宋体" w:hAnsi="宋体"/>
                <w:b/>
                <w:color w:val="auto"/>
                <w:szCs w:val="21"/>
                <w:highlight w:val="none"/>
              </w:rPr>
            </w:pPr>
            <w:r>
              <w:rPr>
                <w:rFonts w:hint="eastAsia" w:ascii="宋体" w:hAnsi="宋体"/>
                <w:b/>
                <w:color w:val="auto"/>
                <w:szCs w:val="21"/>
                <w:highlight w:val="none"/>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24" w:type="dxa"/>
            <w:vMerge w:val="restart"/>
            <w:noWrap w:val="0"/>
            <w:vAlign w:val="center"/>
          </w:tcPr>
          <w:p>
            <w:pPr>
              <w:adjustRightInd w:val="0"/>
              <w:snapToGrid w:val="0"/>
              <w:spacing w:line="380" w:lineRule="exact"/>
              <w:jc w:val="center"/>
              <w:rPr>
                <w:rFonts w:ascii="宋体" w:hAnsi="宋体"/>
                <w:color w:val="auto"/>
                <w:szCs w:val="21"/>
                <w:highlight w:val="none"/>
              </w:rPr>
            </w:pPr>
            <w:r>
              <w:rPr>
                <w:rFonts w:hint="eastAsia" w:ascii="宋体" w:hAnsi="宋体"/>
                <w:color w:val="auto"/>
                <w:szCs w:val="21"/>
                <w:highlight w:val="none"/>
              </w:rPr>
              <w:t>白天工作要求</w:t>
            </w:r>
          </w:p>
        </w:tc>
        <w:tc>
          <w:tcPr>
            <w:tcW w:w="2186" w:type="dxa"/>
            <w:noWrap w:val="0"/>
            <w:vAlign w:val="center"/>
          </w:tcPr>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1、在师生到校前开门。</w:t>
            </w:r>
          </w:p>
        </w:tc>
        <w:tc>
          <w:tcPr>
            <w:tcW w:w="6224" w:type="dxa"/>
            <w:noWrap w:val="0"/>
            <w:vAlign w:val="center"/>
          </w:tcPr>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应及时做好相应办公楼大门的开锁工作。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924" w:type="dxa"/>
            <w:vMerge w:val="continue"/>
            <w:noWrap w:val="0"/>
            <w:vAlign w:val="center"/>
          </w:tcPr>
          <w:p>
            <w:pPr>
              <w:adjustRightInd w:val="0"/>
              <w:snapToGrid w:val="0"/>
              <w:spacing w:line="380" w:lineRule="exact"/>
              <w:rPr>
                <w:rFonts w:ascii="宋体" w:hAnsi="宋体"/>
                <w:color w:val="auto"/>
                <w:szCs w:val="21"/>
                <w:highlight w:val="none"/>
              </w:rPr>
            </w:pPr>
          </w:p>
        </w:tc>
        <w:tc>
          <w:tcPr>
            <w:tcW w:w="2186" w:type="dxa"/>
            <w:noWrap w:val="0"/>
            <w:vAlign w:val="center"/>
          </w:tcPr>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2、做好每天的升国旗工作。</w:t>
            </w:r>
          </w:p>
        </w:tc>
        <w:tc>
          <w:tcPr>
            <w:tcW w:w="6224" w:type="dxa"/>
            <w:noWrap w:val="0"/>
            <w:vAlign w:val="center"/>
          </w:tcPr>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1、早上升国旗，下雨天除外；</w:t>
            </w:r>
          </w:p>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2、遇天气变化，及时降国旗；</w:t>
            </w:r>
          </w:p>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3、保管好国旗，保持国旗的清洁。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924" w:type="dxa"/>
            <w:vMerge w:val="continue"/>
            <w:noWrap w:val="0"/>
            <w:vAlign w:val="center"/>
          </w:tcPr>
          <w:p>
            <w:pPr>
              <w:adjustRightInd w:val="0"/>
              <w:snapToGrid w:val="0"/>
              <w:spacing w:line="380" w:lineRule="exact"/>
              <w:rPr>
                <w:rFonts w:ascii="宋体" w:hAnsi="宋体"/>
                <w:color w:val="auto"/>
                <w:szCs w:val="21"/>
                <w:highlight w:val="none"/>
              </w:rPr>
            </w:pPr>
          </w:p>
        </w:tc>
        <w:tc>
          <w:tcPr>
            <w:tcW w:w="2186" w:type="dxa"/>
            <w:noWrap w:val="0"/>
            <w:vAlign w:val="center"/>
          </w:tcPr>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3、学生上、放学时段，在学校大门口按学校要求立岗。</w:t>
            </w:r>
          </w:p>
        </w:tc>
        <w:tc>
          <w:tcPr>
            <w:tcW w:w="6224" w:type="dxa"/>
            <w:noWrap w:val="0"/>
            <w:vAlign w:val="center"/>
          </w:tcPr>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要求服装整齐，穿戴符合规定要求（五件套），维护进出人员秩序，观察、制止可疑人员靠近师生。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24" w:type="dxa"/>
            <w:vMerge w:val="continue"/>
            <w:noWrap w:val="0"/>
            <w:vAlign w:val="center"/>
          </w:tcPr>
          <w:p>
            <w:pPr>
              <w:adjustRightInd w:val="0"/>
              <w:snapToGrid w:val="0"/>
              <w:spacing w:line="380" w:lineRule="exact"/>
              <w:rPr>
                <w:rFonts w:ascii="宋体" w:hAnsi="宋体"/>
                <w:color w:val="auto"/>
                <w:szCs w:val="21"/>
                <w:highlight w:val="none"/>
              </w:rPr>
            </w:pPr>
          </w:p>
        </w:tc>
        <w:tc>
          <w:tcPr>
            <w:tcW w:w="2186" w:type="dxa"/>
            <w:noWrap w:val="0"/>
            <w:vAlign w:val="center"/>
          </w:tcPr>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4、严格执行车辆、人员出入规定，发现可疑情况及时报告。</w:t>
            </w:r>
          </w:p>
        </w:tc>
        <w:tc>
          <w:tcPr>
            <w:tcW w:w="6224" w:type="dxa"/>
            <w:noWrap w:val="0"/>
            <w:vAlign w:val="center"/>
          </w:tcPr>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1、对进出车辆进行查问，对外来来访人员车辆，经核实后，做好登记；</w:t>
            </w:r>
          </w:p>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2、值班人员应文明执勤，礼貌待人，不允许与外来人员争吵纠纷，如确实无法处理，应及时报告；</w:t>
            </w:r>
          </w:p>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3、值班人员应监督控制，监督经允许进入的人员等其他需要控制的人员；</w:t>
            </w:r>
          </w:p>
          <w:p>
            <w:pPr>
              <w:adjustRightInd w:val="0"/>
              <w:snapToGrid w:val="0"/>
              <w:spacing w:line="380" w:lineRule="exact"/>
              <w:rPr>
                <w:rFonts w:hint="eastAsia" w:ascii="宋体" w:hAnsi="宋体"/>
                <w:color w:val="auto"/>
                <w:szCs w:val="21"/>
                <w:highlight w:val="none"/>
              </w:rPr>
            </w:pPr>
            <w:r>
              <w:rPr>
                <w:rFonts w:hint="eastAsia" w:ascii="宋体" w:hAnsi="宋体"/>
                <w:color w:val="auto"/>
                <w:szCs w:val="21"/>
                <w:highlight w:val="none"/>
              </w:rPr>
              <w:t>4、对驶出的厢式车、面包车应开箱检查，有可疑情况及时报告。</w:t>
            </w:r>
          </w:p>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5、特殊时期，按特殊规定操作。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24" w:type="dxa"/>
            <w:vMerge w:val="continue"/>
            <w:noWrap w:val="0"/>
            <w:vAlign w:val="center"/>
          </w:tcPr>
          <w:p>
            <w:pPr>
              <w:adjustRightInd w:val="0"/>
              <w:snapToGrid w:val="0"/>
              <w:spacing w:line="380" w:lineRule="exact"/>
              <w:rPr>
                <w:rFonts w:ascii="宋体" w:hAnsi="宋体"/>
                <w:color w:val="auto"/>
                <w:szCs w:val="21"/>
                <w:highlight w:val="none"/>
              </w:rPr>
            </w:pPr>
          </w:p>
        </w:tc>
        <w:tc>
          <w:tcPr>
            <w:tcW w:w="2186" w:type="dxa"/>
            <w:noWrap w:val="0"/>
            <w:vAlign w:val="center"/>
          </w:tcPr>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5、要求在校园内不间断巡逻。</w:t>
            </w:r>
          </w:p>
        </w:tc>
        <w:tc>
          <w:tcPr>
            <w:tcW w:w="6224" w:type="dxa"/>
            <w:noWrap w:val="0"/>
            <w:vAlign w:val="center"/>
          </w:tcPr>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1、确保校园安全，特别关注池塘、球场、停车场及建筑物周边安全，特别是监控死角，发现安全隐患及时报告；</w:t>
            </w:r>
          </w:p>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2、做好进出车辆停放的引导和安全管理工作，逢有会议要对车俩停放及时指挥；</w:t>
            </w:r>
          </w:p>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3、及时做好巡查记录，每隔一小时在单位内巡查一次。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24" w:type="dxa"/>
            <w:vMerge w:val="continue"/>
            <w:noWrap w:val="0"/>
            <w:vAlign w:val="center"/>
          </w:tcPr>
          <w:p>
            <w:pPr>
              <w:adjustRightInd w:val="0"/>
              <w:snapToGrid w:val="0"/>
              <w:spacing w:line="380" w:lineRule="exact"/>
              <w:rPr>
                <w:rFonts w:ascii="宋体" w:hAnsi="宋体"/>
                <w:color w:val="auto"/>
                <w:szCs w:val="21"/>
                <w:highlight w:val="none"/>
              </w:rPr>
            </w:pPr>
          </w:p>
        </w:tc>
        <w:tc>
          <w:tcPr>
            <w:tcW w:w="2186" w:type="dxa"/>
            <w:noWrap w:val="0"/>
            <w:vAlign w:val="center"/>
          </w:tcPr>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6、接收报刊杂志和各类邮件、快递。</w:t>
            </w:r>
          </w:p>
        </w:tc>
        <w:tc>
          <w:tcPr>
            <w:tcW w:w="6224" w:type="dxa"/>
            <w:noWrap w:val="0"/>
            <w:vAlign w:val="center"/>
          </w:tcPr>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要求及时接受、登记，并按要求保管或送达指定地点。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24" w:type="dxa"/>
            <w:vMerge w:val="continue"/>
            <w:noWrap w:val="0"/>
            <w:vAlign w:val="center"/>
          </w:tcPr>
          <w:p>
            <w:pPr>
              <w:adjustRightInd w:val="0"/>
              <w:snapToGrid w:val="0"/>
              <w:spacing w:line="380" w:lineRule="exact"/>
              <w:rPr>
                <w:rFonts w:ascii="宋体" w:hAnsi="宋体"/>
                <w:color w:val="auto"/>
                <w:szCs w:val="21"/>
                <w:highlight w:val="none"/>
              </w:rPr>
            </w:pPr>
          </w:p>
        </w:tc>
        <w:tc>
          <w:tcPr>
            <w:tcW w:w="2186" w:type="dxa"/>
            <w:noWrap w:val="0"/>
            <w:vAlign w:val="center"/>
          </w:tcPr>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7、认真做好消控设备和监控设施的检查、检测和监视。</w:t>
            </w:r>
          </w:p>
        </w:tc>
        <w:tc>
          <w:tcPr>
            <w:tcW w:w="6224" w:type="dxa"/>
            <w:noWrap w:val="0"/>
            <w:vAlign w:val="center"/>
          </w:tcPr>
          <w:p>
            <w:pPr>
              <w:adjustRightInd w:val="0"/>
              <w:snapToGrid w:val="0"/>
              <w:spacing w:line="380" w:lineRule="exact"/>
              <w:rPr>
                <w:rFonts w:hint="eastAsia" w:ascii="宋体" w:hAnsi="宋体"/>
                <w:color w:val="auto"/>
                <w:szCs w:val="21"/>
                <w:highlight w:val="none"/>
              </w:rPr>
            </w:pPr>
            <w:r>
              <w:rPr>
                <w:rFonts w:hint="eastAsia" w:ascii="宋体" w:hAnsi="宋体"/>
                <w:color w:val="auto"/>
                <w:szCs w:val="21"/>
                <w:highlight w:val="none"/>
              </w:rPr>
              <w:t>1、发现安全隐患和监控报警及时处置，遇突发性事件需要支援时及时做好报警，第一时间控制事态发展或事故发生。</w:t>
            </w:r>
          </w:p>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2、遇消控设备和监控设施损坏或监控时间不准，及时报告维修。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24" w:type="dxa"/>
            <w:vMerge w:val="continue"/>
            <w:noWrap w:val="0"/>
            <w:vAlign w:val="center"/>
          </w:tcPr>
          <w:p>
            <w:pPr>
              <w:adjustRightInd w:val="0"/>
              <w:snapToGrid w:val="0"/>
              <w:spacing w:line="380" w:lineRule="exact"/>
              <w:rPr>
                <w:rFonts w:ascii="宋体" w:hAnsi="宋体"/>
                <w:color w:val="auto"/>
                <w:szCs w:val="21"/>
                <w:highlight w:val="none"/>
              </w:rPr>
            </w:pPr>
          </w:p>
        </w:tc>
        <w:tc>
          <w:tcPr>
            <w:tcW w:w="2186" w:type="dxa"/>
            <w:noWrap w:val="0"/>
            <w:vAlign w:val="center"/>
          </w:tcPr>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8、按规定要求做好台账</w:t>
            </w:r>
          </w:p>
        </w:tc>
        <w:tc>
          <w:tcPr>
            <w:tcW w:w="6224" w:type="dxa"/>
            <w:noWrap w:val="0"/>
            <w:vAlign w:val="center"/>
          </w:tcPr>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要求保安人员记录或协助记录的台账，按规定要求记录完整并保存好8本或9本台账资料。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24" w:type="dxa"/>
            <w:vMerge w:val="continue"/>
            <w:noWrap w:val="0"/>
            <w:vAlign w:val="center"/>
          </w:tcPr>
          <w:p>
            <w:pPr>
              <w:adjustRightInd w:val="0"/>
              <w:snapToGrid w:val="0"/>
              <w:spacing w:line="380" w:lineRule="exact"/>
              <w:rPr>
                <w:rFonts w:ascii="宋体" w:hAnsi="宋体"/>
                <w:color w:val="auto"/>
                <w:szCs w:val="21"/>
                <w:highlight w:val="none"/>
              </w:rPr>
            </w:pPr>
          </w:p>
        </w:tc>
        <w:tc>
          <w:tcPr>
            <w:tcW w:w="2186" w:type="dxa"/>
            <w:noWrap w:val="0"/>
            <w:vAlign w:val="center"/>
          </w:tcPr>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9、做好每天的降国旗工作。</w:t>
            </w:r>
          </w:p>
        </w:tc>
        <w:tc>
          <w:tcPr>
            <w:tcW w:w="6224" w:type="dxa"/>
            <w:noWrap w:val="0"/>
            <w:vAlign w:val="center"/>
          </w:tcPr>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1、下班后降国旗；</w:t>
            </w:r>
          </w:p>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2、保管好国旗。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24" w:type="dxa"/>
            <w:vMerge w:val="continue"/>
            <w:noWrap w:val="0"/>
            <w:vAlign w:val="center"/>
          </w:tcPr>
          <w:p>
            <w:pPr>
              <w:adjustRightInd w:val="0"/>
              <w:snapToGrid w:val="0"/>
              <w:spacing w:line="380" w:lineRule="exact"/>
              <w:rPr>
                <w:rFonts w:ascii="宋体" w:hAnsi="宋体"/>
                <w:color w:val="auto"/>
                <w:szCs w:val="21"/>
                <w:highlight w:val="none"/>
              </w:rPr>
            </w:pPr>
          </w:p>
        </w:tc>
        <w:tc>
          <w:tcPr>
            <w:tcW w:w="2186" w:type="dxa"/>
            <w:noWrap w:val="0"/>
            <w:vAlign w:val="center"/>
          </w:tcPr>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10、在师生离校后锁门。</w:t>
            </w:r>
          </w:p>
        </w:tc>
        <w:tc>
          <w:tcPr>
            <w:tcW w:w="6224" w:type="dxa"/>
            <w:noWrap w:val="0"/>
            <w:vAlign w:val="center"/>
          </w:tcPr>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应在检查相应大楼后及时做好大门的上锁工作。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24" w:type="dxa"/>
            <w:vMerge w:val="continue"/>
            <w:noWrap w:val="0"/>
            <w:vAlign w:val="center"/>
          </w:tcPr>
          <w:p>
            <w:pPr>
              <w:adjustRightInd w:val="0"/>
              <w:snapToGrid w:val="0"/>
              <w:spacing w:line="380" w:lineRule="exact"/>
              <w:rPr>
                <w:rFonts w:ascii="宋体" w:hAnsi="宋体"/>
                <w:color w:val="auto"/>
                <w:szCs w:val="21"/>
                <w:highlight w:val="none"/>
              </w:rPr>
            </w:pPr>
          </w:p>
        </w:tc>
        <w:tc>
          <w:tcPr>
            <w:tcW w:w="2186" w:type="dxa"/>
            <w:noWrap w:val="0"/>
            <w:vAlign w:val="center"/>
          </w:tcPr>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11、做好学生放学后单位内的巡查。</w:t>
            </w:r>
          </w:p>
        </w:tc>
        <w:tc>
          <w:tcPr>
            <w:tcW w:w="6224" w:type="dxa"/>
            <w:noWrap w:val="0"/>
            <w:vAlign w:val="center"/>
          </w:tcPr>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1、保持高度警惕，确保校园安全，特别关注池塘、球场、停车场及建筑物周边安全；</w:t>
            </w:r>
          </w:p>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2、对在单位内停放过夜的车辆进行管理，确保安全；</w:t>
            </w:r>
          </w:p>
          <w:p>
            <w:pPr>
              <w:adjustRightInd w:val="0"/>
              <w:snapToGrid w:val="0"/>
              <w:spacing w:line="380" w:lineRule="exact"/>
              <w:rPr>
                <w:rFonts w:hint="eastAsia" w:ascii="宋体" w:hAnsi="宋体"/>
                <w:color w:val="auto"/>
                <w:szCs w:val="21"/>
                <w:highlight w:val="none"/>
              </w:rPr>
            </w:pPr>
            <w:r>
              <w:rPr>
                <w:rFonts w:hint="eastAsia" w:ascii="宋体" w:hAnsi="宋体"/>
                <w:color w:val="auto"/>
                <w:szCs w:val="21"/>
                <w:highlight w:val="none"/>
              </w:rPr>
              <w:t>3、每隔一小时在单位各记录终端考勤一次，做好记录。</w:t>
            </w:r>
          </w:p>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4、发现一切可疑情况包括师生情况，及时报告学校主管。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24" w:type="dxa"/>
            <w:vMerge w:val="restart"/>
            <w:noWrap w:val="0"/>
            <w:vAlign w:val="center"/>
          </w:tcPr>
          <w:p>
            <w:pPr>
              <w:adjustRightInd w:val="0"/>
              <w:snapToGrid w:val="0"/>
              <w:spacing w:line="380" w:lineRule="exact"/>
              <w:jc w:val="center"/>
              <w:rPr>
                <w:rFonts w:ascii="宋体" w:hAnsi="宋体"/>
                <w:color w:val="auto"/>
                <w:szCs w:val="21"/>
                <w:highlight w:val="none"/>
              </w:rPr>
            </w:pPr>
            <w:r>
              <w:rPr>
                <w:rFonts w:hint="eastAsia" w:ascii="宋体" w:hAnsi="宋体"/>
                <w:color w:val="auto"/>
                <w:szCs w:val="21"/>
                <w:highlight w:val="none"/>
              </w:rPr>
              <w:t>夜间工作要求</w:t>
            </w:r>
          </w:p>
        </w:tc>
        <w:tc>
          <w:tcPr>
            <w:tcW w:w="2186" w:type="dxa"/>
            <w:noWrap w:val="0"/>
            <w:vAlign w:val="center"/>
          </w:tcPr>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1、履行好门卫的相关工作职责。</w:t>
            </w:r>
          </w:p>
        </w:tc>
        <w:tc>
          <w:tcPr>
            <w:tcW w:w="6224" w:type="dxa"/>
            <w:noWrap w:val="0"/>
            <w:vAlign w:val="center"/>
          </w:tcPr>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工作要求参照白班。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924" w:type="dxa"/>
            <w:vMerge w:val="continue"/>
            <w:noWrap w:val="0"/>
            <w:vAlign w:val="center"/>
          </w:tcPr>
          <w:p>
            <w:pPr>
              <w:adjustRightInd w:val="0"/>
              <w:snapToGrid w:val="0"/>
              <w:spacing w:line="380" w:lineRule="exact"/>
              <w:rPr>
                <w:rFonts w:ascii="宋体" w:hAnsi="宋体"/>
                <w:color w:val="auto"/>
                <w:szCs w:val="21"/>
                <w:highlight w:val="none"/>
              </w:rPr>
            </w:pPr>
          </w:p>
        </w:tc>
        <w:tc>
          <w:tcPr>
            <w:tcW w:w="2186" w:type="dxa"/>
            <w:noWrap w:val="0"/>
            <w:vAlign w:val="center"/>
          </w:tcPr>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2、做好对校园的夜间巡查工作。</w:t>
            </w:r>
          </w:p>
        </w:tc>
        <w:tc>
          <w:tcPr>
            <w:tcW w:w="6224" w:type="dxa"/>
            <w:noWrap w:val="0"/>
            <w:vAlign w:val="center"/>
          </w:tcPr>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1、保持高度警惕，严禁工作时间睡觉；</w:t>
            </w:r>
          </w:p>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2、加强对校园的巡查，严禁B岗人员长时间滞留值班室；</w:t>
            </w:r>
          </w:p>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3、对校园内的建筑物、球场、池塘、树林进行巡查，并对在单位内停放过夜的车辆实施管理，确保安全；</w:t>
            </w:r>
          </w:p>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4、每隔一小时在单位各记录终端考勤一次。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24" w:type="dxa"/>
            <w:vMerge w:val="continue"/>
            <w:noWrap w:val="0"/>
            <w:vAlign w:val="center"/>
          </w:tcPr>
          <w:p>
            <w:pPr>
              <w:adjustRightInd w:val="0"/>
              <w:snapToGrid w:val="0"/>
              <w:spacing w:line="380" w:lineRule="exact"/>
              <w:rPr>
                <w:rFonts w:ascii="宋体" w:hAnsi="宋体"/>
                <w:color w:val="auto"/>
                <w:szCs w:val="21"/>
                <w:highlight w:val="none"/>
              </w:rPr>
            </w:pPr>
          </w:p>
        </w:tc>
        <w:tc>
          <w:tcPr>
            <w:tcW w:w="2186" w:type="dxa"/>
            <w:noWrap w:val="0"/>
            <w:vAlign w:val="center"/>
          </w:tcPr>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3、做好对校园的整体监控。</w:t>
            </w:r>
          </w:p>
        </w:tc>
        <w:tc>
          <w:tcPr>
            <w:tcW w:w="6224" w:type="dxa"/>
            <w:noWrap w:val="0"/>
            <w:vAlign w:val="center"/>
          </w:tcPr>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1、认真做好校园监控设施设备的检查、管控；</w:t>
            </w:r>
          </w:p>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2、预防偷盗事件和其他安全事故的发生；</w:t>
            </w:r>
          </w:p>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3、发现安全隐患和监控报警及时处置，遇突发性事件需要支援时及时报警，并第一时间控制事态发展或事故发生。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24" w:type="dxa"/>
            <w:noWrap w:val="0"/>
            <w:vAlign w:val="center"/>
          </w:tcPr>
          <w:p>
            <w:pPr>
              <w:adjustRightInd w:val="0"/>
              <w:snapToGrid w:val="0"/>
              <w:spacing w:line="380" w:lineRule="exact"/>
              <w:jc w:val="center"/>
              <w:rPr>
                <w:rFonts w:ascii="宋体" w:hAnsi="宋体"/>
                <w:color w:val="auto"/>
                <w:szCs w:val="21"/>
                <w:highlight w:val="none"/>
              </w:rPr>
            </w:pPr>
            <w:r>
              <w:rPr>
                <w:rFonts w:hint="eastAsia" w:ascii="宋体" w:hAnsi="宋体"/>
                <w:color w:val="auto"/>
                <w:szCs w:val="21"/>
                <w:highlight w:val="none"/>
              </w:rPr>
              <w:t>备注</w:t>
            </w:r>
          </w:p>
        </w:tc>
        <w:tc>
          <w:tcPr>
            <w:tcW w:w="8410" w:type="dxa"/>
            <w:gridSpan w:val="2"/>
            <w:noWrap w:val="0"/>
            <w:vAlign w:val="center"/>
          </w:tcPr>
          <w:p>
            <w:pPr>
              <w:adjustRightInd w:val="0"/>
              <w:snapToGrid w:val="0"/>
              <w:spacing w:line="380" w:lineRule="exact"/>
              <w:rPr>
                <w:rFonts w:hint="eastAsia" w:ascii="宋体" w:hAnsi="宋体"/>
                <w:color w:val="auto"/>
                <w:szCs w:val="21"/>
                <w:highlight w:val="none"/>
              </w:rPr>
            </w:pPr>
            <w:r>
              <w:rPr>
                <w:rFonts w:hint="eastAsia" w:ascii="宋体" w:hAnsi="宋体"/>
                <w:color w:val="auto"/>
                <w:szCs w:val="21"/>
                <w:highlight w:val="none"/>
              </w:rPr>
              <w:t>1、根据各校园实际情况，校方有权合理安排安保人员上班时间（原则上全年工作总时间不得超过国家法定工作时间总和）；</w:t>
            </w:r>
          </w:p>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2、履行岗位职责，认真做好安全护卫工作；随时观察校门口特殊情况，发现可疑情况及时处理或报告；</w:t>
            </w:r>
          </w:p>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3、安保人员设AB岗，A岗人员主要负责门卫工作及观察监控，B岗人员主要负责校园内的巡逻；</w:t>
            </w:r>
          </w:p>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4、安保人员除学生上、放学外，在岗期间按规定着装；平时应打扫工作区域，随时保持整洁，要求门卫室内物品摆放有序，周边卫生整洁，严禁家禽宠物等进入校园；</w:t>
            </w:r>
          </w:p>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5、各个班次应当做好交接班工作，准时接班，按时上岗，不得脱岗。交接班室应当通报各班工作情况，填写交接班登记表、记录好当班的重要事件，并做好相关物品的交接如钥匙、双向对讲机等工作；</w:t>
            </w:r>
          </w:p>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6、上岗前认真检查设备设施，确保接班时设施完好；</w:t>
            </w:r>
          </w:p>
          <w:p>
            <w:pPr>
              <w:adjustRightInd w:val="0"/>
              <w:snapToGrid w:val="0"/>
              <w:spacing w:line="380" w:lineRule="exact"/>
              <w:rPr>
                <w:rFonts w:ascii="宋体" w:hAnsi="宋体"/>
                <w:color w:val="auto"/>
                <w:szCs w:val="21"/>
                <w:highlight w:val="none"/>
              </w:rPr>
            </w:pPr>
            <w:r>
              <w:rPr>
                <w:rFonts w:hint="eastAsia" w:ascii="宋体" w:hAnsi="宋体"/>
                <w:color w:val="auto"/>
                <w:szCs w:val="21"/>
                <w:highlight w:val="none"/>
              </w:rPr>
              <w:t>7、如遇各学校有其他工作需要，安保人员应配合协助做好相关工作。</w:t>
            </w:r>
          </w:p>
        </w:tc>
      </w:tr>
    </w:tbl>
    <w:p>
      <w:pPr>
        <w:spacing w:line="400" w:lineRule="exact"/>
        <w:rPr>
          <w:rFonts w:ascii="宋体" w:hAnsi="宋体"/>
          <w:b/>
          <w:color w:val="auto"/>
          <w:szCs w:val="21"/>
          <w:highlight w:val="none"/>
        </w:rPr>
      </w:pPr>
      <w:r>
        <w:rPr>
          <w:rFonts w:hint="eastAsia" w:ascii="宋体" w:hAnsi="宋体"/>
          <w:b/>
          <w:color w:val="auto"/>
          <w:szCs w:val="21"/>
          <w:highlight w:val="none"/>
        </w:rPr>
        <w:t>（二）工作职责</w:t>
      </w:r>
    </w:p>
    <w:p>
      <w:pPr>
        <w:spacing w:line="400" w:lineRule="exact"/>
        <w:ind w:left="-2" w:leftChars="-1" w:firstLine="420" w:firstLineChars="200"/>
        <w:rPr>
          <w:rFonts w:ascii="宋体" w:hAnsi="宋体"/>
          <w:color w:val="auto"/>
          <w:szCs w:val="21"/>
          <w:highlight w:val="none"/>
        </w:rPr>
      </w:pPr>
      <w:r>
        <w:rPr>
          <w:rFonts w:hint="eastAsia" w:ascii="宋体" w:hAnsi="宋体"/>
          <w:color w:val="auto"/>
          <w:szCs w:val="21"/>
          <w:highlight w:val="none"/>
        </w:rPr>
        <w:t>1、中标人根据各学校要求，派遣安保人员，并与安保人员订立劳动合同，为安保人员办理相关劳动合同和社会保障事宜；</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2、各学校对安保工作人员进行领导、工作管理，中标人协助管理；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3、中标人向各学校提供以下服务，包括但不限于：</w:t>
      </w:r>
    </w:p>
    <w:p>
      <w:pPr>
        <w:spacing w:line="400" w:lineRule="exact"/>
        <w:ind w:firstLine="525" w:firstLineChars="250"/>
        <w:rPr>
          <w:rFonts w:ascii="宋体" w:hAnsi="宋体"/>
          <w:color w:val="auto"/>
          <w:szCs w:val="21"/>
          <w:highlight w:val="none"/>
        </w:rPr>
      </w:pPr>
      <w:r>
        <w:rPr>
          <w:rFonts w:hint="eastAsia" w:ascii="宋体" w:hAnsi="宋体"/>
          <w:color w:val="auto"/>
          <w:szCs w:val="21"/>
          <w:highlight w:val="none"/>
        </w:rPr>
        <w:t>（1）代办安保工作人员的招募、录用备案手续；</w:t>
      </w:r>
    </w:p>
    <w:p>
      <w:pPr>
        <w:spacing w:line="400" w:lineRule="exact"/>
        <w:ind w:firstLine="525" w:firstLineChars="250"/>
        <w:rPr>
          <w:rFonts w:ascii="宋体" w:hAnsi="宋体"/>
          <w:color w:val="auto"/>
          <w:szCs w:val="21"/>
          <w:highlight w:val="none"/>
        </w:rPr>
      </w:pPr>
      <w:r>
        <w:rPr>
          <w:rFonts w:hint="eastAsia" w:ascii="宋体" w:hAnsi="宋体"/>
          <w:color w:val="auto"/>
          <w:szCs w:val="21"/>
          <w:highlight w:val="none"/>
        </w:rPr>
        <w:t>（2）调、退安保工作人员档案；</w:t>
      </w:r>
    </w:p>
    <w:p>
      <w:pPr>
        <w:spacing w:line="400" w:lineRule="exact"/>
        <w:ind w:firstLine="525" w:firstLineChars="250"/>
        <w:rPr>
          <w:rFonts w:ascii="宋体" w:hAnsi="宋体"/>
          <w:color w:val="auto"/>
          <w:szCs w:val="21"/>
          <w:highlight w:val="none"/>
        </w:rPr>
      </w:pPr>
      <w:r>
        <w:rPr>
          <w:rFonts w:hint="eastAsia" w:ascii="宋体" w:hAnsi="宋体"/>
          <w:color w:val="auto"/>
          <w:szCs w:val="21"/>
          <w:highlight w:val="none"/>
        </w:rPr>
        <w:t>（3）代管、代建安保工作人员档案；</w:t>
      </w:r>
    </w:p>
    <w:p>
      <w:pPr>
        <w:spacing w:line="400" w:lineRule="exact"/>
        <w:ind w:firstLine="525" w:firstLineChars="250"/>
        <w:rPr>
          <w:rFonts w:ascii="宋体" w:hAnsi="宋体"/>
          <w:color w:val="auto"/>
          <w:szCs w:val="21"/>
          <w:highlight w:val="none"/>
        </w:rPr>
      </w:pPr>
      <w:r>
        <w:rPr>
          <w:rFonts w:hint="eastAsia" w:ascii="宋体" w:hAnsi="宋体"/>
          <w:color w:val="auto"/>
          <w:szCs w:val="21"/>
          <w:highlight w:val="none"/>
        </w:rPr>
        <w:t>（4）出具与安保工作人员档案有关的相关证明；</w:t>
      </w:r>
    </w:p>
    <w:p>
      <w:pPr>
        <w:spacing w:line="400" w:lineRule="exact"/>
        <w:ind w:firstLine="525" w:firstLineChars="250"/>
        <w:rPr>
          <w:rFonts w:ascii="宋体" w:hAnsi="宋体"/>
          <w:color w:val="auto"/>
          <w:szCs w:val="21"/>
          <w:highlight w:val="none"/>
        </w:rPr>
      </w:pPr>
      <w:r>
        <w:rPr>
          <w:rFonts w:hint="eastAsia" w:ascii="宋体" w:hAnsi="宋体"/>
          <w:color w:val="auto"/>
          <w:szCs w:val="21"/>
          <w:highlight w:val="none"/>
        </w:rPr>
        <w:t>（5）支付安保工作人员的工资、社会福利及缴纳各项社会保险、各种培训费用等；</w:t>
      </w:r>
    </w:p>
    <w:p>
      <w:pPr>
        <w:spacing w:line="400" w:lineRule="exact"/>
        <w:ind w:firstLine="525" w:firstLineChars="250"/>
        <w:rPr>
          <w:rFonts w:ascii="宋体" w:hAnsi="宋体"/>
          <w:color w:val="auto"/>
          <w:szCs w:val="21"/>
          <w:highlight w:val="none"/>
        </w:rPr>
      </w:pPr>
      <w:r>
        <w:rPr>
          <w:rFonts w:hint="eastAsia" w:ascii="宋体" w:hAnsi="宋体"/>
          <w:color w:val="auto"/>
          <w:szCs w:val="21"/>
          <w:highlight w:val="none"/>
        </w:rPr>
        <w:t>（6）负责安保工作人员的岗前培训工作；</w:t>
      </w:r>
    </w:p>
    <w:p>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（7）处理安保工作人员的工伤纠纷、劳动争议。</w:t>
      </w:r>
    </w:p>
    <w:p>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（8）负责督查安保工作人员的日常工作；</w:t>
      </w:r>
    </w:p>
    <w:p>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（9）其他与本项目有关的内容。</w:t>
      </w:r>
    </w:p>
    <w:p>
      <w:pPr>
        <w:spacing w:line="400" w:lineRule="exact"/>
        <w:rPr>
          <w:rFonts w:hint="eastAsia" w:ascii="宋体" w:hAnsi="宋体"/>
          <w:b/>
          <w:color w:val="auto"/>
          <w:szCs w:val="21"/>
          <w:highlight w:val="none"/>
        </w:rPr>
      </w:pPr>
      <w:r>
        <w:rPr>
          <w:rFonts w:hint="eastAsia" w:ascii="宋体" w:hAnsi="宋体"/>
          <w:b/>
          <w:color w:val="auto"/>
          <w:szCs w:val="21"/>
          <w:highlight w:val="none"/>
        </w:rPr>
        <w:t>（三）人员配备要</w:t>
      </w:r>
    </w:p>
    <w:p>
      <w:pPr>
        <w:spacing w:line="400" w:lineRule="exact"/>
        <w:rPr>
          <w:rFonts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color w:val="auto"/>
          <w:szCs w:val="21"/>
          <w:highlight w:val="none"/>
        </w:rPr>
        <w:t>1、保安及督查人员数量（根据实际需求配置保安员人数，本次投标报价中，经费按实际到岗保安员人数结算）</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2"/>
        <w:gridCol w:w="4584"/>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039" w:type="pct"/>
            <w:noWrap w:val="0"/>
            <w:vAlign w:val="center"/>
          </w:tcPr>
          <w:p>
            <w:pPr>
              <w:spacing w:line="360" w:lineRule="auto"/>
              <w:jc w:val="center"/>
              <w:rPr>
                <w:rFonts w:hint="eastAsia"/>
                <w:color w:val="auto"/>
                <w:kern w:val="2"/>
                <w:sz w:val="21"/>
                <w:szCs w:val="24"/>
                <w:highlight w:val="none"/>
                <w:vertAlign w:val="baseline"/>
                <w:lang w:val="en-US" w:eastAsia="zh-CN" w:bidi="ar-SA"/>
              </w:rPr>
            </w:pPr>
            <w:r>
              <w:rPr>
                <w:rFonts w:hint="eastAsia"/>
                <w:color w:val="auto"/>
                <w:highlight w:val="none"/>
                <w:vertAlign w:val="baseline"/>
                <w:lang w:val="en-US" w:eastAsia="zh-CN"/>
              </w:rPr>
              <w:t>序号</w:t>
            </w:r>
          </w:p>
        </w:tc>
        <w:tc>
          <w:tcPr>
            <w:tcW w:w="2688" w:type="pct"/>
            <w:noWrap w:val="0"/>
            <w:vAlign w:val="center"/>
          </w:tcPr>
          <w:p>
            <w:pPr>
              <w:spacing w:line="360" w:lineRule="auto"/>
              <w:jc w:val="center"/>
              <w:rPr>
                <w:rFonts w:hint="eastAsia"/>
                <w:color w:val="auto"/>
                <w:kern w:val="2"/>
                <w:sz w:val="21"/>
                <w:szCs w:val="24"/>
                <w:highlight w:val="none"/>
                <w:vertAlign w:val="baseline"/>
                <w:lang w:val="en-US" w:eastAsia="zh-CN" w:bidi="ar-SA"/>
              </w:rPr>
            </w:pPr>
            <w:r>
              <w:rPr>
                <w:rFonts w:hint="eastAsia"/>
                <w:color w:val="auto"/>
                <w:highlight w:val="none"/>
                <w:vertAlign w:val="baseline"/>
                <w:lang w:val="en-US" w:eastAsia="zh-CN"/>
              </w:rPr>
              <w:t>学校（幼儿园）</w:t>
            </w:r>
          </w:p>
        </w:tc>
        <w:tc>
          <w:tcPr>
            <w:tcW w:w="1272" w:type="pct"/>
            <w:noWrap w:val="0"/>
            <w:vAlign w:val="center"/>
          </w:tcPr>
          <w:p>
            <w:pPr>
              <w:spacing w:line="360" w:lineRule="auto"/>
              <w:jc w:val="center"/>
              <w:rPr>
                <w:rFonts w:hint="eastAsia"/>
                <w:color w:val="auto"/>
                <w:kern w:val="2"/>
                <w:sz w:val="21"/>
                <w:szCs w:val="24"/>
                <w:highlight w:val="none"/>
                <w:vertAlign w:val="baseline"/>
                <w:lang w:val="en-US" w:eastAsia="zh-CN" w:bidi="ar-SA"/>
              </w:rPr>
            </w:pPr>
            <w:r>
              <w:rPr>
                <w:rFonts w:hint="eastAsia"/>
                <w:color w:val="auto"/>
                <w:highlight w:val="none"/>
                <w:vertAlign w:val="baseline"/>
                <w:lang w:val="en-US" w:eastAsia="zh-CN"/>
              </w:rPr>
              <w:t>保安人数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039"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1</w:t>
            </w:r>
          </w:p>
        </w:tc>
        <w:tc>
          <w:tcPr>
            <w:tcW w:w="2688"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lang w:val="en-US" w:eastAsia="zh-CN"/>
              </w:rPr>
              <w:t>潘</w:t>
            </w:r>
            <w:r>
              <w:rPr>
                <w:rFonts w:hint="eastAsia"/>
                <w:color w:val="auto"/>
                <w:highlight w:val="none"/>
                <w:lang w:eastAsia="zh-CN"/>
              </w:rPr>
              <w:t>火实验中学</w:t>
            </w:r>
          </w:p>
        </w:tc>
        <w:tc>
          <w:tcPr>
            <w:tcW w:w="1272"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2</w:t>
            </w:r>
          </w:p>
        </w:tc>
        <w:tc>
          <w:tcPr>
            <w:tcW w:w="2688"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德培小学</w:t>
            </w:r>
          </w:p>
        </w:tc>
        <w:tc>
          <w:tcPr>
            <w:tcW w:w="1272"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3</w:t>
            </w:r>
          </w:p>
        </w:tc>
        <w:tc>
          <w:tcPr>
            <w:tcW w:w="2688"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lang w:eastAsia="zh-CN"/>
              </w:rPr>
              <w:t>东南小学教育集团</w:t>
            </w:r>
          </w:p>
        </w:tc>
        <w:tc>
          <w:tcPr>
            <w:tcW w:w="1272"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4</w:t>
            </w:r>
          </w:p>
        </w:tc>
        <w:tc>
          <w:tcPr>
            <w:tcW w:w="2688"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花园学校</w:t>
            </w:r>
          </w:p>
        </w:tc>
        <w:tc>
          <w:tcPr>
            <w:tcW w:w="1272"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5</w:t>
            </w:r>
          </w:p>
        </w:tc>
        <w:tc>
          <w:tcPr>
            <w:tcW w:w="2688"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东莺幼儿园</w:t>
            </w:r>
          </w:p>
        </w:tc>
        <w:tc>
          <w:tcPr>
            <w:tcW w:w="1272"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39"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6</w:t>
            </w:r>
          </w:p>
        </w:tc>
        <w:tc>
          <w:tcPr>
            <w:tcW w:w="2688"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德培幼儿园</w:t>
            </w:r>
          </w:p>
        </w:tc>
        <w:tc>
          <w:tcPr>
            <w:tcW w:w="1272"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7</w:t>
            </w:r>
          </w:p>
        </w:tc>
        <w:tc>
          <w:tcPr>
            <w:tcW w:w="2688"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东杰幼儿园</w:t>
            </w:r>
          </w:p>
        </w:tc>
        <w:tc>
          <w:tcPr>
            <w:tcW w:w="1272"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8</w:t>
            </w:r>
          </w:p>
        </w:tc>
        <w:tc>
          <w:tcPr>
            <w:tcW w:w="2688"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紫郡幼儿园</w:t>
            </w:r>
          </w:p>
        </w:tc>
        <w:tc>
          <w:tcPr>
            <w:tcW w:w="1272"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9</w:t>
            </w:r>
          </w:p>
        </w:tc>
        <w:tc>
          <w:tcPr>
            <w:tcW w:w="2688"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潘火中心幼儿园</w:t>
            </w:r>
          </w:p>
        </w:tc>
        <w:tc>
          <w:tcPr>
            <w:tcW w:w="1272"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10</w:t>
            </w:r>
          </w:p>
        </w:tc>
        <w:tc>
          <w:tcPr>
            <w:tcW w:w="2688"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上上幼儿园</w:t>
            </w:r>
          </w:p>
        </w:tc>
        <w:tc>
          <w:tcPr>
            <w:tcW w:w="1272"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11</w:t>
            </w:r>
          </w:p>
        </w:tc>
        <w:tc>
          <w:tcPr>
            <w:tcW w:w="2688"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格兰春天幼儿园</w:t>
            </w:r>
          </w:p>
        </w:tc>
        <w:tc>
          <w:tcPr>
            <w:tcW w:w="1272"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12</w:t>
            </w:r>
          </w:p>
        </w:tc>
        <w:tc>
          <w:tcPr>
            <w:tcW w:w="2688"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区实验幼儿园</w:t>
            </w:r>
          </w:p>
        </w:tc>
        <w:tc>
          <w:tcPr>
            <w:tcW w:w="1272"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039"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13</w:t>
            </w:r>
          </w:p>
        </w:tc>
        <w:tc>
          <w:tcPr>
            <w:tcW w:w="2688"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合计</w:t>
            </w:r>
          </w:p>
        </w:tc>
        <w:tc>
          <w:tcPr>
            <w:tcW w:w="1272"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68</w:t>
            </w:r>
          </w:p>
        </w:tc>
      </w:tr>
    </w:tbl>
    <w:p>
      <w:pPr>
        <w:pStyle w:val="18"/>
        <w:spacing w:after="0" w:line="380" w:lineRule="exact"/>
        <w:ind w:left="0" w:leftChars="0" w:firstLine="303" w:firstLineChars="150"/>
        <w:rPr>
          <w:rFonts w:hint="eastAsia" w:hAnsi="宋体"/>
          <w:color w:val="auto"/>
          <w:szCs w:val="21"/>
          <w:highlight w:val="none"/>
        </w:rPr>
      </w:pPr>
      <w:r>
        <w:rPr>
          <w:rFonts w:hint="eastAsia" w:hAnsi="宋体"/>
          <w:color w:val="auto"/>
          <w:kern w:val="0"/>
          <w:szCs w:val="21"/>
          <w:highlight w:val="none"/>
        </w:rPr>
        <w:t>注：保安人员按全年平均每日8小时工作制（不含法定节假日和双休日）提供服务，</w:t>
      </w:r>
      <w:r>
        <w:rPr>
          <w:rFonts w:hint="eastAsia" w:hAnsi="宋体"/>
          <w:color w:val="auto"/>
          <w:szCs w:val="21"/>
          <w:highlight w:val="none"/>
        </w:rPr>
        <w:t>各校园根据实际工作需要，校方有权合理安排、适当调整安保人员上班时间（原则上全年工作总时间不得超过国家法定工作时间总和）。</w:t>
      </w:r>
      <w:r>
        <w:rPr>
          <w:rFonts w:hint="eastAsia" w:hAnsi="宋体"/>
          <w:color w:val="auto"/>
          <w:kern w:val="0"/>
          <w:szCs w:val="21"/>
          <w:highlight w:val="none"/>
        </w:rPr>
        <w:t>保安工作如全年如超时3个工作日内，超时</w:t>
      </w:r>
      <w:r>
        <w:rPr>
          <w:rFonts w:hint="eastAsia" w:hAnsi="宋体"/>
          <w:color w:val="auto"/>
          <w:szCs w:val="21"/>
          <w:highlight w:val="none"/>
        </w:rPr>
        <w:t>部分</w:t>
      </w:r>
      <w:r>
        <w:rPr>
          <w:rFonts w:hint="eastAsia" w:hAnsi="宋体"/>
          <w:color w:val="auto"/>
          <w:kern w:val="0"/>
          <w:szCs w:val="21"/>
          <w:highlight w:val="none"/>
        </w:rPr>
        <w:t>加班费由中标人支付。</w:t>
      </w:r>
      <w:r>
        <w:rPr>
          <w:rFonts w:hint="eastAsia" w:hAnsi="宋体"/>
          <w:color w:val="auto"/>
          <w:szCs w:val="21"/>
          <w:highlight w:val="none"/>
        </w:rPr>
        <w:t>全年超时3个工作日外，超时部分加班费由各学校自行根据实际加班情况支付</w:t>
      </w:r>
      <w:r>
        <w:rPr>
          <w:rFonts w:hint="eastAsia" w:hAnsi="宋体"/>
          <w:color w:val="auto"/>
          <w:szCs w:val="21"/>
          <w:highlight w:val="none"/>
          <w:lang w:eastAsia="zh-CN"/>
        </w:rPr>
        <w:t>（</w:t>
      </w:r>
      <w:r>
        <w:rPr>
          <w:rFonts w:hint="eastAsia" w:hAnsi="宋体"/>
          <w:color w:val="auto"/>
          <w:szCs w:val="21"/>
          <w:highlight w:val="none"/>
        </w:rPr>
        <w:t>该费用不包含在本次投标报价中</w:t>
      </w:r>
      <w:r>
        <w:rPr>
          <w:rFonts w:hint="eastAsia" w:hAnsi="宋体"/>
          <w:color w:val="auto"/>
          <w:szCs w:val="21"/>
          <w:highlight w:val="none"/>
          <w:lang w:eastAsia="zh-CN"/>
        </w:rPr>
        <w:t>）</w:t>
      </w:r>
      <w:r>
        <w:rPr>
          <w:rFonts w:hint="eastAsia" w:hAnsi="宋体"/>
          <w:color w:val="auto"/>
          <w:szCs w:val="21"/>
          <w:highlight w:val="none"/>
        </w:rPr>
        <w:t>。</w:t>
      </w:r>
    </w:p>
    <w:p>
      <w:pPr>
        <w:pStyle w:val="18"/>
        <w:spacing w:after="0" w:line="380" w:lineRule="exact"/>
        <w:ind w:left="0" w:leftChars="0"/>
        <w:rPr>
          <w:rFonts w:hint="eastAsia" w:hAnsi="宋体"/>
          <w:color w:val="auto"/>
          <w:kern w:val="0"/>
          <w:szCs w:val="21"/>
          <w:highlight w:val="none"/>
        </w:rPr>
      </w:pPr>
      <w:r>
        <w:rPr>
          <w:rFonts w:hint="eastAsia" w:hAnsi="宋体"/>
          <w:color w:val="auto"/>
          <w:kern w:val="0"/>
          <w:szCs w:val="21"/>
          <w:highlight w:val="none"/>
        </w:rPr>
        <w:t>2、人员要求</w:t>
      </w:r>
    </w:p>
    <w:p>
      <w:pPr>
        <w:snapToGrid w:val="0"/>
        <w:spacing w:line="380" w:lineRule="exact"/>
        <w:ind w:firstLine="525" w:firstLineChars="2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kern w:val="0"/>
          <w:szCs w:val="21"/>
          <w:highlight w:val="none"/>
        </w:rPr>
        <w:t>投标人根据各学校实际要求的保安人员数量进行配置人员。</w:t>
      </w:r>
    </w:p>
    <w:p>
      <w:pPr>
        <w:snapToGrid w:val="0"/>
        <w:spacing w:line="380" w:lineRule="exact"/>
        <w:ind w:firstLine="525" w:firstLineChars="250"/>
        <w:rPr>
          <w:rFonts w:hint="eastAsia" w:ascii="宋体" w:hAnsi="宋体"/>
          <w:color w:val="auto"/>
          <w:szCs w:val="21"/>
          <w:highlight w:val="none"/>
        </w:rPr>
      </w:pPr>
      <w:r>
        <w:rPr>
          <w:rFonts w:hint="eastAsia" w:ascii="宋体" w:hAnsi="宋体"/>
          <w:color w:val="auto"/>
          <w:szCs w:val="21"/>
          <w:highlight w:val="none"/>
        </w:rPr>
        <w:t>（2）保安人员要求：男性；年龄60周岁以下（专职保安人员首次聘任年龄不超过50周岁）；身体健康，没有传染病及精神疾病等不能控制自己行为能力的疾病病史；体貌端正；没有违法犯罪记录；报请当地公安或***核查无误；所有保安人员上岗时必须持有保安员证，并接受过校园安保工作专门岗前培训。</w:t>
      </w:r>
    </w:p>
    <w:p>
      <w:pPr>
        <w:snapToGrid w:val="0"/>
        <w:spacing w:line="380" w:lineRule="exact"/>
        <w:ind w:firstLine="525" w:firstLineChars="250"/>
        <w:rPr>
          <w:rFonts w:hint="eastAsia" w:ascii="宋体" w:hAnsi="宋体"/>
          <w:color w:val="auto"/>
          <w:szCs w:val="21"/>
          <w:highlight w:val="none"/>
        </w:rPr>
      </w:pPr>
      <w:r>
        <w:rPr>
          <w:rFonts w:hint="eastAsia" w:ascii="宋体" w:hAnsi="宋体"/>
          <w:color w:val="auto"/>
          <w:szCs w:val="21"/>
          <w:highlight w:val="none"/>
        </w:rPr>
        <w:t>（3）保安人员需有吃苦耐劳精神，有高度的责任感，熟练掌握各项安保设施的运用，熟知学校各项规定，严格履行岗位职责，善于发现问题，具备一定的类似工作经验和处理突发事件的能力。</w:t>
      </w:r>
    </w:p>
    <w:p>
      <w:pPr>
        <w:snapToGrid w:val="0"/>
        <w:spacing w:line="380" w:lineRule="exact"/>
        <w:ind w:firstLine="525" w:firstLineChars="250"/>
        <w:rPr>
          <w:rFonts w:hint="eastAsia" w:ascii="宋体" w:hAnsi="宋体"/>
          <w:color w:val="auto"/>
          <w:szCs w:val="21"/>
          <w:highlight w:val="none"/>
        </w:rPr>
      </w:pPr>
      <w:r>
        <w:rPr>
          <w:rFonts w:hint="eastAsia" w:ascii="宋体" w:hAnsi="宋体"/>
          <w:color w:val="auto"/>
          <w:szCs w:val="21"/>
          <w:highlight w:val="none"/>
        </w:rPr>
        <w:t>（4）中标人需另行配置项目负责人（含督查）1名</w:t>
      </w:r>
      <w:r>
        <w:rPr>
          <w:rFonts w:hint="eastAsia" w:ascii="宋体" w:hAnsi="宋体"/>
          <w:b/>
          <w:color w:val="auto"/>
          <w:szCs w:val="21"/>
          <w:highlight w:val="none"/>
        </w:rPr>
        <w:t>，</w:t>
      </w:r>
      <w:r>
        <w:rPr>
          <w:rFonts w:hint="eastAsia" w:ascii="宋体" w:hAnsi="宋体"/>
          <w:color w:val="auto"/>
          <w:szCs w:val="21"/>
          <w:highlight w:val="none"/>
        </w:rPr>
        <w:t>全面负责日常保安队伍的管理及督查，必须每星期到现场查岗；中标人须建立健全内部管理体制。投标文件中提供投标人为项目负责人按在“评分标准”内容中涉及到的相关资料（有效证明复印件加盖公章，原件备查）；与投标人签订劳动合同的退休返聘人员不得作为项目负责人。</w:t>
      </w:r>
    </w:p>
    <w:p>
      <w:pPr>
        <w:snapToGrid w:val="0"/>
        <w:spacing w:line="380" w:lineRule="exact"/>
        <w:ind w:firstLine="525" w:firstLineChars="250"/>
        <w:rPr>
          <w:rFonts w:hint="eastAsia" w:ascii="宋体" w:hAnsi="宋体"/>
          <w:color w:val="auto"/>
          <w:szCs w:val="21"/>
          <w:highlight w:val="none"/>
        </w:rPr>
      </w:pPr>
      <w:r>
        <w:rPr>
          <w:rFonts w:hint="eastAsia" w:ascii="宋体" w:hAnsi="宋体"/>
          <w:color w:val="auto"/>
          <w:szCs w:val="21"/>
          <w:highlight w:val="none"/>
        </w:rPr>
        <w:t>（5）中标人须与配备的保安人员签定劳动合同，并按国家规定为保安人员缴纳社保。保安人员的应聘、录用、离职等要求手续齐全，档案管理规范。</w:t>
      </w:r>
    </w:p>
    <w:p>
      <w:pPr>
        <w:snapToGrid w:val="0"/>
        <w:spacing w:line="380" w:lineRule="exact"/>
        <w:ind w:firstLine="525" w:firstLineChars="250"/>
        <w:rPr>
          <w:rFonts w:hint="eastAsia" w:ascii="宋体" w:hAnsi="宋体"/>
          <w:color w:val="auto"/>
          <w:szCs w:val="21"/>
          <w:highlight w:val="none"/>
        </w:rPr>
      </w:pPr>
      <w:r>
        <w:rPr>
          <w:rFonts w:hint="eastAsia" w:ascii="宋体" w:hAnsi="宋体"/>
          <w:color w:val="auto"/>
          <w:szCs w:val="21"/>
          <w:highlight w:val="none"/>
        </w:rPr>
        <w:t>（6）中标人需采取切实有效的措施保持保安队伍的稳定，控制人员的流动，如需要更换保安服务人员的，需提前一个月以书面形式通知各学校的分管领导，征得其同意后更换保安服务人员。</w:t>
      </w:r>
    </w:p>
    <w:p>
      <w:pPr>
        <w:snapToGrid w:val="0"/>
        <w:spacing w:line="380" w:lineRule="exact"/>
        <w:ind w:firstLine="525" w:firstLineChars="250"/>
        <w:rPr>
          <w:rFonts w:hint="eastAsia" w:ascii="宋体" w:hAnsi="宋体"/>
          <w:color w:val="auto"/>
          <w:szCs w:val="21"/>
          <w:highlight w:val="none"/>
        </w:rPr>
      </w:pPr>
      <w:r>
        <w:rPr>
          <w:rFonts w:hint="eastAsia" w:ascii="宋体" w:hAnsi="宋体"/>
          <w:color w:val="auto"/>
          <w:szCs w:val="21"/>
          <w:highlight w:val="none"/>
        </w:rPr>
        <w:t>（7）出现保安人员不能胜任保安工作或校方不满意要求调换的，应及时更换。</w:t>
      </w:r>
    </w:p>
    <w:p>
      <w:pPr>
        <w:snapToGrid w:val="0"/>
        <w:spacing w:line="380" w:lineRule="exact"/>
        <w:ind w:firstLine="525" w:firstLineChars="250"/>
        <w:rPr>
          <w:rFonts w:hint="eastAsia" w:ascii="宋体" w:hAnsi="宋体"/>
          <w:color w:val="auto"/>
          <w:szCs w:val="21"/>
          <w:highlight w:val="none"/>
        </w:rPr>
      </w:pPr>
      <w:r>
        <w:rPr>
          <w:rFonts w:hint="eastAsia" w:ascii="宋体" w:hAnsi="宋体"/>
          <w:color w:val="auto"/>
          <w:szCs w:val="21"/>
          <w:highlight w:val="none"/>
        </w:rPr>
        <w:t>（8）保安人员在岗履行工作职责期间，发生自身的人身伤害、伤亡等各类事故，均由中标人负全部责任，</w:t>
      </w:r>
      <w:r>
        <w:rPr>
          <w:rFonts w:hint="eastAsia" w:ascii="宋体" w:hAnsi="宋体"/>
          <w:color w:val="auto"/>
          <w:szCs w:val="21"/>
          <w:highlight w:val="none"/>
          <w:lang w:eastAsia="zh-CN"/>
        </w:rPr>
        <w:t>潘火街道</w:t>
      </w:r>
      <w:r>
        <w:rPr>
          <w:rFonts w:hint="eastAsia" w:ascii="宋体" w:hAnsi="宋体"/>
          <w:color w:val="auto"/>
          <w:szCs w:val="21"/>
          <w:highlight w:val="none"/>
        </w:rPr>
        <w:t>政府、招标人及学校不承担任何责任。</w:t>
      </w:r>
    </w:p>
    <w:p>
      <w:pPr>
        <w:snapToGrid w:val="0"/>
        <w:spacing w:line="380" w:lineRule="exact"/>
        <w:ind w:firstLine="525" w:firstLineChars="250"/>
        <w:rPr>
          <w:rFonts w:hint="eastAsia" w:ascii="宋体" w:hAnsi="宋体"/>
          <w:color w:val="auto"/>
          <w:szCs w:val="21"/>
          <w:highlight w:val="none"/>
        </w:rPr>
      </w:pPr>
      <w:r>
        <w:rPr>
          <w:rFonts w:hint="eastAsia" w:ascii="宋体" w:hAnsi="宋体"/>
          <w:color w:val="auto"/>
          <w:szCs w:val="21"/>
          <w:highlight w:val="none"/>
        </w:rPr>
        <w:t>（9）中标人在保安服务中，因故意或过失造成他人人身伤亡或任何财产损失事故的，均由中标人负责处理并承担全部责任，</w:t>
      </w:r>
      <w:r>
        <w:rPr>
          <w:rFonts w:hint="eastAsia" w:ascii="宋体" w:hAnsi="宋体"/>
          <w:color w:val="auto"/>
          <w:szCs w:val="21"/>
          <w:highlight w:val="none"/>
          <w:lang w:eastAsia="zh-CN"/>
        </w:rPr>
        <w:t>潘火街道</w:t>
      </w:r>
      <w:r>
        <w:rPr>
          <w:rFonts w:hint="eastAsia" w:ascii="宋体" w:hAnsi="宋体"/>
          <w:color w:val="auto"/>
          <w:szCs w:val="21"/>
          <w:highlight w:val="none"/>
        </w:rPr>
        <w:t>政府、招标人及学校不承担任何责任。</w:t>
      </w:r>
    </w:p>
    <w:p>
      <w:pPr>
        <w:snapToGrid w:val="0"/>
        <w:spacing w:line="380" w:lineRule="exact"/>
        <w:ind w:firstLine="525" w:firstLineChars="250"/>
        <w:rPr>
          <w:rFonts w:hint="eastAsia" w:ascii="宋体" w:hAnsi="宋体"/>
          <w:color w:val="auto"/>
          <w:szCs w:val="21"/>
          <w:highlight w:val="none"/>
        </w:rPr>
      </w:pPr>
      <w:r>
        <w:rPr>
          <w:rFonts w:hint="eastAsia" w:ascii="宋体" w:hAnsi="宋体"/>
          <w:color w:val="auto"/>
          <w:szCs w:val="21"/>
          <w:highlight w:val="none"/>
        </w:rPr>
        <w:t>（10）中标人与聘用人员发生任何劳资纠纷和工伤事故的，均由中标人自行处理，</w:t>
      </w:r>
      <w:r>
        <w:rPr>
          <w:rFonts w:hint="eastAsia" w:ascii="宋体" w:hAnsi="宋体"/>
          <w:color w:val="auto"/>
          <w:szCs w:val="21"/>
          <w:highlight w:val="none"/>
          <w:lang w:eastAsia="zh-CN"/>
        </w:rPr>
        <w:t>潘火街道</w:t>
      </w:r>
      <w:r>
        <w:rPr>
          <w:rFonts w:hint="eastAsia" w:ascii="宋体" w:hAnsi="宋体"/>
          <w:color w:val="auto"/>
          <w:szCs w:val="21"/>
          <w:highlight w:val="none"/>
        </w:rPr>
        <w:t>政府、招标人及学校不承担任何责任。</w:t>
      </w:r>
    </w:p>
    <w:p>
      <w:pPr>
        <w:snapToGrid w:val="0"/>
        <w:spacing w:line="380" w:lineRule="exact"/>
        <w:ind w:firstLine="527" w:firstLineChars="250"/>
        <w:rPr>
          <w:rFonts w:ascii="宋体" w:hAnsi="宋体"/>
          <w:b/>
          <w:color w:val="auto"/>
          <w:kern w:val="0"/>
          <w:szCs w:val="21"/>
          <w:highlight w:val="none"/>
        </w:rPr>
      </w:pPr>
      <w:r>
        <w:rPr>
          <w:rFonts w:hint="eastAsia" w:ascii="宋体" w:hAnsi="宋体"/>
          <w:b/>
          <w:color w:val="auto"/>
          <w:szCs w:val="21"/>
          <w:highlight w:val="none"/>
        </w:rPr>
        <w:t>（四）</w:t>
      </w:r>
      <w:r>
        <w:rPr>
          <w:rFonts w:hint="eastAsia" w:ascii="宋体" w:hAnsi="宋体"/>
          <w:b/>
          <w:color w:val="auto"/>
          <w:kern w:val="0"/>
          <w:szCs w:val="21"/>
          <w:highlight w:val="none"/>
        </w:rPr>
        <w:t>装备要求</w:t>
      </w:r>
    </w:p>
    <w:p>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中标人完成本项目服务所需的保安服装费用，均由中标人自行解决，且须符合行业及各学校相关规范要求。</w:t>
      </w:r>
    </w:p>
    <w:p>
      <w:pPr>
        <w:snapToGrid w:val="0"/>
        <w:spacing w:line="380" w:lineRule="exact"/>
        <w:ind w:firstLine="422" w:firstLineChars="200"/>
        <w:rPr>
          <w:rFonts w:ascii="宋体" w:hAnsi="宋体"/>
          <w:color w:val="auto"/>
          <w:szCs w:val="21"/>
          <w:highlight w:val="none"/>
        </w:rPr>
      </w:pPr>
      <w:r>
        <w:rPr>
          <w:rFonts w:hint="eastAsia" w:ascii="宋体" w:hAnsi="宋体"/>
          <w:b/>
          <w:color w:val="auto"/>
          <w:szCs w:val="21"/>
          <w:highlight w:val="none"/>
        </w:rPr>
        <w:t>（五）日常校园保安服务要求</w:t>
      </w:r>
    </w:p>
    <w:p>
      <w:pPr>
        <w:snapToGrid w:val="0"/>
        <w:spacing w:line="380" w:lineRule="exact"/>
        <w:ind w:firstLine="525" w:firstLineChars="250"/>
        <w:rPr>
          <w:rFonts w:hint="eastAsia" w:ascii="宋体" w:hAnsi="宋体"/>
          <w:color w:val="auto"/>
          <w:szCs w:val="21"/>
          <w:highlight w:val="none"/>
        </w:rPr>
      </w:pPr>
      <w:r>
        <w:rPr>
          <w:rFonts w:hint="eastAsia" w:ascii="宋体" w:hAnsi="宋体"/>
          <w:color w:val="auto"/>
          <w:szCs w:val="21"/>
          <w:highlight w:val="none"/>
        </w:rPr>
        <w:t>1、校园保安人员肩负着校园安全保卫重任，要有高度的责任感，严格履行保安职业道德，工作时间要求在岗轮流值班，不得擅自离岗。</w:t>
      </w:r>
    </w:p>
    <w:p>
      <w:pPr>
        <w:snapToGrid w:val="0"/>
        <w:spacing w:line="380" w:lineRule="exact"/>
        <w:ind w:firstLine="525" w:firstLineChars="250"/>
        <w:rPr>
          <w:rFonts w:hint="eastAsia" w:ascii="宋体" w:hAnsi="宋体"/>
          <w:color w:val="auto"/>
          <w:szCs w:val="21"/>
          <w:highlight w:val="none"/>
        </w:rPr>
      </w:pPr>
      <w:r>
        <w:rPr>
          <w:rFonts w:hint="eastAsia" w:ascii="宋体" w:hAnsi="宋体"/>
          <w:color w:val="auto"/>
          <w:szCs w:val="21"/>
          <w:highlight w:val="none"/>
        </w:rPr>
        <w:t>2、做好拉闸门、教室门的开关工作。每天放学后巡逻时，检查校园内、办公室内电灯、电扇、门窗是否关好，发现未关，应及时妥善处理，做好详细记录，要向校园政教处或后勤处领导汇报。</w:t>
      </w:r>
    </w:p>
    <w:p>
      <w:pPr>
        <w:snapToGrid w:val="0"/>
        <w:spacing w:line="380" w:lineRule="exact"/>
        <w:ind w:firstLine="525" w:firstLineChars="250"/>
        <w:rPr>
          <w:rFonts w:hint="eastAsia" w:ascii="宋体" w:hAnsi="宋体"/>
          <w:color w:val="auto"/>
          <w:szCs w:val="21"/>
          <w:highlight w:val="none"/>
        </w:rPr>
      </w:pPr>
      <w:r>
        <w:rPr>
          <w:rFonts w:hint="eastAsia" w:ascii="宋体" w:hAnsi="宋体"/>
          <w:color w:val="auto"/>
          <w:szCs w:val="21"/>
          <w:highlight w:val="none"/>
        </w:rPr>
        <w:t>3、学生在上放学时段内，要及时排除校门外(离校门30米内)的摊点、车辆等秩序，有效控制拥挤情况。按时做好大门的开关工作(早上准时按校方要求上岗开校门，傍晚师生离校后关校门)，做到门开人在校门口。</w:t>
      </w:r>
    </w:p>
    <w:p>
      <w:pPr>
        <w:snapToGrid w:val="0"/>
        <w:spacing w:line="380" w:lineRule="exact"/>
        <w:ind w:firstLine="525" w:firstLineChars="250"/>
        <w:rPr>
          <w:rFonts w:hint="eastAsia" w:ascii="宋体" w:hAnsi="宋体"/>
          <w:color w:val="auto"/>
          <w:szCs w:val="21"/>
          <w:highlight w:val="none"/>
        </w:rPr>
      </w:pPr>
      <w:r>
        <w:rPr>
          <w:rFonts w:hint="eastAsia" w:ascii="宋体" w:hAnsi="宋体"/>
          <w:color w:val="auto"/>
          <w:szCs w:val="21"/>
          <w:highlight w:val="none"/>
        </w:rPr>
        <w:t>4、态度和蔼、语言谦虚，不急不躁，认真细致、耐心；不得冷淡、刁难、取笑他人，不得与学生打闹。</w:t>
      </w:r>
    </w:p>
    <w:p>
      <w:pPr>
        <w:snapToGrid w:val="0"/>
        <w:spacing w:line="380" w:lineRule="exact"/>
        <w:ind w:firstLine="525" w:firstLineChars="250"/>
        <w:rPr>
          <w:rFonts w:hint="eastAsia" w:ascii="宋体" w:hAnsi="宋体"/>
          <w:color w:val="auto"/>
          <w:szCs w:val="21"/>
          <w:highlight w:val="none"/>
        </w:rPr>
      </w:pPr>
      <w:r>
        <w:rPr>
          <w:rFonts w:hint="eastAsia" w:ascii="宋体" w:hAnsi="宋体"/>
          <w:color w:val="auto"/>
          <w:szCs w:val="21"/>
          <w:highlight w:val="none"/>
        </w:rPr>
        <w:t>5、与教师、学生或来访者交谈要使用普通话，说话要清楚，用词准确、言简易懂，不讲与工作无关的话，不讲有损学校形象的话。</w:t>
      </w:r>
    </w:p>
    <w:p>
      <w:pPr>
        <w:snapToGrid w:val="0"/>
        <w:spacing w:line="380" w:lineRule="exact"/>
        <w:ind w:firstLine="525" w:firstLineChars="250"/>
        <w:rPr>
          <w:rFonts w:hint="eastAsia" w:ascii="宋体" w:hAnsi="宋体"/>
          <w:color w:val="auto"/>
          <w:szCs w:val="21"/>
          <w:highlight w:val="none"/>
        </w:rPr>
      </w:pPr>
      <w:r>
        <w:rPr>
          <w:rFonts w:hint="eastAsia" w:ascii="宋体" w:hAnsi="宋体"/>
          <w:color w:val="auto"/>
          <w:szCs w:val="21"/>
          <w:highlight w:val="none"/>
        </w:rPr>
        <w:t>6、教职工到来，应主动迎接，认真听取教职工的意见，遇需要帮助的情形，在保证安全的前提下提供力所能及的帮助，因影响安全不能帮助的，应主动解释力求得到谅解。</w:t>
      </w:r>
    </w:p>
    <w:p>
      <w:pPr>
        <w:snapToGrid w:val="0"/>
        <w:spacing w:line="380" w:lineRule="exact"/>
        <w:ind w:firstLine="525" w:firstLineChars="250"/>
        <w:rPr>
          <w:rFonts w:hint="eastAsia" w:ascii="宋体" w:hAnsi="宋体"/>
          <w:color w:val="auto"/>
          <w:szCs w:val="21"/>
          <w:highlight w:val="none"/>
        </w:rPr>
      </w:pPr>
      <w:r>
        <w:rPr>
          <w:rFonts w:hint="eastAsia" w:ascii="宋体" w:hAnsi="宋体"/>
          <w:color w:val="auto"/>
          <w:szCs w:val="21"/>
          <w:highlight w:val="none"/>
        </w:rPr>
        <w:t>7、各种意见或投诉要认真听取，弄清情况，做好笔录，及时处理，如非本职工作范围，即时通知责任人或向领导汇报。</w:t>
      </w:r>
    </w:p>
    <w:p>
      <w:pPr>
        <w:snapToGrid w:val="0"/>
        <w:spacing w:line="380" w:lineRule="exact"/>
        <w:ind w:firstLine="525" w:firstLineChars="250"/>
        <w:rPr>
          <w:rFonts w:hint="eastAsia" w:ascii="宋体" w:hAnsi="宋体"/>
          <w:color w:val="auto"/>
          <w:szCs w:val="21"/>
          <w:highlight w:val="none"/>
        </w:rPr>
      </w:pPr>
      <w:r>
        <w:rPr>
          <w:rFonts w:hint="eastAsia" w:ascii="宋体" w:hAnsi="宋体"/>
          <w:color w:val="auto"/>
          <w:szCs w:val="21"/>
          <w:highlight w:val="none"/>
        </w:rPr>
        <w:t>8、业务训练是保安员工作的一个重要组成部分，每位保安员都须参加中标人或教育部门指令性组织的年度技能轮训。保安员要主动进行业务练兵，摸熟摸透与安全、消防相关的环境、设施等，掌握接待、应对方式，提高业务知识、技能，提高工作效率。保安员的专业技能培训每学期不少于1次。</w:t>
      </w:r>
    </w:p>
    <w:p>
      <w:pPr>
        <w:snapToGrid w:val="0"/>
        <w:spacing w:line="380" w:lineRule="exact"/>
        <w:ind w:firstLine="525" w:firstLineChars="250"/>
        <w:rPr>
          <w:rFonts w:hint="eastAsia" w:ascii="宋体" w:hAnsi="宋体"/>
          <w:color w:val="auto"/>
          <w:szCs w:val="21"/>
          <w:highlight w:val="none"/>
        </w:rPr>
      </w:pPr>
      <w:r>
        <w:rPr>
          <w:rFonts w:hint="eastAsia" w:ascii="宋体" w:hAnsi="宋体"/>
          <w:color w:val="auto"/>
          <w:szCs w:val="21"/>
          <w:highlight w:val="none"/>
        </w:rPr>
        <w:t>9、妥善保管并熟练使用保安工作的十一件套装备，定期检查安保器械，确保“十一件套”、110紧急报警按钮、报警设备和校内视频处于正常运行状态，发现问题及时上报校园相关负责人，并作好记录。</w:t>
      </w:r>
    </w:p>
    <w:p>
      <w:pPr>
        <w:snapToGrid w:val="0"/>
        <w:spacing w:line="380" w:lineRule="exact"/>
        <w:ind w:firstLine="525" w:firstLineChars="250"/>
        <w:rPr>
          <w:rFonts w:hint="eastAsia" w:ascii="宋体" w:hAnsi="宋体"/>
          <w:color w:val="auto"/>
          <w:szCs w:val="21"/>
          <w:highlight w:val="none"/>
        </w:rPr>
      </w:pPr>
      <w:r>
        <w:rPr>
          <w:rFonts w:hint="eastAsia" w:ascii="宋体" w:hAnsi="宋体"/>
          <w:color w:val="auto"/>
          <w:szCs w:val="21"/>
          <w:highlight w:val="none"/>
        </w:rPr>
        <w:t>10、所有保安员须熟悉学校所有物防技防设备、报警设备，正确并熟练使用校园物防技防等器材。督促、指导学校（幼儿园）做好每学期一次的应急演练工作(如消防、防暴、防震、防恐等)。</w:t>
      </w:r>
    </w:p>
    <w:p>
      <w:pPr>
        <w:snapToGrid w:val="0"/>
        <w:spacing w:line="380" w:lineRule="exact"/>
        <w:ind w:firstLine="525" w:firstLineChars="250"/>
        <w:rPr>
          <w:rFonts w:hint="eastAsia" w:ascii="宋体" w:hAnsi="宋体"/>
          <w:color w:val="auto"/>
          <w:szCs w:val="21"/>
          <w:highlight w:val="none"/>
        </w:rPr>
      </w:pPr>
      <w:r>
        <w:rPr>
          <w:rFonts w:hint="eastAsia" w:ascii="宋体" w:hAnsi="宋体"/>
          <w:color w:val="auto"/>
          <w:szCs w:val="21"/>
          <w:highlight w:val="none"/>
        </w:rPr>
        <w:t>11、完成校园交办的其它相关工作，既要明确责任分工，又要加强合作。</w:t>
      </w:r>
    </w:p>
    <w:p>
      <w:pPr>
        <w:snapToGrid w:val="0"/>
        <w:spacing w:line="380" w:lineRule="exact"/>
        <w:ind w:firstLine="525" w:firstLineChars="250"/>
        <w:rPr>
          <w:rFonts w:hint="eastAsia" w:ascii="宋体" w:hAnsi="宋体"/>
          <w:color w:val="auto"/>
          <w:szCs w:val="21"/>
          <w:highlight w:val="none"/>
        </w:rPr>
      </w:pPr>
      <w:r>
        <w:rPr>
          <w:rFonts w:hint="eastAsia" w:ascii="宋体" w:hAnsi="宋体"/>
          <w:color w:val="auto"/>
          <w:szCs w:val="21"/>
          <w:highlight w:val="none"/>
        </w:rPr>
        <w:t>12、配合公安机关，打击各类违法犯罪活动，起到公安辅助作用。</w:t>
      </w:r>
    </w:p>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     13、中标人如因工作失职，造成学校财产损失或人员伤亡，承担全部责任。</w:t>
      </w:r>
    </w:p>
    <w:p>
      <w:pPr>
        <w:spacing w:line="380" w:lineRule="exact"/>
        <w:rPr>
          <w:rFonts w:ascii="宋体" w:hAnsi="宋体"/>
          <w:b/>
          <w:color w:val="auto"/>
          <w:szCs w:val="21"/>
          <w:highlight w:val="none"/>
        </w:rPr>
      </w:pPr>
      <w:r>
        <w:rPr>
          <w:rFonts w:hint="eastAsia" w:ascii="宋体" w:hAnsi="宋体"/>
          <w:b/>
          <w:color w:val="auto"/>
          <w:szCs w:val="21"/>
          <w:highlight w:val="none"/>
        </w:rPr>
        <w:t>（六）其他说明</w:t>
      </w:r>
    </w:p>
    <w:p>
      <w:pPr>
        <w:snapToGrid w:val="0"/>
        <w:spacing w:line="380" w:lineRule="exact"/>
        <w:ind w:firstLine="525" w:firstLineChars="250"/>
        <w:rPr>
          <w:rFonts w:ascii="宋体" w:hAnsi="宋体"/>
          <w:color w:val="auto"/>
          <w:szCs w:val="21"/>
          <w:highlight w:val="none"/>
        </w:rPr>
      </w:pPr>
      <w:r>
        <w:rPr>
          <w:rFonts w:hint="eastAsia" w:ascii="宋体" w:hAnsi="宋体"/>
          <w:color w:val="auto"/>
          <w:szCs w:val="21"/>
          <w:highlight w:val="none"/>
        </w:rPr>
        <w:t>1、投标人提供的服务须确保能满足各学校的要求。</w:t>
      </w:r>
    </w:p>
    <w:p>
      <w:pPr>
        <w:snapToGrid w:val="0"/>
        <w:spacing w:line="380" w:lineRule="exact"/>
        <w:ind w:firstLine="525" w:firstLineChars="250"/>
        <w:rPr>
          <w:rFonts w:hint="eastAsia" w:ascii="宋体" w:hAnsi="宋体"/>
          <w:color w:val="auto"/>
          <w:szCs w:val="21"/>
          <w:highlight w:val="none"/>
        </w:rPr>
      </w:pPr>
      <w:r>
        <w:rPr>
          <w:rFonts w:hint="eastAsia" w:ascii="宋体" w:hAnsi="宋体"/>
          <w:color w:val="auto"/>
          <w:szCs w:val="21"/>
          <w:highlight w:val="none"/>
        </w:rPr>
        <w:t>2、保安人员的吃、住等生活问题，由中标人自行解决。</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     3、中标人需制订用工计划和加强劳动用工管理，须符合劳动法律法规以及宁波市相关政策规定，根据国家规定应支付的各项费用由中标人支付给保安人员，包括工资、津贴、社会保险等；承担体检、培训费用，并负责办理上岗人员的暂住证等有关证件，保证满足工作需要。</w:t>
      </w:r>
    </w:p>
    <w:p>
      <w:pPr>
        <w:snapToGrid w:val="0"/>
        <w:spacing w:line="380" w:lineRule="exact"/>
        <w:ind w:firstLine="525" w:firstLineChars="250"/>
        <w:rPr>
          <w:rFonts w:ascii="宋体" w:hAnsi="宋体"/>
          <w:color w:val="auto"/>
          <w:szCs w:val="21"/>
          <w:highlight w:val="none"/>
        </w:rPr>
      </w:pPr>
      <w:r>
        <w:rPr>
          <w:rFonts w:hint="eastAsia" w:ascii="宋体" w:hAnsi="宋体"/>
          <w:color w:val="auto"/>
          <w:szCs w:val="21"/>
          <w:highlight w:val="none"/>
        </w:rPr>
        <w:t>4、配置保安人员缺岗的扣除缺岗人员的相应费用。缺岗人数累加超过10人次/年的，学校有权单方面终止合同。</w:t>
      </w:r>
    </w:p>
    <w:p>
      <w:pPr>
        <w:snapToGrid w:val="0"/>
        <w:spacing w:line="380" w:lineRule="exact"/>
        <w:ind w:firstLine="525" w:firstLineChars="250"/>
        <w:rPr>
          <w:rFonts w:hint="eastAsia" w:ascii="宋体" w:hAnsi="宋体"/>
          <w:color w:val="auto"/>
          <w:szCs w:val="21"/>
          <w:highlight w:val="none"/>
        </w:rPr>
      </w:pPr>
      <w:r>
        <w:rPr>
          <w:rFonts w:hint="eastAsia" w:ascii="宋体" w:hAnsi="宋体"/>
          <w:color w:val="auto"/>
          <w:szCs w:val="21"/>
          <w:highlight w:val="none"/>
        </w:rPr>
        <w:t>5、若遇各类创建活动、特殊天气等特殊时期，中标人需无条件服从招标人、学校的指挥，如招标人或学校要求增配人员或延时作业的，中标人须积极配合。</w:t>
      </w:r>
    </w:p>
    <w:p>
      <w:pPr>
        <w:snapToGrid w:val="0"/>
        <w:spacing w:line="380" w:lineRule="exact"/>
        <w:ind w:firstLine="525" w:firstLineChars="250"/>
        <w:rPr>
          <w:color w:val="auto"/>
          <w:highlight w:val="none"/>
        </w:rPr>
      </w:pP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本项目报价包含</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双减政策”下的加班费及其他一切费用，投标人应充分考虑此项内容，委托人不再额外支付。</w:t>
      </w:r>
    </w:p>
    <w:p>
      <w:pPr>
        <w:spacing w:line="380" w:lineRule="exact"/>
        <w:rPr>
          <w:rFonts w:ascii="宋体" w:hAnsi="宋体"/>
          <w:b/>
          <w:color w:val="auto"/>
          <w:szCs w:val="21"/>
          <w:highlight w:val="none"/>
        </w:rPr>
      </w:pPr>
      <w:r>
        <w:rPr>
          <w:rFonts w:hint="eastAsia" w:ascii="宋体" w:hAnsi="宋体"/>
          <w:b/>
          <w:color w:val="auto"/>
          <w:szCs w:val="21"/>
          <w:highlight w:val="none"/>
        </w:rPr>
        <w:t>（七）考核与经费的核拨</w:t>
      </w:r>
    </w:p>
    <w:p>
      <w:pPr>
        <w:snapToGrid w:val="0"/>
        <w:spacing w:line="380" w:lineRule="exact"/>
        <w:ind w:firstLine="525" w:firstLineChars="250"/>
        <w:rPr>
          <w:rFonts w:ascii="宋体" w:hAnsi="宋体"/>
          <w:color w:val="auto"/>
          <w:szCs w:val="21"/>
          <w:highlight w:val="none"/>
        </w:rPr>
      </w:pPr>
      <w:r>
        <w:rPr>
          <w:rFonts w:hint="eastAsia" w:ascii="宋体" w:hAnsi="宋体"/>
          <w:color w:val="auto"/>
          <w:szCs w:val="21"/>
          <w:highlight w:val="none"/>
        </w:rPr>
        <w:t>1、学校将对中标人的保安服务进行全过程监管，中标人工作不到位，不达标或有违约现象，学校将作出相应的违约处理与处罚；</w:t>
      </w:r>
    </w:p>
    <w:p>
      <w:pPr>
        <w:snapToGrid w:val="0"/>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2、宁波市鄞州区</w:t>
      </w:r>
      <w:r>
        <w:rPr>
          <w:rFonts w:hint="eastAsia" w:ascii="宋体" w:hAnsi="宋体"/>
          <w:color w:val="auto"/>
          <w:szCs w:val="21"/>
          <w:highlight w:val="none"/>
          <w:lang w:eastAsia="zh-CN"/>
        </w:rPr>
        <w:t>潘火街道</w:t>
      </w:r>
      <w:r>
        <w:rPr>
          <w:rFonts w:hint="eastAsia" w:ascii="宋体" w:hAnsi="宋体"/>
          <w:color w:val="auto"/>
          <w:szCs w:val="21"/>
          <w:highlight w:val="none"/>
        </w:rPr>
        <w:t>教育研究辅导室下辖各中小学（幼儿园）安保服务考核标准</w:t>
      </w:r>
    </w:p>
    <w:p>
      <w:pPr>
        <w:snapToGrid w:val="0"/>
        <w:spacing w:line="400" w:lineRule="exact"/>
        <w:ind w:firstLine="525" w:firstLineChars="250"/>
        <w:rPr>
          <w:rFonts w:ascii="宋体" w:hAnsi="宋体"/>
          <w:color w:val="auto"/>
          <w:szCs w:val="21"/>
          <w:highlight w:val="none"/>
        </w:rPr>
      </w:pPr>
    </w:p>
    <w:tbl>
      <w:tblPr>
        <w:tblStyle w:val="19"/>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997"/>
        <w:gridCol w:w="6383"/>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1" w:type="dxa"/>
            <w:noWrap w:val="0"/>
            <w:vAlign w:val="center"/>
          </w:tcPr>
          <w:p>
            <w:pPr>
              <w:autoSpaceDE w:val="0"/>
              <w:autoSpaceDN w:val="0"/>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997" w:type="dxa"/>
            <w:noWrap w:val="0"/>
            <w:vAlign w:val="center"/>
          </w:tcPr>
          <w:p>
            <w:pPr>
              <w:autoSpaceDE w:val="0"/>
              <w:autoSpaceDN w:val="0"/>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类别</w:t>
            </w:r>
          </w:p>
        </w:tc>
        <w:tc>
          <w:tcPr>
            <w:tcW w:w="6383" w:type="dxa"/>
            <w:noWrap w:val="0"/>
            <w:vAlign w:val="center"/>
          </w:tcPr>
          <w:p>
            <w:pPr>
              <w:autoSpaceDE w:val="0"/>
              <w:autoSpaceDN w:val="0"/>
              <w:adjustRightInd w:val="0"/>
              <w:snapToGrid w:val="0"/>
              <w:spacing w:line="400" w:lineRule="exact"/>
              <w:ind w:firstLine="420" w:firstLineChars="200"/>
              <w:jc w:val="center"/>
              <w:rPr>
                <w:rFonts w:ascii="宋体" w:hAnsi="宋体"/>
                <w:color w:val="auto"/>
                <w:szCs w:val="21"/>
                <w:highlight w:val="none"/>
              </w:rPr>
            </w:pPr>
            <w:r>
              <w:rPr>
                <w:rFonts w:hint="eastAsia" w:ascii="宋体" w:hAnsi="宋体"/>
                <w:color w:val="auto"/>
                <w:szCs w:val="21"/>
                <w:highlight w:val="none"/>
              </w:rPr>
              <w:t>考核内容</w:t>
            </w:r>
          </w:p>
        </w:tc>
        <w:tc>
          <w:tcPr>
            <w:tcW w:w="1839" w:type="dxa"/>
            <w:noWrap w:val="0"/>
            <w:vAlign w:val="center"/>
          </w:tcPr>
          <w:p>
            <w:pPr>
              <w:autoSpaceDE w:val="0"/>
              <w:autoSpaceDN w:val="0"/>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vMerge w:val="restart"/>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997" w:type="dxa"/>
            <w:vMerge w:val="restart"/>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文明值勤方面</w:t>
            </w:r>
          </w:p>
        </w:tc>
        <w:tc>
          <w:tcPr>
            <w:tcW w:w="6383" w:type="dxa"/>
            <w:noWrap w:val="0"/>
            <w:vAlign w:val="center"/>
          </w:tcPr>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着装统一，仪容仪表的端庄整洁，规范配戴警械，站姿、坐姿端正大方，如有违反。</w:t>
            </w:r>
          </w:p>
        </w:tc>
        <w:tc>
          <w:tcPr>
            <w:tcW w:w="1839"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61" w:type="dxa"/>
            <w:vMerge w:val="continue"/>
            <w:noWrap w:val="0"/>
            <w:vAlign w:val="center"/>
          </w:tcPr>
          <w:p>
            <w:pPr>
              <w:adjustRightInd w:val="0"/>
              <w:snapToGrid w:val="0"/>
              <w:spacing w:line="400" w:lineRule="exact"/>
              <w:jc w:val="center"/>
              <w:rPr>
                <w:rFonts w:ascii="宋体" w:hAnsi="宋体"/>
                <w:color w:val="auto"/>
                <w:szCs w:val="21"/>
                <w:highlight w:val="none"/>
              </w:rPr>
            </w:pPr>
          </w:p>
        </w:tc>
        <w:tc>
          <w:tcPr>
            <w:tcW w:w="997" w:type="dxa"/>
            <w:vMerge w:val="continue"/>
            <w:noWrap w:val="0"/>
            <w:vAlign w:val="center"/>
          </w:tcPr>
          <w:p>
            <w:pPr>
              <w:adjustRightInd w:val="0"/>
              <w:snapToGrid w:val="0"/>
              <w:spacing w:line="400" w:lineRule="exact"/>
              <w:jc w:val="center"/>
              <w:rPr>
                <w:rFonts w:ascii="宋体" w:hAnsi="宋体"/>
                <w:color w:val="auto"/>
                <w:szCs w:val="21"/>
                <w:highlight w:val="none"/>
              </w:rPr>
            </w:pPr>
          </w:p>
        </w:tc>
        <w:tc>
          <w:tcPr>
            <w:tcW w:w="6383" w:type="dxa"/>
            <w:noWrap w:val="0"/>
            <w:vAlign w:val="center"/>
          </w:tcPr>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工作时间不读书、</w:t>
            </w:r>
            <w:r>
              <w:rPr>
                <w:rFonts w:hint="eastAsia" w:ascii="宋体" w:hAnsi="宋体"/>
                <w:color w:val="auto"/>
                <w:szCs w:val="21"/>
                <w:highlight w:val="none"/>
                <w:lang w:val="en-US" w:eastAsia="zh-CN"/>
              </w:rPr>
              <w:t>不</w:t>
            </w:r>
            <w:r>
              <w:rPr>
                <w:rFonts w:hint="eastAsia" w:ascii="宋体" w:hAnsi="宋体"/>
                <w:color w:val="auto"/>
                <w:szCs w:val="21"/>
                <w:highlight w:val="none"/>
              </w:rPr>
              <w:t>看报，不吸烟、</w:t>
            </w:r>
            <w:r>
              <w:rPr>
                <w:rFonts w:hint="eastAsia" w:ascii="宋体" w:hAnsi="宋体"/>
                <w:color w:val="auto"/>
                <w:szCs w:val="21"/>
                <w:highlight w:val="none"/>
                <w:lang w:val="en-US" w:eastAsia="zh-CN"/>
              </w:rPr>
              <w:t>不</w:t>
            </w:r>
            <w:r>
              <w:rPr>
                <w:rFonts w:hint="eastAsia" w:ascii="宋体" w:hAnsi="宋体"/>
                <w:color w:val="auto"/>
                <w:szCs w:val="21"/>
                <w:highlight w:val="none"/>
              </w:rPr>
              <w:t>喝酒，不做与工作无关的事情。</w:t>
            </w:r>
          </w:p>
        </w:tc>
        <w:tc>
          <w:tcPr>
            <w:tcW w:w="1839"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vMerge w:val="continue"/>
            <w:noWrap w:val="0"/>
            <w:vAlign w:val="center"/>
          </w:tcPr>
          <w:p>
            <w:pPr>
              <w:adjustRightInd w:val="0"/>
              <w:snapToGrid w:val="0"/>
              <w:spacing w:line="400" w:lineRule="exact"/>
              <w:jc w:val="center"/>
              <w:rPr>
                <w:rFonts w:ascii="宋体" w:hAnsi="宋体"/>
                <w:color w:val="auto"/>
                <w:szCs w:val="21"/>
                <w:highlight w:val="none"/>
              </w:rPr>
            </w:pPr>
          </w:p>
        </w:tc>
        <w:tc>
          <w:tcPr>
            <w:tcW w:w="997" w:type="dxa"/>
            <w:vMerge w:val="continue"/>
            <w:noWrap w:val="0"/>
            <w:vAlign w:val="center"/>
          </w:tcPr>
          <w:p>
            <w:pPr>
              <w:adjustRightInd w:val="0"/>
              <w:snapToGrid w:val="0"/>
              <w:spacing w:line="400" w:lineRule="exact"/>
              <w:jc w:val="center"/>
              <w:rPr>
                <w:rFonts w:ascii="宋体" w:hAnsi="宋体"/>
                <w:color w:val="auto"/>
                <w:szCs w:val="21"/>
                <w:highlight w:val="none"/>
              </w:rPr>
            </w:pPr>
          </w:p>
        </w:tc>
        <w:tc>
          <w:tcPr>
            <w:tcW w:w="6383" w:type="dxa"/>
            <w:noWrap w:val="0"/>
            <w:vAlign w:val="center"/>
          </w:tcPr>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作风正派，热情文明对待师生、家长、来宾，上学、放学时间在校门口迎送师生。出现不礼貌行为或上学、放学不按要求站岗。</w:t>
            </w:r>
          </w:p>
        </w:tc>
        <w:tc>
          <w:tcPr>
            <w:tcW w:w="1839"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61" w:type="dxa"/>
            <w:vMerge w:val="continue"/>
            <w:noWrap w:val="0"/>
            <w:vAlign w:val="center"/>
          </w:tcPr>
          <w:p>
            <w:pPr>
              <w:adjustRightInd w:val="0"/>
              <w:snapToGrid w:val="0"/>
              <w:spacing w:line="400" w:lineRule="exact"/>
              <w:jc w:val="center"/>
              <w:rPr>
                <w:rFonts w:ascii="宋体" w:hAnsi="宋体"/>
                <w:color w:val="auto"/>
                <w:szCs w:val="21"/>
                <w:highlight w:val="none"/>
              </w:rPr>
            </w:pPr>
          </w:p>
        </w:tc>
        <w:tc>
          <w:tcPr>
            <w:tcW w:w="997" w:type="dxa"/>
            <w:vMerge w:val="continue"/>
            <w:noWrap w:val="0"/>
            <w:vAlign w:val="center"/>
          </w:tcPr>
          <w:p>
            <w:pPr>
              <w:adjustRightInd w:val="0"/>
              <w:snapToGrid w:val="0"/>
              <w:spacing w:line="400" w:lineRule="exact"/>
              <w:jc w:val="center"/>
              <w:rPr>
                <w:rFonts w:ascii="宋体" w:hAnsi="宋体"/>
                <w:color w:val="auto"/>
                <w:szCs w:val="21"/>
                <w:highlight w:val="none"/>
              </w:rPr>
            </w:pPr>
          </w:p>
        </w:tc>
        <w:tc>
          <w:tcPr>
            <w:tcW w:w="6383" w:type="dxa"/>
            <w:noWrap w:val="0"/>
            <w:vAlign w:val="center"/>
          </w:tcPr>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无正当理由与人吵架、打架。</w:t>
            </w:r>
          </w:p>
        </w:tc>
        <w:tc>
          <w:tcPr>
            <w:tcW w:w="1839"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发现一次扣5分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61" w:type="dxa"/>
            <w:vMerge w:val="continue"/>
            <w:noWrap w:val="0"/>
            <w:vAlign w:val="center"/>
          </w:tcPr>
          <w:p>
            <w:pPr>
              <w:adjustRightInd w:val="0"/>
              <w:snapToGrid w:val="0"/>
              <w:spacing w:line="400" w:lineRule="exact"/>
              <w:jc w:val="center"/>
              <w:rPr>
                <w:rFonts w:ascii="宋体" w:hAnsi="宋体"/>
                <w:color w:val="auto"/>
                <w:szCs w:val="21"/>
                <w:highlight w:val="none"/>
              </w:rPr>
            </w:pPr>
          </w:p>
        </w:tc>
        <w:tc>
          <w:tcPr>
            <w:tcW w:w="997" w:type="dxa"/>
            <w:vMerge w:val="continue"/>
            <w:noWrap w:val="0"/>
            <w:vAlign w:val="center"/>
          </w:tcPr>
          <w:p>
            <w:pPr>
              <w:adjustRightInd w:val="0"/>
              <w:snapToGrid w:val="0"/>
              <w:spacing w:line="400" w:lineRule="exact"/>
              <w:jc w:val="center"/>
              <w:rPr>
                <w:rFonts w:ascii="宋体" w:hAnsi="宋体"/>
                <w:color w:val="auto"/>
                <w:szCs w:val="21"/>
                <w:highlight w:val="none"/>
              </w:rPr>
            </w:pPr>
          </w:p>
        </w:tc>
        <w:tc>
          <w:tcPr>
            <w:tcW w:w="6383" w:type="dxa"/>
            <w:noWrap w:val="0"/>
            <w:vAlign w:val="center"/>
          </w:tcPr>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保持**室和学校门前的卫生区的整洁，不打扫或不洁净</w:t>
            </w:r>
          </w:p>
        </w:tc>
        <w:tc>
          <w:tcPr>
            <w:tcW w:w="1839"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vMerge w:val="restart"/>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997" w:type="dxa"/>
            <w:vMerge w:val="restart"/>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学生出入方面</w:t>
            </w:r>
          </w:p>
        </w:tc>
        <w:tc>
          <w:tcPr>
            <w:tcW w:w="6383" w:type="dxa"/>
            <w:noWrap w:val="0"/>
            <w:vAlign w:val="center"/>
          </w:tcPr>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学生在校学习期间需外出时，必须持有班主任签字的规范的书面请假条，门卫要认真审查请假条真伪，做好出校登记并保存请假条。</w:t>
            </w:r>
          </w:p>
        </w:tc>
        <w:tc>
          <w:tcPr>
            <w:tcW w:w="1839"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vMerge w:val="continue"/>
            <w:noWrap w:val="0"/>
            <w:vAlign w:val="center"/>
          </w:tcPr>
          <w:p>
            <w:pPr>
              <w:adjustRightInd w:val="0"/>
              <w:snapToGrid w:val="0"/>
              <w:spacing w:line="400" w:lineRule="exact"/>
              <w:jc w:val="center"/>
              <w:rPr>
                <w:rFonts w:ascii="宋体" w:hAnsi="宋体"/>
                <w:color w:val="auto"/>
                <w:szCs w:val="21"/>
                <w:highlight w:val="none"/>
              </w:rPr>
            </w:pPr>
          </w:p>
        </w:tc>
        <w:tc>
          <w:tcPr>
            <w:tcW w:w="997" w:type="dxa"/>
            <w:vMerge w:val="continue"/>
            <w:noWrap w:val="0"/>
            <w:vAlign w:val="center"/>
          </w:tcPr>
          <w:p>
            <w:pPr>
              <w:adjustRightInd w:val="0"/>
              <w:snapToGrid w:val="0"/>
              <w:spacing w:line="400" w:lineRule="exact"/>
              <w:jc w:val="center"/>
              <w:rPr>
                <w:rFonts w:ascii="宋体" w:hAnsi="宋体"/>
                <w:color w:val="auto"/>
                <w:szCs w:val="21"/>
                <w:highlight w:val="none"/>
              </w:rPr>
            </w:pPr>
          </w:p>
        </w:tc>
        <w:tc>
          <w:tcPr>
            <w:tcW w:w="6383" w:type="dxa"/>
            <w:noWrap w:val="0"/>
            <w:vAlign w:val="center"/>
          </w:tcPr>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节假日学生到校要穿校服，不穿校服或无本校教师带领不允许学生进入校园（学校兴趣小组的学生凭本人《学生出入证》进出校门）。</w:t>
            </w:r>
          </w:p>
        </w:tc>
        <w:tc>
          <w:tcPr>
            <w:tcW w:w="1839"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vMerge w:val="restart"/>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997" w:type="dxa"/>
            <w:vMerge w:val="restart"/>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车辆出入方面</w:t>
            </w:r>
          </w:p>
        </w:tc>
        <w:tc>
          <w:tcPr>
            <w:tcW w:w="6383" w:type="dxa"/>
            <w:noWrap w:val="0"/>
            <w:vAlign w:val="center"/>
          </w:tcPr>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外来车辆原则上不允许进入校园。确需进入的需校级领导批准，放行时要告知：机动车校内不能鸣笛、减速慢行，非机动车下车推行，同时引导车辆按指定车位停放。</w:t>
            </w:r>
          </w:p>
        </w:tc>
        <w:tc>
          <w:tcPr>
            <w:tcW w:w="1839"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61" w:type="dxa"/>
            <w:vMerge w:val="continue"/>
            <w:noWrap w:val="0"/>
            <w:vAlign w:val="center"/>
          </w:tcPr>
          <w:p>
            <w:pPr>
              <w:adjustRightInd w:val="0"/>
              <w:snapToGrid w:val="0"/>
              <w:spacing w:line="400" w:lineRule="exact"/>
              <w:jc w:val="center"/>
              <w:rPr>
                <w:rFonts w:ascii="宋体" w:hAnsi="宋体"/>
                <w:color w:val="auto"/>
                <w:szCs w:val="21"/>
                <w:highlight w:val="none"/>
              </w:rPr>
            </w:pPr>
          </w:p>
        </w:tc>
        <w:tc>
          <w:tcPr>
            <w:tcW w:w="997" w:type="dxa"/>
            <w:vMerge w:val="continue"/>
            <w:noWrap w:val="0"/>
            <w:vAlign w:val="center"/>
          </w:tcPr>
          <w:p>
            <w:pPr>
              <w:adjustRightInd w:val="0"/>
              <w:snapToGrid w:val="0"/>
              <w:spacing w:line="400" w:lineRule="exact"/>
              <w:jc w:val="center"/>
              <w:rPr>
                <w:rFonts w:ascii="宋体" w:hAnsi="宋体"/>
                <w:color w:val="auto"/>
                <w:szCs w:val="21"/>
                <w:highlight w:val="none"/>
              </w:rPr>
            </w:pPr>
          </w:p>
        </w:tc>
        <w:tc>
          <w:tcPr>
            <w:tcW w:w="6383" w:type="dxa"/>
            <w:noWrap w:val="0"/>
            <w:vAlign w:val="center"/>
          </w:tcPr>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严禁各类车辆在校门口内外随意停放，确保校门出入畅通。</w:t>
            </w:r>
          </w:p>
        </w:tc>
        <w:tc>
          <w:tcPr>
            <w:tcW w:w="1839"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出现一次扣1分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vMerge w:val="continue"/>
            <w:noWrap w:val="0"/>
            <w:vAlign w:val="center"/>
          </w:tcPr>
          <w:p>
            <w:pPr>
              <w:adjustRightInd w:val="0"/>
              <w:snapToGrid w:val="0"/>
              <w:spacing w:line="400" w:lineRule="exact"/>
              <w:jc w:val="center"/>
              <w:rPr>
                <w:rFonts w:ascii="宋体" w:hAnsi="宋体"/>
                <w:color w:val="auto"/>
                <w:szCs w:val="21"/>
                <w:highlight w:val="none"/>
              </w:rPr>
            </w:pPr>
          </w:p>
        </w:tc>
        <w:tc>
          <w:tcPr>
            <w:tcW w:w="997" w:type="dxa"/>
            <w:vMerge w:val="continue"/>
            <w:noWrap w:val="0"/>
            <w:vAlign w:val="center"/>
          </w:tcPr>
          <w:p>
            <w:pPr>
              <w:adjustRightInd w:val="0"/>
              <w:snapToGrid w:val="0"/>
              <w:spacing w:line="400" w:lineRule="exact"/>
              <w:jc w:val="center"/>
              <w:rPr>
                <w:rFonts w:ascii="宋体" w:hAnsi="宋体"/>
                <w:color w:val="auto"/>
                <w:szCs w:val="21"/>
                <w:highlight w:val="none"/>
              </w:rPr>
            </w:pPr>
          </w:p>
        </w:tc>
        <w:tc>
          <w:tcPr>
            <w:tcW w:w="6383" w:type="dxa"/>
            <w:noWrap w:val="0"/>
            <w:vAlign w:val="center"/>
          </w:tcPr>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课间、集会、课外活动等室外活动学生密集时，门卫不得允许任何机动车辆进入校门。</w:t>
            </w:r>
          </w:p>
        </w:tc>
        <w:tc>
          <w:tcPr>
            <w:tcW w:w="1839"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vMerge w:val="restart"/>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997" w:type="dxa"/>
            <w:vMerge w:val="restart"/>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外来人员出入方面</w:t>
            </w:r>
          </w:p>
        </w:tc>
        <w:tc>
          <w:tcPr>
            <w:tcW w:w="6383" w:type="dxa"/>
            <w:noWrap w:val="0"/>
            <w:vAlign w:val="center"/>
          </w:tcPr>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严格履行来访登记、联系手续（由保安联系被访教师）。未联系上、未经领导或老师同意、没办理登记手续不得让来访者进入学校。</w:t>
            </w:r>
          </w:p>
        </w:tc>
        <w:tc>
          <w:tcPr>
            <w:tcW w:w="1839"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vMerge w:val="continue"/>
            <w:noWrap w:val="0"/>
            <w:vAlign w:val="center"/>
          </w:tcPr>
          <w:p>
            <w:pPr>
              <w:adjustRightInd w:val="0"/>
              <w:snapToGrid w:val="0"/>
              <w:spacing w:line="400" w:lineRule="exact"/>
              <w:jc w:val="center"/>
              <w:rPr>
                <w:rFonts w:ascii="宋体" w:hAnsi="宋体"/>
                <w:color w:val="auto"/>
                <w:szCs w:val="21"/>
                <w:highlight w:val="none"/>
              </w:rPr>
            </w:pPr>
          </w:p>
        </w:tc>
        <w:tc>
          <w:tcPr>
            <w:tcW w:w="997" w:type="dxa"/>
            <w:vMerge w:val="continue"/>
            <w:noWrap w:val="0"/>
            <w:vAlign w:val="center"/>
          </w:tcPr>
          <w:p>
            <w:pPr>
              <w:adjustRightInd w:val="0"/>
              <w:snapToGrid w:val="0"/>
              <w:spacing w:line="400" w:lineRule="exact"/>
              <w:jc w:val="center"/>
              <w:rPr>
                <w:rFonts w:ascii="宋体" w:hAnsi="宋体"/>
                <w:color w:val="auto"/>
                <w:szCs w:val="21"/>
                <w:highlight w:val="none"/>
              </w:rPr>
            </w:pPr>
          </w:p>
        </w:tc>
        <w:tc>
          <w:tcPr>
            <w:tcW w:w="6383" w:type="dxa"/>
            <w:noWrap w:val="0"/>
            <w:vAlign w:val="center"/>
          </w:tcPr>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学校的临时施工人员凭学校《临时出入证》进出校门，无证或无引领者不允许进入校园。</w:t>
            </w:r>
          </w:p>
        </w:tc>
        <w:tc>
          <w:tcPr>
            <w:tcW w:w="1839"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vMerge w:val="continue"/>
            <w:noWrap w:val="0"/>
            <w:vAlign w:val="center"/>
          </w:tcPr>
          <w:p>
            <w:pPr>
              <w:adjustRightInd w:val="0"/>
              <w:snapToGrid w:val="0"/>
              <w:spacing w:line="400" w:lineRule="exact"/>
              <w:jc w:val="center"/>
              <w:rPr>
                <w:rFonts w:ascii="宋体" w:hAnsi="宋体"/>
                <w:color w:val="auto"/>
                <w:szCs w:val="21"/>
                <w:highlight w:val="none"/>
              </w:rPr>
            </w:pPr>
          </w:p>
        </w:tc>
        <w:tc>
          <w:tcPr>
            <w:tcW w:w="997" w:type="dxa"/>
            <w:vMerge w:val="continue"/>
            <w:noWrap w:val="0"/>
            <w:vAlign w:val="center"/>
          </w:tcPr>
          <w:p>
            <w:pPr>
              <w:adjustRightInd w:val="0"/>
              <w:snapToGrid w:val="0"/>
              <w:spacing w:line="400" w:lineRule="exact"/>
              <w:jc w:val="center"/>
              <w:rPr>
                <w:rFonts w:ascii="宋体" w:hAnsi="宋体"/>
                <w:color w:val="auto"/>
                <w:szCs w:val="21"/>
                <w:highlight w:val="none"/>
              </w:rPr>
            </w:pPr>
          </w:p>
        </w:tc>
        <w:tc>
          <w:tcPr>
            <w:tcW w:w="6383" w:type="dxa"/>
            <w:noWrap w:val="0"/>
            <w:vAlign w:val="center"/>
          </w:tcPr>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严禁放社会闲杂人员（如业务推销员、醉酒人员、无业人员等）进入校内。</w:t>
            </w:r>
          </w:p>
        </w:tc>
        <w:tc>
          <w:tcPr>
            <w:tcW w:w="1839"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发现一次扣5分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vMerge w:val="continue"/>
            <w:noWrap w:val="0"/>
            <w:vAlign w:val="center"/>
          </w:tcPr>
          <w:p>
            <w:pPr>
              <w:adjustRightInd w:val="0"/>
              <w:snapToGrid w:val="0"/>
              <w:spacing w:line="400" w:lineRule="exact"/>
              <w:jc w:val="center"/>
              <w:rPr>
                <w:rFonts w:ascii="宋体" w:hAnsi="宋体"/>
                <w:color w:val="auto"/>
                <w:szCs w:val="21"/>
                <w:highlight w:val="none"/>
              </w:rPr>
            </w:pPr>
          </w:p>
        </w:tc>
        <w:tc>
          <w:tcPr>
            <w:tcW w:w="997" w:type="dxa"/>
            <w:vMerge w:val="continue"/>
            <w:noWrap w:val="0"/>
            <w:vAlign w:val="center"/>
          </w:tcPr>
          <w:p>
            <w:pPr>
              <w:adjustRightInd w:val="0"/>
              <w:snapToGrid w:val="0"/>
              <w:spacing w:line="400" w:lineRule="exact"/>
              <w:jc w:val="center"/>
              <w:rPr>
                <w:rFonts w:ascii="宋体" w:hAnsi="宋体"/>
                <w:color w:val="auto"/>
                <w:szCs w:val="21"/>
                <w:highlight w:val="none"/>
              </w:rPr>
            </w:pPr>
          </w:p>
        </w:tc>
        <w:tc>
          <w:tcPr>
            <w:tcW w:w="6383" w:type="dxa"/>
            <w:noWrap w:val="0"/>
            <w:vAlign w:val="center"/>
          </w:tcPr>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对运物品出校门的车辆要进行仔细检查，凡学校公物须持有学校有关证明，并进行登记，方能放行。违反学校公共物品带出校门制度的。</w:t>
            </w:r>
          </w:p>
        </w:tc>
        <w:tc>
          <w:tcPr>
            <w:tcW w:w="1839"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发现一次扣5分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vMerge w:val="restart"/>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5</w:t>
            </w:r>
          </w:p>
        </w:tc>
        <w:tc>
          <w:tcPr>
            <w:tcW w:w="997" w:type="dxa"/>
            <w:vMerge w:val="restart"/>
            <w:noWrap w:val="0"/>
            <w:vAlign w:val="center"/>
          </w:tcPr>
          <w:p>
            <w:pPr>
              <w:adjustRightInd w:val="0"/>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其他</w:t>
            </w:r>
          </w:p>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方面</w:t>
            </w:r>
          </w:p>
        </w:tc>
        <w:tc>
          <w:tcPr>
            <w:tcW w:w="6383" w:type="dxa"/>
            <w:noWrap w:val="0"/>
            <w:vAlign w:val="center"/>
          </w:tcPr>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校门内外公共财物，花草树木，发现破坏没有制止或根本不知道的，视情节严重情况而定。</w:t>
            </w:r>
          </w:p>
        </w:tc>
        <w:tc>
          <w:tcPr>
            <w:tcW w:w="1839"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发现一次扣2-5分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vMerge w:val="continue"/>
            <w:noWrap w:val="0"/>
            <w:vAlign w:val="center"/>
          </w:tcPr>
          <w:p>
            <w:pPr>
              <w:adjustRightInd w:val="0"/>
              <w:snapToGrid w:val="0"/>
              <w:spacing w:line="400" w:lineRule="exact"/>
              <w:jc w:val="center"/>
              <w:rPr>
                <w:rFonts w:ascii="宋体" w:hAnsi="宋体"/>
                <w:color w:val="auto"/>
                <w:szCs w:val="21"/>
                <w:highlight w:val="none"/>
              </w:rPr>
            </w:pPr>
          </w:p>
        </w:tc>
        <w:tc>
          <w:tcPr>
            <w:tcW w:w="997" w:type="dxa"/>
            <w:vMerge w:val="continue"/>
            <w:noWrap w:val="0"/>
            <w:vAlign w:val="center"/>
          </w:tcPr>
          <w:p>
            <w:pPr>
              <w:adjustRightInd w:val="0"/>
              <w:snapToGrid w:val="0"/>
              <w:spacing w:line="400" w:lineRule="exact"/>
              <w:jc w:val="center"/>
              <w:rPr>
                <w:rFonts w:ascii="宋体" w:hAnsi="宋体"/>
                <w:color w:val="auto"/>
                <w:szCs w:val="21"/>
                <w:highlight w:val="none"/>
              </w:rPr>
            </w:pPr>
          </w:p>
        </w:tc>
        <w:tc>
          <w:tcPr>
            <w:tcW w:w="6383" w:type="dxa"/>
            <w:noWrap w:val="0"/>
            <w:vAlign w:val="center"/>
          </w:tcPr>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接收邮件、报刊、信件出现丢失，除赔偿以外。接收保存快递。</w:t>
            </w:r>
          </w:p>
        </w:tc>
        <w:tc>
          <w:tcPr>
            <w:tcW w:w="1839"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vMerge w:val="continue"/>
            <w:noWrap w:val="0"/>
            <w:vAlign w:val="center"/>
          </w:tcPr>
          <w:p>
            <w:pPr>
              <w:adjustRightInd w:val="0"/>
              <w:snapToGrid w:val="0"/>
              <w:spacing w:line="400" w:lineRule="exact"/>
              <w:jc w:val="center"/>
              <w:rPr>
                <w:rFonts w:ascii="宋体" w:hAnsi="宋体"/>
                <w:color w:val="auto"/>
                <w:szCs w:val="21"/>
                <w:highlight w:val="none"/>
              </w:rPr>
            </w:pPr>
          </w:p>
        </w:tc>
        <w:tc>
          <w:tcPr>
            <w:tcW w:w="997" w:type="dxa"/>
            <w:vMerge w:val="continue"/>
            <w:noWrap w:val="0"/>
            <w:vAlign w:val="center"/>
          </w:tcPr>
          <w:p>
            <w:pPr>
              <w:adjustRightInd w:val="0"/>
              <w:snapToGrid w:val="0"/>
              <w:spacing w:line="400" w:lineRule="exact"/>
              <w:jc w:val="center"/>
              <w:rPr>
                <w:rFonts w:ascii="宋体" w:hAnsi="宋体"/>
                <w:color w:val="auto"/>
                <w:szCs w:val="21"/>
                <w:highlight w:val="none"/>
              </w:rPr>
            </w:pPr>
          </w:p>
        </w:tc>
        <w:tc>
          <w:tcPr>
            <w:tcW w:w="6383" w:type="dxa"/>
            <w:noWrap w:val="0"/>
            <w:vAlign w:val="center"/>
          </w:tcPr>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保安人员严格执行上下班制度，按时交接班，坚守工作岗位。出现脱岗现象。</w:t>
            </w:r>
          </w:p>
        </w:tc>
        <w:tc>
          <w:tcPr>
            <w:tcW w:w="1839"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vMerge w:val="continue"/>
            <w:noWrap w:val="0"/>
            <w:vAlign w:val="center"/>
          </w:tcPr>
          <w:p>
            <w:pPr>
              <w:adjustRightInd w:val="0"/>
              <w:snapToGrid w:val="0"/>
              <w:spacing w:line="400" w:lineRule="exact"/>
              <w:jc w:val="center"/>
              <w:rPr>
                <w:rFonts w:ascii="宋体" w:hAnsi="宋体"/>
                <w:color w:val="auto"/>
                <w:szCs w:val="21"/>
                <w:highlight w:val="none"/>
              </w:rPr>
            </w:pPr>
          </w:p>
        </w:tc>
        <w:tc>
          <w:tcPr>
            <w:tcW w:w="997" w:type="dxa"/>
            <w:vMerge w:val="continue"/>
            <w:noWrap w:val="0"/>
            <w:vAlign w:val="center"/>
          </w:tcPr>
          <w:p>
            <w:pPr>
              <w:adjustRightInd w:val="0"/>
              <w:snapToGrid w:val="0"/>
              <w:spacing w:line="400" w:lineRule="exact"/>
              <w:jc w:val="center"/>
              <w:rPr>
                <w:rFonts w:ascii="宋体" w:hAnsi="宋体"/>
                <w:color w:val="auto"/>
                <w:szCs w:val="21"/>
                <w:highlight w:val="none"/>
              </w:rPr>
            </w:pPr>
          </w:p>
        </w:tc>
        <w:tc>
          <w:tcPr>
            <w:tcW w:w="6383" w:type="dxa"/>
            <w:noWrap w:val="0"/>
            <w:vAlign w:val="center"/>
          </w:tcPr>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保安人员需服从安排，听从指挥，全面履行安全保卫人员的职责。出现不服从学校安排现象。</w:t>
            </w:r>
          </w:p>
        </w:tc>
        <w:tc>
          <w:tcPr>
            <w:tcW w:w="1839"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发现一次扣5分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61" w:type="dxa"/>
            <w:vMerge w:val="continue"/>
            <w:noWrap w:val="0"/>
            <w:vAlign w:val="center"/>
          </w:tcPr>
          <w:p>
            <w:pPr>
              <w:adjustRightInd w:val="0"/>
              <w:snapToGrid w:val="0"/>
              <w:spacing w:line="400" w:lineRule="exact"/>
              <w:jc w:val="center"/>
              <w:rPr>
                <w:rFonts w:ascii="宋体" w:hAnsi="宋体"/>
                <w:color w:val="auto"/>
                <w:szCs w:val="21"/>
                <w:highlight w:val="none"/>
              </w:rPr>
            </w:pPr>
          </w:p>
        </w:tc>
        <w:tc>
          <w:tcPr>
            <w:tcW w:w="997" w:type="dxa"/>
            <w:vMerge w:val="continue"/>
            <w:noWrap w:val="0"/>
            <w:vAlign w:val="center"/>
          </w:tcPr>
          <w:p>
            <w:pPr>
              <w:adjustRightInd w:val="0"/>
              <w:snapToGrid w:val="0"/>
              <w:spacing w:line="400" w:lineRule="exact"/>
              <w:jc w:val="center"/>
              <w:rPr>
                <w:rFonts w:ascii="宋体" w:hAnsi="宋体"/>
                <w:color w:val="auto"/>
                <w:szCs w:val="21"/>
                <w:highlight w:val="none"/>
              </w:rPr>
            </w:pPr>
          </w:p>
        </w:tc>
        <w:tc>
          <w:tcPr>
            <w:tcW w:w="6383" w:type="dxa"/>
            <w:noWrap w:val="0"/>
            <w:vAlign w:val="center"/>
          </w:tcPr>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发现火警、匪警等安全事故未及时汇报或报警的。</w:t>
            </w:r>
          </w:p>
        </w:tc>
        <w:tc>
          <w:tcPr>
            <w:tcW w:w="1839"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发现一次扣10分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vMerge w:val="continue"/>
            <w:noWrap w:val="0"/>
            <w:vAlign w:val="center"/>
          </w:tcPr>
          <w:p>
            <w:pPr>
              <w:adjustRightInd w:val="0"/>
              <w:snapToGrid w:val="0"/>
              <w:spacing w:line="400" w:lineRule="exact"/>
              <w:jc w:val="center"/>
              <w:rPr>
                <w:rFonts w:ascii="宋体" w:hAnsi="宋体"/>
                <w:color w:val="auto"/>
                <w:szCs w:val="21"/>
                <w:highlight w:val="none"/>
              </w:rPr>
            </w:pPr>
          </w:p>
        </w:tc>
        <w:tc>
          <w:tcPr>
            <w:tcW w:w="997" w:type="dxa"/>
            <w:vMerge w:val="continue"/>
            <w:noWrap w:val="0"/>
            <w:vAlign w:val="center"/>
          </w:tcPr>
          <w:p>
            <w:pPr>
              <w:adjustRightInd w:val="0"/>
              <w:snapToGrid w:val="0"/>
              <w:spacing w:line="400" w:lineRule="exact"/>
              <w:jc w:val="center"/>
              <w:rPr>
                <w:rFonts w:ascii="宋体" w:hAnsi="宋体"/>
                <w:color w:val="auto"/>
                <w:szCs w:val="21"/>
                <w:highlight w:val="none"/>
              </w:rPr>
            </w:pPr>
          </w:p>
        </w:tc>
        <w:tc>
          <w:tcPr>
            <w:tcW w:w="6383" w:type="dxa"/>
            <w:noWrap w:val="0"/>
            <w:vAlign w:val="center"/>
          </w:tcPr>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师生放学离校后，全面巡视，锁好各口大门，发现学校有异常情况，要及时处理或报告学校有关领导。造成损失的视情节严重扣分并追究责任。</w:t>
            </w:r>
          </w:p>
        </w:tc>
        <w:tc>
          <w:tcPr>
            <w:tcW w:w="1839"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视情节严重扣分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6</w:t>
            </w:r>
          </w:p>
        </w:tc>
        <w:tc>
          <w:tcPr>
            <w:tcW w:w="997"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人身安全方面</w:t>
            </w:r>
          </w:p>
        </w:tc>
        <w:tc>
          <w:tcPr>
            <w:tcW w:w="6383" w:type="dxa"/>
            <w:noWrap w:val="0"/>
            <w:vAlign w:val="center"/>
          </w:tcPr>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保安人员因工作失职，造成学校财产损失或人员伤亡，需承担相应责任、扣除当月工资并予以辞退。</w:t>
            </w:r>
          </w:p>
        </w:tc>
        <w:tc>
          <w:tcPr>
            <w:tcW w:w="1839" w:type="dxa"/>
            <w:noWrap w:val="0"/>
            <w:vAlign w:val="center"/>
          </w:tcPr>
          <w:p>
            <w:pPr>
              <w:adjustRightInd w:val="0"/>
              <w:snapToGrid w:val="0"/>
              <w:spacing w:line="400" w:lineRule="exact"/>
              <w:jc w:val="center"/>
              <w:rPr>
                <w:rFonts w:ascii="宋体" w:hAnsi="宋体"/>
                <w:color w:val="auto"/>
                <w:szCs w:val="21"/>
                <w:highlight w:val="none"/>
              </w:rPr>
            </w:pPr>
          </w:p>
        </w:tc>
      </w:tr>
    </w:tbl>
    <w:p>
      <w:pPr>
        <w:snapToGrid w:val="0"/>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3、考评方法：由各学校自行考核。</w:t>
      </w:r>
    </w:p>
    <w:p>
      <w:pPr>
        <w:snapToGrid w:val="0"/>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潘火街道</w:t>
      </w:r>
      <w:r>
        <w:rPr>
          <w:rFonts w:hint="eastAsia" w:ascii="宋体" w:hAnsi="宋体"/>
          <w:color w:val="auto"/>
          <w:szCs w:val="21"/>
          <w:highlight w:val="none"/>
        </w:rPr>
        <w:t>教育研究辅导室委托各学校开展月度考核，并建立考核台帐；月度考核总分为100分。考核结果与当月服务经费与考核学校挂钩。月度考核分值95分（含）以上，全额核拨当月服务经费【注：月度全额服务经费=当月服务安保人员数量×中标金额（固定综合单价）/12个月】；月度考核分为90分（含）至95分的，以95分为基准，得分下降1分，扣减当月管理费和税金之和的1%；月度考核分为80分（含）至90分的，除执行以上扣款外，以90分为基准，得分每少1分，扣减当月管理费和税金之和的2%；月度考核分80分以下的，除保安人员费用（指除去管理费和税金之后的费用）外，不予核拨其他任何费用。</w:t>
      </w:r>
    </w:p>
    <w:p>
      <w:pPr>
        <w:snapToGrid w:val="0"/>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（2）一年度内，全</w:t>
      </w:r>
      <w:r>
        <w:rPr>
          <w:rFonts w:hint="eastAsia" w:ascii="宋体" w:hAnsi="宋体"/>
          <w:color w:val="auto"/>
          <w:szCs w:val="21"/>
          <w:highlight w:val="none"/>
          <w:lang w:val="en-US" w:eastAsia="zh-CN"/>
        </w:rPr>
        <w:t>街道</w:t>
      </w:r>
      <w:r>
        <w:rPr>
          <w:rFonts w:hint="eastAsia" w:ascii="宋体" w:hAnsi="宋体"/>
          <w:color w:val="auto"/>
          <w:szCs w:val="21"/>
          <w:highlight w:val="none"/>
        </w:rPr>
        <w:t>有半数或以上学校有过月度考核得分在80分以下情况的，视为中标人违约，</w:t>
      </w:r>
      <w:r>
        <w:rPr>
          <w:rFonts w:hint="eastAsia" w:ascii="宋体" w:hAnsi="宋体"/>
          <w:color w:val="auto"/>
          <w:szCs w:val="21"/>
          <w:highlight w:val="none"/>
          <w:lang w:eastAsia="zh-CN"/>
        </w:rPr>
        <w:t>潘火街道</w:t>
      </w:r>
      <w:r>
        <w:rPr>
          <w:rFonts w:hint="eastAsia" w:ascii="宋体" w:hAnsi="宋体"/>
          <w:color w:val="auto"/>
          <w:szCs w:val="21"/>
          <w:highlight w:val="none"/>
        </w:rPr>
        <w:t>教育研究辅导室有权无条件解除合同，由此产生的责任由中标人承担。</w:t>
      </w:r>
    </w:p>
    <w:p>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4、投标报价及费用：</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本项目投标报价为含税人民币报价，包含了完成本项目服务（68个保安及其他）所需的所有费用，包括但不限于以下内容：人员费用[含工资、奖金、加班费、劳保福利、各类补贴（如高温津贴等）、五险一金、人身意外险及教育培训等费用]、工作服</w:t>
      </w:r>
      <w:r>
        <w:rPr>
          <w:rFonts w:hint="eastAsia" w:ascii="宋体" w:hAnsi="宋体"/>
          <w:color w:val="auto"/>
          <w:szCs w:val="21"/>
          <w:highlight w:val="none"/>
        </w:rPr>
        <w:t>、</w:t>
      </w:r>
      <w:r>
        <w:rPr>
          <w:rFonts w:hint="eastAsia" w:ascii="宋体" w:hAnsi="宋体"/>
          <w:color w:val="auto"/>
          <w:szCs w:val="21"/>
          <w:highlight w:val="none"/>
        </w:rPr>
        <w:t>节庆氛围布置、招标代理服务费及利润、管理费用（包括人员培训费、办公管理费、其他管理费等）、“双减政策”下的加班费、利润、规费、税金等完成本项目服务所产生的一切费用。本项目最高限价</w:t>
      </w:r>
      <w:r>
        <w:rPr>
          <w:rFonts w:hint="eastAsia" w:ascii="宋体" w:hAnsi="宋体" w:eastAsia="宋体" w:cs="Times New Roman"/>
          <w:b/>
          <w:bCs/>
          <w:color w:val="auto"/>
          <w:szCs w:val="21"/>
          <w:highlight w:val="none"/>
          <w:lang w:val="en-US" w:eastAsia="zh-CN"/>
        </w:rPr>
        <w:t>3508800</w:t>
      </w:r>
      <w:r>
        <w:rPr>
          <w:rFonts w:hint="eastAsia" w:ascii="宋体" w:hAnsi="宋体" w:eastAsia="宋体" w:cs="Times New Roman"/>
          <w:b/>
          <w:bCs/>
          <w:color w:val="auto"/>
          <w:szCs w:val="21"/>
          <w:highlight w:val="none"/>
        </w:rPr>
        <w:t>元/年</w:t>
      </w:r>
      <w:r>
        <w:rPr>
          <w:rFonts w:hint="eastAsia" w:ascii="宋体" w:hAnsi="宋体" w:eastAsia="宋体" w:cs="Times New Roman"/>
          <w:b/>
          <w:bCs/>
          <w:color w:val="auto"/>
          <w:szCs w:val="21"/>
          <w:highlight w:val="none"/>
          <w:lang w:eastAsia="zh-CN"/>
        </w:rPr>
        <w:t>；</w:t>
      </w:r>
      <w:r>
        <w:rPr>
          <w:rFonts w:hint="eastAsia" w:ascii="宋体" w:hAnsi="宋体" w:eastAsia="宋体" w:cs="Times New Roman"/>
          <w:b/>
          <w:bCs/>
          <w:color w:val="auto"/>
          <w:szCs w:val="21"/>
          <w:highlight w:val="none"/>
          <w:lang w:val="en-US" w:eastAsia="zh-CN"/>
        </w:rPr>
        <w:t>10526400元/三年</w:t>
      </w:r>
      <w:r>
        <w:rPr>
          <w:rFonts w:hint="eastAsia" w:ascii="宋体" w:hAnsi="宋体"/>
          <w:color w:val="auto"/>
          <w:szCs w:val="21"/>
          <w:highlight w:val="none"/>
        </w:rPr>
        <w:t>；投标报价超过最高限价的作无效标处理。保安人员基本工资、高温补贴、社保（五险）等不得低于人社部门规定的最低标准。</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（2）合同经费（开具的发票符合政府财政入账要求）由</w:t>
      </w:r>
      <w:r>
        <w:rPr>
          <w:rFonts w:hint="eastAsia" w:ascii="宋体" w:hAnsi="宋体"/>
          <w:color w:val="auto"/>
          <w:szCs w:val="21"/>
          <w:highlight w:val="none"/>
          <w:lang w:eastAsia="zh-CN"/>
        </w:rPr>
        <w:t>潘火街道</w:t>
      </w:r>
      <w:r>
        <w:rPr>
          <w:rFonts w:hint="eastAsia" w:ascii="宋体" w:hAnsi="宋体"/>
          <w:color w:val="auto"/>
          <w:szCs w:val="21"/>
          <w:highlight w:val="none"/>
          <w:lang w:val="en-US" w:eastAsia="zh-CN"/>
        </w:rPr>
        <w:t>人民政府</w:t>
      </w:r>
      <w:r>
        <w:rPr>
          <w:rFonts w:hint="eastAsia" w:ascii="宋体" w:hAnsi="宋体"/>
          <w:color w:val="auto"/>
          <w:szCs w:val="21"/>
          <w:highlight w:val="none"/>
        </w:rPr>
        <w:t>统一支付，如各学校保安数量有调整的，根据实际数量结算，即各学校年度合同金额=中标综合单价（    万元/人.年）</w:t>
      </w:r>
      <w:r>
        <w:rPr>
          <w:rFonts w:ascii="宋体" w:hAnsi="宋体"/>
          <w:color w:val="auto"/>
          <w:szCs w:val="21"/>
          <w:highlight w:val="none"/>
        </w:rPr>
        <w:t>×</w:t>
      </w:r>
      <w:r>
        <w:rPr>
          <w:rFonts w:hint="eastAsia" w:ascii="宋体" w:hAnsi="宋体"/>
          <w:color w:val="auto"/>
          <w:szCs w:val="21"/>
          <w:highlight w:val="none"/>
        </w:rPr>
        <w:t>实际保安人数。</w:t>
      </w:r>
    </w:p>
    <w:p>
      <w:pPr>
        <w:snapToGrid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（3）不论投标结果如何，投标人均应自行承担所有与投标有关的全部费用。</w:t>
      </w:r>
    </w:p>
    <w:p>
      <w:pPr>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4）本项目第一年度的合同金额将不予调整；后续年度金额，在履行合同期间，若遇政府指令性政策调整（例如宁波市职工最低工资标准调整、社会保险最低基数费率调整等），双方有权利和义务相互协商解决中标的年度服务金额的调整事宜。</w:t>
      </w:r>
    </w:p>
    <w:p>
      <w:pPr>
        <w:rPr>
          <w:rFonts w:hint="eastAsia"/>
          <w:color w:val="auto"/>
          <w:highlight w:val="none"/>
        </w:rPr>
      </w:pPr>
    </w:p>
    <w:p>
      <w:pPr>
        <w:pStyle w:val="18"/>
        <w:rPr>
          <w:rFonts w:hint="eastAsia"/>
          <w:color w:val="auto"/>
          <w:highlight w:val="none"/>
        </w:rPr>
      </w:pPr>
    </w:p>
    <w:p>
      <w:pPr>
        <w:rPr>
          <w:rFonts w:hint="eastAsia"/>
          <w:color w:val="auto"/>
          <w:highlight w:val="none"/>
        </w:rPr>
      </w:pPr>
    </w:p>
    <w:p>
      <w:pPr>
        <w:pStyle w:val="18"/>
        <w:rPr>
          <w:rFonts w:hint="eastAsia"/>
          <w:color w:val="auto"/>
          <w:highlight w:val="none"/>
        </w:rPr>
      </w:pPr>
    </w:p>
    <w:p>
      <w:pPr>
        <w:rPr>
          <w:rFonts w:hint="eastAsia"/>
          <w:color w:val="auto"/>
          <w:highlight w:val="none"/>
        </w:rPr>
      </w:pPr>
    </w:p>
    <w:p>
      <w:pPr>
        <w:pStyle w:val="18"/>
        <w:rPr>
          <w:rFonts w:hint="eastAsia"/>
          <w:color w:val="auto"/>
          <w:highlight w:val="none"/>
        </w:rPr>
      </w:pPr>
    </w:p>
    <w:p>
      <w:pPr>
        <w:rPr>
          <w:rFonts w:hint="eastAsia"/>
          <w:color w:val="auto"/>
          <w:highlight w:val="none"/>
        </w:rPr>
      </w:pPr>
    </w:p>
    <w:p>
      <w:pPr>
        <w:pStyle w:val="18"/>
        <w:rPr>
          <w:rFonts w:hint="eastAsia"/>
          <w:color w:val="auto"/>
          <w:highlight w:val="none"/>
        </w:rPr>
      </w:pPr>
    </w:p>
    <w:p>
      <w:pPr>
        <w:rPr>
          <w:rFonts w:hint="eastAsia"/>
          <w:color w:val="auto"/>
          <w:highlight w:val="none"/>
        </w:rPr>
      </w:pPr>
    </w:p>
    <w:p>
      <w:pPr>
        <w:pStyle w:val="18"/>
        <w:rPr>
          <w:rFonts w:hint="eastAsia"/>
          <w:color w:val="auto"/>
          <w:highlight w:val="none"/>
        </w:rPr>
      </w:pPr>
    </w:p>
    <w:p>
      <w:pPr>
        <w:rPr>
          <w:rFonts w:hint="eastAsia"/>
          <w:color w:val="auto"/>
          <w:highlight w:val="none"/>
        </w:rPr>
      </w:pPr>
    </w:p>
    <w:p>
      <w:pPr>
        <w:pStyle w:val="18"/>
        <w:rPr>
          <w:rFonts w:hint="eastAsia"/>
          <w:color w:val="auto"/>
          <w:highlight w:val="none"/>
        </w:rPr>
      </w:pPr>
    </w:p>
    <w:p>
      <w:pPr>
        <w:rPr>
          <w:rFonts w:hint="eastAsia"/>
          <w:color w:val="auto"/>
          <w:highlight w:val="none"/>
        </w:rPr>
      </w:pPr>
    </w:p>
    <w:p>
      <w:pPr>
        <w:pStyle w:val="18"/>
        <w:rPr>
          <w:rFonts w:hint="eastAsia"/>
          <w:color w:val="auto"/>
          <w:highlight w:val="none"/>
        </w:rPr>
      </w:pPr>
    </w:p>
    <w:p>
      <w:pPr>
        <w:rPr>
          <w:rFonts w:hint="eastAsia"/>
          <w:color w:val="auto"/>
          <w:highlight w:val="none"/>
        </w:rPr>
      </w:pPr>
    </w:p>
    <w:p>
      <w:pPr>
        <w:pStyle w:val="18"/>
        <w:rPr>
          <w:rFonts w:hint="eastAsia"/>
          <w:color w:val="auto"/>
          <w:highlight w:val="none"/>
        </w:rPr>
      </w:pPr>
    </w:p>
    <w:p>
      <w:pPr>
        <w:rPr>
          <w:rFonts w:hint="eastAsia"/>
          <w:color w:val="auto"/>
          <w:highlight w:val="none"/>
        </w:rPr>
      </w:pPr>
    </w:p>
    <w:p>
      <w:pPr>
        <w:pStyle w:val="18"/>
        <w:rPr>
          <w:rFonts w:hint="eastAsia"/>
          <w:color w:val="auto"/>
          <w:highlight w:val="none"/>
        </w:rPr>
      </w:pPr>
    </w:p>
    <w:p>
      <w:pPr>
        <w:rPr>
          <w:rFonts w:hint="eastAsia"/>
          <w:color w:val="auto"/>
          <w:highlight w:val="none"/>
        </w:rPr>
      </w:pPr>
    </w:p>
    <w:p>
      <w:pPr>
        <w:pStyle w:val="18"/>
        <w:rPr>
          <w:rFonts w:hint="eastAsia"/>
          <w:color w:val="auto"/>
          <w:highlight w:val="none"/>
        </w:rPr>
      </w:pPr>
    </w:p>
    <w:p>
      <w:pPr>
        <w:rPr>
          <w:rFonts w:hint="eastAsia"/>
          <w:color w:val="auto"/>
          <w:highlight w:val="none"/>
        </w:rPr>
      </w:pPr>
    </w:p>
    <w:p>
      <w:pPr>
        <w:pStyle w:val="18"/>
        <w:rPr>
          <w:rFonts w:hint="eastAsia"/>
          <w:color w:val="auto"/>
          <w:highlight w:val="none"/>
        </w:rPr>
      </w:pPr>
    </w:p>
    <w:p>
      <w:pPr>
        <w:rPr>
          <w:rFonts w:hint="eastAsia"/>
          <w:color w:val="auto"/>
          <w:highlight w:val="none"/>
        </w:rPr>
      </w:pPr>
    </w:p>
    <w:p>
      <w:pPr>
        <w:pStyle w:val="18"/>
        <w:rPr>
          <w:rFonts w:hint="eastAsia"/>
          <w:color w:val="auto"/>
          <w:highlight w:val="none"/>
        </w:rPr>
      </w:pPr>
    </w:p>
    <w:p>
      <w:pPr>
        <w:rPr>
          <w:rFonts w:hint="eastAsia"/>
          <w:color w:val="auto"/>
          <w:highlight w:val="none"/>
        </w:rPr>
      </w:pPr>
    </w:p>
    <w:p>
      <w:pPr>
        <w:pStyle w:val="18"/>
        <w:rPr>
          <w:rFonts w:hint="eastAsia"/>
          <w:color w:val="auto"/>
          <w:highlight w:val="none"/>
        </w:rPr>
      </w:pPr>
    </w:p>
    <w:p>
      <w:pPr>
        <w:rPr>
          <w:rFonts w:hint="eastAsia"/>
          <w:color w:val="auto"/>
          <w:highlight w:val="none"/>
        </w:rPr>
      </w:pPr>
    </w:p>
    <w:p>
      <w:pPr>
        <w:pStyle w:val="18"/>
        <w:rPr>
          <w:rFonts w:hint="eastAsia"/>
          <w:color w:val="auto"/>
          <w:highlight w:val="none"/>
        </w:rPr>
      </w:pPr>
    </w:p>
    <w:p>
      <w:pPr>
        <w:rPr>
          <w:rFonts w:hint="eastAsia"/>
          <w:color w:val="auto"/>
          <w:highlight w:val="none"/>
        </w:rPr>
      </w:pPr>
    </w:p>
    <w:p>
      <w:pPr>
        <w:pStyle w:val="18"/>
        <w:rPr>
          <w:rFonts w:hint="eastAsia"/>
          <w:color w:val="auto"/>
          <w:highlight w:val="none"/>
        </w:rPr>
      </w:pPr>
    </w:p>
    <w:p>
      <w:pPr>
        <w:rPr>
          <w:rFonts w:hint="eastAsia"/>
          <w:color w:val="auto"/>
          <w:highlight w:val="none"/>
        </w:rPr>
      </w:pPr>
    </w:p>
    <w:p>
      <w:pPr>
        <w:pStyle w:val="18"/>
        <w:rPr>
          <w:rFonts w:hint="eastAsia"/>
          <w:color w:val="auto"/>
          <w:highlight w:val="none"/>
        </w:rPr>
      </w:pPr>
    </w:p>
    <w:p>
      <w:pPr>
        <w:rPr>
          <w:rFonts w:hint="eastAsia"/>
          <w:color w:val="auto"/>
          <w:highlight w:val="none"/>
        </w:rPr>
      </w:pPr>
    </w:p>
    <w:p>
      <w:pPr>
        <w:pStyle w:val="18"/>
        <w:rPr>
          <w:rFonts w:hint="eastAsia"/>
          <w:color w:val="auto"/>
          <w:highlight w:val="none"/>
        </w:rPr>
      </w:pPr>
    </w:p>
    <w:p>
      <w:pPr>
        <w:rPr>
          <w:rFonts w:hint="eastAsia"/>
          <w:color w:val="auto"/>
          <w:highlight w:val="none"/>
        </w:rPr>
      </w:pPr>
    </w:p>
    <w:p>
      <w:pPr>
        <w:pStyle w:val="18"/>
        <w:rPr>
          <w:rFonts w:hint="eastAsia"/>
          <w:color w:val="auto"/>
          <w:highlight w:val="none"/>
        </w:rPr>
      </w:pPr>
    </w:p>
    <w:p>
      <w:pPr>
        <w:rPr>
          <w:rFonts w:hint="eastAsia"/>
          <w:color w:val="auto"/>
          <w:highlight w:val="none"/>
        </w:rPr>
      </w:pPr>
    </w:p>
    <w:p>
      <w:pPr>
        <w:pStyle w:val="18"/>
        <w:rPr>
          <w:rFonts w:hint="eastAsia"/>
          <w:color w:val="auto"/>
          <w:highlight w:val="none"/>
        </w:rPr>
      </w:pPr>
    </w:p>
    <w:p>
      <w:pPr>
        <w:rPr>
          <w:rFonts w:hint="eastAsia"/>
          <w:color w:val="auto"/>
          <w:highlight w:val="none"/>
        </w:rPr>
      </w:pPr>
    </w:p>
    <w:p>
      <w:pPr>
        <w:pStyle w:val="18"/>
        <w:rPr>
          <w:rFonts w:hint="eastAsia"/>
          <w:color w:val="auto"/>
          <w:highlight w:val="none"/>
        </w:rPr>
      </w:pPr>
    </w:p>
    <w:p>
      <w:pPr>
        <w:rPr>
          <w:rFonts w:hint="eastAsia"/>
          <w:color w:val="auto"/>
          <w:highlight w:val="none"/>
        </w:rPr>
      </w:pPr>
    </w:p>
    <w:p>
      <w:pPr>
        <w:pStyle w:val="18"/>
        <w:rPr>
          <w:rFonts w:hint="eastAsia"/>
          <w:color w:val="auto"/>
          <w:highlight w:val="none"/>
        </w:rPr>
      </w:pPr>
    </w:p>
    <w:p>
      <w:pPr>
        <w:rPr>
          <w:rFonts w:hint="eastAsia"/>
          <w:color w:val="auto"/>
          <w:highlight w:val="none"/>
        </w:rPr>
      </w:pPr>
    </w:p>
    <w:p>
      <w:pPr>
        <w:pStyle w:val="7"/>
        <w:widowControl w:val="0"/>
        <w:numPr>
          <w:ilvl w:val="0"/>
          <w:numId w:val="4"/>
        </w:numPr>
        <w:tabs>
          <w:tab w:val="left" w:pos="0"/>
          <w:tab w:val="clear" w:pos="360"/>
        </w:tabs>
        <w:snapToGrid w:val="0"/>
        <w:spacing w:after="0" w:afterLines="0" w:line="440" w:lineRule="exact"/>
        <w:ind w:leftChars="200"/>
        <w:jc w:val="center"/>
        <w:rPr>
          <w:rFonts w:hint="eastAsia" w:ascii="宋体" w:hAnsi="宋体" w:eastAsia="宋体" w:cs="宋体"/>
          <w:b/>
          <w:bCs/>
          <w:color w:val="auto"/>
          <w:kern w:val="44"/>
          <w:sz w:val="32"/>
          <w:szCs w:val="32"/>
          <w:highlight w:val="none"/>
        </w:rPr>
      </w:pPr>
      <w:r>
        <w:rPr>
          <w:rFonts w:hint="eastAsia" w:ascii="宋体" w:hAnsi="宋体" w:eastAsia="宋体" w:cs="宋体"/>
          <w:b/>
          <w:bCs/>
          <w:color w:val="auto"/>
          <w:kern w:val="44"/>
          <w:sz w:val="32"/>
          <w:szCs w:val="32"/>
          <w:highlight w:val="none"/>
        </w:rPr>
        <w:t xml:space="preserve"> 评标办法及评分标准</w:t>
      </w:r>
      <w:bookmarkEnd w:id="146"/>
      <w:bookmarkEnd w:id="147"/>
      <w:bookmarkEnd w:id="148"/>
      <w:bookmarkEnd w:id="149"/>
      <w:bookmarkEnd w:id="150"/>
    </w:p>
    <w:p>
      <w:pPr>
        <w:spacing w:line="360" w:lineRule="auto"/>
        <w:ind w:firstLine="420" w:firstLineChars="200"/>
        <w:rPr>
          <w:rFonts w:hint="eastAsia" w:ascii="宋体" w:hAnsi="宋体" w:eastAsia="宋体" w:cs="宋体"/>
          <w:bCs/>
          <w:color w:val="auto"/>
          <w:szCs w:val="21"/>
          <w:highlight w:val="none"/>
          <w:lang w:bidi="ar"/>
        </w:rPr>
      </w:pPr>
      <w:bookmarkStart w:id="151" w:name="_Toc9443"/>
      <w:bookmarkStart w:id="152" w:name="_Toc3774"/>
      <w:bookmarkStart w:id="153" w:name="_Toc8884"/>
      <w:bookmarkStart w:id="154" w:name="_Toc61965565"/>
      <w:bookmarkStart w:id="155" w:name="_Toc15374"/>
    </w:p>
    <w:p>
      <w:pPr>
        <w:spacing w:line="360" w:lineRule="auto"/>
        <w:ind w:firstLine="420" w:firstLineChars="200"/>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本办法严格遵照《中华人民共和国政府采购法》、《政府采购货物和服务招标投标管理办法》，结合项目所在地政府有关政府采购规定和项目的实际情况制定。本次采购为非专门面向中小企业，本次评标将对中小企业声明函满足采购文件要求的小型和微型企业产品的价格给予6%的扣除，对联合体投标（如有）中小企业声明函满足采购文件要求的小型和微型企业产品的价格给予2%的扣除，用扣除后的价格参与评审。</w:t>
      </w:r>
    </w:p>
    <w:p>
      <w:pPr>
        <w:spacing w:line="360" w:lineRule="auto"/>
        <w:ind w:firstLine="420" w:firstLineChars="200"/>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一、开标准备</w:t>
      </w:r>
    </w:p>
    <w:p>
      <w:pPr>
        <w:spacing w:line="360" w:lineRule="auto"/>
        <w:ind w:firstLine="420" w:firstLineChars="200"/>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采购代理机构将在规定的时间和地点进行开标，供应商的法定代表人或其授权代表可参加开标会。供应商的法定代表人或其授权代表未参加开标会的，视同放弃开标监督权利、认可开标结果。</w:t>
      </w:r>
    </w:p>
    <w:p>
      <w:pPr>
        <w:spacing w:line="360" w:lineRule="auto"/>
        <w:ind w:firstLine="420" w:firstLineChars="200"/>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二、开标程序：</w:t>
      </w:r>
    </w:p>
    <w:p>
      <w:pPr>
        <w:spacing w:line="360" w:lineRule="auto"/>
        <w:ind w:firstLine="420" w:firstLineChars="200"/>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1、电子招投标开标程序：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第一阶段：</w:t>
      </w:r>
    </w:p>
    <w:p>
      <w:pPr>
        <w:numPr>
          <w:ilvl w:val="0"/>
          <w:numId w:val="5"/>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投标截止时间后，供应商登录政府采购云平台，用“项目采购-开标评标”功能对电子投标文件进行在线解密，在线解密电子投标文件时间为开标时间后1小时内。</w:t>
      </w:r>
    </w:p>
    <w:p>
      <w:pPr>
        <w:numPr>
          <w:ilvl w:val="0"/>
          <w:numId w:val="5"/>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在政府采购云平台开启已解密供应商的“资格文件、商务技术文件”，并做开标记录；</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第二阶段：</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（1）在政府采购云平台宣告第一阶段评审无效供应商名单及理由；</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（2）公布经第一阶段评审符合采购文件要求的供应商的商务技术得分情况；</w:t>
      </w:r>
    </w:p>
    <w:p>
      <w:pPr>
        <w:spacing w:line="360" w:lineRule="auto"/>
        <w:ind w:firstLine="420" w:firstLineChars="200"/>
        <w:rPr>
          <w:rFonts w:hint="eastAsia" w:ascii="宋体" w:hAnsi="宋体" w:cs="宋体"/>
          <w:b/>
          <w:bCs/>
          <w:color w:val="auto"/>
          <w:highlight w:val="none"/>
        </w:rPr>
      </w:pPr>
      <w:r>
        <w:rPr>
          <w:rFonts w:hint="eastAsia" w:ascii="宋体" w:hAnsi="宋体" w:cs="宋体"/>
          <w:color w:val="auto"/>
          <w:szCs w:val="21"/>
          <w:highlight w:val="none"/>
        </w:rPr>
        <w:t>（3）在政府采购云平台开启除第一阶段无效标外的供应商的“报价文件”，并做开标记录</w:t>
      </w:r>
      <w:r>
        <w:rPr>
          <w:rFonts w:hint="eastAsia" w:ascii="宋体" w:hAnsi="宋体" w:cs="宋体"/>
          <w:b/>
          <w:bCs/>
          <w:color w:val="auto"/>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（4）在政府采购云平台公布评审结果。</w:t>
      </w:r>
    </w:p>
    <w:p>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（5）开标会议结束。</w:t>
      </w:r>
    </w:p>
    <w:p>
      <w:pPr>
        <w:numPr>
          <w:ilvl w:val="0"/>
          <w:numId w:val="6"/>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线下开标程序：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第一阶段：</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（1）开标会由采购代理机构主持，主持人宣布开标会议开始；</w:t>
      </w:r>
    </w:p>
    <w:p>
      <w:pPr>
        <w:spacing w:line="360" w:lineRule="auto"/>
        <w:ind w:firstLine="420" w:firstLineChars="200"/>
        <w:rPr>
          <w:rFonts w:hint="eastAsia" w:ascii="宋体" w:hAnsi="宋体" w:cs="宋体"/>
          <w:color w:val="auto"/>
          <w:szCs w:val="21"/>
          <w:highlight w:val="none"/>
        </w:rPr>
      </w:pPr>
      <w:bookmarkStart w:id="156" w:name="_Toc396115155"/>
      <w:r>
        <w:rPr>
          <w:rFonts w:hint="eastAsia" w:ascii="宋体" w:hAnsi="宋体" w:cs="宋体"/>
          <w:color w:val="auto"/>
          <w:szCs w:val="21"/>
          <w:highlight w:val="none"/>
        </w:rPr>
        <w:t>（2）主持人介绍参加开标会的人员名单；</w:t>
      </w:r>
      <w:bookmarkEnd w:id="156"/>
      <w:r>
        <w:rPr>
          <w:rFonts w:hint="eastAsia" w:ascii="宋体" w:hAnsi="宋体" w:cs="宋体"/>
          <w:color w:val="auto"/>
          <w:szCs w:val="21"/>
          <w:highlight w:val="none"/>
        </w:rPr>
        <w:t xml:space="preserve"> </w:t>
      </w:r>
    </w:p>
    <w:p>
      <w:pPr>
        <w:spacing w:line="360" w:lineRule="auto"/>
        <w:ind w:firstLine="420" w:firstLineChars="200"/>
        <w:rPr>
          <w:rFonts w:hint="eastAsia" w:ascii="宋体" w:hAnsi="宋体" w:cs="宋体"/>
          <w:color w:val="auto"/>
          <w:szCs w:val="21"/>
          <w:highlight w:val="none"/>
        </w:rPr>
      </w:pPr>
      <w:bookmarkStart w:id="157" w:name="_Toc396115156"/>
      <w:r>
        <w:rPr>
          <w:rFonts w:hint="eastAsia" w:ascii="宋体" w:hAnsi="宋体" w:cs="宋体"/>
          <w:color w:val="auto"/>
          <w:szCs w:val="21"/>
          <w:highlight w:val="none"/>
        </w:rPr>
        <w:t>（3）主持人宣布评标期间的有关事项，告知应当回避的情形,提请有关人员回避；</w:t>
      </w:r>
      <w:bookmarkEnd w:id="157"/>
    </w:p>
    <w:p>
      <w:pPr>
        <w:spacing w:line="360" w:lineRule="auto"/>
        <w:ind w:firstLine="420" w:firstLineChars="200"/>
        <w:rPr>
          <w:rFonts w:hint="eastAsia" w:ascii="宋体" w:hAnsi="宋体" w:cs="宋体"/>
          <w:color w:val="auto"/>
          <w:szCs w:val="21"/>
          <w:highlight w:val="none"/>
        </w:rPr>
      </w:pPr>
      <w:bookmarkStart w:id="158" w:name="_Toc396115157"/>
      <w:r>
        <w:rPr>
          <w:rFonts w:hint="eastAsia" w:ascii="宋体" w:hAnsi="宋体" w:cs="宋体"/>
          <w:color w:val="auto"/>
          <w:szCs w:val="21"/>
          <w:highlight w:val="none"/>
        </w:rPr>
        <w:t>（4）由供应商或其当场推荐的代表检查资格文件、商务技术文件密封的完整性；</w:t>
      </w:r>
      <w:bookmarkEnd w:id="158"/>
      <w:bookmarkStart w:id="159" w:name="_Toc396115158"/>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（5）按各供应商提交投标文件时间的先后顺序打开投标文件的资格文件、商务技术文件外包装，清点投标文件正本、副本数量</w:t>
      </w:r>
      <w:bookmarkEnd w:id="159"/>
      <w:r>
        <w:rPr>
          <w:rFonts w:hint="eastAsia" w:ascii="宋体" w:hAnsi="宋体" w:cs="宋体"/>
          <w:color w:val="auto"/>
          <w:szCs w:val="21"/>
          <w:highlight w:val="none"/>
        </w:rPr>
        <w:t>，并做开标记录；</w:t>
      </w:r>
    </w:p>
    <w:p>
      <w:pPr>
        <w:spacing w:line="360" w:lineRule="auto"/>
        <w:ind w:firstLine="420" w:firstLineChars="200"/>
        <w:rPr>
          <w:rFonts w:hint="eastAsia" w:ascii="宋体" w:hAnsi="宋体" w:cs="宋体"/>
          <w:color w:val="auto"/>
          <w:szCs w:val="21"/>
          <w:highlight w:val="none"/>
        </w:rPr>
      </w:pPr>
      <w:bookmarkStart w:id="160" w:name="_Toc396115159"/>
      <w:r>
        <w:rPr>
          <w:rFonts w:hint="eastAsia" w:ascii="宋体" w:hAnsi="宋体" w:cs="宋体"/>
          <w:color w:val="auto"/>
          <w:szCs w:val="21"/>
          <w:highlight w:val="none"/>
        </w:rPr>
        <w:t>第二阶段：</w:t>
      </w:r>
    </w:p>
    <w:bookmarkEnd w:id="160"/>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（1）由主持人公布第一阶段评审无效供应商名单及理由；</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（2）公布经第一阶段评审符合采购文件要求的供应商的商务技术得分情况；</w:t>
      </w:r>
    </w:p>
    <w:p>
      <w:pPr>
        <w:spacing w:line="360" w:lineRule="auto"/>
        <w:ind w:firstLine="420" w:firstLineChars="200"/>
        <w:rPr>
          <w:rFonts w:hint="eastAsia" w:ascii="宋体" w:hAnsi="宋体" w:cs="宋体"/>
          <w:color w:val="auto"/>
          <w:szCs w:val="21"/>
          <w:highlight w:val="none"/>
        </w:rPr>
      </w:pPr>
      <w:bookmarkStart w:id="161" w:name="_Toc396115160"/>
      <w:r>
        <w:rPr>
          <w:rFonts w:hint="eastAsia" w:ascii="宋体" w:hAnsi="宋体" w:cs="宋体"/>
          <w:color w:val="auto"/>
          <w:szCs w:val="21"/>
          <w:highlight w:val="none"/>
        </w:rPr>
        <w:t>（3）由供应商或其当场推荐的代表检查报价文件密封的完整性；</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color w:val="auto"/>
          <w:szCs w:val="21"/>
          <w:highlight w:val="none"/>
        </w:rPr>
        <w:t>再按先后顺序开启投标文件的报价文件</w:t>
      </w:r>
      <w:r>
        <w:rPr>
          <w:rFonts w:hint="eastAsia"/>
          <w:b/>
          <w:bCs/>
          <w:color w:val="auto"/>
          <w:highlight w:val="none"/>
        </w:rPr>
        <w:t>。</w:t>
      </w:r>
      <w:r>
        <w:rPr>
          <w:rFonts w:hint="eastAsia" w:ascii="宋体" w:hAnsi="宋体" w:cs="宋体"/>
          <w:color w:val="auto"/>
          <w:szCs w:val="21"/>
          <w:highlight w:val="none"/>
        </w:rPr>
        <w:t>由主持人宣读《开标一览表》中的供应商名称及在其投标文件中承诺的投标报价、交货期（服务期限）等投标内容，以及采购代理机构认为有必要宣读的其他内容；</w:t>
      </w:r>
      <w:bookmarkEnd w:id="161"/>
    </w:p>
    <w:p>
      <w:pPr>
        <w:spacing w:line="360" w:lineRule="auto"/>
        <w:ind w:firstLine="420" w:firstLineChars="200"/>
        <w:rPr>
          <w:rFonts w:hint="eastAsia" w:ascii="宋体" w:hAnsi="宋体" w:cs="宋体"/>
          <w:color w:val="auto"/>
          <w:szCs w:val="21"/>
          <w:highlight w:val="none"/>
        </w:rPr>
      </w:pPr>
      <w:bookmarkStart w:id="162" w:name="_Toc396115161"/>
      <w:r>
        <w:rPr>
          <w:rFonts w:hint="eastAsia" w:ascii="宋体" w:hAnsi="宋体" w:cs="宋体"/>
          <w:color w:val="auto"/>
          <w:szCs w:val="21"/>
          <w:highlight w:val="none"/>
        </w:rPr>
        <w:t>（5）采购代理机构做开标记录, 同时由记录人、监督人当场签字确认；</w:t>
      </w:r>
      <w:bookmarkEnd w:id="162"/>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（6）主持人公布评审结果。</w:t>
      </w:r>
    </w:p>
    <w:p>
      <w:pPr>
        <w:spacing w:line="360" w:lineRule="auto"/>
        <w:ind w:firstLine="420" w:firstLineChars="200"/>
        <w:rPr>
          <w:rFonts w:hint="eastAsia" w:ascii="宋体" w:hAnsi="宋体" w:cs="宋体"/>
          <w:color w:val="auto"/>
          <w:szCs w:val="21"/>
          <w:highlight w:val="none"/>
        </w:rPr>
      </w:pPr>
      <w:bookmarkStart w:id="163" w:name="_Toc396115163"/>
      <w:r>
        <w:rPr>
          <w:rFonts w:hint="eastAsia" w:ascii="宋体" w:hAnsi="宋体" w:cs="宋体"/>
          <w:color w:val="auto"/>
          <w:szCs w:val="21"/>
          <w:highlight w:val="none"/>
        </w:rPr>
        <w:t>（7）开标会议结束。</w:t>
      </w:r>
      <w:bookmarkEnd w:id="163"/>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3、特别说明：政府采购云平台如对电子化开标及评审程序有调整的，按调整后的程序操作。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本项目原则上采用政采云</w:t>
      </w:r>
      <w:r>
        <w:rPr>
          <w:rFonts w:hint="eastAsia" w:ascii="宋体" w:hAnsi="宋体" w:cs="宋体"/>
          <w:bCs/>
          <w:color w:val="auto"/>
          <w:szCs w:val="21"/>
          <w:highlight w:val="none"/>
          <w:lang w:bidi="ar"/>
        </w:rPr>
        <w:t>电子招投标开标程序</w:t>
      </w:r>
      <w:r>
        <w:rPr>
          <w:rFonts w:hint="eastAsia" w:ascii="宋体" w:hAnsi="宋体" w:cs="宋体"/>
          <w:color w:val="auto"/>
          <w:szCs w:val="21"/>
          <w:highlight w:val="none"/>
        </w:rPr>
        <w:t>，但有下情形之一的，按以下情况处理：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（1）若有供应商在规定时间内无法解密或解密失败，代理机构将开启该供应商递交的以U盘存储的电子备份投标文件，上传至政采云平台项目采购模块，以完成开标，电子投标文件自动失效。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（2）若因政府采购云平台原因无法读取或电子开评标无法正常进行，代理机构将开启所有供应商递交的纸质备份投标文件，以完成开标，电子投标文件及以U盘存储的电子备份投标文件自动失效。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（3）采购过程中出现以下情形，导致电子交易平台无法正常运行，或者无法保证电子交易的公平、公正和安全时，采购人（或代理机构）可中止电子交易活动：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3.1电子交易平台发生故障而无法登录访问的；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3.2电子交易平台应用或数据库出现错误，不能进行正常操作的；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3.3电子交易平台发现严重安全漏洞，有潜在泄密危险的；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3.4病毒发作导致不能进行正常操作的；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3.5其他无法保证电子交易的公平、公正和安全的情况。</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出现前款规定情形，不影响采购公平、公正性的，采购人（或代理机构）可以待上述情形消除后继续组织电子交易活动，也可以决定某些环节以纸质形式进行。</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（4）未开启的备份投标文件现场予以退还。</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三、评标委员会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（一）本次招标依法组建评标委员会。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（三）评审专家有下列情形之一的，受到邀请应主动提出回避，采购当事人也可以要求该评审专家回避：</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1、本人、配偶或直系亲属3年内曾在参加该采购项目的供应商中任职（包括一般工作）或担任顾问，或与参加该采购项目的供应商发生过法律纠纷；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2、任职单位与采购人或参加该采购项目供应商存在行政隶属关系；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3、曾经参加过该采购项目的进口产品或采购文件、采购需求、采购方式的论证和咨询服务工作；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4、是参加该采购项目供应商的上级主管部门、控股或参股单位的工作人员，或与该供应商存在其他经济利益关系；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5、评审委员会成员之间具有配偶、近亲属关系；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6、法律、法规、规章规定应当回避以及其他可能影响公正评审的。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（四）评标委员会判断投标文件的有效性、合格性和响应情况，仅依据供应商所递交一切文件的真实表述，不受与本项目无直接关联的外部信息、传言而影响自身的专业判断。</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评委依法独立评审，并对评审意见承担个人责任。对明显畸高、畸低的评分（其总评分偏离平均分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四、评标方法</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（一）本次采购项目的评标方法为：综合评分法。</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采用综合评分法的，评标结果按评审后得分由高到低顺序推荐1名中标候选人。得分相同的，按投标报价由低到高顺序排列。得分且投标报价相同的并列，则抽签决定。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（三）投标文件的澄清</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1、对于投标文件中含义不明确、同类问题表述不一致或者有明显文字和计算错误的内容，评标委员会应当以书面形式要求供应商作出必要的澄清、说明或者补正。</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的澄清、说明或者补正应当采用书面形式（或扫描件上传政采云平台），并加盖公章，或者由法定代表人或其授权的代表签名或盖章。供应商的澄清、说明或者补正不得超出投标文件的范围或者改变投标文件的实质性内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（四）投标文件错误修正原则</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投标文件如果出现计算或表达上的错误，修正错误的原则如下：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1、投标文件中开标一览表（报价表）内容与投标文件中相应内容不一致的，以开标一览表（报价表）为准；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3、单价金额小数点或者百分比有明显错位的，以开标一览表的总价为准，并修改单价；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同时出现两种以上不一致的，按照前款规定的顺序修正。修正后的报价按照投标文件澄清第二款的规定经供应商确认后产生约束力，供应商不确认的，其投标无效。</w:t>
      </w:r>
    </w:p>
    <w:p>
      <w:pPr>
        <w:spacing w:line="360" w:lineRule="auto"/>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五、评分标准</w:t>
      </w:r>
    </w:p>
    <w:tbl>
      <w:tblPr>
        <w:tblStyle w:val="19"/>
        <w:tblW w:w="100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5"/>
        <w:gridCol w:w="855"/>
        <w:gridCol w:w="81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10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评审内容</w:t>
            </w:r>
          </w:p>
        </w:tc>
        <w:tc>
          <w:tcPr>
            <w:tcW w:w="8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分数</w:t>
            </w:r>
          </w:p>
        </w:tc>
        <w:tc>
          <w:tcPr>
            <w:tcW w:w="81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422" w:firstLineChars="200"/>
              <w:jc w:val="center"/>
              <w:rPr>
                <w:rFonts w:ascii="宋体" w:hAnsi="宋体" w:cs="宋体"/>
                <w:b/>
                <w:bCs/>
                <w:color w:val="auto"/>
                <w:szCs w:val="21"/>
                <w:highlight w:val="none"/>
              </w:rPr>
            </w:pPr>
            <w:r>
              <w:rPr>
                <w:rFonts w:hint="eastAsia" w:ascii="宋体" w:hAnsi="宋体" w:cs="宋体"/>
                <w:b/>
                <w:bCs/>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7" w:hRule="atLeast"/>
          <w:jc w:val="center"/>
        </w:trPr>
        <w:tc>
          <w:tcPr>
            <w:tcW w:w="10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报价分</w:t>
            </w:r>
          </w:p>
        </w:tc>
        <w:tc>
          <w:tcPr>
            <w:tcW w:w="8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10分</w:t>
            </w:r>
          </w:p>
        </w:tc>
        <w:tc>
          <w:tcPr>
            <w:tcW w:w="81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olor w:val="auto"/>
                <w:szCs w:val="21"/>
                <w:highlight w:val="none"/>
              </w:rPr>
            </w:pPr>
            <w:r>
              <w:rPr>
                <w:rFonts w:hint="eastAsia" w:ascii="宋体" w:hAnsi="宋体"/>
                <w:color w:val="auto"/>
                <w:szCs w:val="21"/>
                <w:highlight w:val="none"/>
              </w:rPr>
              <w:t>参与评审的价格=投标报价-小微企业价格扣除优惠值（6%）；</w:t>
            </w:r>
          </w:p>
          <w:p>
            <w:pPr>
              <w:spacing w:line="320" w:lineRule="exact"/>
              <w:rPr>
                <w:rFonts w:ascii="宋体" w:hAnsi="宋体"/>
                <w:color w:val="auto"/>
                <w:szCs w:val="21"/>
                <w:highlight w:val="none"/>
              </w:rPr>
            </w:pPr>
            <w:r>
              <w:rPr>
                <w:rFonts w:hint="eastAsia" w:ascii="宋体" w:hAnsi="宋体"/>
                <w:color w:val="auto"/>
                <w:szCs w:val="21"/>
                <w:highlight w:val="none"/>
              </w:rPr>
              <w:t>评标基准价=满足招标文件要求且最低的参与评审的价格；</w:t>
            </w:r>
          </w:p>
          <w:p>
            <w:pPr>
              <w:spacing w:line="320" w:lineRule="exact"/>
              <w:rPr>
                <w:rFonts w:ascii="宋体" w:hAnsi="宋体"/>
                <w:color w:val="auto"/>
                <w:szCs w:val="21"/>
                <w:highlight w:val="none"/>
              </w:rPr>
            </w:pPr>
            <w:r>
              <w:rPr>
                <w:rFonts w:hint="eastAsia" w:ascii="宋体" w:hAnsi="宋体"/>
                <w:color w:val="auto"/>
                <w:szCs w:val="21"/>
                <w:highlight w:val="none"/>
              </w:rPr>
              <w:t>基准价得分为满分。</w:t>
            </w:r>
          </w:p>
          <w:p>
            <w:pPr>
              <w:spacing w:line="320" w:lineRule="exact"/>
              <w:rPr>
                <w:rFonts w:ascii="宋体" w:hAnsi="宋体"/>
                <w:color w:val="auto"/>
                <w:szCs w:val="21"/>
                <w:highlight w:val="none"/>
              </w:rPr>
            </w:pPr>
            <w:r>
              <w:rPr>
                <w:rFonts w:hint="eastAsia" w:ascii="宋体" w:hAnsi="宋体"/>
                <w:color w:val="auto"/>
                <w:szCs w:val="21"/>
                <w:highlight w:val="none"/>
              </w:rPr>
              <w:t>投标报价得分=(评标基准价/参与评审的价格)×10；</w:t>
            </w:r>
          </w:p>
          <w:p>
            <w:pPr>
              <w:autoSpaceDE w:val="0"/>
              <w:autoSpaceDN w:val="0"/>
              <w:adjustRightInd w:val="0"/>
              <w:spacing w:line="320" w:lineRule="exact"/>
              <w:rPr>
                <w:color w:val="auto"/>
                <w:highlight w:val="none"/>
              </w:rPr>
            </w:pPr>
            <w:r>
              <w:rPr>
                <w:rFonts w:hint="eastAsia" w:ascii="宋体" w:hAnsi="宋体"/>
                <w:color w:val="auto"/>
                <w:szCs w:val="21"/>
                <w:highlight w:val="none"/>
              </w:rPr>
              <w:t>投标报价得分以四舍五入保留小数点后一位。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6" w:hRule="atLeast"/>
          <w:jc w:val="center"/>
        </w:trPr>
        <w:tc>
          <w:tcPr>
            <w:tcW w:w="10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color w:val="auto"/>
                <w:highlight w:val="none"/>
              </w:rPr>
            </w:pPr>
            <w:r>
              <w:rPr>
                <w:rFonts w:hint="eastAsia" w:ascii="宋体" w:hAnsi="宋体" w:cs="宋体"/>
                <w:color w:val="auto"/>
                <w:highlight w:val="none"/>
              </w:rPr>
              <w:t>管理体系</w:t>
            </w:r>
          </w:p>
          <w:p>
            <w:pPr>
              <w:spacing w:line="320" w:lineRule="exact"/>
              <w:jc w:val="center"/>
              <w:rPr>
                <w:rFonts w:hint="eastAsia" w:ascii="宋体" w:hAnsi="宋体" w:cs="宋体"/>
                <w:color w:val="auto"/>
                <w:highlight w:val="none"/>
              </w:rPr>
            </w:pPr>
            <w:r>
              <w:rPr>
                <w:rFonts w:hint="eastAsia" w:ascii="宋体" w:hAnsi="宋体" w:cs="宋体"/>
                <w:color w:val="auto"/>
                <w:highlight w:val="none"/>
              </w:rPr>
              <w:t>认证</w:t>
            </w:r>
          </w:p>
        </w:tc>
        <w:tc>
          <w:tcPr>
            <w:tcW w:w="8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分</w:t>
            </w:r>
          </w:p>
        </w:tc>
        <w:tc>
          <w:tcPr>
            <w:tcW w:w="81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rPr>
                <w:rFonts w:hint="eastAsia" w:ascii="宋体" w:hAnsi="宋体" w:cs="宋体"/>
                <w:color w:val="auto"/>
                <w:szCs w:val="21"/>
                <w:highlight w:val="none"/>
              </w:rPr>
            </w:pPr>
            <w:r>
              <w:rPr>
                <w:rFonts w:hint="eastAsia" w:ascii="宋体" w:hAnsi="宋体"/>
                <w:color w:val="auto"/>
                <w:highlight w:val="none"/>
              </w:rPr>
              <w:t>投标人具有</w:t>
            </w:r>
            <w:r>
              <w:rPr>
                <w:rFonts w:ascii="宋体" w:hAnsi="宋体"/>
                <w:color w:val="auto"/>
                <w:highlight w:val="none"/>
              </w:rPr>
              <w:t>IS0</w:t>
            </w:r>
            <w:r>
              <w:rPr>
                <w:rFonts w:hint="eastAsia" w:ascii="宋体" w:hAnsi="宋体"/>
                <w:color w:val="auto"/>
                <w:highlight w:val="none"/>
              </w:rPr>
              <w:t>质量管理体系认证、职业健康安全管理体系认证、</w:t>
            </w:r>
            <w:r>
              <w:rPr>
                <w:rFonts w:hint="eastAsia" w:ascii="宋体" w:hAnsi="宋体" w:cs="宋体"/>
                <w:color w:val="auto"/>
                <w:szCs w:val="21"/>
                <w:highlight w:val="none"/>
              </w:rPr>
              <w:t>环境管理体系认证</w:t>
            </w:r>
            <w:r>
              <w:rPr>
                <w:rFonts w:hint="eastAsia" w:ascii="宋体" w:hAnsi="宋体"/>
                <w:color w:val="auto"/>
                <w:highlight w:val="none"/>
              </w:rPr>
              <w:t>证书的每个得1分，提供相应原件及复印件，按提供的材料评分。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6" w:hRule="atLeast"/>
          <w:jc w:val="center"/>
        </w:trPr>
        <w:tc>
          <w:tcPr>
            <w:tcW w:w="10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color w:val="auto"/>
                <w:highlight w:val="none"/>
              </w:rPr>
            </w:pPr>
            <w:r>
              <w:rPr>
                <w:rFonts w:hint="eastAsia" w:ascii="宋体" w:hAnsi="宋体" w:cs="宋体"/>
                <w:color w:val="auto"/>
                <w:highlight w:val="none"/>
              </w:rPr>
              <w:t>荣誉</w:t>
            </w:r>
          </w:p>
        </w:tc>
        <w:tc>
          <w:tcPr>
            <w:tcW w:w="8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分</w:t>
            </w:r>
          </w:p>
        </w:tc>
        <w:tc>
          <w:tcPr>
            <w:tcW w:w="81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rPr>
                <w:rFonts w:hint="eastAsia" w:ascii="宋体" w:hAnsi="宋体"/>
                <w:color w:val="auto"/>
                <w:highlight w:val="none"/>
              </w:rPr>
            </w:pPr>
            <w:r>
              <w:rPr>
                <w:rFonts w:hint="eastAsia" w:ascii="宋体" w:hAnsi="宋体"/>
                <w:color w:val="auto"/>
                <w:highlight w:val="none"/>
              </w:rPr>
              <w:t>自201</w:t>
            </w:r>
            <w:r>
              <w:rPr>
                <w:rFonts w:ascii="宋体" w:hAnsi="宋体"/>
                <w:color w:val="auto"/>
                <w:highlight w:val="none"/>
              </w:rPr>
              <w:t>8</w:t>
            </w:r>
            <w:r>
              <w:rPr>
                <w:rFonts w:hint="eastAsia" w:ascii="宋体" w:hAnsi="宋体"/>
                <w:color w:val="auto"/>
                <w:highlight w:val="none"/>
              </w:rPr>
              <w:t>年1月1日以来投标单位获得省级及以上优秀保安服务公司荣誉的得</w:t>
            </w:r>
            <w:r>
              <w:rPr>
                <w:rFonts w:ascii="宋体" w:hAnsi="宋体"/>
                <w:color w:val="auto"/>
                <w:highlight w:val="none"/>
              </w:rPr>
              <w:t>3</w:t>
            </w:r>
            <w:r>
              <w:rPr>
                <w:rFonts w:hint="eastAsia" w:ascii="宋体" w:hAnsi="宋体"/>
                <w:color w:val="auto"/>
                <w:highlight w:val="none"/>
              </w:rPr>
              <w:t>分，获得市级优秀保安服务公司荣誉的得1分。不重复计分，以最高级荣誉称号为准。</w:t>
            </w:r>
          </w:p>
          <w:p>
            <w:pPr>
              <w:autoSpaceDE w:val="0"/>
              <w:autoSpaceDN w:val="0"/>
              <w:adjustRightInd w:val="0"/>
              <w:spacing w:line="320" w:lineRule="exact"/>
              <w:rPr>
                <w:rFonts w:hint="eastAsia" w:ascii="宋体" w:hAnsi="宋体"/>
                <w:color w:val="auto"/>
                <w:highlight w:val="none"/>
              </w:rPr>
            </w:pPr>
            <w:r>
              <w:rPr>
                <w:rFonts w:hint="eastAsia" w:ascii="宋体" w:hAnsi="宋体"/>
                <w:color w:val="auto"/>
                <w:highlight w:val="none"/>
              </w:rPr>
              <w:t>（</w:t>
            </w:r>
            <w:r>
              <w:rPr>
                <w:rFonts w:hint="eastAsia" w:ascii="宋体" w:hAnsi="宋体"/>
                <w:color w:val="auto"/>
                <w:szCs w:val="21"/>
                <w:highlight w:val="none"/>
              </w:rPr>
              <w:t>投标文件中提供复印件证明材料，开标时携带原件备查。</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10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color w:val="auto"/>
                <w:szCs w:val="21"/>
                <w:highlight w:val="none"/>
              </w:rPr>
            </w:pPr>
            <w:r>
              <w:rPr>
                <w:rFonts w:hint="eastAsia" w:ascii="宋体" w:hAnsi="宋体" w:cs="宋体"/>
                <w:color w:val="auto"/>
                <w:highlight w:val="none"/>
              </w:rPr>
              <w:t>业绩</w:t>
            </w:r>
          </w:p>
        </w:tc>
        <w:tc>
          <w:tcPr>
            <w:tcW w:w="8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auto"/>
                <w:szCs w:val="21"/>
                <w:highlight w:val="none"/>
              </w:rPr>
            </w:pPr>
            <w:r>
              <w:rPr>
                <w:rFonts w:hint="eastAsia" w:ascii="宋体" w:hAnsi="宋体" w:cs="宋体"/>
                <w:color w:val="auto"/>
                <w:highlight w:val="none"/>
              </w:rPr>
              <w:t>3分</w:t>
            </w:r>
          </w:p>
        </w:tc>
        <w:tc>
          <w:tcPr>
            <w:tcW w:w="81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color w:val="auto"/>
                <w:szCs w:val="21"/>
                <w:highlight w:val="none"/>
              </w:rPr>
            </w:pPr>
            <w:r>
              <w:rPr>
                <w:rFonts w:hint="eastAsia" w:ascii="宋体" w:hAnsi="宋体"/>
                <w:color w:val="auto"/>
                <w:highlight w:val="none"/>
              </w:rPr>
              <w:t>自</w:t>
            </w:r>
            <w:r>
              <w:rPr>
                <w:rFonts w:ascii="宋体" w:hAnsi="宋体"/>
                <w:color w:val="auto"/>
                <w:highlight w:val="none"/>
              </w:rPr>
              <w:t>2018</w:t>
            </w:r>
            <w:r>
              <w:rPr>
                <w:rFonts w:hint="eastAsia" w:ascii="宋体" w:hAnsi="宋体"/>
                <w:color w:val="auto"/>
                <w:highlight w:val="none"/>
              </w:rPr>
              <w:t>年</w:t>
            </w:r>
            <w:r>
              <w:rPr>
                <w:rFonts w:ascii="宋体" w:hAnsi="宋体"/>
                <w:color w:val="auto"/>
                <w:highlight w:val="none"/>
              </w:rPr>
              <w:t>1</w:t>
            </w:r>
            <w:r>
              <w:rPr>
                <w:rFonts w:hint="eastAsia" w:ascii="宋体" w:hAnsi="宋体"/>
                <w:color w:val="auto"/>
                <w:highlight w:val="none"/>
              </w:rPr>
              <w:t>月</w:t>
            </w:r>
            <w:r>
              <w:rPr>
                <w:rFonts w:ascii="宋体" w:hAnsi="宋体"/>
                <w:color w:val="auto"/>
                <w:highlight w:val="none"/>
              </w:rPr>
              <w:t>1</w:t>
            </w:r>
            <w:r>
              <w:rPr>
                <w:rFonts w:hint="eastAsia" w:ascii="宋体" w:hAnsi="宋体"/>
                <w:color w:val="auto"/>
                <w:highlight w:val="none"/>
              </w:rPr>
              <w:t>日以来（以合同签订时间为准）独立承担过校园安保项目业绩的每个得</w:t>
            </w:r>
            <w:r>
              <w:rPr>
                <w:rFonts w:ascii="宋体" w:hAnsi="宋体"/>
                <w:color w:val="auto"/>
                <w:highlight w:val="none"/>
              </w:rPr>
              <w:t>0.6</w:t>
            </w:r>
            <w:r>
              <w:rPr>
                <w:rFonts w:hint="eastAsia" w:ascii="宋体" w:hAnsi="宋体"/>
                <w:color w:val="auto"/>
                <w:highlight w:val="none"/>
              </w:rPr>
              <w:t>分，最高得3分。</w:t>
            </w:r>
            <w:r>
              <w:rPr>
                <w:rFonts w:hint="eastAsia" w:ascii="宋体" w:hAnsi="宋体"/>
                <w:color w:val="auto"/>
                <w:szCs w:val="21"/>
                <w:highlight w:val="none"/>
              </w:rPr>
              <w:t>（投标文件中提供合同复印件、中标通知书复印件，不提供的不得分，开标时携带原件备查。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9" w:hRule="atLeast"/>
          <w:jc w:val="center"/>
        </w:trPr>
        <w:tc>
          <w:tcPr>
            <w:tcW w:w="10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客户评价</w:t>
            </w:r>
          </w:p>
        </w:tc>
        <w:tc>
          <w:tcPr>
            <w:tcW w:w="8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3分</w:t>
            </w:r>
          </w:p>
        </w:tc>
        <w:tc>
          <w:tcPr>
            <w:tcW w:w="81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olor w:val="auto"/>
                <w:highlight w:val="none"/>
              </w:rPr>
            </w:pPr>
            <w:r>
              <w:rPr>
                <w:rFonts w:hint="eastAsia" w:ascii="宋体" w:hAnsi="宋体"/>
                <w:color w:val="auto"/>
                <w:highlight w:val="none"/>
              </w:rPr>
              <w:t>自201</w:t>
            </w:r>
            <w:r>
              <w:rPr>
                <w:rFonts w:ascii="宋体" w:hAnsi="宋体"/>
                <w:color w:val="auto"/>
                <w:highlight w:val="none"/>
              </w:rPr>
              <w:t>8</w:t>
            </w:r>
            <w:r>
              <w:rPr>
                <w:rFonts w:hint="eastAsia" w:ascii="宋体" w:hAnsi="宋体"/>
                <w:color w:val="auto"/>
                <w:highlight w:val="none"/>
              </w:rPr>
              <w:t>年1月1日以来（以合同签订时间为准）承担过校园安保项目受到客户良好评价证明资料的每个得</w:t>
            </w:r>
            <w:r>
              <w:rPr>
                <w:rFonts w:ascii="宋体" w:hAnsi="宋体"/>
                <w:color w:val="auto"/>
                <w:highlight w:val="none"/>
              </w:rPr>
              <w:t>0.6</w:t>
            </w:r>
            <w:r>
              <w:rPr>
                <w:rFonts w:hint="eastAsia" w:ascii="宋体" w:hAnsi="宋体"/>
                <w:color w:val="auto"/>
                <w:highlight w:val="none"/>
              </w:rPr>
              <w:t>分，最高得</w:t>
            </w:r>
            <w:r>
              <w:rPr>
                <w:rFonts w:ascii="宋体" w:hAnsi="宋体"/>
                <w:color w:val="auto"/>
                <w:highlight w:val="none"/>
              </w:rPr>
              <w:t>3</w:t>
            </w:r>
            <w:r>
              <w:rPr>
                <w:rFonts w:hint="eastAsia" w:ascii="宋体" w:hAnsi="宋体"/>
                <w:color w:val="auto"/>
                <w:highlight w:val="none"/>
              </w:rPr>
              <w:t>分。</w:t>
            </w:r>
          </w:p>
          <w:p>
            <w:pPr>
              <w:spacing w:line="320" w:lineRule="exact"/>
              <w:rPr>
                <w:rFonts w:hint="eastAsia" w:ascii="宋体" w:hAnsi="宋体" w:cs="宋体"/>
                <w:color w:val="auto"/>
                <w:szCs w:val="21"/>
                <w:highlight w:val="none"/>
              </w:rPr>
            </w:pPr>
            <w:r>
              <w:rPr>
                <w:rFonts w:hint="eastAsia" w:ascii="宋体" w:hAnsi="宋体"/>
                <w:color w:val="auto"/>
                <w:szCs w:val="21"/>
                <w:highlight w:val="none"/>
              </w:rPr>
              <w:t>（类似</w:t>
            </w:r>
            <w:r>
              <w:rPr>
                <w:rFonts w:hint="eastAsia" w:ascii="宋体" w:hAnsi="宋体"/>
                <w:color w:val="auto"/>
                <w:spacing w:val="-4"/>
                <w:szCs w:val="21"/>
                <w:highlight w:val="none"/>
              </w:rPr>
              <w:t>项目客户评价良好证明资料复印件、</w:t>
            </w:r>
            <w:r>
              <w:rPr>
                <w:rFonts w:hint="eastAsia" w:ascii="宋体" w:hAnsi="宋体"/>
                <w:color w:val="auto"/>
                <w:szCs w:val="21"/>
                <w:highlight w:val="none"/>
              </w:rPr>
              <w:t>合同复印件、中标通知书复印件，不提供的不得分，开标时携带原件备查（发票原件除外）。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085"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auto"/>
                <w:highlight w:val="none"/>
              </w:rPr>
            </w:pPr>
            <w:r>
              <w:rPr>
                <w:rFonts w:hint="eastAsia" w:ascii="宋体" w:hAnsi="宋体" w:cs="宋体"/>
                <w:color w:val="auto"/>
                <w:highlight w:val="none"/>
              </w:rPr>
              <w:t>项目</w:t>
            </w:r>
          </w:p>
          <w:p>
            <w:pPr>
              <w:autoSpaceDE w:val="0"/>
              <w:autoSpaceDN w:val="0"/>
              <w:adjustRightInd w:val="0"/>
              <w:spacing w:line="320" w:lineRule="exact"/>
              <w:jc w:val="center"/>
              <w:rPr>
                <w:rFonts w:hint="eastAsia" w:ascii="宋体" w:hAnsi="宋体" w:cs="宋体"/>
                <w:color w:val="auto"/>
                <w:szCs w:val="21"/>
                <w:highlight w:val="none"/>
              </w:rPr>
            </w:pPr>
            <w:r>
              <w:rPr>
                <w:rFonts w:hint="eastAsia" w:ascii="宋体" w:hAnsi="宋体" w:cs="宋体"/>
                <w:color w:val="auto"/>
                <w:highlight w:val="none"/>
              </w:rPr>
              <w:t>负责人</w:t>
            </w:r>
          </w:p>
        </w:tc>
        <w:tc>
          <w:tcPr>
            <w:tcW w:w="855"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6分</w:t>
            </w:r>
          </w:p>
        </w:tc>
        <w:tc>
          <w:tcPr>
            <w:tcW w:w="81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olor w:val="auto"/>
                <w:szCs w:val="21"/>
                <w:highlight w:val="none"/>
              </w:rPr>
            </w:pPr>
            <w:r>
              <w:rPr>
                <w:rFonts w:hint="eastAsia" w:ascii="宋体" w:hAnsi="宋体"/>
                <w:color w:val="auto"/>
                <w:szCs w:val="21"/>
                <w:highlight w:val="none"/>
              </w:rPr>
              <w:t>拟派本项目负责人具有一级/高级技师保安员资格证书的得</w:t>
            </w:r>
            <w:r>
              <w:rPr>
                <w:rFonts w:ascii="宋体" w:hAnsi="宋体"/>
                <w:color w:val="auto"/>
                <w:szCs w:val="21"/>
                <w:highlight w:val="none"/>
              </w:rPr>
              <w:t>2</w:t>
            </w:r>
            <w:r>
              <w:rPr>
                <w:rFonts w:hint="eastAsia" w:ascii="宋体" w:hAnsi="宋体"/>
                <w:color w:val="auto"/>
                <w:szCs w:val="21"/>
                <w:highlight w:val="none"/>
              </w:rPr>
              <w:t>分，具有二级/技师保安员资格证书的得</w:t>
            </w:r>
            <w:r>
              <w:rPr>
                <w:rFonts w:ascii="宋体" w:hAnsi="宋体"/>
                <w:color w:val="auto"/>
                <w:szCs w:val="21"/>
                <w:highlight w:val="none"/>
              </w:rPr>
              <w:t>1</w:t>
            </w:r>
            <w:r>
              <w:rPr>
                <w:rFonts w:hint="eastAsia" w:ascii="宋体" w:hAnsi="宋体"/>
                <w:color w:val="auto"/>
                <w:szCs w:val="21"/>
                <w:highlight w:val="none"/>
              </w:rPr>
              <w:t>分，具有建（构）筑物消防员五级及以上资格证书的得1分，最高得3分。（人员证书复印件及社保证明复印件加盖公章编制入投标文件，开标时携带原件备查。）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1085"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auto"/>
                <w:highlight w:val="none"/>
              </w:rPr>
            </w:pPr>
          </w:p>
        </w:tc>
        <w:tc>
          <w:tcPr>
            <w:tcW w:w="855" w:type="dxa"/>
            <w:vMerge w:val="continue"/>
            <w:tcBorders>
              <w:top w:val="single" w:color="auto" w:sz="4" w:space="0"/>
              <w:left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auto"/>
                <w:szCs w:val="21"/>
                <w:highlight w:val="none"/>
              </w:rPr>
            </w:pPr>
          </w:p>
        </w:tc>
        <w:tc>
          <w:tcPr>
            <w:tcW w:w="81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rPr>
                <w:rFonts w:hint="eastAsia" w:ascii="宋体" w:hAnsi="宋体"/>
                <w:color w:val="auto"/>
                <w:highlight w:val="none"/>
              </w:rPr>
            </w:pPr>
            <w:r>
              <w:rPr>
                <w:rFonts w:hint="eastAsia" w:ascii="宋体" w:hAnsi="宋体"/>
                <w:color w:val="auto"/>
                <w:highlight w:val="none"/>
              </w:rPr>
              <w:t>拟派本项目负责人具有校园安保管理工作经验（公司缴纳社保证明及开标前1年内学校证明为准）得3分（</w:t>
            </w:r>
            <w:r>
              <w:rPr>
                <w:rFonts w:hint="eastAsia" w:ascii="宋体" w:hAnsi="宋体"/>
                <w:color w:val="auto"/>
                <w:szCs w:val="21"/>
                <w:highlight w:val="none"/>
              </w:rPr>
              <w:t>投标文件中提供相应证明复印件，开标时携带原件备查。</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085"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auto"/>
                <w:highlight w:val="none"/>
              </w:rPr>
            </w:pPr>
            <w:r>
              <w:rPr>
                <w:rFonts w:hint="eastAsia" w:ascii="宋体" w:hAnsi="宋体" w:cs="宋体"/>
                <w:color w:val="auto"/>
                <w:highlight w:val="none"/>
              </w:rPr>
              <w:t>人员</w:t>
            </w:r>
          </w:p>
          <w:p>
            <w:pPr>
              <w:autoSpaceDE w:val="0"/>
              <w:autoSpaceDN w:val="0"/>
              <w:adjustRightInd w:val="0"/>
              <w:spacing w:line="320" w:lineRule="exact"/>
              <w:jc w:val="center"/>
              <w:rPr>
                <w:rFonts w:hint="eastAsia" w:ascii="宋体" w:hAnsi="宋体" w:cs="宋体"/>
                <w:color w:val="auto"/>
                <w:szCs w:val="21"/>
                <w:highlight w:val="none"/>
              </w:rPr>
            </w:pPr>
            <w:r>
              <w:rPr>
                <w:rFonts w:hint="eastAsia" w:ascii="宋体" w:hAnsi="宋体" w:cs="宋体"/>
                <w:color w:val="auto"/>
                <w:highlight w:val="none"/>
              </w:rPr>
              <w:t>配置方案</w:t>
            </w:r>
          </w:p>
        </w:tc>
        <w:tc>
          <w:tcPr>
            <w:tcW w:w="855"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auto"/>
                <w:szCs w:val="21"/>
                <w:highlight w:val="none"/>
              </w:rPr>
            </w:pPr>
            <w:r>
              <w:rPr>
                <w:rFonts w:hint="eastAsia" w:ascii="宋体" w:hAnsi="宋体" w:cs="宋体"/>
                <w:color w:val="auto"/>
                <w:highlight w:val="none"/>
              </w:rPr>
              <w:t>17分</w:t>
            </w:r>
          </w:p>
        </w:tc>
        <w:tc>
          <w:tcPr>
            <w:tcW w:w="81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rPr>
                <w:rFonts w:hint="eastAsia" w:ascii="宋体" w:hAnsi="宋体" w:cs="宋体"/>
                <w:color w:val="auto"/>
                <w:szCs w:val="21"/>
                <w:highlight w:val="none"/>
              </w:rPr>
            </w:pPr>
            <w:r>
              <w:rPr>
                <w:rFonts w:hint="eastAsia" w:ascii="宋体" w:hAnsi="宋体"/>
                <w:color w:val="auto"/>
                <w:highlight w:val="none"/>
              </w:rPr>
              <w:t>评委根据投标人针对本项目各校安保服务拟投入人员情况，包括人员数量、人员年龄、人员素质等进行综合评议</w:t>
            </w:r>
            <w:r>
              <w:rPr>
                <w:rFonts w:hint="eastAsia" w:ascii="宋体" w:hAnsi="宋体"/>
                <w:color w:val="auto"/>
                <w:highlight w:val="none"/>
                <w:lang w:eastAsia="zh-CN"/>
              </w:rPr>
              <w:t>：</w:t>
            </w:r>
            <w:r>
              <w:rPr>
                <w:rFonts w:hint="eastAsia" w:ascii="宋体" w:hAnsi="宋体"/>
                <w:color w:val="auto"/>
                <w:highlight w:val="none"/>
                <w:lang w:val="en-US" w:eastAsia="zh-CN"/>
              </w:rPr>
              <w:t>优得【4-6】分；良得【2-4）分；一般得【</w:t>
            </w:r>
            <w:r>
              <w:rPr>
                <w:rFonts w:hint="eastAsia" w:ascii="宋体" w:hAnsi="宋体"/>
                <w:color w:val="auto"/>
                <w:highlight w:val="none"/>
              </w:rPr>
              <w:t>0-</w:t>
            </w:r>
            <w:r>
              <w:rPr>
                <w:rFonts w:hint="eastAsia" w:ascii="宋体" w:hAnsi="宋体"/>
                <w:color w:val="auto"/>
                <w:highlight w:val="none"/>
                <w:lang w:val="en-US" w:eastAsia="zh-CN"/>
              </w:rPr>
              <w:t>2</w:t>
            </w:r>
            <w:r>
              <w:rPr>
                <w:rFonts w:hint="eastAsia" w:ascii="宋体" w:hAnsi="宋体"/>
                <w:color w:val="auto"/>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1085"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auto"/>
                <w:szCs w:val="21"/>
                <w:highlight w:val="none"/>
              </w:rPr>
            </w:pPr>
          </w:p>
        </w:tc>
        <w:tc>
          <w:tcPr>
            <w:tcW w:w="855" w:type="dxa"/>
            <w:vMerge w:val="continue"/>
            <w:tcBorders>
              <w:left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auto"/>
                <w:szCs w:val="21"/>
                <w:highlight w:val="none"/>
              </w:rPr>
            </w:pPr>
          </w:p>
        </w:tc>
        <w:tc>
          <w:tcPr>
            <w:tcW w:w="81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rPr>
                <w:rFonts w:hint="eastAsia" w:ascii="宋体" w:hAnsi="宋体" w:cs="宋体"/>
                <w:color w:val="auto"/>
                <w:szCs w:val="21"/>
                <w:highlight w:val="none"/>
              </w:rPr>
            </w:pPr>
            <w:r>
              <w:rPr>
                <w:rFonts w:hint="eastAsia" w:ascii="宋体" w:hAnsi="宋体"/>
                <w:color w:val="auto"/>
                <w:highlight w:val="none"/>
              </w:rPr>
              <w:t>评委根据投标人针对本项目配置人员的管理方案进行综合评议</w:t>
            </w:r>
            <w:r>
              <w:rPr>
                <w:rFonts w:hint="eastAsia" w:ascii="宋体" w:hAnsi="宋体"/>
                <w:color w:val="auto"/>
                <w:highlight w:val="none"/>
                <w:lang w:eastAsia="zh-CN"/>
              </w:rPr>
              <w:t>：</w:t>
            </w:r>
            <w:r>
              <w:rPr>
                <w:rFonts w:hint="eastAsia" w:ascii="宋体" w:hAnsi="宋体"/>
                <w:color w:val="auto"/>
                <w:highlight w:val="none"/>
                <w:lang w:val="en-US" w:eastAsia="zh-CN"/>
              </w:rPr>
              <w:t>优得【4-6】分；良得【2-4）分；一般得【</w:t>
            </w:r>
            <w:r>
              <w:rPr>
                <w:rFonts w:hint="eastAsia" w:ascii="宋体" w:hAnsi="宋体"/>
                <w:color w:val="auto"/>
                <w:highlight w:val="none"/>
              </w:rPr>
              <w:t>0-</w:t>
            </w:r>
            <w:r>
              <w:rPr>
                <w:rFonts w:hint="eastAsia" w:ascii="宋体" w:hAnsi="宋体"/>
                <w:color w:val="auto"/>
                <w:highlight w:val="none"/>
                <w:lang w:val="en-US" w:eastAsia="zh-CN"/>
              </w:rPr>
              <w:t>2</w:t>
            </w:r>
            <w:r>
              <w:rPr>
                <w:rFonts w:hint="eastAsia" w:ascii="宋体" w:hAnsi="宋体"/>
                <w:color w:val="auto"/>
                <w:highlight w:val="none"/>
              </w:rPr>
              <w:t>分）</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085"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auto"/>
                <w:szCs w:val="21"/>
                <w:highlight w:val="none"/>
              </w:rPr>
            </w:pPr>
          </w:p>
        </w:tc>
        <w:tc>
          <w:tcPr>
            <w:tcW w:w="855"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auto"/>
                <w:szCs w:val="21"/>
                <w:highlight w:val="none"/>
              </w:rPr>
            </w:pPr>
          </w:p>
        </w:tc>
        <w:tc>
          <w:tcPr>
            <w:tcW w:w="81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rPr>
                <w:rFonts w:hint="eastAsia" w:ascii="宋体" w:hAnsi="宋体" w:cs="宋体"/>
                <w:color w:val="auto"/>
                <w:szCs w:val="21"/>
                <w:highlight w:val="none"/>
              </w:rPr>
            </w:pPr>
            <w:r>
              <w:rPr>
                <w:rFonts w:hint="eastAsia" w:ascii="宋体" w:hAnsi="宋体"/>
                <w:color w:val="auto"/>
                <w:highlight w:val="none"/>
              </w:rPr>
              <w:t>评委根据投标人针对本项目配置人员的培训方案进行综合评议</w:t>
            </w:r>
            <w:r>
              <w:rPr>
                <w:rFonts w:hint="eastAsia" w:ascii="宋体" w:hAnsi="宋体"/>
                <w:color w:val="auto"/>
                <w:highlight w:val="none"/>
                <w:lang w:eastAsia="zh-CN"/>
              </w:rPr>
              <w:t>：</w:t>
            </w:r>
            <w:r>
              <w:rPr>
                <w:rFonts w:hint="eastAsia" w:ascii="宋体" w:hAnsi="宋体"/>
                <w:color w:val="auto"/>
                <w:highlight w:val="none"/>
                <w:lang w:val="en-US" w:eastAsia="zh-CN"/>
              </w:rPr>
              <w:t>优得【4-5】分；良得【2-4）分；一般得【</w:t>
            </w:r>
            <w:r>
              <w:rPr>
                <w:rFonts w:hint="eastAsia" w:ascii="宋体" w:hAnsi="宋体"/>
                <w:color w:val="auto"/>
                <w:highlight w:val="none"/>
              </w:rPr>
              <w:t>0-</w:t>
            </w:r>
            <w:r>
              <w:rPr>
                <w:rFonts w:hint="eastAsia" w:ascii="宋体" w:hAnsi="宋体"/>
                <w:color w:val="auto"/>
                <w:highlight w:val="none"/>
                <w:lang w:val="en-US" w:eastAsia="zh-CN"/>
              </w:rPr>
              <w:t>2</w:t>
            </w:r>
            <w:r>
              <w:rPr>
                <w:rFonts w:hint="eastAsia" w:ascii="宋体" w:hAnsi="宋体"/>
                <w:color w:val="auto"/>
                <w:highlight w:val="none"/>
              </w:rPr>
              <w:t>分）</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1" w:hRule="atLeast"/>
          <w:jc w:val="center"/>
        </w:trPr>
        <w:tc>
          <w:tcPr>
            <w:tcW w:w="1085"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auto"/>
                <w:highlight w:val="none"/>
              </w:rPr>
            </w:pPr>
            <w:r>
              <w:rPr>
                <w:rFonts w:hint="eastAsia" w:ascii="宋体" w:hAnsi="宋体" w:cs="宋体"/>
                <w:color w:val="auto"/>
                <w:highlight w:val="none"/>
              </w:rPr>
              <w:t>安保</w:t>
            </w:r>
          </w:p>
          <w:p>
            <w:pPr>
              <w:autoSpaceDE w:val="0"/>
              <w:autoSpaceDN w:val="0"/>
              <w:adjustRightInd w:val="0"/>
              <w:spacing w:line="320" w:lineRule="exact"/>
              <w:jc w:val="center"/>
              <w:rPr>
                <w:rFonts w:hint="eastAsia" w:ascii="宋体" w:hAnsi="宋体" w:cs="宋体"/>
                <w:color w:val="auto"/>
                <w:szCs w:val="21"/>
                <w:highlight w:val="none"/>
              </w:rPr>
            </w:pPr>
            <w:r>
              <w:rPr>
                <w:rFonts w:hint="eastAsia" w:ascii="宋体" w:hAnsi="宋体" w:cs="宋体"/>
                <w:color w:val="auto"/>
                <w:highlight w:val="none"/>
              </w:rPr>
              <w:t>服务方案</w:t>
            </w:r>
          </w:p>
        </w:tc>
        <w:tc>
          <w:tcPr>
            <w:tcW w:w="855"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w:t>
            </w:r>
            <w:r>
              <w:rPr>
                <w:rFonts w:hint="eastAsia" w:ascii="宋体" w:hAnsi="宋体" w:cs="宋体"/>
                <w:color w:val="auto"/>
                <w:szCs w:val="21"/>
                <w:highlight w:val="none"/>
              </w:rPr>
              <w:t>分</w:t>
            </w:r>
          </w:p>
        </w:tc>
        <w:tc>
          <w:tcPr>
            <w:tcW w:w="81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rPr>
                <w:rFonts w:hint="eastAsia" w:ascii="宋体" w:hAnsi="宋体" w:cs="宋体"/>
                <w:color w:val="auto"/>
                <w:szCs w:val="21"/>
                <w:highlight w:val="none"/>
              </w:rPr>
            </w:pPr>
            <w:r>
              <w:rPr>
                <w:rFonts w:hint="eastAsia" w:ascii="宋体" w:hAnsi="宋体"/>
                <w:color w:val="auto"/>
                <w:highlight w:val="none"/>
              </w:rPr>
              <w:t>评委根据投标人针对本项目各校安保服务的实施方案、排班方案，方案的合理情况、全面情况进行综合评议</w:t>
            </w:r>
            <w:r>
              <w:rPr>
                <w:rFonts w:hint="eastAsia" w:ascii="宋体" w:hAnsi="宋体"/>
                <w:color w:val="auto"/>
                <w:highlight w:val="none"/>
                <w:lang w:eastAsia="zh-CN"/>
              </w:rPr>
              <w:t>：</w:t>
            </w:r>
            <w:r>
              <w:rPr>
                <w:rFonts w:hint="eastAsia" w:ascii="宋体" w:hAnsi="宋体"/>
                <w:color w:val="auto"/>
                <w:highlight w:val="none"/>
                <w:lang w:val="en-US" w:eastAsia="zh-CN"/>
              </w:rPr>
              <w:t>优得【7-10】分；良得【4-7）分；一般得【</w:t>
            </w:r>
            <w:r>
              <w:rPr>
                <w:rFonts w:hint="eastAsia" w:ascii="宋体" w:hAnsi="宋体"/>
                <w:color w:val="auto"/>
                <w:highlight w:val="none"/>
              </w:rPr>
              <w:t>0-</w:t>
            </w:r>
            <w:r>
              <w:rPr>
                <w:rFonts w:hint="eastAsia" w:ascii="宋体" w:hAnsi="宋体"/>
                <w:color w:val="auto"/>
                <w:highlight w:val="none"/>
                <w:lang w:val="en-US" w:eastAsia="zh-CN"/>
              </w:rPr>
              <w:t>4</w:t>
            </w:r>
            <w:r>
              <w:rPr>
                <w:rFonts w:hint="eastAsia" w:ascii="宋体" w:hAnsi="宋体"/>
                <w:color w:val="auto"/>
                <w:highlight w:val="none"/>
              </w:rPr>
              <w:t>分）</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6" w:hRule="atLeast"/>
          <w:jc w:val="center"/>
        </w:trPr>
        <w:tc>
          <w:tcPr>
            <w:tcW w:w="1085"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auto"/>
                <w:szCs w:val="21"/>
                <w:highlight w:val="none"/>
              </w:rPr>
            </w:pPr>
          </w:p>
        </w:tc>
        <w:tc>
          <w:tcPr>
            <w:tcW w:w="855"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auto"/>
                <w:szCs w:val="21"/>
                <w:highlight w:val="none"/>
              </w:rPr>
            </w:pPr>
          </w:p>
        </w:tc>
        <w:tc>
          <w:tcPr>
            <w:tcW w:w="81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rPr>
                <w:rFonts w:hint="eastAsia" w:ascii="宋体" w:hAnsi="宋体" w:eastAsia="宋体" w:cs="宋体"/>
                <w:color w:val="auto"/>
                <w:szCs w:val="21"/>
                <w:highlight w:val="none"/>
                <w:lang w:eastAsia="zh-CN"/>
              </w:rPr>
            </w:pPr>
            <w:r>
              <w:rPr>
                <w:rFonts w:hint="eastAsia" w:ascii="宋体" w:hAnsi="宋体"/>
                <w:color w:val="auto"/>
                <w:highlight w:val="none"/>
              </w:rPr>
              <w:t>根据投标人对本项目实施地点现场考察、调研后提出的安保服务实施的重点、难点和解决措施的方案进行综合评议</w:t>
            </w:r>
            <w:r>
              <w:rPr>
                <w:rFonts w:hint="eastAsia" w:ascii="宋体" w:hAnsi="宋体"/>
                <w:color w:val="auto"/>
                <w:highlight w:val="none"/>
                <w:lang w:eastAsia="zh-CN"/>
              </w:rPr>
              <w:t>：</w:t>
            </w:r>
            <w:r>
              <w:rPr>
                <w:rFonts w:hint="eastAsia" w:ascii="宋体" w:hAnsi="宋体"/>
                <w:color w:val="auto"/>
                <w:highlight w:val="none"/>
                <w:lang w:val="en-US" w:eastAsia="zh-CN"/>
              </w:rPr>
              <w:t>优得【4-5】分；良得【2-4）分；一般得【</w:t>
            </w:r>
            <w:r>
              <w:rPr>
                <w:rFonts w:hint="eastAsia" w:ascii="宋体" w:hAnsi="宋体"/>
                <w:color w:val="auto"/>
                <w:highlight w:val="none"/>
              </w:rPr>
              <w:t>0-</w:t>
            </w:r>
            <w:r>
              <w:rPr>
                <w:rFonts w:hint="eastAsia" w:ascii="宋体" w:hAnsi="宋体"/>
                <w:color w:val="auto"/>
                <w:highlight w:val="none"/>
                <w:lang w:val="en-US" w:eastAsia="zh-CN"/>
              </w:rPr>
              <w:t>2</w:t>
            </w:r>
            <w:r>
              <w:rPr>
                <w:rFonts w:hint="eastAsia" w:ascii="宋体" w:hAnsi="宋体"/>
                <w:color w:val="auto"/>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2" w:hRule="atLeast"/>
          <w:jc w:val="center"/>
        </w:trPr>
        <w:tc>
          <w:tcPr>
            <w:tcW w:w="10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color w:val="auto"/>
                <w:szCs w:val="21"/>
                <w:highlight w:val="none"/>
              </w:rPr>
            </w:pPr>
            <w:r>
              <w:rPr>
                <w:rFonts w:hint="eastAsia" w:ascii="宋体" w:hAnsi="宋体" w:cs="宋体"/>
                <w:color w:val="auto"/>
                <w:highlight w:val="none"/>
              </w:rPr>
              <w:t>制度建立与管理</w:t>
            </w:r>
          </w:p>
        </w:tc>
        <w:tc>
          <w:tcPr>
            <w:tcW w:w="8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auto"/>
                <w:szCs w:val="21"/>
                <w:highlight w:val="none"/>
              </w:rPr>
            </w:pPr>
            <w:r>
              <w:rPr>
                <w:rFonts w:hint="eastAsia" w:ascii="宋体" w:hAnsi="宋体" w:cs="宋体"/>
                <w:color w:val="auto"/>
                <w:highlight w:val="none"/>
              </w:rPr>
              <w:t>5分</w:t>
            </w:r>
          </w:p>
        </w:tc>
        <w:tc>
          <w:tcPr>
            <w:tcW w:w="81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rPr>
                <w:rFonts w:hint="eastAsia" w:ascii="宋体" w:hAnsi="宋体" w:eastAsia="宋体" w:cs="宋体"/>
                <w:color w:val="auto"/>
                <w:szCs w:val="21"/>
                <w:highlight w:val="none"/>
                <w:lang w:eastAsia="zh-CN"/>
              </w:rPr>
            </w:pPr>
            <w:r>
              <w:rPr>
                <w:rFonts w:hint="eastAsia" w:ascii="宋体" w:hAnsi="宋体"/>
                <w:color w:val="auto"/>
                <w:highlight w:val="none"/>
              </w:rPr>
              <w:t>评委根据投标人针对本项目的管理制度，包括机构的设置、人事管理制度、工器具管理制度、安全管理制度等进行综合评议</w:t>
            </w:r>
            <w:r>
              <w:rPr>
                <w:rFonts w:hint="eastAsia" w:ascii="宋体" w:hAnsi="宋体"/>
                <w:color w:val="auto"/>
                <w:highlight w:val="none"/>
                <w:lang w:eastAsia="zh-CN"/>
              </w:rPr>
              <w:t>：</w:t>
            </w:r>
            <w:r>
              <w:rPr>
                <w:rFonts w:hint="eastAsia" w:ascii="宋体" w:hAnsi="宋体"/>
                <w:color w:val="auto"/>
                <w:highlight w:val="none"/>
                <w:lang w:val="en-US" w:eastAsia="zh-CN"/>
              </w:rPr>
              <w:t>优得【4-5】分；良得【2-4）分；一般得【</w:t>
            </w:r>
            <w:r>
              <w:rPr>
                <w:rFonts w:hint="eastAsia" w:ascii="宋体" w:hAnsi="宋体"/>
                <w:color w:val="auto"/>
                <w:highlight w:val="none"/>
              </w:rPr>
              <w:t>0-</w:t>
            </w:r>
            <w:r>
              <w:rPr>
                <w:rFonts w:hint="eastAsia" w:ascii="宋体" w:hAnsi="宋体"/>
                <w:color w:val="auto"/>
                <w:highlight w:val="none"/>
                <w:lang w:val="en-US" w:eastAsia="zh-CN"/>
              </w:rPr>
              <w:t>2</w:t>
            </w:r>
            <w:r>
              <w:rPr>
                <w:rFonts w:hint="eastAsia" w:ascii="宋体" w:hAnsi="宋体"/>
                <w:color w:val="auto"/>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jc w:val="center"/>
        </w:trPr>
        <w:tc>
          <w:tcPr>
            <w:tcW w:w="1085"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auto"/>
                <w:szCs w:val="21"/>
                <w:highlight w:val="none"/>
              </w:rPr>
            </w:pPr>
            <w:r>
              <w:rPr>
                <w:rFonts w:hint="eastAsia" w:ascii="宋体" w:hAnsi="宋体" w:cs="宋体"/>
                <w:color w:val="auto"/>
                <w:highlight w:val="none"/>
              </w:rPr>
              <w:t>售后服务方案</w:t>
            </w:r>
          </w:p>
        </w:tc>
        <w:tc>
          <w:tcPr>
            <w:tcW w:w="855"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auto"/>
                <w:szCs w:val="21"/>
                <w:highlight w:val="none"/>
              </w:rPr>
            </w:pPr>
            <w:r>
              <w:rPr>
                <w:rFonts w:hint="eastAsia" w:ascii="宋体" w:hAnsi="宋体" w:cs="宋体"/>
                <w:color w:val="auto"/>
                <w:highlight w:val="none"/>
              </w:rPr>
              <w:t>1</w:t>
            </w:r>
            <w:r>
              <w:rPr>
                <w:rFonts w:ascii="宋体" w:hAnsi="宋体" w:cs="宋体"/>
                <w:color w:val="auto"/>
                <w:highlight w:val="none"/>
              </w:rPr>
              <w:t>0</w:t>
            </w:r>
            <w:r>
              <w:rPr>
                <w:rFonts w:hint="eastAsia" w:ascii="宋体" w:hAnsi="宋体" w:cs="宋体"/>
                <w:color w:val="auto"/>
                <w:highlight w:val="none"/>
              </w:rPr>
              <w:t>分</w:t>
            </w:r>
          </w:p>
        </w:tc>
        <w:tc>
          <w:tcPr>
            <w:tcW w:w="81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rPr>
                <w:rFonts w:hint="eastAsia" w:ascii="宋体" w:hAnsi="宋体" w:cs="宋体"/>
                <w:color w:val="auto"/>
                <w:szCs w:val="21"/>
                <w:highlight w:val="none"/>
              </w:rPr>
            </w:pPr>
            <w:r>
              <w:rPr>
                <w:rFonts w:hint="eastAsia" w:ascii="宋体" w:hAnsi="宋体"/>
                <w:color w:val="auto"/>
                <w:szCs w:val="21"/>
                <w:highlight w:val="none"/>
              </w:rPr>
              <w:t>评委根据投标人针对本项目各校安保服务响应能力的描述及相关证明资料、服务响应承诺进行综合评议</w:t>
            </w:r>
            <w:r>
              <w:rPr>
                <w:rFonts w:hint="eastAsia" w:ascii="宋体" w:hAnsi="宋体"/>
                <w:color w:val="auto"/>
                <w:szCs w:val="21"/>
                <w:highlight w:val="none"/>
                <w:lang w:eastAsia="zh-CN"/>
              </w:rPr>
              <w:t>：</w:t>
            </w:r>
            <w:r>
              <w:rPr>
                <w:rFonts w:hint="eastAsia" w:ascii="宋体" w:hAnsi="宋体"/>
                <w:color w:val="auto"/>
                <w:highlight w:val="none"/>
                <w:lang w:val="en-US" w:eastAsia="zh-CN"/>
              </w:rPr>
              <w:t>优得【4-5】分；良得【2-4）分；一般得【</w:t>
            </w:r>
            <w:r>
              <w:rPr>
                <w:rFonts w:hint="eastAsia" w:ascii="宋体" w:hAnsi="宋体"/>
                <w:color w:val="auto"/>
                <w:highlight w:val="none"/>
              </w:rPr>
              <w:t>0-</w:t>
            </w:r>
            <w:r>
              <w:rPr>
                <w:rFonts w:hint="eastAsia" w:ascii="宋体" w:hAnsi="宋体"/>
                <w:color w:val="auto"/>
                <w:highlight w:val="none"/>
                <w:lang w:val="en-US" w:eastAsia="zh-CN"/>
              </w:rPr>
              <w:t>2</w:t>
            </w:r>
            <w:r>
              <w:rPr>
                <w:rFonts w:hint="eastAsia" w:ascii="宋体" w:hAnsi="宋体"/>
                <w:color w:val="auto"/>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1085"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auto"/>
                <w:highlight w:val="none"/>
              </w:rPr>
            </w:pPr>
          </w:p>
        </w:tc>
        <w:tc>
          <w:tcPr>
            <w:tcW w:w="855"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auto"/>
                <w:highlight w:val="none"/>
              </w:rPr>
            </w:pPr>
          </w:p>
        </w:tc>
        <w:tc>
          <w:tcPr>
            <w:tcW w:w="81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rPr>
                <w:rFonts w:hint="eastAsia" w:ascii="宋体" w:hAnsi="宋体"/>
                <w:color w:val="auto"/>
                <w:szCs w:val="21"/>
                <w:highlight w:val="none"/>
              </w:rPr>
            </w:pPr>
            <w:r>
              <w:rPr>
                <w:rFonts w:hint="eastAsia" w:hAnsi="宋体"/>
                <w:color w:val="auto"/>
                <w:szCs w:val="21"/>
                <w:highlight w:val="none"/>
              </w:rPr>
              <w:t>评委根据投标人针对本项目服务质量保障措施，涉及到业主对安保服务的考核要求及对业主的相关承诺</w:t>
            </w:r>
            <w:r>
              <w:rPr>
                <w:rFonts w:hint="eastAsia" w:ascii="宋体" w:hAnsi="宋体" w:cs="宋体"/>
                <w:color w:val="auto"/>
                <w:highlight w:val="none"/>
                <w:lang w:bidi="ar"/>
              </w:rPr>
              <w:t>等</w:t>
            </w:r>
            <w:r>
              <w:rPr>
                <w:rFonts w:hint="eastAsia" w:hAnsi="宋体"/>
                <w:color w:val="auto"/>
                <w:szCs w:val="21"/>
                <w:highlight w:val="none"/>
              </w:rPr>
              <w:t>进行综合评议</w:t>
            </w:r>
            <w:r>
              <w:rPr>
                <w:rFonts w:hint="eastAsia" w:hAnsi="宋体"/>
                <w:color w:val="auto"/>
                <w:szCs w:val="21"/>
                <w:highlight w:val="none"/>
                <w:lang w:eastAsia="zh-CN"/>
              </w:rPr>
              <w:t>：</w:t>
            </w:r>
            <w:r>
              <w:rPr>
                <w:rFonts w:hint="eastAsia" w:ascii="宋体" w:hAnsi="宋体"/>
                <w:color w:val="auto"/>
                <w:highlight w:val="none"/>
                <w:lang w:val="en-US" w:eastAsia="zh-CN"/>
              </w:rPr>
              <w:t>优得【4-5】分；良得【2-4）分；一般得【</w:t>
            </w:r>
            <w:r>
              <w:rPr>
                <w:rFonts w:hint="eastAsia" w:ascii="宋体" w:hAnsi="宋体"/>
                <w:color w:val="auto"/>
                <w:highlight w:val="none"/>
              </w:rPr>
              <w:t>0-</w:t>
            </w:r>
            <w:r>
              <w:rPr>
                <w:rFonts w:hint="eastAsia" w:ascii="宋体" w:hAnsi="宋体"/>
                <w:color w:val="auto"/>
                <w:highlight w:val="none"/>
                <w:lang w:val="en-US" w:eastAsia="zh-CN"/>
              </w:rPr>
              <w:t>2</w:t>
            </w:r>
            <w:r>
              <w:rPr>
                <w:rFonts w:hint="eastAsia" w:ascii="宋体" w:hAnsi="宋体"/>
                <w:color w:val="auto"/>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10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auto"/>
                <w:highlight w:val="none"/>
              </w:rPr>
            </w:pPr>
            <w:r>
              <w:rPr>
                <w:rFonts w:hint="eastAsia" w:ascii="宋体" w:hAnsi="宋体" w:cs="宋体"/>
                <w:color w:val="auto"/>
                <w:highlight w:val="none"/>
              </w:rPr>
              <w:t>人员设备</w:t>
            </w:r>
          </w:p>
        </w:tc>
        <w:tc>
          <w:tcPr>
            <w:tcW w:w="8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auto"/>
                <w:highlight w:val="none"/>
              </w:rPr>
            </w:pPr>
            <w:r>
              <w:rPr>
                <w:rFonts w:hint="eastAsia" w:ascii="宋体" w:hAnsi="宋体" w:cs="宋体"/>
                <w:color w:val="auto"/>
                <w:highlight w:val="none"/>
              </w:rPr>
              <w:t>5分</w:t>
            </w:r>
          </w:p>
        </w:tc>
        <w:tc>
          <w:tcPr>
            <w:tcW w:w="81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rPr>
                <w:rFonts w:hint="eastAsia" w:hAnsi="宋体" w:eastAsia="宋体"/>
                <w:color w:val="auto"/>
                <w:szCs w:val="21"/>
                <w:highlight w:val="none"/>
                <w:lang w:eastAsia="zh-CN"/>
              </w:rPr>
            </w:pPr>
            <w:r>
              <w:rPr>
                <w:rFonts w:hint="eastAsia" w:hAnsi="宋体"/>
                <w:color w:val="auto"/>
                <w:szCs w:val="21"/>
                <w:highlight w:val="none"/>
              </w:rPr>
              <w:t>评委根据投标人针对本项目人员及安保辅助设备的配备是否齐全、合理、科学等进行综合评议</w:t>
            </w:r>
            <w:r>
              <w:rPr>
                <w:rFonts w:hint="eastAsia" w:hAnsi="宋体"/>
                <w:color w:val="auto"/>
                <w:szCs w:val="21"/>
                <w:highlight w:val="none"/>
                <w:lang w:eastAsia="zh-CN"/>
              </w:rPr>
              <w:t>：</w:t>
            </w:r>
            <w:r>
              <w:rPr>
                <w:rFonts w:hint="eastAsia" w:ascii="宋体" w:hAnsi="宋体"/>
                <w:color w:val="auto"/>
                <w:highlight w:val="none"/>
                <w:lang w:val="en-US" w:eastAsia="zh-CN"/>
              </w:rPr>
              <w:t>优得【4-5】分；良得【2-4）分；一般得【</w:t>
            </w:r>
            <w:r>
              <w:rPr>
                <w:rFonts w:hint="eastAsia" w:ascii="宋体" w:hAnsi="宋体"/>
                <w:color w:val="auto"/>
                <w:highlight w:val="none"/>
              </w:rPr>
              <w:t>0-</w:t>
            </w:r>
            <w:r>
              <w:rPr>
                <w:rFonts w:hint="eastAsia" w:ascii="宋体" w:hAnsi="宋体"/>
                <w:color w:val="auto"/>
                <w:highlight w:val="none"/>
                <w:lang w:val="en-US" w:eastAsia="zh-CN"/>
              </w:rPr>
              <w:t>2</w:t>
            </w:r>
            <w:r>
              <w:rPr>
                <w:rFonts w:hint="eastAsia" w:ascii="宋体" w:hAnsi="宋体"/>
                <w:color w:val="auto"/>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0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color w:val="auto"/>
                <w:highlight w:val="none"/>
              </w:rPr>
            </w:pPr>
            <w:r>
              <w:rPr>
                <w:rFonts w:hint="eastAsia" w:ascii="宋体" w:hAnsi="宋体" w:cs="宋体"/>
                <w:color w:val="auto"/>
                <w:highlight w:val="none"/>
              </w:rPr>
              <w:t>应急预案</w:t>
            </w:r>
          </w:p>
        </w:tc>
        <w:tc>
          <w:tcPr>
            <w:tcW w:w="8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分</w:t>
            </w:r>
          </w:p>
        </w:tc>
        <w:tc>
          <w:tcPr>
            <w:tcW w:w="81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rPr>
                <w:rFonts w:hint="eastAsia" w:ascii="宋体" w:hAnsi="宋体" w:eastAsia="宋体"/>
                <w:color w:val="auto"/>
                <w:szCs w:val="21"/>
                <w:highlight w:val="none"/>
                <w:lang w:eastAsia="zh-CN"/>
              </w:rPr>
            </w:pPr>
            <w:r>
              <w:rPr>
                <w:rFonts w:hint="eastAsia"/>
                <w:color w:val="auto"/>
                <w:highlight w:val="none"/>
              </w:rPr>
              <w:t>评委根据投标人针对本项目特殊时期的应急措施，从符合实际情况考虑进行综合评议（0-</w:t>
            </w:r>
            <w:r>
              <w:rPr>
                <w:rFonts w:hint="eastAsia"/>
                <w:color w:val="auto"/>
                <w:highlight w:val="none"/>
                <w:lang w:val="en-US" w:eastAsia="zh-CN"/>
              </w:rPr>
              <w:t>7</w:t>
            </w:r>
            <w:r>
              <w:rPr>
                <w:rFonts w:hint="eastAsia"/>
                <w:color w:val="auto"/>
                <w:highlight w:val="none"/>
              </w:rPr>
              <w:t>分）</w:t>
            </w:r>
            <w:r>
              <w:rPr>
                <w:rFonts w:hint="eastAsia"/>
                <w:color w:val="auto"/>
                <w:highlight w:val="none"/>
                <w:lang w:eastAsia="zh-CN"/>
              </w:rPr>
              <w:t>：</w:t>
            </w:r>
            <w:r>
              <w:rPr>
                <w:rFonts w:hint="eastAsia" w:ascii="宋体" w:hAnsi="宋体"/>
                <w:color w:val="auto"/>
                <w:highlight w:val="none"/>
                <w:lang w:val="en-US" w:eastAsia="zh-CN"/>
              </w:rPr>
              <w:t>优得【5-7】分；良得【2-5）分；一般得【</w:t>
            </w:r>
            <w:r>
              <w:rPr>
                <w:rFonts w:hint="eastAsia" w:ascii="宋体" w:hAnsi="宋体"/>
                <w:color w:val="auto"/>
                <w:highlight w:val="none"/>
              </w:rPr>
              <w:t>0-</w:t>
            </w:r>
            <w:r>
              <w:rPr>
                <w:rFonts w:hint="eastAsia" w:ascii="宋体" w:hAnsi="宋体"/>
                <w:color w:val="auto"/>
                <w:highlight w:val="none"/>
                <w:lang w:val="en-US" w:eastAsia="zh-CN"/>
              </w:rPr>
              <w:t>2</w:t>
            </w:r>
            <w:r>
              <w:rPr>
                <w:rFonts w:hint="eastAsia" w:ascii="宋体" w:hAnsi="宋体"/>
                <w:color w:val="auto"/>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1085"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auto"/>
                <w:highlight w:val="none"/>
              </w:rPr>
            </w:pPr>
            <w:r>
              <w:rPr>
                <w:rFonts w:hint="eastAsia" w:ascii="宋体" w:hAnsi="宋体" w:cs="宋体"/>
                <w:color w:val="auto"/>
                <w:highlight w:val="none"/>
              </w:rPr>
              <w:t>安全保障</w:t>
            </w:r>
          </w:p>
        </w:tc>
        <w:tc>
          <w:tcPr>
            <w:tcW w:w="855"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2</w:t>
            </w:r>
            <w:r>
              <w:rPr>
                <w:rFonts w:hint="eastAsia" w:ascii="宋体" w:hAnsi="宋体" w:cs="宋体"/>
                <w:color w:val="auto"/>
                <w:highlight w:val="none"/>
              </w:rPr>
              <w:t>分</w:t>
            </w:r>
          </w:p>
        </w:tc>
        <w:tc>
          <w:tcPr>
            <w:tcW w:w="81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color w:val="auto"/>
                <w:highlight w:val="none"/>
              </w:rPr>
            </w:pPr>
            <w:r>
              <w:rPr>
                <w:rFonts w:hint="eastAsia" w:ascii="宋体" w:hAnsi="宋体"/>
                <w:color w:val="auto"/>
                <w:highlight w:val="none"/>
              </w:rPr>
              <w:t>评委根据投标人针对本项目合同履行期间的安全保障措施</w:t>
            </w:r>
            <w:r>
              <w:rPr>
                <w:rFonts w:hint="eastAsia" w:ascii="宋体" w:hAnsi="宋体"/>
                <w:color w:val="auto"/>
                <w:highlight w:val="none"/>
                <w:lang w:val="en-US" w:eastAsia="zh-CN"/>
              </w:rPr>
              <w:t>优得【4-6】分；良得【2-4）分；一般得【</w:t>
            </w:r>
            <w:r>
              <w:rPr>
                <w:rFonts w:hint="eastAsia" w:ascii="宋体" w:hAnsi="宋体"/>
                <w:color w:val="auto"/>
                <w:highlight w:val="none"/>
              </w:rPr>
              <w:t>0-</w:t>
            </w:r>
            <w:r>
              <w:rPr>
                <w:rFonts w:hint="eastAsia" w:ascii="宋体" w:hAnsi="宋体"/>
                <w:color w:val="auto"/>
                <w:highlight w:val="none"/>
                <w:lang w:val="en-US" w:eastAsia="zh-CN"/>
              </w:rPr>
              <w:t>2</w:t>
            </w:r>
            <w:r>
              <w:rPr>
                <w:rFonts w:hint="eastAsia" w:ascii="宋体" w:hAnsi="宋体"/>
                <w:color w:val="auto"/>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085"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auto"/>
                <w:highlight w:val="none"/>
              </w:rPr>
            </w:pPr>
          </w:p>
        </w:tc>
        <w:tc>
          <w:tcPr>
            <w:tcW w:w="855"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auto"/>
                <w:highlight w:val="none"/>
              </w:rPr>
            </w:pPr>
          </w:p>
        </w:tc>
        <w:tc>
          <w:tcPr>
            <w:tcW w:w="81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rPr>
                <w:rFonts w:hint="eastAsia" w:ascii="宋体" w:hAnsi="宋体"/>
                <w:color w:val="auto"/>
                <w:highlight w:val="none"/>
              </w:rPr>
            </w:pPr>
            <w:r>
              <w:rPr>
                <w:rFonts w:hint="eastAsia" w:hAnsi="宋体"/>
                <w:color w:val="auto"/>
                <w:szCs w:val="21"/>
                <w:highlight w:val="none"/>
              </w:rPr>
              <w:t>评委根据投标人针对本项目提出的可能存在的履约风险及相应的解决措施</w:t>
            </w:r>
            <w:r>
              <w:rPr>
                <w:rFonts w:hint="eastAsia" w:ascii="宋体" w:hAnsi="宋体"/>
                <w:color w:val="auto"/>
                <w:highlight w:val="none"/>
                <w:lang w:val="en-US" w:eastAsia="zh-CN"/>
              </w:rPr>
              <w:t>优得【4-6】分；良得【2-4）分；一般得【</w:t>
            </w:r>
            <w:r>
              <w:rPr>
                <w:rFonts w:hint="eastAsia" w:ascii="宋体" w:hAnsi="宋体"/>
                <w:color w:val="auto"/>
                <w:highlight w:val="none"/>
              </w:rPr>
              <w:t>0-</w:t>
            </w:r>
            <w:r>
              <w:rPr>
                <w:rFonts w:hint="eastAsia" w:ascii="宋体" w:hAnsi="宋体"/>
                <w:color w:val="auto"/>
                <w:highlight w:val="none"/>
                <w:lang w:val="en-US" w:eastAsia="zh-CN"/>
              </w:rPr>
              <w:t>2</w:t>
            </w:r>
            <w:r>
              <w:rPr>
                <w:rFonts w:hint="eastAsia" w:ascii="宋体" w:hAnsi="宋体"/>
                <w:color w:val="auto"/>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085" w:type="dxa"/>
            <w:tcBorders>
              <w:top w:val="single" w:color="auto" w:sz="4" w:space="0"/>
              <w:left w:val="single" w:color="auto" w:sz="4" w:space="0"/>
              <w:bottom w:val="single" w:color="auto" w:sz="4" w:space="0"/>
              <w:right w:val="single" w:color="auto" w:sz="4" w:space="0"/>
            </w:tcBorders>
            <w:noWrap w:val="0"/>
            <w:vAlign w:val="center"/>
          </w:tcPr>
          <w:p>
            <w:pPr>
              <w:tabs>
                <w:tab w:val="left" w:pos="5848"/>
              </w:tabs>
              <w:spacing w:line="400" w:lineRule="exact"/>
              <w:jc w:val="center"/>
              <w:rPr>
                <w:rFonts w:hint="eastAsia" w:ascii="宋体" w:hAnsi="宋体" w:cs="宋体"/>
                <w:color w:val="auto"/>
                <w:highlight w:val="none"/>
              </w:rPr>
            </w:pPr>
            <w:r>
              <w:rPr>
                <w:rFonts w:hint="eastAsia" w:ascii="宋体" w:hAnsi="宋体" w:cs="宋体"/>
                <w:bCs/>
                <w:color w:val="auto"/>
                <w:szCs w:val="21"/>
                <w:highlight w:val="none"/>
              </w:rPr>
              <w:t>采购政策</w:t>
            </w:r>
          </w:p>
        </w:tc>
        <w:tc>
          <w:tcPr>
            <w:tcW w:w="8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1分</w:t>
            </w:r>
          </w:p>
        </w:tc>
        <w:tc>
          <w:tcPr>
            <w:tcW w:w="81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rPr>
                <w:rFonts w:hint="eastAsia" w:ascii="宋体" w:hAnsi="宋体" w:cs="宋体"/>
                <w:bCs/>
                <w:color w:val="auto"/>
                <w:szCs w:val="21"/>
                <w:highlight w:val="none"/>
                <w:lang w:val="zh-CN"/>
              </w:rPr>
            </w:pPr>
            <w:r>
              <w:rPr>
                <w:rFonts w:hint="eastAsia" w:ascii="宋体" w:hAnsi="宋体" w:cs="宋体"/>
                <w:bCs/>
                <w:color w:val="auto"/>
                <w:szCs w:val="21"/>
                <w:highlight w:val="none"/>
              </w:rPr>
              <w:t>投标人</w:t>
            </w:r>
            <w:r>
              <w:rPr>
                <w:rFonts w:hint="eastAsia" w:ascii="宋体" w:hAnsi="宋体" w:cs="宋体"/>
                <w:bCs/>
                <w:color w:val="auto"/>
                <w:szCs w:val="21"/>
                <w:highlight w:val="none"/>
                <w:lang w:val="zh-CN"/>
              </w:rPr>
              <w:t>注册在扶持不发达地区的，得</w:t>
            </w:r>
            <w:r>
              <w:rPr>
                <w:rFonts w:hint="eastAsia" w:ascii="宋体" w:hAnsi="宋体" w:cs="宋体"/>
                <w:bCs/>
                <w:color w:val="auto"/>
                <w:szCs w:val="21"/>
                <w:highlight w:val="none"/>
              </w:rPr>
              <w:t>0.5</w:t>
            </w:r>
            <w:r>
              <w:rPr>
                <w:rFonts w:hint="eastAsia" w:ascii="宋体" w:hAnsi="宋体" w:cs="宋体"/>
                <w:bCs/>
                <w:color w:val="auto"/>
                <w:szCs w:val="21"/>
                <w:highlight w:val="none"/>
                <w:lang w:val="zh-CN"/>
              </w:rPr>
              <w:t>分。</w:t>
            </w:r>
          </w:p>
          <w:p>
            <w:pPr>
              <w:autoSpaceDE w:val="0"/>
              <w:autoSpaceDN w:val="0"/>
              <w:adjustRightInd w:val="0"/>
              <w:spacing w:line="320" w:lineRule="exact"/>
              <w:rPr>
                <w:rFonts w:hint="eastAsia" w:hAnsi="宋体"/>
                <w:color w:val="auto"/>
                <w:szCs w:val="21"/>
                <w:highlight w:val="none"/>
              </w:rPr>
            </w:pPr>
            <w:r>
              <w:rPr>
                <w:rFonts w:hint="eastAsia" w:ascii="宋体" w:hAnsi="宋体" w:cs="宋体"/>
                <w:bCs/>
                <w:color w:val="auto"/>
                <w:szCs w:val="21"/>
                <w:highlight w:val="none"/>
              </w:rPr>
              <w:t>投标人</w:t>
            </w:r>
            <w:r>
              <w:rPr>
                <w:rFonts w:hint="eastAsia" w:ascii="宋体" w:hAnsi="宋体" w:cs="宋体"/>
                <w:bCs/>
                <w:color w:val="auto"/>
                <w:szCs w:val="21"/>
                <w:highlight w:val="none"/>
                <w:lang w:val="zh-CN"/>
              </w:rPr>
              <w:t>注册在少数民族地区的，得</w:t>
            </w:r>
            <w:r>
              <w:rPr>
                <w:rFonts w:hint="eastAsia" w:ascii="宋体" w:hAnsi="宋体" w:cs="宋体"/>
                <w:bCs/>
                <w:color w:val="auto"/>
                <w:szCs w:val="21"/>
                <w:highlight w:val="none"/>
              </w:rPr>
              <w:t>0.5</w:t>
            </w:r>
            <w:r>
              <w:rPr>
                <w:rFonts w:hint="eastAsia" w:ascii="宋体" w:hAnsi="宋体" w:cs="宋体"/>
                <w:bCs/>
                <w:color w:val="auto"/>
                <w:szCs w:val="21"/>
                <w:highlight w:val="none"/>
                <w:lang w:val="zh-CN"/>
              </w:rPr>
              <w:t>分。</w:t>
            </w:r>
          </w:p>
        </w:tc>
      </w:tr>
    </w:tbl>
    <w:p>
      <w:pPr>
        <w:spacing w:line="360" w:lineRule="auto"/>
        <w:rPr>
          <w:rFonts w:hint="default" w:ascii="宋体" w:hAnsi="宋体" w:eastAsia="宋体" w:cs="宋体"/>
          <w:bCs/>
          <w:color w:val="auto"/>
          <w:highlight w:val="none"/>
          <w:lang w:val="en-US" w:eastAsia="zh-CN"/>
        </w:rPr>
      </w:pPr>
      <w:r>
        <w:rPr>
          <w:rFonts w:hint="eastAsia" w:ascii="宋体" w:hAnsi="宋体" w:cs="宋体"/>
          <w:bCs/>
          <w:color w:val="auto"/>
          <w:highlight w:val="none"/>
        </w:rPr>
        <w:t>注：1、小数点后保留一位数。2、各评标委员会成员自行按以上参考分值评分。3、重大事件由评标委员会集体讨论，须有三分之二或以上的评标委员会签字认可。</w:t>
      </w:r>
      <w:r>
        <w:rPr>
          <w:rFonts w:hint="eastAsia" w:ascii="宋体" w:hAnsi="宋体" w:cs="宋体"/>
          <w:bCs/>
          <w:color w:val="auto"/>
          <w:highlight w:val="none"/>
          <w:lang w:val="en-US" w:eastAsia="zh-CN"/>
        </w:rPr>
        <w:t>4</w:t>
      </w:r>
      <w:r>
        <w:rPr>
          <w:rFonts w:hint="eastAsia" w:ascii="宋体" w:hAnsi="宋体" w:cs="宋体"/>
          <w:bCs/>
          <w:color w:val="auto"/>
          <w:highlight w:val="none"/>
        </w:rPr>
        <w:t>、</w:t>
      </w:r>
      <w:r>
        <w:rPr>
          <w:rFonts w:hint="eastAsia" w:ascii="宋体" w:hAnsi="宋体" w:cs="宋体"/>
          <w:bCs/>
          <w:color w:val="auto"/>
          <w:highlight w:val="none"/>
          <w:lang w:eastAsia="zh-CN"/>
        </w:rPr>
        <w:t>“</w:t>
      </w:r>
      <w:r>
        <w:rPr>
          <w:rFonts w:hint="eastAsia" w:ascii="宋体" w:hAnsi="宋体"/>
          <w:color w:val="auto"/>
          <w:highlight w:val="none"/>
          <w:lang w:val="en-US" w:eastAsia="zh-CN"/>
        </w:rPr>
        <w:t>【”表示包含此项分数；“</w:t>
      </w:r>
      <w:r>
        <w:rPr>
          <w:rFonts w:hint="eastAsia" w:ascii="宋体" w:hAnsi="宋体"/>
          <w:color w:val="auto"/>
          <w:highlight w:val="none"/>
        </w:rPr>
        <w:t>）</w:t>
      </w:r>
      <w:r>
        <w:rPr>
          <w:rFonts w:hint="eastAsia" w:ascii="宋体" w:hAnsi="宋体"/>
          <w:color w:val="auto"/>
          <w:highlight w:val="none"/>
          <w:lang w:eastAsia="zh-CN"/>
        </w:rPr>
        <w:t>”</w:t>
      </w:r>
      <w:r>
        <w:rPr>
          <w:rFonts w:hint="eastAsia" w:ascii="宋体" w:hAnsi="宋体"/>
          <w:color w:val="auto"/>
          <w:highlight w:val="none"/>
          <w:lang w:val="en-US" w:eastAsia="zh-CN"/>
        </w:rPr>
        <w:t>表示不包含此项分数。</w:t>
      </w:r>
    </w:p>
    <w:p>
      <w:pPr>
        <w:spacing w:line="360" w:lineRule="auto"/>
        <w:rPr>
          <w:rFonts w:hint="eastAsia" w:hAnsi="宋体" w:cs="宋体"/>
          <w:b/>
          <w:color w:val="auto"/>
          <w:highlight w:val="none"/>
        </w:rPr>
      </w:pPr>
      <w:bookmarkStart w:id="164" w:name="_Toc9029"/>
      <w:r>
        <w:rPr>
          <w:rFonts w:hint="eastAsia" w:hAnsi="宋体" w:cs="宋体"/>
          <w:b/>
          <w:color w:val="auto"/>
          <w:highlight w:val="none"/>
          <w:lang w:val="en-US" w:eastAsia="zh-CN"/>
        </w:rPr>
        <w:t>六</w:t>
      </w:r>
      <w:r>
        <w:rPr>
          <w:rFonts w:hint="eastAsia" w:hAnsi="宋体" w:cs="宋体"/>
          <w:b/>
          <w:color w:val="auto"/>
          <w:highlight w:val="none"/>
        </w:rPr>
        <w:t>、定标</w:t>
      </w:r>
      <w:bookmarkEnd w:id="164"/>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（一）确定中标人。本项目由采购人（或采购人事先授权评标委员会）确定中标人。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1.采购代理机构在评标结束后将评标报告交采购人确认。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对评标结果无异议的，采购人应在收到评标报告后5个工作日内对评标结果进行确认，按评标报告推荐的顺序确定排名第一的中标候选人为中标人。如有供应商对评标结果提出质疑的，采购人可在质疑处理完毕后确定中标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3.采购人依法确定中标人后2个工作日内，采购代理机构以书面形式发出《中标通知书》,并同时在相关网站上发布中标公告。</w:t>
      </w:r>
    </w:p>
    <w:p>
      <w:pPr>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rPr>
        <w:t>4.</w:t>
      </w:r>
      <w:r>
        <w:rPr>
          <w:rFonts w:hint="eastAsia" w:ascii="宋体" w:hAnsi="宋体" w:cs="宋体"/>
          <w:color w:val="auto"/>
          <w:szCs w:val="21"/>
          <w:highlight w:val="none"/>
          <w:lang w:bidi="ar"/>
        </w:rPr>
        <w:t>若中标人放弃中标，或因不可抗力提出不能履行合同，或不按采购文件规定提交履约担保，或其它原因被依法撤销中标资格，则采购人可确定排名次之的中标候选人为中标人或重新组织招标。</w:t>
      </w:r>
    </w:p>
    <w:p>
      <w:pPr>
        <w:spacing w:line="360" w:lineRule="auto"/>
        <w:rPr>
          <w:rFonts w:hint="eastAsia" w:ascii="宋体" w:hAnsi="宋体" w:cs="宋体"/>
          <w:b/>
          <w:bCs/>
          <w:color w:val="auto"/>
          <w:szCs w:val="21"/>
          <w:highlight w:val="none"/>
          <w:lang w:bidi="ar"/>
        </w:rPr>
      </w:pPr>
      <w:r>
        <w:rPr>
          <w:rFonts w:hint="eastAsia" w:ascii="宋体" w:hAnsi="宋体" w:cs="宋体"/>
          <w:b/>
          <w:bCs/>
          <w:color w:val="auto"/>
          <w:szCs w:val="21"/>
          <w:highlight w:val="none"/>
          <w:lang w:val="en-US" w:eastAsia="zh-CN" w:bidi="ar"/>
        </w:rPr>
        <w:t>七</w:t>
      </w:r>
      <w:r>
        <w:rPr>
          <w:rFonts w:hint="eastAsia" w:ascii="宋体" w:hAnsi="宋体" w:cs="宋体"/>
          <w:b/>
          <w:bCs/>
          <w:color w:val="auto"/>
          <w:szCs w:val="21"/>
          <w:highlight w:val="none"/>
          <w:lang w:bidi="ar"/>
        </w:rPr>
        <w:t>、评标过程的监控与保密</w:t>
      </w:r>
    </w:p>
    <w:p>
      <w:pPr>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1、本项目评标过程实行全程录音、录像监控，供应商在评标过程中所进行的试图影响评标结果的不公正活动，可能导致其投标被拒绝。</w:t>
      </w:r>
    </w:p>
    <w:p>
      <w:pPr>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2、开标后到中标通知书发出之前，所有涉及评标委员会名单以及对投标文件的澄清、评价、比较等情况，评标委员会成员、采购人和采购代理机构的有关人员均不得向供应商或其他无关人员透露。</w:t>
      </w:r>
    </w:p>
    <w:p>
      <w:pPr>
        <w:spacing w:line="360" w:lineRule="auto"/>
        <w:rPr>
          <w:rFonts w:hint="eastAsia" w:ascii="宋体" w:hAnsi="宋体" w:cs="宋体"/>
          <w:b/>
          <w:bCs/>
          <w:color w:val="auto"/>
          <w:szCs w:val="21"/>
          <w:highlight w:val="none"/>
        </w:rPr>
      </w:pPr>
      <w:bookmarkStart w:id="165" w:name="_Toc17747"/>
      <w:r>
        <w:rPr>
          <w:rFonts w:hint="eastAsia" w:ascii="宋体" w:hAnsi="宋体" w:cs="宋体"/>
          <w:b/>
          <w:color w:val="auto"/>
          <w:szCs w:val="21"/>
          <w:highlight w:val="none"/>
          <w:lang w:val="en-US" w:eastAsia="zh-CN"/>
        </w:rPr>
        <w:t>八</w:t>
      </w:r>
      <w:r>
        <w:rPr>
          <w:rFonts w:hint="eastAsia" w:ascii="宋体" w:hAnsi="宋体" w:cs="宋体"/>
          <w:b/>
          <w:color w:val="auto"/>
          <w:szCs w:val="21"/>
          <w:highlight w:val="none"/>
        </w:rPr>
        <w:t>、合同授予</w:t>
      </w:r>
      <w:bookmarkEnd w:id="165"/>
      <w:r>
        <w:rPr>
          <w:rFonts w:hint="eastAsia" w:ascii="宋体" w:hAnsi="宋体" w:cs="宋体"/>
          <w:b/>
          <w:color w:val="auto"/>
          <w:szCs w:val="21"/>
          <w:highlight w:val="none"/>
        </w:rPr>
        <w:t>：</w:t>
      </w:r>
      <w:r>
        <w:rPr>
          <w:rFonts w:hint="eastAsia" w:ascii="宋体" w:hAnsi="宋体" w:cs="宋体"/>
          <w:b/>
          <w:bCs/>
          <w:color w:val="auto"/>
          <w:szCs w:val="21"/>
          <w:highlight w:val="none"/>
        </w:rPr>
        <w:t>签订合同</w:t>
      </w:r>
    </w:p>
    <w:p>
      <w:pPr>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1.采购人应当自中标通知书发出之日起30日内，按照采购文件和中标人投标文件的规定，与中标人签订书面合同。所签订的合同不得对采购文件确定的事项和中标人投标文件作实质性修改。</w:t>
      </w:r>
    </w:p>
    <w:p>
      <w:pPr>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采购人不得向中标人提出任何不合理的要求作为签订合同的条件。</w:t>
      </w:r>
    </w:p>
    <w:p>
      <w:pPr>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2.采购人在签订合同时，在合同金额变更范围内，如需审批的办理相关审批手续。有权变更采购项目的数量和服务内容，但不能对单价或其他条款和条件作任何改变。</w:t>
      </w:r>
    </w:p>
    <w:p>
      <w:pPr>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3.采购文件、中标人的投标文件及评标过程中有关的澄清文件均应作为合同签订的附件。</w:t>
      </w:r>
    </w:p>
    <w:p>
      <w:pPr>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4.中标或者成交供应商拒绝与采购人签订合同的，采购人应重新招标。</w:t>
      </w:r>
    </w:p>
    <w:p>
      <w:pPr>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5.中标人如不遵守采购文件或投标文件各项条款的邀约与要约，或在接到中标通知书后借故拖延，拒签合同的，采购人将按《浙江省政府采购供应商注册及诚信管理暂行办法》的规定上报诚信状况。给采购人造成的损失的还应当予以赔偿。</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九</w:t>
      </w:r>
      <w:r>
        <w:rPr>
          <w:rFonts w:hint="eastAsia" w:ascii="宋体" w:hAnsi="宋体" w:cs="宋体"/>
          <w:b/>
          <w:color w:val="auto"/>
          <w:szCs w:val="21"/>
          <w:highlight w:val="none"/>
        </w:rPr>
        <w:t>、履约验收：</w:t>
      </w:r>
    </w:p>
    <w:p>
      <w:pPr>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采购人负责对中标人的履约行为进行验收。政府向社会公众提供的公共服务项目，验收时应当邀请服务对象参与并出具意见，验收结果应当向社会公告。</w:t>
      </w:r>
    </w:p>
    <w:p>
      <w:pPr>
        <w:pStyle w:val="11"/>
        <w:adjustRightInd w:val="0"/>
        <w:snapToGrid w:val="0"/>
        <w:spacing w:before="0" w:beforeLines="0" w:after="0" w:afterLines="0"/>
        <w:ind w:left="420"/>
        <w:rPr>
          <w:rFonts w:hint="eastAsia" w:hAnsi="宋体" w:cs="宋体"/>
          <w:color w:val="auto"/>
          <w:sz w:val="21"/>
          <w:szCs w:val="21"/>
          <w:highlight w:val="none"/>
        </w:rPr>
      </w:pPr>
    </w:p>
    <w:p>
      <w:pPr>
        <w:pStyle w:val="11"/>
        <w:adjustRightInd w:val="0"/>
        <w:snapToGrid w:val="0"/>
        <w:spacing w:before="0" w:beforeLines="0" w:after="0" w:afterLines="0"/>
        <w:ind w:left="420"/>
        <w:rPr>
          <w:rFonts w:hint="eastAsia" w:hAnsi="宋体" w:cs="宋体"/>
          <w:color w:val="auto"/>
          <w:sz w:val="21"/>
          <w:szCs w:val="21"/>
          <w:highlight w:val="none"/>
        </w:rPr>
      </w:pPr>
    </w:p>
    <w:p>
      <w:pPr>
        <w:pStyle w:val="11"/>
        <w:adjustRightInd w:val="0"/>
        <w:snapToGrid w:val="0"/>
        <w:spacing w:before="0" w:beforeLines="0" w:after="0" w:afterLines="0"/>
        <w:ind w:left="420"/>
        <w:rPr>
          <w:rFonts w:hint="eastAsia" w:hAnsi="宋体" w:cs="宋体"/>
          <w:color w:val="auto"/>
          <w:sz w:val="21"/>
          <w:szCs w:val="21"/>
          <w:highlight w:val="none"/>
        </w:rPr>
      </w:pPr>
    </w:p>
    <w:p>
      <w:pPr>
        <w:pStyle w:val="11"/>
        <w:adjustRightInd w:val="0"/>
        <w:snapToGrid w:val="0"/>
        <w:spacing w:before="0" w:beforeLines="0" w:after="0" w:afterLines="0"/>
        <w:ind w:left="420"/>
        <w:rPr>
          <w:rFonts w:hint="eastAsia" w:hAnsi="宋体" w:cs="宋体"/>
          <w:color w:val="auto"/>
          <w:sz w:val="21"/>
          <w:szCs w:val="21"/>
          <w:highlight w:val="none"/>
        </w:rPr>
      </w:pPr>
    </w:p>
    <w:p>
      <w:pPr>
        <w:pStyle w:val="11"/>
        <w:adjustRightInd w:val="0"/>
        <w:snapToGrid w:val="0"/>
        <w:spacing w:before="0" w:beforeLines="0" w:after="0" w:afterLines="0"/>
        <w:ind w:left="420"/>
        <w:rPr>
          <w:rFonts w:hint="eastAsia" w:hAnsi="宋体" w:cs="宋体"/>
          <w:color w:val="auto"/>
          <w:sz w:val="21"/>
          <w:szCs w:val="21"/>
          <w:highlight w:val="none"/>
        </w:rPr>
      </w:pPr>
    </w:p>
    <w:p>
      <w:pPr>
        <w:pStyle w:val="11"/>
        <w:adjustRightInd w:val="0"/>
        <w:snapToGrid w:val="0"/>
        <w:spacing w:before="0" w:beforeLines="0" w:after="0" w:afterLines="0"/>
        <w:ind w:left="420"/>
        <w:rPr>
          <w:rFonts w:hint="eastAsia" w:hAnsi="宋体" w:cs="宋体"/>
          <w:color w:val="auto"/>
          <w:sz w:val="21"/>
          <w:szCs w:val="21"/>
          <w:highlight w:val="none"/>
        </w:rPr>
      </w:pPr>
    </w:p>
    <w:p>
      <w:pPr>
        <w:pStyle w:val="11"/>
        <w:adjustRightInd w:val="0"/>
        <w:snapToGrid w:val="0"/>
        <w:spacing w:before="0" w:beforeLines="0" w:after="0" w:afterLines="0"/>
        <w:ind w:left="420"/>
        <w:rPr>
          <w:rFonts w:hint="eastAsia" w:hAnsi="宋体" w:cs="宋体"/>
          <w:color w:val="auto"/>
          <w:sz w:val="21"/>
          <w:szCs w:val="21"/>
          <w:highlight w:val="none"/>
        </w:rPr>
      </w:pPr>
    </w:p>
    <w:p>
      <w:pPr>
        <w:pStyle w:val="11"/>
        <w:adjustRightInd w:val="0"/>
        <w:snapToGrid w:val="0"/>
        <w:spacing w:before="0" w:beforeLines="0" w:after="0" w:afterLines="0"/>
        <w:ind w:left="420"/>
        <w:rPr>
          <w:rFonts w:hint="eastAsia" w:hAnsi="宋体" w:cs="宋体"/>
          <w:color w:val="auto"/>
          <w:sz w:val="21"/>
          <w:szCs w:val="21"/>
          <w:highlight w:val="none"/>
        </w:rPr>
      </w:pPr>
    </w:p>
    <w:p>
      <w:pPr>
        <w:pStyle w:val="11"/>
        <w:adjustRightInd w:val="0"/>
        <w:snapToGrid w:val="0"/>
        <w:spacing w:before="0" w:beforeLines="0" w:after="0" w:afterLines="0"/>
        <w:ind w:left="420"/>
        <w:rPr>
          <w:rFonts w:hint="eastAsia" w:hAnsi="宋体" w:cs="宋体"/>
          <w:color w:val="auto"/>
          <w:sz w:val="21"/>
          <w:szCs w:val="21"/>
          <w:highlight w:val="none"/>
        </w:rPr>
      </w:pPr>
    </w:p>
    <w:p>
      <w:pPr>
        <w:pStyle w:val="11"/>
        <w:adjustRightInd w:val="0"/>
        <w:snapToGrid w:val="0"/>
        <w:spacing w:before="0" w:beforeLines="0" w:after="0" w:afterLines="0"/>
        <w:ind w:left="420"/>
        <w:rPr>
          <w:rFonts w:hint="eastAsia" w:hAnsi="宋体" w:cs="宋体"/>
          <w:color w:val="auto"/>
          <w:sz w:val="21"/>
          <w:szCs w:val="21"/>
          <w:highlight w:val="none"/>
        </w:rPr>
      </w:pPr>
    </w:p>
    <w:p>
      <w:pPr>
        <w:pStyle w:val="11"/>
        <w:adjustRightInd w:val="0"/>
        <w:snapToGrid w:val="0"/>
        <w:spacing w:before="0" w:beforeLines="0" w:after="0" w:afterLines="0"/>
        <w:ind w:left="420"/>
        <w:rPr>
          <w:rFonts w:hint="eastAsia" w:hAnsi="宋体" w:cs="宋体"/>
          <w:color w:val="auto"/>
          <w:sz w:val="21"/>
          <w:szCs w:val="21"/>
          <w:highlight w:val="none"/>
        </w:rPr>
      </w:pPr>
    </w:p>
    <w:p>
      <w:pPr>
        <w:pStyle w:val="11"/>
        <w:adjustRightInd w:val="0"/>
        <w:snapToGrid w:val="0"/>
        <w:spacing w:before="0" w:beforeLines="0" w:after="0" w:afterLines="0"/>
        <w:ind w:left="420"/>
        <w:rPr>
          <w:rFonts w:hint="eastAsia" w:hAnsi="宋体" w:cs="宋体"/>
          <w:color w:val="auto"/>
          <w:sz w:val="21"/>
          <w:szCs w:val="21"/>
          <w:highlight w:val="none"/>
        </w:rPr>
      </w:pPr>
    </w:p>
    <w:p>
      <w:pPr>
        <w:pStyle w:val="11"/>
        <w:adjustRightInd w:val="0"/>
        <w:snapToGrid w:val="0"/>
        <w:spacing w:before="0" w:beforeLines="0" w:after="0" w:afterLines="0"/>
        <w:ind w:left="420"/>
        <w:rPr>
          <w:rFonts w:hint="eastAsia" w:hAnsi="宋体" w:cs="宋体"/>
          <w:color w:val="auto"/>
          <w:sz w:val="21"/>
          <w:szCs w:val="21"/>
          <w:highlight w:val="none"/>
        </w:rPr>
      </w:pPr>
    </w:p>
    <w:p>
      <w:pPr>
        <w:pStyle w:val="11"/>
        <w:adjustRightInd w:val="0"/>
        <w:snapToGrid w:val="0"/>
        <w:spacing w:before="0" w:beforeLines="0" w:after="0" w:afterLines="0"/>
        <w:ind w:left="420"/>
        <w:rPr>
          <w:rFonts w:hint="eastAsia" w:hAnsi="宋体" w:cs="宋体"/>
          <w:color w:val="auto"/>
          <w:sz w:val="21"/>
          <w:szCs w:val="21"/>
          <w:highlight w:val="none"/>
        </w:rPr>
      </w:pPr>
    </w:p>
    <w:p>
      <w:pPr>
        <w:pStyle w:val="11"/>
        <w:adjustRightInd w:val="0"/>
        <w:snapToGrid w:val="0"/>
        <w:spacing w:before="0" w:beforeLines="0" w:after="0" w:afterLines="0"/>
        <w:rPr>
          <w:rFonts w:hint="eastAsia" w:hAnsi="宋体" w:cs="宋体"/>
          <w:color w:val="auto"/>
          <w:sz w:val="21"/>
          <w:szCs w:val="21"/>
          <w:highlight w:val="none"/>
        </w:rPr>
      </w:pPr>
    </w:p>
    <w:bookmarkEnd w:id="151"/>
    <w:bookmarkEnd w:id="152"/>
    <w:bookmarkEnd w:id="153"/>
    <w:bookmarkEnd w:id="154"/>
    <w:bookmarkEnd w:id="155"/>
    <w:p>
      <w:pPr>
        <w:pStyle w:val="4"/>
        <w:spacing w:before="0" w:after="0"/>
        <w:jc w:val="center"/>
        <w:rPr>
          <w:rFonts w:hint="eastAsia" w:ascii="宋体" w:hAnsi="宋体" w:eastAsia="宋体" w:cs="宋体"/>
          <w:color w:val="auto"/>
          <w:sz w:val="32"/>
          <w:highlight w:val="none"/>
        </w:rPr>
      </w:pPr>
      <w:r>
        <w:rPr>
          <w:rFonts w:hint="eastAsia" w:ascii="宋体" w:hAnsi="宋体" w:eastAsia="宋体" w:cs="宋体"/>
          <w:color w:val="auto"/>
          <w:sz w:val="32"/>
          <w:highlight w:val="none"/>
        </w:rPr>
        <w:t>第</w:t>
      </w:r>
      <w:r>
        <w:rPr>
          <w:rFonts w:hint="eastAsia" w:ascii="宋体" w:hAnsi="宋体" w:cs="宋体"/>
          <w:color w:val="auto"/>
          <w:sz w:val="32"/>
          <w:highlight w:val="none"/>
          <w:lang w:val="en-US" w:eastAsia="zh-CN"/>
        </w:rPr>
        <w:t>六章</w:t>
      </w:r>
      <w:r>
        <w:rPr>
          <w:rFonts w:hint="eastAsia" w:ascii="宋体" w:hAnsi="宋体" w:eastAsia="宋体" w:cs="宋体"/>
          <w:color w:val="auto"/>
          <w:sz w:val="32"/>
          <w:highlight w:val="none"/>
        </w:rPr>
        <w:t xml:space="preserve">  政府采购合同参考格式</w:t>
      </w:r>
    </w:p>
    <w:p>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采购合同</w:t>
      </w:r>
    </w:p>
    <w:p>
      <w:pPr>
        <w:tabs>
          <w:tab w:val="left" w:pos="270"/>
        </w:tabs>
        <w:spacing w:line="360" w:lineRule="auto"/>
        <w:ind w:firstLine="315" w:firstLineChars="150"/>
        <w:rPr>
          <w:rFonts w:hint="eastAsia"/>
          <w:b/>
          <w:color w:val="auto"/>
          <w:szCs w:val="21"/>
          <w:highlight w:val="none"/>
        </w:rPr>
      </w:pPr>
      <w:r>
        <w:rPr>
          <w:rFonts w:hint="eastAsia"/>
          <w:color w:val="auto"/>
          <w:szCs w:val="21"/>
          <w:highlight w:val="none"/>
        </w:rPr>
        <w:t xml:space="preserve">本合同当事人：    </w:t>
      </w:r>
    </w:p>
    <w:p>
      <w:pPr>
        <w:tabs>
          <w:tab w:val="left" w:pos="270"/>
        </w:tabs>
        <w:spacing w:line="360" w:lineRule="auto"/>
        <w:ind w:firstLine="315" w:firstLineChars="150"/>
        <w:rPr>
          <w:color w:val="auto"/>
          <w:szCs w:val="21"/>
          <w:highlight w:val="none"/>
        </w:rPr>
      </w:pPr>
      <w:r>
        <w:rPr>
          <w:rFonts w:hint="eastAsia"/>
          <w:color w:val="auto"/>
          <w:szCs w:val="21"/>
          <w:highlight w:val="none"/>
        </w:rPr>
        <w:t>委托方（以下简称甲方）：</w:t>
      </w:r>
    </w:p>
    <w:p>
      <w:pPr>
        <w:tabs>
          <w:tab w:val="left" w:pos="270"/>
        </w:tabs>
        <w:spacing w:line="360" w:lineRule="auto"/>
        <w:ind w:firstLine="315" w:firstLineChars="150"/>
        <w:rPr>
          <w:rFonts w:hint="eastAsia"/>
          <w:color w:val="auto"/>
          <w:szCs w:val="21"/>
          <w:highlight w:val="none"/>
        </w:rPr>
      </w:pPr>
      <w:r>
        <w:rPr>
          <w:rFonts w:hint="eastAsia"/>
          <w:color w:val="auto"/>
          <w:szCs w:val="21"/>
          <w:highlight w:val="none"/>
        </w:rPr>
        <w:t>法定代表人：</w:t>
      </w:r>
    </w:p>
    <w:p>
      <w:pPr>
        <w:tabs>
          <w:tab w:val="left" w:pos="270"/>
        </w:tabs>
        <w:spacing w:line="360" w:lineRule="auto"/>
        <w:ind w:firstLine="315" w:firstLineChars="150"/>
        <w:rPr>
          <w:rFonts w:hint="eastAsia"/>
          <w:color w:val="auto"/>
          <w:szCs w:val="21"/>
          <w:highlight w:val="none"/>
        </w:rPr>
      </w:pPr>
      <w:r>
        <w:rPr>
          <w:rFonts w:hint="eastAsia"/>
          <w:color w:val="auto"/>
          <w:szCs w:val="21"/>
          <w:highlight w:val="none"/>
        </w:rPr>
        <w:t>地址：</w:t>
      </w:r>
    </w:p>
    <w:p>
      <w:pPr>
        <w:tabs>
          <w:tab w:val="left" w:pos="270"/>
        </w:tabs>
        <w:spacing w:line="360" w:lineRule="auto"/>
        <w:ind w:firstLine="315" w:firstLineChars="150"/>
        <w:rPr>
          <w:rFonts w:hint="eastAsia"/>
          <w:color w:val="auto"/>
          <w:szCs w:val="21"/>
          <w:highlight w:val="none"/>
        </w:rPr>
      </w:pPr>
      <w:r>
        <w:rPr>
          <w:rFonts w:hint="eastAsia"/>
          <w:color w:val="auto"/>
          <w:szCs w:val="21"/>
          <w:highlight w:val="none"/>
        </w:rPr>
        <w:t>受委托方（以下简称乙方）</w:t>
      </w:r>
      <w:r>
        <w:rPr>
          <w:rFonts w:hint="eastAsia"/>
          <w:color w:val="auto"/>
          <w:szCs w:val="21"/>
          <w:highlight w:val="none"/>
        </w:rPr>
        <w:tab/>
      </w:r>
      <w:r>
        <w:rPr>
          <w:rFonts w:hint="eastAsia"/>
          <w:color w:val="auto"/>
          <w:szCs w:val="21"/>
          <w:highlight w:val="none"/>
        </w:rPr>
        <w:t>：</w:t>
      </w:r>
    </w:p>
    <w:p>
      <w:pPr>
        <w:tabs>
          <w:tab w:val="left" w:pos="270"/>
        </w:tabs>
        <w:spacing w:line="360" w:lineRule="auto"/>
        <w:ind w:firstLine="315" w:firstLineChars="150"/>
        <w:rPr>
          <w:rFonts w:hint="eastAsia"/>
          <w:color w:val="auto"/>
          <w:szCs w:val="21"/>
          <w:highlight w:val="none"/>
        </w:rPr>
      </w:pPr>
      <w:r>
        <w:rPr>
          <w:rFonts w:hint="eastAsia"/>
          <w:color w:val="auto"/>
          <w:szCs w:val="21"/>
          <w:highlight w:val="none"/>
        </w:rPr>
        <w:t>法定代表人：</w:t>
      </w:r>
    </w:p>
    <w:p>
      <w:pPr>
        <w:tabs>
          <w:tab w:val="left" w:pos="270"/>
        </w:tabs>
        <w:spacing w:line="360" w:lineRule="auto"/>
        <w:ind w:firstLine="315" w:firstLineChars="150"/>
        <w:rPr>
          <w:rFonts w:hint="eastAsia"/>
          <w:color w:val="auto"/>
          <w:szCs w:val="21"/>
          <w:highlight w:val="none"/>
        </w:rPr>
      </w:pPr>
      <w:r>
        <w:rPr>
          <w:rFonts w:hint="eastAsia"/>
          <w:color w:val="auto"/>
          <w:szCs w:val="21"/>
          <w:highlight w:val="none"/>
        </w:rPr>
        <w:t>住所地：</w:t>
      </w:r>
    </w:p>
    <w:p>
      <w:pPr>
        <w:spacing w:line="360" w:lineRule="auto"/>
        <w:rPr>
          <w:rFonts w:hint="eastAsia" w:ascii="宋体" w:hAnsi="宋体"/>
          <w:color w:val="auto"/>
          <w:szCs w:val="21"/>
          <w:highlight w:val="none"/>
        </w:rPr>
      </w:pPr>
      <w:r>
        <w:rPr>
          <w:rFonts w:hint="eastAsia" w:ascii="宋体" w:hAnsi="宋体"/>
          <w:color w:val="auto"/>
          <w:szCs w:val="21"/>
          <w:highlight w:val="none"/>
        </w:rPr>
        <w:t>一、服务期限：自</w:t>
      </w:r>
      <w:r>
        <w:rPr>
          <w:rFonts w:ascii="宋体" w:hAnsi="宋体"/>
          <w:color w:val="auto"/>
          <w:szCs w:val="21"/>
          <w:highlight w:val="none"/>
        </w:rPr>
        <w:t xml:space="preserve">      </w:t>
      </w:r>
      <w:r>
        <w:rPr>
          <w:rFonts w:hint="eastAsia" w:ascii="宋体" w:hAnsi="宋体"/>
          <w:color w:val="auto"/>
          <w:szCs w:val="21"/>
          <w:highlight w:val="none"/>
        </w:rPr>
        <w:t>年   月  日—</w:t>
      </w:r>
      <w:r>
        <w:rPr>
          <w:rFonts w:ascii="宋体" w:hAnsi="宋体"/>
          <w:color w:val="auto"/>
          <w:szCs w:val="21"/>
          <w:highlight w:val="none"/>
        </w:rPr>
        <w:t xml:space="preserve">     </w:t>
      </w:r>
      <w:r>
        <w:rPr>
          <w:rFonts w:hint="eastAsia" w:ascii="宋体" w:hAnsi="宋体"/>
          <w:color w:val="auto"/>
          <w:szCs w:val="21"/>
          <w:highlight w:val="none"/>
        </w:rPr>
        <w:t>年   月  日。</w:t>
      </w:r>
    </w:p>
    <w:p>
      <w:pPr>
        <w:snapToGrid w:val="0"/>
        <w:spacing w:line="360" w:lineRule="auto"/>
        <w:ind w:left="840" w:hanging="840" w:hangingChars="400"/>
        <w:rPr>
          <w:rFonts w:hint="eastAsia" w:ascii="宋体" w:hAnsi="宋体"/>
          <w:color w:val="auto"/>
          <w:szCs w:val="21"/>
          <w:highlight w:val="none"/>
        </w:rPr>
      </w:pPr>
      <w:r>
        <w:rPr>
          <w:rFonts w:hint="eastAsia" w:ascii="宋体" w:hAnsi="宋体"/>
          <w:color w:val="auto"/>
          <w:szCs w:val="21"/>
          <w:highlight w:val="none"/>
        </w:rPr>
        <w:t>二、年度服务经费：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万元人民币。</w:t>
      </w:r>
    </w:p>
    <w:p>
      <w:pPr>
        <w:snapToGrid w:val="0"/>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年度服务经费为完成一年度</w:t>
      </w:r>
      <w:r>
        <w:rPr>
          <w:rFonts w:hint="eastAsia" w:ascii="宋体" w:hAnsi="宋体"/>
          <w:color w:val="auto"/>
          <w:szCs w:val="21"/>
          <w:highlight w:val="none"/>
          <w:lang w:eastAsia="zh-CN"/>
        </w:rPr>
        <w:t>潘火街道</w:t>
      </w:r>
      <w:r>
        <w:rPr>
          <w:rFonts w:hint="eastAsia" w:ascii="宋体" w:hAnsi="宋体"/>
          <w:color w:val="auto"/>
          <w:szCs w:val="21"/>
          <w:highlight w:val="none"/>
        </w:rPr>
        <w:t>各校安保服务的得费用。包含人员费用，工器具使用费用、管理费用及利润、其他费用、税金等完成一年度</w:t>
      </w:r>
      <w:r>
        <w:rPr>
          <w:rFonts w:hint="eastAsia" w:ascii="宋体" w:hAnsi="宋体"/>
          <w:color w:val="auto"/>
          <w:szCs w:val="21"/>
          <w:highlight w:val="none"/>
          <w:lang w:eastAsia="zh-CN"/>
        </w:rPr>
        <w:t>潘火街道</w:t>
      </w:r>
      <w:r>
        <w:rPr>
          <w:rFonts w:hint="eastAsia" w:ascii="宋体" w:hAnsi="宋体"/>
          <w:color w:val="auto"/>
          <w:szCs w:val="21"/>
          <w:highlight w:val="none"/>
        </w:rPr>
        <w:t>各校安保服务的所有费用。</w:t>
      </w:r>
    </w:p>
    <w:p>
      <w:pPr>
        <w:spacing w:line="360" w:lineRule="auto"/>
        <w:rPr>
          <w:rFonts w:hint="eastAsia" w:ascii="宋体" w:hAnsi="宋体"/>
          <w:color w:val="auto"/>
          <w:szCs w:val="21"/>
          <w:highlight w:val="none"/>
        </w:rPr>
      </w:pPr>
      <w:r>
        <w:rPr>
          <w:rFonts w:hint="eastAsia" w:ascii="宋体" w:hAnsi="宋体"/>
          <w:color w:val="auto"/>
          <w:szCs w:val="21"/>
          <w:highlight w:val="none"/>
        </w:rPr>
        <w:t>三、服务经费的支付：</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1、按季支付；</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2、当月服务经费与该月度考核结果挂钩，当月服务经费=年度总费用/12-该月度考核扣款。</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3、采购人于次月5日前向中标人通知上月度考核结果及相应扣款，中标人于5个工作日内，向采购人提交该月服务经费的等额发票，采购人收到发票后，核拨经费。</w:t>
      </w:r>
    </w:p>
    <w:p>
      <w:pPr>
        <w:spacing w:line="360" w:lineRule="auto"/>
        <w:rPr>
          <w:rFonts w:ascii="宋体" w:hAnsi="宋体"/>
          <w:b/>
          <w:color w:val="auto"/>
          <w:szCs w:val="21"/>
          <w:highlight w:val="none"/>
        </w:rPr>
      </w:pPr>
      <w:r>
        <w:rPr>
          <w:rFonts w:hint="eastAsia" w:ascii="宋体" w:hAnsi="宋体"/>
          <w:b/>
          <w:color w:val="auto"/>
          <w:szCs w:val="21"/>
          <w:highlight w:val="none"/>
        </w:rPr>
        <w:t>四</w:t>
      </w:r>
      <w:r>
        <w:rPr>
          <w:rFonts w:ascii="宋体" w:hAnsi="宋体"/>
          <w:b/>
          <w:color w:val="auto"/>
          <w:szCs w:val="21"/>
          <w:highlight w:val="none"/>
        </w:rPr>
        <w:t>、履约保证金</w:t>
      </w:r>
    </w:p>
    <w:p>
      <w:pPr>
        <w:spacing w:line="360" w:lineRule="auto"/>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.1 乙方交纳人民币</w:t>
      </w:r>
      <w:r>
        <w:rPr>
          <w:rFonts w:hint="eastAsia" w:ascii="宋体" w:hAnsi="宋体"/>
          <w:color w:val="auto"/>
          <w:szCs w:val="21"/>
          <w:highlight w:val="none"/>
        </w:rPr>
        <w:t xml:space="preserve">        </w:t>
      </w:r>
      <w:r>
        <w:rPr>
          <w:rFonts w:hint="eastAsia" w:ascii="宋体" w:hAnsi="宋体"/>
          <w:b/>
          <w:color w:val="auto"/>
          <w:szCs w:val="21"/>
          <w:highlight w:val="none"/>
        </w:rPr>
        <w:t>元（      %）</w:t>
      </w:r>
      <w:r>
        <w:rPr>
          <w:rFonts w:ascii="宋体" w:hAnsi="宋体"/>
          <w:color w:val="auto"/>
          <w:szCs w:val="21"/>
          <w:highlight w:val="none"/>
        </w:rPr>
        <w:t>作为本合同的履约保证金。</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履约保证金形式：银行汇票（电汇）、支票等招标人认可的非现金形式。</w:t>
      </w:r>
    </w:p>
    <w:p>
      <w:pPr>
        <w:snapToGrid w:val="0"/>
        <w:spacing w:before="120" w:after="120" w:line="360" w:lineRule="auto"/>
        <w:rPr>
          <w:rFonts w:hint="eastAsia" w:ascii="宋体" w:hAnsi="宋体"/>
          <w:color w:val="auto"/>
          <w:szCs w:val="21"/>
          <w:highlight w:val="none"/>
        </w:rPr>
      </w:pPr>
      <w:r>
        <w:rPr>
          <w:rFonts w:hint="eastAsia" w:ascii="宋体" w:hAnsi="宋体"/>
          <w:color w:val="auto"/>
          <w:szCs w:val="21"/>
          <w:highlight w:val="none"/>
        </w:rPr>
        <w:t>乙方应于合同签订前将履约保证金交至招标人指定账户。合同履行期间，乙方不得将履约保证金取回或作任何抵押。履约保证金于合同期满后一个月内无息返还（乙方未按合同要求进行履约的情形除外，如出现未按合同要求履约的情形按合同约定执行）。</w:t>
      </w:r>
    </w:p>
    <w:p>
      <w:pPr>
        <w:snapToGrid w:val="0"/>
        <w:spacing w:before="120" w:after="120" w:line="360" w:lineRule="auto"/>
        <w:rPr>
          <w:rFonts w:ascii="宋体" w:hAnsi="宋体"/>
          <w:b/>
          <w:color w:val="auto"/>
          <w:szCs w:val="21"/>
          <w:highlight w:val="none"/>
        </w:rPr>
      </w:pPr>
      <w:r>
        <w:rPr>
          <w:rFonts w:hint="eastAsia" w:ascii="宋体" w:hAnsi="宋体"/>
          <w:b/>
          <w:color w:val="auto"/>
          <w:szCs w:val="21"/>
          <w:highlight w:val="none"/>
        </w:rPr>
        <w:t>五、</w:t>
      </w:r>
      <w:r>
        <w:rPr>
          <w:rFonts w:ascii="宋体" w:hAnsi="宋体"/>
          <w:b/>
          <w:color w:val="auto"/>
          <w:szCs w:val="21"/>
          <w:highlight w:val="none"/>
        </w:rPr>
        <w:t>转包或分包</w:t>
      </w:r>
    </w:p>
    <w:p>
      <w:pPr>
        <w:snapToGrid w:val="0"/>
        <w:spacing w:before="120" w:after="120" w:line="360" w:lineRule="auto"/>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.1本合同范围的</w:t>
      </w:r>
      <w:r>
        <w:rPr>
          <w:rFonts w:hint="eastAsia" w:ascii="宋体" w:hAnsi="宋体"/>
          <w:color w:val="auto"/>
          <w:szCs w:val="21"/>
          <w:highlight w:val="none"/>
        </w:rPr>
        <w:t>服务</w:t>
      </w:r>
      <w:r>
        <w:rPr>
          <w:rFonts w:ascii="宋体" w:hAnsi="宋体"/>
          <w:color w:val="auto"/>
          <w:szCs w:val="21"/>
          <w:highlight w:val="none"/>
        </w:rPr>
        <w:t>，应由</w:t>
      </w:r>
      <w:r>
        <w:rPr>
          <w:rFonts w:hint="eastAsia" w:ascii="宋体" w:hAnsi="宋体"/>
          <w:color w:val="auto"/>
          <w:szCs w:val="21"/>
          <w:highlight w:val="none"/>
        </w:rPr>
        <w:t>乙方</w:t>
      </w:r>
      <w:r>
        <w:rPr>
          <w:rFonts w:ascii="宋体" w:hAnsi="宋体"/>
          <w:color w:val="auto"/>
          <w:szCs w:val="21"/>
          <w:highlight w:val="none"/>
        </w:rPr>
        <w:t>直接</w:t>
      </w:r>
      <w:r>
        <w:rPr>
          <w:rFonts w:hint="eastAsia" w:ascii="宋体" w:hAnsi="宋体"/>
          <w:color w:val="auto"/>
          <w:szCs w:val="21"/>
          <w:highlight w:val="none"/>
        </w:rPr>
        <w:t>提供</w:t>
      </w:r>
      <w:r>
        <w:rPr>
          <w:rFonts w:ascii="宋体" w:hAnsi="宋体"/>
          <w:color w:val="auto"/>
          <w:szCs w:val="21"/>
          <w:highlight w:val="none"/>
        </w:rPr>
        <w:t>，不得转让他人；</w:t>
      </w:r>
    </w:p>
    <w:p>
      <w:pPr>
        <w:snapToGrid w:val="0"/>
        <w:spacing w:before="120" w:after="120" w:line="360" w:lineRule="auto"/>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.2 除非得到</w:t>
      </w:r>
      <w:r>
        <w:rPr>
          <w:rFonts w:hint="eastAsia" w:ascii="宋体" w:hAnsi="宋体"/>
          <w:color w:val="auto"/>
          <w:szCs w:val="21"/>
          <w:highlight w:val="none"/>
        </w:rPr>
        <w:t>甲方</w:t>
      </w:r>
      <w:r>
        <w:rPr>
          <w:rFonts w:ascii="宋体" w:hAnsi="宋体"/>
          <w:color w:val="auto"/>
          <w:szCs w:val="21"/>
          <w:highlight w:val="none"/>
        </w:rPr>
        <w:t>的书面同意，</w:t>
      </w:r>
      <w:r>
        <w:rPr>
          <w:rFonts w:hint="eastAsia" w:ascii="宋体" w:hAnsi="宋体"/>
          <w:color w:val="auto"/>
          <w:szCs w:val="21"/>
          <w:highlight w:val="none"/>
        </w:rPr>
        <w:t>乙方</w:t>
      </w:r>
      <w:r>
        <w:rPr>
          <w:rFonts w:ascii="宋体" w:hAnsi="宋体"/>
          <w:color w:val="auto"/>
          <w:szCs w:val="21"/>
          <w:highlight w:val="none"/>
        </w:rPr>
        <w:t>不得分包给他人。</w:t>
      </w:r>
    </w:p>
    <w:p>
      <w:pPr>
        <w:snapToGrid w:val="0"/>
        <w:spacing w:before="120" w:after="120" w:line="360" w:lineRule="auto"/>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.3如有转让和未经需方同意的分包行为，</w:t>
      </w:r>
      <w:r>
        <w:rPr>
          <w:rFonts w:hint="eastAsia" w:ascii="宋体" w:hAnsi="宋体"/>
          <w:color w:val="auto"/>
          <w:szCs w:val="21"/>
          <w:highlight w:val="none"/>
        </w:rPr>
        <w:t>甲方</w:t>
      </w:r>
      <w:r>
        <w:rPr>
          <w:rFonts w:ascii="宋体" w:hAnsi="宋体"/>
          <w:color w:val="auto"/>
          <w:szCs w:val="21"/>
          <w:highlight w:val="none"/>
        </w:rPr>
        <w:t>有权给予终止合同。</w:t>
      </w:r>
    </w:p>
    <w:p>
      <w:pPr>
        <w:spacing w:line="360" w:lineRule="auto"/>
        <w:rPr>
          <w:rFonts w:ascii="宋体" w:hAnsi="宋体"/>
          <w:b/>
          <w:color w:val="auto"/>
          <w:szCs w:val="21"/>
          <w:highlight w:val="none"/>
        </w:rPr>
      </w:pPr>
      <w:r>
        <w:rPr>
          <w:rFonts w:hint="eastAsia" w:ascii="宋体" w:hAnsi="宋体"/>
          <w:b/>
          <w:color w:val="auto"/>
          <w:szCs w:val="21"/>
          <w:highlight w:val="none"/>
        </w:rPr>
        <w:t>六、</w:t>
      </w:r>
      <w:r>
        <w:rPr>
          <w:rFonts w:ascii="宋体" w:hAnsi="宋体"/>
          <w:b/>
          <w:color w:val="auto"/>
          <w:szCs w:val="21"/>
          <w:highlight w:val="none"/>
        </w:rPr>
        <w:t>税</w:t>
      </w:r>
    </w:p>
    <w:p>
      <w:pPr>
        <w:snapToGrid w:val="0"/>
        <w:spacing w:before="120" w:after="120" w:line="360" w:lineRule="auto"/>
        <w:rPr>
          <w:rFonts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.1本合同执行中相关的一切税费均由</w:t>
      </w:r>
      <w:r>
        <w:rPr>
          <w:rFonts w:hint="eastAsia" w:ascii="宋体" w:hAnsi="宋体"/>
          <w:color w:val="auto"/>
          <w:szCs w:val="21"/>
          <w:highlight w:val="none"/>
        </w:rPr>
        <w:t>乙方</w:t>
      </w:r>
      <w:r>
        <w:rPr>
          <w:rFonts w:ascii="宋体" w:hAnsi="宋体"/>
          <w:color w:val="auto"/>
          <w:szCs w:val="21"/>
          <w:highlight w:val="none"/>
        </w:rPr>
        <w:t>负担。</w:t>
      </w:r>
    </w:p>
    <w:p>
      <w:pPr>
        <w:pStyle w:val="11"/>
        <w:snapToGrid w:val="0"/>
        <w:spacing w:before="120" w:after="120" w:line="360" w:lineRule="auto"/>
        <w:ind w:left="360" w:hanging="361" w:hangingChars="171"/>
        <w:rPr>
          <w:rFonts w:hAnsi="宋体"/>
          <w:color w:val="auto"/>
          <w:sz w:val="21"/>
          <w:highlight w:val="none"/>
        </w:rPr>
      </w:pPr>
      <w:r>
        <w:rPr>
          <w:rFonts w:hint="eastAsia" w:hAnsi="宋体"/>
          <w:b/>
          <w:color w:val="auto"/>
          <w:sz w:val="21"/>
          <w:highlight w:val="none"/>
        </w:rPr>
        <w:t>七</w:t>
      </w:r>
      <w:r>
        <w:rPr>
          <w:rFonts w:hAnsi="宋体"/>
          <w:b/>
          <w:color w:val="auto"/>
          <w:sz w:val="21"/>
          <w:highlight w:val="none"/>
        </w:rPr>
        <w:t>、</w:t>
      </w:r>
      <w:r>
        <w:rPr>
          <w:rFonts w:hint="eastAsia" w:hAnsi="宋体"/>
          <w:b/>
          <w:color w:val="auto"/>
          <w:sz w:val="21"/>
          <w:highlight w:val="none"/>
        </w:rPr>
        <w:t>服务要求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一、工作要求</w:t>
      </w:r>
    </w:p>
    <w:p>
      <w:pPr>
        <w:spacing w:line="360" w:lineRule="auto"/>
        <w:ind w:firstLine="420" w:firstLineChars="200"/>
        <w:rPr>
          <w:rFonts w:ascii="宋体" w:hAnsi="宋体"/>
          <w:color w:val="auto"/>
          <w:szCs w:val="21"/>
          <w:highlight w:val="none"/>
        </w:rPr>
      </w:pPr>
    </w:p>
    <w:tbl>
      <w:tblPr>
        <w:tblStyle w:val="19"/>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68"/>
        <w:gridCol w:w="6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59" w:type="dxa"/>
            <w:noWrap w:val="0"/>
            <w:vAlign w:val="center"/>
          </w:tcPr>
          <w:p>
            <w:pPr>
              <w:autoSpaceDE w:val="0"/>
              <w:autoSpaceDN w:val="0"/>
              <w:adjustRightInd w:val="0"/>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班次</w:t>
            </w:r>
          </w:p>
        </w:tc>
        <w:tc>
          <w:tcPr>
            <w:tcW w:w="2268" w:type="dxa"/>
            <w:noWrap w:val="0"/>
            <w:vAlign w:val="center"/>
          </w:tcPr>
          <w:p>
            <w:pPr>
              <w:autoSpaceDE w:val="0"/>
              <w:autoSpaceDN w:val="0"/>
              <w:adjustRightInd w:val="0"/>
              <w:snapToGrid w:val="0"/>
              <w:spacing w:line="360" w:lineRule="auto"/>
              <w:ind w:firstLine="422" w:firstLineChars="200"/>
              <w:jc w:val="center"/>
              <w:rPr>
                <w:rFonts w:ascii="宋体" w:hAnsi="宋体"/>
                <w:b/>
                <w:color w:val="auto"/>
                <w:szCs w:val="21"/>
                <w:highlight w:val="none"/>
              </w:rPr>
            </w:pPr>
            <w:r>
              <w:rPr>
                <w:rFonts w:hint="eastAsia" w:ascii="宋体" w:hAnsi="宋体"/>
                <w:b/>
                <w:color w:val="auto"/>
                <w:szCs w:val="21"/>
                <w:highlight w:val="none"/>
              </w:rPr>
              <w:t>工作职责</w:t>
            </w:r>
          </w:p>
        </w:tc>
        <w:tc>
          <w:tcPr>
            <w:tcW w:w="6781" w:type="dxa"/>
            <w:noWrap w:val="0"/>
            <w:vAlign w:val="center"/>
          </w:tcPr>
          <w:p>
            <w:pPr>
              <w:autoSpaceDE w:val="0"/>
              <w:autoSpaceDN w:val="0"/>
              <w:adjustRightInd w:val="0"/>
              <w:snapToGrid w:val="0"/>
              <w:spacing w:line="360" w:lineRule="auto"/>
              <w:ind w:firstLine="422" w:firstLineChars="200"/>
              <w:jc w:val="center"/>
              <w:rPr>
                <w:rFonts w:ascii="宋体" w:hAnsi="宋体"/>
                <w:b/>
                <w:color w:val="auto"/>
                <w:szCs w:val="21"/>
                <w:highlight w:val="none"/>
              </w:rPr>
            </w:pPr>
            <w:r>
              <w:rPr>
                <w:rFonts w:hint="eastAsia" w:ascii="宋体" w:hAnsi="宋体"/>
                <w:b/>
                <w:color w:val="auto"/>
                <w:szCs w:val="21"/>
                <w:highlight w:val="none"/>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59" w:type="dxa"/>
            <w:vMerge w:val="restart"/>
            <w:noWrap w:val="0"/>
            <w:vAlign w:val="center"/>
          </w:tcPr>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白天工作要求</w:t>
            </w:r>
          </w:p>
        </w:tc>
        <w:tc>
          <w:tcPr>
            <w:tcW w:w="2268" w:type="dxa"/>
            <w:noWrap w:val="0"/>
            <w:vAlign w:val="center"/>
          </w:tcPr>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1、在师生到校前开门。</w:t>
            </w:r>
          </w:p>
        </w:tc>
        <w:tc>
          <w:tcPr>
            <w:tcW w:w="6781" w:type="dxa"/>
            <w:noWrap w:val="0"/>
            <w:vAlign w:val="center"/>
          </w:tcPr>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应及时做好相应办公楼大门的开锁工作。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959" w:type="dxa"/>
            <w:vMerge w:val="continue"/>
            <w:noWrap w:val="0"/>
            <w:vAlign w:val="center"/>
          </w:tcPr>
          <w:p>
            <w:pPr>
              <w:adjustRightInd w:val="0"/>
              <w:snapToGrid w:val="0"/>
              <w:spacing w:line="360" w:lineRule="auto"/>
              <w:rPr>
                <w:rFonts w:ascii="宋体" w:hAnsi="宋体"/>
                <w:color w:val="auto"/>
                <w:szCs w:val="21"/>
                <w:highlight w:val="none"/>
              </w:rPr>
            </w:pPr>
          </w:p>
        </w:tc>
        <w:tc>
          <w:tcPr>
            <w:tcW w:w="2268" w:type="dxa"/>
            <w:noWrap w:val="0"/>
            <w:vAlign w:val="center"/>
          </w:tcPr>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2、做好每天的升国旗工作。</w:t>
            </w:r>
          </w:p>
        </w:tc>
        <w:tc>
          <w:tcPr>
            <w:tcW w:w="6781" w:type="dxa"/>
            <w:noWrap w:val="0"/>
            <w:vAlign w:val="center"/>
          </w:tcPr>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1、早上升国旗，下雨天除外；</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2、遇天气变化，及时降国旗；</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3、保管好国旗，保持国旗的清洁。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59" w:type="dxa"/>
            <w:vMerge w:val="continue"/>
            <w:noWrap w:val="0"/>
            <w:vAlign w:val="center"/>
          </w:tcPr>
          <w:p>
            <w:pPr>
              <w:adjustRightInd w:val="0"/>
              <w:snapToGrid w:val="0"/>
              <w:spacing w:line="360" w:lineRule="auto"/>
              <w:rPr>
                <w:rFonts w:ascii="宋体" w:hAnsi="宋体"/>
                <w:color w:val="auto"/>
                <w:szCs w:val="21"/>
                <w:highlight w:val="none"/>
              </w:rPr>
            </w:pPr>
          </w:p>
        </w:tc>
        <w:tc>
          <w:tcPr>
            <w:tcW w:w="2268" w:type="dxa"/>
            <w:noWrap w:val="0"/>
            <w:vAlign w:val="center"/>
          </w:tcPr>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3、学生上、放学时段，在学校大门口按学校要求立岗。</w:t>
            </w:r>
          </w:p>
        </w:tc>
        <w:tc>
          <w:tcPr>
            <w:tcW w:w="6781" w:type="dxa"/>
            <w:noWrap w:val="0"/>
            <w:vAlign w:val="center"/>
          </w:tcPr>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要求服装整齐，穿戴符合规定要求（五件套），维护进出人员秩序，观察、制止可疑人员靠近师生。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noWrap w:val="0"/>
            <w:vAlign w:val="center"/>
          </w:tcPr>
          <w:p>
            <w:pPr>
              <w:adjustRightInd w:val="0"/>
              <w:snapToGrid w:val="0"/>
              <w:spacing w:line="360" w:lineRule="auto"/>
              <w:rPr>
                <w:rFonts w:ascii="宋体" w:hAnsi="宋体"/>
                <w:color w:val="auto"/>
                <w:szCs w:val="21"/>
                <w:highlight w:val="none"/>
              </w:rPr>
            </w:pPr>
          </w:p>
        </w:tc>
        <w:tc>
          <w:tcPr>
            <w:tcW w:w="2268" w:type="dxa"/>
            <w:noWrap w:val="0"/>
            <w:vAlign w:val="center"/>
          </w:tcPr>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4、严格执行车辆、人员出入规定，发现可疑情况及时报告。</w:t>
            </w:r>
          </w:p>
        </w:tc>
        <w:tc>
          <w:tcPr>
            <w:tcW w:w="6781" w:type="dxa"/>
            <w:noWrap w:val="0"/>
            <w:vAlign w:val="center"/>
          </w:tcPr>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1、对进出车辆进行查问，对外来来访人员车辆，经核实后，做好登记；</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2、值班人员应文明执勤，礼貌待人，不允许与外来人员争吵纠纷，如确实无法处理，应及时报告；</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3、值班人员应监督控制，监督经允许进入的人员等其他需要控制的人员；</w:t>
            </w: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4、对驶出的厢式车、面包车应开箱检查，有可疑情况及时报告。</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5、特殊时期，按特殊规定操作。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noWrap w:val="0"/>
            <w:vAlign w:val="center"/>
          </w:tcPr>
          <w:p>
            <w:pPr>
              <w:adjustRightInd w:val="0"/>
              <w:snapToGrid w:val="0"/>
              <w:spacing w:line="360" w:lineRule="auto"/>
              <w:rPr>
                <w:rFonts w:ascii="宋体" w:hAnsi="宋体"/>
                <w:color w:val="auto"/>
                <w:szCs w:val="21"/>
                <w:highlight w:val="none"/>
              </w:rPr>
            </w:pPr>
          </w:p>
        </w:tc>
        <w:tc>
          <w:tcPr>
            <w:tcW w:w="2268" w:type="dxa"/>
            <w:noWrap w:val="0"/>
            <w:vAlign w:val="center"/>
          </w:tcPr>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5、要求在校园内不间断巡逻。</w:t>
            </w:r>
          </w:p>
        </w:tc>
        <w:tc>
          <w:tcPr>
            <w:tcW w:w="6781" w:type="dxa"/>
            <w:noWrap w:val="0"/>
            <w:vAlign w:val="center"/>
          </w:tcPr>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1、确保校园安全，特别关注池塘、球场、停车场及建筑物周边安全，特别是监控死角，发现安全隐患及时报告；</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2、做好进出车辆停放的引导和安全管理工作，逢有会议要对车俩停放及时指挥；</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3、及时做好巡查记录，每隔一小时在单位内巡查一次。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noWrap w:val="0"/>
            <w:vAlign w:val="center"/>
          </w:tcPr>
          <w:p>
            <w:pPr>
              <w:adjustRightInd w:val="0"/>
              <w:snapToGrid w:val="0"/>
              <w:spacing w:line="360" w:lineRule="auto"/>
              <w:rPr>
                <w:rFonts w:ascii="宋体" w:hAnsi="宋体"/>
                <w:color w:val="auto"/>
                <w:szCs w:val="21"/>
                <w:highlight w:val="none"/>
              </w:rPr>
            </w:pPr>
          </w:p>
        </w:tc>
        <w:tc>
          <w:tcPr>
            <w:tcW w:w="2268" w:type="dxa"/>
            <w:noWrap w:val="0"/>
            <w:vAlign w:val="center"/>
          </w:tcPr>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6、接收报刊杂志和各类邮件、快递。</w:t>
            </w:r>
          </w:p>
        </w:tc>
        <w:tc>
          <w:tcPr>
            <w:tcW w:w="6781" w:type="dxa"/>
            <w:noWrap w:val="0"/>
            <w:vAlign w:val="center"/>
          </w:tcPr>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要求及时接受、登记，并按要求保管或送达指定地点。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9" w:type="dxa"/>
            <w:vMerge w:val="continue"/>
            <w:noWrap w:val="0"/>
            <w:vAlign w:val="center"/>
          </w:tcPr>
          <w:p>
            <w:pPr>
              <w:adjustRightInd w:val="0"/>
              <w:snapToGrid w:val="0"/>
              <w:spacing w:line="360" w:lineRule="auto"/>
              <w:rPr>
                <w:rFonts w:ascii="宋体" w:hAnsi="宋体"/>
                <w:color w:val="auto"/>
                <w:szCs w:val="21"/>
                <w:highlight w:val="none"/>
              </w:rPr>
            </w:pPr>
          </w:p>
        </w:tc>
        <w:tc>
          <w:tcPr>
            <w:tcW w:w="2268" w:type="dxa"/>
            <w:noWrap w:val="0"/>
            <w:vAlign w:val="center"/>
          </w:tcPr>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7、认真做好消控设备和监控设施的检查、检测和监视。</w:t>
            </w:r>
          </w:p>
        </w:tc>
        <w:tc>
          <w:tcPr>
            <w:tcW w:w="6781" w:type="dxa"/>
            <w:noWrap w:val="0"/>
            <w:vAlign w:val="center"/>
          </w:tcPr>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1、发现安全隐患和监控报警及时处置，遇突发性事件需要支援时及时做好报警，第一时间控制事态发展或事故发生。</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2、遇消控设备和监控设施损坏或监控时间不准，及时报告维修。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noWrap w:val="0"/>
            <w:vAlign w:val="center"/>
          </w:tcPr>
          <w:p>
            <w:pPr>
              <w:adjustRightInd w:val="0"/>
              <w:snapToGrid w:val="0"/>
              <w:spacing w:line="360" w:lineRule="auto"/>
              <w:rPr>
                <w:rFonts w:ascii="宋体" w:hAnsi="宋体"/>
                <w:color w:val="auto"/>
                <w:szCs w:val="21"/>
                <w:highlight w:val="none"/>
              </w:rPr>
            </w:pPr>
          </w:p>
        </w:tc>
        <w:tc>
          <w:tcPr>
            <w:tcW w:w="2268" w:type="dxa"/>
            <w:noWrap w:val="0"/>
            <w:vAlign w:val="center"/>
          </w:tcPr>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8、按规定要求做好台账</w:t>
            </w:r>
          </w:p>
        </w:tc>
        <w:tc>
          <w:tcPr>
            <w:tcW w:w="6781" w:type="dxa"/>
            <w:noWrap w:val="0"/>
            <w:vAlign w:val="center"/>
          </w:tcPr>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要求保安人员记录或协助记录的台账，按规定要求记录完整并保存好8本或9本台账资料。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59" w:type="dxa"/>
            <w:vMerge w:val="continue"/>
            <w:noWrap w:val="0"/>
            <w:vAlign w:val="center"/>
          </w:tcPr>
          <w:p>
            <w:pPr>
              <w:adjustRightInd w:val="0"/>
              <w:snapToGrid w:val="0"/>
              <w:spacing w:line="360" w:lineRule="auto"/>
              <w:rPr>
                <w:rFonts w:ascii="宋体" w:hAnsi="宋体"/>
                <w:color w:val="auto"/>
                <w:szCs w:val="21"/>
                <w:highlight w:val="none"/>
              </w:rPr>
            </w:pPr>
          </w:p>
        </w:tc>
        <w:tc>
          <w:tcPr>
            <w:tcW w:w="2268" w:type="dxa"/>
            <w:noWrap w:val="0"/>
            <w:vAlign w:val="center"/>
          </w:tcPr>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9、做好每天的降国旗工作。</w:t>
            </w:r>
          </w:p>
        </w:tc>
        <w:tc>
          <w:tcPr>
            <w:tcW w:w="6781" w:type="dxa"/>
            <w:noWrap w:val="0"/>
            <w:vAlign w:val="center"/>
          </w:tcPr>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1、下班后降国旗；</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2、保管好国旗。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59" w:type="dxa"/>
            <w:vMerge w:val="continue"/>
            <w:noWrap w:val="0"/>
            <w:vAlign w:val="center"/>
          </w:tcPr>
          <w:p>
            <w:pPr>
              <w:adjustRightInd w:val="0"/>
              <w:snapToGrid w:val="0"/>
              <w:spacing w:line="360" w:lineRule="auto"/>
              <w:rPr>
                <w:rFonts w:ascii="宋体" w:hAnsi="宋体"/>
                <w:color w:val="auto"/>
                <w:szCs w:val="21"/>
                <w:highlight w:val="none"/>
              </w:rPr>
            </w:pPr>
          </w:p>
        </w:tc>
        <w:tc>
          <w:tcPr>
            <w:tcW w:w="2268" w:type="dxa"/>
            <w:noWrap w:val="0"/>
            <w:vAlign w:val="center"/>
          </w:tcPr>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10、在师生离校后锁门。</w:t>
            </w:r>
          </w:p>
        </w:tc>
        <w:tc>
          <w:tcPr>
            <w:tcW w:w="6781" w:type="dxa"/>
            <w:noWrap w:val="0"/>
            <w:vAlign w:val="center"/>
          </w:tcPr>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应在检查相应大楼后及时做好大门的上锁工作。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noWrap w:val="0"/>
            <w:vAlign w:val="center"/>
          </w:tcPr>
          <w:p>
            <w:pPr>
              <w:adjustRightInd w:val="0"/>
              <w:snapToGrid w:val="0"/>
              <w:spacing w:line="360" w:lineRule="auto"/>
              <w:rPr>
                <w:rFonts w:ascii="宋体" w:hAnsi="宋体"/>
                <w:color w:val="auto"/>
                <w:szCs w:val="21"/>
                <w:highlight w:val="none"/>
              </w:rPr>
            </w:pPr>
          </w:p>
        </w:tc>
        <w:tc>
          <w:tcPr>
            <w:tcW w:w="2268" w:type="dxa"/>
            <w:noWrap w:val="0"/>
            <w:vAlign w:val="center"/>
          </w:tcPr>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11、做好学生放学后单位内的巡查。</w:t>
            </w:r>
          </w:p>
        </w:tc>
        <w:tc>
          <w:tcPr>
            <w:tcW w:w="6781" w:type="dxa"/>
            <w:noWrap w:val="0"/>
            <w:vAlign w:val="center"/>
          </w:tcPr>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1、保持高度警惕，确保校园安全，特别关注池塘、球场、停车场及建筑物周边安全；</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2、对在单位内停放过夜的车辆进行管理，确保安全；</w:t>
            </w: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3、每隔一小时在单位各记录终端考勤一次，做好记录。</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4、发现一切可疑情况包括师生情况，及时报告学校主管。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59" w:type="dxa"/>
            <w:vMerge w:val="restart"/>
            <w:noWrap w:val="0"/>
            <w:vAlign w:val="center"/>
          </w:tcPr>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夜间工作要求</w:t>
            </w:r>
          </w:p>
        </w:tc>
        <w:tc>
          <w:tcPr>
            <w:tcW w:w="2268" w:type="dxa"/>
            <w:noWrap w:val="0"/>
            <w:vAlign w:val="center"/>
          </w:tcPr>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1、履行好门卫的相关工作职责。</w:t>
            </w:r>
          </w:p>
        </w:tc>
        <w:tc>
          <w:tcPr>
            <w:tcW w:w="6781" w:type="dxa"/>
            <w:noWrap w:val="0"/>
            <w:vAlign w:val="center"/>
          </w:tcPr>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工作要求参照白班。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959" w:type="dxa"/>
            <w:vMerge w:val="continue"/>
            <w:noWrap w:val="0"/>
            <w:vAlign w:val="center"/>
          </w:tcPr>
          <w:p>
            <w:pPr>
              <w:adjustRightInd w:val="0"/>
              <w:snapToGrid w:val="0"/>
              <w:spacing w:line="360" w:lineRule="auto"/>
              <w:rPr>
                <w:rFonts w:ascii="宋体" w:hAnsi="宋体"/>
                <w:color w:val="auto"/>
                <w:szCs w:val="21"/>
                <w:highlight w:val="none"/>
              </w:rPr>
            </w:pPr>
          </w:p>
        </w:tc>
        <w:tc>
          <w:tcPr>
            <w:tcW w:w="2268" w:type="dxa"/>
            <w:noWrap w:val="0"/>
            <w:vAlign w:val="center"/>
          </w:tcPr>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2、做好对校园的夜间巡查工作。</w:t>
            </w:r>
          </w:p>
        </w:tc>
        <w:tc>
          <w:tcPr>
            <w:tcW w:w="6781" w:type="dxa"/>
            <w:noWrap w:val="0"/>
            <w:vAlign w:val="center"/>
          </w:tcPr>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1、保持高度警惕，严禁工作时间睡觉；</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2、加强对校园的巡查，严禁B岗人员长时间滞留值班室；</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3、对校园内的建筑物、球场、池塘、树林进行巡查，并对在单位内停放过夜的车辆实施管理，确保安全；</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4、每隔一小时在单位各记录终端考勤一次。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959" w:type="dxa"/>
            <w:vMerge w:val="continue"/>
            <w:noWrap w:val="0"/>
            <w:vAlign w:val="center"/>
          </w:tcPr>
          <w:p>
            <w:pPr>
              <w:adjustRightInd w:val="0"/>
              <w:snapToGrid w:val="0"/>
              <w:spacing w:line="360" w:lineRule="auto"/>
              <w:rPr>
                <w:rFonts w:ascii="宋体" w:hAnsi="宋体"/>
                <w:color w:val="auto"/>
                <w:szCs w:val="21"/>
                <w:highlight w:val="none"/>
              </w:rPr>
            </w:pPr>
          </w:p>
        </w:tc>
        <w:tc>
          <w:tcPr>
            <w:tcW w:w="2268" w:type="dxa"/>
            <w:noWrap w:val="0"/>
            <w:vAlign w:val="center"/>
          </w:tcPr>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3、做好对校园的整体监控。</w:t>
            </w:r>
          </w:p>
        </w:tc>
        <w:tc>
          <w:tcPr>
            <w:tcW w:w="6781" w:type="dxa"/>
            <w:noWrap w:val="0"/>
            <w:vAlign w:val="center"/>
          </w:tcPr>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1、认真做好校园监控设施设备的检查、管控；</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2、预防偷盗事件和其他安全事故的发生；</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3、发现安全隐患和监控报警及时处置，遇突发性事件需要支援时及时报警，并第一时间控制事态发展或事故发生。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9049" w:type="dxa"/>
            <w:gridSpan w:val="2"/>
            <w:noWrap w:val="0"/>
            <w:vAlign w:val="center"/>
          </w:tcPr>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1、根据各校园实际情况，校方有权合理安排安保人员上班时间（原则上全年工作总时间不得超过国家法定工作时间总和）；</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2、履行岗位职责，认真做好安全护卫工作；随时观察校门口特殊情况，发现可疑情况及时处理或报告；</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3、安保人员设AB岗，A岗人员主要负责门卫工作及观察监控，B岗人员主要负责校园内的巡逻；</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4、安保人员除学生上、放学外，在岗期间按规定着装；平时应打扫工作区域，随时保持整洁，要求门卫室内物品摆放有序，周边卫生整洁，严禁家禽宠物等进入校园；</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5、各个班次应当做好交接班工作，准时接班，按时上岗，不得脱岗。交接班室应当通报各班工作情况，填写交接班登记表、记录好当班的重要事件，并做好相关物品的交接如钥匙、双向对讲机等工作；</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6、上岗前认真检查设备设施，确保接班时设施完好；</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7、如遇各学校有其他工作需要，安保人员应配合协助做好相关工作。</w:t>
            </w: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 xml:space="preserve"> 二、工作职责</w:t>
      </w:r>
    </w:p>
    <w:p>
      <w:pPr>
        <w:spacing w:line="360" w:lineRule="auto"/>
        <w:ind w:left="-3"/>
        <w:rPr>
          <w:rFonts w:ascii="宋体" w:hAnsi="宋体"/>
          <w:color w:val="auto"/>
          <w:szCs w:val="21"/>
          <w:highlight w:val="none"/>
        </w:rPr>
      </w:pPr>
      <w:r>
        <w:rPr>
          <w:rFonts w:hint="eastAsia" w:ascii="宋体" w:hAnsi="宋体"/>
          <w:color w:val="auto"/>
          <w:szCs w:val="21"/>
          <w:highlight w:val="none"/>
        </w:rPr>
        <w:t>1、乙方根据甲方要求，派遣安保人员，并与安保人员订立劳动合同，为安保人员办理相关劳动合同和社会保障事宜；</w:t>
      </w:r>
    </w:p>
    <w:p>
      <w:pPr>
        <w:spacing w:line="360" w:lineRule="auto"/>
        <w:rPr>
          <w:rFonts w:ascii="宋体" w:hAnsi="宋体"/>
          <w:color w:val="auto"/>
          <w:szCs w:val="21"/>
          <w:highlight w:val="none"/>
        </w:rPr>
      </w:pPr>
      <w:r>
        <w:rPr>
          <w:rFonts w:hint="eastAsia" w:ascii="宋体" w:hAnsi="宋体"/>
          <w:color w:val="auto"/>
          <w:szCs w:val="21"/>
          <w:highlight w:val="none"/>
        </w:rPr>
        <w:t>2、甲方对安保工作人员进行领导、工作管理，乙方协助管理；</w:t>
      </w:r>
    </w:p>
    <w:p>
      <w:pPr>
        <w:spacing w:line="360" w:lineRule="auto"/>
        <w:rPr>
          <w:rFonts w:ascii="宋体" w:hAnsi="宋体"/>
          <w:color w:val="auto"/>
          <w:szCs w:val="21"/>
          <w:highlight w:val="none"/>
        </w:rPr>
      </w:pPr>
      <w:r>
        <w:rPr>
          <w:rFonts w:hint="eastAsia" w:ascii="宋体" w:hAnsi="宋体"/>
          <w:color w:val="auto"/>
          <w:szCs w:val="21"/>
          <w:highlight w:val="none"/>
        </w:rPr>
        <w:t>3、乙方向甲方提供以下服务，包括但不限于：</w:t>
      </w:r>
    </w:p>
    <w:p>
      <w:pPr>
        <w:spacing w:line="360" w:lineRule="auto"/>
        <w:rPr>
          <w:rFonts w:ascii="宋体" w:hAnsi="宋体"/>
          <w:color w:val="auto"/>
          <w:szCs w:val="21"/>
          <w:highlight w:val="none"/>
        </w:rPr>
      </w:pPr>
      <w:r>
        <w:rPr>
          <w:rFonts w:hint="eastAsia" w:ascii="宋体" w:hAnsi="宋体"/>
          <w:color w:val="auto"/>
          <w:szCs w:val="21"/>
          <w:highlight w:val="none"/>
        </w:rPr>
        <w:t>（1）代办安保工作人员的招募、录用备案手续；</w:t>
      </w:r>
    </w:p>
    <w:p>
      <w:pPr>
        <w:spacing w:line="360" w:lineRule="auto"/>
        <w:rPr>
          <w:rFonts w:ascii="宋体" w:hAnsi="宋体"/>
          <w:color w:val="auto"/>
          <w:szCs w:val="21"/>
          <w:highlight w:val="none"/>
        </w:rPr>
      </w:pPr>
      <w:r>
        <w:rPr>
          <w:rFonts w:hint="eastAsia" w:ascii="宋体" w:hAnsi="宋体"/>
          <w:color w:val="auto"/>
          <w:szCs w:val="21"/>
          <w:highlight w:val="none"/>
        </w:rPr>
        <w:t>（2）调、退安保工作人员档案；</w:t>
      </w:r>
    </w:p>
    <w:p>
      <w:pPr>
        <w:spacing w:line="360" w:lineRule="auto"/>
        <w:rPr>
          <w:rFonts w:ascii="宋体" w:hAnsi="宋体"/>
          <w:color w:val="auto"/>
          <w:szCs w:val="21"/>
          <w:highlight w:val="none"/>
        </w:rPr>
      </w:pPr>
      <w:r>
        <w:rPr>
          <w:rFonts w:hint="eastAsia" w:ascii="宋体" w:hAnsi="宋体"/>
          <w:color w:val="auto"/>
          <w:szCs w:val="21"/>
          <w:highlight w:val="none"/>
        </w:rPr>
        <w:t>（3）代管、代建安保工作人员档案；</w:t>
      </w:r>
    </w:p>
    <w:p>
      <w:pPr>
        <w:spacing w:line="360" w:lineRule="auto"/>
        <w:rPr>
          <w:rFonts w:ascii="宋体" w:hAnsi="宋体"/>
          <w:color w:val="auto"/>
          <w:szCs w:val="21"/>
          <w:highlight w:val="none"/>
        </w:rPr>
      </w:pPr>
      <w:r>
        <w:rPr>
          <w:rFonts w:hint="eastAsia" w:ascii="宋体" w:hAnsi="宋体"/>
          <w:color w:val="auto"/>
          <w:szCs w:val="21"/>
          <w:highlight w:val="none"/>
        </w:rPr>
        <w:t>（4）出具与安保工作人员档案有关的相关证明；</w:t>
      </w:r>
    </w:p>
    <w:p>
      <w:pPr>
        <w:spacing w:line="360" w:lineRule="auto"/>
        <w:rPr>
          <w:rFonts w:ascii="宋体" w:hAnsi="宋体"/>
          <w:color w:val="auto"/>
          <w:szCs w:val="21"/>
          <w:highlight w:val="none"/>
        </w:rPr>
      </w:pPr>
      <w:r>
        <w:rPr>
          <w:rFonts w:hint="eastAsia" w:ascii="宋体" w:hAnsi="宋体"/>
          <w:color w:val="auto"/>
          <w:szCs w:val="21"/>
          <w:highlight w:val="none"/>
        </w:rPr>
        <w:t>（5）支付安保工作人员的工资、社会福利及缴纳各项社会保险等；</w:t>
      </w:r>
    </w:p>
    <w:p>
      <w:pPr>
        <w:spacing w:line="360" w:lineRule="auto"/>
        <w:rPr>
          <w:rFonts w:ascii="宋体" w:hAnsi="宋体"/>
          <w:color w:val="auto"/>
          <w:szCs w:val="21"/>
          <w:highlight w:val="none"/>
        </w:rPr>
      </w:pPr>
      <w:r>
        <w:rPr>
          <w:rFonts w:hint="eastAsia" w:ascii="宋体" w:hAnsi="宋体"/>
          <w:color w:val="auto"/>
          <w:szCs w:val="21"/>
          <w:highlight w:val="none"/>
        </w:rPr>
        <w:t>（6）负责安保工作人员的岗前培训工作；</w:t>
      </w:r>
    </w:p>
    <w:p>
      <w:pPr>
        <w:spacing w:line="360" w:lineRule="auto"/>
        <w:rPr>
          <w:rFonts w:hint="eastAsia" w:ascii="宋体" w:hAnsi="宋体"/>
          <w:color w:val="auto"/>
          <w:szCs w:val="21"/>
          <w:highlight w:val="none"/>
        </w:rPr>
      </w:pPr>
      <w:r>
        <w:rPr>
          <w:rFonts w:hint="eastAsia" w:ascii="宋体" w:hAnsi="宋体"/>
          <w:color w:val="auto"/>
          <w:szCs w:val="21"/>
          <w:highlight w:val="none"/>
        </w:rPr>
        <w:t>（7）处理安保工作人员的工伤纠纷、劳动争议。</w:t>
      </w:r>
    </w:p>
    <w:p>
      <w:pPr>
        <w:spacing w:line="360" w:lineRule="auto"/>
        <w:rPr>
          <w:rFonts w:hint="eastAsia" w:ascii="宋体" w:hAnsi="宋体"/>
          <w:color w:val="auto"/>
          <w:szCs w:val="21"/>
          <w:highlight w:val="none"/>
        </w:rPr>
      </w:pPr>
      <w:r>
        <w:rPr>
          <w:rFonts w:hint="eastAsia" w:ascii="宋体" w:hAnsi="宋体"/>
          <w:color w:val="auto"/>
          <w:szCs w:val="21"/>
          <w:highlight w:val="none"/>
        </w:rPr>
        <w:t>（8）其他与本项目有关的内容。</w:t>
      </w:r>
    </w:p>
    <w:p>
      <w:pPr>
        <w:spacing w:line="360" w:lineRule="auto"/>
        <w:rPr>
          <w:rFonts w:ascii="宋体" w:hAnsi="宋体"/>
          <w:color w:val="auto"/>
          <w:szCs w:val="21"/>
          <w:highlight w:val="none"/>
        </w:rPr>
      </w:pPr>
      <w:r>
        <w:rPr>
          <w:rFonts w:hint="eastAsia" w:ascii="宋体" w:hAnsi="宋体"/>
          <w:color w:val="auto"/>
          <w:szCs w:val="21"/>
          <w:highlight w:val="none"/>
        </w:rPr>
        <w:t>三、人员配备要求</w:t>
      </w:r>
    </w:p>
    <w:p>
      <w:pPr>
        <w:pStyle w:val="18"/>
        <w:spacing w:before="120" w:beforeLines="50" w:line="360" w:lineRule="auto"/>
        <w:ind w:left="0" w:leftChars="0" w:firstLine="0"/>
        <w:rPr>
          <w:rFonts w:ascii="宋体" w:hAnsi="宋体"/>
          <w:color w:val="auto"/>
          <w:sz w:val="21"/>
          <w:szCs w:val="21"/>
          <w:highlight w:val="none"/>
        </w:rPr>
      </w:pPr>
      <w:r>
        <w:rPr>
          <w:rFonts w:hint="eastAsia" w:ascii="宋体" w:hAnsi="宋体"/>
          <w:color w:val="auto"/>
          <w:sz w:val="21"/>
          <w:szCs w:val="21"/>
          <w:highlight w:val="none"/>
        </w:rPr>
        <w:t>（一）岗位数量</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2"/>
        <w:gridCol w:w="4584"/>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039" w:type="pct"/>
            <w:noWrap w:val="0"/>
            <w:vAlign w:val="center"/>
          </w:tcPr>
          <w:p>
            <w:pPr>
              <w:spacing w:line="360" w:lineRule="auto"/>
              <w:jc w:val="center"/>
              <w:rPr>
                <w:rFonts w:hint="eastAsia"/>
                <w:color w:val="auto"/>
                <w:kern w:val="2"/>
                <w:sz w:val="21"/>
                <w:szCs w:val="24"/>
                <w:highlight w:val="none"/>
                <w:vertAlign w:val="baseline"/>
                <w:lang w:val="en-US" w:eastAsia="zh-CN" w:bidi="ar-SA"/>
              </w:rPr>
            </w:pPr>
            <w:r>
              <w:rPr>
                <w:rFonts w:hint="eastAsia"/>
                <w:color w:val="auto"/>
                <w:highlight w:val="none"/>
                <w:vertAlign w:val="baseline"/>
                <w:lang w:val="en-US" w:eastAsia="zh-CN"/>
              </w:rPr>
              <w:t>序号</w:t>
            </w:r>
          </w:p>
        </w:tc>
        <w:tc>
          <w:tcPr>
            <w:tcW w:w="2688" w:type="pct"/>
            <w:noWrap w:val="0"/>
            <w:vAlign w:val="center"/>
          </w:tcPr>
          <w:p>
            <w:pPr>
              <w:spacing w:line="360" w:lineRule="auto"/>
              <w:jc w:val="center"/>
              <w:rPr>
                <w:rFonts w:hint="eastAsia"/>
                <w:color w:val="auto"/>
                <w:kern w:val="2"/>
                <w:sz w:val="21"/>
                <w:szCs w:val="24"/>
                <w:highlight w:val="none"/>
                <w:vertAlign w:val="baseline"/>
                <w:lang w:val="en-US" w:eastAsia="zh-CN" w:bidi="ar-SA"/>
              </w:rPr>
            </w:pPr>
            <w:r>
              <w:rPr>
                <w:rFonts w:hint="eastAsia"/>
                <w:color w:val="auto"/>
                <w:highlight w:val="none"/>
                <w:vertAlign w:val="baseline"/>
                <w:lang w:val="en-US" w:eastAsia="zh-CN"/>
              </w:rPr>
              <w:t>学校（幼儿园）</w:t>
            </w:r>
          </w:p>
        </w:tc>
        <w:tc>
          <w:tcPr>
            <w:tcW w:w="1272" w:type="pct"/>
            <w:noWrap w:val="0"/>
            <w:vAlign w:val="center"/>
          </w:tcPr>
          <w:p>
            <w:pPr>
              <w:spacing w:line="360" w:lineRule="auto"/>
              <w:jc w:val="center"/>
              <w:rPr>
                <w:rFonts w:hint="eastAsia"/>
                <w:color w:val="auto"/>
                <w:kern w:val="2"/>
                <w:sz w:val="21"/>
                <w:szCs w:val="24"/>
                <w:highlight w:val="none"/>
                <w:vertAlign w:val="baseline"/>
                <w:lang w:val="en-US" w:eastAsia="zh-CN" w:bidi="ar-SA"/>
              </w:rPr>
            </w:pPr>
            <w:r>
              <w:rPr>
                <w:rFonts w:hint="eastAsia"/>
                <w:color w:val="auto"/>
                <w:highlight w:val="none"/>
                <w:vertAlign w:val="baseline"/>
                <w:lang w:val="en-US" w:eastAsia="zh-CN"/>
              </w:rPr>
              <w:t>保安人数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039"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1</w:t>
            </w:r>
          </w:p>
        </w:tc>
        <w:tc>
          <w:tcPr>
            <w:tcW w:w="2688"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lang w:val="en-US" w:eastAsia="zh-CN"/>
              </w:rPr>
              <w:t>潘</w:t>
            </w:r>
            <w:r>
              <w:rPr>
                <w:rFonts w:hint="eastAsia"/>
                <w:color w:val="auto"/>
                <w:highlight w:val="none"/>
                <w:lang w:eastAsia="zh-CN"/>
              </w:rPr>
              <w:t>火实验中学</w:t>
            </w:r>
          </w:p>
        </w:tc>
        <w:tc>
          <w:tcPr>
            <w:tcW w:w="1272"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2</w:t>
            </w:r>
          </w:p>
        </w:tc>
        <w:tc>
          <w:tcPr>
            <w:tcW w:w="2688"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德培小学</w:t>
            </w:r>
          </w:p>
        </w:tc>
        <w:tc>
          <w:tcPr>
            <w:tcW w:w="1272"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3</w:t>
            </w:r>
          </w:p>
        </w:tc>
        <w:tc>
          <w:tcPr>
            <w:tcW w:w="2688"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lang w:eastAsia="zh-CN"/>
              </w:rPr>
              <w:t>东南小学教育集团</w:t>
            </w:r>
          </w:p>
        </w:tc>
        <w:tc>
          <w:tcPr>
            <w:tcW w:w="1272"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4</w:t>
            </w:r>
          </w:p>
        </w:tc>
        <w:tc>
          <w:tcPr>
            <w:tcW w:w="2688"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花园学校</w:t>
            </w:r>
          </w:p>
        </w:tc>
        <w:tc>
          <w:tcPr>
            <w:tcW w:w="1272"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5</w:t>
            </w:r>
          </w:p>
        </w:tc>
        <w:tc>
          <w:tcPr>
            <w:tcW w:w="2688"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东莺幼儿园</w:t>
            </w:r>
          </w:p>
        </w:tc>
        <w:tc>
          <w:tcPr>
            <w:tcW w:w="1272"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39"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6</w:t>
            </w:r>
          </w:p>
        </w:tc>
        <w:tc>
          <w:tcPr>
            <w:tcW w:w="2688"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德培幼儿园</w:t>
            </w:r>
          </w:p>
        </w:tc>
        <w:tc>
          <w:tcPr>
            <w:tcW w:w="1272"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7</w:t>
            </w:r>
          </w:p>
        </w:tc>
        <w:tc>
          <w:tcPr>
            <w:tcW w:w="2688"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东杰幼儿园</w:t>
            </w:r>
          </w:p>
        </w:tc>
        <w:tc>
          <w:tcPr>
            <w:tcW w:w="1272"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8</w:t>
            </w:r>
          </w:p>
        </w:tc>
        <w:tc>
          <w:tcPr>
            <w:tcW w:w="2688"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紫郡幼儿园</w:t>
            </w:r>
          </w:p>
        </w:tc>
        <w:tc>
          <w:tcPr>
            <w:tcW w:w="1272"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9</w:t>
            </w:r>
          </w:p>
        </w:tc>
        <w:tc>
          <w:tcPr>
            <w:tcW w:w="2688"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潘火中心幼儿园</w:t>
            </w:r>
          </w:p>
        </w:tc>
        <w:tc>
          <w:tcPr>
            <w:tcW w:w="1272"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10</w:t>
            </w:r>
          </w:p>
        </w:tc>
        <w:tc>
          <w:tcPr>
            <w:tcW w:w="2688"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上上幼儿园</w:t>
            </w:r>
          </w:p>
        </w:tc>
        <w:tc>
          <w:tcPr>
            <w:tcW w:w="1272"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11</w:t>
            </w:r>
          </w:p>
        </w:tc>
        <w:tc>
          <w:tcPr>
            <w:tcW w:w="2688"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格兰春天幼儿园</w:t>
            </w:r>
          </w:p>
        </w:tc>
        <w:tc>
          <w:tcPr>
            <w:tcW w:w="1272"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12</w:t>
            </w:r>
          </w:p>
        </w:tc>
        <w:tc>
          <w:tcPr>
            <w:tcW w:w="2688"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区实验幼儿园</w:t>
            </w:r>
          </w:p>
        </w:tc>
        <w:tc>
          <w:tcPr>
            <w:tcW w:w="1272"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039"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13</w:t>
            </w:r>
          </w:p>
        </w:tc>
        <w:tc>
          <w:tcPr>
            <w:tcW w:w="2688"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合计</w:t>
            </w:r>
          </w:p>
        </w:tc>
        <w:tc>
          <w:tcPr>
            <w:tcW w:w="1272" w:type="pct"/>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68</w:t>
            </w:r>
          </w:p>
        </w:tc>
      </w:tr>
    </w:tbl>
    <w:p>
      <w:pPr>
        <w:pStyle w:val="18"/>
        <w:spacing w:before="120" w:beforeLines="50" w:line="360" w:lineRule="auto"/>
        <w:ind w:left="0" w:leftChars="0" w:firstLine="0"/>
        <w:rPr>
          <w:rFonts w:hint="eastAsia" w:ascii="宋体" w:hAnsi="宋体"/>
          <w:color w:val="auto"/>
          <w:sz w:val="21"/>
          <w:szCs w:val="21"/>
          <w:highlight w:val="none"/>
        </w:rPr>
      </w:pPr>
      <w:r>
        <w:rPr>
          <w:rFonts w:hint="eastAsia" w:ascii="宋体" w:hAnsi="宋体"/>
          <w:color w:val="auto"/>
          <w:sz w:val="21"/>
          <w:szCs w:val="21"/>
          <w:highlight w:val="none"/>
        </w:rPr>
        <w:t>（二）人员要求</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1、乙方根据上述岗位合理配置人员，人员数量</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人。</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2、保安人员要求：男性；年龄</w:t>
      </w:r>
      <w:r>
        <w:rPr>
          <w:rFonts w:ascii="宋体" w:hAnsi="宋体"/>
          <w:color w:val="auto"/>
          <w:szCs w:val="21"/>
          <w:highlight w:val="none"/>
        </w:rPr>
        <w:t>60</w:t>
      </w:r>
      <w:r>
        <w:rPr>
          <w:rFonts w:hint="eastAsia" w:ascii="宋体" w:hAnsi="宋体"/>
          <w:color w:val="auto"/>
          <w:szCs w:val="21"/>
          <w:highlight w:val="none"/>
        </w:rPr>
        <w:t>周岁以下；身体健康，没有传染病及精神疾病等不能控制自己行为能力的疾病病史；体貌端正；没有违法犯罪记录；报请当地公安或***核查无误；所有保安人员上岗时必须持有保安员证，并受过专门岗前培训。</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保安人员需有吃苦耐劳精神，有高度的责任感，熟练掌握各项安保设施的运用，熟知学校各项规定，严格履行岗位职责，善于发现问题，具备一定的类似工作经验和处理突发事件的能力；</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3、乙方需设置项目负责人一名，全面负责日常保安队伍的管理，必须每星期到现场查岗；乙方须建立健全的内部管理体制。</w:t>
      </w:r>
    </w:p>
    <w:p>
      <w:pPr>
        <w:snapToGrid w:val="0"/>
        <w:spacing w:line="360" w:lineRule="auto"/>
        <w:rPr>
          <w:rFonts w:ascii="宋体" w:hAnsi="宋体"/>
          <w:color w:val="auto"/>
          <w:szCs w:val="21"/>
          <w:highlight w:val="none"/>
        </w:rPr>
      </w:pPr>
      <w:r>
        <w:rPr>
          <w:rFonts w:hint="eastAsia" w:ascii="宋体" w:hAnsi="宋体"/>
          <w:color w:val="auto"/>
          <w:szCs w:val="21"/>
          <w:highlight w:val="none"/>
        </w:rPr>
        <w:t>4、乙方须与配备的保安人员签定劳动合同，并按国家规定为保安人员缴纳社保。保安人员的应聘、录用、离职等要求手续齐全，档案管理规范，相关资料须报所在学校保卫科备案。</w:t>
      </w:r>
    </w:p>
    <w:p>
      <w:pPr>
        <w:snapToGrid w:val="0"/>
        <w:spacing w:line="360" w:lineRule="auto"/>
        <w:rPr>
          <w:rFonts w:ascii="宋体" w:hAnsi="宋体"/>
          <w:color w:val="auto"/>
          <w:szCs w:val="21"/>
          <w:highlight w:val="none"/>
        </w:rPr>
      </w:pPr>
      <w:r>
        <w:rPr>
          <w:rFonts w:hint="eastAsia" w:ascii="宋体" w:hAnsi="宋体"/>
          <w:color w:val="auto"/>
          <w:szCs w:val="21"/>
          <w:highlight w:val="none"/>
        </w:rPr>
        <w:t>5、乙方必须采取切实有效的措施保持保安队伍的稳定，控制人员的流动，如需要更换保安服务人员的，需提前一个月以书面形式通知甲方及相关学校分管领导，征得其同意后跟换保安服务人员。</w:t>
      </w:r>
    </w:p>
    <w:p>
      <w:pPr>
        <w:snapToGrid w:val="0"/>
        <w:spacing w:line="360" w:lineRule="auto"/>
        <w:rPr>
          <w:rFonts w:ascii="宋体" w:hAnsi="宋体"/>
          <w:color w:val="auto"/>
          <w:szCs w:val="21"/>
          <w:highlight w:val="none"/>
        </w:rPr>
      </w:pPr>
      <w:r>
        <w:rPr>
          <w:rFonts w:hint="eastAsia" w:ascii="宋体" w:hAnsi="宋体"/>
          <w:color w:val="auto"/>
          <w:szCs w:val="21"/>
          <w:highlight w:val="none"/>
        </w:rPr>
        <w:t>6、出现保安人员不能胜任保安工作或指出错误屡教不改的，应及时更换；</w:t>
      </w:r>
    </w:p>
    <w:p>
      <w:pPr>
        <w:snapToGrid w:val="0"/>
        <w:spacing w:line="360" w:lineRule="auto"/>
        <w:rPr>
          <w:rFonts w:ascii="宋体" w:hAnsi="宋体"/>
          <w:color w:val="auto"/>
          <w:szCs w:val="21"/>
          <w:highlight w:val="none"/>
        </w:rPr>
      </w:pPr>
      <w:r>
        <w:rPr>
          <w:rFonts w:hint="eastAsia" w:ascii="宋体" w:hAnsi="宋体"/>
          <w:color w:val="auto"/>
          <w:szCs w:val="21"/>
          <w:highlight w:val="none"/>
        </w:rPr>
        <w:t>7、保安人员在岗履行工作职责期间，发生自身的人身伤害、伤亡等各类事故，均由乙方负全部责任，甲方不承担任何责任；</w:t>
      </w:r>
    </w:p>
    <w:p>
      <w:pPr>
        <w:snapToGrid w:val="0"/>
        <w:spacing w:line="360" w:lineRule="auto"/>
        <w:rPr>
          <w:rFonts w:ascii="宋体" w:hAnsi="宋体"/>
          <w:color w:val="auto"/>
          <w:szCs w:val="21"/>
          <w:highlight w:val="none"/>
        </w:rPr>
      </w:pPr>
      <w:r>
        <w:rPr>
          <w:rFonts w:hint="eastAsia" w:ascii="宋体" w:hAnsi="宋体"/>
          <w:color w:val="auto"/>
          <w:szCs w:val="21"/>
          <w:highlight w:val="none"/>
        </w:rPr>
        <w:t>8、乙方在保安服务中，因过失造成他人人身伤亡或任何财产损失事故的，均由乙方负责处理并承担全部责任，甲方不承担任何责任；</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9、乙方与聘用人员发生任何纠纷，均由乙方自行处理，甲方不承担任何责任。</w:t>
      </w:r>
    </w:p>
    <w:p>
      <w:pPr>
        <w:snapToGrid w:val="0"/>
        <w:spacing w:line="360" w:lineRule="auto"/>
        <w:rPr>
          <w:rFonts w:ascii="宋体" w:hAnsi="宋体"/>
          <w:color w:val="auto"/>
          <w:szCs w:val="21"/>
          <w:highlight w:val="none"/>
        </w:rPr>
      </w:pPr>
      <w:r>
        <w:rPr>
          <w:rFonts w:hint="eastAsia" w:ascii="宋体" w:hAnsi="宋体"/>
          <w:color w:val="auto"/>
          <w:szCs w:val="21"/>
          <w:highlight w:val="none"/>
        </w:rPr>
        <w:t>四、装备要求：乙方完成本项目服务所需的服装费用，均由乙方自行解决，且须符合行业及甲方相关规范要求。</w:t>
      </w:r>
    </w:p>
    <w:p>
      <w:pPr>
        <w:spacing w:line="360" w:lineRule="auto"/>
        <w:rPr>
          <w:rFonts w:ascii="宋体" w:hAnsi="宋体"/>
          <w:color w:val="auto"/>
          <w:szCs w:val="21"/>
          <w:highlight w:val="none"/>
        </w:rPr>
      </w:pPr>
      <w:r>
        <w:rPr>
          <w:rFonts w:hint="eastAsia" w:ascii="宋体" w:hAnsi="宋体"/>
          <w:color w:val="auto"/>
          <w:szCs w:val="21"/>
          <w:highlight w:val="none"/>
        </w:rPr>
        <w:t>五、其他服务要求</w:t>
      </w:r>
    </w:p>
    <w:p>
      <w:pPr>
        <w:snapToGrid w:val="0"/>
        <w:spacing w:line="360" w:lineRule="auto"/>
        <w:rPr>
          <w:rFonts w:ascii="宋体" w:hAnsi="宋体"/>
          <w:color w:val="auto"/>
          <w:szCs w:val="21"/>
          <w:highlight w:val="none"/>
        </w:rPr>
      </w:pPr>
      <w:r>
        <w:rPr>
          <w:rFonts w:hint="eastAsia" w:ascii="宋体" w:hAnsi="宋体"/>
          <w:color w:val="auto"/>
          <w:szCs w:val="21"/>
          <w:highlight w:val="none"/>
        </w:rPr>
        <w:t>1、学校保安人员肩负着学校安全保卫重任，要有高度的责任感，严格遵守保安职业道德，工作时间要求在岗轮流值班，不得擅自离岗。</w:t>
      </w:r>
    </w:p>
    <w:p>
      <w:pPr>
        <w:snapToGrid w:val="0"/>
        <w:spacing w:line="360" w:lineRule="auto"/>
        <w:rPr>
          <w:rFonts w:ascii="宋体" w:hAnsi="宋体"/>
          <w:color w:val="auto"/>
          <w:szCs w:val="21"/>
          <w:highlight w:val="none"/>
        </w:rPr>
      </w:pPr>
      <w:r>
        <w:rPr>
          <w:rFonts w:hint="eastAsia" w:ascii="宋体" w:hAnsi="宋体"/>
          <w:color w:val="auto"/>
          <w:szCs w:val="21"/>
          <w:highlight w:val="none"/>
        </w:rPr>
        <w:t>2、做好拉闸门、教室门的开关工作。每天放学后巡逻时，检查学校、办公室内电灯、电扇、门窗是否关好，发现未关，应及时妥善处理，做好详细记录，要向学校政教处或后勤处领导汇报。</w:t>
      </w:r>
    </w:p>
    <w:p>
      <w:pPr>
        <w:snapToGrid w:val="0"/>
        <w:spacing w:line="360" w:lineRule="auto"/>
        <w:rPr>
          <w:rFonts w:ascii="宋体" w:hAnsi="宋体"/>
          <w:color w:val="auto"/>
          <w:szCs w:val="21"/>
          <w:highlight w:val="none"/>
        </w:rPr>
      </w:pPr>
      <w:r>
        <w:rPr>
          <w:rFonts w:hint="eastAsia" w:ascii="宋体" w:hAnsi="宋体"/>
          <w:color w:val="auto"/>
          <w:szCs w:val="21"/>
          <w:highlight w:val="none"/>
        </w:rPr>
        <w:t>3、学生在上学放学时间内，要及时排除校门外(离校门15米内)的摊点、车辆等堵塞障碍物，有效控制拥挤情况。按时做好大门的开关工作(早上七时准时上岗开校门，傍晚师生离校后关校门)，做到门开人在。</w:t>
      </w:r>
    </w:p>
    <w:p>
      <w:pPr>
        <w:snapToGrid w:val="0"/>
        <w:spacing w:line="360" w:lineRule="auto"/>
        <w:rPr>
          <w:rFonts w:ascii="宋体" w:hAnsi="宋体"/>
          <w:color w:val="auto"/>
          <w:szCs w:val="21"/>
          <w:highlight w:val="none"/>
        </w:rPr>
      </w:pPr>
      <w:r>
        <w:rPr>
          <w:rFonts w:hint="eastAsia" w:ascii="宋体" w:hAnsi="宋体"/>
          <w:color w:val="auto"/>
          <w:szCs w:val="21"/>
          <w:highlight w:val="none"/>
        </w:rPr>
        <w:t>4、态度和蔼、语言谦虚，不急不躁，认真细致、耐心；不得冷淡、刁难、取笑他人，不得与学生打闹。</w:t>
      </w:r>
    </w:p>
    <w:p>
      <w:pPr>
        <w:snapToGrid w:val="0"/>
        <w:spacing w:line="360" w:lineRule="auto"/>
        <w:rPr>
          <w:rFonts w:ascii="宋体" w:hAnsi="宋体"/>
          <w:color w:val="auto"/>
          <w:szCs w:val="21"/>
          <w:highlight w:val="none"/>
        </w:rPr>
      </w:pPr>
      <w:r>
        <w:rPr>
          <w:rFonts w:hint="eastAsia" w:ascii="宋体" w:hAnsi="宋体"/>
          <w:color w:val="auto"/>
          <w:szCs w:val="21"/>
          <w:highlight w:val="none"/>
        </w:rPr>
        <w:t>5、与教师、学生或来访者交谈要使用普通话，说话要清楚，用词准确、言简易懂，不讲与工作无关的话，不讲有损学校形象的话。</w:t>
      </w:r>
    </w:p>
    <w:p>
      <w:pPr>
        <w:snapToGrid w:val="0"/>
        <w:spacing w:line="360" w:lineRule="auto"/>
        <w:rPr>
          <w:rFonts w:ascii="宋体" w:hAnsi="宋体"/>
          <w:color w:val="auto"/>
          <w:szCs w:val="21"/>
          <w:highlight w:val="none"/>
        </w:rPr>
      </w:pPr>
      <w:r>
        <w:rPr>
          <w:rFonts w:hint="eastAsia" w:ascii="宋体" w:hAnsi="宋体"/>
          <w:color w:val="auto"/>
          <w:szCs w:val="21"/>
          <w:highlight w:val="none"/>
        </w:rPr>
        <w:t>6、教职工到来，应主动迎接，认真听取教职工的意见，遇需要帮助的情形，在保证安全的前提下提供力所能及的帮助，因影响安全不能帮助的，应主动解释力求得到谅解。</w:t>
      </w:r>
    </w:p>
    <w:p>
      <w:pPr>
        <w:snapToGrid w:val="0"/>
        <w:spacing w:line="360" w:lineRule="auto"/>
        <w:rPr>
          <w:rFonts w:ascii="宋体" w:hAnsi="宋体"/>
          <w:color w:val="auto"/>
          <w:szCs w:val="21"/>
          <w:highlight w:val="none"/>
        </w:rPr>
      </w:pPr>
      <w:r>
        <w:rPr>
          <w:rFonts w:hint="eastAsia" w:ascii="宋体" w:hAnsi="宋体"/>
          <w:color w:val="auto"/>
          <w:szCs w:val="21"/>
          <w:highlight w:val="none"/>
        </w:rPr>
        <w:t>7、各种意见或投诉要认真听取，弄清情况，做好笔录，及时处理，如非本职工作范围，即时通知责任人或向领导汇报。</w:t>
      </w:r>
    </w:p>
    <w:p>
      <w:pPr>
        <w:snapToGrid w:val="0"/>
        <w:spacing w:line="360" w:lineRule="auto"/>
        <w:rPr>
          <w:rFonts w:ascii="宋体" w:hAnsi="宋体"/>
          <w:color w:val="auto"/>
          <w:szCs w:val="21"/>
          <w:highlight w:val="none"/>
        </w:rPr>
      </w:pPr>
      <w:r>
        <w:rPr>
          <w:rFonts w:hint="eastAsia" w:ascii="宋体" w:hAnsi="宋体"/>
          <w:color w:val="auto"/>
          <w:szCs w:val="21"/>
          <w:highlight w:val="none"/>
        </w:rPr>
        <w:t>8、业务训练是保安员工作的一个重要组成部分，每位保安员都须参加乙方组织的全部训练。保安员要主动进行业务练兵，摸熟摸透与安全、消防相关的环境、设施等，掌握接待、应对方式，提高业务知识、技能，提高工作效率。保安员的专业技能培训每学期不少于1次。</w:t>
      </w:r>
    </w:p>
    <w:p>
      <w:pPr>
        <w:snapToGrid w:val="0"/>
        <w:spacing w:line="360" w:lineRule="auto"/>
        <w:rPr>
          <w:rFonts w:ascii="宋体" w:hAnsi="宋体"/>
          <w:color w:val="auto"/>
          <w:szCs w:val="21"/>
          <w:highlight w:val="none"/>
        </w:rPr>
      </w:pPr>
      <w:r>
        <w:rPr>
          <w:rFonts w:hint="eastAsia" w:ascii="宋体" w:hAnsi="宋体"/>
          <w:color w:val="auto"/>
          <w:szCs w:val="21"/>
          <w:highlight w:val="none"/>
        </w:rPr>
        <w:t>9、妥善保管并用好保安工作的八件套装备（防暴头盔、防护盾牌、防刺背心、防割手套、橡胶警棍、强光电筒、自卫喷雾剂、安全钢叉），定期检查安保器械，确保“八件套”、110紧急报警按钮、报警设备和校内视频处于正常运行状态，发现问题及时上报学校，并作好记录。</w:t>
      </w:r>
    </w:p>
    <w:p>
      <w:pPr>
        <w:snapToGrid w:val="0"/>
        <w:spacing w:line="360" w:lineRule="auto"/>
        <w:rPr>
          <w:rFonts w:ascii="宋体" w:hAnsi="宋体"/>
          <w:color w:val="auto"/>
          <w:szCs w:val="21"/>
          <w:highlight w:val="none"/>
        </w:rPr>
      </w:pPr>
      <w:r>
        <w:rPr>
          <w:rFonts w:hint="eastAsia" w:ascii="宋体" w:hAnsi="宋体"/>
          <w:color w:val="auto"/>
          <w:szCs w:val="21"/>
          <w:highlight w:val="none"/>
        </w:rPr>
        <w:t>10、所有保安员须熟悉学校所有物防技防设备、报警设备，正确并熟练使用学校物防技防等器材。督促、指导学校做好每月一次、幼儿园每季一次的应急演练工作(如消防、防暴、防震、防空等)。</w:t>
      </w:r>
    </w:p>
    <w:p>
      <w:pPr>
        <w:snapToGrid w:val="0"/>
        <w:spacing w:line="360" w:lineRule="auto"/>
        <w:rPr>
          <w:rFonts w:ascii="宋体" w:hAnsi="宋体"/>
          <w:color w:val="auto"/>
          <w:szCs w:val="21"/>
          <w:highlight w:val="none"/>
        </w:rPr>
      </w:pPr>
      <w:r>
        <w:rPr>
          <w:rFonts w:hint="eastAsia" w:ascii="宋体" w:hAnsi="宋体"/>
          <w:color w:val="auto"/>
          <w:szCs w:val="21"/>
          <w:highlight w:val="none"/>
        </w:rPr>
        <w:t>11、完成学校交办的其它相关工作，既要明确责任分工，又要加强合作。</w:t>
      </w:r>
    </w:p>
    <w:p>
      <w:pPr>
        <w:snapToGrid w:val="0"/>
        <w:spacing w:line="360" w:lineRule="auto"/>
        <w:rPr>
          <w:rFonts w:ascii="宋体" w:hAnsi="宋体"/>
          <w:color w:val="auto"/>
          <w:szCs w:val="21"/>
          <w:highlight w:val="none"/>
        </w:rPr>
      </w:pPr>
      <w:r>
        <w:rPr>
          <w:rFonts w:hint="eastAsia" w:ascii="宋体" w:hAnsi="宋体"/>
          <w:color w:val="auto"/>
          <w:szCs w:val="21"/>
          <w:highlight w:val="none"/>
        </w:rPr>
        <w:t>12、配合公安机关，打击各类违法犯罪活动。</w:t>
      </w:r>
    </w:p>
    <w:p>
      <w:pPr>
        <w:snapToGrid w:val="0"/>
        <w:spacing w:line="360" w:lineRule="auto"/>
        <w:rPr>
          <w:rFonts w:ascii="宋体" w:hAnsi="宋体"/>
          <w:color w:val="auto"/>
          <w:szCs w:val="21"/>
          <w:highlight w:val="none"/>
        </w:rPr>
      </w:pPr>
      <w:r>
        <w:rPr>
          <w:rFonts w:hint="eastAsia" w:ascii="宋体" w:hAnsi="宋体"/>
          <w:color w:val="auto"/>
          <w:szCs w:val="21"/>
          <w:highlight w:val="none"/>
        </w:rPr>
        <w:t>13、乙方如因工作失职，造成学校财产损失或人员伤亡，承担全部责任。</w:t>
      </w:r>
    </w:p>
    <w:p>
      <w:pPr>
        <w:spacing w:line="360" w:lineRule="auto"/>
        <w:rPr>
          <w:rFonts w:ascii="宋体" w:hAnsi="宋体"/>
          <w:color w:val="auto"/>
          <w:szCs w:val="21"/>
          <w:highlight w:val="none"/>
        </w:rPr>
      </w:pPr>
      <w:r>
        <w:rPr>
          <w:rFonts w:hint="eastAsia" w:ascii="宋体" w:hAnsi="宋体"/>
          <w:color w:val="auto"/>
          <w:szCs w:val="21"/>
          <w:highlight w:val="none"/>
        </w:rPr>
        <w:t>六、其他说明</w:t>
      </w:r>
    </w:p>
    <w:p>
      <w:pPr>
        <w:snapToGrid w:val="0"/>
        <w:spacing w:line="360" w:lineRule="auto"/>
        <w:rPr>
          <w:rFonts w:ascii="宋体" w:hAnsi="宋体"/>
          <w:color w:val="auto"/>
          <w:szCs w:val="21"/>
          <w:highlight w:val="none"/>
        </w:rPr>
      </w:pPr>
      <w:r>
        <w:rPr>
          <w:rFonts w:hint="eastAsia" w:ascii="宋体" w:hAnsi="宋体"/>
          <w:color w:val="auto"/>
          <w:szCs w:val="21"/>
          <w:highlight w:val="none"/>
        </w:rPr>
        <w:t>1、供应商提供的服务须确保能满足甲方提出的要求。</w:t>
      </w:r>
    </w:p>
    <w:p>
      <w:pPr>
        <w:snapToGrid w:val="0"/>
        <w:spacing w:line="360" w:lineRule="auto"/>
        <w:rPr>
          <w:rFonts w:ascii="宋体" w:hAnsi="宋体"/>
          <w:color w:val="auto"/>
          <w:szCs w:val="21"/>
          <w:highlight w:val="none"/>
        </w:rPr>
      </w:pPr>
      <w:r>
        <w:rPr>
          <w:rFonts w:hint="eastAsia" w:ascii="宋体" w:hAnsi="宋体"/>
          <w:color w:val="auto"/>
          <w:szCs w:val="21"/>
          <w:highlight w:val="none"/>
        </w:rPr>
        <w:t>2、保安人员的吃、住等生活问题，由乙方自行解决。</w:t>
      </w:r>
    </w:p>
    <w:p>
      <w:pPr>
        <w:snapToGrid w:val="0"/>
        <w:spacing w:line="360" w:lineRule="auto"/>
        <w:rPr>
          <w:rFonts w:ascii="宋体" w:hAnsi="宋体"/>
          <w:color w:val="auto"/>
          <w:szCs w:val="21"/>
          <w:highlight w:val="none"/>
        </w:rPr>
      </w:pPr>
      <w:r>
        <w:rPr>
          <w:rFonts w:hint="eastAsia" w:ascii="宋体" w:hAnsi="宋体"/>
          <w:color w:val="auto"/>
          <w:szCs w:val="21"/>
          <w:highlight w:val="none"/>
        </w:rPr>
        <w:t>3、乙方需制订用工计划和加强劳动用工管理，须符合劳动法律法规以及宁波市相关政策规定，根据国家规定应支付的各项费用由乙方支付给保安人员，包括工资、津贴、社会保险等；承担体检、培训费用，并负责办理上岗人员的暂住证等有关证件，保证满足工作需要。</w:t>
      </w:r>
    </w:p>
    <w:p>
      <w:pPr>
        <w:snapToGrid w:val="0"/>
        <w:spacing w:line="360" w:lineRule="auto"/>
        <w:rPr>
          <w:rFonts w:ascii="宋体" w:hAnsi="宋体"/>
          <w:color w:val="auto"/>
          <w:szCs w:val="21"/>
          <w:highlight w:val="none"/>
        </w:rPr>
      </w:pPr>
      <w:r>
        <w:rPr>
          <w:rFonts w:hint="eastAsia" w:ascii="宋体" w:hAnsi="宋体"/>
          <w:color w:val="auto"/>
          <w:szCs w:val="21"/>
          <w:highlight w:val="none"/>
        </w:rPr>
        <w:t>4、配置保安人员缺岗的扣除缺岗人员的相应费用。缺岗人数累加超过10人次/年的，甲方有权终止合同。</w:t>
      </w:r>
    </w:p>
    <w:p>
      <w:pPr>
        <w:snapToGrid w:val="0"/>
        <w:spacing w:line="360" w:lineRule="auto"/>
        <w:rPr>
          <w:rFonts w:ascii="宋体" w:hAnsi="宋体"/>
          <w:color w:val="auto"/>
          <w:szCs w:val="21"/>
          <w:highlight w:val="none"/>
        </w:rPr>
      </w:pPr>
      <w:r>
        <w:rPr>
          <w:rFonts w:hint="eastAsia" w:ascii="宋体" w:hAnsi="宋体"/>
          <w:color w:val="auto"/>
          <w:szCs w:val="21"/>
          <w:highlight w:val="none"/>
        </w:rPr>
        <w:t>5、在履行合同期间，年度服务金额不作调整。</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6、若遇各类创建活动、特殊天气等特殊时期，乙方需无条件服从甲方、学校的指挥，如甲方要求增配人员或延时作业的，乙方须配合，特殊时期额外产生的费用不另行向甲方收费。</w:t>
      </w:r>
    </w:p>
    <w:p>
      <w:pPr>
        <w:snapToGrid w:val="0"/>
        <w:spacing w:line="360" w:lineRule="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7、本项目报价包含“双减政策”下的加班费及其他一切费用，投标人应充分考虑此项内容，委托人不再额外支付。</w:t>
      </w:r>
    </w:p>
    <w:p>
      <w:pPr>
        <w:snapToGrid w:val="0"/>
        <w:spacing w:line="360" w:lineRule="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8、按业主要求需临时增加保安人员，中标单位应积极配合业主完成此项内容，所产生的费用经双方协议另行支付。</w:t>
      </w:r>
    </w:p>
    <w:p>
      <w:pPr>
        <w:pStyle w:val="11"/>
        <w:snapToGrid w:val="0"/>
        <w:spacing w:before="120" w:after="120" w:line="360" w:lineRule="auto"/>
        <w:rPr>
          <w:rFonts w:ascii="宋体" w:hAnsi="宋体" w:eastAsia="宋体" w:cs="Times New Roman"/>
          <w:b/>
          <w:color w:val="auto"/>
          <w:sz w:val="21"/>
          <w:highlight w:val="none"/>
        </w:rPr>
      </w:pPr>
      <w:r>
        <w:rPr>
          <w:rFonts w:hint="eastAsia" w:ascii="宋体" w:hAnsi="宋体" w:eastAsia="宋体" w:cs="Times New Roman"/>
          <w:b/>
          <w:color w:val="auto"/>
          <w:sz w:val="21"/>
          <w:highlight w:val="none"/>
        </w:rPr>
        <w:t>七、考核与经费的核拨详见合同附件。</w:t>
      </w:r>
    </w:p>
    <w:p>
      <w:pPr>
        <w:pStyle w:val="11"/>
        <w:snapToGrid w:val="0"/>
        <w:spacing w:before="120" w:after="120" w:line="360" w:lineRule="auto"/>
        <w:rPr>
          <w:rFonts w:hAnsi="宋体"/>
          <w:b/>
          <w:color w:val="auto"/>
          <w:sz w:val="21"/>
          <w:highlight w:val="none"/>
        </w:rPr>
      </w:pPr>
      <w:r>
        <w:rPr>
          <w:rFonts w:hint="eastAsia" w:hAnsi="宋体"/>
          <w:b/>
          <w:color w:val="auto"/>
          <w:sz w:val="21"/>
          <w:highlight w:val="none"/>
        </w:rPr>
        <w:t>八</w:t>
      </w:r>
      <w:r>
        <w:rPr>
          <w:rFonts w:hAnsi="宋体"/>
          <w:b/>
          <w:color w:val="auto"/>
          <w:sz w:val="21"/>
          <w:highlight w:val="none"/>
        </w:rPr>
        <w:t>、不可抗力事件处理</w:t>
      </w:r>
    </w:p>
    <w:p>
      <w:pPr>
        <w:pStyle w:val="11"/>
        <w:snapToGrid w:val="0"/>
        <w:spacing w:before="120" w:after="120" w:line="360" w:lineRule="auto"/>
        <w:rPr>
          <w:rFonts w:hAnsi="宋体"/>
          <w:color w:val="auto"/>
          <w:sz w:val="21"/>
          <w:highlight w:val="none"/>
        </w:rPr>
      </w:pPr>
      <w:r>
        <w:rPr>
          <w:rFonts w:hint="eastAsia" w:hAnsi="宋体"/>
          <w:color w:val="auto"/>
          <w:sz w:val="21"/>
          <w:highlight w:val="none"/>
        </w:rPr>
        <w:t>8</w:t>
      </w:r>
      <w:r>
        <w:rPr>
          <w:rFonts w:hAnsi="宋体"/>
          <w:color w:val="auto"/>
          <w:sz w:val="21"/>
          <w:highlight w:val="none"/>
        </w:rPr>
        <w:t>.1 在合同有效期内，任何一方因不可抗力事件导致不能履行合同，则合同履行期可延长，其延长期与不可抗力影响期相同。</w:t>
      </w:r>
    </w:p>
    <w:p>
      <w:pPr>
        <w:pStyle w:val="11"/>
        <w:snapToGrid w:val="0"/>
        <w:spacing w:before="120" w:after="120" w:line="360" w:lineRule="auto"/>
        <w:rPr>
          <w:rFonts w:hAnsi="宋体"/>
          <w:color w:val="auto"/>
          <w:sz w:val="21"/>
          <w:highlight w:val="none"/>
        </w:rPr>
      </w:pPr>
      <w:r>
        <w:rPr>
          <w:rFonts w:hint="eastAsia" w:hAnsi="宋体"/>
          <w:color w:val="auto"/>
          <w:sz w:val="21"/>
          <w:highlight w:val="none"/>
        </w:rPr>
        <w:t>8</w:t>
      </w:r>
      <w:r>
        <w:rPr>
          <w:rFonts w:hAnsi="宋体"/>
          <w:color w:val="auto"/>
          <w:sz w:val="21"/>
          <w:highlight w:val="none"/>
        </w:rPr>
        <w:t>.2 不可抗力事件发生后，应立即通知对方，并寄送有关权威机构出具的证明。</w:t>
      </w:r>
    </w:p>
    <w:p>
      <w:pPr>
        <w:pStyle w:val="11"/>
        <w:snapToGrid w:val="0"/>
        <w:spacing w:before="120" w:after="120" w:line="360" w:lineRule="auto"/>
        <w:rPr>
          <w:rFonts w:hAnsi="宋体"/>
          <w:color w:val="auto"/>
          <w:sz w:val="21"/>
          <w:highlight w:val="none"/>
        </w:rPr>
      </w:pPr>
      <w:r>
        <w:rPr>
          <w:rFonts w:hint="eastAsia" w:hAnsi="宋体"/>
          <w:color w:val="auto"/>
          <w:sz w:val="21"/>
          <w:highlight w:val="none"/>
        </w:rPr>
        <w:t>8</w:t>
      </w:r>
      <w:r>
        <w:rPr>
          <w:rFonts w:hAnsi="宋体"/>
          <w:color w:val="auto"/>
          <w:sz w:val="21"/>
          <w:highlight w:val="none"/>
        </w:rPr>
        <w:t>.3 不可抗力事件延续120天以上，双方应通过友好协商，确定是否继续履行合同。</w:t>
      </w:r>
    </w:p>
    <w:p>
      <w:pPr>
        <w:pStyle w:val="11"/>
        <w:snapToGrid w:val="0"/>
        <w:spacing w:before="120" w:after="120" w:line="360" w:lineRule="auto"/>
        <w:rPr>
          <w:rFonts w:hAnsi="宋体"/>
          <w:b/>
          <w:color w:val="auto"/>
          <w:sz w:val="21"/>
          <w:highlight w:val="none"/>
        </w:rPr>
      </w:pPr>
      <w:r>
        <w:rPr>
          <w:rFonts w:hint="eastAsia" w:hAnsi="宋体"/>
          <w:b/>
          <w:color w:val="auto"/>
          <w:sz w:val="21"/>
          <w:highlight w:val="none"/>
        </w:rPr>
        <w:t>九</w:t>
      </w:r>
      <w:r>
        <w:rPr>
          <w:rFonts w:hAnsi="宋体"/>
          <w:b/>
          <w:color w:val="auto"/>
          <w:sz w:val="21"/>
          <w:highlight w:val="none"/>
        </w:rPr>
        <w:t>、诉讼</w:t>
      </w:r>
    </w:p>
    <w:p>
      <w:pPr>
        <w:pStyle w:val="11"/>
        <w:snapToGrid w:val="0"/>
        <w:spacing w:before="120" w:after="120" w:line="360" w:lineRule="auto"/>
        <w:rPr>
          <w:rFonts w:hAnsi="宋体"/>
          <w:color w:val="auto"/>
          <w:sz w:val="21"/>
          <w:highlight w:val="none"/>
        </w:rPr>
      </w:pPr>
      <w:r>
        <w:rPr>
          <w:rFonts w:hint="eastAsia" w:hAnsi="宋体"/>
          <w:color w:val="auto"/>
          <w:sz w:val="21"/>
          <w:highlight w:val="none"/>
        </w:rPr>
        <w:t>9</w:t>
      </w:r>
      <w:r>
        <w:rPr>
          <w:rFonts w:hAnsi="宋体"/>
          <w:color w:val="auto"/>
          <w:sz w:val="21"/>
          <w:highlight w:val="none"/>
        </w:rPr>
        <w:t>.1 双方在执行合同中所发生的一切争议，应通过协商解决。如协商不成，可向合同签订地法院起诉。</w:t>
      </w:r>
    </w:p>
    <w:p>
      <w:pPr>
        <w:pStyle w:val="11"/>
        <w:snapToGrid w:val="0"/>
        <w:spacing w:before="120" w:after="120" w:line="360" w:lineRule="auto"/>
        <w:rPr>
          <w:rFonts w:hAnsi="宋体"/>
          <w:b/>
          <w:color w:val="auto"/>
          <w:sz w:val="21"/>
          <w:highlight w:val="none"/>
        </w:rPr>
      </w:pPr>
      <w:r>
        <w:rPr>
          <w:rFonts w:hAnsi="宋体"/>
          <w:b/>
          <w:color w:val="auto"/>
          <w:sz w:val="21"/>
          <w:highlight w:val="none"/>
        </w:rPr>
        <w:t>十、合同生效及其它</w:t>
      </w:r>
    </w:p>
    <w:p>
      <w:pPr>
        <w:pStyle w:val="11"/>
        <w:snapToGrid w:val="0"/>
        <w:spacing w:before="120" w:after="120" w:line="360" w:lineRule="auto"/>
        <w:rPr>
          <w:rFonts w:hAnsi="宋体"/>
          <w:color w:val="auto"/>
          <w:sz w:val="21"/>
          <w:highlight w:val="none"/>
        </w:rPr>
      </w:pPr>
      <w:r>
        <w:rPr>
          <w:rFonts w:hAnsi="宋体"/>
          <w:color w:val="auto"/>
          <w:sz w:val="21"/>
          <w:highlight w:val="none"/>
        </w:rPr>
        <w:t>1</w:t>
      </w:r>
      <w:r>
        <w:rPr>
          <w:rFonts w:hint="eastAsia" w:hAnsi="宋体"/>
          <w:color w:val="auto"/>
          <w:sz w:val="21"/>
          <w:highlight w:val="none"/>
        </w:rPr>
        <w:t>0</w:t>
      </w:r>
      <w:r>
        <w:rPr>
          <w:rFonts w:hAnsi="宋体"/>
          <w:color w:val="auto"/>
          <w:sz w:val="21"/>
          <w:highlight w:val="none"/>
        </w:rPr>
        <w:t>.1 合同经双方法定代表人或授权委托代理人签字并加盖单位公章</w:t>
      </w:r>
      <w:r>
        <w:rPr>
          <w:rFonts w:hint="eastAsia" w:hAnsi="宋体"/>
          <w:color w:val="auto"/>
          <w:sz w:val="21"/>
          <w:highlight w:val="none"/>
        </w:rPr>
        <w:t>并由乙方缴纳履约保证金</w:t>
      </w:r>
      <w:r>
        <w:rPr>
          <w:rFonts w:hAnsi="宋体"/>
          <w:color w:val="auto"/>
          <w:sz w:val="21"/>
          <w:highlight w:val="none"/>
        </w:rPr>
        <w:t>后生效。</w:t>
      </w:r>
    </w:p>
    <w:p>
      <w:pPr>
        <w:pStyle w:val="11"/>
        <w:snapToGrid w:val="0"/>
        <w:spacing w:before="120" w:after="120" w:line="360" w:lineRule="auto"/>
        <w:rPr>
          <w:rFonts w:hAnsi="宋体"/>
          <w:color w:val="auto"/>
          <w:sz w:val="21"/>
          <w:highlight w:val="none"/>
        </w:rPr>
      </w:pPr>
      <w:r>
        <w:rPr>
          <w:rFonts w:hAnsi="宋体"/>
          <w:color w:val="auto"/>
          <w:sz w:val="21"/>
          <w:highlight w:val="none"/>
        </w:rPr>
        <w:t>1</w:t>
      </w:r>
      <w:r>
        <w:rPr>
          <w:rFonts w:hint="eastAsia" w:hAnsi="宋体"/>
          <w:color w:val="auto"/>
          <w:sz w:val="21"/>
          <w:highlight w:val="none"/>
        </w:rPr>
        <w:t>0</w:t>
      </w:r>
      <w:r>
        <w:rPr>
          <w:rFonts w:hAnsi="宋体"/>
          <w:color w:val="auto"/>
          <w:sz w:val="21"/>
          <w:highlight w:val="none"/>
        </w:rPr>
        <w:t>.2合同执行中涉及采购资金和采购内容修改或补充的，须经</w:t>
      </w:r>
      <w:r>
        <w:rPr>
          <w:rFonts w:hint="eastAsia" w:hAnsi="宋体"/>
          <w:color w:val="auto"/>
          <w:sz w:val="21"/>
          <w:highlight w:val="none"/>
          <w:lang w:eastAsia="zh-CN"/>
        </w:rPr>
        <w:t>鄞州</w:t>
      </w:r>
      <w:r>
        <w:rPr>
          <w:rFonts w:hint="eastAsia" w:hAnsi="宋体"/>
          <w:color w:val="auto"/>
          <w:sz w:val="21"/>
          <w:highlight w:val="none"/>
        </w:rPr>
        <w:t>区</w:t>
      </w:r>
      <w:r>
        <w:rPr>
          <w:rFonts w:hAnsi="宋体"/>
          <w:color w:val="auto"/>
          <w:sz w:val="21"/>
          <w:highlight w:val="none"/>
        </w:rPr>
        <w:t>财政部门审批，并签书面补充协议报政府采购监督管理部门备案，方可作为主合同不可分割的一部分。</w:t>
      </w:r>
    </w:p>
    <w:p>
      <w:pPr>
        <w:pStyle w:val="11"/>
        <w:snapToGrid w:val="0"/>
        <w:spacing w:before="120" w:after="120" w:line="360" w:lineRule="auto"/>
        <w:ind w:left="420" w:hanging="420" w:hangingChars="200"/>
        <w:rPr>
          <w:rFonts w:hAnsi="宋体"/>
          <w:color w:val="auto"/>
          <w:sz w:val="21"/>
          <w:highlight w:val="none"/>
        </w:rPr>
      </w:pPr>
      <w:r>
        <w:rPr>
          <w:rFonts w:hAnsi="宋体"/>
          <w:color w:val="auto"/>
          <w:sz w:val="21"/>
          <w:highlight w:val="none"/>
        </w:rPr>
        <w:t>1</w:t>
      </w:r>
      <w:r>
        <w:rPr>
          <w:rFonts w:hint="eastAsia" w:hAnsi="宋体"/>
          <w:color w:val="auto"/>
          <w:sz w:val="21"/>
          <w:highlight w:val="none"/>
        </w:rPr>
        <w:t>0</w:t>
      </w:r>
      <w:r>
        <w:rPr>
          <w:rFonts w:hAnsi="宋体"/>
          <w:color w:val="auto"/>
          <w:sz w:val="21"/>
          <w:highlight w:val="none"/>
        </w:rPr>
        <w:t>.3本合同未尽事宜，遵照《合同法》有关条文</w:t>
      </w:r>
      <w:r>
        <w:rPr>
          <w:rFonts w:hint="eastAsia" w:hAnsi="宋体"/>
          <w:color w:val="auto"/>
          <w:sz w:val="21"/>
          <w:highlight w:val="none"/>
        </w:rPr>
        <w:t>、补充协议、投标承诺、投标文件、招标文件及补充</w:t>
      </w:r>
      <w:r>
        <w:rPr>
          <w:rFonts w:hAnsi="宋体"/>
          <w:color w:val="auto"/>
          <w:sz w:val="21"/>
          <w:highlight w:val="none"/>
        </w:rPr>
        <w:t>执行。</w:t>
      </w:r>
    </w:p>
    <w:p>
      <w:pPr>
        <w:pStyle w:val="11"/>
        <w:snapToGrid w:val="0"/>
        <w:spacing w:before="120" w:after="120" w:line="360" w:lineRule="auto"/>
        <w:rPr>
          <w:rFonts w:hAnsi="宋体"/>
          <w:color w:val="auto"/>
          <w:sz w:val="21"/>
          <w:highlight w:val="none"/>
        </w:rPr>
      </w:pPr>
      <w:r>
        <w:rPr>
          <w:rFonts w:hAnsi="宋体"/>
          <w:color w:val="auto"/>
          <w:sz w:val="21"/>
          <w:highlight w:val="none"/>
        </w:rPr>
        <w:t>1</w:t>
      </w:r>
      <w:r>
        <w:rPr>
          <w:rFonts w:hint="eastAsia" w:hAnsi="宋体"/>
          <w:color w:val="auto"/>
          <w:sz w:val="21"/>
          <w:highlight w:val="none"/>
        </w:rPr>
        <w:t>0</w:t>
      </w:r>
      <w:r>
        <w:rPr>
          <w:rFonts w:hAnsi="宋体"/>
          <w:color w:val="auto"/>
          <w:sz w:val="21"/>
          <w:highlight w:val="none"/>
        </w:rPr>
        <w:t>.4 本合同正本一式两份，甲乙双方各执一份；副本</w:t>
      </w:r>
      <w:r>
        <w:rPr>
          <w:rFonts w:hAnsi="宋体"/>
          <w:b/>
          <w:color w:val="auto"/>
          <w:sz w:val="21"/>
          <w:highlight w:val="none"/>
        </w:rPr>
        <w:t xml:space="preserve">   </w:t>
      </w:r>
      <w:r>
        <w:rPr>
          <w:rFonts w:hAnsi="宋体"/>
          <w:color w:val="auto"/>
          <w:sz w:val="21"/>
          <w:highlight w:val="none"/>
        </w:rPr>
        <w:t>份，其中</w:t>
      </w:r>
      <w:r>
        <w:rPr>
          <w:rFonts w:hint="eastAsia" w:hAnsi="宋体"/>
          <w:color w:val="auto"/>
          <w:sz w:val="21"/>
          <w:highlight w:val="none"/>
        </w:rPr>
        <w:t>一</w:t>
      </w:r>
      <w:r>
        <w:rPr>
          <w:rFonts w:hAnsi="宋体"/>
          <w:color w:val="auto"/>
          <w:sz w:val="21"/>
          <w:highlight w:val="none"/>
        </w:rPr>
        <w:t>份提供给</w:t>
      </w:r>
      <w:r>
        <w:rPr>
          <w:rFonts w:hint="eastAsia" w:hAnsi="宋体"/>
          <w:color w:val="auto"/>
          <w:sz w:val="21"/>
          <w:highlight w:val="none"/>
        </w:rPr>
        <w:t>宁波市</w:t>
      </w:r>
      <w:r>
        <w:rPr>
          <w:rFonts w:hint="eastAsia" w:hAnsi="宋体"/>
          <w:color w:val="auto"/>
          <w:sz w:val="21"/>
          <w:highlight w:val="none"/>
          <w:lang w:eastAsia="zh-CN"/>
        </w:rPr>
        <w:t>鄞州</w:t>
      </w:r>
      <w:r>
        <w:rPr>
          <w:rFonts w:hint="eastAsia" w:hAnsi="宋体"/>
          <w:color w:val="auto"/>
          <w:sz w:val="21"/>
          <w:highlight w:val="none"/>
        </w:rPr>
        <w:t>区公共资源交易中心</w:t>
      </w:r>
      <w:r>
        <w:rPr>
          <w:rFonts w:hAnsi="宋体"/>
          <w:color w:val="auto"/>
          <w:sz w:val="21"/>
          <w:highlight w:val="none"/>
        </w:rPr>
        <w:t>政府采购项目备案用。</w:t>
      </w:r>
      <w:r>
        <w:rPr>
          <w:rFonts w:hint="eastAsia" w:hAnsi="宋体"/>
          <w:color w:val="auto"/>
          <w:sz w:val="21"/>
          <w:highlight w:val="none"/>
        </w:rPr>
        <w:t>合同正副本</w:t>
      </w:r>
      <w:r>
        <w:rPr>
          <w:rFonts w:hAnsi="宋体"/>
          <w:color w:val="auto"/>
          <w:sz w:val="21"/>
          <w:highlight w:val="none"/>
        </w:rPr>
        <w:t>具有同等法律效力</w:t>
      </w:r>
      <w:r>
        <w:rPr>
          <w:rFonts w:hint="eastAsia" w:hAnsi="宋体"/>
          <w:color w:val="auto"/>
          <w:sz w:val="21"/>
          <w:highlight w:val="none"/>
        </w:rPr>
        <w:t>。</w:t>
      </w:r>
    </w:p>
    <w:p>
      <w:pPr>
        <w:pStyle w:val="11"/>
        <w:snapToGrid w:val="0"/>
        <w:spacing w:before="120" w:after="120" w:line="360" w:lineRule="auto"/>
        <w:ind w:left="420" w:leftChars="100" w:hanging="210" w:hangingChars="100"/>
        <w:rPr>
          <w:rFonts w:hint="eastAsia" w:hAnsi="宋体"/>
          <w:color w:val="auto"/>
          <w:sz w:val="21"/>
          <w:highlight w:val="none"/>
        </w:rPr>
      </w:pPr>
      <w:r>
        <w:rPr>
          <w:rFonts w:hint="eastAsia" w:hAnsi="宋体"/>
          <w:color w:val="auto"/>
          <w:sz w:val="21"/>
          <w:highlight w:val="none"/>
        </w:rPr>
        <w:t xml:space="preserve">甲方：                                         乙方： </w:t>
      </w:r>
    </w:p>
    <w:p>
      <w:pPr>
        <w:pStyle w:val="11"/>
        <w:snapToGrid w:val="0"/>
        <w:spacing w:before="120" w:after="120" w:line="360" w:lineRule="auto"/>
        <w:rPr>
          <w:rFonts w:hint="eastAsia" w:hAnsi="宋体"/>
          <w:color w:val="auto"/>
          <w:sz w:val="21"/>
          <w:highlight w:val="none"/>
        </w:rPr>
      </w:pPr>
      <w:r>
        <w:rPr>
          <w:rFonts w:hint="eastAsia" w:hAnsi="宋体"/>
          <w:color w:val="auto"/>
          <w:sz w:val="21"/>
          <w:highlight w:val="none"/>
        </w:rPr>
        <w:t xml:space="preserve">  地址：                                         地址： </w:t>
      </w:r>
    </w:p>
    <w:p>
      <w:pPr>
        <w:pStyle w:val="11"/>
        <w:snapToGrid w:val="0"/>
        <w:spacing w:before="120" w:after="120" w:line="360" w:lineRule="auto"/>
        <w:rPr>
          <w:rFonts w:hint="eastAsia" w:hAnsi="宋体"/>
          <w:color w:val="auto"/>
          <w:sz w:val="21"/>
          <w:highlight w:val="none"/>
        </w:rPr>
      </w:pPr>
      <w:r>
        <w:rPr>
          <w:rFonts w:hint="eastAsia" w:hAnsi="宋体"/>
          <w:color w:val="auto"/>
          <w:sz w:val="21"/>
          <w:highlight w:val="none"/>
        </w:rPr>
        <w:t xml:space="preserve">  法定（授权）代表人：                           法定（授权）代表人：</w:t>
      </w:r>
    </w:p>
    <w:p>
      <w:pPr>
        <w:pStyle w:val="11"/>
        <w:tabs>
          <w:tab w:val="left" w:pos="2472"/>
        </w:tabs>
        <w:spacing w:line="360" w:lineRule="auto"/>
        <w:jc w:val="center"/>
        <w:rPr>
          <w:rFonts w:hint="eastAsia" w:hAnsi="宋体"/>
          <w:b/>
          <w:bCs/>
          <w:color w:val="auto"/>
          <w:kern w:val="44"/>
          <w:sz w:val="32"/>
          <w:szCs w:val="44"/>
          <w:highlight w:val="none"/>
        </w:rPr>
      </w:pPr>
      <w:r>
        <w:rPr>
          <w:rFonts w:hint="eastAsia" w:hAnsi="宋体"/>
          <w:color w:val="auto"/>
          <w:sz w:val="21"/>
          <w:highlight w:val="none"/>
        </w:rPr>
        <w:t xml:space="preserve">  签字日期：      年  月  日                     签字日期：      年  月  日</w:t>
      </w:r>
      <w:r>
        <w:rPr>
          <w:rFonts w:hint="eastAsia" w:hAnsi="宋体" w:cs="宋体"/>
          <w:color w:val="auto"/>
          <w:sz w:val="21"/>
          <w:highlight w:val="none"/>
        </w:rPr>
        <w:t xml:space="preserve">  </w:t>
      </w:r>
      <w:r>
        <w:rPr>
          <w:rFonts w:hint="eastAsia" w:hAnsi="宋体" w:cs="宋体"/>
          <w:color w:val="auto"/>
          <w:highlight w:val="none"/>
        </w:rPr>
        <w:t xml:space="preserve">              </w:t>
      </w:r>
    </w:p>
    <w:p>
      <w:pPr>
        <w:pStyle w:val="11"/>
        <w:tabs>
          <w:tab w:val="left" w:pos="2472"/>
        </w:tabs>
        <w:spacing w:line="360" w:lineRule="auto"/>
        <w:jc w:val="center"/>
        <w:rPr>
          <w:rFonts w:hint="eastAsia" w:hAnsi="宋体"/>
          <w:b/>
          <w:bCs/>
          <w:color w:val="auto"/>
          <w:kern w:val="44"/>
          <w:sz w:val="32"/>
          <w:szCs w:val="44"/>
          <w:highlight w:val="none"/>
        </w:rPr>
      </w:pPr>
      <w:r>
        <w:rPr>
          <w:rFonts w:hAnsi="宋体"/>
          <w:b/>
          <w:bCs/>
          <w:color w:val="auto"/>
          <w:kern w:val="44"/>
          <w:sz w:val="32"/>
          <w:szCs w:val="44"/>
          <w:highlight w:val="none"/>
        </w:rPr>
        <w:br w:type="page"/>
      </w:r>
      <w:r>
        <w:rPr>
          <w:rFonts w:hint="eastAsia" w:hAnsi="宋体"/>
          <w:b/>
          <w:bCs/>
          <w:color w:val="auto"/>
          <w:kern w:val="44"/>
          <w:sz w:val="32"/>
          <w:szCs w:val="44"/>
          <w:highlight w:val="none"/>
        </w:rPr>
        <w:t>第</w:t>
      </w:r>
      <w:r>
        <w:rPr>
          <w:rFonts w:hint="eastAsia" w:hAnsi="宋体"/>
          <w:b/>
          <w:bCs/>
          <w:color w:val="auto"/>
          <w:kern w:val="44"/>
          <w:sz w:val="32"/>
          <w:szCs w:val="44"/>
          <w:highlight w:val="none"/>
          <w:lang w:val="en-US" w:eastAsia="zh-CN"/>
        </w:rPr>
        <w:t>七章</w:t>
      </w:r>
      <w:r>
        <w:rPr>
          <w:rFonts w:hint="eastAsia" w:hAnsi="宋体"/>
          <w:b/>
          <w:bCs/>
          <w:color w:val="auto"/>
          <w:kern w:val="44"/>
          <w:sz w:val="32"/>
          <w:szCs w:val="44"/>
          <w:highlight w:val="none"/>
        </w:rPr>
        <w:t xml:space="preserve">  投标文件格式</w:t>
      </w:r>
    </w:p>
    <w:p>
      <w:pPr>
        <w:numPr>
          <w:ilvl w:val="0"/>
          <w:numId w:val="7"/>
        </w:numPr>
        <w:jc w:val="center"/>
        <w:rPr>
          <w:rFonts w:hint="eastAsia" w:ascii="宋体" w:hAnsi="宋体" w:cs="宋体"/>
          <w:color w:val="auto"/>
          <w:highlight w:val="none"/>
        </w:rPr>
      </w:pPr>
      <w:r>
        <w:rPr>
          <w:rFonts w:hint="eastAsia" w:ascii="宋体" w:hAnsi="宋体" w:cs="宋体"/>
          <w:color w:val="auto"/>
          <w:highlight w:val="none"/>
        </w:rPr>
        <w:t>资格文件格式</w:t>
      </w:r>
    </w:p>
    <w:p>
      <w:pPr>
        <w:rPr>
          <w:rFonts w:hint="eastAsia" w:ascii="宋体" w:hAnsi="宋体" w:cs="宋体"/>
          <w:color w:val="auto"/>
          <w:highlight w:val="none"/>
        </w:rPr>
      </w:pPr>
    </w:p>
    <w:p>
      <w:pPr>
        <w:rPr>
          <w:rFonts w:hint="eastAsia" w:ascii="宋体" w:hAnsi="宋体" w:cs="宋体"/>
          <w:color w:val="auto"/>
          <w:highlight w:val="none"/>
        </w:rPr>
      </w:pPr>
      <w:r>
        <w:rPr>
          <w:rFonts w:hint="eastAsia" w:ascii="宋体" w:hAnsi="宋体" w:cs="宋体"/>
          <w:color w:val="auto"/>
          <w:highlight w:val="none"/>
        </w:rPr>
        <w:t>1.资格文件的外包装封面格式：</w:t>
      </w:r>
    </w:p>
    <w:p>
      <w:pPr>
        <w:rPr>
          <w:rFonts w:hint="eastAsia" w:ascii="宋体" w:hAnsi="宋体" w:cs="宋体"/>
          <w:color w:val="auto"/>
          <w:highlight w:val="none"/>
        </w:rPr>
      </w:pPr>
    </w:p>
    <w:p>
      <w:pPr>
        <w:rPr>
          <w:rFonts w:hint="eastAsia" w:ascii="宋体" w:hAnsi="宋体" w:cs="宋体"/>
          <w:color w:val="auto"/>
          <w:highlight w:val="none"/>
        </w:rPr>
      </w:pPr>
    </w:p>
    <w:p>
      <w:pPr>
        <w:snapToGrid w:val="0"/>
        <w:spacing w:before="120" w:beforeLines="50" w:after="50"/>
        <w:ind w:firstLine="3675" w:firstLineChars="1750"/>
        <w:rPr>
          <w:rFonts w:hint="eastAsia" w:ascii="宋体" w:hAnsi="宋体" w:cs="宋体"/>
          <w:color w:val="auto"/>
          <w:szCs w:val="21"/>
          <w:highlight w:val="none"/>
        </w:rPr>
      </w:pPr>
      <w:r>
        <w:rPr>
          <w:rFonts w:hint="eastAsia" w:ascii="宋体" w:hAnsi="宋体" w:cs="宋体"/>
          <w:color w:val="auto"/>
          <w:szCs w:val="21"/>
          <w:highlight w:val="none"/>
        </w:rPr>
        <w:t>资格文件</w:t>
      </w:r>
    </w:p>
    <w:p>
      <w:pPr>
        <w:rPr>
          <w:rFonts w:hint="eastAsia" w:ascii="宋体" w:hAnsi="宋体" w:cs="宋体"/>
          <w:color w:val="auto"/>
          <w:highlight w:val="none"/>
        </w:rPr>
      </w:pP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项目名称：                        </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项目编号： </w:t>
      </w:r>
    </w:p>
    <w:p>
      <w:pPr>
        <w:spacing w:line="360" w:lineRule="auto"/>
        <w:rPr>
          <w:rFonts w:hint="eastAsia" w:ascii="宋体" w:hAnsi="宋体" w:cs="宋体"/>
          <w:color w:val="auto"/>
          <w:highlight w:val="none"/>
        </w:rPr>
      </w:pPr>
      <w:r>
        <w:rPr>
          <w:rFonts w:hint="eastAsia" w:ascii="宋体" w:hAnsi="宋体" w:cs="宋体"/>
          <w:color w:val="auto"/>
          <w:highlight w:val="none"/>
        </w:rPr>
        <w:t>子包号:</w:t>
      </w:r>
    </w:p>
    <w:p>
      <w:pPr>
        <w:spacing w:line="360" w:lineRule="auto"/>
        <w:rPr>
          <w:rFonts w:hint="eastAsia" w:ascii="宋体" w:hAnsi="宋体" w:cs="宋体"/>
          <w:color w:val="auto"/>
          <w:highlight w:val="none"/>
        </w:rPr>
      </w:pPr>
      <w:r>
        <w:rPr>
          <w:rFonts w:hint="eastAsia" w:ascii="宋体" w:hAnsi="宋体" w:cs="宋体"/>
          <w:color w:val="auto"/>
          <w:highlight w:val="none"/>
        </w:rPr>
        <w:t>供应商名称：</w:t>
      </w:r>
    </w:p>
    <w:p>
      <w:pPr>
        <w:spacing w:line="360" w:lineRule="auto"/>
        <w:rPr>
          <w:rFonts w:hint="eastAsia" w:ascii="宋体" w:hAnsi="宋体" w:cs="宋体"/>
          <w:color w:val="auto"/>
          <w:highlight w:val="none"/>
        </w:rPr>
      </w:pPr>
      <w:r>
        <w:rPr>
          <w:rFonts w:hint="eastAsia" w:ascii="宋体" w:hAnsi="宋体" w:cs="宋体"/>
          <w:color w:val="auto"/>
          <w:highlight w:val="none"/>
        </w:rPr>
        <w:t>供应商地址：</w:t>
      </w:r>
    </w:p>
    <w:p>
      <w:pPr>
        <w:pStyle w:val="8"/>
        <w:snapToGrid w:val="0"/>
        <w:spacing w:before="50" w:after="50"/>
        <w:ind w:firstLine="1243" w:firstLineChars="444"/>
        <w:jc w:val="center"/>
        <w:rPr>
          <w:rFonts w:hint="eastAsia" w:ascii="宋体" w:hAnsi="宋体" w:cs="宋体"/>
          <w:bCs/>
          <w:color w:val="auto"/>
          <w:szCs w:val="21"/>
          <w:highlight w:val="none"/>
        </w:rPr>
      </w:pPr>
      <w:r>
        <w:rPr>
          <w:rFonts w:hint="eastAsia" w:ascii="宋体" w:hAnsi="宋体" w:cs="宋体"/>
          <w:color w:val="auto"/>
          <w:highlight w:val="none"/>
        </w:rPr>
        <w:t>开标时启封</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（供应商公章）</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年  月  日</w:t>
      </w:r>
    </w:p>
    <w:p>
      <w:pPr>
        <w:rPr>
          <w:rFonts w:hint="eastAsia" w:ascii="宋体" w:hAnsi="宋体" w:cs="宋体"/>
          <w:color w:val="auto"/>
          <w:highlight w:val="none"/>
        </w:rPr>
      </w:pPr>
    </w:p>
    <w:p>
      <w:pPr>
        <w:rPr>
          <w:rFonts w:hint="eastAsia" w:ascii="宋体" w:hAnsi="宋体" w:cs="宋体"/>
          <w:color w:val="auto"/>
          <w:highlight w:val="none"/>
        </w:rPr>
      </w:pPr>
      <w:r>
        <w:rPr>
          <w:rFonts w:hint="eastAsia" w:ascii="宋体" w:hAnsi="宋体" w:cs="宋体"/>
          <w:color w:val="auto"/>
          <w:highlight w:val="none"/>
        </w:rPr>
        <w:t xml:space="preserve">2.资格文件封面格式： </w:t>
      </w:r>
    </w:p>
    <w:p>
      <w:pPr>
        <w:rPr>
          <w:rFonts w:hint="eastAsia" w:ascii="宋体" w:hAnsi="宋体" w:cs="宋体"/>
          <w:color w:val="auto"/>
          <w:highlight w:val="none"/>
        </w:rPr>
      </w:pPr>
      <w:r>
        <w:rPr>
          <w:rFonts w:hint="eastAsia" w:ascii="宋体" w:hAnsi="宋体" w:cs="宋体"/>
          <w:color w:val="auto"/>
          <w:highlight w:val="none"/>
        </w:rPr>
        <w:t xml:space="preserve">                                                        正本/或副本</w:t>
      </w:r>
    </w:p>
    <w:p>
      <w:pPr>
        <w:rPr>
          <w:rFonts w:hint="eastAsia" w:ascii="宋体" w:hAnsi="宋体" w:cs="宋体"/>
          <w:color w:val="auto"/>
          <w:highlight w:val="none"/>
        </w:rPr>
      </w:pPr>
    </w:p>
    <w:p>
      <w:pPr>
        <w:rPr>
          <w:rFonts w:hint="eastAsia" w:ascii="宋体" w:hAnsi="宋体" w:cs="宋体"/>
          <w:color w:val="auto"/>
          <w:highlight w:val="none"/>
        </w:rPr>
      </w:pPr>
    </w:p>
    <w:p>
      <w:pPr>
        <w:snapToGrid w:val="0"/>
        <w:spacing w:before="120" w:beforeLines="50" w:after="50"/>
        <w:ind w:firstLine="3675" w:firstLineChars="1750"/>
        <w:rPr>
          <w:rFonts w:hint="eastAsia" w:ascii="宋体" w:hAnsi="宋体" w:cs="宋体"/>
          <w:color w:val="auto"/>
          <w:szCs w:val="21"/>
          <w:highlight w:val="none"/>
        </w:rPr>
      </w:pPr>
      <w:r>
        <w:rPr>
          <w:rFonts w:hint="eastAsia" w:ascii="宋体" w:hAnsi="宋体" w:cs="宋体"/>
          <w:color w:val="auto"/>
          <w:szCs w:val="21"/>
          <w:highlight w:val="none"/>
        </w:rPr>
        <w:t>资格文件</w:t>
      </w: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bookmarkStart w:id="166" w:name="_Hlk87378256"/>
      <w:r>
        <w:rPr>
          <w:rFonts w:hint="eastAsia" w:ascii="宋体" w:hAnsi="宋体" w:cs="宋体"/>
          <w:color w:val="auto"/>
          <w:highlight w:val="none"/>
        </w:rPr>
        <w:t>项目名称：</w:t>
      </w:r>
      <w:r>
        <w:rPr>
          <w:rFonts w:hint="eastAsia" w:ascii="宋体" w:hAnsi="宋体"/>
          <w:color w:val="auto"/>
          <w:szCs w:val="21"/>
          <w:highlight w:val="none"/>
          <w:lang w:eastAsia="zh-CN"/>
        </w:rPr>
        <w:t>潘火街道中小学（幼儿园）保安服务项目</w:t>
      </w:r>
      <w:r>
        <w:rPr>
          <w:rFonts w:hint="eastAsia" w:ascii="宋体" w:hAnsi="宋体" w:cs="宋体"/>
          <w:color w:val="auto"/>
          <w:highlight w:val="none"/>
        </w:rPr>
        <w:t xml:space="preserve">                       </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项目编号： </w:t>
      </w:r>
    </w:p>
    <w:p>
      <w:pPr>
        <w:spacing w:line="360" w:lineRule="auto"/>
        <w:rPr>
          <w:rFonts w:hint="eastAsia" w:ascii="宋体" w:hAnsi="宋体" w:cs="宋体"/>
          <w:color w:val="auto"/>
          <w:highlight w:val="none"/>
        </w:rPr>
      </w:pPr>
      <w:r>
        <w:rPr>
          <w:rFonts w:hint="eastAsia" w:ascii="宋体" w:hAnsi="宋体" w:cs="宋体"/>
          <w:color w:val="auto"/>
          <w:highlight w:val="none"/>
        </w:rPr>
        <w:t>子包号:一</w:t>
      </w:r>
    </w:p>
    <w:p>
      <w:pPr>
        <w:spacing w:line="360" w:lineRule="auto"/>
        <w:rPr>
          <w:rFonts w:hint="eastAsia" w:ascii="宋体" w:hAnsi="宋体" w:cs="宋体"/>
          <w:color w:val="auto"/>
          <w:highlight w:val="none"/>
        </w:rPr>
      </w:pPr>
      <w:r>
        <w:rPr>
          <w:rFonts w:hint="eastAsia" w:ascii="宋体" w:hAnsi="宋体" w:cs="宋体"/>
          <w:color w:val="auto"/>
          <w:highlight w:val="none"/>
        </w:rPr>
        <w:t>供应商名称：</w:t>
      </w:r>
    </w:p>
    <w:p>
      <w:pPr>
        <w:spacing w:line="360" w:lineRule="auto"/>
        <w:rPr>
          <w:rFonts w:hint="eastAsia" w:ascii="宋体" w:hAnsi="宋体" w:cs="宋体"/>
          <w:color w:val="auto"/>
          <w:highlight w:val="none"/>
        </w:rPr>
      </w:pPr>
      <w:r>
        <w:rPr>
          <w:rFonts w:hint="eastAsia" w:ascii="宋体" w:hAnsi="宋体" w:cs="宋体"/>
          <w:color w:val="auto"/>
          <w:highlight w:val="none"/>
        </w:rPr>
        <w:t>供应商地址：</w:t>
      </w:r>
    </w:p>
    <w:bookmarkEnd w:id="166"/>
    <w:p>
      <w:pPr>
        <w:spacing w:line="360" w:lineRule="auto"/>
        <w:rPr>
          <w:rFonts w:hint="eastAsia" w:ascii="宋体" w:hAnsi="宋体" w:cs="宋体"/>
          <w:color w:val="auto"/>
          <w:highlight w:val="none"/>
        </w:rPr>
      </w:pPr>
    </w:p>
    <w:p>
      <w:pPr>
        <w:spacing w:line="360" w:lineRule="auto"/>
        <w:ind w:firstLine="5355" w:firstLineChars="2550"/>
        <w:rPr>
          <w:rFonts w:hint="eastAsia" w:ascii="宋体" w:hAnsi="宋体" w:cs="宋体"/>
          <w:color w:val="auto"/>
          <w:highlight w:val="none"/>
        </w:rPr>
      </w:pPr>
      <w:bookmarkStart w:id="167" w:name="_Hlk87378282"/>
      <w:r>
        <w:rPr>
          <w:rFonts w:hint="eastAsia" w:ascii="宋体" w:hAnsi="宋体" w:cs="宋体"/>
          <w:color w:val="auto"/>
          <w:highlight w:val="none"/>
        </w:rPr>
        <w:t>（供应商公章</w:t>
      </w:r>
      <w:bookmarkEnd w:id="167"/>
      <w:r>
        <w:rPr>
          <w:rFonts w:hint="eastAsia" w:ascii="宋体" w:hAnsi="宋体" w:cs="宋体"/>
          <w:color w:val="auto"/>
          <w:highlight w:val="none"/>
        </w:rPr>
        <w:t>）</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年  月  日</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项目编号：</w:t>
      </w:r>
    </w:p>
    <w:p>
      <w:pPr>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2.项目名称：</w:t>
      </w:r>
      <w:r>
        <w:rPr>
          <w:rFonts w:hint="eastAsia" w:ascii="宋体" w:hAnsi="宋体"/>
          <w:color w:val="auto"/>
          <w:szCs w:val="21"/>
          <w:highlight w:val="none"/>
          <w:lang w:eastAsia="zh-CN"/>
        </w:rPr>
        <w:t>潘火街道中小学（幼儿园）保安服务项目</w:t>
      </w:r>
    </w:p>
    <w:p>
      <w:pPr>
        <w:pStyle w:val="18"/>
        <w:ind w:left="0" w:leftChars="0" w:firstLine="0"/>
        <w:rPr>
          <w:rFonts w:hint="eastAsia"/>
          <w:color w:val="auto"/>
          <w:highlight w:val="none"/>
        </w:rPr>
      </w:pPr>
    </w:p>
    <w:p>
      <w:pPr>
        <w:spacing w:line="360" w:lineRule="auto"/>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3.资格文件：</w:t>
      </w:r>
    </w:p>
    <w:p>
      <w:pPr>
        <w:numPr>
          <w:ilvl w:val="0"/>
          <w:numId w:val="8"/>
        </w:numPr>
        <w:snapToGrid w:val="0"/>
        <w:spacing w:line="360" w:lineRule="auto"/>
        <w:ind w:left="210" w:leftChars="100"/>
        <w:rPr>
          <w:rFonts w:hint="eastAsia" w:ascii="宋体" w:hAnsi="宋体" w:cs="宋体"/>
          <w:color w:val="auto"/>
          <w:highlight w:val="none"/>
        </w:rPr>
      </w:pPr>
      <w:r>
        <w:rPr>
          <w:rFonts w:hint="eastAsia" w:ascii="宋体" w:hAnsi="宋体" w:cs="宋体"/>
          <w:color w:val="auto"/>
          <w:highlight w:val="none"/>
        </w:rPr>
        <w:t>资格条件自查表（格式见附件）；</w:t>
      </w:r>
    </w:p>
    <w:p>
      <w:pPr>
        <w:numPr>
          <w:ilvl w:val="0"/>
          <w:numId w:val="8"/>
        </w:numPr>
        <w:snapToGrid w:val="0"/>
        <w:spacing w:line="360" w:lineRule="auto"/>
        <w:ind w:left="210" w:leftChars="100"/>
        <w:rPr>
          <w:rFonts w:hint="eastAsia" w:ascii="宋体" w:hAnsi="宋体" w:cs="宋体"/>
          <w:color w:val="auto"/>
          <w:highlight w:val="none"/>
        </w:rPr>
      </w:pPr>
      <w:r>
        <w:rPr>
          <w:rFonts w:hint="eastAsia" w:ascii="宋体" w:hAnsi="宋体" w:cs="宋体"/>
          <w:color w:val="auto"/>
          <w:highlight w:val="none"/>
        </w:rPr>
        <w:t>供应商资格声明函（格式见附件）；</w:t>
      </w:r>
    </w:p>
    <w:p>
      <w:pPr>
        <w:numPr>
          <w:ilvl w:val="0"/>
          <w:numId w:val="8"/>
        </w:numPr>
        <w:snapToGrid w:val="0"/>
        <w:spacing w:line="360" w:lineRule="auto"/>
        <w:ind w:left="210" w:leftChars="100"/>
        <w:rPr>
          <w:rFonts w:hint="eastAsia" w:ascii="宋体" w:hAnsi="宋体" w:cs="宋体"/>
          <w:color w:val="auto"/>
          <w:highlight w:val="none"/>
        </w:rPr>
      </w:pPr>
      <w:r>
        <w:rPr>
          <w:rFonts w:hint="eastAsia" w:ascii="宋体" w:hAnsi="宋体" w:cs="宋体"/>
          <w:color w:val="auto"/>
          <w:highlight w:val="none"/>
        </w:rPr>
        <w:t>符合《中华人民共和国政府采购法》第二十二条规定的供应商资格条件，提供以下材料：</w:t>
      </w:r>
    </w:p>
    <w:p>
      <w:pPr>
        <w:numPr>
          <w:ilvl w:val="0"/>
          <w:numId w:val="9"/>
        </w:numPr>
        <w:snapToGrid w:val="0"/>
        <w:spacing w:line="360" w:lineRule="auto"/>
        <w:ind w:left="630"/>
        <w:rPr>
          <w:rFonts w:hint="eastAsia" w:ascii="宋体" w:hAnsi="宋体" w:cs="宋体"/>
          <w:color w:val="auto"/>
          <w:highlight w:val="none"/>
        </w:rPr>
      </w:pPr>
      <w:r>
        <w:rPr>
          <w:rFonts w:hint="eastAsia" w:ascii="宋体" w:hAnsi="宋体" w:cs="宋体"/>
          <w:color w:val="auto"/>
          <w:highlight w:val="none"/>
        </w:rPr>
        <w:t>有效的企业法人营业执照（或事业法人登记证）、其他组织（个体工商户）的营业执照或者民办非企业单位登记证书复印件；</w:t>
      </w:r>
    </w:p>
    <w:p>
      <w:pPr>
        <w:numPr>
          <w:ilvl w:val="0"/>
          <w:numId w:val="9"/>
        </w:numPr>
        <w:snapToGrid w:val="0"/>
        <w:spacing w:line="360" w:lineRule="auto"/>
        <w:ind w:left="630"/>
        <w:rPr>
          <w:rFonts w:hint="eastAsia" w:ascii="宋体" w:hAnsi="宋体" w:cs="宋体"/>
          <w:color w:val="auto"/>
          <w:highlight w:val="none"/>
        </w:rPr>
      </w:pPr>
      <w:r>
        <w:rPr>
          <w:rFonts w:hint="eastAsia" w:ascii="宋体" w:hAnsi="宋体" w:cs="宋体"/>
          <w:color w:val="auto"/>
          <w:highlight w:val="none"/>
        </w:rPr>
        <w:t>2020年财务状况报告复印件，其他组织或供应商新成立不足一年，提供银行出具的资信证明材料复印件；</w:t>
      </w:r>
    </w:p>
    <w:p>
      <w:pPr>
        <w:numPr>
          <w:ilvl w:val="0"/>
          <w:numId w:val="9"/>
        </w:numPr>
        <w:snapToGrid w:val="0"/>
        <w:spacing w:line="360" w:lineRule="auto"/>
        <w:ind w:left="630"/>
        <w:rPr>
          <w:rFonts w:hint="eastAsia" w:ascii="宋体" w:hAnsi="宋体" w:cs="宋体"/>
          <w:color w:val="auto"/>
          <w:highlight w:val="none"/>
        </w:rPr>
      </w:pPr>
      <w:r>
        <w:rPr>
          <w:rFonts w:hint="eastAsia" w:ascii="宋体" w:hAnsi="宋体" w:cs="宋体"/>
          <w:color w:val="auto"/>
          <w:highlight w:val="none"/>
        </w:rPr>
        <w:t>2021年开具的缴纳税收的凭据证明材料复印件；如依法免税的，应提供相应文件证明其依法免税；</w:t>
      </w:r>
    </w:p>
    <w:p>
      <w:pPr>
        <w:numPr>
          <w:ilvl w:val="0"/>
          <w:numId w:val="9"/>
        </w:numPr>
        <w:snapToGrid w:val="0"/>
        <w:spacing w:line="360" w:lineRule="auto"/>
        <w:ind w:left="630"/>
        <w:rPr>
          <w:rFonts w:hint="eastAsia" w:ascii="宋体" w:hAnsi="宋体" w:cs="宋体"/>
          <w:color w:val="auto"/>
          <w:highlight w:val="none"/>
        </w:rPr>
      </w:pPr>
      <w:r>
        <w:rPr>
          <w:rFonts w:hint="eastAsia" w:ascii="宋体" w:hAnsi="宋体" w:cs="宋体"/>
          <w:color w:val="auto"/>
          <w:highlight w:val="none"/>
        </w:rPr>
        <w:t>2021年开具的缴纳社会保险的凭据证明材料复印件；如依法不需要缴纳社会保障资金的，应提供相应文件证明其依法不需要缴纳社会保障资金；</w:t>
      </w:r>
    </w:p>
    <w:p>
      <w:pPr>
        <w:numPr>
          <w:ilvl w:val="0"/>
          <w:numId w:val="9"/>
        </w:numPr>
        <w:snapToGrid w:val="0"/>
        <w:spacing w:line="360" w:lineRule="auto"/>
        <w:ind w:left="630"/>
        <w:rPr>
          <w:rFonts w:hint="eastAsia" w:ascii="宋体" w:hAnsi="宋体" w:cs="宋体"/>
          <w:color w:val="auto"/>
          <w:highlight w:val="none"/>
        </w:rPr>
      </w:pPr>
      <w:r>
        <w:rPr>
          <w:rFonts w:hint="eastAsia" w:ascii="宋体" w:hAnsi="宋体" w:cs="宋体"/>
          <w:color w:val="auto"/>
          <w:highlight w:val="none"/>
        </w:rPr>
        <w:t>提供具有履行合同所必需的设备和专业技术能力的书面声明；</w:t>
      </w:r>
    </w:p>
    <w:p>
      <w:pPr>
        <w:numPr>
          <w:ilvl w:val="0"/>
          <w:numId w:val="9"/>
        </w:numPr>
        <w:snapToGrid w:val="0"/>
        <w:spacing w:line="360" w:lineRule="auto"/>
        <w:ind w:left="630"/>
        <w:rPr>
          <w:rFonts w:hint="eastAsia" w:ascii="宋体" w:hAnsi="宋体" w:cs="宋体"/>
          <w:color w:val="auto"/>
          <w:highlight w:val="none"/>
        </w:rPr>
      </w:pPr>
      <w:r>
        <w:rPr>
          <w:rFonts w:hint="eastAsia" w:ascii="宋体" w:hAnsi="宋体" w:cs="宋体"/>
          <w:color w:val="auto"/>
          <w:highlight w:val="none"/>
        </w:rPr>
        <w:t>提供参加政府采购活动前3年内在经营活动中没有重大违法记录的书面声明。</w:t>
      </w:r>
    </w:p>
    <w:p>
      <w:pPr>
        <w:numPr>
          <w:ilvl w:val="0"/>
          <w:numId w:val="8"/>
        </w:numPr>
        <w:snapToGrid w:val="0"/>
        <w:spacing w:line="360" w:lineRule="auto"/>
        <w:ind w:left="210" w:leftChars="100"/>
        <w:rPr>
          <w:rFonts w:hint="eastAsia" w:ascii="宋体" w:hAnsi="宋体" w:cs="宋体"/>
          <w:color w:val="auto"/>
          <w:highlight w:val="none"/>
        </w:rPr>
      </w:pPr>
      <w:r>
        <w:rPr>
          <w:rFonts w:hint="eastAsia" w:ascii="宋体" w:hAnsi="宋体" w:cs="宋体"/>
          <w:color w:val="auto"/>
          <w:highlight w:val="none"/>
        </w:rPr>
        <w:t>商业</w:t>
      </w:r>
      <w:r>
        <w:rPr>
          <w:rFonts w:hint="eastAsia" w:ascii="宋体" w:hAnsi="宋体" w:cs="宋体"/>
          <w:color w:val="auto"/>
          <w:szCs w:val="21"/>
          <w:highlight w:val="none"/>
        </w:rPr>
        <w:t>贿赂行为承诺书；</w:t>
      </w:r>
    </w:p>
    <w:p>
      <w:pPr>
        <w:numPr>
          <w:ilvl w:val="0"/>
          <w:numId w:val="8"/>
        </w:numPr>
        <w:snapToGrid w:val="0"/>
        <w:spacing w:line="360" w:lineRule="auto"/>
        <w:ind w:left="210" w:leftChars="100"/>
        <w:rPr>
          <w:rFonts w:hint="eastAsia" w:ascii="宋体" w:hAnsi="宋体" w:cs="宋体"/>
          <w:color w:val="auto"/>
          <w:szCs w:val="21"/>
          <w:highlight w:val="none"/>
        </w:rPr>
      </w:pPr>
      <w:r>
        <w:rPr>
          <w:rFonts w:hint="eastAsia" w:ascii="宋体" w:hAnsi="宋体" w:cs="宋体"/>
          <w:color w:val="auto"/>
          <w:highlight w:val="none"/>
        </w:rPr>
        <w:t>供应商特定资格条件的证明文件；</w:t>
      </w:r>
    </w:p>
    <w:p>
      <w:pPr>
        <w:numPr>
          <w:ilvl w:val="0"/>
          <w:numId w:val="8"/>
        </w:numPr>
        <w:snapToGrid w:val="0"/>
        <w:spacing w:line="360" w:lineRule="auto"/>
        <w:ind w:left="210" w:leftChars="100"/>
        <w:rPr>
          <w:rFonts w:hint="eastAsia" w:ascii="宋体" w:hAnsi="宋体" w:cs="宋体"/>
          <w:color w:val="auto"/>
          <w:szCs w:val="21"/>
          <w:highlight w:val="none"/>
        </w:rPr>
      </w:pPr>
      <w:r>
        <w:rPr>
          <w:rFonts w:hint="eastAsia" w:ascii="宋体" w:hAnsi="宋体" w:cs="宋体"/>
          <w:color w:val="auto"/>
          <w:highlight w:val="none"/>
        </w:rPr>
        <w:t>采购</w:t>
      </w:r>
      <w:r>
        <w:rPr>
          <w:rFonts w:hint="eastAsia" w:ascii="宋体" w:hAnsi="宋体" w:cs="宋体"/>
          <w:color w:val="auto"/>
          <w:szCs w:val="21"/>
          <w:highlight w:val="none"/>
        </w:rPr>
        <w:t>文件要求的其他资格条件证明材料（如有）；</w:t>
      </w:r>
    </w:p>
    <w:p>
      <w:pPr>
        <w:spacing w:line="360" w:lineRule="auto"/>
        <w:ind w:left="403"/>
        <w:rPr>
          <w:rFonts w:hint="eastAsia" w:ascii="宋体" w:hAnsi="宋体" w:cs="宋体"/>
          <w:color w:val="auto"/>
          <w:highlight w:val="none"/>
        </w:rPr>
      </w:pPr>
    </w:p>
    <w:p>
      <w:pPr>
        <w:rPr>
          <w:rFonts w:hint="eastAsia" w:ascii="宋体" w:hAnsi="宋体" w:cs="宋体"/>
          <w:color w:val="auto"/>
          <w:highlight w:val="none"/>
        </w:rPr>
      </w:pPr>
    </w:p>
    <w:p>
      <w:pPr>
        <w:ind w:firstLine="105" w:firstLineChars="50"/>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4.资格条件自查表</w:t>
      </w:r>
    </w:p>
    <w:p>
      <w:pPr>
        <w:adjustRightInd w:val="0"/>
        <w:snapToGrid w:val="0"/>
        <w:jc w:val="center"/>
        <w:rPr>
          <w:rFonts w:hint="eastAsia" w:ascii="宋体" w:hAnsi="宋体" w:cs="宋体"/>
          <w:b/>
          <w:color w:val="auto"/>
          <w:sz w:val="24"/>
          <w:highlight w:val="none"/>
        </w:rPr>
      </w:pPr>
    </w:p>
    <w:p>
      <w:pPr>
        <w:adjustRightInd w:val="0"/>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资格条件自查表</w:t>
      </w:r>
    </w:p>
    <w:tbl>
      <w:tblPr>
        <w:tblStyle w:val="19"/>
        <w:tblW w:w="0" w:type="auto"/>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221"/>
        <w:gridCol w:w="1270"/>
        <w:gridCol w:w="261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3" w:hRule="atLeast"/>
          <w:jc w:val="center"/>
        </w:trPr>
        <w:tc>
          <w:tcPr>
            <w:tcW w:w="831" w:type="dxa"/>
            <w:tcBorders>
              <w:top w:val="single" w:color="auto" w:sz="12" w:space="0"/>
              <w:left w:val="single" w:color="auto" w:sz="12" w:space="0"/>
              <w:bottom w:val="outset" w:color="111111" w:sz="6" w:space="0"/>
              <w:right w:val="outset" w:color="111111" w:sz="6" w:space="0"/>
            </w:tcBorders>
            <w:noWrap w:val="0"/>
            <w:vAlign w:val="center"/>
          </w:tcPr>
          <w:p>
            <w:pPr>
              <w:jc w:val="center"/>
              <w:rPr>
                <w:rFonts w:hint="eastAsia" w:ascii="宋体" w:hAnsi="宋体" w:cs="宋体"/>
                <w:color w:val="auto"/>
                <w:szCs w:val="21"/>
                <w:highlight w:val="none"/>
              </w:rPr>
            </w:pPr>
            <w:r>
              <w:rPr>
                <w:rStyle w:val="22"/>
                <w:rFonts w:hint="eastAsia" w:ascii="宋体" w:hAnsi="宋体" w:cs="宋体"/>
                <w:color w:val="auto"/>
                <w:szCs w:val="21"/>
                <w:highlight w:val="none"/>
              </w:rPr>
              <w:t>评审内容</w:t>
            </w:r>
          </w:p>
        </w:tc>
        <w:tc>
          <w:tcPr>
            <w:tcW w:w="4221" w:type="dxa"/>
            <w:tcBorders>
              <w:top w:val="single" w:color="auto" w:sz="12" w:space="0"/>
              <w:left w:val="outset" w:color="111111" w:sz="6" w:space="0"/>
              <w:bottom w:val="outset" w:color="111111" w:sz="6" w:space="0"/>
              <w:right w:val="outset" w:color="111111" w:sz="6" w:space="0"/>
            </w:tcBorders>
            <w:noWrap w:val="0"/>
            <w:vAlign w:val="center"/>
          </w:tcPr>
          <w:p>
            <w:pPr>
              <w:jc w:val="center"/>
              <w:rPr>
                <w:rFonts w:hint="eastAsia" w:ascii="宋体" w:hAnsi="宋体" w:cs="宋体"/>
                <w:color w:val="auto"/>
                <w:szCs w:val="21"/>
                <w:highlight w:val="none"/>
              </w:rPr>
            </w:pPr>
            <w:r>
              <w:rPr>
                <w:rStyle w:val="22"/>
                <w:rFonts w:hint="eastAsia" w:ascii="宋体" w:hAnsi="宋体" w:cs="宋体"/>
                <w:color w:val="auto"/>
                <w:szCs w:val="21"/>
                <w:highlight w:val="none"/>
              </w:rPr>
              <w:t>采购文件要求</w:t>
            </w:r>
          </w:p>
        </w:tc>
        <w:tc>
          <w:tcPr>
            <w:tcW w:w="1270" w:type="dxa"/>
            <w:tcBorders>
              <w:top w:val="single" w:color="auto" w:sz="12" w:space="0"/>
              <w:left w:val="outset" w:color="111111" w:sz="6" w:space="0"/>
              <w:bottom w:val="outset" w:color="111111" w:sz="6" w:space="0"/>
              <w:right w:val="outset" w:color="111111" w:sz="6" w:space="0"/>
            </w:tcBorders>
            <w:noWrap w:val="0"/>
            <w:vAlign w:val="center"/>
          </w:tcPr>
          <w:p>
            <w:pPr>
              <w:jc w:val="center"/>
              <w:rPr>
                <w:rFonts w:hint="eastAsia" w:ascii="宋体" w:hAnsi="宋体" w:cs="宋体"/>
                <w:color w:val="auto"/>
                <w:szCs w:val="21"/>
                <w:highlight w:val="none"/>
              </w:rPr>
            </w:pPr>
            <w:r>
              <w:rPr>
                <w:rStyle w:val="22"/>
                <w:rFonts w:hint="eastAsia" w:ascii="宋体" w:hAnsi="宋体" w:cs="宋体"/>
                <w:color w:val="auto"/>
                <w:szCs w:val="21"/>
                <w:highlight w:val="none"/>
              </w:rPr>
              <w:t>自查结论</w:t>
            </w:r>
          </w:p>
        </w:tc>
        <w:tc>
          <w:tcPr>
            <w:tcW w:w="2611" w:type="dxa"/>
            <w:tcBorders>
              <w:top w:val="single" w:color="auto" w:sz="12" w:space="0"/>
              <w:left w:val="outset" w:color="111111" w:sz="6" w:space="0"/>
              <w:bottom w:val="outset" w:color="111111" w:sz="6" w:space="0"/>
              <w:right w:val="single" w:color="auto" w:sz="12" w:space="0"/>
            </w:tcBorders>
            <w:noWrap w:val="0"/>
            <w:vAlign w:val="center"/>
          </w:tcPr>
          <w:p>
            <w:pPr>
              <w:jc w:val="center"/>
              <w:rPr>
                <w:rFonts w:hint="eastAsia" w:ascii="宋体" w:hAnsi="宋体" w:cs="宋体"/>
                <w:color w:val="auto"/>
                <w:szCs w:val="21"/>
                <w:highlight w:val="none"/>
              </w:rPr>
            </w:pPr>
            <w:r>
              <w:rPr>
                <w:rStyle w:val="22"/>
                <w:rFonts w:hint="eastAsia" w:ascii="宋体" w:hAnsi="宋体" w:cs="宋体"/>
                <w:color w:val="auto"/>
                <w:szCs w:val="21"/>
                <w:highlight w:val="none"/>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3" w:hRule="atLeast"/>
          <w:jc w:val="center"/>
        </w:trPr>
        <w:tc>
          <w:tcPr>
            <w:tcW w:w="831" w:type="dxa"/>
            <w:vMerge w:val="restart"/>
            <w:tcBorders>
              <w:top w:val="outset" w:color="111111" w:sz="6" w:space="0"/>
              <w:left w:val="single" w:color="auto" w:sz="12" w:space="0"/>
              <w:right w:val="outset" w:color="111111" w:sz="6" w:space="0"/>
            </w:tcBorders>
            <w:noWrap w:val="0"/>
            <w:vAlign w:val="center"/>
          </w:tcPr>
          <w:p>
            <w:pPr>
              <w:pStyle w:val="28"/>
              <w:spacing w:before="0" w:beforeAutospacing="0" w:after="0" w:afterAutospacing="0"/>
              <w:jc w:val="center"/>
              <w:rPr>
                <w:rFonts w:hint="eastAsia" w:cs="宋体"/>
                <w:b/>
                <w:color w:val="auto"/>
                <w:sz w:val="21"/>
                <w:szCs w:val="21"/>
                <w:highlight w:val="none"/>
              </w:rPr>
            </w:pPr>
            <w:r>
              <w:rPr>
                <w:rFonts w:hint="eastAsia" w:cs="宋体"/>
                <w:b/>
                <w:color w:val="auto"/>
                <w:sz w:val="21"/>
                <w:szCs w:val="21"/>
                <w:highlight w:val="none"/>
              </w:rPr>
              <w:t>资</w:t>
            </w:r>
          </w:p>
          <w:p>
            <w:pPr>
              <w:pStyle w:val="28"/>
              <w:spacing w:before="0" w:beforeAutospacing="0" w:after="0" w:afterAutospacing="0"/>
              <w:jc w:val="center"/>
              <w:rPr>
                <w:rFonts w:hint="eastAsia" w:cs="宋体"/>
                <w:b/>
                <w:color w:val="auto"/>
                <w:sz w:val="21"/>
                <w:szCs w:val="21"/>
                <w:highlight w:val="none"/>
              </w:rPr>
            </w:pPr>
            <w:r>
              <w:rPr>
                <w:rFonts w:hint="eastAsia" w:cs="宋体"/>
                <w:b/>
                <w:color w:val="auto"/>
                <w:sz w:val="21"/>
                <w:szCs w:val="21"/>
                <w:highlight w:val="none"/>
              </w:rPr>
              <w:t>格</w:t>
            </w:r>
          </w:p>
          <w:p>
            <w:pPr>
              <w:pStyle w:val="28"/>
              <w:spacing w:before="0" w:beforeAutospacing="0" w:after="0" w:afterAutospacing="0"/>
              <w:jc w:val="center"/>
              <w:rPr>
                <w:rFonts w:hint="eastAsia" w:cs="宋体"/>
                <w:b/>
                <w:color w:val="auto"/>
                <w:sz w:val="21"/>
                <w:szCs w:val="21"/>
                <w:highlight w:val="none"/>
              </w:rPr>
            </w:pPr>
            <w:r>
              <w:rPr>
                <w:rFonts w:hint="eastAsia" w:cs="宋体"/>
                <w:b/>
                <w:color w:val="auto"/>
                <w:sz w:val="21"/>
                <w:szCs w:val="21"/>
                <w:highlight w:val="none"/>
              </w:rPr>
              <w:t>性</w:t>
            </w:r>
          </w:p>
          <w:p>
            <w:pPr>
              <w:pStyle w:val="28"/>
              <w:spacing w:before="0" w:beforeAutospacing="0" w:after="0" w:afterAutospacing="0"/>
              <w:jc w:val="center"/>
              <w:rPr>
                <w:rFonts w:hint="eastAsia" w:cs="宋体"/>
                <w:b/>
                <w:color w:val="auto"/>
                <w:sz w:val="21"/>
                <w:szCs w:val="21"/>
                <w:highlight w:val="none"/>
              </w:rPr>
            </w:pPr>
            <w:r>
              <w:rPr>
                <w:rFonts w:hint="eastAsia" w:cs="宋体"/>
                <w:b/>
                <w:color w:val="auto"/>
                <w:sz w:val="21"/>
                <w:szCs w:val="21"/>
                <w:highlight w:val="none"/>
              </w:rPr>
              <w:t>审</w:t>
            </w:r>
          </w:p>
          <w:p>
            <w:pPr>
              <w:pStyle w:val="28"/>
              <w:spacing w:before="0" w:beforeAutospacing="0" w:after="0" w:afterAutospacing="0"/>
              <w:jc w:val="center"/>
              <w:rPr>
                <w:rFonts w:hint="eastAsia" w:cs="宋体"/>
                <w:b/>
                <w:color w:val="auto"/>
                <w:sz w:val="21"/>
                <w:szCs w:val="21"/>
                <w:highlight w:val="none"/>
              </w:rPr>
            </w:pPr>
            <w:r>
              <w:rPr>
                <w:rFonts w:hint="eastAsia" w:cs="宋体"/>
                <w:b/>
                <w:color w:val="auto"/>
                <w:sz w:val="21"/>
                <w:szCs w:val="21"/>
                <w:highlight w:val="none"/>
              </w:rPr>
              <w:t>查</w:t>
            </w:r>
          </w:p>
        </w:tc>
        <w:tc>
          <w:tcPr>
            <w:tcW w:w="4221" w:type="dxa"/>
            <w:tcBorders>
              <w:top w:val="outset" w:color="111111" w:sz="6" w:space="0"/>
              <w:left w:val="outset" w:color="111111" w:sz="6" w:space="0"/>
              <w:bottom w:val="single" w:color="auto" w:sz="4" w:space="0"/>
              <w:right w:val="outset" w:color="111111" w:sz="6"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一.供应商具备《政府采购法》第二十二条所规定的条件：</w:t>
            </w:r>
          </w:p>
        </w:tc>
        <w:tc>
          <w:tcPr>
            <w:tcW w:w="1270" w:type="dxa"/>
            <w:vMerge w:val="restart"/>
            <w:tcBorders>
              <w:top w:val="outset" w:color="111111" w:sz="6" w:space="0"/>
              <w:left w:val="outset" w:color="111111" w:sz="6" w:space="0"/>
              <w:right w:val="outset" w:color="111111" w:sz="6"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 xml:space="preserve">□通过 </w:t>
            </w:r>
          </w:p>
          <w:p>
            <w:pPr>
              <w:rPr>
                <w:rFonts w:hint="eastAsia" w:ascii="宋体" w:hAnsi="宋体" w:cs="宋体"/>
                <w:color w:val="auto"/>
                <w:szCs w:val="21"/>
                <w:highlight w:val="none"/>
              </w:rPr>
            </w:pPr>
            <w:r>
              <w:rPr>
                <w:rFonts w:hint="eastAsia" w:ascii="宋体" w:hAnsi="宋体" w:cs="宋体"/>
                <w:color w:val="auto"/>
                <w:szCs w:val="21"/>
                <w:highlight w:val="none"/>
              </w:rPr>
              <w:t>□不通过</w:t>
            </w:r>
          </w:p>
        </w:tc>
        <w:tc>
          <w:tcPr>
            <w:tcW w:w="2611" w:type="dxa"/>
            <w:tcBorders>
              <w:top w:val="outset" w:color="111111" w:sz="6" w:space="0"/>
              <w:left w:val="outset" w:color="111111" w:sz="6" w:space="0"/>
              <w:bottom w:val="single" w:color="auto" w:sz="4" w:space="0"/>
              <w:right w:val="single" w:color="auto" w:sz="12"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第（ ）页-（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3" w:hRule="atLeast"/>
          <w:jc w:val="center"/>
        </w:trPr>
        <w:tc>
          <w:tcPr>
            <w:tcW w:w="831" w:type="dxa"/>
            <w:vMerge w:val="continue"/>
            <w:tcBorders>
              <w:left w:val="single" w:color="auto" w:sz="12" w:space="0"/>
              <w:right w:val="outset" w:color="111111" w:sz="6" w:space="0"/>
            </w:tcBorders>
            <w:noWrap w:val="0"/>
            <w:vAlign w:val="center"/>
          </w:tcPr>
          <w:p>
            <w:pPr>
              <w:pStyle w:val="28"/>
              <w:spacing w:before="0" w:beforeAutospacing="0" w:after="0" w:afterAutospacing="0"/>
              <w:jc w:val="center"/>
              <w:rPr>
                <w:rFonts w:hint="eastAsia" w:cs="宋体"/>
                <w:b/>
                <w:color w:val="auto"/>
                <w:sz w:val="21"/>
                <w:szCs w:val="21"/>
                <w:highlight w:val="none"/>
              </w:rPr>
            </w:pPr>
          </w:p>
        </w:tc>
        <w:tc>
          <w:tcPr>
            <w:tcW w:w="4221" w:type="dxa"/>
            <w:tcBorders>
              <w:top w:val="outset" w:color="111111" w:sz="6" w:space="0"/>
              <w:left w:val="outset" w:color="111111" w:sz="6" w:space="0"/>
              <w:bottom w:val="single" w:color="auto" w:sz="4" w:space="0"/>
              <w:right w:val="outset" w:color="111111" w:sz="6" w:space="0"/>
            </w:tcBorders>
            <w:noWrap w:val="0"/>
            <w:vAlign w:val="center"/>
          </w:tcPr>
          <w:p>
            <w:pPr>
              <w:rPr>
                <w:rFonts w:hint="eastAsia" w:ascii="宋体" w:hAnsi="宋体" w:cs="宋体"/>
                <w:color w:val="auto"/>
                <w:highlight w:val="none"/>
              </w:rPr>
            </w:pPr>
            <w:r>
              <w:rPr>
                <w:rFonts w:hint="eastAsia" w:ascii="宋体" w:hAnsi="宋体" w:cs="宋体"/>
                <w:color w:val="auto"/>
                <w:highlight w:val="none"/>
              </w:rPr>
              <w:t>1、有效的企业法人营业执照（或事业法人登记证）、其他组织的营业执照或者民办非企业单位登记证书复印件；</w:t>
            </w:r>
          </w:p>
        </w:tc>
        <w:tc>
          <w:tcPr>
            <w:tcW w:w="1270" w:type="dxa"/>
            <w:vMerge w:val="continue"/>
            <w:tcBorders>
              <w:left w:val="outset" w:color="111111" w:sz="6" w:space="0"/>
              <w:right w:val="outset" w:color="111111" w:sz="6" w:space="0"/>
            </w:tcBorders>
            <w:noWrap w:val="0"/>
            <w:vAlign w:val="center"/>
          </w:tcPr>
          <w:p>
            <w:pPr>
              <w:rPr>
                <w:rFonts w:hint="eastAsia" w:ascii="宋体" w:hAnsi="宋体" w:cs="宋体"/>
                <w:color w:val="auto"/>
                <w:szCs w:val="21"/>
                <w:highlight w:val="none"/>
              </w:rPr>
            </w:pPr>
          </w:p>
        </w:tc>
        <w:tc>
          <w:tcPr>
            <w:tcW w:w="2611" w:type="dxa"/>
            <w:tcBorders>
              <w:top w:val="outset" w:color="111111" w:sz="6" w:space="0"/>
              <w:left w:val="outset" w:color="111111" w:sz="6" w:space="0"/>
              <w:bottom w:val="single" w:color="auto" w:sz="4" w:space="0"/>
              <w:right w:val="single" w:color="auto" w:sz="12"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3" w:hRule="atLeast"/>
          <w:jc w:val="center"/>
        </w:trPr>
        <w:tc>
          <w:tcPr>
            <w:tcW w:w="831" w:type="dxa"/>
            <w:vMerge w:val="continue"/>
            <w:tcBorders>
              <w:left w:val="single" w:color="auto" w:sz="12" w:space="0"/>
              <w:right w:val="outset" w:color="111111" w:sz="6" w:space="0"/>
            </w:tcBorders>
            <w:noWrap w:val="0"/>
            <w:vAlign w:val="center"/>
          </w:tcPr>
          <w:p>
            <w:pPr>
              <w:pStyle w:val="28"/>
              <w:spacing w:before="0" w:beforeAutospacing="0" w:after="0" w:afterAutospacing="0"/>
              <w:jc w:val="center"/>
              <w:rPr>
                <w:rFonts w:hint="eastAsia" w:cs="宋体"/>
                <w:b/>
                <w:color w:val="auto"/>
                <w:sz w:val="21"/>
                <w:szCs w:val="21"/>
                <w:highlight w:val="none"/>
              </w:rPr>
            </w:pPr>
          </w:p>
        </w:tc>
        <w:tc>
          <w:tcPr>
            <w:tcW w:w="4221" w:type="dxa"/>
            <w:tcBorders>
              <w:top w:val="outset" w:color="111111" w:sz="6" w:space="0"/>
              <w:left w:val="outset" w:color="111111" w:sz="6" w:space="0"/>
              <w:bottom w:val="single" w:color="auto" w:sz="4" w:space="0"/>
              <w:right w:val="outset" w:color="111111" w:sz="6"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2、投标供应商如果有名称变更的，应提供由行政主管部门出具的变更证明文件。</w:t>
            </w:r>
          </w:p>
        </w:tc>
        <w:tc>
          <w:tcPr>
            <w:tcW w:w="1270" w:type="dxa"/>
            <w:vMerge w:val="continue"/>
            <w:tcBorders>
              <w:left w:val="outset" w:color="111111" w:sz="6" w:space="0"/>
              <w:right w:val="outset" w:color="111111" w:sz="6" w:space="0"/>
            </w:tcBorders>
            <w:noWrap w:val="0"/>
            <w:vAlign w:val="center"/>
          </w:tcPr>
          <w:p>
            <w:pPr>
              <w:rPr>
                <w:rFonts w:hint="eastAsia" w:ascii="宋体" w:hAnsi="宋体" w:cs="宋体"/>
                <w:color w:val="auto"/>
                <w:szCs w:val="21"/>
                <w:highlight w:val="none"/>
              </w:rPr>
            </w:pPr>
          </w:p>
        </w:tc>
        <w:tc>
          <w:tcPr>
            <w:tcW w:w="2611" w:type="dxa"/>
            <w:tcBorders>
              <w:top w:val="outset" w:color="111111" w:sz="6" w:space="0"/>
              <w:left w:val="outset" w:color="111111" w:sz="6" w:space="0"/>
              <w:bottom w:val="single" w:color="auto" w:sz="4" w:space="0"/>
              <w:right w:val="single" w:color="auto" w:sz="12"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第（ ）页-（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3" w:hRule="atLeast"/>
          <w:jc w:val="center"/>
        </w:trPr>
        <w:tc>
          <w:tcPr>
            <w:tcW w:w="831" w:type="dxa"/>
            <w:vMerge w:val="continue"/>
            <w:tcBorders>
              <w:left w:val="single" w:color="auto" w:sz="12" w:space="0"/>
              <w:right w:val="outset" w:color="111111" w:sz="6" w:space="0"/>
            </w:tcBorders>
            <w:noWrap w:val="0"/>
            <w:vAlign w:val="center"/>
          </w:tcPr>
          <w:p>
            <w:pPr>
              <w:pStyle w:val="28"/>
              <w:spacing w:before="0" w:beforeAutospacing="0" w:after="0" w:afterAutospacing="0"/>
              <w:jc w:val="center"/>
              <w:rPr>
                <w:rFonts w:hint="eastAsia" w:cs="宋体"/>
                <w:color w:val="auto"/>
                <w:sz w:val="21"/>
                <w:szCs w:val="21"/>
                <w:highlight w:val="none"/>
              </w:rPr>
            </w:pPr>
          </w:p>
        </w:tc>
        <w:tc>
          <w:tcPr>
            <w:tcW w:w="4221" w:type="dxa"/>
            <w:tcBorders>
              <w:top w:val="single" w:color="auto" w:sz="4" w:space="0"/>
              <w:left w:val="outset" w:color="111111" w:sz="6" w:space="0"/>
              <w:bottom w:val="single" w:color="auto" w:sz="4" w:space="0"/>
              <w:right w:val="outset" w:color="111111" w:sz="6"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highlight w:val="none"/>
              </w:rPr>
              <w:t>2020年</w:t>
            </w:r>
            <w:r>
              <w:rPr>
                <w:rFonts w:hint="eastAsia" w:ascii="宋体" w:hAnsi="宋体" w:cs="宋体"/>
                <w:color w:val="auto"/>
                <w:szCs w:val="21"/>
                <w:highlight w:val="none"/>
              </w:rPr>
              <w:t>财务状况报告复印件，其他组织或供应商新成立不足一年提供银行出具的资信证明材料复印件；</w:t>
            </w:r>
          </w:p>
        </w:tc>
        <w:tc>
          <w:tcPr>
            <w:tcW w:w="1270" w:type="dxa"/>
            <w:vMerge w:val="continue"/>
            <w:tcBorders>
              <w:left w:val="outset" w:color="111111" w:sz="6" w:space="0"/>
              <w:right w:val="outset" w:color="111111" w:sz="6" w:space="0"/>
            </w:tcBorders>
            <w:noWrap w:val="0"/>
            <w:vAlign w:val="center"/>
          </w:tcPr>
          <w:p>
            <w:pPr>
              <w:rPr>
                <w:rFonts w:hint="eastAsia" w:ascii="宋体" w:hAnsi="宋体" w:cs="宋体"/>
                <w:color w:val="auto"/>
                <w:szCs w:val="21"/>
                <w:highlight w:val="none"/>
              </w:rPr>
            </w:pPr>
          </w:p>
        </w:tc>
        <w:tc>
          <w:tcPr>
            <w:tcW w:w="2611" w:type="dxa"/>
            <w:tcBorders>
              <w:top w:val="single" w:color="auto" w:sz="4" w:space="0"/>
              <w:left w:val="outset" w:color="111111" w:sz="6" w:space="0"/>
              <w:bottom w:val="single" w:color="auto" w:sz="4" w:space="0"/>
              <w:right w:val="single" w:color="auto" w:sz="12"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3" w:hRule="atLeast"/>
          <w:jc w:val="center"/>
        </w:trPr>
        <w:tc>
          <w:tcPr>
            <w:tcW w:w="831" w:type="dxa"/>
            <w:vMerge w:val="continue"/>
            <w:tcBorders>
              <w:left w:val="single" w:color="auto" w:sz="12" w:space="0"/>
              <w:right w:val="outset" w:color="111111" w:sz="6" w:space="0"/>
            </w:tcBorders>
            <w:noWrap w:val="0"/>
            <w:vAlign w:val="center"/>
          </w:tcPr>
          <w:p>
            <w:pPr>
              <w:pStyle w:val="28"/>
              <w:spacing w:before="0" w:beforeAutospacing="0" w:after="0" w:afterAutospacing="0"/>
              <w:jc w:val="center"/>
              <w:rPr>
                <w:rFonts w:hint="eastAsia" w:cs="宋体"/>
                <w:color w:val="auto"/>
                <w:sz w:val="21"/>
                <w:szCs w:val="21"/>
                <w:highlight w:val="none"/>
              </w:rPr>
            </w:pPr>
          </w:p>
        </w:tc>
        <w:tc>
          <w:tcPr>
            <w:tcW w:w="4221" w:type="dxa"/>
            <w:tcBorders>
              <w:top w:val="single" w:color="auto" w:sz="4" w:space="0"/>
              <w:left w:val="outset" w:color="111111" w:sz="6" w:space="0"/>
              <w:bottom w:val="single" w:color="auto" w:sz="4" w:space="0"/>
              <w:right w:val="outset" w:color="111111" w:sz="6"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highlight w:val="none"/>
              </w:rPr>
              <w:t>2021年</w:t>
            </w:r>
            <w:r>
              <w:rPr>
                <w:rFonts w:hint="eastAsia" w:ascii="宋体" w:hAnsi="宋体" w:cs="宋体"/>
                <w:color w:val="auto"/>
                <w:szCs w:val="21"/>
                <w:highlight w:val="none"/>
              </w:rPr>
              <w:t>开具的缴纳税收的凭据证明材料复印件；如依法免税的，应提供相应文件证明其依法免税；</w:t>
            </w:r>
          </w:p>
        </w:tc>
        <w:tc>
          <w:tcPr>
            <w:tcW w:w="1270" w:type="dxa"/>
            <w:vMerge w:val="continue"/>
            <w:tcBorders>
              <w:left w:val="outset" w:color="111111" w:sz="6" w:space="0"/>
              <w:right w:val="outset" w:color="111111" w:sz="6" w:space="0"/>
            </w:tcBorders>
            <w:noWrap w:val="0"/>
            <w:vAlign w:val="center"/>
          </w:tcPr>
          <w:p>
            <w:pPr>
              <w:rPr>
                <w:rFonts w:hint="eastAsia" w:ascii="宋体" w:hAnsi="宋体" w:cs="宋体"/>
                <w:color w:val="auto"/>
                <w:szCs w:val="21"/>
                <w:highlight w:val="none"/>
              </w:rPr>
            </w:pPr>
          </w:p>
        </w:tc>
        <w:tc>
          <w:tcPr>
            <w:tcW w:w="2611" w:type="dxa"/>
            <w:tcBorders>
              <w:top w:val="single" w:color="auto" w:sz="4" w:space="0"/>
              <w:left w:val="outset" w:color="111111" w:sz="6" w:space="0"/>
              <w:bottom w:val="single" w:color="auto" w:sz="4" w:space="0"/>
              <w:right w:val="single" w:color="auto" w:sz="12"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3" w:hRule="atLeast"/>
          <w:jc w:val="center"/>
        </w:trPr>
        <w:tc>
          <w:tcPr>
            <w:tcW w:w="831" w:type="dxa"/>
            <w:vMerge w:val="continue"/>
            <w:tcBorders>
              <w:left w:val="single" w:color="auto" w:sz="12" w:space="0"/>
              <w:right w:val="outset" w:color="111111" w:sz="6" w:space="0"/>
            </w:tcBorders>
            <w:noWrap w:val="0"/>
            <w:vAlign w:val="center"/>
          </w:tcPr>
          <w:p>
            <w:pPr>
              <w:pStyle w:val="28"/>
              <w:spacing w:before="0" w:beforeAutospacing="0" w:after="0" w:afterAutospacing="0"/>
              <w:jc w:val="center"/>
              <w:rPr>
                <w:rFonts w:hint="eastAsia" w:cs="宋体"/>
                <w:color w:val="auto"/>
                <w:sz w:val="21"/>
                <w:szCs w:val="21"/>
                <w:highlight w:val="none"/>
              </w:rPr>
            </w:pPr>
          </w:p>
        </w:tc>
        <w:tc>
          <w:tcPr>
            <w:tcW w:w="4221" w:type="dxa"/>
            <w:tcBorders>
              <w:top w:val="single" w:color="auto" w:sz="4" w:space="0"/>
              <w:left w:val="outset" w:color="111111" w:sz="6" w:space="0"/>
              <w:bottom w:val="single" w:color="auto" w:sz="4" w:space="0"/>
              <w:right w:val="outset" w:color="111111" w:sz="6"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highlight w:val="none"/>
              </w:rPr>
              <w:t>2021年</w:t>
            </w:r>
            <w:r>
              <w:rPr>
                <w:rFonts w:hint="eastAsia" w:ascii="宋体" w:hAnsi="宋体" w:cs="宋体"/>
                <w:color w:val="auto"/>
                <w:szCs w:val="21"/>
                <w:highlight w:val="none"/>
              </w:rPr>
              <w:t>开具的缴纳社会保险的凭据证明材料复印件；如依法不需要缴纳社会保障资金的，应提供相应文件证明其依法不需要缴纳社会保障资金；</w:t>
            </w:r>
          </w:p>
        </w:tc>
        <w:tc>
          <w:tcPr>
            <w:tcW w:w="1270" w:type="dxa"/>
            <w:vMerge w:val="continue"/>
            <w:tcBorders>
              <w:left w:val="outset" w:color="111111" w:sz="6" w:space="0"/>
              <w:right w:val="outset" w:color="111111" w:sz="6" w:space="0"/>
            </w:tcBorders>
            <w:noWrap w:val="0"/>
            <w:vAlign w:val="center"/>
          </w:tcPr>
          <w:p>
            <w:pPr>
              <w:rPr>
                <w:rFonts w:hint="eastAsia" w:ascii="宋体" w:hAnsi="宋体" w:cs="宋体"/>
                <w:color w:val="auto"/>
                <w:szCs w:val="21"/>
                <w:highlight w:val="none"/>
              </w:rPr>
            </w:pPr>
          </w:p>
        </w:tc>
        <w:tc>
          <w:tcPr>
            <w:tcW w:w="2611" w:type="dxa"/>
            <w:tcBorders>
              <w:top w:val="single" w:color="auto" w:sz="4" w:space="0"/>
              <w:left w:val="outset" w:color="111111" w:sz="6" w:space="0"/>
              <w:bottom w:val="single" w:color="auto" w:sz="4" w:space="0"/>
              <w:right w:val="single" w:color="auto" w:sz="12"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3" w:hRule="atLeast"/>
          <w:jc w:val="center"/>
        </w:trPr>
        <w:tc>
          <w:tcPr>
            <w:tcW w:w="831" w:type="dxa"/>
            <w:vMerge w:val="continue"/>
            <w:tcBorders>
              <w:left w:val="single" w:color="auto" w:sz="12" w:space="0"/>
              <w:right w:val="outset" w:color="111111" w:sz="6" w:space="0"/>
            </w:tcBorders>
            <w:noWrap w:val="0"/>
            <w:vAlign w:val="center"/>
          </w:tcPr>
          <w:p>
            <w:pPr>
              <w:pStyle w:val="28"/>
              <w:spacing w:before="0" w:beforeAutospacing="0" w:after="0" w:afterAutospacing="0"/>
              <w:jc w:val="center"/>
              <w:rPr>
                <w:rFonts w:hint="eastAsia" w:cs="宋体"/>
                <w:color w:val="auto"/>
                <w:sz w:val="21"/>
                <w:szCs w:val="21"/>
                <w:highlight w:val="none"/>
              </w:rPr>
            </w:pPr>
          </w:p>
        </w:tc>
        <w:tc>
          <w:tcPr>
            <w:tcW w:w="4221" w:type="dxa"/>
            <w:tcBorders>
              <w:top w:val="single" w:color="auto" w:sz="4" w:space="0"/>
              <w:left w:val="outset" w:color="111111" w:sz="6" w:space="0"/>
              <w:bottom w:val="single" w:color="auto" w:sz="4" w:space="0"/>
              <w:right w:val="outset" w:color="111111" w:sz="6"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highlight w:val="none"/>
              </w:rPr>
              <w:t>提供具有履行合同所必需的设备和专业技术能力的书面声明；</w:t>
            </w:r>
          </w:p>
        </w:tc>
        <w:tc>
          <w:tcPr>
            <w:tcW w:w="1270" w:type="dxa"/>
            <w:vMerge w:val="continue"/>
            <w:tcBorders>
              <w:left w:val="outset" w:color="111111" w:sz="6" w:space="0"/>
              <w:right w:val="outset" w:color="111111" w:sz="6" w:space="0"/>
            </w:tcBorders>
            <w:noWrap w:val="0"/>
            <w:vAlign w:val="center"/>
          </w:tcPr>
          <w:p>
            <w:pPr>
              <w:rPr>
                <w:rFonts w:hint="eastAsia" w:ascii="宋体" w:hAnsi="宋体" w:cs="宋体"/>
                <w:color w:val="auto"/>
                <w:szCs w:val="21"/>
                <w:highlight w:val="none"/>
              </w:rPr>
            </w:pPr>
          </w:p>
        </w:tc>
        <w:tc>
          <w:tcPr>
            <w:tcW w:w="2611" w:type="dxa"/>
            <w:tcBorders>
              <w:top w:val="single" w:color="auto" w:sz="4" w:space="0"/>
              <w:left w:val="outset" w:color="111111" w:sz="6" w:space="0"/>
              <w:bottom w:val="single" w:color="auto" w:sz="4" w:space="0"/>
              <w:right w:val="single" w:color="auto" w:sz="12"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3" w:hRule="atLeast"/>
          <w:jc w:val="center"/>
        </w:trPr>
        <w:tc>
          <w:tcPr>
            <w:tcW w:w="831" w:type="dxa"/>
            <w:vMerge w:val="continue"/>
            <w:tcBorders>
              <w:left w:val="single" w:color="auto" w:sz="12" w:space="0"/>
              <w:right w:val="outset" w:color="111111" w:sz="6" w:space="0"/>
            </w:tcBorders>
            <w:noWrap w:val="0"/>
            <w:vAlign w:val="center"/>
          </w:tcPr>
          <w:p>
            <w:pPr>
              <w:pStyle w:val="28"/>
              <w:spacing w:before="0" w:beforeAutospacing="0" w:after="0" w:afterAutospacing="0"/>
              <w:jc w:val="center"/>
              <w:rPr>
                <w:rFonts w:hint="eastAsia" w:cs="宋体"/>
                <w:color w:val="auto"/>
                <w:sz w:val="21"/>
                <w:szCs w:val="21"/>
                <w:highlight w:val="none"/>
              </w:rPr>
            </w:pPr>
          </w:p>
        </w:tc>
        <w:tc>
          <w:tcPr>
            <w:tcW w:w="4221" w:type="dxa"/>
            <w:tcBorders>
              <w:top w:val="single" w:color="auto" w:sz="4" w:space="0"/>
              <w:left w:val="outset" w:color="111111" w:sz="6" w:space="0"/>
              <w:bottom w:val="single" w:color="auto" w:sz="4" w:space="0"/>
              <w:right w:val="outset" w:color="111111" w:sz="6"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highlight w:val="none"/>
              </w:rPr>
              <w:t>提供参加政府采购活动前3年内在经营活动中没有重大违法记录的书面声明。</w:t>
            </w:r>
          </w:p>
        </w:tc>
        <w:tc>
          <w:tcPr>
            <w:tcW w:w="1270" w:type="dxa"/>
            <w:vMerge w:val="continue"/>
            <w:tcBorders>
              <w:left w:val="outset" w:color="111111" w:sz="6" w:space="0"/>
              <w:right w:val="outset" w:color="111111" w:sz="6" w:space="0"/>
            </w:tcBorders>
            <w:noWrap w:val="0"/>
            <w:vAlign w:val="center"/>
          </w:tcPr>
          <w:p>
            <w:pPr>
              <w:rPr>
                <w:rFonts w:hint="eastAsia" w:ascii="宋体" w:hAnsi="宋体" w:cs="宋体"/>
                <w:color w:val="auto"/>
                <w:szCs w:val="21"/>
                <w:highlight w:val="none"/>
              </w:rPr>
            </w:pPr>
          </w:p>
        </w:tc>
        <w:tc>
          <w:tcPr>
            <w:tcW w:w="2611" w:type="dxa"/>
            <w:tcBorders>
              <w:top w:val="single" w:color="auto" w:sz="4" w:space="0"/>
              <w:left w:val="outset" w:color="111111" w:sz="6" w:space="0"/>
              <w:bottom w:val="single" w:color="auto" w:sz="4" w:space="0"/>
              <w:right w:val="single" w:color="auto" w:sz="12"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3" w:hRule="atLeast"/>
          <w:jc w:val="center"/>
        </w:trPr>
        <w:tc>
          <w:tcPr>
            <w:tcW w:w="831" w:type="dxa"/>
            <w:vMerge w:val="continue"/>
            <w:tcBorders>
              <w:left w:val="single" w:color="auto" w:sz="12" w:space="0"/>
              <w:right w:val="outset" w:color="111111" w:sz="6" w:space="0"/>
            </w:tcBorders>
            <w:noWrap w:val="0"/>
            <w:vAlign w:val="center"/>
          </w:tcPr>
          <w:p>
            <w:pPr>
              <w:pStyle w:val="28"/>
              <w:spacing w:before="0" w:beforeAutospacing="0" w:after="0" w:afterAutospacing="0"/>
              <w:jc w:val="center"/>
              <w:rPr>
                <w:rFonts w:hint="eastAsia" w:cs="宋体"/>
                <w:color w:val="auto"/>
                <w:sz w:val="21"/>
                <w:szCs w:val="21"/>
                <w:highlight w:val="none"/>
              </w:rPr>
            </w:pPr>
          </w:p>
        </w:tc>
        <w:tc>
          <w:tcPr>
            <w:tcW w:w="4221" w:type="dxa"/>
            <w:tcBorders>
              <w:top w:val="single" w:color="auto" w:sz="4" w:space="0"/>
              <w:left w:val="outset" w:color="111111" w:sz="6" w:space="0"/>
              <w:bottom w:val="outset" w:color="111111" w:sz="6" w:space="0"/>
              <w:right w:val="outset" w:color="111111" w:sz="6"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8、若以不具有独立承担民事责任能力的分支机构投标，须取得具有法人资格的总公司的授权书，并提供总公司营业执照副本复印件。</w:t>
            </w:r>
          </w:p>
        </w:tc>
        <w:tc>
          <w:tcPr>
            <w:tcW w:w="1270" w:type="dxa"/>
            <w:tcBorders>
              <w:top w:val="single" w:color="auto" w:sz="4" w:space="0"/>
              <w:left w:val="outset" w:color="111111" w:sz="6" w:space="0"/>
              <w:right w:val="outset" w:color="111111" w:sz="6"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 xml:space="preserve">□通过 </w:t>
            </w:r>
          </w:p>
          <w:p>
            <w:pPr>
              <w:rPr>
                <w:rFonts w:hint="eastAsia" w:ascii="宋体" w:hAnsi="宋体" w:cs="宋体"/>
                <w:color w:val="auto"/>
                <w:szCs w:val="21"/>
                <w:highlight w:val="none"/>
              </w:rPr>
            </w:pPr>
            <w:r>
              <w:rPr>
                <w:rFonts w:hint="eastAsia" w:ascii="宋体" w:hAnsi="宋体" w:cs="宋体"/>
                <w:color w:val="auto"/>
                <w:szCs w:val="21"/>
                <w:highlight w:val="none"/>
              </w:rPr>
              <w:t>□不通过</w:t>
            </w:r>
          </w:p>
        </w:tc>
        <w:tc>
          <w:tcPr>
            <w:tcW w:w="2611" w:type="dxa"/>
            <w:tcBorders>
              <w:top w:val="single" w:color="auto" w:sz="4" w:space="0"/>
              <w:left w:val="outset" w:color="111111" w:sz="6" w:space="0"/>
              <w:bottom w:val="outset" w:color="111111" w:sz="6" w:space="0"/>
              <w:right w:val="single" w:color="auto" w:sz="12"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第（ ）页-（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3" w:hRule="atLeast"/>
          <w:jc w:val="center"/>
        </w:trPr>
        <w:tc>
          <w:tcPr>
            <w:tcW w:w="831" w:type="dxa"/>
            <w:vMerge w:val="continue"/>
            <w:tcBorders>
              <w:left w:val="single" w:color="auto" w:sz="12" w:space="0"/>
              <w:right w:val="outset" w:color="111111" w:sz="6" w:space="0"/>
            </w:tcBorders>
            <w:noWrap w:val="0"/>
            <w:vAlign w:val="center"/>
          </w:tcPr>
          <w:p>
            <w:pPr>
              <w:rPr>
                <w:rFonts w:hint="eastAsia" w:ascii="宋体" w:hAnsi="宋体" w:cs="宋体"/>
                <w:color w:val="auto"/>
                <w:szCs w:val="21"/>
                <w:highlight w:val="none"/>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二.单位负责人为同一人或者存在直接控股、管理关系的不同供应商，不得参加同一合同项下的政府采购活动。除单一来源采购项目外，为采购项目提供整体设计、规范编制或者项目管理、监理、检测等服务的供应商及其附属机构，不得再参加本项目投标</w:t>
            </w:r>
            <w:r>
              <w:rPr>
                <w:rFonts w:hint="eastAsia" w:ascii="宋体" w:hAnsi="宋体" w:cs="宋体"/>
                <w:bCs/>
                <w:color w:val="auto"/>
                <w:szCs w:val="21"/>
                <w:highlight w:val="none"/>
              </w:rPr>
              <w:t>。</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 xml:space="preserve">□通过 </w:t>
            </w:r>
          </w:p>
          <w:p>
            <w:pPr>
              <w:rPr>
                <w:rFonts w:hint="eastAsia" w:ascii="宋体" w:hAnsi="宋体" w:cs="宋体"/>
                <w:color w:val="auto"/>
                <w:szCs w:val="21"/>
                <w:highlight w:val="none"/>
              </w:rPr>
            </w:pPr>
            <w:r>
              <w:rPr>
                <w:rFonts w:hint="eastAsia" w:ascii="宋体" w:hAnsi="宋体" w:cs="宋体"/>
                <w:color w:val="auto"/>
                <w:szCs w:val="21"/>
                <w:highlight w:val="none"/>
              </w:rPr>
              <w:t>□不通过</w:t>
            </w:r>
          </w:p>
        </w:tc>
        <w:tc>
          <w:tcPr>
            <w:tcW w:w="2611" w:type="dxa"/>
            <w:tcBorders>
              <w:top w:val="outset" w:color="111111" w:sz="6" w:space="0"/>
              <w:left w:val="outset" w:color="111111" w:sz="6" w:space="0"/>
              <w:bottom w:val="outset" w:color="111111" w:sz="6" w:space="0"/>
              <w:right w:val="single" w:color="auto" w:sz="12"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第（ ）页-（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3" w:hRule="atLeast"/>
          <w:jc w:val="center"/>
        </w:trPr>
        <w:tc>
          <w:tcPr>
            <w:tcW w:w="831" w:type="dxa"/>
            <w:vMerge w:val="continue"/>
            <w:tcBorders>
              <w:left w:val="single" w:color="auto" w:sz="12" w:space="0"/>
              <w:right w:val="outset" w:color="111111" w:sz="6" w:space="0"/>
            </w:tcBorders>
            <w:noWrap w:val="0"/>
            <w:vAlign w:val="center"/>
          </w:tcPr>
          <w:p>
            <w:pPr>
              <w:rPr>
                <w:rFonts w:hint="eastAsia" w:ascii="宋体" w:hAnsi="宋体" w:cs="宋体"/>
                <w:color w:val="auto"/>
                <w:szCs w:val="21"/>
                <w:highlight w:val="none"/>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三.</w:t>
            </w:r>
            <w:r>
              <w:rPr>
                <w:rFonts w:hint="eastAsia" w:ascii="宋体" w:hAnsi="宋体" w:cs="宋体"/>
                <w:color w:val="auto"/>
                <w:highlight w:val="none"/>
              </w:rPr>
              <w:t>供应商未被列入“信用中国”网站“失信被执行人”或“重大税收违法案件当事人”或“政府采购不良行为记录”记录名单；</w:t>
            </w:r>
            <w:r>
              <w:rPr>
                <w:rFonts w:hint="eastAsia" w:ascii="宋体" w:hAnsi="宋体" w:cs="宋体"/>
                <w:color w:val="auto"/>
                <w:szCs w:val="21"/>
                <w:highlight w:val="none"/>
              </w:rPr>
              <w:t>不处于中国政府采购网“政府采购严重违法失信行为信息记录”中的禁止参加政府采购活动期间；（以投标截止日当天在“信用中国”网站查询结果为准，如相关失信记录已失效，供应商需提供相关证明资料；若在开标当天因不可抗力事件导致无法查询且一时无法恢复查询的，可在中标公示期间对中标候选人进行事后查询。中标候选人被列入</w:t>
            </w:r>
            <w:r>
              <w:rPr>
                <w:rFonts w:hint="eastAsia" w:ascii="宋体" w:hAnsi="宋体" w:cs="宋体"/>
                <w:color w:val="auto"/>
                <w:highlight w:val="none"/>
              </w:rPr>
              <w:t>“失信被执行人”或“重大税收违法案件当事人”或“政府采购不良行为记录”</w:t>
            </w:r>
            <w:r>
              <w:rPr>
                <w:rFonts w:hint="eastAsia" w:ascii="宋体" w:hAnsi="宋体" w:cs="宋体"/>
                <w:color w:val="auto"/>
                <w:szCs w:val="21"/>
                <w:highlight w:val="none"/>
              </w:rPr>
              <w:t>记录名单的，或中标候选人处于中国政府采购网“政府采购严重违法失信行为信息记录”中的禁止参加政府采购活动期间，采购单位将依法取消其中标资格）；</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□通过</w:t>
            </w:r>
          </w:p>
          <w:p>
            <w:pPr>
              <w:rPr>
                <w:rFonts w:hint="eastAsia" w:ascii="宋体" w:hAnsi="宋体" w:cs="宋体"/>
                <w:color w:val="auto"/>
                <w:szCs w:val="21"/>
                <w:highlight w:val="none"/>
              </w:rPr>
            </w:pPr>
            <w:r>
              <w:rPr>
                <w:rFonts w:hint="eastAsia" w:ascii="宋体" w:hAnsi="宋体" w:cs="宋体"/>
                <w:color w:val="auto"/>
                <w:szCs w:val="21"/>
                <w:highlight w:val="none"/>
              </w:rPr>
              <w:t>□不通过</w:t>
            </w:r>
          </w:p>
        </w:tc>
        <w:tc>
          <w:tcPr>
            <w:tcW w:w="2611" w:type="dxa"/>
            <w:tcBorders>
              <w:top w:val="outset" w:color="111111" w:sz="6" w:space="0"/>
              <w:left w:val="outset" w:color="111111" w:sz="6" w:space="0"/>
              <w:bottom w:val="outset" w:color="111111" w:sz="6" w:space="0"/>
              <w:right w:val="single" w:color="auto" w:sz="12"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3" w:hRule="atLeast"/>
          <w:jc w:val="center"/>
        </w:trPr>
        <w:tc>
          <w:tcPr>
            <w:tcW w:w="831" w:type="dxa"/>
            <w:vMerge w:val="continue"/>
            <w:tcBorders>
              <w:left w:val="single" w:color="auto" w:sz="12" w:space="0"/>
              <w:right w:val="outset" w:color="111111" w:sz="6" w:space="0"/>
            </w:tcBorders>
            <w:noWrap w:val="0"/>
            <w:vAlign w:val="center"/>
          </w:tcPr>
          <w:p>
            <w:pPr>
              <w:rPr>
                <w:rFonts w:hint="eastAsia" w:ascii="宋体" w:hAnsi="宋体" w:cs="宋体"/>
                <w:color w:val="auto"/>
                <w:szCs w:val="21"/>
                <w:highlight w:val="none"/>
              </w:rPr>
            </w:pPr>
          </w:p>
        </w:tc>
        <w:tc>
          <w:tcPr>
            <w:tcW w:w="4221" w:type="dxa"/>
            <w:tcBorders>
              <w:top w:val="outset" w:color="111111" w:sz="6" w:space="0"/>
              <w:left w:val="outset" w:color="111111" w:sz="6" w:space="0"/>
              <w:bottom w:val="outset" w:color="111111" w:sz="6" w:space="0"/>
              <w:right w:val="outset" w:color="111111" w:sz="6" w:space="0"/>
            </w:tcBorders>
            <w:noWrap w:val="0"/>
            <w:vAlign w:val="top"/>
          </w:tcPr>
          <w:p>
            <w:pPr>
              <w:rPr>
                <w:rFonts w:hint="eastAsia" w:ascii="宋体" w:hAnsi="宋体" w:cs="宋体"/>
                <w:color w:val="auto"/>
                <w:szCs w:val="21"/>
                <w:highlight w:val="none"/>
              </w:rPr>
            </w:pPr>
            <w:r>
              <w:rPr>
                <w:rFonts w:hint="eastAsia" w:ascii="宋体" w:hAnsi="宋体" w:cs="宋体"/>
                <w:color w:val="auto"/>
                <w:szCs w:val="21"/>
                <w:highlight w:val="none"/>
              </w:rPr>
              <w:t>四.本项目不接受联合体投标。</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 xml:space="preserve">□通过 </w:t>
            </w:r>
          </w:p>
          <w:p>
            <w:pPr>
              <w:rPr>
                <w:rFonts w:hint="eastAsia" w:ascii="宋体" w:hAnsi="宋体" w:cs="宋体"/>
                <w:color w:val="auto"/>
                <w:szCs w:val="21"/>
                <w:highlight w:val="none"/>
              </w:rPr>
            </w:pPr>
            <w:r>
              <w:rPr>
                <w:rFonts w:hint="eastAsia" w:ascii="宋体" w:hAnsi="宋体" w:cs="宋体"/>
                <w:color w:val="auto"/>
                <w:szCs w:val="21"/>
                <w:highlight w:val="none"/>
              </w:rPr>
              <w:t>□不通过</w:t>
            </w:r>
          </w:p>
        </w:tc>
        <w:tc>
          <w:tcPr>
            <w:tcW w:w="2611" w:type="dxa"/>
            <w:tcBorders>
              <w:top w:val="outset" w:color="111111" w:sz="6" w:space="0"/>
              <w:left w:val="outset" w:color="111111" w:sz="6" w:space="0"/>
              <w:bottom w:val="outset" w:color="111111" w:sz="6" w:space="0"/>
              <w:right w:val="single" w:color="auto" w:sz="12"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3" w:hRule="atLeast"/>
          <w:jc w:val="center"/>
        </w:trPr>
        <w:tc>
          <w:tcPr>
            <w:tcW w:w="831" w:type="dxa"/>
            <w:vMerge w:val="continue"/>
            <w:tcBorders>
              <w:left w:val="single" w:color="auto" w:sz="12" w:space="0"/>
              <w:right w:val="outset" w:color="111111" w:sz="6" w:space="0"/>
            </w:tcBorders>
            <w:noWrap w:val="0"/>
            <w:vAlign w:val="center"/>
          </w:tcPr>
          <w:p>
            <w:pPr>
              <w:rPr>
                <w:rFonts w:hint="eastAsia" w:ascii="宋体" w:hAnsi="宋体" w:cs="宋体"/>
                <w:color w:val="auto"/>
                <w:szCs w:val="21"/>
                <w:highlight w:val="none"/>
              </w:rPr>
            </w:pPr>
          </w:p>
        </w:tc>
        <w:tc>
          <w:tcPr>
            <w:tcW w:w="4221" w:type="dxa"/>
            <w:tcBorders>
              <w:top w:val="outset" w:color="111111" w:sz="6" w:space="0"/>
              <w:left w:val="outset" w:color="111111" w:sz="6" w:space="0"/>
              <w:bottom w:val="outset" w:color="111111" w:sz="6" w:space="0"/>
              <w:right w:val="outset" w:color="111111" w:sz="6" w:space="0"/>
            </w:tcBorders>
            <w:noWrap w:val="0"/>
            <w:vAlign w:val="top"/>
          </w:tcPr>
          <w:p>
            <w:pPr>
              <w:rPr>
                <w:rFonts w:ascii="宋体" w:hAnsi="宋体" w:cs="宋体"/>
                <w:color w:val="auto"/>
                <w:szCs w:val="21"/>
                <w:highlight w:val="none"/>
              </w:rPr>
            </w:pPr>
            <w:r>
              <w:rPr>
                <w:rFonts w:hint="eastAsia" w:ascii="宋体" w:hAnsi="宋体" w:cs="宋体"/>
                <w:color w:val="auto"/>
                <w:szCs w:val="21"/>
                <w:highlight w:val="none"/>
              </w:rPr>
              <w:t>五.特定资格条件</w:t>
            </w:r>
            <w:r>
              <w:rPr>
                <w:rFonts w:hint="eastAsia" w:ascii="宋体" w:hAnsi="宋体" w:cs="宋体"/>
                <w:color w:val="auto"/>
                <w:highlight w:val="none"/>
              </w:rPr>
              <w:t>；</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 xml:space="preserve">□通过 </w:t>
            </w:r>
          </w:p>
          <w:p>
            <w:pPr>
              <w:rPr>
                <w:rFonts w:hint="eastAsia" w:ascii="宋体" w:hAnsi="宋体" w:cs="宋体"/>
                <w:color w:val="auto"/>
                <w:szCs w:val="21"/>
                <w:highlight w:val="none"/>
              </w:rPr>
            </w:pPr>
            <w:r>
              <w:rPr>
                <w:rFonts w:hint="eastAsia" w:ascii="宋体" w:hAnsi="宋体" w:cs="宋体"/>
                <w:color w:val="auto"/>
                <w:szCs w:val="21"/>
                <w:highlight w:val="none"/>
              </w:rPr>
              <w:t>□不通过</w:t>
            </w:r>
          </w:p>
        </w:tc>
        <w:tc>
          <w:tcPr>
            <w:tcW w:w="2611" w:type="dxa"/>
            <w:tcBorders>
              <w:top w:val="outset" w:color="111111" w:sz="6" w:space="0"/>
              <w:left w:val="outset" w:color="111111" w:sz="6" w:space="0"/>
              <w:bottom w:val="outset" w:color="111111" w:sz="6" w:space="0"/>
              <w:right w:val="single" w:color="auto" w:sz="12"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3" w:hRule="atLeast"/>
          <w:jc w:val="center"/>
        </w:trPr>
        <w:tc>
          <w:tcPr>
            <w:tcW w:w="831" w:type="dxa"/>
            <w:vMerge w:val="continue"/>
            <w:tcBorders>
              <w:left w:val="single" w:color="auto" w:sz="12" w:space="0"/>
              <w:right w:val="outset" w:color="111111" w:sz="6" w:space="0"/>
            </w:tcBorders>
            <w:noWrap w:val="0"/>
            <w:vAlign w:val="center"/>
          </w:tcPr>
          <w:p>
            <w:pPr>
              <w:rPr>
                <w:rFonts w:hint="eastAsia" w:ascii="宋体" w:hAnsi="宋体" w:cs="宋体"/>
                <w:color w:val="auto"/>
                <w:szCs w:val="21"/>
                <w:highlight w:val="none"/>
              </w:rPr>
            </w:pPr>
          </w:p>
        </w:tc>
        <w:tc>
          <w:tcPr>
            <w:tcW w:w="4221" w:type="dxa"/>
            <w:tcBorders>
              <w:top w:val="outset" w:color="111111" w:sz="6" w:space="0"/>
              <w:left w:val="outset" w:color="111111" w:sz="6" w:space="0"/>
              <w:bottom w:val="outset" w:color="111111" w:sz="6" w:space="0"/>
              <w:right w:val="outset" w:color="111111" w:sz="6" w:space="0"/>
            </w:tcBorders>
            <w:noWrap w:val="0"/>
            <w:vAlign w:val="top"/>
          </w:tcPr>
          <w:p>
            <w:pPr>
              <w:rPr>
                <w:rFonts w:hint="eastAsia" w:ascii="宋体" w:hAnsi="宋体" w:cs="宋体"/>
                <w:color w:val="auto"/>
                <w:szCs w:val="21"/>
                <w:highlight w:val="none"/>
              </w:rPr>
            </w:pPr>
            <w:r>
              <w:rPr>
                <w:rFonts w:hint="eastAsia" w:ascii="宋体" w:hAnsi="宋体" w:cs="宋体"/>
                <w:color w:val="auto"/>
                <w:highlight w:val="none"/>
              </w:rPr>
              <w:t>六.采购文件要求的其他资格条件证明材料（如有）；</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 xml:space="preserve">□通过 </w:t>
            </w:r>
          </w:p>
          <w:p>
            <w:pPr>
              <w:rPr>
                <w:rFonts w:hint="eastAsia" w:ascii="宋体" w:hAnsi="宋体" w:cs="宋体"/>
                <w:color w:val="auto"/>
                <w:szCs w:val="21"/>
                <w:highlight w:val="none"/>
              </w:rPr>
            </w:pPr>
            <w:r>
              <w:rPr>
                <w:rFonts w:hint="eastAsia" w:ascii="宋体" w:hAnsi="宋体" w:cs="宋体"/>
                <w:color w:val="auto"/>
                <w:szCs w:val="21"/>
                <w:highlight w:val="none"/>
              </w:rPr>
              <w:t>□不通过</w:t>
            </w:r>
          </w:p>
        </w:tc>
        <w:tc>
          <w:tcPr>
            <w:tcW w:w="2611" w:type="dxa"/>
            <w:tcBorders>
              <w:top w:val="outset" w:color="111111" w:sz="6" w:space="0"/>
              <w:left w:val="outset" w:color="111111" w:sz="6" w:space="0"/>
              <w:bottom w:val="outset" w:color="111111" w:sz="6" w:space="0"/>
              <w:right w:val="single" w:color="auto" w:sz="12"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第（ ）页</w:t>
            </w:r>
          </w:p>
        </w:tc>
      </w:tr>
    </w:tbl>
    <w:p>
      <w:pPr>
        <w:adjustRightInd w:val="0"/>
        <w:snapToGrid w:val="0"/>
        <w:spacing w:line="440" w:lineRule="exact"/>
        <w:rPr>
          <w:rFonts w:hint="eastAsia" w:ascii="宋体" w:hAnsi="宋体" w:cs="宋体"/>
          <w:b/>
          <w:color w:val="auto"/>
          <w:szCs w:val="21"/>
          <w:highlight w:val="none"/>
        </w:rPr>
      </w:pPr>
      <w:r>
        <w:rPr>
          <w:rFonts w:hint="eastAsia" w:ascii="宋体" w:hAnsi="宋体" w:cs="宋体"/>
          <w:b/>
          <w:color w:val="auto"/>
          <w:szCs w:val="21"/>
          <w:highlight w:val="none"/>
        </w:rPr>
        <w:t xml:space="preserve">备注：资格条件自查表将作为供应商有效性审查的重要内容之一，供应商必须严格按照其内容及序列要求在投标文件中对应如实提供，对资格性审查文件的任何缺漏和不符合项将会直接导致投标无效！ </w:t>
      </w:r>
    </w:p>
    <w:p>
      <w:pPr>
        <w:spacing w:line="360" w:lineRule="auto"/>
        <w:rPr>
          <w:rFonts w:hint="eastAsia" w:ascii="宋体" w:hAnsi="宋体" w:cs="宋体"/>
          <w:b/>
          <w:color w:val="auto"/>
          <w:szCs w:val="21"/>
          <w:highlight w:val="none"/>
        </w:rPr>
      </w:pPr>
    </w:p>
    <w:p>
      <w:pPr>
        <w:spacing w:line="360" w:lineRule="auto"/>
        <w:rPr>
          <w:rFonts w:hint="eastAsia" w:ascii="宋体" w:hAnsi="宋体" w:cs="宋体"/>
          <w:b/>
          <w:color w:val="auto"/>
          <w:szCs w:val="21"/>
          <w:highlight w:val="none"/>
        </w:rPr>
      </w:pP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br w:type="page"/>
      </w:r>
    </w:p>
    <w:p>
      <w:pPr>
        <w:spacing w:line="360" w:lineRule="auto"/>
        <w:rPr>
          <w:rFonts w:hint="eastAsia" w:ascii="宋体" w:hAnsi="宋体" w:cs="宋体"/>
          <w:b/>
          <w:color w:val="auto"/>
          <w:szCs w:val="21"/>
          <w:highlight w:val="none"/>
        </w:rPr>
      </w:pPr>
    </w:p>
    <w:p>
      <w:pPr>
        <w:rPr>
          <w:rFonts w:hint="eastAsia" w:ascii="宋体" w:hAnsi="宋体" w:cs="宋体"/>
          <w:b/>
          <w:color w:val="auto"/>
          <w:highlight w:val="none"/>
        </w:rPr>
      </w:pPr>
      <w:r>
        <w:rPr>
          <w:rFonts w:hint="eastAsia" w:ascii="宋体" w:hAnsi="宋体" w:cs="宋体"/>
          <w:b/>
          <w:color w:val="auto"/>
          <w:highlight w:val="none"/>
        </w:rPr>
        <w:t>5.供应商资格声明函</w:t>
      </w:r>
    </w:p>
    <w:p>
      <w:pPr>
        <w:jc w:val="center"/>
        <w:rPr>
          <w:rFonts w:hint="eastAsia" w:ascii="宋体" w:hAnsi="宋体" w:cs="宋体"/>
          <w:b/>
          <w:color w:val="auto"/>
          <w:sz w:val="28"/>
          <w:szCs w:val="28"/>
          <w:highlight w:val="none"/>
        </w:rPr>
      </w:pPr>
      <w:bookmarkStart w:id="168" w:name="_Toc275865606"/>
    </w:p>
    <w:bookmarkEnd w:id="168"/>
    <w:p>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供应商资格声明函</w:t>
      </w:r>
    </w:p>
    <w:p>
      <w:pPr>
        <w:rPr>
          <w:rFonts w:hint="eastAsia" w:ascii="宋体" w:hAnsi="宋体" w:cs="宋体"/>
          <w:b/>
          <w:color w:val="auto"/>
          <w:highlight w:val="none"/>
        </w:rPr>
      </w:pPr>
    </w:p>
    <w:p>
      <w:pPr>
        <w:snapToGrid w:val="0"/>
        <w:spacing w:before="120" w:beforeLines="50"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宁波市鄞州区人民政府潘火街道办事处</w:t>
      </w:r>
      <w:r>
        <w:rPr>
          <w:rFonts w:hint="eastAsia" w:ascii="宋体" w:hAnsi="宋体" w:eastAsia="宋体" w:cs="宋体"/>
          <w:color w:val="auto"/>
          <w:highlight w:val="none"/>
        </w:rPr>
        <w:t>：</w:t>
      </w:r>
    </w:p>
    <w:p>
      <w:pPr>
        <w:snapToGrid w:val="0"/>
        <w:spacing w:before="120" w:beforeLines="50" w:line="360" w:lineRule="auto"/>
        <w:ind w:firstLine="424" w:firstLineChars="202"/>
        <w:rPr>
          <w:rFonts w:hint="eastAsia" w:ascii="宋体" w:hAnsi="宋体" w:cs="宋体"/>
          <w:color w:val="auto"/>
          <w:highlight w:val="none"/>
        </w:rPr>
      </w:pPr>
      <w:r>
        <w:rPr>
          <w:rFonts w:hint="eastAsia" w:ascii="宋体" w:hAnsi="宋体" w:cs="宋体"/>
          <w:color w:val="auto"/>
          <w:highlight w:val="none"/>
        </w:rPr>
        <w:t>关于贵司</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日发布</w:t>
      </w:r>
      <w:r>
        <w:rPr>
          <w:rFonts w:hint="eastAsia" w:ascii="宋体" w:hAnsi="宋体" w:cs="宋体"/>
          <w:color w:val="auto"/>
          <w:highlight w:val="none"/>
          <w:u w:val="single"/>
        </w:rPr>
        <w:t xml:space="preserve">  </w:t>
      </w:r>
      <w:r>
        <w:rPr>
          <w:rFonts w:hint="eastAsia" w:ascii="宋体" w:hAnsi="宋体" w:cs="宋体"/>
          <w:color w:val="auto"/>
          <w:kern w:val="28"/>
          <w:highlight w:val="none"/>
          <w:u w:val="single"/>
        </w:rPr>
        <w:t>XXXXXXXXXXXXXXXXXXXXXXXXXXXX</w:t>
      </w:r>
      <w:r>
        <w:rPr>
          <w:rFonts w:hint="eastAsia" w:ascii="宋体" w:hAnsi="宋体" w:cs="宋体"/>
          <w:color w:val="auto"/>
          <w:highlight w:val="none"/>
          <w:u w:val="single"/>
        </w:rPr>
        <w:t xml:space="preserve">  </w:t>
      </w:r>
      <w:r>
        <w:rPr>
          <w:rFonts w:hint="eastAsia" w:ascii="宋体" w:hAnsi="宋体" w:cs="宋体"/>
          <w:color w:val="auto"/>
          <w:highlight w:val="none"/>
        </w:rPr>
        <w:t>项目（项目编号：　　　）的公开招标公告，本公司（企业）愿意参加投标，并声明：</w:t>
      </w:r>
    </w:p>
    <w:p>
      <w:pPr>
        <w:snapToGrid w:val="0"/>
        <w:spacing w:line="360" w:lineRule="auto"/>
        <w:ind w:firstLine="424" w:firstLineChars="202"/>
        <w:rPr>
          <w:rFonts w:hint="eastAsia" w:ascii="宋体" w:hAnsi="宋体" w:cs="宋体"/>
          <w:color w:val="auto"/>
          <w:highlight w:val="none"/>
        </w:rPr>
      </w:pPr>
      <w:r>
        <w:rPr>
          <w:rFonts w:hint="eastAsia" w:ascii="宋体" w:hAnsi="宋体" w:cs="宋体"/>
          <w:color w:val="auto"/>
          <w:highlight w:val="none"/>
        </w:rPr>
        <w:t>本公司（企业）具备</w:t>
      </w:r>
      <w:r>
        <w:rPr>
          <w:rFonts w:hint="eastAsia" w:ascii="宋体" w:hAnsi="宋体" w:cs="宋体"/>
          <w:bCs/>
          <w:color w:val="auto"/>
          <w:szCs w:val="21"/>
          <w:highlight w:val="none"/>
        </w:rPr>
        <w:t>《中华人民共和国政府采购法》第二十二条资格条件，</w:t>
      </w:r>
      <w:r>
        <w:rPr>
          <w:rFonts w:hint="eastAsia" w:ascii="宋体" w:hAnsi="宋体" w:cs="宋体"/>
          <w:color w:val="auto"/>
          <w:highlight w:val="none"/>
        </w:rPr>
        <w:t>并已清楚采购文件的要求及有关文件规定。</w:t>
      </w:r>
    </w:p>
    <w:p>
      <w:pPr>
        <w:spacing w:line="360" w:lineRule="auto"/>
        <w:ind w:firstLine="630" w:firstLineChars="300"/>
        <w:rPr>
          <w:rFonts w:hint="eastAsia" w:ascii="宋体" w:hAnsi="宋体" w:cs="宋体"/>
          <w:color w:val="auto"/>
          <w:szCs w:val="21"/>
          <w:highlight w:val="none"/>
        </w:rPr>
      </w:pPr>
      <w:r>
        <w:rPr>
          <w:rFonts w:hint="eastAsia" w:ascii="宋体" w:hAnsi="宋体" w:cs="宋体"/>
          <w:color w:val="auto"/>
          <w:highlight w:val="none"/>
        </w:rPr>
        <w:t>本公司（企业）的法定代表人或单位负责人与所参投的本采购项目的其他供应商的法定代表人或单位负责人不为同一人且与其他供应商之间不存在直接控股、管理关系。</w:t>
      </w:r>
    </w:p>
    <w:p>
      <w:pPr>
        <w:snapToGrid w:val="0"/>
        <w:spacing w:line="380" w:lineRule="exact"/>
        <w:ind w:firstLine="420" w:firstLineChars="200"/>
        <w:rPr>
          <w:rFonts w:hint="eastAsia" w:ascii="宋体" w:hAnsi="宋体" w:cs="宋体"/>
          <w:color w:val="auto"/>
          <w:highlight w:val="none"/>
        </w:rPr>
      </w:pPr>
      <w:r>
        <w:rPr>
          <w:rFonts w:hint="eastAsia" w:ascii="宋体" w:hAnsi="宋体" w:cs="宋体"/>
          <w:color w:val="auto"/>
          <w:highlight w:val="none"/>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6" w:firstLineChars="202"/>
        <w:rPr>
          <w:rFonts w:hint="eastAsia" w:ascii="宋体" w:hAnsi="宋体" w:cs="宋体"/>
          <w:color w:val="auto"/>
          <w:highlight w:val="none"/>
        </w:rPr>
      </w:pPr>
      <w:r>
        <w:rPr>
          <w:rFonts w:hint="eastAsia" w:ascii="宋体" w:hAnsi="宋体" w:cs="宋体"/>
          <w:b/>
          <w:color w:val="auto"/>
          <w:highlight w:val="none"/>
        </w:rPr>
        <w:t>本公司（企业）具有履行合同所必需的设备和专业技术能力，且本公司（企业）参加政府采购活动前3年内在经营活动中没有重大违法记录。</w:t>
      </w:r>
      <w:r>
        <w:rPr>
          <w:rFonts w:hint="eastAsia" w:ascii="宋体" w:hAnsi="宋体" w:cs="宋体"/>
          <w:color w:val="auto"/>
          <w:highlight w:val="none"/>
        </w:rPr>
        <w:t>否则，由此所造成的损失、不良后果及法律责任，一律由我公司（企业）承担。</w:t>
      </w:r>
    </w:p>
    <w:p>
      <w:pPr>
        <w:snapToGrid w:val="0"/>
        <w:spacing w:line="360" w:lineRule="auto"/>
        <w:ind w:firstLine="426" w:firstLineChars="202"/>
        <w:rPr>
          <w:rFonts w:hint="eastAsia" w:ascii="宋体" w:hAnsi="宋体" w:cs="宋体"/>
          <w:b/>
          <w:bCs/>
          <w:color w:val="auto"/>
          <w:highlight w:val="none"/>
        </w:rPr>
      </w:pPr>
      <w:r>
        <w:rPr>
          <w:rFonts w:hint="eastAsia" w:ascii="宋体" w:hAnsi="宋体" w:cs="宋体"/>
          <w:b/>
          <w:bCs/>
          <w:color w:val="auto"/>
          <w:highlight w:val="none"/>
        </w:rPr>
        <w:t>本公司（企业）供应商未被列入“信用中国”网站“失信被执行人”或“重大税收违法案件当事人”或“政府采购不良行为记录”记录名单；不处于中国政府采购网“政府采购严重违法失信行为信息记录”中的禁止参加政府采购活动期间。否则，由此所造成的损失、不良后果及法律责任，一律由我公司（企业）承担。</w:t>
      </w:r>
    </w:p>
    <w:p>
      <w:pPr>
        <w:snapToGrid w:val="0"/>
        <w:spacing w:line="360" w:lineRule="auto"/>
        <w:ind w:firstLine="424" w:firstLineChars="202"/>
        <w:rPr>
          <w:rFonts w:hint="eastAsia" w:ascii="宋体" w:hAnsi="宋体" w:cs="宋体"/>
          <w:color w:val="auto"/>
          <w:highlight w:val="none"/>
        </w:rPr>
      </w:pPr>
      <w:r>
        <w:rPr>
          <w:rFonts w:hint="eastAsia" w:ascii="宋体" w:hAnsi="宋体" w:cs="宋体"/>
          <w:color w:val="auto"/>
          <w:highlight w:val="none"/>
        </w:rPr>
        <w:t>本次招标采购活动中，如有违法、违规、弄虚作假行为，所造成的损失、不良后果及法律责任，一律由我公司（企业）承担。</w:t>
      </w:r>
    </w:p>
    <w:p>
      <w:pPr>
        <w:spacing w:line="360" w:lineRule="auto"/>
        <w:ind w:firstLine="420"/>
        <w:rPr>
          <w:rFonts w:hint="eastAsia" w:ascii="宋体" w:hAnsi="宋体" w:cs="宋体"/>
          <w:b/>
          <w:color w:val="auto"/>
          <w:highlight w:val="none"/>
        </w:rPr>
      </w:pPr>
      <w:r>
        <w:rPr>
          <w:rFonts w:hint="eastAsia" w:ascii="宋体" w:hAnsi="宋体" w:cs="宋体"/>
          <w:b/>
          <w:color w:val="auto"/>
          <w:highlight w:val="none"/>
        </w:rPr>
        <w:t>特此声明！</w:t>
      </w:r>
    </w:p>
    <w:p>
      <w:pPr>
        <w:adjustRightInd w:val="0"/>
        <w:snapToGrid w:val="0"/>
        <w:spacing w:line="360" w:lineRule="auto"/>
        <w:ind w:left="425"/>
        <w:rPr>
          <w:rFonts w:hint="eastAsia" w:ascii="宋体" w:hAnsi="宋体" w:cs="宋体"/>
          <w:color w:val="auto"/>
          <w:spacing w:val="4"/>
          <w:highlight w:val="none"/>
        </w:rPr>
      </w:pPr>
    </w:p>
    <w:p>
      <w:pPr>
        <w:spacing w:line="360" w:lineRule="auto"/>
        <w:ind w:right="420" w:firstLine="3150" w:firstLineChars="1500"/>
        <w:rPr>
          <w:rFonts w:hint="eastAsia" w:ascii="宋体" w:hAnsi="宋体" w:cs="宋体"/>
          <w:color w:val="auto"/>
          <w:highlight w:val="none"/>
        </w:rPr>
      </w:pPr>
      <w:r>
        <w:rPr>
          <w:rFonts w:hint="eastAsia" w:ascii="宋体" w:hAnsi="宋体" w:cs="宋体"/>
          <w:color w:val="auto"/>
          <w:highlight w:val="none"/>
        </w:rPr>
        <w:t xml:space="preserve">法定代表人或授权代表（签名或盖章）：     </w:t>
      </w:r>
    </w:p>
    <w:p>
      <w:pPr>
        <w:spacing w:line="360" w:lineRule="auto"/>
        <w:ind w:right="420" w:firstLine="3150" w:firstLineChars="1500"/>
        <w:rPr>
          <w:rFonts w:hint="eastAsia" w:ascii="宋体" w:hAnsi="宋体" w:cs="宋体"/>
          <w:color w:val="auto"/>
          <w:highlight w:val="none"/>
        </w:rPr>
      </w:pPr>
      <w:r>
        <w:rPr>
          <w:rFonts w:hint="eastAsia" w:ascii="宋体" w:hAnsi="宋体" w:cs="宋体"/>
          <w:color w:val="auto"/>
          <w:highlight w:val="none"/>
        </w:rPr>
        <w:t xml:space="preserve">供应商公章：                               </w:t>
      </w:r>
    </w:p>
    <w:p>
      <w:pPr>
        <w:spacing w:line="360" w:lineRule="auto"/>
        <w:ind w:right="420" w:firstLine="3045" w:firstLineChars="1450"/>
        <w:rPr>
          <w:rFonts w:hint="eastAsia" w:ascii="宋体" w:hAnsi="宋体" w:cs="宋体"/>
          <w:color w:val="auto"/>
          <w:highlight w:val="none"/>
        </w:rPr>
      </w:pPr>
      <w:r>
        <w:rPr>
          <w:rFonts w:hint="eastAsia" w:ascii="宋体" w:hAnsi="宋体" w:cs="宋体"/>
          <w:color w:val="auto"/>
          <w:highlight w:val="none"/>
        </w:rPr>
        <w:t xml:space="preserve"> 年    月    日</w:t>
      </w:r>
    </w:p>
    <w:p>
      <w:pPr>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6.《中华人民共和国政府采购法》第二十二条规定的供应商资格条件：</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（1）有效的企业法人营业执照（或事业法人登记证）、其他组织（个体工商户）的营业执照或者民办非企业单位登记证书复印件</w:t>
      </w:r>
    </w:p>
    <w:p>
      <w:pPr>
        <w:spacing w:line="360" w:lineRule="auto"/>
        <w:ind w:firstLine="420" w:firstLineChars="200"/>
        <w:rPr>
          <w:rFonts w:hint="eastAsia" w:ascii="宋体" w:hAnsi="宋体" w:cs="宋体"/>
          <w:color w:val="auto"/>
          <w:highlight w:val="none"/>
        </w:rPr>
      </w:pPr>
    </w:p>
    <w:p>
      <w:pPr>
        <w:spacing w:line="360" w:lineRule="auto"/>
        <w:ind w:firstLine="420" w:firstLineChars="200"/>
        <w:rPr>
          <w:rFonts w:hint="eastAsia" w:ascii="宋体" w:hAnsi="宋体" w:cs="宋体"/>
          <w:color w:val="auto"/>
          <w:highlight w:val="none"/>
        </w:rPr>
      </w:pP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（2）2020年财务状况报告复印件，其他组织或供应商新成立不足一年，提供银行出具的资信证明材料复印件</w:t>
      </w: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（3）2021年开具的缴纳税收的凭据证明材料复印件；如依法免税的，应提供相应文件证明其依法免税</w:t>
      </w:r>
    </w:p>
    <w:p>
      <w:pPr>
        <w:spacing w:line="360" w:lineRule="auto"/>
        <w:ind w:firstLine="420" w:firstLineChars="200"/>
        <w:rPr>
          <w:rFonts w:hint="eastAsia" w:ascii="宋体" w:hAnsi="宋体" w:cs="宋体"/>
          <w:color w:val="auto"/>
          <w:highlight w:val="none"/>
        </w:rPr>
      </w:pPr>
    </w:p>
    <w:p>
      <w:pPr>
        <w:spacing w:line="360" w:lineRule="auto"/>
        <w:ind w:firstLine="420" w:firstLineChars="200"/>
        <w:rPr>
          <w:rFonts w:hint="eastAsia" w:ascii="宋体" w:hAnsi="宋体" w:cs="宋体"/>
          <w:color w:val="auto"/>
          <w:highlight w:val="none"/>
        </w:rPr>
      </w:pP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（4）2021年开具的缴纳社会保险的凭据证明材料复印件；如依法不需要缴纳社会保障资金的，应提供相应文件证明其依法不需要缴纳社会保障资金</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（5）提供具有履行合同所必需的设备和专业技术能力的书面声明</w:t>
      </w:r>
    </w:p>
    <w:p>
      <w:pPr>
        <w:jc w:val="cente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具备履行合同所需的设备和专业技术能力的声明</w:t>
      </w:r>
    </w:p>
    <w:p>
      <w:pPr>
        <w:rPr>
          <w:rFonts w:hint="eastAsia" w:ascii="宋体" w:hAnsi="宋体" w:cs="宋体"/>
          <w:color w:val="auto"/>
          <w:highlight w:val="none"/>
        </w:rPr>
      </w:pPr>
    </w:p>
    <w:p>
      <w:pPr>
        <w:spacing w:line="360" w:lineRule="auto"/>
        <w:rPr>
          <w:rFonts w:hint="eastAsia" w:ascii="宋体" w:hAnsi="宋体" w:cs="宋体"/>
          <w:color w:val="auto"/>
          <w:highlight w:val="none"/>
        </w:rPr>
      </w:pP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我公司（单位）具备履行合同所需的设备和专业技术能力，具体情况介绍如下：</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（内容包括：主要设备、专业技术人员、公司资质等）                                          </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w:t>
      </w:r>
    </w:p>
    <w:p>
      <w:pPr>
        <w:spacing w:line="360" w:lineRule="auto"/>
        <w:rPr>
          <w:rFonts w:hint="eastAsia" w:ascii="宋体" w:hAnsi="宋体" w:cs="宋体"/>
          <w:color w:val="auto"/>
          <w:highlight w:val="none"/>
        </w:rPr>
      </w:pPr>
      <w:r>
        <w:rPr>
          <w:rFonts w:hint="eastAsia" w:ascii="宋体" w:hAnsi="宋体" w:cs="宋体"/>
          <w:color w:val="auto"/>
          <w:highlight w:val="none"/>
        </w:rPr>
        <w:t>……..</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特此承诺。</w:t>
      </w: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p>
    <w:p>
      <w:pPr>
        <w:spacing w:line="360" w:lineRule="auto"/>
        <w:ind w:firstLine="4830" w:firstLineChars="2300"/>
        <w:rPr>
          <w:rFonts w:hint="eastAsia" w:ascii="宋体" w:hAnsi="宋体" w:cs="宋体"/>
          <w:color w:val="auto"/>
          <w:highlight w:val="none"/>
        </w:rPr>
      </w:pPr>
      <w:r>
        <w:rPr>
          <w:rFonts w:hint="eastAsia" w:ascii="宋体" w:hAnsi="宋体" w:cs="宋体"/>
          <w:color w:val="auto"/>
          <w:highlight w:val="none"/>
        </w:rPr>
        <w:t>供应商（盖章）：</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法定代表人（负责人）或其授权委托人（签名或印章）：</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日期：</w:t>
      </w:r>
    </w:p>
    <w:p>
      <w:pPr>
        <w:spacing w:line="360" w:lineRule="auto"/>
        <w:ind w:firstLine="420" w:firstLineChars="200"/>
        <w:rPr>
          <w:rFonts w:hint="eastAsia" w:ascii="宋体" w:hAnsi="宋体" w:cs="宋体"/>
          <w:color w:val="auto"/>
          <w:highlight w:val="none"/>
        </w:rPr>
      </w:pP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（6）提供参加政府采购活动前3年内在经营活动中没有重大违法记录的书面声明。</w:t>
      </w:r>
    </w:p>
    <w:p>
      <w:pPr>
        <w:rPr>
          <w:rFonts w:hint="eastAsia" w:ascii="宋体" w:hAnsi="宋体" w:cs="宋体"/>
          <w:color w:val="auto"/>
          <w:highlight w:val="none"/>
        </w:rPr>
      </w:pPr>
    </w:p>
    <w:p>
      <w:pPr>
        <w:rPr>
          <w:rFonts w:hint="eastAsia" w:ascii="宋体" w:hAnsi="宋体" w:cs="宋体"/>
          <w:color w:val="auto"/>
          <w:highlight w:val="none"/>
        </w:rPr>
      </w:pPr>
    </w:p>
    <w:p>
      <w:pPr>
        <w:jc w:val="cente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近三年在政府采购活动中无重大违法记录的声明</w:t>
      </w:r>
    </w:p>
    <w:p>
      <w:pPr>
        <w:rPr>
          <w:rFonts w:hint="eastAsia" w:ascii="宋体" w:hAnsi="宋体" w:cs="宋体"/>
          <w:color w:val="auto"/>
          <w:highlight w:val="none"/>
        </w:rPr>
      </w:pPr>
    </w:p>
    <w:p>
      <w:pPr>
        <w:rPr>
          <w:rFonts w:hint="eastAsia" w:ascii="宋体" w:hAnsi="宋体" w:cs="宋体"/>
          <w:color w:val="auto"/>
          <w:highlight w:val="none"/>
        </w:rPr>
      </w:pP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参加政府采购活动前三年内，在经营活动中没有重大违法记录，特此声明。</w:t>
      </w:r>
    </w:p>
    <w:p>
      <w:pPr>
        <w:spacing w:line="360" w:lineRule="auto"/>
        <w:rPr>
          <w:rFonts w:hint="eastAsia" w:ascii="宋体" w:hAnsi="宋体" w:cs="宋体"/>
          <w:color w:val="auto"/>
          <w:highlight w:val="none"/>
        </w:rPr>
      </w:pPr>
    </w:p>
    <w:p>
      <w:pPr>
        <w:spacing w:line="360" w:lineRule="auto"/>
        <w:ind w:firstLine="1365" w:firstLineChars="650"/>
        <w:rPr>
          <w:rFonts w:hint="eastAsia" w:ascii="宋体" w:hAnsi="宋体" w:cs="宋体"/>
          <w:color w:val="auto"/>
          <w:highlight w:val="none"/>
        </w:rPr>
      </w:pPr>
    </w:p>
    <w:p>
      <w:pPr>
        <w:spacing w:line="360" w:lineRule="auto"/>
        <w:ind w:firstLine="1365" w:firstLineChars="650"/>
        <w:rPr>
          <w:rFonts w:hint="eastAsia" w:ascii="宋体" w:hAnsi="宋体" w:cs="宋体"/>
          <w:color w:val="auto"/>
          <w:highlight w:val="none"/>
        </w:rPr>
      </w:pPr>
    </w:p>
    <w:p>
      <w:pPr>
        <w:spacing w:line="360" w:lineRule="auto"/>
        <w:ind w:firstLine="3675" w:firstLineChars="1750"/>
        <w:rPr>
          <w:rFonts w:hint="eastAsia" w:ascii="宋体" w:hAnsi="宋体" w:cs="宋体"/>
          <w:color w:val="auto"/>
          <w:highlight w:val="none"/>
        </w:rPr>
      </w:pPr>
      <w:r>
        <w:rPr>
          <w:rFonts w:hint="eastAsia" w:ascii="宋体" w:hAnsi="宋体" w:cs="宋体"/>
          <w:color w:val="auto"/>
          <w:highlight w:val="none"/>
        </w:rPr>
        <w:t>供应商（盖章）</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法定代表人（负责人）或其授权委托人（签名或印章）：</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日    期：</w:t>
      </w:r>
    </w:p>
    <w:p>
      <w:pPr>
        <w:spacing w:line="360" w:lineRule="auto"/>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spacing w:line="480" w:lineRule="exact"/>
        <w:rPr>
          <w:rFonts w:hint="eastAsia" w:ascii="宋体" w:hAnsi="宋体" w:cs="宋体"/>
          <w:b/>
          <w:bCs/>
          <w:color w:val="auto"/>
          <w:szCs w:val="21"/>
          <w:highlight w:val="none"/>
        </w:rPr>
      </w:pPr>
      <w:r>
        <w:rPr>
          <w:rFonts w:hint="eastAsia" w:ascii="宋体" w:hAnsi="宋体" w:cs="宋体"/>
          <w:color w:val="auto"/>
          <w:highlight w:val="none"/>
        </w:rPr>
        <w:br w:type="page"/>
      </w:r>
      <w:r>
        <w:rPr>
          <w:rFonts w:hint="eastAsia" w:ascii="宋体" w:hAnsi="宋体" w:cs="宋体"/>
          <w:color w:val="auto"/>
          <w:highlight w:val="none"/>
        </w:rPr>
        <w:t>7</w:t>
      </w:r>
      <w:r>
        <w:rPr>
          <w:rFonts w:hint="eastAsia" w:ascii="宋体" w:hAnsi="宋体" w:cs="宋体"/>
          <w:b/>
          <w:bCs/>
          <w:color w:val="auto"/>
          <w:szCs w:val="21"/>
          <w:highlight w:val="none"/>
        </w:rPr>
        <w:t>.商业贿赂行为承诺书：</w:t>
      </w:r>
    </w:p>
    <w:p>
      <w:pPr>
        <w:spacing w:line="480" w:lineRule="exact"/>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供应商自觉抵制政府采购领域</w:t>
      </w:r>
    </w:p>
    <w:p>
      <w:pPr>
        <w:spacing w:line="480" w:lineRule="exact"/>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商业贿赂行为承诺书</w:t>
      </w:r>
    </w:p>
    <w:p>
      <w:pPr>
        <w:spacing w:after="120" w:afterLines="50" w:line="320" w:lineRule="exact"/>
        <w:rPr>
          <w:rFonts w:hint="eastAsia" w:ascii="宋体" w:hAnsi="宋体" w:cs="宋体"/>
          <w:color w:val="auto"/>
          <w:sz w:val="24"/>
          <w:szCs w:val="24"/>
          <w:highlight w:val="none"/>
        </w:rPr>
      </w:pP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致：</w:t>
      </w:r>
      <w:r>
        <w:rPr>
          <w:rFonts w:hint="eastAsia" w:ascii="宋体" w:hAnsi="宋体" w:eastAsia="宋体" w:cs="宋体"/>
          <w:b/>
          <w:bCs/>
          <w:color w:val="auto"/>
          <w:szCs w:val="21"/>
          <w:highlight w:val="none"/>
          <w:lang w:val="en-US" w:eastAsia="zh-CN"/>
        </w:rPr>
        <w:t>宁波市鄞州区人民政府潘火街道办事处</w:t>
      </w:r>
    </w:p>
    <w:p>
      <w:pPr>
        <w:spacing w:line="360" w:lineRule="auto"/>
        <w:ind w:firstLine="420" w:firstLineChars="200"/>
        <w:rPr>
          <w:rFonts w:hint="eastAsia" w:ascii="宋体" w:hAnsi="宋体" w:cs="宋体"/>
          <w:color w:val="auto"/>
          <w:szCs w:val="21"/>
          <w:highlight w:val="none"/>
          <w:lang w:eastAsia="zh-TW"/>
        </w:rPr>
      </w:pPr>
      <w:r>
        <w:rPr>
          <w:rFonts w:hint="eastAsia" w:ascii="宋体" w:hAnsi="宋体" w:cs="宋体"/>
          <w:color w:val="auto"/>
          <w:szCs w:val="21"/>
          <w:highlight w:val="none"/>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市、区政府的有关部署及要求，进一步规范政府采购行为，营造公平竞争的政府采购市场环境，维护政府采购制度良好声誉，在参与采购代理机构组织的政府采购活动中，我方庄重承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一、依法参与政府采购活动，遵纪守法，诚信经营，公平竞争。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二、不向采购单位、采购代理机构和政府采购评审专家提供任何形式的商业贿赂；对索取或接受商业贿赂的单位和个人，及时向财政部门和纪检监察机关举报。</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三、不以提供虚假资质文件等形式参与政府采购活动，不以虚假材料谋取中标。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四、不采取不正当手段诋毁、排挤其他供应商，与其他参与政府采购活动供应商保持良性的竞争关系。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五、不与采购单位、采购代理机构和政府采购评审专家恶意串通，自觉维护政府采购公平竞争的市场秩序。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六、不与其他供应商串通采取围标、陪标等商业欺诈手段谋取中标，积极维护国家利益、社会公共利益和采购单位的合法权益。</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七、严格履行政府采购合同约定义务，不在政府采购合同执行过程中采取降低质量或标准、减少数量、拖延交付时间等方式损害采购单位的利益，并自觉承担违约责任。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八、自觉接受并积极配合财政部门和纪检监察机关依法实施的监督检查，如实反映情况，及时提供有关证明材料。</w:t>
      </w: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供应商名称（并加盖公章）：</w:t>
      </w:r>
      <w:r>
        <w:rPr>
          <w:rFonts w:hint="eastAsia" w:ascii="宋体" w:hAnsi="宋体" w:cs="宋体"/>
          <w:color w:val="auto"/>
          <w:szCs w:val="21"/>
          <w:highlight w:val="none"/>
          <w:u w:val="single"/>
        </w:rPr>
        <w:t xml:space="preserve">                             </w:t>
      </w:r>
    </w:p>
    <w:p>
      <w:pPr>
        <w:pStyle w:val="8"/>
        <w:spacing w:line="360" w:lineRule="auto"/>
        <w:ind w:firstLine="0"/>
        <w:rPr>
          <w:rFonts w:hint="eastAsia" w:ascii="宋体" w:hAnsi="宋体" w:cs="宋体"/>
          <w:color w:val="auto"/>
          <w:szCs w:val="21"/>
          <w:highlight w:val="none"/>
        </w:rPr>
      </w:pPr>
      <w:r>
        <w:rPr>
          <w:rFonts w:hint="eastAsia" w:ascii="宋体" w:hAnsi="宋体" w:cs="宋体"/>
          <w:color w:val="auto"/>
          <w:sz w:val="21"/>
          <w:szCs w:val="21"/>
          <w:highlight w:val="none"/>
        </w:rPr>
        <w:t>法定代表人或其授权委托人（签名或印章）：</w:t>
      </w:r>
      <w:r>
        <w:rPr>
          <w:rFonts w:hint="eastAsia" w:ascii="宋体" w:hAnsi="宋体" w:cs="宋体"/>
          <w:color w:val="auto"/>
          <w:szCs w:val="21"/>
          <w:highlight w:val="none"/>
          <w:u w:val="single"/>
        </w:rPr>
        <w:t xml:space="preserve">                   </w:t>
      </w:r>
    </w:p>
    <w:p>
      <w:pPr>
        <w:pStyle w:val="8"/>
        <w:spacing w:line="360" w:lineRule="auto"/>
        <w:ind w:firstLine="0"/>
        <w:rPr>
          <w:rFonts w:hint="eastAsia" w:ascii="宋体" w:hAnsi="宋体" w:cs="宋体"/>
          <w:color w:val="auto"/>
          <w:sz w:val="21"/>
          <w:szCs w:val="21"/>
          <w:highlight w:val="none"/>
        </w:rPr>
      </w:pPr>
      <w:r>
        <w:rPr>
          <w:rFonts w:hint="eastAsia" w:ascii="宋体" w:hAnsi="宋体" w:cs="宋体"/>
          <w:color w:val="auto"/>
          <w:sz w:val="21"/>
          <w:szCs w:val="21"/>
          <w:highlight w:val="none"/>
        </w:rPr>
        <w:t>签署日期：</w:t>
      </w:r>
      <w:r>
        <w:rPr>
          <w:rFonts w:hint="eastAsia" w:ascii="宋体" w:hAnsi="宋体" w:cs="宋体"/>
          <w:color w:val="auto"/>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 w:val="21"/>
          <w:szCs w:val="21"/>
          <w:highlight w:val="none"/>
        </w:rPr>
        <w:t>日</w:t>
      </w:r>
    </w:p>
    <w:p>
      <w:pPr>
        <w:snapToGrid w:val="0"/>
        <w:spacing w:before="50" w:after="120" w:afterLines="50"/>
        <w:rPr>
          <w:rFonts w:hint="eastAsia" w:ascii="宋体" w:hAnsi="宋体" w:cs="宋体"/>
          <w:b/>
          <w:color w:val="auto"/>
          <w:sz w:val="24"/>
          <w:highlight w:val="none"/>
        </w:rPr>
      </w:pPr>
    </w:p>
    <w:p>
      <w:pPr>
        <w:spacing w:line="400" w:lineRule="exact"/>
        <w:rPr>
          <w:rFonts w:hint="eastAsia" w:ascii="宋体" w:hAnsi="宋体" w:cs="宋体"/>
          <w:b/>
          <w:color w:val="auto"/>
          <w:highlight w:val="none"/>
        </w:rPr>
      </w:pPr>
    </w:p>
    <w:p>
      <w:pPr>
        <w:spacing w:line="400" w:lineRule="exact"/>
        <w:rPr>
          <w:rFonts w:hint="eastAsia" w:ascii="宋体" w:hAnsi="宋体" w:cs="宋体"/>
          <w:b/>
          <w:color w:val="auto"/>
          <w:highlight w:val="none"/>
        </w:rPr>
      </w:pPr>
    </w:p>
    <w:p>
      <w:pPr>
        <w:spacing w:line="400" w:lineRule="exact"/>
        <w:rPr>
          <w:rFonts w:hint="eastAsia" w:ascii="宋体" w:hAnsi="宋体" w:cs="宋体"/>
          <w:b/>
          <w:color w:val="auto"/>
          <w:highlight w:val="none"/>
        </w:rPr>
      </w:pPr>
    </w:p>
    <w:p>
      <w:pPr>
        <w:spacing w:line="400" w:lineRule="exact"/>
        <w:rPr>
          <w:rFonts w:hint="eastAsia" w:ascii="宋体" w:hAnsi="宋体" w:cs="宋体"/>
          <w:b/>
          <w:color w:val="auto"/>
          <w:highlight w:val="none"/>
        </w:rPr>
      </w:pPr>
    </w:p>
    <w:p>
      <w:pPr>
        <w:spacing w:line="400" w:lineRule="exact"/>
        <w:rPr>
          <w:rFonts w:hint="eastAsia" w:ascii="宋体" w:hAnsi="宋体" w:cs="宋体"/>
          <w:b/>
          <w:color w:val="auto"/>
          <w:highlight w:val="none"/>
        </w:rPr>
      </w:pPr>
    </w:p>
    <w:p>
      <w:pPr>
        <w:spacing w:line="360" w:lineRule="auto"/>
        <w:rPr>
          <w:rFonts w:hint="eastAsia" w:ascii="宋体" w:hAnsi="宋体" w:cs="宋体"/>
          <w:color w:val="auto"/>
          <w:szCs w:val="21"/>
          <w:highlight w:val="none"/>
        </w:rPr>
      </w:pPr>
      <w:r>
        <w:rPr>
          <w:rFonts w:hint="eastAsia" w:ascii="宋体" w:hAnsi="宋体" w:cs="宋体"/>
          <w:b/>
          <w:color w:val="auto"/>
          <w:highlight w:val="none"/>
        </w:rPr>
        <w:t>8.供应商特定资格条件的证明文件：/；</w:t>
      </w:r>
    </w:p>
    <w:p>
      <w:pPr>
        <w:spacing w:line="500" w:lineRule="exact"/>
        <w:rPr>
          <w:rFonts w:hint="eastAsia" w:ascii="宋体" w:hAnsi="宋体" w:cs="宋体"/>
          <w:b/>
          <w:color w:val="auto"/>
          <w:highlight w:val="none"/>
        </w:rPr>
      </w:pPr>
    </w:p>
    <w:p>
      <w:pPr>
        <w:spacing w:line="500" w:lineRule="exact"/>
        <w:rPr>
          <w:rFonts w:hint="eastAsia" w:ascii="宋体" w:hAnsi="宋体" w:cs="宋体"/>
          <w:b/>
          <w:color w:val="auto"/>
          <w:highlight w:val="none"/>
        </w:rPr>
      </w:pPr>
    </w:p>
    <w:p>
      <w:pPr>
        <w:spacing w:line="500" w:lineRule="exact"/>
        <w:rPr>
          <w:rFonts w:hint="eastAsia" w:ascii="宋体" w:hAnsi="宋体" w:cs="宋体"/>
          <w:b/>
          <w:color w:val="auto"/>
          <w:highlight w:val="none"/>
        </w:rPr>
      </w:pPr>
    </w:p>
    <w:p>
      <w:pPr>
        <w:spacing w:line="500" w:lineRule="exact"/>
        <w:rPr>
          <w:rFonts w:hint="eastAsia" w:ascii="宋体" w:hAnsi="宋体" w:cs="宋体"/>
          <w:color w:val="auto"/>
          <w:highlight w:val="none"/>
        </w:rPr>
      </w:pPr>
      <w:r>
        <w:rPr>
          <w:rFonts w:hint="eastAsia" w:ascii="宋体" w:hAnsi="宋体" w:cs="宋体"/>
          <w:b/>
          <w:color w:val="auto"/>
          <w:highlight w:val="none"/>
        </w:rPr>
        <w:t>9.采购文件要求的其他资格条件证明材料（如有）；</w:t>
      </w:r>
    </w:p>
    <w:p>
      <w:pPr>
        <w:spacing w:line="500" w:lineRule="exact"/>
        <w:ind w:firstLine="420" w:firstLineChars="200"/>
        <w:rPr>
          <w:rFonts w:hint="eastAsia" w:ascii="宋体" w:hAnsi="宋体" w:cs="宋体"/>
          <w:color w:val="auto"/>
          <w:highlight w:val="none"/>
        </w:rPr>
      </w:pPr>
    </w:p>
    <w:p>
      <w:pPr>
        <w:spacing w:line="500" w:lineRule="exact"/>
        <w:ind w:firstLine="420" w:firstLineChars="200"/>
        <w:jc w:val="center"/>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二、商务技术文件格式</w:t>
      </w:r>
    </w:p>
    <w:p>
      <w:pPr>
        <w:snapToGrid w:val="0"/>
        <w:spacing w:before="120" w:beforeLines="50" w:after="50"/>
        <w:jc w:val="center"/>
        <w:rPr>
          <w:rFonts w:hint="eastAsia" w:ascii="宋体" w:hAnsi="宋体" w:cs="宋体"/>
          <w:color w:val="auto"/>
          <w:szCs w:val="21"/>
          <w:highlight w:val="none"/>
        </w:rPr>
      </w:pPr>
    </w:p>
    <w:p>
      <w:pPr>
        <w:snapToGrid w:val="0"/>
        <w:spacing w:before="120" w:beforeLines="50" w:after="50"/>
        <w:rPr>
          <w:rFonts w:hint="eastAsia"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color w:val="auto"/>
          <w:highlight w:val="none"/>
        </w:rPr>
        <w:t xml:space="preserve"> </w:t>
      </w:r>
      <w:r>
        <w:rPr>
          <w:rFonts w:hint="eastAsia" w:ascii="宋体" w:hAnsi="宋体" w:cs="宋体"/>
          <w:color w:val="auto"/>
          <w:szCs w:val="21"/>
          <w:highlight w:val="none"/>
        </w:rPr>
        <w:t>商务技术文件</w:t>
      </w:r>
      <w:r>
        <w:rPr>
          <w:rFonts w:hint="eastAsia" w:ascii="宋体" w:hAnsi="宋体" w:cs="宋体"/>
          <w:bCs/>
          <w:color w:val="auto"/>
          <w:szCs w:val="21"/>
          <w:highlight w:val="none"/>
        </w:rPr>
        <w:t>的外包装封面格式（不可缺）：</w:t>
      </w:r>
    </w:p>
    <w:p>
      <w:pPr>
        <w:snapToGrid w:val="0"/>
        <w:spacing w:before="120" w:beforeLines="50" w:after="50"/>
        <w:rPr>
          <w:rFonts w:hint="eastAsia" w:ascii="宋体" w:hAnsi="宋体" w:cs="宋体"/>
          <w:bCs/>
          <w:color w:val="auto"/>
          <w:szCs w:val="21"/>
          <w:highlight w:val="none"/>
        </w:rPr>
      </w:pPr>
    </w:p>
    <w:p>
      <w:pPr>
        <w:snapToGrid w:val="0"/>
        <w:spacing w:before="120" w:beforeLines="50" w:after="50"/>
        <w:ind w:firstLine="3675" w:firstLineChars="1750"/>
        <w:rPr>
          <w:rFonts w:hint="eastAsia" w:ascii="宋体" w:hAnsi="宋体" w:cs="宋体"/>
          <w:bCs/>
          <w:color w:val="auto"/>
          <w:szCs w:val="21"/>
          <w:highlight w:val="none"/>
        </w:rPr>
      </w:pPr>
      <w:r>
        <w:rPr>
          <w:rFonts w:hint="eastAsia" w:ascii="宋体" w:hAnsi="宋体" w:cs="宋体"/>
          <w:color w:val="auto"/>
          <w:szCs w:val="21"/>
          <w:highlight w:val="none"/>
        </w:rPr>
        <w:t>商务技术文件</w:t>
      </w:r>
    </w:p>
    <w:p>
      <w:pPr>
        <w:snapToGrid w:val="0"/>
        <w:spacing w:before="120" w:beforeLines="50" w:after="50"/>
        <w:ind w:firstLine="932" w:firstLineChars="444"/>
        <w:rPr>
          <w:rFonts w:hint="eastAsia" w:ascii="宋体" w:hAnsi="宋体" w:cs="宋体"/>
          <w:color w:val="auto"/>
          <w:highlight w:val="none"/>
        </w:rPr>
      </w:pPr>
      <w:r>
        <w:rPr>
          <w:rFonts w:hint="eastAsia" w:ascii="宋体" w:hAnsi="宋体" w:cs="宋体"/>
          <w:bCs/>
          <w:color w:val="auto"/>
          <w:szCs w:val="21"/>
          <w:highlight w:val="none"/>
        </w:rPr>
        <w:t>项目名称：</w:t>
      </w:r>
    </w:p>
    <w:p>
      <w:pPr>
        <w:snapToGrid w:val="0"/>
        <w:spacing w:before="120" w:beforeLines="50" w:after="50"/>
        <w:ind w:firstLine="932" w:firstLineChars="444"/>
        <w:rPr>
          <w:rFonts w:hint="eastAsia" w:ascii="宋体" w:hAnsi="宋体" w:cs="宋体"/>
          <w:bCs/>
          <w:color w:val="auto"/>
          <w:szCs w:val="21"/>
          <w:highlight w:val="none"/>
        </w:rPr>
      </w:pPr>
      <w:r>
        <w:rPr>
          <w:rFonts w:hint="eastAsia" w:ascii="宋体" w:hAnsi="宋体" w:cs="宋体"/>
          <w:bCs/>
          <w:color w:val="auto"/>
          <w:szCs w:val="21"/>
          <w:highlight w:val="none"/>
        </w:rPr>
        <w:t>项目编号：</w:t>
      </w:r>
    </w:p>
    <w:p>
      <w:pPr>
        <w:snapToGrid w:val="0"/>
        <w:spacing w:before="120" w:beforeLines="50" w:after="50"/>
        <w:ind w:firstLine="932" w:firstLineChars="444"/>
        <w:rPr>
          <w:rFonts w:hint="eastAsia" w:ascii="宋体" w:hAnsi="宋体" w:cs="宋体"/>
          <w:bCs/>
          <w:color w:val="auto"/>
          <w:szCs w:val="21"/>
          <w:highlight w:val="none"/>
        </w:rPr>
      </w:pPr>
      <w:r>
        <w:rPr>
          <w:rFonts w:hint="eastAsia" w:ascii="宋体" w:hAnsi="宋体" w:cs="宋体"/>
          <w:bCs/>
          <w:color w:val="auto"/>
          <w:szCs w:val="21"/>
          <w:highlight w:val="none"/>
        </w:rPr>
        <w:t>子包号：</w:t>
      </w:r>
    </w:p>
    <w:p>
      <w:pPr>
        <w:snapToGrid w:val="0"/>
        <w:spacing w:before="120" w:beforeLines="50" w:after="50"/>
        <w:ind w:firstLine="932" w:firstLineChars="444"/>
        <w:rPr>
          <w:rFonts w:hint="eastAsia" w:ascii="宋体" w:hAnsi="宋体" w:cs="宋体"/>
          <w:bCs/>
          <w:color w:val="auto"/>
          <w:szCs w:val="21"/>
          <w:highlight w:val="none"/>
        </w:rPr>
      </w:pPr>
    </w:p>
    <w:p>
      <w:pPr>
        <w:pStyle w:val="8"/>
        <w:snapToGrid w:val="0"/>
        <w:spacing w:before="50" w:after="50"/>
        <w:ind w:firstLine="932" w:firstLineChars="444"/>
        <w:rPr>
          <w:rFonts w:hint="eastAsia" w:ascii="宋体" w:hAnsi="宋体" w:cs="宋体"/>
          <w:bCs/>
          <w:color w:val="auto"/>
          <w:sz w:val="21"/>
          <w:szCs w:val="21"/>
          <w:highlight w:val="none"/>
        </w:rPr>
      </w:pPr>
      <w:r>
        <w:rPr>
          <w:rFonts w:hint="eastAsia" w:ascii="宋体" w:hAnsi="宋体" w:cs="宋体"/>
          <w:bCs/>
          <w:color w:val="auto"/>
          <w:sz w:val="21"/>
          <w:szCs w:val="21"/>
          <w:highlight w:val="none"/>
        </w:rPr>
        <w:t>供应商名称：</w:t>
      </w:r>
    </w:p>
    <w:p>
      <w:pPr>
        <w:pStyle w:val="8"/>
        <w:snapToGrid w:val="0"/>
        <w:spacing w:before="50" w:after="50"/>
        <w:ind w:firstLine="932" w:firstLineChars="444"/>
        <w:rPr>
          <w:rFonts w:hint="eastAsia" w:ascii="宋体" w:hAnsi="宋体" w:cs="宋体"/>
          <w:bCs/>
          <w:color w:val="auto"/>
          <w:sz w:val="21"/>
          <w:szCs w:val="21"/>
          <w:highlight w:val="none"/>
        </w:rPr>
      </w:pPr>
      <w:r>
        <w:rPr>
          <w:rFonts w:hint="eastAsia" w:ascii="宋体" w:hAnsi="宋体" w:cs="宋体"/>
          <w:bCs/>
          <w:color w:val="auto"/>
          <w:sz w:val="21"/>
          <w:szCs w:val="21"/>
          <w:highlight w:val="none"/>
        </w:rPr>
        <w:t>供应商地址：</w:t>
      </w:r>
    </w:p>
    <w:p>
      <w:pPr>
        <w:pStyle w:val="8"/>
        <w:snapToGrid w:val="0"/>
        <w:spacing w:before="50" w:after="50"/>
        <w:ind w:firstLine="1243" w:firstLineChars="444"/>
        <w:jc w:val="center"/>
        <w:rPr>
          <w:rFonts w:hint="eastAsia" w:ascii="宋体" w:hAnsi="宋体" w:cs="宋体"/>
          <w:bCs/>
          <w:color w:val="auto"/>
          <w:szCs w:val="21"/>
          <w:highlight w:val="none"/>
        </w:rPr>
      </w:pPr>
      <w:r>
        <w:rPr>
          <w:rFonts w:hint="eastAsia" w:ascii="宋体" w:hAnsi="宋体" w:cs="宋体"/>
          <w:color w:val="auto"/>
          <w:highlight w:val="none"/>
        </w:rPr>
        <w:t>开标时启封</w:t>
      </w: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（供应商公章）</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年  月  日</w:t>
      </w:r>
    </w:p>
    <w:p>
      <w:pPr>
        <w:snapToGrid w:val="0"/>
        <w:spacing w:before="120" w:beforeLines="50" w:after="50"/>
        <w:jc w:val="center"/>
        <w:rPr>
          <w:rFonts w:hint="eastAsia" w:ascii="宋体" w:hAnsi="宋体" w:cs="宋体"/>
          <w:color w:val="auto"/>
          <w:szCs w:val="21"/>
          <w:highlight w:val="none"/>
        </w:rPr>
      </w:pPr>
    </w:p>
    <w:p>
      <w:pPr>
        <w:snapToGrid w:val="0"/>
        <w:spacing w:before="120" w:beforeLines="50" w:after="50"/>
        <w:jc w:val="center"/>
        <w:rPr>
          <w:rFonts w:hint="eastAsia" w:ascii="宋体" w:hAnsi="宋体" w:cs="宋体"/>
          <w:color w:val="auto"/>
          <w:szCs w:val="21"/>
          <w:highlight w:val="none"/>
        </w:rPr>
      </w:pPr>
    </w:p>
    <w:p>
      <w:pPr>
        <w:snapToGrid w:val="0"/>
        <w:spacing w:before="120" w:beforeLines="50" w:after="50"/>
        <w:rPr>
          <w:rFonts w:hint="eastAsia" w:ascii="宋体" w:hAnsi="宋体" w:cs="宋体"/>
          <w:color w:val="auto"/>
          <w:szCs w:val="21"/>
          <w:highlight w:val="none"/>
        </w:rPr>
      </w:pPr>
      <w:r>
        <w:rPr>
          <w:rFonts w:hint="eastAsia" w:ascii="宋体" w:hAnsi="宋体" w:cs="宋体"/>
          <w:color w:val="auto"/>
          <w:szCs w:val="21"/>
          <w:highlight w:val="none"/>
        </w:rPr>
        <w:t xml:space="preserve">2. 商务技术文件封面格式： </w:t>
      </w:r>
    </w:p>
    <w:p>
      <w:pPr>
        <w:snapToGrid w:val="0"/>
        <w:spacing w:before="120" w:beforeLines="50" w:after="50"/>
        <w:rPr>
          <w:rFonts w:hint="eastAsia" w:ascii="宋体" w:hAnsi="宋体" w:cs="宋体"/>
          <w:b/>
          <w:bCs/>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正本/或副本</w:t>
      </w:r>
    </w:p>
    <w:p>
      <w:pPr>
        <w:snapToGrid w:val="0"/>
        <w:spacing w:before="120" w:beforeLines="50" w:after="50"/>
        <w:rPr>
          <w:rFonts w:hint="eastAsia" w:ascii="宋体" w:hAnsi="宋体" w:cs="宋体"/>
          <w:color w:val="auto"/>
          <w:szCs w:val="21"/>
          <w:highlight w:val="none"/>
        </w:rPr>
      </w:pPr>
    </w:p>
    <w:p>
      <w:pPr>
        <w:snapToGrid w:val="0"/>
        <w:spacing w:before="120" w:beforeLines="50" w:after="50"/>
        <w:jc w:val="center"/>
        <w:rPr>
          <w:rFonts w:hint="eastAsia" w:ascii="宋体" w:hAnsi="宋体" w:cs="宋体"/>
          <w:bCs/>
          <w:color w:val="auto"/>
          <w:szCs w:val="21"/>
          <w:highlight w:val="none"/>
        </w:rPr>
      </w:pPr>
    </w:p>
    <w:p>
      <w:pPr>
        <w:snapToGrid w:val="0"/>
        <w:spacing w:before="50" w:after="120" w:afterLines="50" w:line="360" w:lineRule="auto"/>
        <w:jc w:val="center"/>
        <w:rPr>
          <w:rFonts w:hint="eastAsia" w:ascii="宋体" w:hAnsi="宋体" w:cs="宋体"/>
          <w:b/>
          <w:bCs/>
          <w:color w:val="auto"/>
          <w:highlight w:val="none"/>
        </w:rPr>
      </w:pPr>
      <w:r>
        <w:rPr>
          <w:rFonts w:hint="eastAsia" w:ascii="宋体" w:hAnsi="宋体" w:cs="宋体"/>
          <w:b/>
          <w:bCs/>
          <w:color w:val="auto"/>
          <w:highlight w:val="none"/>
        </w:rPr>
        <w:t>商务技术文件</w:t>
      </w:r>
    </w:p>
    <w:p>
      <w:pPr>
        <w:snapToGrid w:val="0"/>
        <w:spacing w:before="120" w:beforeLines="50" w:after="50"/>
        <w:ind w:firstLine="932" w:firstLineChars="444"/>
        <w:rPr>
          <w:rFonts w:hint="eastAsia" w:ascii="宋体" w:hAnsi="宋体" w:cs="宋体"/>
          <w:color w:val="auto"/>
          <w:highlight w:val="none"/>
        </w:rPr>
      </w:pPr>
      <w:r>
        <w:rPr>
          <w:rFonts w:hint="eastAsia" w:ascii="宋体" w:hAnsi="宋体" w:cs="宋体"/>
          <w:bCs/>
          <w:color w:val="auto"/>
          <w:szCs w:val="21"/>
          <w:highlight w:val="none"/>
        </w:rPr>
        <w:t>项目名称：</w:t>
      </w:r>
    </w:p>
    <w:p>
      <w:pPr>
        <w:snapToGrid w:val="0"/>
        <w:spacing w:before="120" w:beforeLines="50" w:after="50"/>
        <w:ind w:firstLine="932" w:firstLineChars="444"/>
        <w:rPr>
          <w:rFonts w:hint="eastAsia" w:ascii="宋体" w:hAnsi="宋体" w:cs="宋体"/>
          <w:bCs/>
          <w:color w:val="auto"/>
          <w:szCs w:val="21"/>
          <w:highlight w:val="none"/>
        </w:rPr>
      </w:pPr>
      <w:r>
        <w:rPr>
          <w:rFonts w:hint="eastAsia" w:ascii="宋体" w:hAnsi="宋体" w:cs="宋体"/>
          <w:bCs/>
          <w:color w:val="auto"/>
          <w:szCs w:val="21"/>
          <w:highlight w:val="none"/>
        </w:rPr>
        <w:t>项目编号：</w:t>
      </w:r>
    </w:p>
    <w:p>
      <w:pPr>
        <w:snapToGrid w:val="0"/>
        <w:spacing w:before="120" w:beforeLines="50" w:after="50"/>
        <w:ind w:firstLine="932" w:firstLineChars="444"/>
        <w:rPr>
          <w:rFonts w:hint="eastAsia" w:ascii="宋体" w:hAnsi="宋体" w:cs="宋体"/>
          <w:bCs/>
          <w:color w:val="auto"/>
          <w:szCs w:val="21"/>
          <w:highlight w:val="none"/>
        </w:rPr>
      </w:pPr>
      <w:r>
        <w:rPr>
          <w:rFonts w:hint="eastAsia" w:ascii="宋体" w:hAnsi="宋体" w:cs="宋体"/>
          <w:bCs/>
          <w:color w:val="auto"/>
          <w:szCs w:val="21"/>
          <w:highlight w:val="none"/>
        </w:rPr>
        <w:t>子包号：</w:t>
      </w:r>
    </w:p>
    <w:p>
      <w:pPr>
        <w:snapToGrid w:val="0"/>
        <w:spacing w:before="120" w:beforeLines="50" w:after="50"/>
        <w:ind w:firstLine="932" w:firstLineChars="444"/>
        <w:rPr>
          <w:rFonts w:hint="eastAsia" w:ascii="宋体" w:hAnsi="宋体" w:cs="宋体"/>
          <w:bCs/>
          <w:color w:val="auto"/>
          <w:szCs w:val="21"/>
          <w:highlight w:val="none"/>
        </w:rPr>
      </w:pPr>
    </w:p>
    <w:p>
      <w:pPr>
        <w:snapToGrid w:val="0"/>
        <w:spacing w:before="120" w:beforeLines="50" w:after="50"/>
        <w:ind w:firstLine="932" w:firstLineChars="444"/>
        <w:rPr>
          <w:rFonts w:hint="eastAsia" w:ascii="宋体" w:hAnsi="宋体" w:cs="宋体"/>
          <w:bCs/>
          <w:color w:val="auto"/>
          <w:szCs w:val="21"/>
          <w:highlight w:val="none"/>
        </w:rPr>
      </w:pPr>
      <w:r>
        <w:rPr>
          <w:rFonts w:hint="eastAsia" w:ascii="宋体" w:hAnsi="宋体" w:cs="宋体"/>
          <w:bCs/>
          <w:color w:val="auto"/>
          <w:szCs w:val="21"/>
          <w:highlight w:val="none"/>
        </w:rPr>
        <w:t>供应商名称：</w:t>
      </w:r>
    </w:p>
    <w:p>
      <w:pPr>
        <w:snapToGrid w:val="0"/>
        <w:spacing w:before="120" w:beforeLines="50" w:after="50"/>
        <w:ind w:firstLine="932" w:firstLineChars="444"/>
        <w:rPr>
          <w:rFonts w:hint="eastAsia" w:ascii="宋体" w:hAnsi="宋体" w:cs="宋体"/>
          <w:bCs/>
          <w:color w:val="auto"/>
          <w:szCs w:val="21"/>
          <w:highlight w:val="none"/>
        </w:rPr>
      </w:pPr>
      <w:r>
        <w:rPr>
          <w:rFonts w:hint="eastAsia" w:ascii="宋体" w:hAnsi="宋体" w:cs="宋体"/>
          <w:bCs/>
          <w:color w:val="auto"/>
          <w:szCs w:val="21"/>
          <w:highlight w:val="none"/>
        </w:rPr>
        <w:t>供应商地址：</w:t>
      </w:r>
    </w:p>
    <w:p>
      <w:pPr>
        <w:pStyle w:val="8"/>
        <w:snapToGrid w:val="0"/>
        <w:spacing w:before="50" w:after="50"/>
        <w:ind w:firstLine="1120" w:firstLineChars="400"/>
        <w:rPr>
          <w:rFonts w:hint="eastAsia" w:ascii="宋体" w:hAnsi="宋体" w:cs="宋体"/>
          <w:bCs/>
          <w:color w:val="auto"/>
          <w:szCs w:val="21"/>
          <w:highlight w:val="none"/>
        </w:rPr>
      </w:pPr>
    </w:p>
    <w:p>
      <w:pPr>
        <w:pStyle w:val="8"/>
        <w:snapToGrid w:val="0"/>
        <w:spacing w:before="50" w:after="50"/>
        <w:ind w:firstLine="1164" w:firstLineChars="416"/>
        <w:rPr>
          <w:rFonts w:hint="eastAsia" w:ascii="宋体" w:hAnsi="宋体" w:cs="宋体"/>
          <w:color w:val="auto"/>
          <w:szCs w:val="21"/>
          <w:highlight w:val="none"/>
        </w:rPr>
      </w:pPr>
    </w:p>
    <w:p>
      <w:pPr>
        <w:spacing w:line="360" w:lineRule="auto"/>
        <w:rPr>
          <w:rFonts w:hint="eastAsia" w:ascii="宋体" w:hAnsi="宋体" w:cs="宋体"/>
          <w:color w:val="auto"/>
          <w:highlight w:val="none"/>
        </w:rPr>
      </w:pPr>
      <w:r>
        <w:rPr>
          <w:rFonts w:hint="eastAsia" w:ascii="宋体" w:hAnsi="宋体" w:cs="宋体"/>
          <w:color w:val="auto"/>
          <w:szCs w:val="21"/>
          <w:highlight w:val="none"/>
        </w:rPr>
        <w:t xml:space="preserve">                       </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（供应商公章）</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年  月  日</w:t>
      </w:r>
    </w:p>
    <w:p>
      <w:pPr>
        <w:snapToGrid w:val="0"/>
        <w:spacing w:before="120" w:beforeLines="50" w:after="50"/>
        <w:ind w:firstLine="645"/>
        <w:jc w:val="center"/>
        <w:rPr>
          <w:rFonts w:hint="eastAsia" w:ascii="宋体" w:hAnsi="宋体" w:cs="宋体"/>
          <w:color w:val="auto"/>
          <w:szCs w:val="21"/>
          <w:highlight w:val="none"/>
        </w:rPr>
      </w:pPr>
    </w:p>
    <w:p>
      <w:pPr>
        <w:snapToGrid w:val="0"/>
        <w:spacing w:before="50" w:after="50"/>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3.</w:t>
      </w:r>
      <w:r>
        <w:rPr>
          <w:rFonts w:hint="eastAsia" w:ascii="宋体" w:hAnsi="宋体" w:cs="宋体"/>
          <w:b/>
          <w:bCs/>
          <w:color w:val="auto"/>
          <w:szCs w:val="21"/>
          <w:highlight w:val="none"/>
        </w:rPr>
        <w:t xml:space="preserve"> 商务技术文件目录</w:t>
      </w:r>
    </w:p>
    <w:p>
      <w:pPr>
        <w:numPr>
          <w:ilvl w:val="0"/>
          <w:numId w:val="10"/>
        </w:numPr>
        <w:snapToGrid w:val="0"/>
        <w:spacing w:line="360" w:lineRule="auto"/>
        <w:ind w:left="210" w:leftChars="100"/>
        <w:rPr>
          <w:rFonts w:hint="eastAsia" w:ascii="宋体" w:hAnsi="宋体" w:cs="宋体"/>
          <w:color w:val="auto"/>
          <w:szCs w:val="21"/>
          <w:highlight w:val="none"/>
        </w:rPr>
      </w:pPr>
      <w:r>
        <w:rPr>
          <w:rFonts w:hint="eastAsia" w:ascii="宋体" w:hAnsi="宋体" w:cs="宋体"/>
          <w:color w:val="auto"/>
          <w:szCs w:val="21"/>
          <w:highlight w:val="none"/>
        </w:rPr>
        <w:t>符合性自查表</w:t>
      </w:r>
      <w:r>
        <w:rPr>
          <w:rFonts w:hint="eastAsia" w:ascii="宋体" w:hAnsi="宋体" w:cs="宋体"/>
          <w:color w:val="auto"/>
          <w:highlight w:val="none"/>
        </w:rPr>
        <w:t>（格式见附件）</w:t>
      </w:r>
      <w:r>
        <w:rPr>
          <w:rFonts w:hint="eastAsia" w:ascii="宋体" w:hAnsi="宋体" w:cs="宋体"/>
          <w:color w:val="auto"/>
          <w:szCs w:val="21"/>
          <w:highlight w:val="none"/>
        </w:rPr>
        <w:t>；</w:t>
      </w:r>
    </w:p>
    <w:p>
      <w:pPr>
        <w:numPr>
          <w:ilvl w:val="0"/>
          <w:numId w:val="10"/>
        </w:numPr>
        <w:snapToGrid w:val="0"/>
        <w:spacing w:line="360" w:lineRule="auto"/>
        <w:ind w:left="210" w:leftChars="100"/>
        <w:rPr>
          <w:rFonts w:hint="eastAsia" w:ascii="宋体" w:hAnsi="宋体" w:cs="宋体"/>
          <w:color w:val="auto"/>
          <w:szCs w:val="21"/>
          <w:highlight w:val="none"/>
        </w:rPr>
      </w:pPr>
      <w:r>
        <w:rPr>
          <w:rFonts w:hint="eastAsia" w:ascii="宋体" w:hAnsi="宋体" w:cs="宋体"/>
          <w:color w:val="auto"/>
          <w:szCs w:val="21"/>
          <w:highlight w:val="none"/>
        </w:rPr>
        <w:t>供应商响应表</w:t>
      </w:r>
      <w:r>
        <w:rPr>
          <w:rFonts w:hint="eastAsia" w:ascii="宋体" w:hAnsi="宋体" w:cs="宋体"/>
          <w:color w:val="auto"/>
          <w:highlight w:val="none"/>
        </w:rPr>
        <w:t>（格式见附件）</w:t>
      </w:r>
      <w:r>
        <w:rPr>
          <w:rFonts w:hint="eastAsia" w:ascii="宋体" w:hAnsi="宋体" w:cs="宋体"/>
          <w:color w:val="auto"/>
          <w:szCs w:val="21"/>
          <w:highlight w:val="none"/>
        </w:rPr>
        <w:t>；</w:t>
      </w:r>
    </w:p>
    <w:p>
      <w:pPr>
        <w:numPr>
          <w:ilvl w:val="0"/>
          <w:numId w:val="10"/>
        </w:numPr>
        <w:snapToGrid w:val="0"/>
        <w:spacing w:line="360" w:lineRule="auto"/>
        <w:ind w:left="210" w:leftChars="100"/>
        <w:rPr>
          <w:rFonts w:hint="eastAsia" w:ascii="宋体" w:hAnsi="宋体" w:cs="宋体"/>
          <w:color w:val="auto"/>
          <w:szCs w:val="21"/>
          <w:highlight w:val="none"/>
        </w:rPr>
      </w:pPr>
      <w:r>
        <w:rPr>
          <w:rFonts w:hint="eastAsia" w:ascii="宋体" w:hAnsi="宋体" w:cs="宋体"/>
          <w:color w:val="auto"/>
          <w:szCs w:val="21"/>
          <w:highlight w:val="none"/>
        </w:rPr>
        <w:t>技术部分：针对本项目第</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章</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需求及第</w:t>
      </w: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章评分标准中的条款拟定各种方案，格式自拟；</w:t>
      </w:r>
    </w:p>
    <w:p>
      <w:pPr>
        <w:numPr>
          <w:ilvl w:val="0"/>
          <w:numId w:val="10"/>
        </w:numPr>
        <w:snapToGrid w:val="0"/>
        <w:spacing w:line="360" w:lineRule="auto"/>
        <w:ind w:left="210" w:leftChars="100"/>
        <w:rPr>
          <w:rFonts w:hint="eastAsia" w:ascii="宋体" w:hAnsi="宋体" w:cs="宋体"/>
          <w:color w:val="auto"/>
          <w:szCs w:val="21"/>
          <w:highlight w:val="none"/>
        </w:rPr>
      </w:pPr>
      <w:r>
        <w:rPr>
          <w:rFonts w:hint="eastAsia" w:ascii="宋体" w:hAnsi="宋体" w:cs="宋体"/>
          <w:color w:val="auto"/>
          <w:szCs w:val="21"/>
          <w:highlight w:val="none"/>
        </w:rPr>
        <w:t>投标函</w:t>
      </w:r>
      <w:r>
        <w:rPr>
          <w:rFonts w:hint="eastAsia" w:ascii="宋体" w:hAnsi="宋体" w:cs="宋体"/>
          <w:color w:val="auto"/>
          <w:highlight w:val="none"/>
        </w:rPr>
        <w:t>（格式见附件）</w:t>
      </w:r>
      <w:r>
        <w:rPr>
          <w:rFonts w:hint="eastAsia" w:ascii="宋体" w:hAnsi="宋体" w:cs="宋体"/>
          <w:color w:val="auto"/>
          <w:szCs w:val="21"/>
          <w:highlight w:val="none"/>
        </w:rPr>
        <w:t>；</w:t>
      </w:r>
    </w:p>
    <w:p>
      <w:pPr>
        <w:numPr>
          <w:ilvl w:val="0"/>
          <w:numId w:val="10"/>
        </w:numPr>
        <w:snapToGrid w:val="0"/>
        <w:spacing w:line="360" w:lineRule="auto"/>
        <w:ind w:left="210" w:leftChars="100"/>
        <w:rPr>
          <w:rFonts w:hint="eastAsia" w:ascii="宋体" w:hAnsi="宋体" w:cs="宋体"/>
          <w:color w:val="auto"/>
          <w:szCs w:val="21"/>
          <w:highlight w:val="none"/>
        </w:rPr>
      </w:pPr>
      <w:r>
        <w:rPr>
          <w:rFonts w:hint="eastAsia" w:ascii="宋体" w:hAnsi="宋体" w:cs="宋体"/>
          <w:color w:val="auto"/>
          <w:szCs w:val="21"/>
          <w:highlight w:val="none"/>
        </w:rPr>
        <w:t>法定代表人身份证明或法定代表人授权委托书</w:t>
      </w:r>
      <w:r>
        <w:rPr>
          <w:rFonts w:hint="eastAsia" w:ascii="宋体" w:hAnsi="宋体" w:cs="宋体"/>
          <w:color w:val="auto"/>
          <w:highlight w:val="none"/>
        </w:rPr>
        <w:t>（格式见附件）</w:t>
      </w:r>
      <w:r>
        <w:rPr>
          <w:rFonts w:hint="eastAsia" w:ascii="宋体" w:hAnsi="宋体" w:cs="宋体"/>
          <w:color w:val="auto"/>
          <w:szCs w:val="21"/>
          <w:highlight w:val="none"/>
        </w:rPr>
        <w:t>；</w:t>
      </w:r>
    </w:p>
    <w:p>
      <w:pPr>
        <w:numPr>
          <w:ilvl w:val="0"/>
          <w:numId w:val="10"/>
        </w:numPr>
        <w:snapToGrid w:val="0"/>
        <w:spacing w:line="360" w:lineRule="auto"/>
        <w:ind w:left="210" w:leftChars="100"/>
        <w:rPr>
          <w:rFonts w:hint="eastAsia" w:ascii="宋体" w:hAnsi="宋体" w:cs="宋体"/>
          <w:color w:val="auto"/>
          <w:szCs w:val="21"/>
          <w:highlight w:val="none"/>
        </w:rPr>
      </w:pPr>
      <w:r>
        <w:rPr>
          <w:rFonts w:hint="eastAsia" w:ascii="宋体" w:hAnsi="宋体" w:cs="宋体"/>
          <w:color w:val="auto"/>
          <w:szCs w:val="21"/>
          <w:highlight w:val="none"/>
        </w:rPr>
        <w:t>技术（服务）条款偏离表</w:t>
      </w:r>
      <w:r>
        <w:rPr>
          <w:rFonts w:hint="eastAsia" w:ascii="宋体" w:hAnsi="宋体" w:cs="宋体"/>
          <w:color w:val="auto"/>
          <w:highlight w:val="none"/>
        </w:rPr>
        <w:t>（格式见附件）</w:t>
      </w:r>
      <w:r>
        <w:rPr>
          <w:rFonts w:hint="eastAsia" w:ascii="宋体" w:hAnsi="宋体" w:cs="宋体"/>
          <w:color w:val="auto"/>
          <w:szCs w:val="21"/>
          <w:highlight w:val="none"/>
        </w:rPr>
        <w:t>；</w:t>
      </w:r>
      <w:r>
        <w:rPr>
          <w:rFonts w:hint="eastAsia" w:ascii="宋体" w:hAnsi="宋体" w:cs="宋体"/>
          <w:color w:val="auto"/>
          <w:szCs w:val="21"/>
          <w:highlight w:val="none"/>
        </w:rPr>
        <w:tab/>
      </w:r>
    </w:p>
    <w:p>
      <w:pPr>
        <w:numPr>
          <w:ilvl w:val="0"/>
          <w:numId w:val="10"/>
        </w:numPr>
        <w:snapToGrid w:val="0"/>
        <w:spacing w:line="360" w:lineRule="auto"/>
        <w:ind w:left="210" w:leftChars="100"/>
        <w:rPr>
          <w:rFonts w:hint="eastAsia" w:ascii="宋体" w:hAnsi="宋体" w:cs="宋体"/>
          <w:color w:val="auto"/>
          <w:szCs w:val="21"/>
          <w:highlight w:val="none"/>
        </w:rPr>
      </w:pPr>
      <w:r>
        <w:rPr>
          <w:rFonts w:hint="eastAsia" w:ascii="宋体" w:hAnsi="宋体" w:cs="宋体"/>
          <w:color w:val="auto"/>
          <w:szCs w:val="21"/>
          <w:highlight w:val="none"/>
        </w:rPr>
        <w:t>商务条款偏离表</w:t>
      </w:r>
      <w:r>
        <w:rPr>
          <w:rFonts w:hint="eastAsia" w:ascii="宋体" w:hAnsi="宋体" w:cs="宋体"/>
          <w:color w:val="auto"/>
          <w:highlight w:val="none"/>
        </w:rPr>
        <w:t>（格式见附件）</w:t>
      </w:r>
      <w:r>
        <w:rPr>
          <w:rFonts w:hint="eastAsia" w:ascii="宋体" w:hAnsi="宋体" w:cs="宋体"/>
          <w:color w:val="auto"/>
          <w:szCs w:val="21"/>
          <w:highlight w:val="none"/>
        </w:rPr>
        <w:t>；</w:t>
      </w:r>
    </w:p>
    <w:p>
      <w:pPr>
        <w:numPr>
          <w:ilvl w:val="0"/>
          <w:numId w:val="10"/>
        </w:numPr>
        <w:snapToGrid w:val="0"/>
        <w:spacing w:line="360" w:lineRule="auto"/>
        <w:ind w:left="210" w:leftChars="100"/>
        <w:rPr>
          <w:rFonts w:hint="eastAsia" w:ascii="宋体" w:hAnsi="宋体" w:cs="宋体"/>
          <w:color w:val="auto"/>
          <w:szCs w:val="21"/>
          <w:highlight w:val="none"/>
        </w:rPr>
      </w:pPr>
      <w:r>
        <w:rPr>
          <w:rFonts w:hint="eastAsia" w:ascii="宋体" w:hAnsi="宋体" w:cs="宋体"/>
          <w:color w:val="auto"/>
          <w:szCs w:val="21"/>
          <w:highlight w:val="none"/>
        </w:rPr>
        <w:t>供应商情况一览表</w:t>
      </w:r>
      <w:r>
        <w:rPr>
          <w:rFonts w:hint="eastAsia" w:ascii="宋体" w:hAnsi="宋体" w:cs="宋体"/>
          <w:color w:val="auto"/>
          <w:highlight w:val="none"/>
        </w:rPr>
        <w:t>（格式见附件）</w:t>
      </w:r>
      <w:r>
        <w:rPr>
          <w:rFonts w:hint="eastAsia" w:ascii="宋体" w:hAnsi="宋体" w:cs="宋体"/>
          <w:color w:val="auto"/>
          <w:szCs w:val="21"/>
          <w:highlight w:val="none"/>
        </w:rPr>
        <w:t>；</w:t>
      </w:r>
    </w:p>
    <w:p>
      <w:pPr>
        <w:numPr>
          <w:ilvl w:val="0"/>
          <w:numId w:val="10"/>
        </w:numPr>
        <w:snapToGrid w:val="0"/>
        <w:spacing w:line="360" w:lineRule="auto"/>
        <w:ind w:left="210" w:leftChars="100"/>
        <w:rPr>
          <w:rFonts w:hint="eastAsia" w:ascii="宋体" w:hAnsi="宋体" w:cs="宋体"/>
          <w:color w:val="auto"/>
          <w:szCs w:val="21"/>
          <w:highlight w:val="none"/>
        </w:rPr>
      </w:pPr>
      <w:r>
        <w:rPr>
          <w:rFonts w:hint="eastAsia" w:ascii="宋体" w:hAnsi="宋体" w:cs="宋体"/>
          <w:color w:val="auto"/>
          <w:szCs w:val="21"/>
          <w:highlight w:val="none"/>
        </w:rPr>
        <w:t>企业业绩表</w:t>
      </w:r>
      <w:r>
        <w:rPr>
          <w:rFonts w:hint="eastAsia" w:ascii="宋体" w:hAnsi="宋体" w:cs="宋体"/>
          <w:color w:val="auto"/>
          <w:highlight w:val="none"/>
        </w:rPr>
        <w:t>（格式见附件）</w:t>
      </w:r>
      <w:r>
        <w:rPr>
          <w:rFonts w:hint="eastAsia" w:ascii="宋体" w:hAnsi="宋体" w:cs="宋体"/>
          <w:color w:val="auto"/>
          <w:szCs w:val="21"/>
          <w:highlight w:val="none"/>
        </w:rPr>
        <w:t>；</w:t>
      </w:r>
    </w:p>
    <w:p>
      <w:pPr>
        <w:numPr>
          <w:ilvl w:val="0"/>
          <w:numId w:val="10"/>
        </w:numPr>
        <w:snapToGrid w:val="0"/>
        <w:spacing w:line="360" w:lineRule="auto"/>
        <w:ind w:left="210" w:leftChars="100"/>
        <w:rPr>
          <w:rFonts w:hint="eastAsia"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章评标办法及评分标准中需提供的其他相关资质证书及合同复印件加盖公章；</w:t>
      </w:r>
    </w:p>
    <w:p>
      <w:pPr>
        <w:numPr>
          <w:ilvl w:val="0"/>
          <w:numId w:val="10"/>
        </w:numPr>
        <w:snapToGrid w:val="0"/>
        <w:spacing w:line="360" w:lineRule="auto"/>
        <w:ind w:left="210" w:leftChars="100"/>
        <w:rPr>
          <w:rFonts w:hint="eastAsia" w:ascii="宋体" w:hAnsi="宋体" w:cs="宋体"/>
          <w:color w:val="auto"/>
          <w:highlight w:val="none"/>
        </w:rPr>
      </w:pPr>
      <w:r>
        <w:rPr>
          <w:rFonts w:hint="eastAsia" w:ascii="宋体" w:hAnsi="宋体" w:cs="宋体"/>
          <w:color w:val="auto"/>
          <w:szCs w:val="21"/>
          <w:highlight w:val="none"/>
        </w:rPr>
        <w:t>供应商认为有需要提供的其它证明资料。</w:t>
      </w:r>
    </w:p>
    <w:p>
      <w:pPr>
        <w:ind w:firstLine="105" w:firstLineChars="50"/>
        <w:rPr>
          <w:rFonts w:hint="eastAsia" w:ascii="宋体" w:hAnsi="宋体" w:cs="宋体"/>
          <w:b/>
          <w:color w:val="auto"/>
          <w:highlight w:val="none"/>
        </w:rPr>
      </w:pPr>
      <w:r>
        <w:rPr>
          <w:rFonts w:hint="eastAsia" w:ascii="宋体" w:hAnsi="宋体" w:cs="宋体"/>
          <w:b/>
          <w:bCs/>
          <w:color w:val="auto"/>
          <w:szCs w:val="21"/>
          <w:highlight w:val="none"/>
        </w:rPr>
        <w:br w:type="page"/>
      </w:r>
      <w:r>
        <w:rPr>
          <w:rFonts w:hint="eastAsia" w:ascii="宋体" w:hAnsi="宋体" w:cs="宋体"/>
          <w:b/>
          <w:bCs/>
          <w:color w:val="auto"/>
          <w:szCs w:val="21"/>
          <w:highlight w:val="none"/>
        </w:rPr>
        <w:t>4.符合性自查表</w:t>
      </w:r>
    </w:p>
    <w:p>
      <w:pPr>
        <w:adjustRightInd w:val="0"/>
        <w:snapToGrid w:val="0"/>
        <w:jc w:val="center"/>
        <w:rPr>
          <w:rFonts w:hint="eastAsia" w:ascii="宋体" w:hAnsi="宋体" w:cs="宋体"/>
          <w:b/>
          <w:color w:val="auto"/>
          <w:sz w:val="24"/>
          <w:highlight w:val="none"/>
        </w:rPr>
      </w:pPr>
    </w:p>
    <w:p>
      <w:pPr>
        <w:snapToGrid w:val="0"/>
        <w:spacing w:before="120" w:beforeLines="50" w:after="50"/>
        <w:jc w:val="center"/>
        <w:rPr>
          <w:rFonts w:hint="eastAsia" w:ascii="宋体" w:hAnsi="宋体" w:cs="宋体"/>
          <w:b/>
          <w:color w:val="auto"/>
          <w:szCs w:val="21"/>
          <w:highlight w:val="none"/>
        </w:rPr>
      </w:pPr>
      <w:r>
        <w:rPr>
          <w:rFonts w:hint="eastAsia" w:ascii="宋体" w:hAnsi="宋体" w:cs="宋体"/>
          <w:b/>
          <w:color w:val="auto"/>
          <w:szCs w:val="21"/>
          <w:highlight w:val="none"/>
        </w:rPr>
        <w:t>符合性自查表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4313"/>
        <w:gridCol w:w="1260"/>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4" w:hRule="atLeast"/>
          <w:jc w:val="center"/>
        </w:trPr>
        <w:tc>
          <w:tcPr>
            <w:tcW w:w="1149"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评审内容</w:t>
            </w:r>
          </w:p>
        </w:tc>
        <w:tc>
          <w:tcPr>
            <w:tcW w:w="4313"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采购文件要求</w:t>
            </w:r>
          </w:p>
        </w:tc>
        <w:tc>
          <w:tcPr>
            <w:tcW w:w="1260"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自查结论</w:t>
            </w:r>
          </w:p>
        </w:tc>
        <w:tc>
          <w:tcPr>
            <w:tcW w:w="1716"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restart"/>
            <w:noWrap w:val="0"/>
            <w:vAlign w:val="center"/>
          </w:tcPr>
          <w:p>
            <w:pPr>
              <w:rPr>
                <w:rFonts w:hint="eastAsia" w:ascii="宋体" w:hAnsi="宋体" w:cs="宋体"/>
                <w:color w:val="auto"/>
                <w:highlight w:val="none"/>
              </w:rPr>
            </w:pPr>
            <w:r>
              <w:rPr>
                <w:rFonts w:hint="eastAsia" w:ascii="宋体" w:hAnsi="宋体" w:cs="宋体"/>
                <w:color w:val="auto"/>
                <w:highlight w:val="none"/>
              </w:rPr>
              <w:t>符合性审</w:t>
            </w:r>
          </w:p>
          <w:p>
            <w:pPr>
              <w:rPr>
                <w:rFonts w:hint="eastAsia" w:ascii="宋体" w:hAnsi="宋体" w:cs="宋体"/>
                <w:color w:val="auto"/>
                <w:highlight w:val="none"/>
              </w:rPr>
            </w:pPr>
            <w:r>
              <w:rPr>
                <w:rFonts w:hint="eastAsia" w:ascii="宋体" w:hAnsi="宋体" w:cs="宋体"/>
                <w:color w:val="auto"/>
                <w:highlight w:val="none"/>
              </w:rPr>
              <w:t>查（商务技术文件）</w:t>
            </w:r>
          </w:p>
        </w:tc>
        <w:tc>
          <w:tcPr>
            <w:tcW w:w="4313" w:type="dxa"/>
            <w:noWrap w:val="0"/>
            <w:vAlign w:val="center"/>
          </w:tcPr>
          <w:p>
            <w:pPr>
              <w:tabs>
                <w:tab w:val="left" w:pos="612"/>
              </w:tabs>
              <w:rPr>
                <w:rFonts w:hint="eastAsia" w:ascii="宋体" w:hAnsi="宋体" w:cs="宋体"/>
                <w:color w:val="auto"/>
                <w:szCs w:val="24"/>
                <w:highlight w:val="none"/>
              </w:rPr>
            </w:pPr>
            <w:r>
              <w:rPr>
                <w:rFonts w:hint="eastAsia" w:ascii="宋体" w:hAnsi="宋体" w:cs="宋体"/>
                <w:color w:val="auto"/>
                <w:szCs w:val="21"/>
                <w:highlight w:val="none"/>
              </w:rPr>
              <w:t>（一）</w:t>
            </w:r>
            <w:r>
              <w:rPr>
                <w:rFonts w:hint="eastAsia" w:ascii="宋体" w:hAnsi="宋体" w:cs="宋体"/>
                <w:color w:val="auto"/>
                <w:highlight w:val="none"/>
              </w:rPr>
              <w:t>投标函已提交并符合采购文件要求；</w:t>
            </w:r>
          </w:p>
        </w:tc>
        <w:tc>
          <w:tcPr>
            <w:tcW w:w="1260" w:type="dxa"/>
            <w:noWrap w:val="0"/>
            <w:vAlign w:val="center"/>
          </w:tcPr>
          <w:p>
            <w:pPr>
              <w:rPr>
                <w:rFonts w:hint="eastAsia" w:ascii="宋体" w:hAnsi="宋体" w:cs="宋体"/>
                <w:color w:val="auto"/>
                <w:highlight w:val="none"/>
              </w:rPr>
            </w:pPr>
            <w:r>
              <w:rPr>
                <w:rFonts w:hint="eastAsia" w:ascii="宋体" w:hAnsi="宋体" w:cs="宋体"/>
                <w:color w:val="auto"/>
                <w:highlight w:val="none"/>
              </w:rPr>
              <w:t xml:space="preserve">□通过 </w:t>
            </w:r>
          </w:p>
          <w:p>
            <w:pPr>
              <w:rPr>
                <w:rFonts w:hint="eastAsia" w:ascii="宋体" w:hAnsi="宋体" w:cs="宋体"/>
                <w:color w:val="auto"/>
                <w:highlight w:val="none"/>
              </w:rPr>
            </w:pPr>
            <w:r>
              <w:rPr>
                <w:rFonts w:hint="eastAsia" w:ascii="宋体" w:hAnsi="宋体" w:cs="宋体"/>
                <w:color w:val="auto"/>
                <w:highlight w:val="none"/>
              </w:rPr>
              <w:t>□不通过</w:t>
            </w:r>
          </w:p>
        </w:tc>
        <w:tc>
          <w:tcPr>
            <w:tcW w:w="1716" w:type="dxa"/>
            <w:noWrap w:val="0"/>
            <w:vAlign w:val="center"/>
          </w:tcPr>
          <w:p>
            <w:pPr>
              <w:rPr>
                <w:rFonts w:hint="eastAsia"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40" w:hRule="atLeast"/>
          <w:jc w:val="center"/>
        </w:trPr>
        <w:tc>
          <w:tcPr>
            <w:tcW w:w="1149" w:type="dxa"/>
            <w:vMerge w:val="continue"/>
            <w:noWrap w:val="0"/>
            <w:vAlign w:val="center"/>
          </w:tcPr>
          <w:p>
            <w:pPr>
              <w:rPr>
                <w:rFonts w:hint="eastAsia" w:ascii="宋体" w:hAnsi="宋体" w:cs="宋体"/>
                <w:color w:val="auto"/>
                <w:highlight w:val="none"/>
              </w:rPr>
            </w:pPr>
          </w:p>
        </w:tc>
        <w:tc>
          <w:tcPr>
            <w:tcW w:w="4313" w:type="dxa"/>
            <w:noWrap w:val="0"/>
            <w:vAlign w:val="center"/>
          </w:tcPr>
          <w:p>
            <w:pPr>
              <w:tabs>
                <w:tab w:val="left" w:pos="612"/>
              </w:tabs>
              <w:rPr>
                <w:rFonts w:hint="eastAsia" w:ascii="宋体" w:hAnsi="宋体" w:cs="宋体"/>
                <w:color w:val="auto"/>
                <w:szCs w:val="24"/>
                <w:highlight w:val="none"/>
              </w:rPr>
            </w:pPr>
            <w:r>
              <w:rPr>
                <w:rFonts w:hint="eastAsia" w:ascii="宋体" w:hAnsi="宋体" w:cs="宋体"/>
                <w:color w:val="auto"/>
                <w:szCs w:val="21"/>
                <w:highlight w:val="none"/>
              </w:rPr>
              <w:t>（二）</w:t>
            </w:r>
            <w:r>
              <w:rPr>
                <w:rFonts w:hint="eastAsia" w:ascii="宋体" w:hAnsi="宋体" w:cs="宋体"/>
                <w:color w:val="auto"/>
                <w:highlight w:val="none"/>
              </w:rPr>
              <w:t>按照采购文件规定要求签署或盖章；</w:t>
            </w:r>
          </w:p>
        </w:tc>
        <w:tc>
          <w:tcPr>
            <w:tcW w:w="1260" w:type="dxa"/>
            <w:noWrap w:val="0"/>
            <w:vAlign w:val="center"/>
          </w:tcPr>
          <w:p>
            <w:pPr>
              <w:rPr>
                <w:rFonts w:hint="eastAsia" w:ascii="宋体" w:hAnsi="宋体" w:cs="宋体"/>
                <w:color w:val="auto"/>
                <w:highlight w:val="none"/>
              </w:rPr>
            </w:pPr>
            <w:r>
              <w:rPr>
                <w:rFonts w:hint="eastAsia" w:ascii="宋体" w:hAnsi="宋体" w:cs="宋体"/>
                <w:color w:val="auto"/>
                <w:highlight w:val="none"/>
              </w:rPr>
              <w:t xml:space="preserve">□通过 </w:t>
            </w:r>
          </w:p>
          <w:p>
            <w:pPr>
              <w:rPr>
                <w:rFonts w:hint="eastAsia" w:ascii="宋体" w:hAnsi="宋体" w:cs="宋体"/>
                <w:color w:val="auto"/>
                <w:highlight w:val="none"/>
              </w:rPr>
            </w:pPr>
            <w:r>
              <w:rPr>
                <w:rFonts w:hint="eastAsia" w:ascii="宋体" w:hAnsi="宋体" w:cs="宋体"/>
                <w:color w:val="auto"/>
                <w:highlight w:val="none"/>
              </w:rPr>
              <w:t>□不通过</w:t>
            </w:r>
          </w:p>
        </w:tc>
        <w:tc>
          <w:tcPr>
            <w:tcW w:w="1716" w:type="dxa"/>
            <w:noWrap w:val="0"/>
            <w:vAlign w:val="center"/>
          </w:tcPr>
          <w:p>
            <w:pPr>
              <w:rPr>
                <w:rFonts w:hint="eastAsia"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470" w:hRule="atLeast"/>
          <w:jc w:val="center"/>
        </w:trPr>
        <w:tc>
          <w:tcPr>
            <w:tcW w:w="1149" w:type="dxa"/>
            <w:vMerge w:val="continue"/>
            <w:noWrap w:val="0"/>
            <w:vAlign w:val="center"/>
          </w:tcPr>
          <w:p>
            <w:pPr>
              <w:rPr>
                <w:rFonts w:hint="eastAsia" w:ascii="宋体" w:hAnsi="宋体" w:cs="宋体"/>
                <w:color w:val="auto"/>
                <w:highlight w:val="none"/>
              </w:rPr>
            </w:pPr>
          </w:p>
        </w:tc>
        <w:tc>
          <w:tcPr>
            <w:tcW w:w="4313" w:type="dxa"/>
            <w:noWrap w:val="0"/>
            <w:vAlign w:val="center"/>
          </w:tcPr>
          <w:p>
            <w:pPr>
              <w:tabs>
                <w:tab w:val="left" w:pos="612"/>
              </w:tabs>
              <w:rPr>
                <w:rFonts w:hint="eastAsia" w:ascii="宋体" w:hAnsi="宋体" w:cs="宋体"/>
                <w:color w:val="auto"/>
                <w:szCs w:val="24"/>
                <w:highlight w:val="none"/>
              </w:rPr>
            </w:pPr>
            <w:r>
              <w:rPr>
                <w:rFonts w:hint="eastAsia" w:ascii="宋体" w:hAnsi="宋体" w:cs="宋体"/>
                <w:color w:val="auto"/>
                <w:szCs w:val="21"/>
                <w:highlight w:val="none"/>
              </w:rPr>
              <w:t>（三）</w:t>
            </w:r>
            <w:r>
              <w:rPr>
                <w:rFonts w:hint="eastAsia" w:ascii="宋体" w:hAnsi="宋体" w:cs="宋体"/>
                <w:color w:val="auto"/>
                <w:highlight w:val="none"/>
              </w:rPr>
              <w:t>投标文件有法定代表人签署本人姓名（或印盖本人姓名章），或签署人提供有效的法定代表人授权委托书且授权委托书填写项目齐全的；</w:t>
            </w:r>
          </w:p>
        </w:tc>
        <w:tc>
          <w:tcPr>
            <w:tcW w:w="1260" w:type="dxa"/>
            <w:noWrap w:val="0"/>
            <w:vAlign w:val="center"/>
          </w:tcPr>
          <w:p>
            <w:pPr>
              <w:rPr>
                <w:rFonts w:hint="eastAsia" w:ascii="宋体" w:hAnsi="宋体" w:cs="宋体"/>
                <w:color w:val="auto"/>
                <w:highlight w:val="none"/>
              </w:rPr>
            </w:pPr>
            <w:r>
              <w:rPr>
                <w:rFonts w:hint="eastAsia" w:ascii="宋体" w:hAnsi="宋体" w:cs="宋体"/>
                <w:color w:val="auto"/>
                <w:highlight w:val="none"/>
              </w:rPr>
              <w:t xml:space="preserve">□通过 </w:t>
            </w:r>
          </w:p>
          <w:p>
            <w:pPr>
              <w:rPr>
                <w:rFonts w:hint="eastAsia" w:ascii="宋体" w:hAnsi="宋体" w:cs="宋体"/>
                <w:color w:val="auto"/>
                <w:highlight w:val="none"/>
              </w:rPr>
            </w:pPr>
            <w:r>
              <w:rPr>
                <w:rFonts w:hint="eastAsia" w:ascii="宋体" w:hAnsi="宋体" w:cs="宋体"/>
                <w:color w:val="auto"/>
                <w:highlight w:val="none"/>
              </w:rPr>
              <w:t>□不通过</w:t>
            </w:r>
          </w:p>
        </w:tc>
        <w:tc>
          <w:tcPr>
            <w:tcW w:w="1716" w:type="dxa"/>
            <w:noWrap w:val="0"/>
            <w:vAlign w:val="center"/>
          </w:tcPr>
          <w:p>
            <w:pPr>
              <w:rPr>
                <w:rFonts w:hint="eastAsia"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noWrap w:val="0"/>
            <w:vAlign w:val="center"/>
          </w:tcPr>
          <w:p>
            <w:pPr>
              <w:rPr>
                <w:rFonts w:hint="eastAsia" w:ascii="宋体" w:hAnsi="宋体" w:cs="宋体"/>
                <w:color w:val="auto"/>
                <w:highlight w:val="none"/>
              </w:rPr>
            </w:pPr>
          </w:p>
        </w:tc>
        <w:tc>
          <w:tcPr>
            <w:tcW w:w="4313" w:type="dxa"/>
            <w:noWrap w:val="0"/>
            <w:vAlign w:val="center"/>
          </w:tcPr>
          <w:p>
            <w:pPr>
              <w:tabs>
                <w:tab w:val="left" w:pos="612"/>
              </w:tabs>
              <w:rPr>
                <w:rFonts w:hint="eastAsia" w:ascii="宋体" w:hAnsi="宋体" w:cs="宋体"/>
                <w:color w:val="auto"/>
                <w:szCs w:val="24"/>
                <w:highlight w:val="none"/>
              </w:rPr>
            </w:pPr>
            <w:r>
              <w:rPr>
                <w:rFonts w:hint="eastAsia" w:ascii="宋体" w:hAnsi="宋体" w:cs="宋体"/>
                <w:color w:val="auto"/>
                <w:szCs w:val="21"/>
                <w:highlight w:val="none"/>
              </w:rPr>
              <w:t>（四）</w:t>
            </w:r>
            <w:r>
              <w:rPr>
                <w:rFonts w:hint="eastAsia" w:ascii="宋体" w:hAnsi="宋体" w:cs="宋体"/>
                <w:color w:val="auto"/>
                <w:highlight w:val="none"/>
              </w:rPr>
              <w:t>投标文件项目齐全；</w:t>
            </w:r>
          </w:p>
        </w:tc>
        <w:tc>
          <w:tcPr>
            <w:tcW w:w="1260" w:type="dxa"/>
            <w:noWrap w:val="0"/>
            <w:vAlign w:val="center"/>
          </w:tcPr>
          <w:p>
            <w:pPr>
              <w:rPr>
                <w:rFonts w:hint="eastAsia" w:ascii="宋体" w:hAnsi="宋体" w:cs="宋体"/>
                <w:color w:val="auto"/>
                <w:highlight w:val="none"/>
              </w:rPr>
            </w:pPr>
            <w:r>
              <w:rPr>
                <w:rFonts w:hint="eastAsia" w:ascii="宋体" w:hAnsi="宋体" w:cs="宋体"/>
                <w:color w:val="auto"/>
                <w:highlight w:val="none"/>
              </w:rPr>
              <w:t xml:space="preserve">□通过 </w:t>
            </w:r>
          </w:p>
          <w:p>
            <w:pPr>
              <w:rPr>
                <w:rFonts w:hint="eastAsia" w:ascii="宋体" w:hAnsi="宋体" w:cs="宋体"/>
                <w:color w:val="auto"/>
                <w:highlight w:val="none"/>
              </w:rPr>
            </w:pPr>
            <w:r>
              <w:rPr>
                <w:rFonts w:hint="eastAsia" w:ascii="宋体" w:hAnsi="宋体" w:cs="宋体"/>
                <w:color w:val="auto"/>
                <w:highlight w:val="none"/>
              </w:rPr>
              <w:t>□不通过</w:t>
            </w:r>
          </w:p>
        </w:tc>
        <w:tc>
          <w:tcPr>
            <w:tcW w:w="1716" w:type="dxa"/>
            <w:noWrap w:val="0"/>
            <w:vAlign w:val="center"/>
          </w:tcPr>
          <w:p>
            <w:pPr>
              <w:rPr>
                <w:rFonts w:hint="eastAsia"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noWrap w:val="0"/>
            <w:vAlign w:val="center"/>
          </w:tcPr>
          <w:p>
            <w:pPr>
              <w:rPr>
                <w:rFonts w:hint="eastAsia" w:ascii="宋体" w:hAnsi="宋体" w:cs="宋体"/>
                <w:color w:val="auto"/>
                <w:highlight w:val="none"/>
              </w:rPr>
            </w:pPr>
          </w:p>
        </w:tc>
        <w:tc>
          <w:tcPr>
            <w:tcW w:w="4313" w:type="dxa"/>
            <w:noWrap w:val="0"/>
            <w:vAlign w:val="center"/>
          </w:tcPr>
          <w:p>
            <w:pPr>
              <w:tabs>
                <w:tab w:val="left" w:pos="612"/>
              </w:tabs>
              <w:rPr>
                <w:rFonts w:hint="eastAsia" w:ascii="宋体" w:hAnsi="宋体" w:cs="宋体"/>
                <w:color w:val="auto"/>
                <w:szCs w:val="24"/>
                <w:highlight w:val="none"/>
              </w:rPr>
            </w:pPr>
            <w:r>
              <w:rPr>
                <w:rFonts w:hint="eastAsia" w:ascii="宋体" w:hAnsi="宋体" w:cs="宋体"/>
                <w:color w:val="auto"/>
                <w:szCs w:val="21"/>
                <w:highlight w:val="none"/>
              </w:rPr>
              <w:t>（五）</w:t>
            </w:r>
            <w:r>
              <w:rPr>
                <w:rFonts w:hint="eastAsia" w:ascii="宋体" w:hAnsi="宋体" w:cs="宋体"/>
                <w:color w:val="auto"/>
                <w:highlight w:val="none"/>
              </w:rPr>
              <w:t>投标文件标明的响应或偏离与事实相符且无虚假投标的；</w:t>
            </w:r>
          </w:p>
        </w:tc>
        <w:tc>
          <w:tcPr>
            <w:tcW w:w="1260" w:type="dxa"/>
            <w:noWrap w:val="0"/>
            <w:vAlign w:val="center"/>
          </w:tcPr>
          <w:p>
            <w:pPr>
              <w:rPr>
                <w:rFonts w:hint="eastAsia" w:ascii="宋体" w:hAnsi="宋体" w:cs="宋体"/>
                <w:color w:val="auto"/>
                <w:highlight w:val="none"/>
              </w:rPr>
            </w:pPr>
            <w:r>
              <w:rPr>
                <w:rFonts w:hint="eastAsia" w:ascii="宋体" w:hAnsi="宋体" w:cs="宋体"/>
                <w:color w:val="auto"/>
                <w:highlight w:val="none"/>
              </w:rPr>
              <w:t xml:space="preserve">□通过 </w:t>
            </w:r>
          </w:p>
          <w:p>
            <w:pPr>
              <w:rPr>
                <w:rFonts w:hint="eastAsia" w:ascii="宋体" w:hAnsi="宋体" w:cs="宋体"/>
                <w:color w:val="auto"/>
                <w:highlight w:val="none"/>
              </w:rPr>
            </w:pPr>
            <w:r>
              <w:rPr>
                <w:rFonts w:hint="eastAsia" w:ascii="宋体" w:hAnsi="宋体" w:cs="宋体"/>
                <w:color w:val="auto"/>
                <w:highlight w:val="none"/>
              </w:rPr>
              <w:t>□不通过</w:t>
            </w:r>
          </w:p>
        </w:tc>
        <w:tc>
          <w:tcPr>
            <w:tcW w:w="1716" w:type="dxa"/>
            <w:noWrap w:val="0"/>
            <w:vAlign w:val="center"/>
          </w:tcPr>
          <w:p>
            <w:pPr>
              <w:rPr>
                <w:rFonts w:hint="eastAsia"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94" w:hRule="atLeast"/>
          <w:jc w:val="center"/>
        </w:trPr>
        <w:tc>
          <w:tcPr>
            <w:tcW w:w="1149" w:type="dxa"/>
            <w:vMerge w:val="continue"/>
            <w:noWrap w:val="0"/>
            <w:vAlign w:val="center"/>
          </w:tcPr>
          <w:p>
            <w:pPr>
              <w:rPr>
                <w:rFonts w:hint="eastAsia" w:ascii="宋体" w:hAnsi="宋体" w:cs="宋体"/>
                <w:color w:val="auto"/>
                <w:highlight w:val="none"/>
              </w:rPr>
            </w:pPr>
          </w:p>
        </w:tc>
        <w:tc>
          <w:tcPr>
            <w:tcW w:w="4313" w:type="dxa"/>
            <w:noWrap w:val="0"/>
            <w:vAlign w:val="center"/>
          </w:tcPr>
          <w:p>
            <w:pPr>
              <w:tabs>
                <w:tab w:val="left" w:pos="612"/>
              </w:tabs>
              <w:rPr>
                <w:rFonts w:hint="eastAsia" w:ascii="宋体" w:hAnsi="宋体" w:cs="宋体"/>
                <w:color w:val="auto"/>
                <w:szCs w:val="24"/>
                <w:highlight w:val="none"/>
              </w:rPr>
            </w:pPr>
            <w:r>
              <w:rPr>
                <w:rFonts w:hint="eastAsia" w:ascii="宋体" w:hAnsi="宋体" w:cs="宋体"/>
                <w:color w:val="auto"/>
                <w:szCs w:val="21"/>
                <w:highlight w:val="none"/>
              </w:rPr>
              <w:t>（六）</w:t>
            </w:r>
            <w:r>
              <w:rPr>
                <w:rFonts w:hint="eastAsia" w:ascii="宋体" w:hAnsi="宋体" w:cs="宋体"/>
                <w:color w:val="auto"/>
                <w:highlight w:val="none"/>
              </w:rPr>
              <w:t>投标文件的实质性内容使用中文表述且意思表述明确，前后无矛盾且使用计量单位符合采购文件要求的；</w:t>
            </w:r>
          </w:p>
        </w:tc>
        <w:tc>
          <w:tcPr>
            <w:tcW w:w="1260" w:type="dxa"/>
            <w:noWrap w:val="0"/>
            <w:vAlign w:val="center"/>
          </w:tcPr>
          <w:p>
            <w:pPr>
              <w:rPr>
                <w:rFonts w:hint="eastAsia" w:ascii="宋体" w:hAnsi="宋体" w:cs="宋体"/>
                <w:color w:val="auto"/>
                <w:highlight w:val="none"/>
              </w:rPr>
            </w:pPr>
            <w:r>
              <w:rPr>
                <w:rFonts w:hint="eastAsia" w:ascii="宋体" w:hAnsi="宋体" w:cs="宋体"/>
                <w:color w:val="auto"/>
                <w:highlight w:val="none"/>
              </w:rPr>
              <w:t xml:space="preserve">□通过 </w:t>
            </w:r>
          </w:p>
          <w:p>
            <w:pPr>
              <w:rPr>
                <w:rFonts w:hint="eastAsia" w:ascii="宋体" w:hAnsi="宋体" w:cs="宋体"/>
                <w:color w:val="auto"/>
                <w:highlight w:val="none"/>
              </w:rPr>
            </w:pPr>
            <w:r>
              <w:rPr>
                <w:rFonts w:hint="eastAsia" w:ascii="宋体" w:hAnsi="宋体" w:cs="宋体"/>
                <w:color w:val="auto"/>
                <w:highlight w:val="none"/>
              </w:rPr>
              <w:t>□不通过</w:t>
            </w:r>
          </w:p>
        </w:tc>
        <w:tc>
          <w:tcPr>
            <w:tcW w:w="1716" w:type="dxa"/>
            <w:noWrap w:val="0"/>
            <w:vAlign w:val="center"/>
          </w:tcPr>
          <w:p>
            <w:pPr>
              <w:rPr>
                <w:rFonts w:hint="eastAsia"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05" w:hRule="atLeast"/>
          <w:jc w:val="center"/>
        </w:trPr>
        <w:tc>
          <w:tcPr>
            <w:tcW w:w="1149" w:type="dxa"/>
            <w:vMerge w:val="continue"/>
            <w:noWrap w:val="0"/>
            <w:vAlign w:val="center"/>
          </w:tcPr>
          <w:p>
            <w:pPr>
              <w:rPr>
                <w:rFonts w:hint="eastAsia" w:ascii="宋体" w:hAnsi="宋体" w:cs="宋体"/>
                <w:color w:val="auto"/>
                <w:highlight w:val="none"/>
              </w:rPr>
            </w:pPr>
          </w:p>
        </w:tc>
        <w:tc>
          <w:tcPr>
            <w:tcW w:w="4313" w:type="dxa"/>
            <w:noWrap w:val="0"/>
            <w:vAlign w:val="center"/>
          </w:tcPr>
          <w:p>
            <w:pPr>
              <w:tabs>
                <w:tab w:val="left" w:pos="612"/>
              </w:tabs>
              <w:rPr>
                <w:rFonts w:hint="eastAsia" w:ascii="宋体" w:hAnsi="宋体" w:cs="宋体"/>
                <w:color w:val="auto"/>
                <w:szCs w:val="24"/>
                <w:highlight w:val="none"/>
              </w:rPr>
            </w:pPr>
            <w:r>
              <w:rPr>
                <w:rFonts w:hint="eastAsia" w:ascii="宋体" w:hAnsi="宋体" w:cs="宋体"/>
                <w:color w:val="auto"/>
                <w:szCs w:val="21"/>
                <w:highlight w:val="none"/>
              </w:rPr>
              <w:t>（七）</w:t>
            </w:r>
            <w:r>
              <w:rPr>
                <w:rFonts w:hint="eastAsia" w:ascii="宋体" w:hAnsi="宋体" w:cs="宋体"/>
                <w:color w:val="auto"/>
                <w:highlight w:val="none"/>
              </w:rPr>
              <w:t>带“★”的条款满足采购文件要求、已实质性响应采购文件要求且投标文件无采购人不能接受的附加条件的；</w:t>
            </w:r>
          </w:p>
        </w:tc>
        <w:tc>
          <w:tcPr>
            <w:tcW w:w="1260" w:type="dxa"/>
            <w:noWrap w:val="0"/>
            <w:vAlign w:val="center"/>
          </w:tcPr>
          <w:p>
            <w:pPr>
              <w:rPr>
                <w:rFonts w:hint="eastAsia" w:ascii="宋体" w:hAnsi="宋体" w:cs="宋体"/>
                <w:color w:val="auto"/>
                <w:highlight w:val="none"/>
              </w:rPr>
            </w:pPr>
            <w:r>
              <w:rPr>
                <w:rFonts w:hint="eastAsia" w:ascii="宋体" w:hAnsi="宋体" w:cs="宋体"/>
                <w:color w:val="auto"/>
                <w:highlight w:val="none"/>
              </w:rPr>
              <w:t xml:space="preserve">□通过 </w:t>
            </w:r>
          </w:p>
          <w:p>
            <w:pPr>
              <w:rPr>
                <w:rFonts w:hint="eastAsia" w:ascii="宋体" w:hAnsi="宋体" w:cs="宋体"/>
                <w:color w:val="auto"/>
                <w:szCs w:val="24"/>
                <w:highlight w:val="none"/>
              </w:rPr>
            </w:pPr>
            <w:r>
              <w:rPr>
                <w:rFonts w:hint="eastAsia" w:ascii="宋体" w:hAnsi="宋体" w:cs="宋体"/>
                <w:color w:val="auto"/>
                <w:highlight w:val="none"/>
              </w:rPr>
              <w:t>□不通过</w:t>
            </w:r>
          </w:p>
        </w:tc>
        <w:tc>
          <w:tcPr>
            <w:tcW w:w="1716" w:type="dxa"/>
            <w:noWrap w:val="0"/>
            <w:vAlign w:val="center"/>
          </w:tcPr>
          <w:p>
            <w:pPr>
              <w:rPr>
                <w:rFonts w:hint="eastAsia" w:ascii="宋体" w:hAnsi="宋体" w:cs="宋体"/>
                <w:color w:val="auto"/>
                <w:szCs w:val="24"/>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noWrap w:val="0"/>
            <w:vAlign w:val="center"/>
          </w:tcPr>
          <w:p>
            <w:pPr>
              <w:rPr>
                <w:rFonts w:hint="eastAsia" w:ascii="宋体" w:hAnsi="宋体" w:cs="宋体"/>
                <w:color w:val="auto"/>
                <w:highlight w:val="none"/>
              </w:rPr>
            </w:pPr>
          </w:p>
        </w:tc>
        <w:tc>
          <w:tcPr>
            <w:tcW w:w="4313" w:type="dxa"/>
            <w:noWrap w:val="0"/>
            <w:vAlign w:val="center"/>
          </w:tcPr>
          <w:p>
            <w:pPr>
              <w:tabs>
                <w:tab w:val="left" w:pos="612"/>
              </w:tabs>
              <w:rPr>
                <w:rFonts w:hint="eastAsia" w:ascii="宋体" w:hAnsi="宋体" w:cs="宋体"/>
                <w:color w:val="auto"/>
                <w:szCs w:val="24"/>
                <w:highlight w:val="none"/>
              </w:rPr>
            </w:pPr>
            <w:r>
              <w:rPr>
                <w:rFonts w:hint="eastAsia" w:ascii="宋体" w:hAnsi="宋体" w:cs="宋体"/>
                <w:color w:val="auto"/>
                <w:szCs w:val="21"/>
                <w:highlight w:val="none"/>
              </w:rPr>
              <w:t>（八）</w:t>
            </w:r>
            <w:r>
              <w:rPr>
                <w:rFonts w:hint="eastAsia" w:ascii="宋体" w:hAnsi="宋体" w:cs="宋体"/>
                <w:color w:val="auto"/>
                <w:highlight w:val="none"/>
              </w:rPr>
              <w:t>允许偏离的技术、性能指标或者辅助功能项目发生负偏离未达10项（含）以上的；</w:t>
            </w:r>
          </w:p>
        </w:tc>
        <w:tc>
          <w:tcPr>
            <w:tcW w:w="1260" w:type="dxa"/>
            <w:noWrap w:val="0"/>
            <w:vAlign w:val="center"/>
          </w:tcPr>
          <w:p>
            <w:pPr>
              <w:rPr>
                <w:rFonts w:hint="eastAsia" w:ascii="宋体" w:hAnsi="宋体" w:cs="宋体"/>
                <w:color w:val="auto"/>
                <w:highlight w:val="none"/>
              </w:rPr>
            </w:pPr>
            <w:r>
              <w:rPr>
                <w:rFonts w:hint="eastAsia" w:ascii="宋体" w:hAnsi="宋体" w:cs="宋体"/>
                <w:color w:val="auto"/>
                <w:highlight w:val="none"/>
              </w:rPr>
              <w:t xml:space="preserve">□通过 </w:t>
            </w:r>
          </w:p>
          <w:p>
            <w:pPr>
              <w:rPr>
                <w:rFonts w:hint="eastAsia" w:ascii="宋体" w:hAnsi="宋体" w:cs="宋体"/>
                <w:color w:val="auto"/>
                <w:szCs w:val="24"/>
                <w:highlight w:val="none"/>
              </w:rPr>
            </w:pPr>
            <w:r>
              <w:rPr>
                <w:rFonts w:hint="eastAsia" w:ascii="宋体" w:hAnsi="宋体" w:cs="宋体"/>
                <w:color w:val="auto"/>
                <w:highlight w:val="none"/>
              </w:rPr>
              <w:t>□不通过</w:t>
            </w:r>
          </w:p>
        </w:tc>
        <w:tc>
          <w:tcPr>
            <w:tcW w:w="1716" w:type="dxa"/>
            <w:noWrap w:val="0"/>
            <w:vAlign w:val="center"/>
          </w:tcPr>
          <w:p>
            <w:pPr>
              <w:rPr>
                <w:rFonts w:hint="eastAsia" w:ascii="宋体" w:hAnsi="宋体" w:cs="宋体"/>
                <w:color w:val="auto"/>
                <w:szCs w:val="24"/>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noWrap w:val="0"/>
            <w:vAlign w:val="center"/>
          </w:tcPr>
          <w:p>
            <w:pPr>
              <w:rPr>
                <w:rFonts w:hint="eastAsia" w:ascii="宋体" w:hAnsi="宋体" w:cs="宋体"/>
                <w:color w:val="auto"/>
                <w:highlight w:val="none"/>
              </w:rPr>
            </w:pPr>
          </w:p>
        </w:tc>
        <w:tc>
          <w:tcPr>
            <w:tcW w:w="4313" w:type="dxa"/>
            <w:noWrap w:val="0"/>
            <w:vAlign w:val="center"/>
          </w:tcPr>
          <w:p>
            <w:pPr>
              <w:tabs>
                <w:tab w:val="left" w:pos="612"/>
              </w:tabs>
              <w:rPr>
                <w:rFonts w:hint="eastAsia" w:ascii="宋体" w:hAnsi="宋体" w:cs="宋体"/>
                <w:color w:val="auto"/>
                <w:szCs w:val="24"/>
                <w:highlight w:val="none"/>
              </w:rPr>
            </w:pPr>
            <w:r>
              <w:rPr>
                <w:rFonts w:hint="eastAsia" w:ascii="宋体" w:hAnsi="宋体" w:cs="宋体"/>
                <w:color w:val="auto"/>
                <w:szCs w:val="21"/>
                <w:highlight w:val="none"/>
              </w:rPr>
              <w:t>（九）</w:t>
            </w:r>
            <w:r>
              <w:rPr>
                <w:rFonts w:hint="eastAsia" w:ascii="宋体" w:hAnsi="宋体" w:cs="宋体"/>
                <w:color w:val="auto"/>
                <w:highlight w:val="none"/>
              </w:rPr>
              <w:t>投标技术方案明确，不存在一个或一个以上备选（替代）投标方案的；</w:t>
            </w:r>
          </w:p>
        </w:tc>
        <w:tc>
          <w:tcPr>
            <w:tcW w:w="1260" w:type="dxa"/>
            <w:noWrap w:val="0"/>
            <w:vAlign w:val="center"/>
          </w:tcPr>
          <w:p>
            <w:pPr>
              <w:rPr>
                <w:rFonts w:hint="eastAsia" w:ascii="宋体" w:hAnsi="宋体" w:cs="宋体"/>
                <w:color w:val="auto"/>
                <w:highlight w:val="none"/>
              </w:rPr>
            </w:pPr>
            <w:r>
              <w:rPr>
                <w:rFonts w:hint="eastAsia" w:ascii="宋体" w:hAnsi="宋体" w:cs="宋体"/>
                <w:color w:val="auto"/>
                <w:highlight w:val="none"/>
              </w:rPr>
              <w:t xml:space="preserve">□通过 </w:t>
            </w:r>
          </w:p>
          <w:p>
            <w:pPr>
              <w:rPr>
                <w:rFonts w:hint="eastAsia" w:ascii="宋体" w:hAnsi="宋体" w:cs="宋体"/>
                <w:color w:val="auto"/>
                <w:szCs w:val="24"/>
                <w:highlight w:val="none"/>
              </w:rPr>
            </w:pPr>
            <w:r>
              <w:rPr>
                <w:rFonts w:hint="eastAsia" w:ascii="宋体" w:hAnsi="宋体" w:cs="宋体"/>
                <w:color w:val="auto"/>
                <w:highlight w:val="none"/>
              </w:rPr>
              <w:t>□不通过</w:t>
            </w:r>
          </w:p>
        </w:tc>
        <w:tc>
          <w:tcPr>
            <w:tcW w:w="1716" w:type="dxa"/>
            <w:noWrap w:val="0"/>
            <w:vAlign w:val="center"/>
          </w:tcPr>
          <w:p>
            <w:pPr>
              <w:rPr>
                <w:rFonts w:hint="eastAsia" w:ascii="宋体" w:hAnsi="宋体" w:cs="宋体"/>
                <w:color w:val="auto"/>
                <w:szCs w:val="24"/>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noWrap w:val="0"/>
            <w:vAlign w:val="center"/>
          </w:tcPr>
          <w:p>
            <w:pPr>
              <w:rPr>
                <w:rFonts w:hint="eastAsia" w:ascii="宋体" w:hAnsi="宋体" w:cs="宋体"/>
                <w:color w:val="auto"/>
                <w:highlight w:val="none"/>
              </w:rPr>
            </w:pPr>
          </w:p>
        </w:tc>
        <w:tc>
          <w:tcPr>
            <w:tcW w:w="4313" w:type="dxa"/>
            <w:noWrap w:val="0"/>
            <w:vAlign w:val="center"/>
          </w:tcPr>
          <w:p>
            <w:pPr>
              <w:tabs>
                <w:tab w:val="left" w:pos="612"/>
              </w:tabs>
              <w:rPr>
                <w:rFonts w:hint="eastAsia" w:ascii="宋体" w:hAnsi="宋体" w:cs="宋体"/>
                <w:color w:val="auto"/>
                <w:szCs w:val="24"/>
                <w:highlight w:val="none"/>
              </w:rPr>
            </w:pPr>
            <w:r>
              <w:rPr>
                <w:rFonts w:hint="eastAsia" w:ascii="宋体" w:hAnsi="宋体" w:cs="宋体"/>
                <w:color w:val="auto"/>
                <w:szCs w:val="21"/>
                <w:highlight w:val="none"/>
              </w:rPr>
              <w:t>（十）</w:t>
            </w:r>
            <w:r>
              <w:rPr>
                <w:rFonts w:hint="eastAsia" w:ascii="宋体" w:hAnsi="宋体" w:cs="宋体"/>
                <w:color w:val="auto"/>
                <w:highlight w:val="none"/>
              </w:rPr>
              <w:t>商务技术文件中未出现报价或单价的；</w:t>
            </w:r>
          </w:p>
        </w:tc>
        <w:tc>
          <w:tcPr>
            <w:tcW w:w="1260" w:type="dxa"/>
            <w:noWrap w:val="0"/>
            <w:vAlign w:val="center"/>
          </w:tcPr>
          <w:p>
            <w:pPr>
              <w:rPr>
                <w:rFonts w:hint="eastAsia" w:ascii="宋体" w:hAnsi="宋体" w:cs="宋体"/>
                <w:color w:val="auto"/>
                <w:highlight w:val="none"/>
              </w:rPr>
            </w:pPr>
            <w:r>
              <w:rPr>
                <w:rFonts w:hint="eastAsia" w:ascii="宋体" w:hAnsi="宋体" w:cs="宋体"/>
                <w:color w:val="auto"/>
                <w:highlight w:val="none"/>
              </w:rPr>
              <w:t xml:space="preserve">□通过 </w:t>
            </w:r>
          </w:p>
          <w:p>
            <w:pPr>
              <w:rPr>
                <w:rFonts w:hint="eastAsia" w:ascii="宋体" w:hAnsi="宋体" w:cs="宋体"/>
                <w:color w:val="auto"/>
                <w:szCs w:val="24"/>
                <w:highlight w:val="none"/>
              </w:rPr>
            </w:pPr>
            <w:r>
              <w:rPr>
                <w:rFonts w:hint="eastAsia" w:ascii="宋体" w:hAnsi="宋体" w:cs="宋体"/>
                <w:color w:val="auto"/>
                <w:highlight w:val="none"/>
              </w:rPr>
              <w:t>□不通过</w:t>
            </w:r>
          </w:p>
        </w:tc>
        <w:tc>
          <w:tcPr>
            <w:tcW w:w="1716" w:type="dxa"/>
            <w:noWrap w:val="0"/>
            <w:vAlign w:val="center"/>
          </w:tcPr>
          <w:p>
            <w:pPr>
              <w:rPr>
                <w:rFonts w:hint="eastAsia" w:ascii="宋体" w:hAnsi="宋体" w:cs="宋体"/>
                <w:color w:val="auto"/>
                <w:szCs w:val="24"/>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noWrap w:val="0"/>
            <w:vAlign w:val="center"/>
          </w:tcPr>
          <w:p>
            <w:pPr>
              <w:rPr>
                <w:rFonts w:hint="eastAsia" w:ascii="宋体" w:hAnsi="宋体" w:cs="宋体"/>
                <w:color w:val="auto"/>
                <w:highlight w:val="none"/>
              </w:rPr>
            </w:pPr>
          </w:p>
        </w:tc>
        <w:tc>
          <w:tcPr>
            <w:tcW w:w="4313" w:type="dxa"/>
            <w:noWrap w:val="0"/>
            <w:vAlign w:val="center"/>
          </w:tcPr>
          <w:p>
            <w:pPr>
              <w:tabs>
                <w:tab w:val="left" w:pos="612"/>
              </w:tabs>
              <w:rPr>
                <w:rFonts w:hint="eastAsia" w:ascii="宋体" w:hAnsi="宋体" w:cs="宋体"/>
                <w:color w:val="auto"/>
                <w:szCs w:val="24"/>
                <w:highlight w:val="none"/>
              </w:rPr>
            </w:pPr>
            <w:r>
              <w:rPr>
                <w:rFonts w:hint="eastAsia" w:ascii="宋体" w:hAnsi="宋体" w:cs="宋体"/>
                <w:color w:val="auto"/>
                <w:szCs w:val="21"/>
                <w:highlight w:val="none"/>
              </w:rPr>
              <w:t>（十一）</w:t>
            </w:r>
            <w:r>
              <w:rPr>
                <w:rFonts w:hint="eastAsia" w:ascii="宋体" w:hAnsi="宋体" w:cs="宋体"/>
                <w:color w:val="auto"/>
                <w:highlight w:val="none"/>
              </w:rPr>
              <w:t>不存在法律、法规和采购文件规定的其他无效情形；</w:t>
            </w:r>
          </w:p>
        </w:tc>
        <w:tc>
          <w:tcPr>
            <w:tcW w:w="1260" w:type="dxa"/>
            <w:noWrap w:val="0"/>
            <w:vAlign w:val="center"/>
          </w:tcPr>
          <w:p>
            <w:pPr>
              <w:rPr>
                <w:rFonts w:hint="eastAsia" w:ascii="宋体" w:hAnsi="宋体" w:cs="宋体"/>
                <w:color w:val="auto"/>
                <w:highlight w:val="none"/>
              </w:rPr>
            </w:pPr>
            <w:r>
              <w:rPr>
                <w:rFonts w:hint="eastAsia" w:ascii="宋体" w:hAnsi="宋体" w:cs="宋体"/>
                <w:color w:val="auto"/>
                <w:highlight w:val="none"/>
              </w:rPr>
              <w:t xml:space="preserve">□通过 </w:t>
            </w:r>
          </w:p>
          <w:p>
            <w:pPr>
              <w:rPr>
                <w:rFonts w:hint="eastAsia" w:ascii="宋体" w:hAnsi="宋体" w:cs="宋体"/>
                <w:color w:val="auto"/>
                <w:szCs w:val="24"/>
                <w:highlight w:val="none"/>
              </w:rPr>
            </w:pPr>
            <w:r>
              <w:rPr>
                <w:rFonts w:hint="eastAsia" w:ascii="宋体" w:hAnsi="宋体" w:cs="宋体"/>
                <w:color w:val="auto"/>
                <w:highlight w:val="none"/>
              </w:rPr>
              <w:t>□不通过</w:t>
            </w:r>
          </w:p>
        </w:tc>
        <w:tc>
          <w:tcPr>
            <w:tcW w:w="1716" w:type="dxa"/>
            <w:noWrap w:val="0"/>
            <w:vAlign w:val="center"/>
          </w:tcPr>
          <w:p>
            <w:pPr>
              <w:rPr>
                <w:rFonts w:hint="eastAsia" w:ascii="宋体" w:hAnsi="宋体" w:cs="宋体"/>
                <w:color w:val="auto"/>
                <w:szCs w:val="24"/>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noWrap w:val="0"/>
            <w:vAlign w:val="center"/>
          </w:tcPr>
          <w:p>
            <w:pPr>
              <w:rPr>
                <w:rFonts w:hint="eastAsia" w:ascii="宋体" w:hAnsi="宋体" w:cs="宋体"/>
                <w:color w:val="auto"/>
                <w:highlight w:val="none"/>
              </w:rPr>
            </w:pPr>
          </w:p>
        </w:tc>
        <w:tc>
          <w:tcPr>
            <w:tcW w:w="4313" w:type="dxa"/>
            <w:noWrap w:val="0"/>
            <w:vAlign w:val="center"/>
          </w:tcPr>
          <w:p>
            <w:pPr>
              <w:tabs>
                <w:tab w:val="left" w:pos="612"/>
              </w:tabs>
              <w:rPr>
                <w:rFonts w:hint="eastAsia" w:ascii="宋体" w:hAnsi="宋体" w:cs="宋体"/>
                <w:color w:val="auto"/>
                <w:szCs w:val="24"/>
                <w:highlight w:val="none"/>
              </w:rPr>
            </w:pPr>
            <w:r>
              <w:rPr>
                <w:rFonts w:hint="eastAsia" w:ascii="宋体" w:hAnsi="宋体" w:cs="宋体"/>
                <w:color w:val="auto"/>
                <w:szCs w:val="21"/>
                <w:highlight w:val="none"/>
              </w:rPr>
              <w:t>（十二）</w:t>
            </w:r>
            <w:r>
              <w:rPr>
                <w:rFonts w:hint="eastAsia" w:ascii="宋体" w:hAnsi="宋体" w:cs="宋体"/>
                <w:color w:val="auto"/>
                <w:highlight w:val="none"/>
              </w:rPr>
              <w:t>不存在投标文件的有效期不满足采购文件要求情形；</w:t>
            </w:r>
          </w:p>
        </w:tc>
        <w:tc>
          <w:tcPr>
            <w:tcW w:w="1260" w:type="dxa"/>
            <w:noWrap w:val="0"/>
            <w:vAlign w:val="center"/>
          </w:tcPr>
          <w:p>
            <w:pPr>
              <w:rPr>
                <w:rFonts w:hint="eastAsia" w:ascii="宋体" w:hAnsi="宋体" w:cs="宋体"/>
                <w:color w:val="auto"/>
                <w:highlight w:val="none"/>
              </w:rPr>
            </w:pPr>
            <w:r>
              <w:rPr>
                <w:rFonts w:hint="eastAsia" w:ascii="宋体" w:hAnsi="宋体" w:cs="宋体"/>
                <w:color w:val="auto"/>
                <w:highlight w:val="none"/>
              </w:rPr>
              <w:t xml:space="preserve">□通过 </w:t>
            </w:r>
          </w:p>
          <w:p>
            <w:pPr>
              <w:rPr>
                <w:rFonts w:hint="eastAsia" w:ascii="宋体" w:hAnsi="宋体" w:cs="宋体"/>
                <w:color w:val="auto"/>
                <w:szCs w:val="24"/>
                <w:highlight w:val="none"/>
              </w:rPr>
            </w:pPr>
            <w:r>
              <w:rPr>
                <w:rFonts w:hint="eastAsia" w:ascii="宋体" w:hAnsi="宋体" w:cs="宋体"/>
                <w:color w:val="auto"/>
                <w:highlight w:val="none"/>
              </w:rPr>
              <w:t>□不通过</w:t>
            </w:r>
          </w:p>
        </w:tc>
        <w:tc>
          <w:tcPr>
            <w:tcW w:w="1716" w:type="dxa"/>
            <w:noWrap w:val="0"/>
            <w:vAlign w:val="center"/>
          </w:tcPr>
          <w:p>
            <w:pPr>
              <w:rPr>
                <w:rFonts w:hint="eastAsia" w:ascii="宋体" w:hAnsi="宋体" w:cs="宋体"/>
                <w:color w:val="auto"/>
                <w:szCs w:val="24"/>
                <w:highlight w:val="none"/>
              </w:rPr>
            </w:pPr>
            <w:r>
              <w:rPr>
                <w:rFonts w:hint="eastAsia" w:ascii="宋体" w:hAnsi="宋体" w:cs="宋体"/>
                <w:color w:val="auto"/>
                <w:highlight w:val="none"/>
              </w:rPr>
              <w:t>第（ ）页</w:t>
            </w:r>
          </w:p>
        </w:tc>
      </w:tr>
    </w:tbl>
    <w:p>
      <w:pPr>
        <w:adjustRightInd w:val="0"/>
        <w:snapToGrid w:val="0"/>
        <w:spacing w:line="360" w:lineRule="auto"/>
        <w:rPr>
          <w:rFonts w:hint="eastAsia" w:ascii="宋体" w:hAnsi="宋体" w:cs="宋体"/>
          <w:b/>
          <w:color w:val="auto"/>
          <w:highlight w:val="none"/>
        </w:rPr>
      </w:pPr>
      <w:r>
        <w:rPr>
          <w:rFonts w:hint="eastAsia" w:ascii="宋体" w:hAnsi="宋体" w:cs="宋体"/>
          <w:b/>
          <w:color w:val="auto"/>
          <w:szCs w:val="21"/>
          <w:highlight w:val="none"/>
        </w:rPr>
        <w:t xml:space="preserve">备注：供应商自查表将作为供应商有效性审查的重要内容之一，供应商必须严格按照其内容及序列要求在投标文件中对应如实提供，对符合性证明文件的任何缺漏和不符合项将会直接导致投标无效！ </w:t>
      </w:r>
      <w:r>
        <w:rPr>
          <w:rFonts w:hint="eastAsia" w:ascii="宋体" w:hAnsi="宋体" w:cs="宋体"/>
          <w:color w:val="auto"/>
          <w:highlight w:val="none"/>
        </w:rPr>
        <w:br w:type="page"/>
      </w:r>
      <w:r>
        <w:rPr>
          <w:rFonts w:hint="eastAsia" w:ascii="宋体" w:hAnsi="宋体" w:cs="宋体"/>
          <w:b/>
          <w:bCs/>
          <w:color w:val="auto"/>
          <w:szCs w:val="21"/>
          <w:highlight w:val="none"/>
        </w:rPr>
        <w:t>5.供应商响应表：</w:t>
      </w:r>
    </w:p>
    <w:p>
      <w:pPr>
        <w:rPr>
          <w:rFonts w:hint="eastAsia" w:ascii="宋体" w:hAnsi="宋体" w:cs="宋体"/>
          <w:color w:val="auto"/>
          <w:highlight w:val="none"/>
        </w:rPr>
      </w:pPr>
    </w:p>
    <w:p>
      <w:pPr>
        <w:snapToGrid w:val="0"/>
        <w:spacing w:before="120" w:beforeLines="50" w:after="50"/>
        <w:jc w:val="center"/>
        <w:rPr>
          <w:rFonts w:hint="eastAsia" w:ascii="宋体" w:hAnsi="宋体" w:cs="宋体"/>
          <w:b/>
          <w:color w:val="auto"/>
          <w:szCs w:val="21"/>
          <w:highlight w:val="none"/>
        </w:rPr>
      </w:pPr>
      <w:r>
        <w:rPr>
          <w:rFonts w:hint="eastAsia" w:ascii="宋体" w:hAnsi="宋体" w:cs="宋体"/>
          <w:b/>
          <w:color w:val="auto"/>
          <w:szCs w:val="21"/>
          <w:highlight w:val="none"/>
        </w:rPr>
        <w:t>供应商响应表</w:t>
      </w:r>
    </w:p>
    <w:p>
      <w:pPr>
        <w:rPr>
          <w:rFonts w:hint="eastAsia" w:ascii="宋体" w:hAnsi="宋体" w:cs="宋体"/>
          <w:color w:val="auto"/>
          <w:highlight w:val="none"/>
        </w:rPr>
      </w:pPr>
    </w:p>
    <w:p>
      <w:pPr>
        <w:rPr>
          <w:rFonts w:hint="eastAsia" w:ascii="宋体" w:hAnsi="宋体" w:cs="宋体"/>
          <w:color w:val="auto"/>
          <w:highlight w:val="none"/>
        </w:rPr>
      </w:pPr>
      <w:r>
        <w:rPr>
          <w:rFonts w:hint="eastAsia" w:ascii="宋体" w:hAnsi="宋体" w:cs="宋体"/>
          <w:color w:val="auto"/>
          <w:highlight w:val="none"/>
        </w:rPr>
        <w:t xml:space="preserve"> 招标项目编号                      子包号                 </w:t>
      </w:r>
    </w:p>
    <w:tbl>
      <w:tblPr>
        <w:tblStyle w:val="19"/>
        <w:tblW w:w="0" w:type="auto"/>
        <w:tblInd w:w="93" w:type="dxa"/>
        <w:tblLayout w:type="fixed"/>
        <w:tblCellMar>
          <w:top w:w="0" w:type="dxa"/>
          <w:left w:w="108" w:type="dxa"/>
          <w:bottom w:w="0" w:type="dxa"/>
          <w:right w:w="108" w:type="dxa"/>
        </w:tblCellMar>
      </w:tblPr>
      <w:tblGrid>
        <w:gridCol w:w="574"/>
        <w:gridCol w:w="4942"/>
        <w:gridCol w:w="1460"/>
        <w:gridCol w:w="1458"/>
      </w:tblGrid>
      <w:tr>
        <w:tblPrEx>
          <w:tblCellMar>
            <w:top w:w="0" w:type="dxa"/>
            <w:left w:w="108" w:type="dxa"/>
            <w:bottom w:w="0" w:type="dxa"/>
            <w:right w:w="108" w:type="dxa"/>
          </w:tblCellMar>
        </w:tblPrEx>
        <w:trPr>
          <w:trHeight w:val="596"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序号</w:t>
            </w:r>
          </w:p>
        </w:tc>
        <w:tc>
          <w:tcPr>
            <w:tcW w:w="49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评审内容</w:t>
            </w: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证明文件</w:t>
            </w:r>
          </w:p>
        </w:tc>
        <w:tc>
          <w:tcPr>
            <w:tcW w:w="145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自评分</w:t>
            </w:r>
          </w:p>
        </w:tc>
      </w:tr>
      <w:tr>
        <w:tblPrEx>
          <w:tblCellMar>
            <w:top w:w="0" w:type="dxa"/>
            <w:left w:w="108" w:type="dxa"/>
            <w:bottom w:w="0" w:type="dxa"/>
            <w:right w:w="108" w:type="dxa"/>
          </w:tblCellMar>
        </w:tblPrEx>
        <w:trPr>
          <w:trHeight w:val="593" w:hRule="atLeast"/>
        </w:trPr>
        <w:tc>
          <w:tcPr>
            <w:tcW w:w="574"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4942"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见（  ）页</w:t>
            </w:r>
          </w:p>
        </w:tc>
        <w:tc>
          <w:tcPr>
            <w:tcW w:w="1458"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613" w:hRule="atLeast"/>
        </w:trPr>
        <w:tc>
          <w:tcPr>
            <w:tcW w:w="574"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4942"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见（  ）页</w:t>
            </w:r>
          </w:p>
        </w:tc>
        <w:tc>
          <w:tcPr>
            <w:tcW w:w="1458"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520" w:hRule="atLeast"/>
        </w:trPr>
        <w:tc>
          <w:tcPr>
            <w:tcW w:w="574"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4942"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见（  ）页</w:t>
            </w:r>
          </w:p>
        </w:tc>
        <w:tc>
          <w:tcPr>
            <w:tcW w:w="1458"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531" w:hRule="atLeast"/>
        </w:trPr>
        <w:tc>
          <w:tcPr>
            <w:tcW w:w="574"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4942"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见（  ）页</w:t>
            </w:r>
          </w:p>
        </w:tc>
        <w:tc>
          <w:tcPr>
            <w:tcW w:w="1458"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607"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见（  ）页</w:t>
            </w:r>
          </w:p>
        </w:tc>
        <w:tc>
          <w:tcPr>
            <w:tcW w:w="145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见（  ）页</w:t>
            </w:r>
          </w:p>
        </w:tc>
        <w:tc>
          <w:tcPr>
            <w:tcW w:w="145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见（  ）页</w:t>
            </w:r>
          </w:p>
        </w:tc>
        <w:tc>
          <w:tcPr>
            <w:tcW w:w="145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见（  ）页</w:t>
            </w:r>
          </w:p>
        </w:tc>
        <w:tc>
          <w:tcPr>
            <w:tcW w:w="145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见（  ）页</w:t>
            </w:r>
          </w:p>
        </w:tc>
        <w:tc>
          <w:tcPr>
            <w:tcW w:w="145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见（  ）页</w:t>
            </w:r>
          </w:p>
        </w:tc>
        <w:tc>
          <w:tcPr>
            <w:tcW w:w="145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608"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见（  ）页</w:t>
            </w:r>
          </w:p>
        </w:tc>
        <w:tc>
          <w:tcPr>
            <w:tcW w:w="145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750"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见（  ）页</w:t>
            </w:r>
          </w:p>
        </w:tc>
        <w:tc>
          <w:tcPr>
            <w:tcW w:w="145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p>
        </w:tc>
      </w:tr>
    </w:tbl>
    <w:p>
      <w:pPr>
        <w:rPr>
          <w:rFonts w:hint="eastAsia" w:ascii="宋体" w:hAnsi="宋体" w:cs="宋体"/>
          <w:b/>
          <w:color w:val="auto"/>
          <w:highlight w:val="none"/>
        </w:rPr>
      </w:pPr>
      <w:r>
        <w:rPr>
          <w:rFonts w:hint="eastAsia" w:ascii="宋体" w:hAnsi="宋体" w:cs="宋体"/>
          <w:b/>
          <w:color w:val="auto"/>
          <w:highlight w:val="none"/>
        </w:rPr>
        <w:t>注：1）根据评分标准中技术内容逐条填写，并针对客观分部分进行自评。</w:t>
      </w:r>
    </w:p>
    <w:p>
      <w:pPr>
        <w:numPr>
          <w:ilvl w:val="0"/>
          <w:numId w:val="11"/>
        </w:numPr>
        <w:rPr>
          <w:rFonts w:hint="eastAsia" w:ascii="宋体" w:hAnsi="宋体" w:cs="宋体"/>
          <w:b/>
          <w:color w:val="auto"/>
          <w:highlight w:val="none"/>
        </w:rPr>
      </w:pPr>
      <w:r>
        <w:rPr>
          <w:rFonts w:hint="eastAsia" w:ascii="宋体" w:hAnsi="宋体" w:cs="宋体"/>
          <w:b/>
          <w:color w:val="auto"/>
          <w:highlight w:val="none"/>
        </w:rPr>
        <w:t>请将此表编制在目录页前。</w:t>
      </w:r>
    </w:p>
    <w:p>
      <w:pPr>
        <w:rPr>
          <w:rFonts w:hint="eastAsia" w:ascii="宋体" w:hAnsi="宋体" w:cs="宋体"/>
          <w:b/>
          <w:color w:val="auto"/>
          <w:highlight w:val="none"/>
        </w:rPr>
      </w:pPr>
    </w:p>
    <w:p>
      <w:pPr>
        <w:rPr>
          <w:rFonts w:hint="eastAsia" w:ascii="宋体" w:hAnsi="宋体" w:cs="宋体"/>
          <w:color w:val="auto"/>
          <w:highlight w:val="none"/>
        </w:rPr>
      </w:pPr>
    </w:p>
    <w:p>
      <w:pPr>
        <w:ind w:firstLine="6090" w:firstLineChars="2900"/>
        <w:rPr>
          <w:rFonts w:hint="eastAsia" w:ascii="宋体" w:hAnsi="宋体" w:cs="宋体"/>
          <w:color w:val="auto"/>
          <w:highlight w:val="none"/>
        </w:rPr>
      </w:pPr>
      <w:r>
        <w:rPr>
          <w:rFonts w:hint="eastAsia" w:ascii="宋体" w:hAnsi="宋体" w:cs="宋体"/>
          <w:color w:val="auto"/>
          <w:highlight w:val="none"/>
        </w:rPr>
        <w:t>供应商名称（盖章）：</w:t>
      </w:r>
    </w:p>
    <w:p>
      <w:pPr>
        <w:rPr>
          <w:rFonts w:hint="eastAsia" w:ascii="宋体" w:hAnsi="宋体" w:cs="宋体"/>
          <w:color w:val="auto"/>
          <w:highlight w:val="none"/>
        </w:rPr>
      </w:pPr>
    </w:p>
    <w:p>
      <w:pPr>
        <w:ind w:firstLine="6090" w:firstLineChars="2900"/>
        <w:rPr>
          <w:rFonts w:hint="eastAsia" w:ascii="宋体" w:hAnsi="宋体" w:cs="宋体"/>
          <w:color w:val="auto"/>
          <w:highlight w:val="none"/>
        </w:rPr>
      </w:pPr>
      <w:r>
        <w:rPr>
          <w:rFonts w:hint="eastAsia" w:ascii="宋体" w:hAnsi="宋体" w:cs="宋体"/>
          <w:color w:val="auto"/>
          <w:highlight w:val="none"/>
        </w:rPr>
        <w:t>年  月  日</w:t>
      </w:r>
    </w:p>
    <w:p>
      <w:pPr>
        <w:rPr>
          <w:rFonts w:hint="eastAsia" w:ascii="宋体" w:hAnsi="宋体" w:cs="宋体"/>
          <w:color w:val="auto"/>
          <w:highlight w:val="none"/>
        </w:rPr>
      </w:pPr>
    </w:p>
    <w:p>
      <w:pPr>
        <w:rPr>
          <w:rFonts w:hint="eastAsia" w:ascii="宋体" w:hAnsi="宋体" w:cs="宋体"/>
          <w:color w:val="auto"/>
          <w:highlight w:val="none"/>
        </w:rPr>
      </w:pPr>
      <w:r>
        <w:rPr>
          <w:rFonts w:hint="eastAsia" w:ascii="宋体" w:hAnsi="宋体" w:cs="宋体"/>
          <w:color w:val="auto"/>
          <w:highlight w:val="none"/>
        </w:rPr>
        <w:t xml:space="preserve"> </w:t>
      </w:r>
    </w:p>
    <w:p>
      <w:pPr>
        <w:snapToGrid w:val="0"/>
        <w:spacing w:before="50" w:after="50"/>
        <w:rPr>
          <w:rFonts w:hint="eastAsia" w:ascii="宋体" w:hAnsi="宋体" w:cs="宋体"/>
          <w:b/>
          <w:bCs/>
          <w:color w:val="auto"/>
          <w:szCs w:val="21"/>
          <w:highlight w:val="none"/>
        </w:rPr>
      </w:pPr>
      <w:r>
        <w:rPr>
          <w:rFonts w:hint="eastAsia" w:ascii="宋体" w:hAnsi="宋体" w:cs="宋体"/>
          <w:color w:val="auto"/>
          <w:highlight w:val="none"/>
        </w:rPr>
        <w:br w:type="page"/>
      </w:r>
      <w:r>
        <w:rPr>
          <w:rFonts w:hint="eastAsia" w:ascii="宋体" w:hAnsi="宋体" w:cs="宋体"/>
          <w:b/>
          <w:bCs/>
          <w:color w:val="auto"/>
          <w:szCs w:val="21"/>
          <w:highlight w:val="none"/>
        </w:rPr>
        <w:t>6.技术部分：针对本项目第二章采购需求及第四章评分标准中的条款拟定各种方案，格式自拟；</w:t>
      </w:r>
    </w:p>
    <w:p>
      <w:pPr>
        <w:spacing w:line="360" w:lineRule="auto"/>
        <w:rPr>
          <w:rFonts w:hint="eastAsia" w:ascii="宋体" w:hAnsi="宋体" w:cs="宋体"/>
          <w:color w:val="auto"/>
          <w:szCs w:val="21"/>
          <w:highlight w:val="none"/>
        </w:rPr>
      </w:pPr>
      <w:r>
        <w:rPr>
          <w:rFonts w:hint="eastAsia" w:ascii="宋体" w:hAnsi="宋体" w:cs="宋体"/>
          <w:b/>
          <w:bCs/>
          <w:color w:val="auto"/>
          <w:szCs w:val="21"/>
          <w:highlight w:val="none"/>
        </w:rPr>
        <w:br w:type="page"/>
      </w:r>
      <w:r>
        <w:rPr>
          <w:rFonts w:hint="eastAsia" w:ascii="宋体" w:hAnsi="宋体" w:cs="宋体"/>
          <w:b/>
          <w:bCs/>
          <w:color w:val="auto"/>
          <w:szCs w:val="21"/>
          <w:highlight w:val="none"/>
        </w:rPr>
        <w:t>7.投标函</w:t>
      </w:r>
    </w:p>
    <w:p>
      <w:pPr>
        <w:snapToGrid w:val="0"/>
        <w:spacing w:before="120" w:beforeLines="50" w:after="50"/>
        <w:jc w:val="center"/>
        <w:rPr>
          <w:rFonts w:hint="eastAsia" w:ascii="宋体" w:hAnsi="宋体" w:cs="宋体"/>
          <w:b/>
          <w:color w:val="auto"/>
          <w:szCs w:val="21"/>
          <w:highlight w:val="none"/>
        </w:rPr>
      </w:pPr>
      <w:r>
        <w:rPr>
          <w:rFonts w:hint="eastAsia" w:ascii="宋体" w:hAnsi="宋体" w:cs="宋体"/>
          <w:b/>
          <w:color w:val="auto"/>
          <w:szCs w:val="21"/>
          <w:highlight w:val="none"/>
        </w:rPr>
        <w:t>投 标 函</w:t>
      </w:r>
    </w:p>
    <w:p>
      <w:pPr>
        <w:snapToGrid w:val="0"/>
        <w:spacing w:before="120" w:beforeLines="50" w:after="50"/>
        <w:jc w:val="center"/>
        <w:rPr>
          <w:rFonts w:hint="eastAsia" w:ascii="宋体" w:hAnsi="宋体" w:cs="宋体"/>
          <w:b/>
          <w:color w:val="auto"/>
          <w:szCs w:val="21"/>
          <w:highlight w:val="none"/>
        </w:rPr>
      </w:pP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（招标采购单位名称）：</w:t>
      </w:r>
    </w:p>
    <w:p>
      <w:pPr>
        <w:snapToGrid w:val="0"/>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根据贵方为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项目的采购公告/投标邀请书（项目编号：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，子包号：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（全名）经正式授权并代表供应商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（供应商名称）提交投标文件。</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据此函，签字代表宣布同意如下：</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1.供应商已详细审查全部“采购文件”，包括修改文件（如有的话）以及全部参考资料和有关附件，已经了解我方对于采购文件、采购过程、采购结果有依法进行询问、质疑、投诉的权利及相关渠道和要求。</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2.供应商在投标之前已经与贵方进行了充分的沟通，完全理解并接受采购文件的各项规定和要求，对采购文件的合理性、合法性不再有异议。</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3.本投标有效期自开标日起</w:t>
      </w:r>
      <w:r>
        <w:rPr>
          <w:rFonts w:hint="eastAsia" w:ascii="宋体" w:hAnsi="宋体" w:cs="宋体"/>
          <w:color w:val="auto"/>
          <w:szCs w:val="21"/>
          <w:highlight w:val="none"/>
          <w:u w:val="single"/>
        </w:rPr>
        <w:t>90</w:t>
      </w:r>
      <w:r>
        <w:rPr>
          <w:rFonts w:hint="eastAsia" w:ascii="宋体" w:hAnsi="宋体" w:cs="宋体"/>
          <w:color w:val="auto"/>
          <w:szCs w:val="21"/>
          <w:highlight w:val="none"/>
        </w:rPr>
        <w:t>个日历日。</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4.如中标，本投标文件至本项目合同履行完毕止均保持有效，本供应商将按“采购文件”及政府采购法律、法规的规定履行合同责任和义务。</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5.供应商同意按照贵方要求提供与投标有关的一切数据或资料。</w:t>
      </w:r>
    </w:p>
    <w:p>
      <w:pPr>
        <w:snapToGrid w:val="0"/>
        <w:spacing w:line="360" w:lineRule="auto"/>
        <w:ind w:firstLine="420" w:firstLineChars="200"/>
        <w:rPr>
          <w:rFonts w:hint="eastAsia" w:ascii="宋体" w:hAnsi="宋体" w:cs="宋体"/>
          <w:color w:val="auto"/>
          <w:highlight w:val="none"/>
          <w:lang w:val="zh-CN"/>
        </w:rPr>
      </w:pPr>
      <w:r>
        <w:rPr>
          <w:rFonts w:hint="eastAsia" w:ascii="宋体" w:hAnsi="宋体" w:cs="宋体"/>
          <w:color w:val="auto"/>
          <w:szCs w:val="21"/>
          <w:highlight w:val="none"/>
        </w:rPr>
        <w:t>6.</w:t>
      </w:r>
      <w:r>
        <w:rPr>
          <w:rFonts w:hint="eastAsia" w:ascii="宋体" w:hAnsi="宋体" w:cs="宋体"/>
          <w:color w:val="auto"/>
          <w:highlight w:val="none"/>
          <w:lang w:val="zh-CN"/>
        </w:rPr>
        <w:t>我们郑重声明：本投标文件提供的情况和文件完全是真实的。</w:t>
      </w:r>
    </w:p>
    <w:p>
      <w:pPr>
        <w:snapToGrid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7.</w:t>
      </w:r>
      <w:r>
        <w:rPr>
          <w:rFonts w:hint="eastAsia" w:ascii="宋体" w:hAnsi="宋体" w:cs="宋体"/>
          <w:color w:val="auto"/>
          <w:szCs w:val="21"/>
          <w:highlight w:val="none"/>
          <w:lang w:val="zh-CN"/>
        </w:rPr>
        <w:t>按照</w:t>
      </w:r>
      <w:r>
        <w:rPr>
          <w:rFonts w:hint="eastAsia" w:ascii="宋体" w:hAnsi="宋体" w:cs="宋体"/>
          <w:color w:val="auto"/>
          <w:szCs w:val="21"/>
          <w:highlight w:val="none"/>
        </w:rPr>
        <w:t>采购</w:t>
      </w:r>
      <w:r>
        <w:rPr>
          <w:rFonts w:hint="eastAsia" w:ascii="宋体" w:hAnsi="宋体" w:cs="宋体"/>
          <w:color w:val="auto"/>
          <w:szCs w:val="21"/>
          <w:highlight w:val="none"/>
          <w:lang w:val="zh-CN"/>
        </w:rPr>
        <w:t>文件的规定，在中标后向</w:t>
      </w:r>
      <w:r>
        <w:rPr>
          <w:rFonts w:hint="eastAsia" w:ascii="宋体" w:hAnsi="宋体" w:cs="宋体"/>
          <w:color w:val="auto"/>
          <w:szCs w:val="21"/>
          <w:highlight w:val="none"/>
        </w:rPr>
        <w:t>采购代理机构</w:t>
      </w:r>
      <w:r>
        <w:rPr>
          <w:rFonts w:hint="eastAsia" w:ascii="宋体" w:hAnsi="宋体" w:cs="宋体"/>
          <w:color w:val="auto"/>
          <w:szCs w:val="21"/>
          <w:highlight w:val="none"/>
          <w:lang w:val="zh-CN"/>
        </w:rPr>
        <w:t>一次性支付招标代理费。</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8.与本投标有关的一切正式往来信函请寄：</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邮编：__________   电话：______________</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传真：______________供应商代表姓名 ___________  职务：______</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_______</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供应商名称(公章):___________________</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银行帐号：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napToGrid w:val="0"/>
        <w:spacing w:before="50" w:after="120" w:afterLines="50"/>
        <w:rPr>
          <w:rFonts w:hint="eastAsia" w:ascii="宋体" w:hAnsi="宋体" w:cs="宋体"/>
          <w:color w:val="auto"/>
          <w:szCs w:val="21"/>
          <w:highlight w:val="none"/>
        </w:rPr>
      </w:pPr>
      <w:r>
        <w:rPr>
          <w:rFonts w:hint="eastAsia" w:ascii="宋体" w:hAnsi="宋体" w:cs="宋体"/>
          <w:color w:val="auto"/>
          <w:szCs w:val="21"/>
          <w:highlight w:val="none"/>
        </w:rPr>
        <w:t>法定代表人或授权代表</w:t>
      </w:r>
      <w:r>
        <w:rPr>
          <w:rFonts w:hint="eastAsia" w:ascii="宋体" w:hAnsi="宋体" w:cs="宋体"/>
          <w:color w:val="auto"/>
          <w:highlight w:val="none"/>
        </w:rPr>
        <w:t>（签名或印章）</w:t>
      </w:r>
      <w:r>
        <w:rPr>
          <w:rFonts w:hint="eastAsia" w:ascii="宋体" w:hAnsi="宋体" w:cs="宋体"/>
          <w:color w:val="auto"/>
          <w:szCs w:val="21"/>
          <w:highlight w:val="none"/>
        </w:rPr>
        <w:t>:___________          日期:_____年___月___日</w:t>
      </w:r>
    </w:p>
    <w:p>
      <w:pPr>
        <w:rPr>
          <w:rFonts w:hint="eastAsia" w:ascii="宋体" w:hAnsi="宋体" w:cs="宋体"/>
          <w:b/>
          <w:color w:val="auto"/>
          <w:highlight w:val="none"/>
        </w:rPr>
      </w:pPr>
      <w:r>
        <w:rPr>
          <w:rFonts w:hint="eastAsia" w:ascii="宋体" w:hAnsi="宋体" w:cs="宋体"/>
          <w:color w:val="auto"/>
          <w:szCs w:val="21"/>
          <w:highlight w:val="none"/>
        </w:rPr>
        <w:br w:type="page"/>
      </w:r>
      <w:r>
        <w:rPr>
          <w:rFonts w:hint="eastAsia" w:ascii="宋体" w:hAnsi="宋体" w:cs="宋体"/>
          <w:b/>
          <w:bCs/>
          <w:color w:val="auto"/>
          <w:szCs w:val="21"/>
          <w:highlight w:val="none"/>
        </w:rPr>
        <w:t>8.法</w:t>
      </w:r>
      <w:r>
        <w:rPr>
          <w:rFonts w:hint="eastAsia" w:ascii="宋体" w:hAnsi="宋体" w:cs="宋体"/>
          <w:b/>
          <w:color w:val="auto"/>
          <w:highlight w:val="none"/>
        </w:rPr>
        <w:t>定代表人身份证明及授权委托书格式：</w:t>
      </w:r>
    </w:p>
    <w:p>
      <w:pPr>
        <w:rPr>
          <w:rFonts w:hint="eastAsia" w:ascii="宋体" w:hAnsi="宋体" w:cs="宋体"/>
          <w:color w:val="auto"/>
          <w:highlight w:val="none"/>
        </w:rPr>
      </w:pPr>
    </w:p>
    <w:p>
      <w:pPr>
        <w:rPr>
          <w:rFonts w:hint="eastAsia" w:ascii="宋体" w:hAnsi="宋体" w:cs="宋体"/>
          <w:color w:val="auto"/>
          <w:highlight w:val="none"/>
        </w:rPr>
      </w:pPr>
    </w:p>
    <w:p>
      <w:pPr>
        <w:snapToGrid w:val="0"/>
        <w:spacing w:before="120" w:beforeLines="50" w:after="50"/>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法定代表人身份证明</w:t>
      </w:r>
    </w:p>
    <w:p>
      <w:pPr>
        <w:spacing w:line="480" w:lineRule="auto"/>
        <w:jc w:val="center"/>
        <w:rPr>
          <w:rFonts w:hint="eastAsia" w:ascii="宋体" w:hAnsi="宋体" w:cs="宋体"/>
          <w:b/>
          <w:color w:val="auto"/>
          <w:sz w:val="24"/>
          <w:highlight w:val="none"/>
        </w:rPr>
      </w:pPr>
      <w:r>
        <w:rPr>
          <w:rFonts w:hint="eastAsia" w:ascii="宋体" w:hAnsi="宋体" w:cs="宋体"/>
          <w:bCs/>
          <w:color w:val="auto"/>
          <w:sz w:val="24"/>
          <w:highlight w:val="none"/>
        </w:rPr>
        <w:t>（法定代表人不来投标的，此表不用）</w:t>
      </w:r>
    </w:p>
    <w:p>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p>
    <w:p>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周岁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_</w:t>
      </w:r>
    </w:p>
    <w:p>
      <w:pPr>
        <w:spacing w:line="48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（供应商名称）的法定代表人。</w:t>
      </w:r>
    </w:p>
    <w:p>
      <w:pPr>
        <w:spacing w:line="48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特此证明。</w:t>
      </w: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p>
    <w:p>
      <w:pPr>
        <w:wordWrap w:val="0"/>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pPr>
        <w:spacing w:line="360" w:lineRule="auto"/>
        <w:ind w:firstLine="4515" w:firstLineChars="2150"/>
        <w:rPr>
          <w:rFonts w:hint="eastAsia" w:ascii="宋体" w:hAnsi="宋体" w:cs="宋体"/>
          <w:color w:val="auto"/>
          <w:szCs w:val="21"/>
          <w:highlight w:val="none"/>
          <w:u w:val="single"/>
        </w:rPr>
      </w:pPr>
    </w:p>
    <w:p>
      <w:pPr>
        <w:spacing w:line="360" w:lineRule="auto"/>
        <w:ind w:firstLine="3675" w:firstLineChars="175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rPr>
          <w:rFonts w:hint="eastAsia" w:ascii="宋体" w:hAnsi="宋体" w:cs="宋体"/>
          <w:color w:val="auto"/>
          <w:sz w:val="24"/>
          <w:highlight w:val="none"/>
        </w:rPr>
      </w:pPr>
    </w:p>
    <w:p>
      <w:pPr>
        <w:spacing w:line="360" w:lineRule="auto"/>
        <w:rPr>
          <w:rFonts w:hint="eastAsia" w:ascii="宋体" w:hAnsi="宋体" w:cs="宋体"/>
          <w:b/>
          <w:color w:val="auto"/>
          <w:szCs w:val="21"/>
          <w:highlight w:val="none"/>
        </w:rPr>
      </w:pPr>
    </w:p>
    <w:p>
      <w:pPr>
        <w:spacing w:line="360" w:lineRule="auto"/>
        <w:rPr>
          <w:rFonts w:hint="eastAsia" w:ascii="宋体" w:hAnsi="宋体" w:cs="宋体"/>
          <w:b/>
          <w:color w:val="auto"/>
          <w:szCs w:val="21"/>
          <w:highlight w:val="none"/>
        </w:rPr>
      </w:pP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附法定代表人身份证复印件（正反面）：</w:t>
      </w:r>
    </w:p>
    <w:p>
      <w:pPr>
        <w:rPr>
          <w:rFonts w:hint="eastAsia" w:ascii="宋体" w:hAnsi="宋体" w:cs="宋体"/>
          <w:color w:val="auto"/>
          <w:highlight w:val="none"/>
        </w:rPr>
      </w:pPr>
    </w:p>
    <w:p>
      <w:pPr>
        <w:rPr>
          <w:rFonts w:hint="eastAsia" w:ascii="宋体" w:hAnsi="宋体" w:cs="宋体"/>
          <w:b/>
          <w:color w:val="auto"/>
          <w:sz w:val="32"/>
          <w:szCs w:val="32"/>
          <w:highlight w:val="none"/>
        </w:rPr>
      </w:pPr>
    </w:p>
    <w:p>
      <w:pPr>
        <w:rPr>
          <w:rFonts w:hint="eastAsia" w:ascii="宋体" w:hAnsi="宋体" w:cs="宋体"/>
          <w:b/>
          <w:color w:val="auto"/>
          <w:sz w:val="32"/>
          <w:szCs w:val="32"/>
          <w:highlight w:val="none"/>
        </w:rPr>
      </w:pPr>
    </w:p>
    <w:p>
      <w:pP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rPr>
      </w:pPr>
      <w:r>
        <w:rPr>
          <w:rFonts w:hint="eastAsia" w:ascii="宋体" w:hAnsi="宋体" w:cs="宋体"/>
          <w:b/>
          <w:bCs/>
          <w:color w:val="auto"/>
          <w:sz w:val="28"/>
          <w:szCs w:val="28"/>
          <w:highlight w:val="none"/>
        </w:rPr>
        <w:br w:type="page"/>
      </w:r>
      <w:r>
        <w:rPr>
          <w:rFonts w:hint="eastAsia" w:ascii="宋体" w:hAnsi="宋体" w:cs="宋体"/>
          <w:b/>
          <w:color w:val="auto"/>
          <w:szCs w:val="21"/>
          <w:highlight w:val="none"/>
        </w:rPr>
        <w:t>法定代表人授权委托书</w:t>
      </w:r>
    </w:p>
    <w:p>
      <w:pPr>
        <w:jc w:val="center"/>
        <w:rPr>
          <w:rFonts w:hint="eastAsia" w:ascii="宋体" w:hAnsi="宋体" w:cs="宋体"/>
          <w:b/>
          <w:color w:val="auto"/>
          <w:szCs w:val="21"/>
          <w:highlight w:val="none"/>
        </w:rPr>
      </w:pPr>
      <w:r>
        <w:rPr>
          <w:rFonts w:hint="eastAsia" w:ascii="宋体" w:hAnsi="宋体" w:cs="宋体"/>
          <w:bCs/>
          <w:color w:val="auto"/>
          <w:szCs w:val="21"/>
          <w:highlight w:val="none"/>
        </w:rPr>
        <w:t>（法定代表人来投标的，此表不用）</w:t>
      </w:r>
    </w:p>
    <w:p>
      <w:pPr>
        <w:snapToGrid w:val="0"/>
        <w:spacing w:line="360" w:lineRule="auto"/>
        <w:rPr>
          <w:rFonts w:hint="eastAsia" w:ascii="宋体" w:hAnsi="宋体" w:cs="宋体"/>
          <w:bCs/>
          <w:color w:val="auto"/>
          <w:sz w:val="24"/>
          <w:highlight w:val="none"/>
        </w:rPr>
      </w:pPr>
    </w:p>
    <w:p>
      <w:pPr>
        <w:snapToGrid w:val="0"/>
        <w:spacing w:line="360" w:lineRule="auto"/>
        <w:rPr>
          <w:rFonts w:hint="eastAsia" w:ascii="宋体" w:hAnsi="宋体" w:cs="宋体"/>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（采购单位名称）</w:t>
      </w:r>
      <w:r>
        <w:rPr>
          <w:rFonts w:hint="eastAsia" w:ascii="宋体" w:hAnsi="宋体" w:cs="宋体"/>
          <w:b/>
          <w:bCs/>
          <w:color w:val="auto"/>
          <w:szCs w:val="21"/>
          <w:highlight w:val="none"/>
        </w:rPr>
        <w:t xml:space="preserve"> </w:t>
      </w:r>
      <w:r>
        <w:rPr>
          <w:rFonts w:hint="eastAsia" w:ascii="宋体" w:hAnsi="宋体" w:cs="宋体"/>
          <w:color w:val="auto"/>
          <w:szCs w:val="21"/>
          <w:highlight w:val="none"/>
        </w:rPr>
        <w:t>：</w:t>
      </w:r>
    </w:p>
    <w:p>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（供应商名称）的法定代表人，现授权委托本单位在职职工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（姓名）以我方的名义参加</w:t>
      </w:r>
      <w:r>
        <w:rPr>
          <w:rFonts w:hint="eastAsia" w:ascii="宋体" w:hAnsi="宋体" w:cs="宋体"/>
          <w:color w:val="auto"/>
          <w:szCs w:val="21"/>
          <w:highlight w:val="none"/>
          <w:u w:val="single"/>
        </w:rPr>
        <w:t xml:space="preserve">                       政府采购 </w:t>
      </w:r>
      <w:r>
        <w:rPr>
          <w:rFonts w:hint="eastAsia" w:ascii="宋体" w:hAnsi="宋体" w:cs="宋体"/>
          <w:color w:val="auto"/>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我方对被授权人的签名事项负全部责任。</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在撤销授权的书面通知以前，本授权书一直有效。被授权人在授权书有效期内签署的所有文件不因授权的撤销而失效。</w:t>
      </w:r>
    </w:p>
    <w:p>
      <w:pPr>
        <w:snapToGrid w:val="0"/>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被授权人无转委托权，特此委托。</w:t>
      </w:r>
    </w:p>
    <w:p>
      <w:pPr>
        <w:snapToGrid w:val="0"/>
        <w:spacing w:line="360" w:lineRule="auto"/>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被授权人</w:t>
      </w:r>
      <w:r>
        <w:rPr>
          <w:rFonts w:hint="eastAsia" w:ascii="宋体" w:hAnsi="宋体" w:cs="宋体"/>
          <w:color w:val="auto"/>
          <w:highlight w:val="none"/>
        </w:rPr>
        <w:t>（签名或印章）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w:t>
      </w:r>
      <w:r>
        <w:rPr>
          <w:rFonts w:hint="eastAsia" w:ascii="宋体" w:hAnsi="宋体" w:cs="宋体"/>
          <w:color w:val="auto"/>
          <w:highlight w:val="none"/>
        </w:rPr>
        <w:t>（签名或印章）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pPr>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被授权人身份证号码：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napToGrid w:val="0"/>
        <w:spacing w:line="360" w:lineRule="auto"/>
        <w:rPr>
          <w:rFonts w:hint="eastAsia" w:ascii="宋体" w:hAnsi="宋体" w:cs="宋体"/>
          <w:color w:val="auto"/>
          <w:szCs w:val="21"/>
          <w:highlight w:val="none"/>
        </w:rPr>
      </w:pPr>
    </w:p>
    <w:p>
      <w:pPr>
        <w:snapToGrid w:val="0"/>
        <w:spacing w:line="360" w:lineRule="auto"/>
        <w:ind w:firstLine="4830" w:firstLineChars="2300"/>
        <w:rPr>
          <w:rFonts w:hint="eastAsia" w:ascii="宋体" w:hAnsi="宋体" w:cs="宋体"/>
          <w:color w:val="auto"/>
          <w:szCs w:val="21"/>
          <w:highlight w:val="none"/>
        </w:rPr>
      </w:pPr>
      <w:r>
        <w:rPr>
          <w:rFonts w:hint="eastAsia" w:ascii="宋体" w:hAnsi="宋体" w:cs="宋体"/>
          <w:color w:val="auto"/>
          <w:szCs w:val="21"/>
          <w:highlight w:val="none"/>
        </w:rPr>
        <w:t>供应商公章：</w:t>
      </w:r>
    </w:p>
    <w:p>
      <w:pPr>
        <w:snapToGrid w:val="0"/>
        <w:spacing w:line="360" w:lineRule="auto"/>
        <w:ind w:firstLine="4830" w:firstLineChars="2300"/>
        <w:rPr>
          <w:rFonts w:hint="eastAsia" w:ascii="宋体" w:hAnsi="宋体" w:cs="宋体"/>
          <w:color w:val="auto"/>
          <w:szCs w:val="21"/>
          <w:highlight w:val="none"/>
        </w:rPr>
      </w:pPr>
    </w:p>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p>
      <w:pPr>
        <w:spacing w:line="360" w:lineRule="auto"/>
        <w:rPr>
          <w:rFonts w:hint="eastAsia" w:ascii="宋体" w:hAnsi="宋体" w:cs="宋体"/>
          <w:b/>
          <w:color w:val="auto"/>
          <w:szCs w:val="21"/>
          <w:highlight w:val="none"/>
        </w:rPr>
      </w:pPr>
    </w:p>
    <w:p>
      <w:pPr>
        <w:spacing w:line="360" w:lineRule="auto"/>
        <w:rPr>
          <w:rFonts w:hint="eastAsia" w:ascii="宋体" w:hAnsi="宋体" w:cs="宋体"/>
          <w:b/>
          <w:color w:val="auto"/>
          <w:szCs w:val="21"/>
          <w:highlight w:val="none"/>
        </w:rPr>
      </w:pPr>
    </w:p>
    <w:p>
      <w:pPr>
        <w:snapToGrid w:val="0"/>
        <w:spacing w:before="50" w:after="50"/>
        <w:rPr>
          <w:rFonts w:hint="eastAsia" w:ascii="宋体" w:hAnsi="宋体" w:cs="宋体"/>
          <w:b/>
          <w:color w:val="auto"/>
          <w:szCs w:val="21"/>
          <w:highlight w:val="none"/>
        </w:rPr>
      </w:pPr>
      <w:r>
        <w:rPr>
          <w:rFonts w:hint="eastAsia" w:ascii="宋体" w:hAnsi="宋体" w:cs="宋体"/>
          <w:b/>
          <w:color w:val="auto"/>
          <w:szCs w:val="21"/>
          <w:highlight w:val="none"/>
        </w:rPr>
        <w:t>附：法定代表人身份证复印件（正反面）、授权代表身份证复印件（正反面）。</w:t>
      </w:r>
    </w:p>
    <w:p>
      <w:pPr>
        <w:snapToGrid w:val="0"/>
        <w:spacing w:before="50" w:after="50"/>
        <w:rPr>
          <w:rFonts w:hint="eastAsia" w:ascii="宋体" w:hAnsi="宋体" w:cs="宋体"/>
          <w:color w:val="auto"/>
          <w:szCs w:val="21"/>
          <w:highlight w:val="none"/>
        </w:rPr>
      </w:pPr>
      <w:r>
        <w:rPr>
          <w:rFonts w:hint="eastAsia" w:ascii="宋体" w:hAnsi="宋体" w:cs="宋体"/>
          <w:b/>
          <w:color w:val="auto"/>
          <w:szCs w:val="21"/>
          <w:highlight w:val="none"/>
        </w:rPr>
        <w:br w:type="page"/>
      </w:r>
      <w:r>
        <w:rPr>
          <w:rFonts w:hint="eastAsia" w:ascii="宋体" w:hAnsi="宋体" w:cs="宋体"/>
          <w:b/>
          <w:bCs/>
          <w:color w:val="auto"/>
          <w:szCs w:val="21"/>
          <w:highlight w:val="none"/>
        </w:rPr>
        <w:t>9.技术（服务）条款偏离表</w:t>
      </w:r>
    </w:p>
    <w:p>
      <w:pPr>
        <w:snapToGrid w:val="0"/>
        <w:spacing w:before="50" w:after="120" w:afterLines="50" w:line="360" w:lineRule="auto"/>
        <w:jc w:val="center"/>
        <w:rPr>
          <w:rFonts w:hint="eastAsia" w:ascii="宋体" w:hAnsi="宋体" w:cs="宋体"/>
          <w:b/>
          <w:bCs/>
          <w:color w:val="auto"/>
          <w:highlight w:val="none"/>
        </w:rPr>
      </w:pPr>
      <w:r>
        <w:rPr>
          <w:rFonts w:hint="eastAsia" w:ascii="宋体" w:hAnsi="宋体" w:cs="宋体"/>
          <w:b/>
          <w:bCs/>
          <w:color w:val="auto"/>
          <w:highlight w:val="none"/>
        </w:rPr>
        <w:t>技术（服务）条款偏离表</w:t>
      </w:r>
    </w:p>
    <w:p>
      <w:pPr>
        <w:snapToGrid w:val="0"/>
        <w:spacing w:before="50"/>
        <w:rPr>
          <w:rFonts w:hint="eastAsia" w:ascii="宋体" w:hAnsi="宋体" w:cs="宋体"/>
          <w:color w:val="auto"/>
          <w:szCs w:val="21"/>
          <w:highlight w:val="none"/>
          <w:u w:val="single"/>
        </w:rPr>
      </w:pPr>
      <w:r>
        <w:rPr>
          <w:rFonts w:hint="eastAsia" w:ascii="宋体" w:hAnsi="宋体" w:cs="宋体"/>
          <w:color w:val="auto"/>
          <w:szCs w:val="21"/>
          <w:highlight w:val="none"/>
        </w:rPr>
        <w:t>项目编号：                   项目名称：                       子包号：</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条款号</w:t>
            </w:r>
          </w:p>
        </w:tc>
        <w:tc>
          <w:tcPr>
            <w:tcW w:w="4647"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采购文件的技术（服务）条款</w:t>
            </w:r>
          </w:p>
        </w:tc>
        <w:tc>
          <w:tcPr>
            <w:tcW w:w="1575"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投标文件的</w:t>
            </w:r>
          </w:p>
          <w:p>
            <w:pPr>
              <w:spacing w:line="360" w:lineRule="auto"/>
              <w:jc w:val="center"/>
              <w:rPr>
                <w:rFonts w:hint="eastAsia" w:ascii="宋体" w:hAnsi="宋体" w:cs="宋体"/>
                <w:color w:val="auto"/>
                <w:highlight w:val="none"/>
              </w:rPr>
            </w:pPr>
            <w:r>
              <w:rPr>
                <w:rFonts w:hint="eastAsia" w:ascii="宋体" w:hAnsi="宋体" w:cs="宋体"/>
                <w:color w:val="auto"/>
                <w:highlight w:val="none"/>
              </w:rPr>
              <w:t>响应情况</w:t>
            </w:r>
          </w:p>
        </w:tc>
        <w:tc>
          <w:tcPr>
            <w:tcW w:w="1185"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b/>
                <w:bCs/>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b/>
                <w:bCs/>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b/>
                <w:bCs/>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b/>
                <w:bCs/>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bl>
    <w:p>
      <w:pPr>
        <w:snapToGrid w:val="0"/>
        <w:spacing w:before="50"/>
        <w:rPr>
          <w:rFonts w:hint="eastAsia" w:ascii="宋体" w:hAnsi="宋体" w:cs="宋体"/>
          <w:color w:val="auto"/>
          <w:szCs w:val="21"/>
          <w:highlight w:val="none"/>
        </w:rPr>
      </w:pPr>
    </w:p>
    <w:p>
      <w:pPr>
        <w:snapToGrid w:val="0"/>
        <w:spacing w:before="50"/>
        <w:rPr>
          <w:rFonts w:hint="eastAsia" w:ascii="宋体" w:hAnsi="宋体" w:cs="宋体"/>
          <w:color w:val="auto"/>
          <w:szCs w:val="21"/>
          <w:highlight w:val="none"/>
        </w:rPr>
      </w:pPr>
      <w:r>
        <w:rPr>
          <w:rFonts w:hint="eastAsia" w:ascii="宋体" w:hAnsi="宋体" w:cs="宋体"/>
          <w:color w:val="auto"/>
          <w:szCs w:val="21"/>
          <w:highlight w:val="none"/>
        </w:rPr>
        <w:t>供应商名称（公章）：</w:t>
      </w:r>
    </w:p>
    <w:p>
      <w:pPr>
        <w:snapToGrid w:val="0"/>
        <w:spacing w:before="50"/>
        <w:rPr>
          <w:rFonts w:hint="eastAsia" w:ascii="宋体" w:hAnsi="宋体" w:cs="宋体"/>
          <w:color w:val="auto"/>
          <w:szCs w:val="21"/>
          <w:highlight w:val="none"/>
        </w:rPr>
      </w:pPr>
      <w:r>
        <w:rPr>
          <w:rFonts w:hint="eastAsia" w:ascii="宋体" w:hAnsi="宋体" w:cs="宋体"/>
          <w:color w:val="auto"/>
          <w:szCs w:val="21"/>
          <w:highlight w:val="none"/>
        </w:rPr>
        <w:t>法定代表或授权代表</w:t>
      </w:r>
      <w:r>
        <w:rPr>
          <w:rFonts w:hint="eastAsia" w:ascii="宋体" w:hAnsi="宋体" w:cs="宋体"/>
          <w:color w:val="auto"/>
          <w:highlight w:val="none"/>
        </w:rPr>
        <w:t>（签名或印章）</w:t>
      </w:r>
      <w:r>
        <w:rPr>
          <w:rFonts w:hint="eastAsia" w:ascii="宋体" w:hAnsi="宋体" w:cs="宋体"/>
          <w:color w:val="auto"/>
          <w:szCs w:val="21"/>
          <w:highlight w:val="none"/>
        </w:rPr>
        <w:t>：</w:t>
      </w:r>
    </w:p>
    <w:p>
      <w:pPr>
        <w:snapToGrid w:val="0"/>
        <w:spacing w:before="50"/>
        <w:rPr>
          <w:rFonts w:hint="eastAsia" w:ascii="宋体" w:hAnsi="宋体" w:cs="宋体"/>
          <w:color w:val="auto"/>
          <w:szCs w:val="21"/>
          <w:highlight w:val="none"/>
        </w:rPr>
      </w:pPr>
    </w:p>
    <w:p>
      <w:pPr>
        <w:snapToGrid w:val="0"/>
        <w:spacing w:before="50"/>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p>
      <w:pPr>
        <w:snapToGrid w:val="0"/>
        <w:spacing w:before="50"/>
        <w:rPr>
          <w:rFonts w:hint="eastAsia" w:ascii="宋体" w:hAnsi="宋体" w:cs="宋体"/>
          <w:color w:val="auto"/>
          <w:szCs w:val="21"/>
          <w:highlight w:val="none"/>
        </w:rPr>
      </w:pPr>
    </w:p>
    <w:p>
      <w:pPr>
        <w:snapToGrid w:val="0"/>
        <w:spacing w:before="50"/>
        <w:rPr>
          <w:rFonts w:hint="eastAsia" w:ascii="宋体" w:hAnsi="宋体" w:cs="宋体"/>
          <w:color w:val="auto"/>
          <w:szCs w:val="21"/>
          <w:highlight w:val="none"/>
        </w:rPr>
      </w:pPr>
    </w:p>
    <w:p>
      <w:pPr>
        <w:snapToGrid w:val="0"/>
        <w:spacing w:before="50"/>
        <w:rPr>
          <w:rFonts w:hint="eastAsia" w:ascii="宋体" w:hAnsi="宋体" w:cs="宋体"/>
          <w:color w:val="auto"/>
          <w:szCs w:val="21"/>
          <w:highlight w:val="none"/>
        </w:rPr>
      </w:pPr>
    </w:p>
    <w:p>
      <w:pPr>
        <w:snapToGrid w:val="0"/>
        <w:spacing w:before="50"/>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b/>
          <w:bCs/>
          <w:color w:val="auto"/>
          <w:szCs w:val="21"/>
          <w:highlight w:val="none"/>
        </w:rPr>
        <w:t>10. 商务条款偏离表</w:t>
      </w:r>
    </w:p>
    <w:p>
      <w:pPr>
        <w:snapToGrid w:val="0"/>
        <w:spacing w:before="50" w:after="120" w:afterLines="50" w:line="360" w:lineRule="auto"/>
        <w:jc w:val="center"/>
        <w:rPr>
          <w:rFonts w:hint="eastAsia" w:ascii="宋体" w:hAnsi="宋体" w:cs="宋体"/>
          <w:b/>
          <w:bCs/>
          <w:color w:val="auto"/>
          <w:highlight w:val="none"/>
        </w:rPr>
      </w:pPr>
      <w:r>
        <w:rPr>
          <w:rFonts w:hint="eastAsia" w:ascii="宋体" w:hAnsi="宋体" w:cs="宋体"/>
          <w:b/>
          <w:bCs/>
          <w:color w:val="auto"/>
          <w:highlight w:val="none"/>
        </w:rPr>
        <w:t>商务条款偏离表</w:t>
      </w:r>
    </w:p>
    <w:p>
      <w:pPr>
        <w:snapToGrid w:val="0"/>
        <w:spacing w:before="50"/>
        <w:rPr>
          <w:rFonts w:hint="eastAsia" w:ascii="宋体" w:hAnsi="宋体" w:cs="宋体"/>
          <w:color w:val="auto"/>
          <w:szCs w:val="21"/>
          <w:highlight w:val="none"/>
          <w:u w:val="single"/>
        </w:rPr>
      </w:pPr>
      <w:r>
        <w:rPr>
          <w:rFonts w:hint="eastAsia" w:ascii="宋体" w:hAnsi="宋体" w:cs="宋体"/>
          <w:color w:val="auto"/>
          <w:szCs w:val="21"/>
          <w:highlight w:val="none"/>
        </w:rPr>
        <w:t>项目编号：                   项目名称：                       子包号：</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条款号</w:t>
            </w:r>
          </w:p>
        </w:tc>
        <w:tc>
          <w:tcPr>
            <w:tcW w:w="4647"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采购文件的商务条款</w:t>
            </w:r>
          </w:p>
        </w:tc>
        <w:tc>
          <w:tcPr>
            <w:tcW w:w="1575"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投标文件的</w:t>
            </w:r>
          </w:p>
          <w:p>
            <w:pPr>
              <w:spacing w:line="360" w:lineRule="auto"/>
              <w:jc w:val="center"/>
              <w:rPr>
                <w:rFonts w:hint="eastAsia" w:ascii="宋体" w:hAnsi="宋体" w:cs="宋体"/>
                <w:color w:val="auto"/>
                <w:highlight w:val="none"/>
              </w:rPr>
            </w:pPr>
            <w:r>
              <w:rPr>
                <w:rFonts w:hint="eastAsia" w:ascii="宋体" w:hAnsi="宋体" w:cs="宋体"/>
                <w:color w:val="auto"/>
                <w:highlight w:val="none"/>
              </w:rPr>
              <w:t>响应情况</w:t>
            </w:r>
          </w:p>
        </w:tc>
        <w:tc>
          <w:tcPr>
            <w:tcW w:w="1185"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b/>
                <w:bCs/>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b/>
                <w:bCs/>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b/>
                <w:bCs/>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b/>
                <w:bCs/>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bl>
    <w:p>
      <w:pPr>
        <w:snapToGrid w:val="0"/>
        <w:spacing w:before="50"/>
        <w:rPr>
          <w:rFonts w:hint="eastAsia" w:ascii="宋体" w:hAnsi="宋体" w:cs="宋体"/>
          <w:color w:val="auto"/>
          <w:szCs w:val="21"/>
          <w:highlight w:val="none"/>
        </w:rPr>
      </w:pPr>
      <w:r>
        <w:rPr>
          <w:rFonts w:hint="eastAsia" w:ascii="宋体" w:hAnsi="宋体" w:cs="宋体"/>
          <w:color w:val="auto"/>
          <w:highlight w:val="none"/>
        </w:rPr>
        <w:t>供应商须按第</w:t>
      </w:r>
      <w:r>
        <w:rPr>
          <w:rFonts w:hint="eastAsia" w:ascii="宋体" w:hAnsi="宋体" w:cs="宋体"/>
          <w:color w:val="auto"/>
          <w:highlight w:val="none"/>
          <w:lang w:val="en-US" w:eastAsia="zh-CN"/>
        </w:rPr>
        <w:t>二</w:t>
      </w:r>
      <w:r>
        <w:rPr>
          <w:rFonts w:hint="eastAsia" w:ascii="宋体" w:hAnsi="宋体" w:cs="宋体"/>
          <w:color w:val="auto"/>
          <w:highlight w:val="none"/>
        </w:rPr>
        <w:t>章《</w:t>
      </w:r>
      <w:r>
        <w:rPr>
          <w:rFonts w:hint="eastAsia" w:ascii="宋体" w:hAnsi="宋体" w:cs="宋体"/>
          <w:color w:val="auto"/>
          <w:highlight w:val="none"/>
          <w:lang w:val="en-US" w:eastAsia="zh-CN"/>
        </w:rPr>
        <w:t>投标资料表</w:t>
      </w:r>
      <w:r>
        <w:rPr>
          <w:rFonts w:hint="eastAsia" w:ascii="宋体" w:hAnsi="宋体" w:cs="宋体"/>
          <w:color w:val="auto"/>
          <w:highlight w:val="none"/>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内容、要求</w:t>
      </w:r>
      <w:r>
        <w:rPr>
          <w:rFonts w:hint="eastAsia" w:ascii="宋体" w:hAnsi="宋体" w:cs="宋体"/>
          <w:color w:val="auto"/>
          <w:highlight w:val="none"/>
        </w:rPr>
        <w:t>”</w:t>
      </w:r>
      <w:r>
        <w:rPr>
          <w:rFonts w:hint="eastAsia" w:ascii="宋体" w:hAnsi="宋体" w:cs="宋体"/>
          <w:color w:val="auto"/>
          <w:highlight w:val="none"/>
          <w:lang w:val="en-US" w:eastAsia="zh-CN"/>
        </w:rPr>
        <w:t>带</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条款</w:t>
      </w:r>
      <w:r>
        <w:rPr>
          <w:rFonts w:hint="eastAsia" w:ascii="宋体" w:hAnsi="宋体" w:cs="宋体"/>
          <w:color w:val="auto"/>
          <w:highlight w:val="none"/>
        </w:rPr>
        <w:t>填写，并根据“第</w:t>
      </w:r>
      <w:r>
        <w:rPr>
          <w:rFonts w:hint="eastAsia" w:ascii="宋体" w:hAnsi="宋体" w:cs="宋体"/>
          <w:color w:val="auto"/>
          <w:highlight w:val="none"/>
          <w:lang w:val="en-US" w:eastAsia="zh-CN"/>
        </w:rPr>
        <w:t>六</w:t>
      </w:r>
      <w:r>
        <w:rPr>
          <w:rFonts w:hint="eastAsia" w:ascii="宋体" w:hAnsi="宋体" w:cs="宋体"/>
          <w:color w:val="auto"/>
          <w:highlight w:val="none"/>
        </w:rPr>
        <w:t>章 政府采购合同主要条款”内容自行补充。</w:t>
      </w:r>
    </w:p>
    <w:p>
      <w:pPr>
        <w:snapToGrid w:val="0"/>
        <w:spacing w:before="50"/>
        <w:rPr>
          <w:rFonts w:hint="eastAsia" w:ascii="宋体" w:hAnsi="宋体" w:cs="宋体"/>
          <w:color w:val="auto"/>
          <w:szCs w:val="21"/>
          <w:highlight w:val="none"/>
        </w:rPr>
      </w:pPr>
    </w:p>
    <w:p>
      <w:pPr>
        <w:pStyle w:val="8"/>
        <w:ind w:firstLine="0"/>
        <w:rPr>
          <w:rFonts w:hint="eastAsia" w:ascii="宋体" w:hAnsi="宋体" w:cs="宋体"/>
          <w:color w:val="auto"/>
          <w:highlight w:val="none"/>
        </w:rPr>
      </w:pPr>
    </w:p>
    <w:p>
      <w:pPr>
        <w:snapToGrid w:val="0"/>
        <w:spacing w:before="50"/>
        <w:rPr>
          <w:rFonts w:hint="eastAsia" w:ascii="宋体" w:hAnsi="宋体" w:cs="宋体"/>
          <w:color w:val="auto"/>
          <w:szCs w:val="21"/>
          <w:highlight w:val="none"/>
        </w:rPr>
      </w:pPr>
      <w:r>
        <w:rPr>
          <w:rFonts w:hint="eastAsia" w:ascii="宋体" w:hAnsi="宋体" w:cs="宋体"/>
          <w:color w:val="auto"/>
          <w:szCs w:val="21"/>
          <w:highlight w:val="none"/>
        </w:rPr>
        <w:t>供应商名称（公章）：</w:t>
      </w:r>
    </w:p>
    <w:p>
      <w:pPr>
        <w:snapToGrid w:val="0"/>
        <w:spacing w:before="50"/>
        <w:rPr>
          <w:rFonts w:hint="eastAsia" w:ascii="宋体" w:hAnsi="宋体" w:cs="宋体"/>
          <w:color w:val="auto"/>
          <w:szCs w:val="21"/>
          <w:highlight w:val="none"/>
        </w:rPr>
      </w:pPr>
      <w:r>
        <w:rPr>
          <w:rFonts w:hint="eastAsia" w:ascii="宋体" w:hAnsi="宋体" w:cs="宋体"/>
          <w:color w:val="auto"/>
          <w:szCs w:val="21"/>
          <w:highlight w:val="none"/>
        </w:rPr>
        <w:t>法定代表或授权代表</w:t>
      </w:r>
      <w:r>
        <w:rPr>
          <w:rFonts w:hint="eastAsia" w:ascii="宋体" w:hAnsi="宋体" w:cs="宋体"/>
          <w:color w:val="auto"/>
          <w:highlight w:val="none"/>
        </w:rPr>
        <w:t>（签名或印章）</w:t>
      </w:r>
      <w:r>
        <w:rPr>
          <w:rFonts w:hint="eastAsia" w:ascii="宋体" w:hAnsi="宋体" w:cs="宋体"/>
          <w:color w:val="auto"/>
          <w:szCs w:val="21"/>
          <w:highlight w:val="none"/>
        </w:rPr>
        <w:t>：</w:t>
      </w:r>
    </w:p>
    <w:p>
      <w:pPr>
        <w:snapToGrid w:val="0"/>
        <w:spacing w:before="50"/>
        <w:rPr>
          <w:rFonts w:hint="eastAsia" w:ascii="宋体" w:hAnsi="宋体" w:cs="宋体"/>
          <w:color w:val="auto"/>
          <w:szCs w:val="21"/>
          <w:highlight w:val="none"/>
        </w:rPr>
      </w:pPr>
    </w:p>
    <w:p>
      <w:pPr>
        <w:snapToGrid w:val="0"/>
        <w:spacing w:before="50"/>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p>
      <w:pPr>
        <w:snapToGrid w:val="0"/>
        <w:spacing w:before="50"/>
        <w:rPr>
          <w:rFonts w:hint="eastAsia" w:ascii="宋体" w:hAnsi="宋体" w:cs="宋体"/>
          <w:color w:val="auto"/>
          <w:szCs w:val="21"/>
          <w:highlight w:val="none"/>
        </w:rPr>
      </w:pPr>
    </w:p>
    <w:p>
      <w:pPr>
        <w:snapToGrid w:val="0"/>
        <w:spacing w:before="120" w:beforeLines="50" w:after="50"/>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b/>
          <w:bCs/>
          <w:color w:val="auto"/>
          <w:szCs w:val="21"/>
          <w:highlight w:val="none"/>
        </w:rPr>
        <w:t>11.供应商情况一览表</w:t>
      </w:r>
    </w:p>
    <w:p>
      <w:pPr>
        <w:snapToGrid w:val="0"/>
        <w:spacing w:before="120" w:beforeLines="50" w:after="50"/>
        <w:rPr>
          <w:rFonts w:hint="eastAsia" w:ascii="宋体" w:hAnsi="宋体" w:cs="宋体"/>
          <w:color w:val="auto"/>
          <w:szCs w:val="21"/>
          <w:highlight w:val="none"/>
        </w:rPr>
      </w:pPr>
    </w:p>
    <w:p>
      <w:pPr>
        <w:snapToGrid w:val="0"/>
        <w:spacing w:before="50" w:after="120" w:afterLines="50" w:line="360" w:lineRule="auto"/>
        <w:jc w:val="center"/>
        <w:rPr>
          <w:rFonts w:hint="eastAsia" w:ascii="宋体" w:hAnsi="宋体" w:cs="宋体"/>
          <w:b/>
          <w:bCs/>
          <w:color w:val="auto"/>
          <w:highlight w:val="none"/>
        </w:rPr>
      </w:pPr>
      <w:r>
        <w:rPr>
          <w:rFonts w:hint="eastAsia" w:ascii="宋体" w:hAnsi="宋体" w:cs="宋体"/>
          <w:b/>
          <w:bCs/>
          <w:color w:val="auto"/>
          <w:highlight w:val="none"/>
        </w:rPr>
        <w:t>供应商情况一览表</w:t>
      </w:r>
    </w:p>
    <w:tbl>
      <w:tblPr>
        <w:tblStyle w:val="19"/>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86"/>
        <w:gridCol w:w="986"/>
        <w:gridCol w:w="584"/>
        <w:gridCol w:w="402"/>
        <w:gridCol w:w="986"/>
        <w:gridCol w:w="284"/>
        <w:gridCol w:w="702"/>
        <w:gridCol w:w="875"/>
        <w:gridCol w:w="111"/>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8318" w:type="dxa"/>
            <w:gridSpan w:val="11"/>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单位名称</w:t>
            </w:r>
          </w:p>
        </w:tc>
        <w:tc>
          <w:tcPr>
            <w:tcW w:w="6904" w:type="dxa"/>
            <w:gridSpan w:val="10"/>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地  址</w:t>
            </w:r>
          </w:p>
        </w:tc>
        <w:tc>
          <w:tcPr>
            <w:tcW w:w="4228" w:type="dxa"/>
            <w:gridSpan w:val="6"/>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color w:val="auto"/>
                <w:szCs w:val="21"/>
                <w:highlight w:val="none"/>
              </w:rPr>
            </w:pP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法定代表人</w:t>
            </w:r>
          </w:p>
        </w:tc>
        <w:tc>
          <w:tcPr>
            <w:tcW w:w="1099"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成立时间</w:t>
            </w:r>
          </w:p>
        </w:tc>
        <w:tc>
          <w:tcPr>
            <w:tcW w:w="4228" w:type="dxa"/>
            <w:gridSpan w:val="6"/>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color w:val="auto"/>
                <w:szCs w:val="21"/>
                <w:highlight w:val="none"/>
              </w:rPr>
            </w:pP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注册资本</w:t>
            </w:r>
          </w:p>
        </w:tc>
        <w:tc>
          <w:tcPr>
            <w:tcW w:w="1099"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开户银行</w:t>
            </w:r>
          </w:p>
        </w:tc>
        <w:tc>
          <w:tcPr>
            <w:tcW w:w="2556"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color w:val="auto"/>
                <w:szCs w:val="21"/>
                <w:highlight w:val="none"/>
              </w:rPr>
            </w:pPr>
          </w:p>
        </w:tc>
        <w:tc>
          <w:tcPr>
            <w:tcW w:w="1672"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帐  号</w:t>
            </w:r>
          </w:p>
        </w:tc>
        <w:tc>
          <w:tcPr>
            <w:tcW w:w="2676"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联系电话</w:t>
            </w:r>
          </w:p>
        </w:tc>
        <w:tc>
          <w:tcPr>
            <w:tcW w:w="6904" w:type="dxa"/>
            <w:gridSpan w:val="10"/>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企业总人数</w:t>
            </w:r>
          </w:p>
        </w:tc>
        <w:tc>
          <w:tcPr>
            <w:tcW w:w="98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color w:val="auto"/>
                <w:szCs w:val="21"/>
                <w:highlight w:val="none"/>
              </w:rPr>
            </w:pPr>
          </w:p>
        </w:tc>
        <w:tc>
          <w:tcPr>
            <w:tcW w:w="98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管理</w:t>
            </w:r>
          </w:p>
          <w:p>
            <w:pP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人员</w:t>
            </w:r>
          </w:p>
        </w:tc>
        <w:tc>
          <w:tcPr>
            <w:tcW w:w="986"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color w:val="auto"/>
                <w:szCs w:val="21"/>
                <w:highlight w:val="none"/>
              </w:rPr>
            </w:pPr>
          </w:p>
        </w:tc>
        <w:tc>
          <w:tcPr>
            <w:tcW w:w="98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技术</w:t>
            </w:r>
          </w:p>
          <w:p>
            <w:pP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人员</w:t>
            </w:r>
          </w:p>
        </w:tc>
        <w:tc>
          <w:tcPr>
            <w:tcW w:w="986"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color w:val="auto"/>
                <w:szCs w:val="21"/>
                <w:highlight w:val="none"/>
              </w:rPr>
            </w:pPr>
          </w:p>
        </w:tc>
        <w:tc>
          <w:tcPr>
            <w:tcW w:w="986"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职工</w:t>
            </w:r>
          </w:p>
          <w:p>
            <w:pP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人员</w:t>
            </w:r>
          </w:p>
        </w:tc>
        <w:tc>
          <w:tcPr>
            <w:tcW w:w="98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经营范围</w:t>
            </w:r>
          </w:p>
        </w:tc>
        <w:tc>
          <w:tcPr>
            <w:tcW w:w="6904" w:type="dxa"/>
            <w:gridSpan w:val="10"/>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企业现有的资质证书</w:t>
            </w:r>
          </w:p>
        </w:tc>
        <w:tc>
          <w:tcPr>
            <w:tcW w:w="6904" w:type="dxa"/>
            <w:gridSpan w:val="10"/>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color w:val="auto"/>
                <w:szCs w:val="21"/>
                <w:highlight w:val="none"/>
              </w:rPr>
            </w:pPr>
          </w:p>
        </w:tc>
      </w:tr>
    </w:tbl>
    <w:p>
      <w:pPr>
        <w:snapToGrid w:val="0"/>
        <w:spacing w:before="50" w:after="120" w:afterLines="50"/>
        <w:rPr>
          <w:rFonts w:hint="eastAsia" w:ascii="宋体" w:hAnsi="宋体" w:cs="宋体"/>
          <w:color w:val="auto"/>
          <w:szCs w:val="21"/>
          <w:highlight w:val="none"/>
        </w:rPr>
      </w:pPr>
    </w:p>
    <w:p>
      <w:pPr>
        <w:snapToGrid w:val="0"/>
        <w:spacing w:before="50" w:after="120" w:afterLines="50"/>
        <w:rPr>
          <w:rFonts w:hint="eastAsia" w:ascii="宋体" w:hAnsi="宋体" w:cs="宋体"/>
          <w:color w:val="auto"/>
          <w:szCs w:val="21"/>
          <w:highlight w:val="none"/>
        </w:rPr>
      </w:pPr>
    </w:p>
    <w:p>
      <w:pPr>
        <w:snapToGrid w:val="0"/>
        <w:spacing w:before="50" w:after="120" w:afterLines="50"/>
        <w:rPr>
          <w:rFonts w:hint="eastAsia" w:ascii="宋体" w:hAnsi="宋体" w:cs="宋体"/>
          <w:color w:val="auto"/>
          <w:szCs w:val="21"/>
          <w:highlight w:val="none"/>
        </w:rPr>
        <w:sectPr>
          <w:headerReference r:id="rId6" w:type="first"/>
          <w:footerReference r:id="rId8" w:type="first"/>
          <w:headerReference r:id="rId5" w:type="default"/>
          <w:footerReference r:id="rId7" w:type="default"/>
          <w:pgSz w:w="11906" w:h="16838"/>
          <w:pgMar w:top="1304" w:right="1797" w:bottom="1247" w:left="1797" w:header="851" w:footer="851" w:gutter="0"/>
          <w:cols w:space="720" w:num="1"/>
          <w:titlePg/>
          <w:docGrid w:linePitch="312" w:charSpace="0"/>
        </w:sectPr>
      </w:pPr>
    </w:p>
    <w:p>
      <w:pPr>
        <w:snapToGrid w:val="0"/>
        <w:spacing w:before="120" w:beforeLines="50" w:after="50"/>
        <w:rPr>
          <w:rFonts w:hint="eastAsia" w:ascii="宋体" w:hAnsi="宋体" w:cs="宋体"/>
          <w:b/>
          <w:bCs/>
          <w:color w:val="auto"/>
          <w:szCs w:val="21"/>
          <w:highlight w:val="none"/>
        </w:rPr>
      </w:pPr>
      <w:r>
        <w:rPr>
          <w:rFonts w:hint="eastAsia" w:ascii="宋体" w:hAnsi="宋体" w:cs="宋体"/>
          <w:b/>
          <w:bCs/>
          <w:color w:val="auto"/>
          <w:szCs w:val="21"/>
          <w:highlight w:val="none"/>
        </w:rPr>
        <w:t>12.企业业绩表：业绩证明材料；</w:t>
      </w:r>
    </w:p>
    <w:p>
      <w:pPr>
        <w:jc w:val="center"/>
        <w:rPr>
          <w:rFonts w:hint="eastAsia" w:ascii="宋体" w:hAnsi="宋体" w:cs="宋体"/>
          <w:color w:val="auto"/>
          <w:szCs w:val="21"/>
          <w:highlight w:val="none"/>
        </w:rPr>
      </w:pPr>
    </w:p>
    <w:p>
      <w:pPr>
        <w:jc w:val="center"/>
        <w:rPr>
          <w:rFonts w:hint="eastAsia" w:ascii="宋体" w:hAnsi="宋体" w:cs="宋体"/>
          <w:b/>
          <w:bCs/>
          <w:color w:val="auto"/>
          <w:highlight w:val="none"/>
        </w:rPr>
      </w:pPr>
      <w:r>
        <w:rPr>
          <w:rFonts w:hint="eastAsia" w:ascii="宋体" w:hAnsi="宋体" w:cs="宋体"/>
          <w:b/>
          <w:bCs/>
          <w:color w:val="auto"/>
          <w:highlight w:val="none"/>
        </w:rPr>
        <w:t>企业业绩表</w:t>
      </w:r>
    </w:p>
    <w:p>
      <w:pPr>
        <w:tabs>
          <w:tab w:val="left" w:pos="3165"/>
        </w:tabs>
        <w:rPr>
          <w:rFonts w:hint="eastAsia" w:ascii="宋体" w:hAnsi="宋体" w:cs="宋体"/>
          <w:color w:val="auto"/>
          <w:szCs w:val="21"/>
          <w:highlight w:val="none"/>
        </w:rPr>
      </w:pPr>
      <w:r>
        <w:rPr>
          <w:rFonts w:hint="eastAsia" w:ascii="宋体" w:hAnsi="宋体" w:cs="宋体"/>
          <w:color w:val="auto"/>
          <w:szCs w:val="21"/>
          <w:highlight w:val="none"/>
        </w:rPr>
        <w:t>项目编号：                   项目名称：                       子包号：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783"/>
        <w:gridCol w:w="1192"/>
        <w:gridCol w:w="1192"/>
        <w:gridCol w:w="1638"/>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44" w:type="dxa"/>
            <w:noWrap w:val="0"/>
            <w:vAlign w:val="center"/>
          </w:tcPr>
          <w:p>
            <w:pPr>
              <w:tabs>
                <w:tab w:val="left" w:pos="3165"/>
              </w:tabs>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783" w:type="dxa"/>
            <w:noWrap w:val="0"/>
            <w:vAlign w:val="center"/>
          </w:tcPr>
          <w:p>
            <w:pPr>
              <w:tabs>
                <w:tab w:val="left" w:pos="3165"/>
              </w:tabs>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192" w:type="dxa"/>
            <w:noWrap w:val="0"/>
            <w:vAlign w:val="center"/>
          </w:tcPr>
          <w:p>
            <w:pPr>
              <w:tabs>
                <w:tab w:val="left" w:pos="3165"/>
              </w:tabs>
              <w:rPr>
                <w:rFonts w:hint="eastAsia" w:ascii="宋体" w:hAnsi="宋体" w:cs="宋体"/>
                <w:color w:val="auto"/>
                <w:szCs w:val="21"/>
                <w:highlight w:val="none"/>
              </w:rPr>
            </w:pPr>
            <w:r>
              <w:rPr>
                <w:rFonts w:hint="eastAsia" w:ascii="宋体" w:hAnsi="宋体" w:cs="宋体"/>
                <w:color w:val="auto"/>
                <w:szCs w:val="21"/>
                <w:highlight w:val="none"/>
              </w:rPr>
              <w:t>业主单位</w:t>
            </w:r>
          </w:p>
        </w:tc>
        <w:tc>
          <w:tcPr>
            <w:tcW w:w="1192" w:type="dxa"/>
            <w:noWrap w:val="0"/>
            <w:vAlign w:val="center"/>
          </w:tcPr>
          <w:p>
            <w:pPr>
              <w:tabs>
                <w:tab w:val="left" w:pos="3165"/>
              </w:tabs>
              <w:rPr>
                <w:rFonts w:hint="eastAsia" w:ascii="宋体" w:hAnsi="宋体" w:cs="宋体"/>
                <w:color w:val="auto"/>
                <w:szCs w:val="21"/>
                <w:highlight w:val="none"/>
              </w:rPr>
            </w:pPr>
            <w:r>
              <w:rPr>
                <w:rFonts w:hint="eastAsia" w:ascii="宋体" w:hAnsi="宋体" w:cs="宋体"/>
                <w:color w:val="auto"/>
                <w:szCs w:val="21"/>
                <w:highlight w:val="none"/>
              </w:rPr>
              <w:t>合同金额</w:t>
            </w:r>
          </w:p>
        </w:tc>
        <w:tc>
          <w:tcPr>
            <w:tcW w:w="1638" w:type="dxa"/>
            <w:noWrap w:val="0"/>
            <w:vAlign w:val="center"/>
          </w:tcPr>
          <w:p>
            <w:pPr>
              <w:tabs>
                <w:tab w:val="left" w:pos="3165"/>
              </w:tabs>
              <w:rPr>
                <w:rFonts w:hint="eastAsia" w:ascii="宋体" w:hAnsi="宋体" w:cs="宋体"/>
                <w:color w:val="auto"/>
                <w:szCs w:val="21"/>
                <w:highlight w:val="none"/>
              </w:rPr>
            </w:pPr>
            <w:r>
              <w:rPr>
                <w:rFonts w:hint="eastAsia" w:ascii="宋体" w:hAnsi="宋体" w:cs="宋体"/>
                <w:color w:val="auto"/>
                <w:szCs w:val="21"/>
                <w:highlight w:val="none"/>
              </w:rPr>
              <w:t>合同签订日期</w:t>
            </w:r>
          </w:p>
        </w:tc>
        <w:tc>
          <w:tcPr>
            <w:tcW w:w="1869" w:type="dxa"/>
            <w:noWrap w:val="0"/>
            <w:vAlign w:val="center"/>
          </w:tcPr>
          <w:p>
            <w:pPr>
              <w:tabs>
                <w:tab w:val="left" w:pos="3165"/>
              </w:tabs>
              <w:jc w:val="center"/>
              <w:rPr>
                <w:rFonts w:hint="eastAsia" w:ascii="宋体" w:hAnsi="宋体" w:cs="宋体"/>
                <w:color w:val="auto"/>
                <w:szCs w:val="21"/>
                <w:highlight w:val="none"/>
              </w:rPr>
            </w:pPr>
            <w:r>
              <w:rPr>
                <w:rFonts w:hint="eastAsia" w:ascii="宋体" w:hAnsi="宋体" w:cs="宋体"/>
                <w:color w:val="auto"/>
                <w:szCs w:val="21"/>
                <w:highlight w:val="none"/>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tabs>
                <w:tab w:val="left" w:pos="3165"/>
              </w:tabs>
              <w:ind w:firstLine="420"/>
              <w:rPr>
                <w:rFonts w:hint="eastAsia" w:ascii="宋体" w:hAnsi="宋体" w:cs="宋体"/>
                <w:color w:val="auto"/>
                <w:szCs w:val="21"/>
                <w:highlight w:val="none"/>
              </w:rPr>
            </w:pPr>
          </w:p>
        </w:tc>
        <w:tc>
          <w:tcPr>
            <w:tcW w:w="1783" w:type="dxa"/>
            <w:noWrap w:val="0"/>
            <w:vAlign w:val="top"/>
          </w:tcPr>
          <w:p>
            <w:pPr>
              <w:tabs>
                <w:tab w:val="left" w:pos="3165"/>
              </w:tabs>
              <w:ind w:firstLine="420"/>
              <w:rPr>
                <w:rFonts w:hint="eastAsia" w:ascii="宋体" w:hAnsi="宋体" w:cs="宋体"/>
                <w:color w:val="auto"/>
                <w:szCs w:val="21"/>
                <w:highlight w:val="none"/>
              </w:rPr>
            </w:pPr>
          </w:p>
        </w:tc>
        <w:tc>
          <w:tcPr>
            <w:tcW w:w="1192" w:type="dxa"/>
            <w:noWrap w:val="0"/>
            <w:vAlign w:val="top"/>
          </w:tcPr>
          <w:p>
            <w:pPr>
              <w:tabs>
                <w:tab w:val="left" w:pos="3165"/>
              </w:tabs>
              <w:ind w:firstLine="420"/>
              <w:rPr>
                <w:rFonts w:hint="eastAsia" w:ascii="宋体" w:hAnsi="宋体" w:cs="宋体"/>
                <w:color w:val="auto"/>
                <w:szCs w:val="21"/>
                <w:highlight w:val="none"/>
              </w:rPr>
            </w:pPr>
          </w:p>
        </w:tc>
        <w:tc>
          <w:tcPr>
            <w:tcW w:w="1192" w:type="dxa"/>
            <w:noWrap w:val="0"/>
            <w:vAlign w:val="top"/>
          </w:tcPr>
          <w:p>
            <w:pPr>
              <w:tabs>
                <w:tab w:val="left" w:pos="3165"/>
              </w:tabs>
              <w:ind w:firstLine="420"/>
              <w:rPr>
                <w:rFonts w:hint="eastAsia" w:ascii="宋体" w:hAnsi="宋体" w:cs="宋体"/>
                <w:color w:val="auto"/>
                <w:szCs w:val="21"/>
                <w:highlight w:val="none"/>
              </w:rPr>
            </w:pPr>
          </w:p>
        </w:tc>
        <w:tc>
          <w:tcPr>
            <w:tcW w:w="1638" w:type="dxa"/>
            <w:noWrap w:val="0"/>
            <w:vAlign w:val="top"/>
          </w:tcPr>
          <w:p>
            <w:pPr>
              <w:tabs>
                <w:tab w:val="left" w:pos="3165"/>
              </w:tabs>
              <w:ind w:firstLine="420"/>
              <w:rPr>
                <w:rFonts w:hint="eastAsia" w:ascii="宋体" w:hAnsi="宋体" w:cs="宋体"/>
                <w:color w:val="auto"/>
                <w:szCs w:val="21"/>
                <w:highlight w:val="none"/>
              </w:rPr>
            </w:pPr>
          </w:p>
        </w:tc>
        <w:tc>
          <w:tcPr>
            <w:tcW w:w="1869" w:type="dxa"/>
            <w:noWrap w:val="0"/>
            <w:vAlign w:val="top"/>
          </w:tcPr>
          <w:p>
            <w:pPr>
              <w:tabs>
                <w:tab w:val="left" w:pos="3165"/>
              </w:tabs>
              <w:ind w:firstLine="42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tabs>
                <w:tab w:val="left" w:pos="3165"/>
              </w:tabs>
              <w:ind w:firstLine="420"/>
              <w:rPr>
                <w:rFonts w:hint="eastAsia" w:ascii="宋体" w:hAnsi="宋体" w:cs="宋体"/>
                <w:color w:val="auto"/>
                <w:szCs w:val="21"/>
                <w:highlight w:val="none"/>
              </w:rPr>
            </w:pPr>
          </w:p>
        </w:tc>
        <w:tc>
          <w:tcPr>
            <w:tcW w:w="1783" w:type="dxa"/>
            <w:noWrap w:val="0"/>
            <w:vAlign w:val="top"/>
          </w:tcPr>
          <w:p>
            <w:pPr>
              <w:tabs>
                <w:tab w:val="left" w:pos="3165"/>
              </w:tabs>
              <w:ind w:firstLine="420"/>
              <w:rPr>
                <w:rFonts w:hint="eastAsia" w:ascii="宋体" w:hAnsi="宋体" w:cs="宋体"/>
                <w:color w:val="auto"/>
                <w:szCs w:val="21"/>
                <w:highlight w:val="none"/>
              </w:rPr>
            </w:pPr>
          </w:p>
        </w:tc>
        <w:tc>
          <w:tcPr>
            <w:tcW w:w="1192" w:type="dxa"/>
            <w:noWrap w:val="0"/>
            <w:vAlign w:val="top"/>
          </w:tcPr>
          <w:p>
            <w:pPr>
              <w:tabs>
                <w:tab w:val="left" w:pos="3165"/>
              </w:tabs>
              <w:ind w:firstLine="420"/>
              <w:rPr>
                <w:rFonts w:hint="eastAsia" w:ascii="宋体" w:hAnsi="宋体" w:cs="宋体"/>
                <w:color w:val="auto"/>
                <w:szCs w:val="21"/>
                <w:highlight w:val="none"/>
              </w:rPr>
            </w:pPr>
          </w:p>
        </w:tc>
        <w:tc>
          <w:tcPr>
            <w:tcW w:w="1192" w:type="dxa"/>
            <w:noWrap w:val="0"/>
            <w:vAlign w:val="top"/>
          </w:tcPr>
          <w:p>
            <w:pPr>
              <w:tabs>
                <w:tab w:val="left" w:pos="3165"/>
              </w:tabs>
              <w:ind w:firstLine="420"/>
              <w:rPr>
                <w:rFonts w:hint="eastAsia" w:ascii="宋体" w:hAnsi="宋体" w:cs="宋体"/>
                <w:color w:val="auto"/>
                <w:szCs w:val="21"/>
                <w:highlight w:val="none"/>
              </w:rPr>
            </w:pPr>
          </w:p>
        </w:tc>
        <w:tc>
          <w:tcPr>
            <w:tcW w:w="1638" w:type="dxa"/>
            <w:noWrap w:val="0"/>
            <w:vAlign w:val="top"/>
          </w:tcPr>
          <w:p>
            <w:pPr>
              <w:tabs>
                <w:tab w:val="left" w:pos="3165"/>
              </w:tabs>
              <w:ind w:firstLine="420"/>
              <w:rPr>
                <w:rFonts w:hint="eastAsia" w:ascii="宋体" w:hAnsi="宋体" w:cs="宋体"/>
                <w:color w:val="auto"/>
                <w:szCs w:val="21"/>
                <w:highlight w:val="none"/>
              </w:rPr>
            </w:pPr>
          </w:p>
        </w:tc>
        <w:tc>
          <w:tcPr>
            <w:tcW w:w="1869" w:type="dxa"/>
            <w:noWrap w:val="0"/>
            <w:vAlign w:val="top"/>
          </w:tcPr>
          <w:p>
            <w:pPr>
              <w:tabs>
                <w:tab w:val="left" w:pos="3165"/>
              </w:tabs>
              <w:ind w:firstLine="42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tabs>
                <w:tab w:val="left" w:pos="3165"/>
              </w:tabs>
              <w:ind w:firstLine="420"/>
              <w:rPr>
                <w:rFonts w:hint="eastAsia" w:ascii="宋体" w:hAnsi="宋体" w:cs="宋体"/>
                <w:color w:val="auto"/>
                <w:szCs w:val="21"/>
                <w:highlight w:val="none"/>
              </w:rPr>
            </w:pPr>
          </w:p>
        </w:tc>
        <w:tc>
          <w:tcPr>
            <w:tcW w:w="1783" w:type="dxa"/>
            <w:noWrap w:val="0"/>
            <w:vAlign w:val="top"/>
          </w:tcPr>
          <w:p>
            <w:pPr>
              <w:tabs>
                <w:tab w:val="left" w:pos="3165"/>
              </w:tabs>
              <w:ind w:firstLine="420"/>
              <w:rPr>
                <w:rFonts w:hint="eastAsia" w:ascii="宋体" w:hAnsi="宋体" w:cs="宋体"/>
                <w:color w:val="auto"/>
                <w:szCs w:val="21"/>
                <w:highlight w:val="none"/>
              </w:rPr>
            </w:pPr>
          </w:p>
        </w:tc>
        <w:tc>
          <w:tcPr>
            <w:tcW w:w="1192" w:type="dxa"/>
            <w:noWrap w:val="0"/>
            <w:vAlign w:val="top"/>
          </w:tcPr>
          <w:p>
            <w:pPr>
              <w:tabs>
                <w:tab w:val="left" w:pos="3165"/>
              </w:tabs>
              <w:ind w:firstLine="420"/>
              <w:rPr>
                <w:rFonts w:hint="eastAsia" w:ascii="宋体" w:hAnsi="宋体" w:cs="宋体"/>
                <w:color w:val="auto"/>
                <w:szCs w:val="21"/>
                <w:highlight w:val="none"/>
              </w:rPr>
            </w:pPr>
          </w:p>
        </w:tc>
        <w:tc>
          <w:tcPr>
            <w:tcW w:w="1192" w:type="dxa"/>
            <w:noWrap w:val="0"/>
            <w:vAlign w:val="top"/>
          </w:tcPr>
          <w:p>
            <w:pPr>
              <w:tabs>
                <w:tab w:val="left" w:pos="3165"/>
              </w:tabs>
              <w:ind w:firstLine="420"/>
              <w:rPr>
                <w:rFonts w:hint="eastAsia" w:ascii="宋体" w:hAnsi="宋体" w:cs="宋体"/>
                <w:color w:val="auto"/>
                <w:szCs w:val="21"/>
                <w:highlight w:val="none"/>
              </w:rPr>
            </w:pPr>
          </w:p>
        </w:tc>
        <w:tc>
          <w:tcPr>
            <w:tcW w:w="1638" w:type="dxa"/>
            <w:noWrap w:val="0"/>
            <w:vAlign w:val="top"/>
          </w:tcPr>
          <w:p>
            <w:pPr>
              <w:tabs>
                <w:tab w:val="left" w:pos="3165"/>
              </w:tabs>
              <w:ind w:firstLine="420"/>
              <w:rPr>
                <w:rFonts w:hint="eastAsia" w:ascii="宋体" w:hAnsi="宋体" w:cs="宋体"/>
                <w:color w:val="auto"/>
                <w:szCs w:val="21"/>
                <w:highlight w:val="none"/>
              </w:rPr>
            </w:pPr>
          </w:p>
        </w:tc>
        <w:tc>
          <w:tcPr>
            <w:tcW w:w="1869" w:type="dxa"/>
            <w:noWrap w:val="0"/>
            <w:vAlign w:val="top"/>
          </w:tcPr>
          <w:p>
            <w:pPr>
              <w:tabs>
                <w:tab w:val="left" w:pos="3165"/>
              </w:tabs>
              <w:ind w:firstLine="42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tabs>
                <w:tab w:val="left" w:pos="3165"/>
              </w:tabs>
              <w:ind w:firstLine="420"/>
              <w:rPr>
                <w:rFonts w:hint="eastAsia" w:ascii="宋体" w:hAnsi="宋体" w:cs="宋体"/>
                <w:color w:val="auto"/>
                <w:szCs w:val="21"/>
                <w:highlight w:val="none"/>
              </w:rPr>
            </w:pPr>
          </w:p>
        </w:tc>
        <w:tc>
          <w:tcPr>
            <w:tcW w:w="1783" w:type="dxa"/>
            <w:noWrap w:val="0"/>
            <w:vAlign w:val="top"/>
          </w:tcPr>
          <w:p>
            <w:pPr>
              <w:tabs>
                <w:tab w:val="left" w:pos="3165"/>
              </w:tabs>
              <w:ind w:firstLine="420"/>
              <w:rPr>
                <w:rFonts w:hint="eastAsia" w:ascii="宋体" w:hAnsi="宋体" w:cs="宋体"/>
                <w:color w:val="auto"/>
                <w:szCs w:val="21"/>
                <w:highlight w:val="none"/>
              </w:rPr>
            </w:pPr>
          </w:p>
        </w:tc>
        <w:tc>
          <w:tcPr>
            <w:tcW w:w="1192" w:type="dxa"/>
            <w:noWrap w:val="0"/>
            <w:vAlign w:val="top"/>
          </w:tcPr>
          <w:p>
            <w:pPr>
              <w:tabs>
                <w:tab w:val="left" w:pos="3165"/>
              </w:tabs>
              <w:ind w:firstLine="420"/>
              <w:rPr>
                <w:rFonts w:hint="eastAsia" w:ascii="宋体" w:hAnsi="宋体" w:cs="宋体"/>
                <w:color w:val="auto"/>
                <w:szCs w:val="21"/>
                <w:highlight w:val="none"/>
              </w:rPr>
            </w:pPr>
          </w:p>
        </w:tc>
        <w:tc>
          <w:tcPr>
            <w:tcW w:w="1192" w:type="dxa"/>
            <w:noWrap w:val="0"/>
            <w:vAlign w:val="top"/>
          </w:tcPr>
          <w:p>
            <w:pPr>
              <w:tabs>
                <w:tab w:val="left" w:pos="3165"/>
              </w:tabs>
              <w:ind w:firstLine="420"/>
              <w:rPr>
                <w:rFonts w:hint="eastAsia" w:ascii="宋体" w:hAnsi="宋体" w:cs="宋体"/>
                <w:color w:val="auto"/>
                <w:szCs w:val="21"/>
                <w:highlight w:val="none"/>
              </w:rPr>
            </w:pPr>
          </w:p>
        </w:tc>
        <w:tc>
          <w:tcPr>
            <w:tcW w:w="1638" w:type="dxa"/>
            <w:noWrap w:val="0"/>
            <w:vAlign w:val="top"/>
          </w:tcPr>
          <w:p>
            <w:pPr>
              <w:tabs>
                <w:tab w:val="left" w:pos="3165"/>
              </w:tabs>
              <w:ind w:firstLine="420"/>
              <w:rPr>
                <w:rFonts w:hint="eastAsia" w:ascii="宋体" w:hAnsi="宋体" w:cs="宋体"/>
                <w:color w:val="auto"/>
                <w:szCs w:val="21"/>
                <w:highlight w:val="none"/>
              </w:rPr>
            </w:pPr>
          </w:p>
        </w:tc>
        <w:tc>
          <w:tcPr>
            <w:tcW w:w="1869" w:type="dxa"/>
            <w:noWrap w:val="0"/>
            <w:vAlign w:val="top"/>
          </w:tcPr>
          <w:p>
            <w:pPr>
              <w:tabs>
                <w:tab w:val="left" w:pos="3165"/>
              </w:tabs>
              <w:ind w:firstLine="42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tabs>
                <w:tab w:val="left" w:pos="3165"/>
              </w:tabs>
              <w:ind w:firstLine="420"/>
              <w:rPr>
                <w:rFonts w:hint="eastAsia" w:ascii="宋体" w:hAnsi="宋体" w:cs="宋体"/>
                <w:color w:val="auto"/>
                <w:szCs w:val="21"/>
                <w:highlight w:val="none"/>
              </w:rPr>
            </w:pPr>
          </w:p>
        </w:tc>
        <w:tc>
          <w:tcPr>
            <w:tcW w:w="1783" w:type="dxa"/>
            <w:noWrap w:val="0"/>
            <w:vAlign w:val="top"/>
          </w:tcPr>
          <w:p>
            <w:pPr>
              <w:tabs>
                <w:tab w:val="left" w:pos="3165"/>
              </w:tabs>
              <w:ind w:firstLine="420"/>
              <w:rPr>
                <w:rFonts w:hint="eastAsia" w:ascii="宋体" w:hAnsi="宋体" w:cs="宋体"/>
                <w:color w:val="auto"/>
                <w:szCs w:val="21"/>
                <w:highlight w:val="none"/>
              </w:rPr>
            </w:pPr>
          </w:p>
        </w:tc>
        <w:tc>
          <w:tcPr>
            <w:tcW w:w="1192" w:type="dxa"/>
            <w:noWrap w:val="0"/>
            <w:vAlign w:val="top"/>
          </w:tcPr>
          <w:p>
            <w:pPr>
              <w:tabs>
                <w:tab w:val="left" w:pos="3165"/>
              </w:tabs>
              <w:ind w:firstLine="420"/>
              <w:rPr>
                <w:rFonts w:hint="eastAsia" w:ascii="宋体" w:hAnsi="宋体" w:cs="宋体"/>
                <w:color w:val="auto"/>
                <w:szCs w:val="21"/>
                <w:highlight w:val="none"/>
              </w:rPr>
            </w:pPr>
          </w:p>
        </w:tc>
        <w:tc>
          <w:tcPr>
            <w:tcW w:w="1192" w:type="dxa"/>
            <w:noWrap w:val="0"/>
            <w:vAlign w:val="top"/>
          </w:tcPr>
          <w:p>
            <w:pPr>
              <w:tabs>
                <w:tab w:val="left" w:pos="3165"/>
              </w:tabs>
              <w:ind w:firstLine="420"/>
              <w:rPr>
                <w:rFonts w:hint="eastAsia" w:ascii="宋体" w:hAnsi="宋体" w:cs="宋体"/>
                <w:color w:val="auto"/>
                <w:szCs w:val="21"/>
                <w:highlight w:val="none"/>
              </w:rPr>
            </w:pPr>
          </w:p>
        </w:tc>
        <w:tc>
          <w:tcPr>
            <w:tcW w:w="1638" w:type="dxa"/>
            <w:noWrap w:val="0"/>
            <w:vAlign w:val="top"/>
          </w:tcPr>
          <w:p>
            <w:pPr>
              <w:tabs>
                <w:tab w:val="left" w:pos="3165"/>
              </w:tabs>
              <w:ind w:firstLine="420"/>
              <w:rPr>
                <w:rFonts w:hint="eastAsia" w:ascii="宋体" w:hAnsi="宋体" w:cs="宋体"/>
                <w:color w:val="auto"/>
                <w:szCs w:val="21"/>
                <w:highlight w:val="none"/>
              </w:rPr>
            </w:pPr>
          </w:p>
        </w:tc>
        <w:tc>
          <w:tcPr>
            <w:tcW w:w="1869" w:type="dxa"/>
            <w:noWrap w:val="0"/>
            <w:vAlign w:val="top"/>
          </w:tcPr>
          <w:p>
            <w:pPr>
              <w:tabs>
                <w:tab w:val="left" w:pos="3165"/>
              </w:tabs>
              <w:ind w:firstLine="42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tabs>
                <w:tab w:val="left" w:pos="3165"/>
              </w:tabs>
              <w:ind w:firstLine="420"/>
              <w:rPr>
                <w:rFonts w:hint="eastAsia" w:ascii="宋体" w:hAnsi="宋体" w:cs="宋体"/>
                <w:color w:val="auto"/>
                <w:szCs w:val="21"/>
                <w:highlight w:val="none"/>
              </w:rPr>
            </w:pPr>
          </w:p>
        </w:tc>
        <w:tc>
          <w:tcPr>
            <w:tcW w:w="1783" w:type="dxa"/>
            <w:noWrap w:val="0"/>
            <w:vAlign w:val="top"/>
          </w:tcPr>
          <w:p>
            <w:pPr>
              <w:tabs>
                <w:tab w:val="left" w:pos="3165"/>
              </w:tabs>
              <w:ind w:firstLine="420"/>
              <w:rPr>
                <w:rFonts w:hint="eastAsia" w:ascii="宋体" w:hAnsi="宋体" w:cs="宋体"/>
                <w:color w:val="auto"/>
                <w:szCs w:val="21"/>
                <w:highlight w:val="none"/>
              </w:rPr>
            </w:pPr>
          </w:p>
        </w:tc>
        <w:tc>
          <w:tcPr>
            <w:tcW w:w="1192" w:type="dxa"/>
            <w:noWrap w:val="0"/>
            <w:vAlign w:val="top"/>
          </w:tcPr>
          <w:p>
            <w:pPr>
              <w:tabs>
                <w:tab w:val="left" w:pos="3165"/>
              </w:tabs>
              <w:ind w:firstLine="420"/>
              <w:rPr>
                <w:rFonts w:hint="eastAsia" w:ascii="宋体" w:hAnsi="宋体" w:cs="宋体"/>
                <w:color w:val="auto"/>
                <w:szCs w:val="21"/>
                <w:highlight w:val="none"/>
              </w:rPr>
            </w:pPr>
          </w:p>
        </w:tc>
        <w:tc>
          <w:tcPr>
            <w:tcW w:w="1192" w:type="dxa"/>
            <w:noWrap w:val="0"/>
            <w:vAlign w:val="top"/>
          </w:tcPr>
          <w:p>
            <w:pPr>
              <w:tabs>
                <w:tab w:val="left" w:pos="3165"/>
              </w:tabs>
              <w:ind w:firstLine="420"/>
              <w:rPr>
                <w:rFonts w:hint="eastAsia" w:ascii="宋体" w:hAnsi="宋体" w:cs="宋体"/>
                <w:color w:val="auto"/>
                <w:szCs w:val="21"/>
                <w:highlight w:val="none"/>
              </w:rPr>
            </w:pPr>
          </w:p>
        </w:tc>
        <w:tc>
          <w:tcPr>
            <w:tcW w:w="1638" w:type="dxa"/>
            <w:noWrap w:val="0"/>
            <w:vAlign w:val="top"/>
          </w:tcPr>
          <w:p>
            <w:pPr>
              <w:tabs>
                <w:tab w:val="left" w:pos="3165"/>
              </w:tabs>
              <w:ind w:firstLine="420"/>
              <w:rPr>
                <w:rFonts w:hint="eastAsia" w:ascii="宋体" w:hAnsi="宋体" w:cs="宋体"/>
                <w:color w:val="auto"/>
                <w:szCs w:val="21"/>
                <w:highlight w:val="none"/>
              </w:rPr>
            </w:pPr>
          </w:p>
        </w:tc>
        <w:tc>
          <w:tcPr>
            <w:tcW w:w="1869" w:type="dxa"/>
            <w:noWrap w:val="0"/>
            <w:vAlign w:val="top"/>
          </w:tcPr>
          <w:p>
            <w:pPr>
              <w:tabs>
                <w:tab w:val="left" w:pos="3165"/>
              </w:tabs>
              <w:ind w:firstLine="42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tabs>
                <w:tab w:val="left" w:pos="3165"/>
              </w:tabs>
              <w:ind w:firstLine="420"/>
              <w:rPr>
                <w:rFonts w:hint="eastAsia" w:ascii="宋体" w:hAnsi="宋体" w:cs="宋体"/>
                <w:color w:val="auto"/>
                <w:szCs w:val="21"/>
                <w:highlight w:val="none"/>
              </w:rPr>
            </w:pPr>
          </w:p>
        </w:tc>
        <w:tc>
          <w:tcPr>
            <w:tcW w:w="1783" w:type="dxa"/>
            <w:noWrap w:val="0"/>
            <w:vAlign w:val="top"/>
          </w:tcPr>
          <w:p>
            <w:pPr>
              <w:tabs>
                <w:tab w:val="left" w:pos="3165"/>
              </w:tabs>
              <w:ind w:firstLine="420"/>
              <w:rPr>
                <w:rFonts w:hint="eastAsia" w:ascii="宋体" w:hAnsi="宋体" w:cs="宋体"/>
                <w:color w:val="auto"/>
                <w:szCs w:val="21"/>
                <w:highlight w:val="none"/>
              </w:rPr>
            </w:pPr>
          </w:p>
        </w:tc>
        <w:tc>
          <w:tcPr>
            <w:tcW w:w="1192" w:type="dxa"/>
            <w:noWrap w:val="0"/>
            <w:vAlign w:val="top"/>
          </w:tcPr>
          <w:p>
            <w:pPr>
              <w:tabs>
                <w:tab w:val="left" w:pos="3165"/>
              </w:tabs>
              <w:ind w:firstLine="420"/>
              <w:rPr>
                <w:rFonts w:hint="eastAsia" w:ascii="宋体" w:hAnsi="宋体" w:cs="宋体"/>
                <w:color w:val="auto"/>
                <w:szCs w:val="21"/>
                <w:highlight w:val="none"/>
              </w:rPr>
            </w:pPr>
          </w:p>
        </w:tc>
        <w:tc>
          <w:tcPr>
            <w:tcW w:w="1192" w:type="dxa"/>
            <w:noWrap w:val="0"/>
            <w:vAlign w:val="top"/>
          </w:tcPr>
          <w:p>
            <w:pPr>
              <w:tabs>
                <w:tab w:val="left" w:pos="3165"/>
              </w:tabs>
              <w:ind w:firstLine="420"/>
              <w:rPr>
                <w:rFonts w:hint="eastAsia" w:ascii="宋体" w:hAnsi="宋体" w:cs="宋体"/>
                <w:color w:val="auto"/>
                <w:szCs w:val="21"/>
                <w:highlight w:val="none"/>
              </w:rPr>
            </w:pPr>
          </w:p>
        </w:tc>
        <w:tc>
          <w:tcPr>
            <w:tcW w:w="1638" w:type="dxa"/>
            <w:noWrap w:val="0"/>
            <w:vAlign w:val="top"/>
          </w:tcPr>
          <w:p>
            <w:pPr>
              <w:tabs>
                <w:tab w:val="left" w:pos="3165"/>
              </w:tabs>
              <w:ind w:firstLine="420"/>
              <w:rPr>
                <w:rFonts w:hint="eastAsia" w:ascii="宋体" w:hAnsi="宋体" w:cs="宋体"/>
                <w:color w:val="auto"/>
                <w:szCs w:val="21"/>
                <w:highlight w:val="none"/>
              </w:rPr>
            </w:pPr>
          </w:p>
        </w:tc>
        <w:tc>
          <w:tcPr>
            <w:tcW w:w="1869" w:type="dxa"/>
            <w:noWrap w:val="0"/>
            <w:vAlign w:val="top"/>
          </w:tcPr>
          <w:p>
            <w:pPr>
              <w:tabs>
                <w:tab w:val="left" w:pos="3165"/>
              </w:tabs>
              <w:ind w:firstLine="42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tabs>
                <w:tab w:val="left" w:pos="3165"/>
              </w:tabs>
              <w:ind w:firstLine="420"/>
              <w:rPr>
                <w:rFonts w:hint="eastAsia" w:ascii="宋体" w:hAnsi="宋体" w:cs="宋体"/>
                <w:color w:val="auto"/>
                <w:szCs w:val="21"/>
                <w:highlight w:val="none"/>
              </w:rPr>
            </w:pPr>
          </w:p>
        </w:tc>
        <w:tc>
          <w:tcPr>
            <w:tcW w:w="1783" w:type="dxa"/>
            <w:noWrap w:val="0"/>
            <w:vAlign w:val="top"/>
          </w:tcPr>
          <w:p>
            <w:pPr>
              <w:tabs>
                <w:tab w:val="left" w:pos="3165"/>
              </w:tabs>
              <w:ind w:firstLine="420"/>
              <w:rPr>
                <w:rFonts w:hint="eastAsia" w:ascii="宋体" w:hAnsi="宋体" w:cs="宋体"/>
                <w:color w:val="auto"/>
                <w:szCs w:val="21"/>
                <w:highlight w:val="none"/>
              </w:rPr>
            </w:pPr>
          </w:p>
        </w:tc>
        <w:tc>
          <w:tcPr>
            <w:tcW w:w="1192" w:type="dxa"/>
            <w:noWrap w:val="0"/>
            <w:vAlign w:val="top"/>
          </w:tcPr>
          <w:p>
            <w:pPr>
              <w:tabs>
                <w:tab w:val="left" w:pos="3165"/>
              </w:tabs>
              <w:ind w:firstLine="420"/>
              <w:rPr>
                <w:rFonts w:hint="eastAsia" w:ascii="宋体" w:hAnsi="宋体" w:cs="宋体"/>
                <w:color w:val="auto"/>
                <w:szCs w:val="21"/>
                <w:highlight w:val="none"/>
              </w:rPr>
            </w:pPr>
          </w:p>
        </w:tc>
        <w:tc>
          <w:tcPr>
            <w:tcW w:w="1192" w:type="dxa"/>
            <w:noWrap w:val="0"/>
            <w:vAlign w:val="top"/>
          </w:tcPr>
          <w:p>
            <w:pPr>
              <w:tabs>
                <w:tab w:val="left" w:pos="3165"/>
              </w:tabs>
              <w:ind w:firstLine="420"/>
              <w:rPr>
                <w:rFonts w:hint="eastAsia" w:ascii="宋体" w:hAnsi="宋体" w:cs="宋体"/>
                <w:color w:val="auto"/>
                <w:szCs w:val="21"/>
                <w:highlight w:val="none"/>
              </w:rPr>
            </w:pPr>
          </w:p>
        </w:tc>
        <w:tc>
          <w:tcPr>
            <w:tcW w:w="1638" w:type="dxa"/>
            <w:noWrap w:val="0"/>
            <w:vAlign w:val="top"/>
          </w:tcPr>
          <w:p>
            <w:pPr>
              <w:tabs>
                <w:tab w:val="left" w:pos="3165"/>
              </w:tabs>
              <w:ind w:firstLine="420"/>
              <w:rPr>
                <w:rFonts w:hint="eastAsia" w:ascii="宋体" w:hAnsi="宋体" w:cs="宋体"/>
                <w:color w:val="auto"/>
                <w:szCs w:val="21"/>
                <w:highlight w:val="none"/>
              </w:rPr>
            </w:pPr>
          </w:p>
        </w:tc>
        <w:tc>
          <w:tcPr>
            <w:tcW w:w="1869" w:type="dxa"/>
            <w:noWrap w:val="0"/>
            <w:vAlign w:val="top"/>
          </w:tcPr>
          <w:p>
            <w:pPr>
              <w:tabs>
                <w:tab w:val="left" w:pos="3165"/>
              </w:tabs>
              <w:ind w:firstLine="42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tabs>
                <w:tab w:val="left" w:pos="3165"/>
              </w:tabs>
              <w:ind w:firstLine="420"/>
              <w:rPr>
                <w:rFonts w:hint="eastAsia" w:ascii="宋体" w:hAnsi="宋体" w:cs="宋体"/>
                <w:color w:val="auto"/>
                <w:szCs w:val="21"/>
                <w:highlight w:val="none"/>
              </w:rPr>
            </w:pPr>
          </w:p>
        </w:tc>
        <w:tc>
          <w:tcPr>
            <w:tcW w:w="1783" w:type="dxa"/>
            <w:noWrap w:val="0"/>
            <w:vAlign w:val="top"/>
          </w:tcPr>
          <w:p>
            <w:pPr>
              <w:tabs>
                <w:tab w:val="left" w:pos="3165"/>
              </w:tabs>
              <w:ind w:firstLine="420"/>
              <w:rPr>
                <w:rFonts w:hint="eastAsia" w:ascii="宋体" w:hAnsi="宋体" w:cs="宋体"/>
                <w:color w:val="auto"/>
                <w:szCs w:val="21"/>
                <w:highlight w:val="none"/>
              </w:rPr>
            </w:pPr>
          </w:p>
        </w:tc>
        <w:tc>
          <w:tcPr>
            <w:tcW w:w="1192" w:type="dxa"/>
            <w:noWrap w:val="0"/>
            <w:vAlign w:val="top"/>
          </w:tcPr>
          <w:p>
            <w:pPr>
              <w:tabs>
                <w:tab w:val="left" w:pos="3165"/>
              </w:tabs>
              <w:ind w:firstLine="420"/>
              <w:rPr>
                <w:rFonts w:hint="eastAsia" w:ascii="宋体" w:hAnsi="宋体" w:cs="宋体"/>
                <w:color w:val="auto"/>
                <w:szCs w:val="21"/>
                <w:highlight w:val="none"/>
              </w:rPr>
            </w:pPr>
          </w:p>
        </w:tc>
        <w:tc>
          <w:tcPr>
            <w:tcW w:w="1192" w:type="dxa"/>
            <w:noWrap w:val="0"/>
            <w:vAlign w:val="top"/>
          </w:tcPr>
          <w:p>
            <w:pPr>
              <w:tabs>
                <w:tab w:val="left" w:pos="3165"/>
              </w:tabs>
              <w:ind w:firstLine="420"/>
              <w:rPr>
                <w:rFonts w:hint="eastAsia" w:ascii="宋体" w:hAnsi="宋体" w:cs="宋体"/>
                <w:color w:val="auto"/>
                <w:szCs w:val="21"/>
                <w:highlight w:val="none"/>
              </w:rPr>
            </w:pPr>
          </w:p>
        </w:tc>
        <w:tc>
          <w:tcPr>
            <w:tcW w:w="1638" w:type="dxa"/>
            <w:noWrap w:val="0"/>
            <w:vAlign w:val="top"/>
          </w:tcPr>
          <w:p>
            <w:pPr>
              <w:tabs>
                <w:tab w:val="left" w:pos="3165"/>
              </w:tabs>
              <w:ind w:firstLine="420"/>
              <w:rPr>
                <w:rFonts w:hint="eastAsia" w:ascii="宋体" w:hAnsi="宋体" w:cs="宋体"/>
                <w:color w:val="auto"/>
                <w:szCs w:val="21"/>
                <w:highlight w:val="none"/>
              </w:rPr>
            </w:pPr>
          </w:p>
        </w:tc>
        <w:tc>
          <w:tcPr>
            <w:tcW w:w="1869" w:type="dxa"/>
            <w:noWrap w:val="0"/>
            <w:vAlign w:val="top"/>
          </w:tcPr>
          <w:p>
            <w:pPr>
              <w:tabs>
                <w:tab w:val="left" w:pos="3165"/>
              </w:tabs>
              <w:ind w:firstLine="42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tabs>
                <w:tab w:val="left" w:pos="3165"/>
              </w:tabs>
              <w:ind w:firstLine="420"/>
              <w:rPr>
                <w:rFonts w:hint="eastAsia" w:ascii="宋体" w:hAnsi="宋体" w:cs="宋体"/>
                <w:color w:val="auto"/>
                <w:szCs w:val="21"/>
                <w:highlight w:val="none"/>
              </w:rPr>
            </w:pPr>
          </w:p>
        </w:tc>
        <w:tc>
          <w:tcPr>
            <w:tcW w:w="1783" w:type="dxa"/>
            <w:noWrap w:val="0"/>
            <w:vAlign w:val="top"/>
          </w:tcPr>
          <w:p>
            <w:pPr>
              <w:tabs>
                <w:tab w:val="left" w:pos="3165"/>
              </w:tabs>
              <w:ind w:firstLine="420"/>
              <w:rPr>
                <w:rFonts w:hint="eastAsia" w:ascii="宋体" w:hAnsi="宋体" w:cs="宋体"/>
                <w:color w:val="auto"/>
                <w:szCs w:val="21"/>
                <w:highlight w:val="none"/>
              </w:rPr>
            </w:pPr>
          </w:p>
        </w:tc>
        <w:tc>
          <w:tcPr>
            <w:tcW w:w="1192" w:type="dxa"/>
            <w:noWrap w:val="0"/>
            <w:vAlign w:val="top"/>
          </w:tcPr>
          <w:p>
            <w:pPr>
              <w:tabs>
                <w:tab w:val="left" w:pos="3165"/>
              </w:tabs>
              <w:ind w:firstLine="420"/>
              <w:rPr>
                <w:rFonts w:hint="eastAsia" w:ascii="宋体" w:hAnsi="宋体" w:cs="宋体"/>
                <w:color w:val="auto"/>
                <w:szCs w:val="21"/>
                <w:highlight w:val="none"/>
              </w:rPr>
            </w:pPr>
          </w:p>
        </w:tc>
        <w:tc>
          <w:tcPr>
            <w:tcW w:w="1192" w:type="dxa"/>
            <w:noWrap w:val="0"/>
            <w:vAlign w:val="top"/>
          </w:tcPr>
          <w:p>
            <w:pPr>
              <w:tabs>
                <w:tab w:val="left" w:pos="3165"/>
              </w:tabs>
              <w:ind w:firstLine="420"/>
              <w:rPr>
                <w:rFonts w:hint="eastAsia" w:ascii="宋体" w:hAnsi="宋体" w:cs="宋体"/>
                <w:color w:val="auto"/>
                <w:szCs w:val="21"/>
                <w:highlight w:val="none"/>
              </w:rPr>
            </w:pPr>
          </w:p>
        </w:tc>
        <w:tc>
          <w:tcPr>
            <w:tcW w:w="1638" w:type="dxa"/>
            <w:noWrap w:val="0"/>
            <w:vAlign w:val="top"/>
          </w:tcPr>
          <w:p>
            <w:pPr>
              <w:tabs>
                <w:tab w:val="left" w:pos="3165"/>
              </w:tabs>
              <w:ind w:firstLine="420"/>
              <w:rPr>
                <w:rFonts w:hint="eastAsia" w:ascii="宋体" w:hAnsi="宋体" w:cs="宋体"/>
                <w:color w:val="auto"/>
                <w:szCs w:val="21"/>
                <w:highlight w:val="none"/>
              </w:rPr>
            </w:pPr>
          </w:p>
        </w:tc>
        <w:tc>
          <w:tcPr>
            <w:tcW w:w="1869" w:type="dxa"/>
            <w:noWrap w:val="0"/>
            <w:vAlign w:val="top"/>
          </w:tcPr>
          <w:p>
            <w:pPr>
              <w:tabs>
                <w:tab w:val="left" w:pos="3165"/>
              </w:tabs>
              <w:ind w:firstLine="42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44" w:type="dxa"/>
            <w:noWrap w:val="0"/>
            <w:vAlign w:val="top"/>
          </w:tcPr>
          <w:p>
            <w:pPr>
              <w:tabs>
                <w:tab w:val="left" w:pos="3165"/>
              </w:tabs>
              <w:ind w:firstLine="420"/>
              <w:rPr>
                <w:rFonts w:hint="eastAsia" w:ascii="宋体" w:hAnsi="宋体" w:cs="宋体"/>
                <w:color w:val="auto"/>
                <w:szCs w:val="21"/>
                <w:highlight w:val="none"/>
              </w:rPr>
            </w:pPr>
          </w:p>
        </w:tc>
        <w:tc>
          <w:tcPr>
            <w:tcW w:w="1783" w:type="dxa"/>
            <w:noWrap w:val="0"/>
            <w:vAlign w:val="top"/>
          </w:tcPr>
          <w:p>
            <w:pPr>
              <w:tabs>
                <w:tab w:val="left" w:pos="3165"/>
              </w:tabs>
              <w:ind w:firstLine="420"/>
              <w:rPr>
                <w:rFonts w:hint="eastAsia" w:ascii="宋体" w:hAnsi="宋体" w:cs="宋体"/>
                <w:color w:val="auto"/>
                <w:szCs w:val="21"/>
                <w:highlight w:val="none"/>
              </w:rPr>
            </w:pPr>
          </w:p>
        </w:tc>
        <w:tc>
          <w:tcPr>
            <w:tcW w:w="1192" w:type="dxa"/>
            <w:noWrap w:val="0"/>
            <w:vAlign w:val="top"/>
          </w:tcPr>
          <w:p>
            <w:pPr>
              <w:tabs>
                <w:tab w:val="left" w:pos="3165"/>
              </w:tabs>
              <w:ind w:firstLine="420"/>
              <w:rPr>
                <w:rFonts w:hint="eastAsia" w:ascii="宋体" w:hAnsi="宋体" w:cs="宋体"/>
                <w:color w:val="auto"/>
                <w:szCs w:val="21"/>
                <w:highlight w:val="none"/>
              </w:rPr>
            </w:pPr>
          </w:p>
        </w:tc>
        <w:tc>
          <w:tcPr>
            <w:tcW w:w="1192" w:type="dxa"/>
            <w:noWrap w:val="0"/>
            <w:vAlign w:val="top"/>
          </w:tcPr>
          <w:p>
            <w:pPr>
              <w:tabs>
                <w:tab w:val="left" w:pos="3165"/>
              </w:tabs>
              <w:ind w:firstLine="420"/>
              <w:rPr>
                <w:rFonts w:hint="eastAsia" w:ascii="宋体" w:hAnsi="宋体" w:cs="宋体"/>
                <w:color w:val="auto"/>
                <w:szCs w:val="21"/>
                <w:highlight w:val="none"/>
              </w:rPr>
            </w:pPr>
          </w:p>
        </w:tc>
        <w:tc>
          <w:tcPr>
            <w:tcW w:w="1638" w:type="dxa"/>
            <w:noWrap w:val="0"/>
            <w:vAlign w:val="top"/>
          </w:tcPr>
          <w:p>
            <w:pPr>
              <w:tabs>
                <w:tab w:val="left" w:pos="3165"/>
              </w:tabs>
              <w:ind w:firstLine="420"/>
              <w:rPr>
                <w:rFonts w:hint="eastAsia" w:ascii="宋体" w:hAnsi="宋体" w:cs="宋体"/>
                <w:color w:val="auto"/>
                <w:szCs w:val="21"/>
                <w:highlight w:val="none"/>
              </w:rPr>
            </w:pPr>
          </w:p>
        </w:tc>
        <w:tc>
          <w:tcPr>
            <w:tcW w:w="1869" w:type="dxa"/>
            <w:noWrap w:val="0"/>
            <w:vAlign w:val="top"/>
          </w:tcPr>
          <w:p>
            <w:pPr>
              <w:tabs>
                <w:tab w:val="left" w:pos="3165"/>
              </w:tabs>
              <w:ind w:firstLine="420"/>
              <w:rPr>
                <w:rFonts w:hint="eastAsia" w:ascii="宋体" w:hAnsi="宋体" w:cs="宋体"/>
                <w:color w:val="auto"/>
                <w:szCs w:val="21"/>
                <w:highlight w:val="none"/>
              </w:rPr>
            </w:pPr>
          </w:p>
        </w:tc>
      </w:tr>
    </w:tbl>
    <w:p>
      <w:pPr>
        <w:tabs>
          <w:tab w:val="left" w:pos="3165"/>
        </w:tabs>
        <w:rPr>
          <w:rFonts w:hint="eastAsia" w:ascii="宋体" w:hAnsi="宋体" w:cs="宋体"/>
          <w:color w:val="auto"/>
          <w:szCs w:val="21"/>
          <w:highlight w:val="none"/>
        </w:rPr>
      </w:pPr>
      <w:r>
        <w:rPr>
          <w:rFonts w:hint="eastAsia" w:ascii="宋体" w:hAnsi="宋体" w:cs="宋体"/>
          <w:color w:val="auto"/>
          <w:szCs w:val="21"/>
          <w:highlight w:val="none"/>
        </w:rPr>
        <w:t>注：</w:t>
      </w:r>
    </w:p>
    <w:p>
      <w:pPr>
        <w:autoSpaceDE w:val="0"/>
        <w:autoSpaceDN w:val="0"/>
        <w:spacing w:line="386" w:lineRule="exact"/>
        <w:ind w:left="420" w:hanging="420" w:hangingChars="200"/>
        <w:rPr>
          <w:rFonts w:hint="eastAsia" w:ascii="宋体" w:hAnsi="宋体" w:cs="宋体"/>
          <w:b/>
          <w:color w:val="auto"/>
          <w:szCs w:val="21"/>
          <w:highlight w:val="none"/>
        </w:rPr>
      </w:pPr>
      <w:r>
        <w:rPr>
          <w:rFonts w:hint="eastAsia" w:ascii="宋体" w:hAnsi="宋体" w:cs="宋体"/>
          <w:color w:val="auto"/>
          <w:szCs w:val="21"/>
          <w:highlight w:val="none"/>
        </w:rPr>
        <w:t>1．供应商所提供合同必须是真实有效的。在合同签订前，如采购人经核实后发现与实际情况不符，取消其中标资格，并按有关规定处理。</w:t>
      </w:r>
      <w:r>
        <w:rPr>
          <w:rFonts w:hint="eastAsia" w:ascii="宋体" w:hAnsi="宋体" w:cs="宋体"/>
          <w:b/>
          <w:color w:val="auto"/>
          <w:szCs w:val="21"/>
          <w:highlight w:val="none"/>
        </w:rPr>
        <w:t>（投标文件中须同时提供加盖公章的合同和中标通知书复印件）</w:t>
      </w:r>
    </w:p>
    <w:p>
      <w:pPr>
        <w:autoSpaceDE w:val="0"/>
        <w:autoSpaceDN w:val="0"/>
        <w:spacing w:line="386" w:lineRule="exact"/>
        <w:rPr>
          <w:rFonts w:hint="eastAsia" w:ascii="宋体" w:hAnsi="宋体" w:cs="宋体"/>
          <w:color w:val="auto"/>
          <w:szCs w:val="21"/>
          <w:highlight w:val="none"/>
        </w:rPr>
      </w:pPr>
      <w:r>
        <w:rPr>
          <w:rFonts w:hint="eastAsia" w:ascii="宋体" w:hAnsi="宋体" w:cs="宋体"/>
          <w:color w:val="auto"/>
          <w:szCs w:val="21"/>
          <w:highlight w:val="none"/>
        </w:rPr>
        <w:t>2．此表在不改变表式的情况下，可自行制作。</w:t>
      </w:r>
    </w:p>
    <w:p>
      <w:pPr>
        <w:autoSpaceDE w:val="0"/>
        <w:autoSpaceDN w:val="0"/>
        <w:spacing w:line="426" w:lineRule="exact"/>
        <w:ind w:left="5280"/>
        <w:rPr>
          <w:rFonts w:hint="eastAsia" w:ascii="宋体" w:hAnsi="宋体" w:cs="宋体"/>
          <w:color w:val="auto"/>
          <w:szCs w:val="21"/>
          <w:highlight w:val="none"/>
        </w:rPr>
      </w:pPr>
    </w:p>
    <w:p>
      <w:pPr>
        <w:autoSpaceDE w:val="0"/>
        <w:autoSpaceDN w:val="0"/>
        <w:spacing w:line="426" w:lineRule="exact"/>
        <w:ind w:left="5280" w:firstLine="210" w:firstLineChars="100"/>
        <w:rPr>
          <w:rFonts w:hint="eastAsia" w:ascii="宋体" w:hAnsi="宋体" w:cs="宋体"/>
          <w:color w:val="auto"/>
          <w:szCs w:val="21"/>
          <w:highlight w:val="none"/>
        </w:rPr>
      </w:pPr>
      <w:r>
        <w:rPr>
          <w:rFonts w:hint="eastAsia" w:ascii="宋体" w:hAnsi="宋体" w:cs="宋体"/>
          <w:color w:val="auto"/>
          <w:szCs w:val="21"/>
          <w:highlight w:val="none"/>
        </w:rPr>
        <w:t>供应商名称（盖章）：</w:t>
      </w:r>
    </w:p>
    <w:p>
      <w:pPr>
        <w:autoSpaceDE w:val="0"/>
        <w:autoSpaceDN w:val="0"/>
        <w:spacing w:line="426" w:lineRule="exact"/>
        <w:ind w:left="5280" w:firstLine="210" w:firstLineChars="100"/>
        <w:rPr>
          <w:rFonts w:hint="eastAsia" w:ascii="宋体" w:hAnsi="宋体" w:cs="宋体"/>
          <w:color w:val="auto"/>
          <w:szCs w:val="21"/>
          <w:highlight w:val="none"/>
        </w:rPr>
      </w:pPr>
      <w:r>
        <w:rPr>
          <w:rFonts w:hint="eastAsia" w:ascii="宋体" w:hAnsi="宋体" w:cs="宋体"/>
          <w:color w:val="auto"/>
          <w:szCs w:val="21"/>
          <w:highlight w:val="none"/>
        </w:rPr>
        <w:t>供应商代表</w:t>
      </w:r>
      <w:r>
        <w:rPr>
          <w:rFonts w:hint="eastAsia" w:ascii="宋体" w:hAnsi="宋体" w:cs="宋体"/>
          <w:color w:val="auto"/>
          <w:highlight w:val="none"/>
        </w:rPr>
        <w:t>（签名或印章）</w:t>
      </w:r>
      <w:r>
        <w:rPr>
          <w:rFonts w:hint="eastAsia" w:ascii="宋体" w:hAnsi="宋体" w:cs="宋体"/>
          <w:color w:val="auto"/>
          <w:szCs w:val="21"/>
          <w:highlight w:val="none"/>
        </w:rPr>
        <w:t>：</w:t>
      </w:r>
    </w:p>
    <w:p>
      <w:pPr>
        <w:tabs>
          <w:tab w:val="left" w:pos="3165"/>
        </w:tabs>
        <w:jc w:val="center"/>
        <w:rPr>
          <w:rFonts w:hint="eastAsia" w:ascii="宋体" w:hAnsi="宋体" w:cs="宋体"/>
          <w:color w:val="auto"/>
          <w:szCs w:val="21"/>
          <w:highlight w:val="none"/>
        </w:rPr>
      </w:pPr>
    </w:p>
    <w:p>
      <w:pPr>
        <w:tabs>
          <w:tab w:val="left" w:pos="3165"/>
        </w:tabs>
        <w:ind w:right="1080"/>
        <w:jc w:val="right"/>
        <w:rPr>
          <w:rFonts w:hint="eastAsia" w:ascii="宋体" w:hAnsi="宋体" w:cs="宋体"/>
          <w:color w:val="auto"/>
          <w:szCs w:val="21"/>
          <w:highlight w:val="none"/>
        </w:rPr>
      </w:pPr>
      <w:r>
        <w:rPr>
          <w:rFonts w:hint="eastAsia" w:ascii="宋体" w:hAnsi="宋体" w:cs="宋体"/>
          <w:color w:val="auto"/>
          <w:szCs w:val="21"/>
          <w:highlight w:val="none"/>
        </w:rPr>
        <w:t>2021年  月  日</w:t>
      </w:r>
    </w:p>
    <w:p>
      <w:pPr>
        <w:snapToGrid w:val="0"/>
        <w:spacing w:before="120" w:beforeLines="50" w:after="50"/>
        <w:rPr>
          <w:rFonts w:hint="eastAsia" w:ascii="宋体" w:hAnsi="宋体" w:cs="宋体"/>
          <w:b/>
          <w:bCs/>
          <w:color w:val="auto"/>
          <w:szCs w:val="21"/>
          <w:highlight w:val="none"/>
        </w:rPr>
      </w:pPr>
      <w:r>
        <w:rPr>
          <w:rFonts w:hint="eastAsia" w:ascii="宋体" w:hAnsi="宋体" w:cs="宋体"/>
          <w:color w:val="auto"/>
          <w:szCs w:val="21"/>
          <w:highlight w:val="none"/>
        </w:rPr>
        <w:br w:type="page"/>
      </w:r>
      <w:r>
        <w:rPr>
          <w:rFonts w:hint="eastAsia" w:ascii="宋体" w:hAnsi="宋体" w:cs="宋体"/>
          <w:b/>
          <w:bCs/>
          <w:color w:val="auto"/>
          <w:szCs w:val="21"/>
          <w:highlight w:val="none"/>
        </w:rPr>
        <w:t>13.第四章评标办法及评分标准中需提供的其他相关资质证书及合同复印件加盖公章；</w:t>
      </w:r>
    </w:p>
    <w:p>
      <w:pPr>
        <w:snapToGrid w:val="0"/>
        <w:spacing w:before="120" w:beforeLines="50" w:after="50"/>
        <w:rPr>
          <w:rFonts w:hint="eastAsia" w:ascii="宋体" w:hAnsi="宋体" w:cs="宋体"/>
          <w:b/>
          <w:bCs/>
          <w:color w:val="auto"/>
          <w:szCs w:val="21"/>
          <w:highlight w:val="none"/>
        </w:rPr>
      </w:pPr>
    </w:p>
    <w:p>
      <w:pPr>
        <w:snapToGrid w:val="0"/>
        <w:spacing w:before="120" w:beforeLines="50" w:after="50"/>
        <w:rPr>
          <w:rFonts w:hint="eastAsia" w:ascii="宋体" w:hAnsi="宋体" w:cs="宋体"/>
          <w:b/>
          <w:bCs/>
          <w:color w:val="auto"/>
          <w:szCs w:val="21"/>
          <w:highlight w:val="none"/>
        </w:rPr>
      </w:pPr>
    </w:p>
    <w:p>
      <w:pPr>
        <w:snapToGrid w:val="0"/>
        <w:spacing w:before="120" w:beforeLines="50" w:after="50"/>
        <w:rPr>
          <w:rFonts w:hint="eastAsia" w:ascii="宋体" w:hAnsi="宋体" w:cs="宋体"/>
          <w:b/>
          <w:bCs/>
          <w:color w:val="auto"/>
          <w:szCs w:val="21"/>
          <w:highlight w:val="none"/>
        </w:rPr>
      </w:pPr>
    </w:p>
    <w:p>
      <w:pPr>
        <w:snapToGrid w:val="0"/>
        <w:spacing w:before="120" w:beforeLines="50" w:after="50"/>
        <w:rPr>
          <w:rFonts w:hint="eastAsia" w:ascii="宋体" w:hAnsi="宋体" w:cs="宋体"/>
          <w:b/>
          <w:bCs/>
          <w:color w:val="auto"/>
          <w:szCs w:val="21"/>
          <w:highlight w:val="none"/>
        </w:rPr>
      </w:pPr>
    </w:p>
    <w:p>
      <w:pPr>
        <w:snapToGrid w:val="0"/>
        <w:spacing w:before="120" w:beforeLines="50" w:after="50"/>
        <w:rPr>
          <w:rFonts w:hint="eastAsia" w:ascii="宋体" w:hAnsi="宋体" w:cs="宋体"/>
          <w:b/>
          <w:bCs/>
          <w:color w:val="auto"/>
          <w:szCs w:val="21"/>
          <w:highlight w:val="none"/>
        </w:rPr>
      </w:pPr>
      <w:r>
        <w:rPr>
          <w:rFonts w:hint="eastAsia" w:ascii="宋体" w:hAnsi="宋体" w:cs="宋体"/>
          <w:b/>
          <w:bCs/>
          <w:color w:val="auto"/>
          <w:szCs w:val="21"/>
          <w:highlight w:val="none"/>
        </w:rPr>
        <w:t>14.供应商认为有需要提供的其它证明资料。</w:t>
      </w:r>
    </w:p>
    <w:p>
      <w:pPr>
        <w:pStyle w:val="18"/>
        <w:rPr>
          <w:rFonts w:hint="eastAsia" w:ascii="宋体" w:hAnsi="宋体" w:cs="宋体"/>
          <w:color w:val="auto"/>
          <w:highlight w:val="none"/>
        </w:rPr>
      </w:pPr>
    </w:p>
    <w:p>
      <w:pPr>
        <w:tabs>
          <w:tab w:val="left" w:pos="3165"/>
        </w:tabs>
        <w:ind w:right="1080"/>
        <w:rPr>
          <w:rFonts w:hint="eastAsia" w:ascii="宋体" w:hAnsi="宋体" w:cs="宋体"/>
          <w:color w:val="auto"/>
          <w:szCs w:val="21"/>
          <w:highlight w:val="none"/>
        </w:rPr>
      </w:pPr>
    </w:p>
    <w:p>
      <w:pPr>
        <w:snapToGrid w:val="0"/>
        <w:spacing w:before="50" w:after="120" w:afterLines="50"/>
        <w:jc w:val="center"/>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三、报价文件格式</w:t>
      </w:r>
    </w:p>
    <w:p>
      <w:pPr>
        <w:snapToGrid w:val="0"/>
        <w:spacing w:before="120" w:beforeLines="50" w:after="50"/>
        <w:rPr>
          <w:rFonts w:hint="eastAsia" w:ascii="宋体" w:hAnsi="宋体" w:cs="宋体"/>
          <w:b/>
          <w:bCs/>
          <w:color w:val="auto"/>
          <w:szCs w:val="21"/>
          <w:highlight w:val="none"/>
        </w:rPr>
      </w:pPr>
      <w:r>
        <w:rPr>
          <w:rFonts w:hint="eastAsia" w:ascii="宋体" w:hAnsi="宋体" w:cs="宋体"/>
          <w:b/>
          <w:color w:val="auto"/>
          <w:szCs w:val="21"/>
          <w:highlight w:val="none"/>
        </w:rPr>
        <w:t>1.</w:t>
      </w:r>
      <w:r>
        <w:rPr>
          <w:rFonts w:hint="eastAsia" w:ascii="宋体" w:hAnsi="宋体" w:cs="宋体"/>
          <w:b/>
          <w:bCs/>
          <w:color w:val="auto"/>
          <w:szCs w:val="21"/>
          <w:highlight w:val="none"/>
        </w:rPr>
        <w:t>报价文件的外包装封面格式（不可缺）：</w:t>
      </w:r>
    </w:p>
    <w:p>
      <w:pPr>
        <w:snapToGrid w:val="0"/>
        <w:spacing w:before="120" w:beforeLines="50" w:after="50"/>
        <w:rPr>
          <w:rFonts w:hint="eastAsia" w:ascii="宋体" w:hAnsi="宋体" w:cs="宋体"/>
          <w:bCs/>
          <w:color w:val="auto"/>
          <w:szCs w:val="21"/>
          <w:highlight w:val="none"/>
        </w:rPr>
      </w:pPr>
    </w:p>
    <w:p>
      <w:pPr>
        <w:snapToGrid w:val="0"/>
        <w:spacing w:before="120" w:beforeLines="50" w:after="50"/>
        <w:jc w:val="center"/>
        <w:rPr>
          <w:rFonts w:hint="eastAsia" w:ascii="宋体" w:hAnsi="宋体" w:cs="宋体"/>
          <w:bCs/>
          <w:color w:val="auto"/>
          <w:szCs w:val="21"/>
          <w:highlight w:val="none"/>
        </w:rPr>
      </w:pPr>
      <w:r>
        <w:rPr>
          <w:rFonts w:hint="eastAsia" w:ascii="宋体" w:hAnsi="宋体" w:cs="宋体"/>
          <w:bCs/>
          <w:color w:val="auto"/>
          <w:szCs w:val="21"/>
          <w:highlight w:val="none"/>
        </w:rPr>
        <w:t>报价文件</w:t>
      </w:r>
    </w:p>
    <w:p>
      <w:pPr>
        <w:snapToGrid w:val="0"/>
        <w:spacing w:before="120" w:beforeLines="50" w:after="50"/>
        <w:rPr>
          <w:rFonts w:hint="eastAsia" w:ascii="宋体" w:hAnsi="宋体" w:cs="宋体"/>
          <w:bCs/>
          <w:color w:val="auto"/>
          <w:szCs w:val="21"/>
          <w:highlight w:val="none"/>
        </w:rPr>
      </w:pPr>
    </w:p>
    <w:p>
      <w:pPr>
        <w:snapToGrid w:val="0"/>
        <w:spacing w:before="120" w:beforeLines="50" w:after="50"/>
        <w:ind w:firstLine="932" w:firstLineChars="444"/>
        <w:rPr>
          <w:rFonts w:hint="eastAsia" w:ascii="宋体" w:hAnsi="宋体" w:cs="宋体"/>
          <w:color w:val="auto"/>
          <w:highlight w:val="none"/>
        </w:rPr>
      </w:pPr>
      <w:r>
        <w:rPr>
          <w:rFonts w:hint="eastAsia" w:ascii="宋体" w:hAnsi="宋体" w:cs="宋体"/>
          <w:bCs/>
          <w:color w:val="auto"/>
          <w:szCs w:val="21"/>
          <w:highlight w:val="none"/>
        </w:rPr>
        <w:t>项目名称：</w:t>
      </w:r>
    </w:p>
    <w:p>
      <w:pPr>
        <w:snapToGrid w:val="0"/>
        <w:spacing w:before="120" w:beforeLines="50" w:after="50"/>
        <w:ind w:firstLine="932" w:firstLineChars="444"/>
        <w:rPr>
          <w:rFonts w:hint="eastAsia" w:ascii="宋体" w:hAnsi="宋体" w:cs="宋体"/>
          <w:bCs/>
          <w:color w:val="auto"/>
          <w:szCs w:val="21"/>
          <w:highlight w:val="none"/>
        </w:rPr>
      </w:pPr>
      <w:r>
        <w:rPr>
          <w:rFonts w:hint="eastAsia" w:ascii="宋体" w:hAnsi="宋体" w:cs="宋体"/>
          <w:bCs/>
          <w:color w:val="auto"/>
          <w:szCs w:val="21"/>
          <w:highlight w:val="none"/>
        </w:rPr>
        <w:t xml:space="preserve">项目编号：   </w:t>
      </w:r>
    </w:p>
    <w:p>
      <w:pPr>
        <w:snapToGrid w:val="0"/>
        <w:spacing w:before="120" w:beforeLines="50" w:after="50"/>
        <w:ind w:firstLine="932" w:firstLineChars="444"/>
        <w:rPr>
          <w:rFonts w:hint="eastAsia" w:ascii="宋体" w:hAnsi="宋体" w:cs="宋体"/>
          <w:bCs/>
          <w:color w:val="auto"/>
          <w:szCs w:val="21"/>
          <w:highlight w:val="none"/>
        </w:rPr>
      </w:pPr>
      <w:r>
        <w:rPr>
          <w:rFonts w:hint="eastAsia" w:ascii="宋体" w:hAnsi="宋体" w:cs="宋体"/>
          <w:bCs/>
          <w:color w:val="auto"/>
          <w:szCs w:val="21"/>
          <w:highlight w:val="none"/>
        </w:rPr>
        <w:t>子包号：</w:t>
      </w:r>
    </w:p>
    <w:p>
      <w:pPr>
        <w:snapToGrid w:val="0"/>
        <w:spacing w:before="120" w:beforeLines="50" w:after="50"/>
        <w:ind w:firstLine="932" w:firstLineChars="444"/>
        <w:rPr>
          <w:rFonts w:hint="eastAsia" w:ascii="宋体" w:hAnsi="宋体" w:cs="宋体"/>
          <w:bCs/>
          <w:color w:val="auto"/>
          <w:szCs w:val="21"/>
          <w:highlight w:val="none"/>
        </w:rPr>
      </w:pPr>
    </w:p>
    <w:p>
      <w:pPr>
        <w:snapToGrid w:val="0"/>
        <w:spacing w:before="120" w:beforeLines="50" w:after="50"/>
        <w:ind w:firstLine="932" w:firstLineChars="444"/>
        <w:rPr>
          <w:rFonts w:hint="eastAsia" w:ascii="宋体" w:hAnsi="宋体" w:cs="宋体"/>
          <w:bCs/>
          <w:color w:val="auto"/>
          <w:szCs w:val="21"/>
          <w:highlight w:val="none"/>
        </w:rPr>
      </w:pPr>
      <w:r>
        <w:rPr>
          <w:rFonts w:hint="eastAsia" w:ascii="宋体" w:hAnsi="宋体" w:cs="宋体"/>
          <w:bCs/>
          <w:color w:val="auto"/>
          <w:szCs w:val="21"/>
          <w:highlight w:val="none"/>
        </w:rPr>
        <w:t>供应商名称：</w:t>
      </w:r>
    </w:p>
    <w:p>
      <w:pPr>
        <w:snapToGrid w:val="0"/>
        <w:spacing w:before="120" w:beforeLines="50" w:after="50"/>
        <w:ind w:firstLine="932" w:firstLineChars="444"/>
        <w:rPr>
          <w:rFonts w:hint="eastAsia" w:ascii="宋体" w:hAnsi="宋体" w:cs="宋体"/>
          <w:bCs/>
          <w:color w:val="auto"/>
          <w:szCs w:val="21"/>
          <w:highlight w:val="none"/>
        </w:rPr>
      </w:pPr>
      <w:r>
        <w:rPr>
          <w:rFonts w:hint="eastAsia" w:ascii="宋体" w:hAnsi="宋体" w:cs="宋体"/>
          <w:bCs/>
          <w:color w:val="auto"/>
          <w:szCs w:val="21"/>
          <w:highlight w:val="none"/>
        </w:rPr>
        <w:t>供应商地址：</w:t>
      </w:r>
    </w:p>
    <w:p>
      <w:pPr>
        <w:pStyle w:val="8"/>
        <w:snapToGrid w:val="0"/>
        <w:spacing w:before="50" w:after="50"/>
        <w:ind w:firstLine="1243" w:firstLineChars="444"/>
        <w:jc w:val="center"/>
        <w:rPr>
          <w:rFonts w:hint="eastAsia" w:ascii="宋体" w:hAnsi="宋体" w:cs="宋体"/>
          <w:bCs/>
          <w:color w:val="auto"/>
          <w:szCs w:val="21"/>
          <w:highlight w:val="none"/>
        </w:rPr>
      </w:pPr>
      <w:r>
        <w:rPr>
          <w:rFonts w:hint="eastAsia" w:ascii="宋体" w:hAnsi="宋体" w:cs="宋体"/>
          <w:bCs/>
          <w:color w:val="auto"/>
          <w:szCs w:val="21"/>
          <w:highlight w:val="none"/>
        </w:rPr>
        <w:t>开标时启封</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（供应商公章）</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年  月  日</w:t>
      </w:r>
    </w:p>
    <w:p>
      <w:pPr>
        <w:rPr>
          <w:rFonts w:hint="eastAsia" w:ascii="宋体" w:hAnsi="宋体" w:cs="宋体"/>
          <w:color w:val="auto"/>
          <w:highlight w:val="none"/>
        </w:rPr>
      </w:pPr>
    </w:p>
    <w:p>
      <w:pPr>
        <w:rPr>
          <w:rFonts w:hint="eastAsia" w:ascii="宋体" w:hAnsi="宋体" w:cs="宋体"/>
          <w:color w:val="auto"/>
          <w:highlight w:val="none"/>
        </w:rPr>
      </w:pPr>
    </w:p>
    <w:p>
      <w:pPr>
        <w:snapToGrid w:val="0"/>
        <w:spacing w:before="120" w:beforeLines="50" w:after="50"/>
        <w:rPr>
          <w:rFonts w:hint="eastAsia" w:ascii="宋体" w:hAnsi="宋体" w:cs="宋体"/>
          <w:color w:val="auto"/>
          <w:szCs w:val="21"/>
          <w:highlight w:val="none"/>
        </w:rPr>
      </w:pPr>
      <w:r>
        <w:rPr>
          <w:rFonts w:hint="eastAsia" w:ascii="宋体" w:hAnsi="宋体" w:cs="宋体"/>
          <w:b/>
          <w:bCs/>
          <w:color w:val="auto"/>
          <w:szCs w:val="21"/>
          <w:highlight w:val="none"/>
        </w:rPr>
        <w:t>2.报价文件封面格式：</w:t>
      </w:r>
      <w:r>
        <w:rPr>
          <w:rFonts w:hint="eastAsia" w:ascii="宋体" w:hAnsi="宋体" w:cs="宋体"/>
          <w:color w:val="auto"/>
          <w:szCs w:val="21"/>
          <w:highlight w:val="none"/>
        </w:rPr>
        <w:t xml:space="preserve"> </w:t>
      </w:r>
    </w:p>
    <w:p>
      <w:pPr>
        <w:snapToGrid w:val="0"/>
        <w:spacing w:before="120" w:beforeLines="50" w:after="50"/>
        <w:rPr>
          <w:rFonts w:hint="eastAsia" w:ascii="宋体" w:hAnsi="宋体" w:cs="宋体"/>
          <w:b/>
          <w:bCs/>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正本/或副本</w:t>
      </w:r>
    </w:p>
    <w:p>
      <w:pPr>
        <w:snapToGrid w:val="0"/>
        <w:spacing w:before="120" w:beforeLines="50" w:after="50"/>
        <w:rPr>
          <w:rFonts w:hint="eastAsia" w:ascii="宋体" w:hAnsi="宋体" w:cs="宋体"/>
          <w:color w:val="auto"/>
          <w:szCs w:val="21"/>
          <w:highlight w:val="none"/>
        </w:rPr>
      </w:pPr>
    </w:p>
    <w:p>
      <w:pPr>
        <w:snapToGrid w:val="0"/>
        <w:spacing w:before="120" w:beforeLines="50" w:after="50"/>
        <w:jc w:val="center"/>
        <w:rPr>
          <w:rFonts w:hint="eastAsia" w:ascii="宋体" w:hAnsi="宋体" w:cs="宋体"/>
          <w:bCs/>
          <w:color w:val="auto"/>
          <w:szCs w:val="21"/>
          <w:highlight w:val="none"/>
        </w:rPr>
      </w:pPr>
      <w:r>
        <w:rPr>
          <w:rFonts w:hint="eastAsia" w:ascii="宋体" w:hAnsi="宋体" w:cs="宋体"/>
          <w:bCs/>
          <w:color w:val="auto"/>
          <w:szCs w:val="21"/>
          <w:highlight w:val="none"/>
        </w:rPr>
        <w:t>报价文件</w:t>
      </w:r>
    </w:p>
    <w:p>
      <w:pPr>
        <w:snapToGrid w:val="0"/>
        <w:spacing w:before="120" w:beforeLines="50" w:after="50"/>
        <w:rPr>
          <w:rFonts w:hint="eastAsia" w:ascii="宋体" w:hAnsi="宋体" w:cs="宋体"/>
          <w:bCs/>
          <w:color w:val="auto"/>
          <w:szCs w:val="21"/>
          <w:highlight w:val="none"/>
        </w:rPr>
      </w:pPr>
    </w:p>
    <w:p>
      <w:pPr>
        <w:snapToGrid w:val="0"/>
        <w:spacing w:before="120" w:beforeLines="50" w:after="50"/>
        <w:rPr>
          <w:rFonts w:hint="eastAsia" w:ascii="宋体" w:hAnsi="宋体" w:cs="宋体"/>
          <w:bCs/>
          <w:color w:val="auto"/>
          <w:szCs w:val="21"/>
          <w:highlight w:val="none"/>
        </w:rPr>
      </w:pPr>
      <w:r>
        <w:rPr>
          <w:rFonts w:hint="eastAsia" w:ascii="宋体" w:hAnsi="宋体" w:cs="宋体"/>
          <w:bCs/>
          <w:color w:val="auto"/>
          <w:szCs w:val="21"/>
          <w:highlight w:val="none"/>
        </w:rPr>
        <w:t xml:space="preserve">     项目名称：</w:t>
      </w:r>
      <w:r>
        <w:rPr>
          <w:rFonts w:hint="eastAsia" w:ascii="宋体" w:hAnsi="宋体" w:cs="宋体"/>
          <w:color w:val="auto"/>
          <w:highlight w:val="none"/>
        </w:rPr>
        <w:t xml:space="preserve"> </w:t>
      </w:r>
    </w:p>
    <w:p>
      <w:pPr>
        <w:snapToGrid w:val="0"/>
        <w:spacing w:before="120" w:beforeLines="50" w:after="50"/>
        <w:ind w:firstLine="504" w:firstLineChars="240"/>
        <w:rPr>
          <w:rFonts w:hint="eastAsia" w:ascii="宋体" w:hAnsi="宋体" w:cs="宋体"/>
          <w:bCs/>
          <w:color w:val="auto"/>
          <w:szCs w:val="21"/>
          <w:highlight w:val="none"/>
        </w:rPr>
      </w:pPr>
      <w:r>
        <w:rPr>
          <w:rFonts w:hint="eastAsia" w:ascii="宋体" w:hAnsi="宋体" w:cs="宋体"/>
          <w:bCs/>
          <w:color w:val="auto"/>
          <w:szCs w:val="21"/>
          <w:highlight w:val="none"/>
        </w:rPr>
        <w:t xml:space="preserve">项目编号： </w:t>
      </w:r>
    </w:p>
    <w:p>
      <w:pPr>
        <w:snapToGrid w:val="0"/>
        <w:spacing w:before="120" w:beforeLines="50" w:after="50"/>
        <w:ind w:firstLine="525" w:firstLineChars="250"/>
        <w:rPr>
          <w:rFonts w:hint="eastAsia" w:ascii="宋体" w:hAnsi="宋体" w:cs="宋体"/>
          <w:bCs/>
          <w:color w:val="auto"/>
          <w:szCs w:val="21"/>
          <w:highlight w:val="none"/>
        </w:rPr>
      </w:pPr>
      <w:r>
        <w:rPr>
          <w:rFonts w:hint="eastAsia" w:ascii="宋体" w:hAnsi="宋体" w:cs="宋体"/>
          <w:bCs/>
          <w:color w:val="auto"/>
          <w:szCs w:val="21"/>
          <w:highlight w:val="none"/>
        </w:rPr>
        <w:t>子包号：</w:t>
      </w:r>
    </w:p>
    <w:p>
      <w:pPr>
        <w:snapToGrid w:val="0"/>
        <w:spacing w:before="120" w:beforeLines="50" w:after="50"/>
        <w:ind w:firstLine="525" w:firstLineChars="250"/>
        <w:rPr>
          <w:rFonts w:hint="eastAsia" w:ascii="宋体" w:hAnsi="宋体" w:cs="宋体"/>
          <w:bCs/>
          <w:color w:val="auto"/>
          <w:szCs w:val="21"/>
          <w:highlight w:val="none"/>
        </w:rPr>
      </w:pPr>
    </w:p>
    <w:p>
      <w:pPr>
        <w:snapToGrid w:val="0"/>
        <w:spacing w:before="120" w:beforeLines="50" w:after="50"/>
        <w:ind w:firstLine="630" w:firstLineChars="300"/>
        <w:rPr>
          <w:rFonts w:hint="eastAsia" w:ascii="宋体" w:hAnsi="宋体" w:cs="宋体"/>
          <w:bCs/>
          <w:color w:val="auto"/>
          <w:szCs w:val="21"/>
          <w:highlight w:val="none"/>
        </w:rPr>
      </w:pPr>
      <w:r>
        <w:rPr>
          <w:rFonts w:hint="eastAsia" w:ascii="宋体" w:hAnsi="宋体" w:cs="宋体"/>
          <w:bCs/>
          <w:color w:val="auto"/>
          <w:szCs w:val="21"/>
          <w:highlight w:val="none"/>
        </w:rPr>
        <w:t>供应商名称：</w:t>
      </w:r>
    </w:p>
    <w:p>
      <w:pPr>
        <w:snapToGrid w:val="0"/>
        <w:spacing w:before="120" w:beforeLines="50" w:after="50"/>
        <w:ind w:firstLine="630" w:firstLineChars="300"/>
        <w:rPr>
          <w:rFonts w:hint="eastAsia" w:ascii="宋体" w:hAnsi="宋体" w:cs="宋体"/>
          <w:bCs/>
          <w:color w:val="auto"/>
          <w:szCs w:val="21"/>
          <w:highlight w:val="none"/>
        </w:rPr>
      </w:pPr>
      <w:r>
        <w:rPr>
          <w:rFonts w:hint="eastAsia" w:ascii="宋体" w:hAnsi="宋体" w:cs="宋体"/>
          <w:bCs/>
          <w:color w:val="auto"/>
          <w:szCs w:val="21"/>
          <w:highlight w:val="none"/>
        </w:rPr>
        <w:t>供应商地址：</w:t>
      </w:r>
    </w:p>
    <w:p>
      <w:pPr>
        <w:spacing w:line="360" w:lineRule="auto"/>
        <w:rPr>
          <w:rFonts w:hint="eastAsia" w:ascii="宋体" w:hAnsi="宋体" w:cs="宋体"/>
          <w:color w:val="auto"/>
          <w:highlight w:val="none"/>
        </w:rPr>
      </w:pPr>
      <w:r>
        <w:rPr>
          <w:rFonts w:hint="eastAsia" w:ascii="宋体" w:hAnsi="宋体" w:cs="宋体"/>
          <w:color w:val="auto"/>
          <w:szCs w:val="21"/>
          <w:highlight w:val="none"/>
        </w:rPr>
        <w:t xml:space="preserve">                                          </w:t>
      </w:r>
      <w:r>
        <w:rPr>
          <w:rFonts w:hint="eastAsia" w:ascii="宋体" w:hAnsi="宋体" w:cs="宋体"/>
          <w:color w:val="auto"/>
          <w:highlight w:val="none"/>
        </w:rPr>
        <w:t xml:space="preserve">         （供应商公章）</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年  月  日</w:t>
      </w:r>
    </w:p>
    <w:p>
      <w:pPr>
        <w:pStyle w:val="11"/>
        <w:snapToGrid w:val="0"/>
        <w:spacing w:before="295" w:after="295"/>
        <w:jc w:val="center"/>
        <w:rPr>
          <w:rFonts w:hint="eastAsia" w:hAnsi="宋体" w:cs="宋体"/>
          <w:color w:val="auto"/>
          <w:highlight w:val="none"/>
        </w:rPr>
      </w:pPr>
    </w:p>
    <w:p>
      <w:pPr>
        <w:snapToGrid w:val="0"/>
        <w:spacing w:before="50" w:after="50"/>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3.</w:t>
      </w:r>
      <w:r>
        <w:rPr>
          <w:rFonts w:hint="eastAsia" w:ascii="宋体" w:hAnsi="宋体" w:cs="宋体"/>
          <w:b/>
          <w:bCs/>
          <w:color w:val="auto"/>
          <w:szCs w:val="21"/>
          <w:highlight w:val="none"/>
        </w:rPr>
        <w:t xml:space="preserve"> 报价文件目录</w:t>
      </w:r>
    </w:p>
    <w:p>
      <w:pPr>
        <w:spacing w:line="360" w:lineRule="auto"/>
        <w:rPr>
          <w:rFonts w:hint="eastAsia" w:ascii="宋体" w:hAnsi="宋体" w:cs="宋体"/>
          <w:color w:val="auto"/>
          <w:szCs w:val="21"/>
          <w:highlight w:val="none"/>
        </w:rPr>
      </w:pPr>
    </w:p>
    <w:p>
      <w:pPr>
        <w:numPr>
          <w:ilvl w:val="0"/>
          <w:numId w:val="12"/>
        </w:numPr>
        <w:spacing w:line="360" w:lineRule="auto"/>
        <w:rPr>
          <w:rFonts w:hint="eastAsia" w:ascii="宋体" w:hAnsi="宋体" w:cs="宋体"/>
          <w:color w:val="auto"/>
          <w:highlight w:val="none"/>
        </w:rPr>
      </w:pPr>
      <w:r>
        <w:rPr>
          <w:rFonts w:hint="eastAsia" w:ascii="宋体" w:hAnsi="宋体" w:cs="宋体"/>
          <w:color w:val="auto"/>
          <w:highlight w:val="none"/>
        </w:rPr>
        <w:t>开标一览表（格式见附件）；</w:t>
      </w:r>
    </w:p>
    <w:p>
      <w:pPr>
        <w:numPr>
          <w:ilvl w:val="0"/>
          <w:numId w:val="12"/>
        </w:numPr>
        <w:spacing w:line="360" w:lineRule="auto"/>
        <w:rPr>
          <w:rFonts w:hint="eastAsia" w:ascii="宋体" w:hAnsi="宋体" w:cs="宋体"/>
          <w:color w:val="auto"/>
          <w:highlight w:val="none"/>
        </w:rPr>
      </w:pPr>
      <w:r>
        <w:rPr>
          <w:rFonts w:hint="eastAsia"/>
          <w:color w:val="auto"/>
          <w:highlight w:val="none"/>
        </w:rPr>
        <w:t>投标分项报价表</w:t>
      </w:r>
      <w:r>
        <w:rPr>
          <w:rFonts w:hint="eastAsia" w:ascii="宋体" w:hAnsi="宋体" w:cs="宋体"/>
          <w:color w:val="auto"/>
          <w:highlight w:val="none"/>
        </w:rPr>
        <w:t>（格式见附件）；</w:t>
      </w:r>
    </w:p>
    <w:p>
      <w:pPr>
        <w:numPr>
          <w:ilvl w:val="0"/>
          <w:numId w:val="12"/>
        </w:numPr>
        <w:spacing w:line="360" w:lineRule="auto"/>
        <w:rPr>
          <w:rFonts w:hint="eastAsia" w:ascii="宋体" w:hAnsi="宋体" w:cs="宋体"/>
          <w:color w:val="auto"/>
          <w:highlight w:val="none"/>
        </w:rPr>
      </w:pPr>
      <w:r>
        <w:rPr>
          <w:rFonts w:hint="eastAsia" w:ascii="宋体" w:hAnsi="宋体" w:cs="宋体"/>
          <w:color w:val="auto"/>
          <w:highlight w:val="none"/>
        </w:rPr>
        <w:t>中小企业声明函（如有）（格式见附件）；</w:t>
      </w:r>
    </w:p>
    <w:p>
      <w:pPr>
        <w:numPr>
          <w:ilvl w:val="0"/>
          <w:numId w:val="12"/>
        </w:numPr>
        <w:spacing w:line="360" w:lineRule="auto"/>
        <w:rPr>
          <w:rFonts w:hint="eastAsia" w:ascii="宋体" w:hAnsi="宋体" w:cs="宋体"/>
          <w:color w:val="auto"/>
          <w:highlight w:val="none"/>
        </w:rPr>
      </w:pPr>
      <w:r>
        <w:rPr>
          <w:rFonts w:hint="eastAsia" w:ascii="宋体" w:hAnsi="宋体" w:cs="宋体"/>
          <w:color w:val="auto"/>
          <w:highlight w:val="none"/>
        </w:rPr>
        <w:t>残疾人福利性单位声明函（如有）（格式见附件）；</w:t>
      </w:r>
    </w:p>
    <w:p>
      <w:pPr>
        <w:numPr>
          <w:ilvl w:val="0"/>
          <w:numId w:val="12"/>
        </w:numPr>
        <w:spacing w:line="360" w:lineRule="auto"/>
        <w:rPr>
          <w:rFonts w:hint="eastAsia" w:ascii="宋体" w:hAnsi="宋体" w:cs="宋体"/>
          <w:color w:val="auto"/>
          <w:highlight w:val="none"/>
        </w:rPr>
      </w:pPr>
      <w:r>
        <w:rPr>
          <w:rFonts w:hint="eastAsia" w:ascii="宋体" w:hAnsi="宋体" w:eastAsia="宋体" w:cs="宋体"/>
          <w:color w:val="auto"/>
          <w:szCs w:val="21"/>
          <w:highlight w:val="none"/>
        </w:rPr>
        <w:t>政府采购统计基础信息表（格式见附件）</w:t>
      </w:r>
      <w:r>
        <w:rPr>
          <w:rFonts w:hint="eastAsia" w:ascii="宋体" w:hAnsi="宋体" w:eastAsia="宋体" w:cs="宋体"/>
          <w:color w:val="auto"/>
          <w:szCs w:val="21"/>
          <w:highlight w:val="none"/>
          <w:lang w:val="en-US" w:eastAsia="zh-CN"/>
        </w:rPr>
        <w:t>;</w:t>
      </w:r>
    </w:p>
    <w:p>
      <w:pPr>
        <w:numPr>
          <w:ilvl w:val="0"/>
          <w:numId w:val="12"/>
        </w:numPr>
        <w:spacing w:line="360" w:lineRule="auto"/>
        <w:rPr>
          <w:rFonts w:hint="eastAsia" w:ascii="宋体" w:hAnsi="宋体" w:cs="宋体"/>
          <w:color w:val="auto"/>
          <w:highlight w:val="none"/>
        </w:rPr>
      </w:pPr>
      <w:r>
        <w:rPr>
          <w:rFonts w:hint="eastAsia" w:ascii="宋体" w:hAnsi="宋体" w:cs="宋体"/>
          <w:color w:val="auto"/>
          <w:highlight w:val="none"/>
        </w:rPr>
        <w:t>供应商针对报价需要说明的其他文件和说明（格式见附件）；</w:t>
      </w:r>
    </w:p>
    <w:p>
      <w:pPr>
        <w:snapToGrid w:val="0"/>
        <w:spacing w:before="120" w:beforeLines="50" w:after="50"/>
        <w:rPr>
          <w:rFonts w:hint="eastAsia" w:ascii="宋体" w:hAnsi="宋体" w:cs="宋体"/>
          <w:b/>
          <w:bCs/>
          <w:color w:val="auto"/>
          <w:szCs w:val="21"/>
          <w:highlight w:val="none"/>
        </w:rPr>
      </w:pPr>
    </w:p>
    <w:p>
      <w:pPr>
        <w:snapToGrid w:val="0"/>
        <w:spacing w:before="120" w:beforeLines="50" w:after="50"/>
        <w:rPr>
          <w:rFonts w:hint="eastAsia" w:ascii="宋体" w:hAnsi="宋体" w:cs="宋体"/>
          <w:b/>
          <w:bCs/>
          <w:color w:val="auto"/>
          <w:szCs w:val="21"/>
          <w:highlight w:val="none"/>
        </w:rPr>
      </w:pPr>
    </w:p>
    <w:p>
      <w:pPr>
        <w:snapToGrid w:val="0"/>
        <w:spacing w:before="120" w:beforeLines="50" w:after="50"/>
        <w:rPr>
          <w:rFonts w:hint="eastAsia" w:ascii="宋体" w:hAnsi="宋体" w:cs="宋体"/>
          <w:b/>
          <w:bCs/>
          <w:color w:val="auto"/>
          <w:szCs w:val="21"/>
          <w:highlight w:val="none"/>
        </w:rPr>
      </w:pPr>
    </w:p>
    <w:p>
      <w:pPr>
        <w:snapToGrid w:val="0"/>
        <w:spacing w:before="120" w:beforeLines="50" w:after="50"/>
        <w:rPr>
          <w:rFonts w:hint="eastAsia" w:ascii="宋体" w:hAnsi="宋体" w:cs="宋体"/>
          <w:b/>
          <w:bCs/>
          <w:color w:val="auto"/>
          <w:szCs w:val="21"/>
          <w:highlight w:val="none"/>
        </w:rPr>
      </w:pPr>
    </w:p>
    <w:p>
      <w:pPr>
        <w:snapToGrid w:val="0"/>
        <w:spacing w:before="120" w:beforeLines="50" w:after="50"/>
        <w:rPr>
          <w:rFonts w:hint="eastAsia" w:ascii="宋体" w:hAnsi="宋体" w:cs="宋体"/>
          <w:b/>
          <w:bCs/>
          <w:color w:val="auto"/>
          <w:szCs w:val="21"/>
          <w:highlight w:val="none"/>
        </w:rPr>
      </w:pPr>
    </w:p>
    <w:p>
      <w:pPr>
        <w:snapToGrid w:val="0"/>
        <w:spacing w:before="120" w:beforeLines="50" w:after="50"/>
        <w:rPr>
          <w:rFonts w:hint="eastAsia" w:ascii="宋体" w:hAnsi="宋体" w:cs="宋体"/>
          <w:b/>
          <w:bCs/>
          <w:color w:val="auto"/>
          <w:szCs w:val="21"/>
          <w:highlight w:val="none"/>
        </w:rPr>
      </w:pPr>
    </w:p>
    <w:p>
      <w:pPr>
        <w:snapToGrid w:val="0"/>
        <w:spacing w:before="120" w:beforeLines="50" w:after="50"/>
        <w:rPr>
          <w:rFonts w:hint="eastAsia" w:ascii="宋体" w:hAnsi="宋体" w:cs="宋体"/>
          <w:b/>
          <w:bCs/>
          <w:color w:val="auto"/>
          <w:szCs w:val="21"/>
          <w:highlight w:val="none"/>
        </w:rPr>
      </w:pPr>
    </w:p>
    <w:p>
      <w:pPr>
        <w:snapToGrid w:val="0"/>
        <w:spacing w:before="120" w:beforeLines="50" w:after="50"/>
        <w:rPr>
          <w:rFonts w:hint="eastAsia" w:ascii="宋体" w:hAnsi="宋体" w:cs="宋体"/>
          <w:b/>
          <w:bCs/>
          <w:color w:val="auto"/>
          <w:szCs w:val="21"/>
          <w:highlight w:val="none"/>
        </w:rPr>
      </w:pPr>
    </w:p>
    <w:p>
      <w:pPr>
        <w:snapToGrid w:val="0"/>
        <w:spacing w:before="120" w:beforeLines="50" w:after="50"/>
        <w:rPr>
          <w:rFonts w:hint="eastAsia" w:ascii="宋体" w:hAnsi="宋体" w:cs="宋体"/>
          <w:b/>
          <w:bCs/>
          <w:color w:val="auto"/>
          <w:szCs w:val="21"/>
          <w:highlight w:val="none"/>
        </w:rPr>
      </w:pPr>
    </w:p>
    <w:p>
      <w:pPr>
        <w:snapToGrid w:val="0"/>
        <w:spacing w:before="120" w:beforeLines="50" w:after="50"/>
        <w:rPr>
          <w:rFonts w:hint="eastAsia" w:ascii="宋体" w:hAnsi="宋体" w:cs="宋体"/>
          <w:b/>
          <w:bCs/>
          <w:color w:val="auto"/>
          <w:szCs w:val="21"/>
          <w:highlight w:val="none"/>
        </w:rPr>
      </w:pPr>
    </w:p>
    <w:p>
      <w:pPr>
        <w:snapToGrid w:val="0"/>
        <w:spacing w:before="120" w:beforeLines="50" w:after="50"/>
        <w:rPr>
          <w:rFonts w:hint="eastAsia" w:ascii="宋体" w:hAnsi="宋体" w:cs="宋体"/>
          <w:b/>
          <w:bCs/>
          <w:color w:val="auto"/>
          <w:szCs w:val="21"/>
          <w:highlight w:val="none"/>
        </w:rPr>
      </w:pPr>
    </w:p>
    <w:p>
      <w:pPr>
        <w:snapToGrid w:val="0"/>
        <w:spacing w:before="120" w:beforeLines="50" w:after="50"/>
        <w:rPr>
          <w:rFonts w:hint="eastAsia" w:ascii="宋体" w:hAnsi="宋体" w:cs="宋体"/>
          <w:b/>
          <w:bCs/>
          <w:color w:val="auto"/>
          <w:szCs w:val="21"/>
          <w:highlight w:val="none"/>
        </w:rPr>
      </w:pPr>
    </w:p>
    <w:p>
      <w:pPr>
        <w:snapToGrid w:val="0"/>
        <w:spacing w:before="120" w:beforeLines="50" w:after="50"/>
        <w:rPr>
          <w:rFonts w:hint="eastAsia" w:ascii="宋体" w:hAnsi="宋体" w:cs="宋体"/>
          <w:b/>
          <w:bCs/>
          <w:color w:val="auto"/>
          <w:szCs w:val="21"/>
          <w:highlight w:val="none"/>
        </w:rPr>
      </w:pPr>
    </w:p>
    <w:p>
      <w:pPr>
        <w:snapToGrid w:val="0"/>
        <w:spacing w:before="120" w:beforeLines="50" w:after="50"/>
        <w:rPr>
          <w:rFonts w:hint="eastAsia" w:ascii="宋体" w:hAnsi="宋体" w:cs="宋体"/>
          <w:b/>
          <w:bCs/>
          <w:color w:val="auto"/>
          <w:szCs w:val="21"/>
          <w:highlight w:val="none"/>
        </w:rPr>
      </w:pPr>
    </w:p>
    <w:p>
      <w:pPr>
        <w:snapToGrid w:val="0"/>
        <w:spacing w:before="120" w:beforeLines="50" w:after="50"/>
        <w:rPr>
          <w:rFonts w:hint="eastAsia" w:ascii="宋体" w:hAnsi="宋体" w:cs="宋体"/>
          <w:b/>
          <w:bCs/>
          <w:color w:val="auto"/>
          <w:szCs w:val="21"/>
          <w:highlight w:val="none"/>
        </w:rPr>
      </w:pPr>
    </w:p>
    <w:p>
      <w:pPr>
        <w:snapToGrid w:val="0"/>
        <w:spacing w:before="120" w:beforeLines="50" w:after="50"/>
        <w:rPr>
          <w:rFonts w:hint="eastAsia" w:ascii="宋体" w:hAnsi="宋体" w:cs="宋体"/>
          <w:b/>
          <w:bCs/>
          <w:color w:val="auto"/>
          <w:szCs w:val="21"/>
          <w:highlight w:val="none"/>
        </w:rPr>
      </w:pPr>
    </w:p>
    <w:p>
      <w:pPr>
        <w:snapToGrid w:val="0"/>
        <w:spacing w:before="120" w:beforeLines="50" w:after="50"/>
        <w:rPr>
          <w:rFonts w:hint="eastAsia" w:ascii="宋体" w:hAnsi="宋体" w:cs="宋体"/>
          <w:b/>
          <w:bCs/>
          <w:color w:val="auto"/>
          <w:szCs w:val="21"/>
          <w:highlight w:val="none"/>
        </w:rPr>
      </w:pPr>
    </w:p>
    <w:p>
      <w:pPr>
        <w:snapToGrid w:val="0"/>
        <w:spacing w:before="120" w:beforeLines="50" w:after="50"/>
        <w:rPr>
          <w:rFonts w:hint="eastAsia" w:ascii="宋体" w:hAnsi="宋体" w:cs="宋体"/>
          <w:b/>
          <w:bCs/>
          <w:color w:val="auto"/>
          <w:szCs w:val="21"/>
          <w:highlight w:val="none"/>
        </w:rPr>
      </w:pPr>
    </w:p>
    <w:p>
      <w:pPr>
        <w:snapToGrid w:val="0"/>
        <w:spacing w:before="120" w:beforeLines="50" w:after="50"/>
        <w:rPr>
          <w:rFonts w:hint="eastAsia" w:ascii="宋体" w:hAnsi="宋体" w:cs="宋体"/>
          <w:b/>
          <w:bCs/>
          <w:color w:val="auto"/>
          <w:szCs w:val="21"/>
          <w:highlight w:val="none"/>
        </w:rPr>
      </w:pPr>
    </w:p>
    <w:p>
      <w:pPr>
        <w:snapToGrid w:val="0"/>
        <w:spacing w:before="120" w:beforeLines="50" w:after="50"/>
        <w:rPr>
          <w:rFonts w:hint="eastAsia" w:ascii="宋体" w:hAnsi="宋体" w:cs="宋体"/>
          <w:b/>
          <w:bCs/>
          <w:color w:val="auto"/>
          <w:szCs w:val="21"/>
          <w:highlight w:val="none"/>
        </w:rPr>
      </w:pPr>
    </w:p>
    <w:p>
      <w:pPr>
        <w:snapToGrid w:val="0"/>
        <w:spacing w:before="120" w:beforeLines="50" w:after="50"/>
        <w:rPr>
          <w:rFonts w:hint="eastAsia" w:ascii="宋体" w:hAnsi="宋体" w:cs="宋体"/>
          <w:b/>
          <w:bCs/>
          <w:color w:val="auto"/>
          <w:szCs w:val="21"/>
          <w:highlight w:val="none"/>
        </w:rPr>
      </w:pPr>
    </w:p>
    <w:p>
      <w:pPr>
        <w:snapToGrid w:val="0"/>
        <w:spacing w:before="120" w:beforeLines="50" w:after="50"/>
        <w:rPr>
          <w:rFonts w:hint="eastAsia" w:ascii="宋体" w:hAnsi="宋体" w:cs="宋体"/>
          <w:b/>
          <w:bCs/>
          <w:color w:val="auto"/>
          <w:szCs w:val="21"/>
          <w:highlight w:val="none"/>
        </w:rPr>
      </w:pPr>
    </w:p>
    <w:p>
      <w:pPr>
        <w:snapToGrid w:val="0"/>
        <w:spacing w:before="120" w:beforeLines="50" w:after="50"/>
        <w:rPr>
          <w:rFonts w:hint="eastAsia" w:ascii="宋体" w:hAnsi="宋体" w:cs="宋体"/>
          <w:b/>
          <w:bCs/>
          <w:color w:val="auto"/>
          <w:szCs w:val="21"/>
          <w:highlight w:val="none"/>
        </w:rPr>
      </w:pPr>
    </w:p>
    <w:p>
      <w:pPr>
        <w:snapToGrid w:val="0"/>
        <w:spacing w:before="120" w:beforeLines="50" w:after="50"/>
        <w:rPr>
          <w:rFonts w:hint="eastAsia" w:ascii="宋体" w:hAnsi="宋体" w:cs="宋体"/>
          <w:b/>
          <w:bCs/>
          <w:color w:val="auto"/>
          <w:szCs w:val="21"/>
          <w:highlight w:val="none"/>
        </w:rPr>
      </w:pPr>
    </w:p>
    <w:p>
      <w:pPr>
        <w:snapToGrid w:val="0"/>
        <w:spacing w:before="120" w:beforeLines="50" w:after="50"/>
        <w:rPr>
          <w:rFonts w:hint="eastAsia" w:ascii="宋体" w:hAnsi="宋体" w:cs="宋体"/>
          <w:b/>
          <w:bCs/>
          <w:color w:val="auto"/>
          <w:szCs w:val="21"/>
          <w:highlight w:val="none"/>
        </w:rPr>
      </w:pPr>
    </w:p>
    <w:p>
      <w:pPr>
        <w:snapToGrid w:val="0"/>
        <w:spacing w:before="120" w:beforeLines="50" w:after="50"/>
        <w:rPr>
          <w:rFonts w:hint="eastAsia" w:ascii="宋体" w:hAnsi="宋体" w:cs="宋体"/>
          <w:b/>
          <w:bCs/>
          <w:color w:val="auto"/>
          <w:szCs w:val="21"/>
          <w:highlight w:val="none"/>
        </w:rPr>
      </w:pPr>
    </w:p>
    <w:p>
      <w:pPr>
        <w:snapToGrid w:val="0"/>
        <w:spacing w:before="120" w:beforeLines="50" w:after="50"/>
        <w:rPr>
          <w:rFonts w:hint="eastAsia" w:ascii="宋体" w:hAnsi="宋体" w:cs="宋体"/>
          <w:b/>
          <w:bCs/>
          <w:color w:val="auto"/>
          <w:szCs w:val="21"/>
          <w:highlight w:val="none"/>
        </w:rPr>
      </w:pPr>
    </w:p>
    <w:p>
      <w:pPr>
        <w:snapToGrid w:val="0"/>
        <w:spacing w:before="120" w:beforeLines="50" w:after="50"/>
        <w:rPr>
          <w:rFonts w:hint="eastAsia" w:ascii="宋体" w:hAnsi="宋体" w:cs="宋体"/>
          <w:b/>
          <w:bCs/>
          <w:color w:val="auto"/>
          <w:szCs w:val="21"/>
          <w:highlight w:val="none"/>
        </w:rPr>
      </w:pPr>
    </w:p>
    <w:p>
      <w:pPr>
        <w:snapToGrid w:val="0"/>
        <w:spacing w:before="120" w:beforeLines="50" w:after="50"/>
        <w:rPr>
          <w:rFonts w:hint="eastAsia" w:ascii="宋体" w:hAnsi="宋体" w:cs="宋体"/>
          <w:color w:val="auto"/>
          <w:szCs w:val="21"/>
          <w:highlight w:val="none"/>
        </w:rPr>
      </w:pPr>
      <w:r>
        <w:rPr>
          <w:rFonts w:hint="eastAsia" w:ascii="宋体" w:hAnsi="宋体" w:cs="宋体"/>
          <w:b/>
          <w:bCs/>
          <w:color w:val="auto"/>
          <w:szCs w:val="21"/>
          <w:highlight w:val="none"/>
        </w:rPr>
        <w:t>4. 开标一览表</w:t>
      </w:r>
    </w:p>
    <w:p>
      <w:pPr>
        <w:snapToGrid w:val="0"/>
        <w:spacing w:before="50" w:after="50"/>
        <w:rPr>
          <w:rFonts w:hint="eastAsia" w:ascii="宋体" w:hAnsi="宋体" w:cs="宋体"/>
          <w:color w:val="auto"/>
          <w:szCs w:val="21"/>
          <w:highlight w:val="none"/>
          <w:u w:val="single"/>
        </w:rPr>
      </w:pPr>
    </w:p>
    <w:p>
      <w:pPr>
        <w:snapToGrid w:val="0"/>
        <w:spacing w:before="120" w:beforeLines="50" w:after="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开标一览表</w:t>
      </w:r>
    </w:p>
    <w:p>
      <w:pPr>
        <w:snapToGrid w:val="0"/>
        <w:spacing w:before="50" w:after="50"/>
        <w:jc w:val="center"/>
        <w:rPr>
          <w:rFonts w:hint="eastAsia" w:ascii="宋体" w:hAnsi="宋体" w:cs="宋体"/>
          <w:b/>
          <w:color w:val="auto"/>
          <w:szCs w:val="21"/>
          <w:highlight w:val="none"/>
        </w:rPr>
      </w:pPr>
    </w:p>
    <w:p>
      <w:pPr>
        <w:snapToGrid w:val="0"/>
        <w:spacing w:before="50" w:after="50"/>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 xml:space="preserve">  项目编号：                   项目名称：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048"/>
        <w:gridCol w:w="1354"/>
        <w:gridCol w:w="3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0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服务内容</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数量</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04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Cs w:val="21"/>
                <w:highlight w:val="none"/>
              </w:rPr>
            </w:pPr>
            <w:r>
              <w:rPr>
                <w:rFonts w:hint="eastAsia" w:ascii="宋体" w:hAnsi="宋体"/>
                <w:color w:val="auto"/>
                <w:szCs w:val="21"/>
                <w:highlight w:val="none"/>
                <w:lang w:eastAsia="zh-CN"/>
              </w:rPr>
              <w:t>潘火街道中小学（幼儿园）保安服务项目</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szCs w:val="21"/>
                <w:highlight w:val="none"/>
              </w:rPr>
            </w:pPr>
            <w:r>
              <w:rPr>
                <w:rFonts w:hint="eastAsia" w:ascii="宋体" w:hAnsi="宋体" w:cs="宋体"/>
                <w:bCs/>
                <w:color w:val="auto"/>
                <w:szCs w:val="21"/>
                <w:highlight w:val="none"/>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jc w:val="center"/>
        </w:trPr>
        <w:tc>
          <w:tcPr>
            <w:tcW w:w="302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投标总价（</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年）</w:t>
            </w:r>
          </w:p>
        </w:tc>
        <w:tc>
          <w:tcPr>
            <w:tcW w:w="5220" w:type="dxa"/>
            <w:gridSpan w:val="2"/>
            <w:tcBorders>
              <w:top w:val="single" w:color="auto" w:sz="4" w:space="0"/>
              <w:left w:val="single" w:color="auto" w:sz="4" w:space="0"/>
              <w:bottom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小写：</w:t>
            </w:r>
          </w:p>
          <w:p>
            <w:pPr>
              <w:snapToGrid w:val="0"/>
              <w:spacing w:line="360" w:lineRule="auto"/>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jc w:val="center"/>
        </w:trPr>
        <w:tc>
          <w:tcPr>
            <w:tcW w:w="302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投标总价（三年）</w:t>
            </w:r>
          </w:p>
        </w:tc>
        <w:tc>
          <w:tcPr>
            <w:tcW w:w="5220" w:type="dxa"/>
            <w:gridSpan w:val="2"/>
            <w:tcBorders>
              <w:top w:val="single" w:color="auto" w:sz="4" w:space="0"/>
              <w:left w:val="single" w:color="auto" w:sz="4" w:space="0"/>
              <w:bottom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小写：</w:t>
            </w:r>
          </w:p>
          <w:p>
            <w:pPr>
              <w:snapToGrid w:val="0"/>
              <w:spacing w:line="360" w:lineRule="auto"/>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jc w:val="center"/>
        </w:trPr>
        <w:tc>
          <w:tcPr>
            <w:tcW w:w="302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投标声明</w:t>
            </w:r>
          </w:p>
        </w:tc>
        <w:tc>
          <w:tcPr>
            <w:tcW w:w="5220" w:type="dxa"/>
            <w:gridSpan w:val="2"/>
            <w:tcBorders>
              <w:top w:val="single" w:color="auto" w:sz="4" w:space="0"/>
              <w:left w:val="single" w:color="auto" w:sz="4" w:space="0"/>
              <w:bottom w:val="single" w:color="auto" w:sz="4" w:space="0"/>
            </w:tcBorders>
            <w:noWrap w:val="0"/>
            <w:vAlign w:val="center"/>
          </w:tcPr>
          <w:p>
            <w:pPr>
              <w:spacing w:before="240" w:line="360" w:lineRule="auto"/>
              <w:jc w:val="center"/>
              <w:rPr>
                <w:rFonts w:hint="eastAsia" w:ascii="宋体" w:hAnsi="宋体" w:cs="宋体"/>
                <w:color w:val="auto"/>
                <w:szCs w:val="21"/>
                <w:highlight w:val="none"/>
              </w:rPr>
            </w:pPr>
          </w:p>
        </w:tc>
      </w:tr>
    </w:tbl>
    <w:p>
      <w:pPr>
        <w:snapToGrid w:val="0"/>
        <w:spacing w:before="50" w:after="50" w:line="360" w:lineRule="auto"/>
        <w:rPr>
          <w:rFonts w:hint="eastAsia" w:ascii="宋体" w:hAnsi="宋体" w:cs="宋体"/>
          <w:color w:val="auto"/>
          <w:szCs w:val="21"/>
          <w:highlight w:val="none"/>
        </w:rPr>
      </w:pPr>
      <w:r>
        <w:rPr>
          <w:rFonts w:hint="eastAsia" w:ascii="宋体" w:hAnsi="宋体" w:cs="宋体"/>
          <w:color w:val="auto"/>
          <w:szCs w:val="21"/>
          <w:highlight w:val="none"/>
        </w:rPr>
        <w:t>注:1、报价一经涂改，应在涂改处加盖单位公章或者由法定代表人或授权委托人签字或盖章，否则其投标作无效标处理。</w:t>
      </w:r>
    </w:p>
    <w:p>
      <w:pPr>
        <w:snapToGrid w:val="0"/>
        <w:spacing w:before="50" w:after="50" w:line="360" w:lineRule="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浮动率=（投标总价/最高限价-1）*100%</w:t>
      </w:r>
      <w:r>
        <w:rPr>
          <w:rFonts w:hint="eastAsia" w:ascii="宋体" w:hAnsi="宋体" w:cs="宋体"/>
          <w:color w:val="auto"/>
          <w:szCs w:val="21"/>
          <w:highlight w:val="none"/>
        </w:rPr>
        <w:t>。</w:t>
      </w:r>
    </w:p>
    <w:p>
      <w:pPr>
        <w:snapToGrid w:val="0"/>
        <w:spacing w:before="50" w:after="50" w:line="360" w:lineRule="auto"/>
        <w:ind w:left="-21" w:leftChars="-72" w:right="-817" w:rightChars="-389" w:hanging="130" w:hangingChars="62"/>
        <w:rPr>
          <w:rFonts w:hint="eastAsia" w:ascii="宋体" w:hAnsi="宋体" w:cs="宋体"/>
          <w:color w:val="auto"/>
          <w:szCs w:val="21"/>
          <w:highlight w:val="none"/>
        </w:rPr>
      </w:pPr>
    </w:p>
    <w:p>
      <w:pPr>
        <w:snapToGrid w:val="0"/>
        <w:spacing w:before="50" w:after="50" w:line="360" w:lineRule="auto"/>
        <w:ind w:left="-21" w:leftChars="-72" w:right="-817" w:rightChars="-389" w:hanging="130" w:hangingChars="62"/>
        <w:rPr>
          <w:rFonts w:hint="eastAsia" w:ascii="宋体" w:hAnsi="宋体" w:cs="宋体"/>
          <w:color w:val="auto"/>
          <w:szCs w:val="21"/>
          <w:highlight w:val="none"/>
        </w:rPr>
      </w:pPr>
    </w:p>
    <w:p>
      <w:pPr>
        <w:snapToGrid w:val="0"/>
        <w:spacing w:before="50" w:after="50" w:line="360" w:lineRule="auto"/>
        <w:ind w:left="-21" w:leftChars="-72" w:right="-817" w:rightChars="-389" w:hanging="130" w:hangingChars="62"/>
        <w:rPr>
          <w:rFonts w:hint="eastAsia" w:ascii="宋体" w:hAnsi="宋体" w:cs="宋体"/>
          <w:color w:val="auto"/>
          <w:szCs w:val="21"/>
          <w:highlight w:val="none"/>
        </w:rPr>
      </w:pPr>
      <w:r>
        <w:rPr>
          <w:rFonts w:hint="eastAsia" w:ascii="宋体" w:hAnsi="宋体" w:cs="宋体"/>
          <w:color w:val="auto"/>
          <w:szCs w:val="21"/>
          <w:highlight w:val="none"/>
        </w:rPr>
        <w:t xml:space="preserve">法定代表人或授权代表（签名或盖章）：                    </w:t>
      </w:r>
    </w:p>
    <w:p>
      <w:pPr>
        <w:snapToGrid w:val="0"/>
        <w:spacing w:before="50" w:after="50" w:line="360" w:lineRule="auto"/>
        <w:ind w:left="-21" w:leftChars="-72" w:right="-817" w:rightChars="-389" w:hanging="130" w:hangingChars="62"/>
        <w:rPr>
          <w:rFonts w:hint="eastAsia" w:ascii="宋体" w:hAnsi="宋体" w:cs="宋体"/>
          <w:color w:val="auto"/>
          <w:szCs w:val="21"/>
          <w:highlight w:val="none"/>
        </w:rPr>
      </w:pPr>
      <w:r>
        <w:rPr>
          <w:rFonts w:hint="eastAsia" w:ascii="宋体" w:hAnsi="宋体" w:cs="宋体"/>
          <w:color w:val="auto"/>
          <w:szCs w:val="21"/>
          <w:highlight w:val="none"/>
        </w:rPr>
        <w:t>供应商名称（盖章）：                                     日期：    年   月   日</w:t>
      </w:r>
    </w:p>
    <w:p>
      <w:pPr>
        <w:pStyle w:val="11"/>
        <w:snapToGrid w:val="0"/>
        <w:spacing w:before="295" w:after="295"/>
        <w:rPr>
          <w:rFonts w:hint="eastAsia" w:hAnsi="宋体" w:cs="宋体"/>
          <w:color w:val="auto"/>
          <w:highlight w:val="none"/>
        </w:rPr>
      </w:pPr>
    </w:p>
    <w:p>
      <w:pPr>
        <w:pStyle w:val="10"/>
        <w:ind w:left="0" w:leftChars="0"/>
        <w:rPr>
          <w:rFonts w:hint="eastAsia" w:ascii="宋体" w:hAnsi="宋体" w:cs="宋体"/>
          <w:color w:val="auto"/>
          <w:highlight w:val="none"/>
        </w:rPr>
      </w:pPr>
      <w:r>
        <w:rPr>
          <w:rFonts w:hAnsi="宋体" w:cs="宋体"/>
          <w:color w:val="auto"/>
          <w:highlight w:val="none"/>
        </w:rPr>
        <w:br w:type="page"/>
      </w:r>
      <w:r>
        <w:rPr>
          <w:rFonts w:hint="eastAsia" w:ascii="宋体" w:hAnsi="宋体" w:cs="宋体"/>
          <w:b/>
          <w:bCs/>
          <w:color w:val="auto"/>
          <w:highlight w:val="none"/>
        </w:rPr>
        <w:t>5.投标分项报价表</w:t>
      </w:r>
    </w:p>
    <w:p>
      <w:pPr>
        <w:spacing w:line="400" w:lineRule="exact"/>
        <w:jc w:val="center"/>
        <w:rPr>
          <w:rFonts w:hint="eastAsia" w:ascii="宋体" w:hAnsi="宋体"/>
          <w:b/>
          <w:bCs/>
          <w:iCs/>
          <w:color w:val="auto"/>
          <w:sz w:val="36"/>
          <w:szCs w:val="36"/>
          <w:highlight w:val="none"/>
        </w:rPr>
      </w:pPr>
      <w:r>
        <w:rPr>
          <w:rFonts w:hint="eastAsia" w:ascii="宋体" w:hAnsi="宋体"/>
          <w:b/>
          <w:bCs/>
          <w:iCs/>
          <w:color w:val="auto"/>
          <w:sz w:val="36"/>
          <w:szCs w:val="36"/>
          <w:highlight w:val="none"/>
        </w:rPr>
        <w:t>投标分项报价表（明细报价表）</w:t>
      </w:r>
    </w:p>
    <w:p>
      <w:pPr>
        <w:spacing w:line="460" w:lineRule="exact"/>
        <w:rPr>
          <w:rFonts w:ascii="宋体" w:hAnsi="宋体"/>
          <w:color w:val="auto"/>
          <w:szCs w:val="24"/>
          <w:highlight w:val="none"/>
        </w:rPr>
      </w:pPr>
      <w:r>
        <w:rPr>
          <w:rFonts w:hint="eastAsia" w:ascii="宋体" w:hAnsi="宋体"/>
          <w:color w:val="auto"/>
          <w:szCs w:val="24"/>
          <w:highlight w:val="none"/>
        </w:rPr>
        <w:t>招标项目名称：</w:t>
      </w:r>
      <w:r>
        <w:rPr>
          <w:rFonts w:ascii="宋体" w:hAnsi="宋体"/>
          <w:color w:val="auto"/>
          <w:szCs w:val="24"/>
          <w:highlight w:val="none"/>
          <w:u w:val="single"/>
        </w:rPr>
        <w:t>_______</w:t>
      </w:r>
      <w:r>
        <w:rPr>
          <w:rFonts w:hint="eastAsia" w:ascii="宋体" w:hAnsi="宋体"/>
          <w:color w:val="auto"/>
          <w:szCs w:val="24"/>
          <w:highlight w:val="none"/>
          <w:u w:val="single"/>
        </w:rPr>
        <w:t xml:space="preserve">            </w:t>
      </w:r>
      <w:r>
        <w:rPr>
          <w:rFonts w:hint="eastAsia" w:ascii="宋体" w:hAnsi="宋体"/>
          <w:color w:val="auto"/>
          <w:szCs w:val="24"/>
          <w:highlight w:val="none"/>
        </w:rPr>
        <w:t>招标项目</w:t>
      </w:r>
      <w:r>
        <w:rPr>
          <w:rFonts w:hint="eastAsia" w:ascii="宋体" w:hAnsi="宋体"/>
          <w:color w:val="auto"/>
          <w:spacing w:val="14"/>
          <w:szCs w:val="24"/>
          <w:highlight w:val="none"/>
        </w:rPr>
        <w:t>编号</w:t>
      </w:r>
      <w:r>
        <w:rPr>
          <w:rFonts w:hint="eastAsia" w:ascii="宋体" w:hAnsi="宋体"/>
          <w:color w:val="auto"/>
          <w:szCs w:val="24"/>
          <w:highlight w:val="none"/>
        </w:rPr>
        <w:t>：</w:t>
      </w:r>
      <w:r>
        <w:rPr>
          <w:rFonts w:ascii="宋体" w:hAnsi="宋体"/>
          <w:color w:val="auto"/>
          <w:szCs w:val="24"/>
          <w:highlight w:val="none"/>
          <w:u w:val="single"/>
        </w:rPr>
        <w:t>_____</w:t>
      </w:r>
      <w:r>
        <w:rPr>
          <w:rFonts w:hint="eastAsia" w:ascii="宋体" w:hAnsi="宋体"/>
          <w:color w:val="auto"/>
          <w:szCs w:val="24"/>
          <w:highlight w:val="none"/>
          <w:u w:val="single"/>
        </w:rPr>
        <w:t xml:space="preserve">    </w:t>
      </w:r>
      <w:r>
        <w:rPr>
          <w:rFonts w:hint="eastAsia" w:ascii="宋体" w:hAnsi="宋体"/>
          <w:color w:val="auto"/>
          <w:szCs w:val="24"/>
          <w:highlight w:val="none"/>
        </w:rPr>
        <w:t>标包号：</w:t>
      </w:r>
      <w:r>
        <w:rPr>
          <w:rFonts w:ascii="宋体" w:hAnsi="宋体"/>
          <w:color w:val="auto"/>
          <w:szCs w:val="24"/>
          <w:highlight w:val="none"/>
          <w:u w:val="single"/>
        </w:rPr>
        <w:t xml:space="preserve">   </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r>
        <w:rPr>
          <w:rFonts w:ascii="宋体" w:hAnsi="宋体"/>
          <w:color w:val="auto"/>
          <w:szCs w:val="24"/>
          <w:highlight w:val="none"/>
        </w:rPr>
        <w:t>（</w:t>
      </w:r>
      <w:r>
        <w:rPr>
          <w:rFonts w:hint="eastAsia" w:ascii="宋体" w:hAnsi="宋体"/>
          <w:color w:val="auto"/>
          <w:szCs w:val="24"/>
          <w:highlight w:val="none"/>
        </w:rPr>
        <w:t>人民币：元/年）</w:t>
      </w:r>
    </w:p>
    <w:tbl>
      <w:tblPr>
        <w:tblStyle w:val="20"/>
        <w:tblW w:w="9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873"/>
        <w:gridCol w:w="1360"/>
        <w:gridCol w:w="1748"/>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111" w:type="dxa"/>
            <w:noWrap w:val="0"/>
            <w:vAlign w:val="center"/>
          </w:tcPr>
          <w:p>
            <w:pPr>
              <w:spacing w:line="360" w:lineRule="auto"/>
              <w:jc w:val="center"/>
              <w:rPr>
                <w:rFonts w:hint="eastAsia"/>
                <w:color w:val="auto"/>
                <w:kern w:val="2"/>
                <w:sz w:val="21"/>
                <w:szCs w:val="24"/>
                <w:highlight w:val="none"/>
                <w:vertAlign w:val="baseline"/>
                <w:lang w:val="en-US" w:eastAsia="zh-CN" w:bidi="ar-SA"/>
              </w:rPr>
            </w:pPr>
            <w:r>
              <w:rPr>
                <w:rFonts w:hint="eastAsia"/>
                <w:color w:val="auto"/>
                <w:highlight w:val="none"/>
                <w:vertAlign w:val="baseline"/>
                <w:lang w:val="en-US" w:eastAsia="zh-CN"/>
              </w:rPr>
              <w:t>序号</w:t>
            </w:r>
          </w:p>
        </w:tc>
        <w:tc>
          <w:tcPr>
            <w:tcW w:w="2873" w:type="dxa"/>
            <w:noWrap w:val="0"/>
            <w:vAlign w:val="center"/>
          </w:tcPr>
          <w:p>
            <w:pPr>
              <w:spacing w:line="360" w:lineRule="auto"/>
              <w:jc w:val="center"/>
              <w:rPr>
                <w:rFonts w:hint="eastAsia"/>
                <w:color w:val="auto"/>
                <w:kern w:val="2"/>
                <w:sz w:val="21"/>
                <w:szCs w:val="24"/>
                <w:highlight w:val="none"/>
                <w:vertAlign w:val="baseline"/>
                <w:lang w:val="en-US" w:eastAsia="zh-CN" w:bidi="ar-SA"/>
              </w:rPr>
            </w:pPr>
            <w:r>
              <w:rPr>
                <w:rFonts w:hint="eastAsia"/>
                <w:color w:val="auto"/>
                <w:highlight w:val="none"/>
                <w:vertAlign w:val="baseline"/>
                <w:lang w:val="en-US" w:eastAsia="zh-CN"/>
              </w:rPr>
              <w:t>学校（幼儿园）</w:t>
            </w:r>
          </w:p>
        </w:tc>
        <w:tc>
          <w:tcPr>
            <w:tcW w:w="1360" w:type="dxa"/>
            <w:noWrap w:val="0"/>
            <w:vAlign w:val="center"/>
          </w:tcPr>
          <w:p>
            <w:pPr>
              <w:spacing w:line="360" w:lineRule="auto"/>
              <w:jc w:val="center"/>
              <w:rPr>
                <w:rFonts w:hint="eastAsia"/>
                <w:color w:val="auto"/>
                <w:kern w:val="2"/>
                <w:sz w:val="21"/>
                <w:szCs w:val="24"/>
                <w:highlight w:val="none"/>
                <w:vertAlign w:val="baseline"/>
                <w:lang w:val="en-US" w:eastAsia="zh-CN" w:bidi="ar-SA"/>
              </w:rPr>
            </w:pPr>
            <w:r>
              <w:rPr>
                <w:rFonts w:hint="eastAsia"/>
                <w:color w:val="auto"/>
                <w:highlight w:val="none"/>
                <w:vertAlign w:val="baseline"/>
                <w:lang w:val="en-US" w:eastAsia="zh-CN"/>
              </w:rPr>
              <w:t>保安人数</w:t>
            </w:r>
          </w:p>
        </w:tc>
        <w:tc>
          <w:tcPr>
            <w:tcW w:w="1748" w:type="dxa"/>
            <w:noWrap w:val="0"/>
            <w:vAlign w:val="center"/>
          </w:tcPr>
          <w:p>
            <w:pPr>
              <w:pStyle w:val="2"/>
              <w:jc w:val="center"/>
              <w:rPr>
                <w:rFonts w:hint="default"/>
                <w:color w:val="auto"/>
                <w:highlight w:val="none"/>
                <w:vertAlign w:val="baseline"/>
                <w:lang w:val="en-US" w:eastAsia="zh-CN"/>
              </w:rPr>
            </w:pPr>
            <w:r>
              <w:rPr>
                <w:rFonts w:hint="eastAsia"/>
                <w:color w:val="auto"/>
                <w:highlight w:val="none"/>
                <w:vertAlign w:val="baseline"/>
                <w:lang w:val="en-US" w:eastAsia="zh-CN"/>
              </w:rPr>
              <w:t>单价（元/月）</w:t>
            </w:r>
          </w:p>
        </w:tc>
        <w:tc>
          <w:tcPr>
            <w:tcW w:w="2094" w:type="dxa"/>
            <w:noWrap w:val="0"/>
            <w:vAlign w:val="center"/>
          </w:tcPr>
          <w:p>
            <w:pPr>
              <w:pStyle w:val="2"/>
              <w:jc w:val="center"/>
              <w:rPr>
                <w:rFonts w:hint="default"/>
                <w:color w:val="auto"/>
                <w:highlight w:val="none"/>
                <w:vertAlign w:val="baseline"/>
                <w:lang w:val="en-US" w:eastAsia="zh-CN"/>
              </w:rPr>
            </w:pPr>
            <w:r>
              <w:rPr>
                <w:rFonts w:hint="eastAsia"/>
                <w:color w:val="auto"/>
                <w:highlight w:val="none"/>
                <w:vertAlign w:val="baseline"/>
                <w:lang w:val="en-US" w:eastAsia="zh-CN"/>
              </w:rPr>
              <w:t>年度合价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111" w:type="dxa"/>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1</w:t>
            </w:r>
          </w:p>
        </w:tc>
        <w:tc>
          <w:tcPr>
            <w:tcW w:w="2873" w:type="dxa"/>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lang w:val="en-US" w:eastAsia="zh-CN"/>
              </w:rPr>
              <w:t>潘</w:t>
            </w:r>
            <w:r>
              <w:rPr>
                <w:rFonts w:hint="eastAsia"/>
                <w:color w:val="auto"/>
                <w:highlight w:val="none"/>
                <w:lang w:eastAsia="zh-CN"/>
              </w:rPr>
              <w:t>火实验中学</w:t>
            </w:r>
          </w:p>
        </w:tc>
        <w:tc>
          <w:tcPr>
            <w:tcW w:w="1360" w:type="dxa"/>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7</w:t>
            </w:r>
          </w:p>
        </w:tc>
        <w:tc>
          <w:tcPr>
            <w:tcW w:w="1748" w:type="dxa"/>
            <w:noWrap w:val="0"/>
            <w:vAlign w:val="top"/>
          </w:tcPr>
          <w:p>
            <w:pPr>
              <w:pStyle w:val="27"/>
              <w:spacing w:before="54"/>
              <w:ind w:left="293" w:leftChars="0" w:right="285" w:rightChars="0"/>
              <w:rPr>
                <w:rFonts w:hint="default" w:ascii="Times New Roman" w:hAnsi="Times New Roman" w:eastAsia="Times New Roman" w:cs="Times New Roman"/>
                <w:color w:val="auto"/>
                <w:kern w:val="2"/>
                <w:sz w:val="21"/>
                <w:szCs w:val="24"/>
                <w:highlight w:val="none"/>
                <w:lang w:val="en-US" w:eastAsia="zh-CN" w:bidi="zh-CN"/>
              </w:rPr>
            </w:pPr>
          </w:p>
        </w:tc>
        <w:tc>
          <w:tcPr>
            <w:tcW w:w="2094" w:type="dxa"/>
            <w:noWrap w:val="0"/>
            <w:vAlign w:val="top"/>
          </w:tcPr>
          <w:p>
            <w:pPr>
              <w:pStyle w:val="27"/>
              <w:spacing w:before="114"/>
              <w:ind w:left="503" w:leftChars="0" w:right="492" w:rightChars="0"/>
              <w:rPr>
                <w:rFonts w:hint="default" w:ascii="Times New Roman" w:hAnsi="Times New Roman" w:eastAsia="Times New Roman" w:cs="Times New Roman"/>
                <w:color w:val="auto"/>
                <w:kern w:val="2"/>
                <w:sz w:val="21"/>
                <w:szCs w:val="24"/>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2</w:t>
            </w:r>
          </w:p>
        </w:tc>
        <w:tc>
          <w:tcPr>
            <w:tcW w:w="2873" w:type="dxa"/>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德培小学</w:t>
            </w:r>
          </w:p>
        </w:tc>
        <w:tc>
          <w:tcPr>
            <w:tcW w:w="1360" w:type="dxa"/>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8</w:t>
            </w:r>
          </w:p>
        </w:tc>
        <w:tc>
          <w:tcPr>
            <w:tcW w:w="1748" w:type="dxa"/>
            <w:noWrap w:val="0"/>
            <w:vAlign w:val="top"/>
          </w:tcPr>
          <w:p>
            <w:pPr>
              <w:pStyle w:val="27"/>
              <w:spacing w:before="54"/>
              <w:ind w:left="293" w:leftChars="0" w:right="285" w:rightChars="0"/>
              <w:rPr>
                <w:rFonts w:hint="default" w:ascii="Times New Roman" w:hAnsi="Times New Roman" w:eastAsia="Times New Roman" w:cs="Times New Roman"/>
                <w:color w:val="auto"/>
                <w:kern w:val="2"/>
                <w:sz w:val="21"/>
                <w:szCs w:val="24"/>
                <w:highlight w:val="none"/>
                <w:lang w:val="en-US" w:eastAsia="zh-CN" w:bidi="zh-CN"/>
              </w:rPr>
            </w:pPr>
          </w:p>
        </w:tc>
        <w:tc>
          <w:tcPr>
            <w:tcW w:w="2094" w:type="dxa"/>
            <w:noWrap w:val="0"/>
            <w:vAlign w:val="top"/>
          </w:tcPr>
          <w:p>
            <w:pPr>
              <w:pStyle w:val="27"/>
              <w:spacing w:before="113"/>
              <w:ind w:left="503" w:leftChars="0" w:right="494" w:rightChars="0"/>
              <w:rPr>
                <w:rFonts w:hint="default" w:ascii="Times New Roman" w:hAnsi="Times New Roman" w:eastAsia="Times New Roman" w:cs="Times New Roman"/>
                <w:color w:val="auto"/>
                <w:kern w:val="2"/>
                <w:sz w:val="21"/>
                <w:szCs w:val="24"/>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3</w:t>
            </w:r>
          </w:p>
        </w:tc>
        <w:tc>
          <w:tcPr>
            <w:tcW w:w="2873" w:type="dxa"/>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lang w:eastAsia="zh-CN"/>
              </w:rPr>
              <w:t>东南小学教育集团</w:t>
            </w:r>
          </w:p>
        </w:tc>
        <w:tc>
          <w:tcPr>
            <w:tcW w:w="1360" w:type="dxa"/>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13</w:t>
            </w:r>
          </w:p>
        </w:tc>
        <w:tc>
          <w:tcPr>
            <w:tcW w:w="1748" w:type="dxa"/>
            <w:noWrap w:val="0"/>
            <w:vAlign w:val="top"/>
          </w:tcPr>
          <w:p>
            <w:pPr>
              <w:pStyle w:val="27"/>
              <w:spacing w:before="54"/>
              <w:ind w:left="293" w:leftChars="0" w:right="285" w:rightChars="0"/>
              <w:rPr>
                <w:rFonts w:hint="default" w:ascii="Times New Roman" w:hAnsi="Times New Roman" w:eastAsia="Times New Roman" w:cs="Times New Roman"/>
                <w:color w:val="auto"/>
                <w:kern w:val="2"/>
                <w:sz w:val="21"/>
                <w:szCs w:val="24"/>
                <w:highlight w:val="none"/>
                <w:lang w:val="en-US" w:eastAsia="zh-CN" w:bidi="zh-CN"/>
              </w:rPr>
            </w:pPr>
          </w:p>
        </w:tc>
        <w:tc>
          <w:tcPr>
            <w:tcW w:w="2094" w:type="dxa"/>
            <w:noWrap w:val="0"/>
            <w:vAlign w:val="top"/>
          </w:tcPr>
          <w:p>
            <w:pPr>
              <w:pStyle w:val="27"/>
              <w:spacing w:before="113"/>
              <w:ind w:left="503" w:leftChars="0" w:right="494" w:rightChars="0"/>
              <w:rPr>
                <w:rFonts w:hint="default" w:ascii="Times New Roman" w:hAnsi="Times New Roman" w:eastAsia="Times New Roman" w:cs="Times New Roman"/>
                <w:color w:val="auto"/>
                <w:kern w:val="2"/>
                <w:sz w:val="21"/>
                <w:szCs w:val="24"/>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4</w:t>
            </w:r>
          </w:p>
        </w:tc>
        <w:tc>
          <w:tcPr>
            <w:tcW w:w="2873" w:type="dxa"/>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花园学校</w:t>
            </w:r>
          </w:p>
        </w:tc>
        <w:tc>
          <w:tcPr>
            <w:tcW w:w="1360" w:type="dxa"/>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6</w:t>
            </w:r>
          </w:p>
        </w:tc>
        <w:tc>
          <w:tcPr>
            <w:tcW w:w="1748" w:type="dxa"/>
            <w:noWrap w:val="0"/>
            <w:vAlign w:val="top"/>
          </w:tcPr>
          <w:p>
            <w:pPr>
              <w:pStyle w:val="27"/>
              <w:spacing w:before="54"/>
              <w:ind w:left="293" w:leftChars="0" w:right="285" w:rightChars="0"/>
              <w:rPr>
                <w:rFonts w:hint="default" w:ascii="Times New Roman" w:hAnsi="Times New Roman" w:eastAsia="Times New Roman" w:cs="Times New Roman"/>
                <w:color w:val="auto"/>
                <w:kern w:val="2"/>
                <w:sz w:val="21"/>
                <w:szCs w:val="24"/>
                <w:highlight w:val="none"/>
                <w:lang w:val="en-US" w:eastAsia="zh-CN" w:bidi="zh-CN"/>
              </w:rPr>
            </w:pPr>
          </w:p>
        </w:tc>
        <w:tc>
          <w:tcPr>
            <w:tcW w:w="2094" w:type="dxa"/>
            <w:noWrap w:val="0"/>
            <w:vAlign w:val="top"/>
          </w:tcPr>
          <w:p>
            <w:pPr>
              <w:pStyle w:val="27"/>
              <w:spacing w:before="115"/>
              <w:ind w:left="503" w:leftChars="0" w:right="494" w:rightChars="0"/>
              <w:rPr>
                <w:rFonts w:hint="default" w:ascii="Times New Roman" w:hAnsi="Times New Roman" w:eastAsia="Times New Roman" w:cs="Times New Roman"/>
                <w:color w:val="auto"/>
                <w:kern w:val="2"/>
                <w:sz w:val="21"/>
                <w:szCs w:val="24"/>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5</w:t>
            </w:r>
          </w:p>
        </w:tc>
        <w:tc>
          <w:tcPr>
            <w:tcW w:w="2873" w:type="dxa"/>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东莺幼儿园</w:t>
            </w:r>
          </w:p>
        </w:tc>
        <w:tc>
          <w:tcPr>
            <w:tcW w:w="1360" w:type="dxa"/>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6</w:t>
            </w:r>
          </w:p>
        </w:tc>
        <w:tc>
          <w:tcPr>
            <w:tcW w:w="1748" w:type="dxa"/>
            <w:noWrap w:val="0"/>
            <w:vAlign w:val="top"/>
          </w:tcPr>
          <w:p>
            <w:pPr>
              <w:pStyle w:val="27"/>
              <w:spacing w:before="54"/>
              <w:ind w:left="293" w:leftChars="0" w:right="285" w:rightChars="0"/>
              <w:rPr>
                <w:rFonts w:hint="default" w:ascii="Times New Roman" w:hAnsi="Times New Roman" w:eastAsia="Times New Roman" w:cs="Times New Roman"/>
                <w:color w:val="auto"/>
                <w:kern w:val="2"/>
                <w:sz w:val="21"/>
                <w:szCs w:val="24"/>
                <w:highlight w:val="none"/>
                <w:lang w:val="en-US" w:eastAsia="zh-CN" w:bidi="zh-CN"/>
              </w:rPr>
            </w:pPr>
          </w:p>
        </w:tc>
        <w:tc>
          <w:tcPr>
            <w:tcW w:w="2094" w:type="dxa"/>
            <w:noWrap w:val="0"/>
            <w:vAlign w:val="top"/>
          </w:tcPr>
          <w:p>
            <w:pPr>
              <w:pStyle w:val="27"/>
              <w:spacing w:before="114"/>
              <w:ind w:left="503" w:leftChars="0" w:right="494" w:rightChars="0"/>
              <w:rPr>
                <w:rFonts w:hint="default" w:ascii="Times New Roman" w:hAnsi="Times New Roman" w:eastAsia="Times New Roman" w:cs="Times New Roman"/>
                <w:color w:val="auto"/>
                <w:kern w:val="2"/>
                <w:sz w:val="21"/>
                <w:szCs w:val="24"/>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11" w:type="dxa"/>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6</w:t>
            </w:r>
          </w:p>
        </w:tc>
        <w:tc>
          <w:tcPr>
            <w:tcW w:w="2873" w:type="dxa"/>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德培幼儿园</w:t>
            </w:r>
          </w:p>
        </w:tc>
        <w:tc>
          <w:tcPr>
            <w:tcW w:w="1360" w:type="dxa"/>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4</w:t>
            </w:r>
          </w:p>
        </w:tc>
        <w:tc>
          <w:tcPr>
            <w:tcW w:w="1748" w:type="dxa"/>
            <w:noWrap w:val="0"/>
            <w:vAlign w:val="top"/>
          </w:tcPr>
          <w:p>
            <w:pPr>
              <w:pStyle w:val="27"/>
              <w:spacing w:before="54"/>
              <w:ind w:left="293" w:leftChars="0" w:right="285" w:rightChars="0"/>
              <w:rPr>
                <w:rFonts w:hint="default" w:ascii="Times New Roman" w:hAnsi="Times New Roman" w:eastAsia="Times New Roman" w:cs="Times New Roman"/>
                <w:color w:val="auto"/>
                <w:kern w:val="2"/>
                <w:sz w:val="21"/>
                <w:szCs w:val="24"/>
                <w:highlight w:val="none"/>
                <w:lang w:val="en-US" w:eastAsia="zh-CN" w:bidi="zh-CN"/>
              </w:rPr>
            </w:pPr>
          </w:p>
        </w:tc>
        <w:tc>
          <w:tcPr>
            <w:tcW w:w="2094" w:type="dxa"/>
            <w:noWrap w:val="0"/>
            <w:vAlign w:val="top"/>
          </w:tcPr>
          <w:p>
            <w:pPr>
              <w:pStyle w:val="27"/>
              <w:spacing w:before="114"/>
              <w:ind w:left="503" w:leftChars="0" w:right="494" w:rightChars="0"/>
              <w:rPr>
                <w:rFonts w:hint="default" w:ascii="Times New Roman" w:hAnsi="Times New Roman" w:eastAsia="Times New Roman" w:cs="Times New Roman"/>
                <w:color w:val="auto"/>
                <w:kern w:val="2"/>
                <w:sz w:val="21"/>
                <w:szCs w:val="24"/>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7</w:t>
            </w:r>
          </w:p>
        </w:tc>
        <w:tc>
          <w:tcPr>
            <w:tcW w:w="2873" w:type="dxa"/>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东杰幼儿园</w:t>
            </w:r>
          </w:p>
        </w:tc>
        <w:tc>
          <w:tcPr>
            <w:tcW w:w="1360" w:type="dxa"/>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4</w:t>
            </w:r>
          </w:p>
        </w:tc>
        <w:tc>
          <w:tcPr>
            <w:tcW w:w="1748" w:type="dxa"/>
            <w:noWrap w:val="0"/>
            <w:vAlign w:val="top"/>
          </w:tcPr>
          <w:p>
            <w:pPr>
              <w:pStyle w:val="27"/>
              <w:spacing w:before="54"/>
              <w:ind w:left="293" w:leftChars="0" w:right="285" w:rightChars="0"/>
              <w:rPr>
                <w:rFonts w:hint="default" w:ascii="Times New Roman" w:hAnsi="Times New Roman" w:eastAsia="Times New Roman" w:cs="Times New Roman"/>
                <w:color w:val="auto"/>
                <w:kern w:val="2"/>
                <w:sz w:val="21"/>
                <w:szCs w:val="24"/>
                <w:highlight w:val="none"/>
                <w:lang w:val="en-US" w:eastAsia="zh-CN" w:bidi="zh-CN"/>
              </w:rPr>
            </w:pPr>
          </w:p>
        </w:tc>
        <w:tc>
          <w:tcPr>
            <w:tcW w:w="2094" w:type="dxa"/>
            <w:noWrap w:val="0"/>
            <w:vAlign w:val="top"/>
          </w:tcPr>
          <w:p>
            <w:pPr>
              <w:pStyle w:val="27"/>
              <w:spacing w:before="114"/>
              <w:ind w:left="503" w:leftChars="0" w:right="494" w:rightChars="0"/>
              <w:rPr>
                <w:rFonts w:hint="default" w:ascii="Times New Roman" w:hAnsi="Times New Roman" w:eastAsia="Times New Roman" w:cs="Times New Roman"/>
                <w:color w:val="auto"/>
                <w:kern w:val="2"/>
                <w:sz w:val="21"/>
                <w:szCs w:val="24"/>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8</w:t>
            </w:r>
          </w:p>
        </w:tc>
        <w:tc>
          <w:tcPr>
            <w:tcW w:w="2873" w:type="dxa"/>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紫郡幼儿园</w:t>
            </w:r>
          </w:p>
        </w:tc>
        <w:tc>
          <w:tcPr>
            <w:tcW w:w="1360" w:type="dxa"/>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4</w:t>
            </w:r>
          </w:p>
        </w:tc>
        <w:tc>
          <w:tcPr>
            <w:tcW w:w="1748" w:type="dxa"/>
            <w:noWrap w:val="0"/>
            <w:vAlign w:val="top"/>
          </w:tcPr>
          <w:p>
            <w:pPr>
              <w:pStyle w:val="27"/>
              <w:spacing w:before="54"/>
              <w:ind w:left="293" w:leftChars="0" w:right="285" w:rightChars="0"/>
              <w:rPr>
                <w:rFonts w:hint="default" w:ascii="Times New Roman" w:hAnsi="Times New Roman" w:eastAsia="Times New Roman" w:cs="Times New Roman"/>
                <w:color w:val="auto"/>
                <w:kern w:val="2"/>
                <w:sz w:val="21"/>
                <w:szCs w:val="24"/>
                <w:highlight w:val="none"/>
                <w:lang w:val="en-US" w:eastAsia="zh-CN" w:bidi="zh-CN"/>
              </w:rPr>
            </w:pPr>
          </w:p>
        </w:tc>
        <w:tc>
          <w:tcPr>
            <w:tcW w:w="2094" w:type="dxa"/>
            <w:noWrap w:val="0"/>
            <w:vAlign w:val="top"/>
          </w:tcPr>
          <w:p>
            <w:pPr>
              <w:pStyle w:val="27"/>
              <w:spacing w:before="113"/>
              <w:ind w:left="503" w:leftChars="0" w:right="494" w:rightChars="0"/>
              <w:rPr>
                <w:rFonts w:hint="default" w:ascii="Times New Roman" w:hAnsi="Times New Roman" w:eastAsia="Times New Roman" w:cs="Times New Roman"/>
                <w:color w:val="auto"/>
                <w:kern w:val="2"/>
                <w:sz w:val="21"/>
                <w:szCs w:val="24"/>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9</w:t>
            </w:r>
          </w:p>
        </w:tc>
        <w:tc>
          <w:tcPr>
            <w:tcW w:w="2873" w:type="dxa"/>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潘火中心幼儿园</w:t>
            </w:r>
          </w:p>
        </w:tc>
        <w:tc>
          <w:tcPr>
            <w:tcW w:w="1360" w:type="dxa"/>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8</w:t>
            </w:r>
          </w:p>
        </w:tc>
        <w:tc>
          <w:tcPr>
            <w:tcW w:w="1748" w:type="dxa"/>
            <w:noWrap w:val="0"/>
            <w:vAlign w:val="top"/>
          </w:tcPr>
          <w:p>
            <w:pPr>
              <w:pStyle w:val="27"/>
              <w:spacing w:before="54"/>
              <w:ind w:left="293" w:leftChars="0" w:right="285" w:rightChars="0"/>
              <w:rPr>
                <w:rFonts w:hint="default" w:ascii="Times New Roman" w:hAnsi="Times New Roman" w:eastAsia="Times New Roman" w:cs="Times New Roman"/>
                <w:color w:val="auto"/>
                <w:kern w:val="2"/>
                <w:sz w:val="21"/>
                <w:szCs w:val="24"/>
                <w:highlight w:val="none"/>
                <w:lang w:val="en-US" w:eastAsia="zh-CN" w:bidi="zh-CN"/>
              </w:rPr>
            </w:pPr>
          </w:p>
        </w:tc>
        <w:tc>
          <w:tcPr>
            <w:tcW w:w="2094" w:type="dxa"/>
            <w:noWrap w:val="0"/>
            <w:vAlign w:val="top"/>
          </w:tcPr>
          <w:p>
            <w:pPr>
              <w:pStyle w:val="27"/>
              <w:spacing w:before="113"/>
              <w:ind w:left="503" w:leftChars="0" w:right="494" w:rightChars="0"/>
              <w:rPr>
                <w:rFonts w:hint="default" w:ascii="Times New Roman" w:hAnsi="Times New Roman" w:eastAsia="Times New Roman" w:cs="Times New Roman"/>
                <w:color w:val="auto"/>
                <w:kern w:val="2"/>
                <w:sz w:val="21"/>
                <w:szCs w:val="24"/>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10</w:t>
            </w:r>
          </w:p>
        </w:tc>
        <w:tc>
          <w:tcPr>
            <w:tcW w:w="2873" w:type="dxa"/>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上上幼儿园</w:t>
            </w:r>
          </w:p>
        </w:tc>
        <w:tc>
          <w:tcPr>
            <w:tcW w:w="1360" w:type="dxa"/>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2</w:t>
            </w:r>
          </w:p>
        </w:tc>
        <w:tc>
          <w:tcPr>
            <w:tcW w:w="1748" w:type="dxa"/>
            <w:noWrap w:val="0"/>
            <w:vAlign w:val="top"/>
          </w:tcPr>
          <w:p>
            <w:pPr>
              <w:pStyle w:val="27"/>
              <w:spacing w:before="54"/>
              <w:ind w:left="293" w:leftChars="0" w:right="285" w:rightChars="0"/>
              <w:rPr>
                <w:rFonts w:hint="default" w:ascii="Times New Roman" w:hAnsi="Times New Roman" w:eastAsia="Times New Roman" w:cs="Times New Roman"/>
                <w:color w:val="auto"/>
                <w:kern w:val="2"/>
                <w:sz w:val="21"/>
                <w:szCs w:val="24"/>
                <w:highlight w:val="none"/>
                <w:lang w:val="en-US" w:eastAsia="zh-CN" w:bidi="zh-CN"/>
              </w:rPr>
            </w:pPr>
          </w:p>
        </w:tc>
        <w:tc>
          <w:tcPr>
            <w:tcW w:w="2094" w:type="dxa"/>
            <w:noWrap w:val="0"/>
            <w:vAlign w:val="top"/>
          </w:tcPr>
          <w:p>
            <w:pPr>
              <w:pStyle w:val="27"/>
              <w:spacing w:before="115"/>
              <w:ind w:left="503" w:leftChars="0" w:right="492" w:rightChars="0"/>
              <w:rPr>
                <w:rFonts w:hint="default" w:ascii="Times New Roman" w:hAnsi="Times New Roman" w:eastAsia="Times New Roman" w:cs="Times New Roman"/>
                <w:color w:val="auto"/>
                <w:kern w:val="2"/>
                <w:sz w:val="21"/>
                <w:szCs w:val="24"/>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11</w:t>
            </w:r>
          </w:p>
        </w:tc>
        <w:tc>
          <w:tcPr>
            <w:tcW w:w="2873" w:type="dxa"/>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格兰春天幼儿园</w:t>
            </w:r>
          </w:p>
        </w:tc>
        <w:tc>
          <w:tcPr>
            <w:tcW w:w="1360" w:type="dxa"/>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2</w:t>
            </w:r>
          </w:p>
        </w:tc>
        <w:tc>
          <w:tcPr>
            <w:tcW w:w="1748" w:type="dxa"/>
            <w:noWrap w:val="0"/>
            <w:vAlign w:val="top"/>
          </w:tcPr>
          <w:p>
            <w:pPr>
              <w:pStyle w:val="27"/>
              <w:spacing w:before="54"/>
              <w:ind w:left="293" w:leftChars="0" w:right="285" w:rightChars="0"/>
              <w:rPr>
                <w:rFonts w:hint="default" w:ascii="Times New Roman" w:hAnsi="Times New Roman" w:eastAsia="Times New Roman" w:cs="Times New Roman"/>
                <w:color w:val="auto"/>
                <w:kern w:val="2"/>
                <w:sz w:val="21"/>
                <w:szCs w:val="24"/>
                <w:highlight w:val="none"/>
                <w:lang w:val="en-US" w:eastAsia="zh-CN" w:bidi="zh-CN"/>
              </w:rPr>
            </w:pPr>
          </w:p>
        </w:tc>
        <w:tc>
          <w:tcPr>
            <w:tcW w:w="2094" w:type="dxa"/>
            <w:noWrap w:val="0"/>
            <w:vAlign w:val="top"/>
          </w:tcPr>
          <w:p>
            <w:pPr>
              <w:pStyle w:val="27"/>
              <w:spacing w:before="114"/>
              <w:ind w:left="503" w:leftChars="0" w:right="492" w:rightChars="0"/>
              <w:rPr>
                <w:rFonts w:hint="default" w:ascii="Times New Roman" w:hAnsi="Times New Roman" w:eastAsia="Times New Roman" w:cs="Times New Roman"/>
                <w:color w:val="auto"/>
                <w:kern w:val="2"/>
                <w:sz w:val="21"/>
                <w:szCs w:val="24"/>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12</w:t>
            </w:r>
          </w:p>
        </w:tc>
        <w:tc>
          <w:tcPr>
            <w:tcW w:w="2873" w:type="dxa"/>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区实验幼儿园</w:t>
            </w:r>
          </w:p>
        </w:tc>
        <w:tc>
          <w:tcPr>
            <w:tcW w:w="1360" w:type="dxa"/>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4</w:t>
            </w:r>
          </w:p>
        </w:tc>
        <w:tc>
          <w:tcPr>
            <w:tcW w:w="1748" w:type="dxa"/>
            <w:noWrap w:val="0"/>
            <w:vAlign w:val="top"/>
          </w:tcPr>
          <w:p>
            <w:pPr>
              <w:pStyle w:val="27"/>
              <w:spacing w:before="54"/>
              <w:ind w:left="293" w:leftChars="0" w:right="285" w:rightChars="0"/>
              <w:rPr>
                <w:rFonts w:hint="default" w:ascii="Times New Roman" w:hAnsi="Times New Roman" w:eastAsia="Times New Roman" w:cs="Times New Roman"/>
                <w:color w:val="auto"/>
                <w:kern w:val="2"/>
                <w:sz w:val="21"/>
                <w:szCs w:val="24"/>
                <w:highlight w:val="none"/>
                <w:lang w:val="en-US" w:eastAsia="zh-CN" w:bidi="zh-CN"/>
              </w:rPr>
            </w:pPr>
          </w:p>
        </w:tc>
        <w:tc>
          <w:tcPr>
            <w:tcW w:w="2094" w:type="dxa"/>
            <w:noWrap w:val="0"/>
            <w:vAlign w:val="top"/>
          </w:tcPr>
          <w:p>
            <w:pPr>
              <w:pStyle w:val="27"/>
              <w:spacing w:before="114"/>
              <w:ind w:left="503" w:leftChars="0" w:right="494" w:rightChars="0"/>
              <w:rPr>
                <w:rFonts w:hint="default" w:ascii="Times New Roman" w:hAnsi="Times New Roman" w:eastAsia="Times New Roman" w:cs="Times New Roman"/>
                <w:color w:val="auto"/>
                <w:kern w:val="2"/>
                <w:sz w:val="21"/>
                <w:szCs w:val="24"/>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11" w:type="dxa"/>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13</w:t>
            </w:r>
          </w:p>
        </w:tc>
        <w:tc>
          <w:tcPr>
            <w:tcW w:w="2873" w:type="dxa"/>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合计</w:t>
            </w:r>
          </w:p>
        </w:tc>
        <w:tc>
          <w:tcPr>
            <w:tcW w:w="1360" w:type="dxa"/>
            <w:noWrap w:val="0"/>
            <w:vAlign w:val="center"/>
          </w:tcPr>
          <w:p>
            <w:pPr>
              <w:spacing w:line="360" w:lineRule="auto"/>
              <w:jc w:val="center"/>
              <w:rPr>
                <w:rFonts w:hint="default"/>
                <w:color w:val="auto"/>
                <w:kern w:val="2"/>
                <w:sz w:val="21"/>
                <w:szCs w:val="24"/>
                <w:highlight w:val="none"/>
                <w:vertAlign w:val="baseline"/>
                <w:lang w:val="en-US" w:eastAsia="zh-CN" w:bidi="ar-SA"/>
              </w:rPr>
            </w:pPr>
            <w:r>
              <w:rPr>
                <w:rFonts w:hint="eastAsia"/>
                <w:color w:val="auto"/>
                <w:highlight w:val="none"/>
                <w:vertAlign w:val="baseline"/>
                <w:lang w:val="en-US" w:eastAsia="zh-CN"/>
              </w:rPr>
              <w:t>68</w:t>
            </w:r>
          </w:p>
        </w:tc>
        <w:tc>
          <w:tcPr>
            <w:tcW w:w="1748" w:type="dxa"/>
            <w:noWrap w:val="0"/>
            <w:vAlign w:val="top"/>
          </w:tcPr>
          <w:p>
            <w:pPr>
              <w:pStyle w:val="27"/>
              <w:spacing w:before="0"/>
              <w:ind w:left="0" w:leftChars="0"/>
              <w:jc w:val="left"/>
              <w:rPr>
                <w:rFonts w:hint="default" w:ascii="Times New Roman" w:hAnsi="Times New Roman" w:eastAsia="Times New Roman" w:cs="Times New Roman"/>
                <w:color w:val="auto"/>
                <w:kern w:val="2"/>
                <w:sz w:val="20"/>
                <w:szCs w:val="24"/>
                <w:highlight w:val="none"/>
                <w:lang w:val="en-US" w:eastAsia="zh-CN" w:bidi="zh-CN"/>
              </w:rPr>
            </w:pPr>
          </w:p>
        </w:tc>
        <w:tc>
          <w:tcPr>
            <w:tcW w:w="2094" w:type="dxa"/>
            <w:noWrap w:val="0"/>
            <w:vAlign w:val="top"/>
          </w:tcPr>
          <w:p>
            <w:pPr>
              <w:pStyle w:val="27"/>
              <w:spacing w:before="54"/>
              <w:ind w:left="503" w:leftChars="0" w:right="494" w:rightChars="0"/>
              <w:rPr>
                <w:rFonts w:hint="default" w:ascii="Times New Roman" w:hAnsi="Times New Roman" w:eastAsia="Times New Roman" w:cs="Times New Roman"/>
                <w:color w:val="auto"/>
                <w:kern w:val="2"/>
                <w:sz w:val="21"/>
                <w:szCs w:val="24"/>
                <w:highlight w:val="none"/>
                <w:lang w:val="en-US" w:eastAsia="zh-CN" w:bidi="zh-CN"/>
              </w:rPr>
            </w:pPr>
          </w:p>
        </w:tc>
      </w:tr>
    </w:tbl>
    <w:p>
      <w:pPr>
        <w:spacing w:line="600" w:lineRule="exact"/>
        <w:rPr>
          <w:rFonts w:hint="eastAsia" w:ascii="宋体" w:hAnsi="宋体" w:cs="宋体"/>
          <w:b/>
          <w:color w:val="auto"/>
          <w:highlight w:val="none"/>
        </w:rPr>
      </w:pPr>
      <w:r>
        <w:rPr>
          <w:rFonts w:hint="eastAsia" w:ascii="宋体" w:hAnsi="宋体" w:cs="宋体"/>
          <w:b/>
          <w:color w:val="auto"/>
          <w:highlight w:val="none"/>
        </w:rPr>
        <w:t>备注：费用构成中的人工费用部分必须提供各岗位人员年度费用构成明细，可另附表说明（按预算格式报价）。投标人用工须符合劳动法等法律法规要求。</w:t>
      </w:r>
    </w:p>
    <w:p>
      <w:pPr>
        <w:spacing w:line="600" w:lineRule="exact"/>
        <w:rPr>
          <w:rFonts w:hint="eastAsia" w:ascii="宋体" w:hAnsi="宋体" w:cs="宋体"/>
          <w:color w:val="auto"/>
          <w:highlight w:val="none"/>
        </w:rPr>
      </w:pPr>
    </w:p>
    <w:p>
      <w:pPr>
        <w:tabs>
          <w:tab w:val="left" w:pos="0"/>
        </w:tabs>
        <w:spacing w:line="400" w:lineRule="exact"/>
        <w:ind w:left="525"/>
        <w:rPr>
          <w:rFonts w:hint="eastAsia" w:ascii="宋体" w:hAnsi="宋体"/>
          <w:color w:val="auto"/>
          <w:szCs w:val="21"/>
          <w:highlight w:val="none"/>
        </w:rPr>
      </w:pPr>
      <w:r>
        <w:rPr>
          <w:rFonts w:hint="eastAsia" w:ascii="宋体" w:hAnsi="宋体"/>
          <w:color w:val="auto"/>
          <w:szCs w:val="21"/>
          <w:highlight w:val="none"/>
        </w:rPr>
        <w:t xml:space="preserve">投标人(盖章)：          </w:t>
      </w:r>
    </w:p>
    <w:p>
      <w:pPr>
        <w:tabs>
          <w:tab w:val="left" w:pos="0"/>
        </w:tabs>
        <w:spacing w:line="400" w:lineRule="exact"/>
        <w:ind w:left="525"/>
        <w:rPr>
          <w:rFonts w:hint="eastAsia" w:ascii="宋体" w:hAnsi="宋体"/>
          <w:color w:val="auto"/>
          <w:szCs w:val="21"/>
          <w:highlight w:val="none"/>
        </w:rPr>
      </w:pPr>
      <w:r>
        <w:rPr>
          <w:rFonts w:hint="eastAsia" w:ascii="宋体" w:hAnsi="宋体"/>
          <w:color w:val="auto"/>
          <w:szCs w:val="21"/>
          <w:highlight w:val="none"/>
        </w:rPr>
        <w:t xml:space="preserve">投标人法定代表人或其授权代表（签字或盖章）：          </w:t>
      </w:r>
    </w:p>
    <w:p>
      <w:pPr>
        <w:tabs>
          <w:tab w:val="left" w:pos="0"/>
        </w:tabs>
        <w:spacing w:line="400" w:lineRule="exact"/>
        <w:ind w:left="525"/>
        <w:rPr>
          <w:rFonts w:ascii="宋体" w:hAnsi="宋体"/>
          <w:color w:val="auto"/>
          <w:szCs w:val="21"/>
          <w:highlight w:val="none"/>
        </w:rPr>
      </w:pPr>
      <w:r>
        <w:rPr>
          <w:rFonts w:hint="eastAsia" w:ascii="宋体" w:hAnsi="宋体"/>
          <w:color w:val="auto"/>
          <w:szCs w:val="21"/>
          <w:highlight w:val="none"/>
        </w:rPr>
        <w:t xml:space="preserve">日期：    年  月   日 </w:t>
      </w:r>
    </w:p>
    <w:p>
      <w:pPr>
        <w:rPr>
          <w:color w:val="auto"/>
          <w:highlight w:val="none"/>
        </w:rPr>
      </w:pPr>
    </w:p>
    <w:p>
      <w:pPr>
        <w:pStyle w:val="11"/>
        <w:snapToGrid w:val="0"/>
        <w:spacing w:before="295" w:after="295"/>
        <w:rPr>
          <w:rFonts w:hint="eastAsia" w:hAnsi="宋体" w:cs="宋体"/>
          <w:color w:val="auto"/>
          <w:highlight w:val="none"/>
        </w:rPr>
        <w:sectPr>
          <w:headerReference r:id="rId9" w:type="default"/>
          <w:footerReference r:id="rId10" w:type="default"/>
          <w:pgSz w:w="11906" w:h="16838"/>
          <w:pgMar w:top="1304" w:right="1797" w:bottom="1247" w:left="1797" w:header="720" w:footer="720" w:gutter="0"/>
          <w:cols w:space="720" w:num="1"/>
          <w:titlePg/>
          <w:docGrid w:linePitch="285" w:charSpace="0"/>
        </w:sectPr>
      </w:pPr>
    </w:p>
    <w:p>
      <w:pPr>
        <w:pStyle w:val="10"/>
        <w:ind w:left="0" w:leftChars="0"/>
        <w:rPr>
          <w:rFonts w:hint="eastAsia" w:ascii="宋体" w:hAnsi="宋体" w:cs="宋体"/>
          <w:color w:val="auto"/>
          <w:highlight w:val="none"/>
        </w:rPr>
      </w:pPr>
      <w:r>
        <w:rPr>
          <w:rFonts w:hint="eastAsia" w:ascii="宋体" w:hAnsi="宋体" w:cs="宋体"/>
          <w:b/>
          <w:bCs/>
          <w:color w:val="auto"/>
          <w:highlight w:val="none"/>
        </w:rPr>
        <w:t>6.中小企业声明函</w:t>
      </w:r>
    </w:p>
    <w:p>
      <w:pPr>
        <w:pStyle w:val="10"/>
        <w:spacing w:line="520" w:lineRule="exact"/>
        <w:jc w:val="center"/>
        <w:rPr>
          <w:rFonts w:hint="eastAsia" w:ascii="宋体" w:hAnsi="宋体" w:cs="宋体"/>
          <w:b/>
          <w:color w:val="auto"/>
          <w:sz w:val="28"/>
          <w:highlight w:val="none"/>
        </w:rPr>
      </w:pPr>
      <w:r>
        <w:rPr>
          <w:rFonts w:hint="eastAsia" w:ascii="宋体" w:hAnsi="宋体" w:cs="宋体"/>
          <w:b/>
          <w:color w:val="auto"/>
          <w:sz w:val="28"/>
          <w:szCs w:val="28"/>
          <w:highlight w:val="none"/>
        </w:rPr>
        <w:t>中小企业声明函</w:t>
      </w:r>
    </w:p>
    <w:p>
      <w:pPr>
        <w:spacing w:line="588" w:lineRule="exact"/>
        <w:rPr>
          <w:rFonts w:hint="eastAsia" w:ascii="宋体" w:hAnsi="宋体" w:cs="宋体"/>
          <w:b/>
          <w:color w:val="auto"/>
          <w:spacing w:val="6"/>
          <w:sz w:val="30"/>
          <w:szCs w:val="30"/>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根据财政部《政府采购促进中小企业发展暂行办法》（财库[2011]181号）和宁波市财政局《关于政府采购促进中小企业发展若干问题的通知》（甬采购办[2012]1427号）的规定，本单位郑重声明：   </w:t>
      </w:r>
    </w:p>
    <w:p>
      <w:pPr>
        <w:numPr>
          <w:ilvl w:val="0"/>
          <w:numId w:val="13"/>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依据工业和信息化部、国家统计局、国家发展和改革委员会、财政部《关于印发中小企业划型标准规定的通知》（工信部联企业[2011]300号）规定的划分标准，本单位为______（大型、中型、小型、微型、不划型）企业，其中所属行业为_____________、上年末从业人员____人、上年营业收入____万元、上年资产总额____万元。</w:t>
      </w:r>
    </w:p>
    <w:p>
      <w:pPr>
        <w:numPr>
          <w:ilvl w:val="0"/>
          <w:numId w:val="13"/>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参加______项目（项目编号______标段/包______）采购活动，项目的市场价格为_____万元，本次投标价格为_____万元，其中由本单位承担工程金额为_____万元，由本单位提供服务金额为_____万元，提供本单位制造的货物金额为_____万元，或者提供其他大型企业制造的货物金额为_____万元、其他中型企业制造的货物金额为_____万元、其他小型企业制造的货物金额为_____万元、其他微型企业制造的货物金额为_____万元。原产地为中国境内货物金额为_____万元、原产地为宁波货物金额为_____万元，列入国家节能产品清单货物金额为_____万元，列入国家环境标志产品清单货物金额为_____万元。</w:t>
      </w:r>
    </w:p>
    <w:p>
      <w:pPr>
        <w:numPr>
          <w:ilvl w:val="0"/>
          <w:numId w:val="13"/>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供应商名称（盖章）：</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日 期：</w:t>
      </w:r>
    </w:p>
    <w:p>
      <w:pPr>
        <w:pStyle w:val="10"/>
        <w:spacing w:line="520" w:lineRule="exact"/>
        <w:rPr>
          <w:rFonts w:hint="eastAsia" w:ascii="宋体" w:hAnsi="宋体" w:cs="宋体"/>
          <w:b/>
          <w:color w:val="auto"/>
          <w:highlight w:val="none"/>
        </w:rPr>
      </w:pPr>
      <w:r>
        <w:rPr>
          <w:rFonts w:hint="eastAsia" w:ascii="宋体" w:hAnsi="宋体" w:cs="宋体"/>
          <w:color w:val="auto"/>
          <w:highlight w:val="none"/>
        </w:rPr>
        <w:br w:type="page"/>
      </w:r>
      <w:r>
        <w:rPr>
          <w:rFonts w:hint="eastAsia" w:ascii="宋体" w:hAnsi="宋体" w:cs="宋体"/>
          <w:b/>
          <w:color w:val="auto"/>
          <w:highlight w:val="none"/>
        </w:rPr>
        <w:t>填写说明：</w:t>
      </w:r>
    </w:p>
    <w:p>
      <w:pPr>
        <w:pStyle w:val="10"/>
        <w:spacing w:line="520" w:lineRule="exact"/>
        <w:rPr>
          <w:rFonts w:hint="eastAsia" w:ascii="宋体" w:hAnsi="宋体" w:cs="宋体"/>
          <w:color w:val="auto"/>
          <w:highlight w:val="none"/>
        </w:rPr>
      </w:pPr>
      <w:r>
        <w:rPr>
          <w:rFonts w:hint="eastAsia" w:ascii="宋体" w:hAnsi="宋体" w:cs="宋体"/>
          <w:color w:val="auto"/>
          <w:highlight w:val="none"/>
        </w:rPr>
        <w:t>1、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pPr>
        <w:pStyle w:val="10"/>
        <w:spacing w:line="520" w:lineRule="exact"/>
        <w:rPr>
          <w:rFonts w:hint="eastAsia" w:ascii="宋体" w:hAnsi="宋体" w:cs="宋体"/>
          <w:color w:val="auto"/>
          <w:highlight w:val="none"/>
        </w:rPr>
      </w:pPr>
      <w:r>
        <w:rPr>
          <w:rFonts w:hint="eastAsia" w:ascii="宋体" w:hAnsi="宋体" w:cs="宋体"/>
          <w:color w:val="auto"/>
          <w:highlight w:val="none"/>
        </w:rPr>
        <w:t>2、第1条宁波政府采购网（www.nbzfcg.cn）注册的企业供应商须根据上年财务报表等，登录进入网上供应商平台中“供应商账户管理”-“单位信息”模块，对照前款说明，可选择“所属行业”，如实填写修改上年末从业人员____人、上年营业收入____万元、上年资产总额____万元等数据，新成立企业暂以当前实际数据填报，重新点击会自动显示修改后企业划型信息，事业社团其他类型供应商不划型。</w:t>
      </w:r>
    </w:p>
    <w:p>
      <w:pPr>
        <w:pStyle w:val="10"/>
        <w:spacing w:line="520" w:lineRule="exact"/>
        <w:rPr>
          <w:rFonts w:hint="eastAsia" w:ascii="宋体" w:hAnsi="宋体" w:cs="宋体"/>
          <w:color w:val="auto"/>
          <w:highlight w:val="none"/>
        </w:rPr>
      </w:pPr>
      <w:r>
        <w:rPr>
          <w:rFonts w:hint="eastAsia" w:ascii="宋体" w:hAnsi="宋体" w:cs="宋体"/>
          <w:color w:val="auto"/>
          <w:highlight w:val="none"/>
        </w:rPr>
        <w:t>3、第2条有多个标包的，须按每个标包分别填写，无此分类货物金额的应填“零”。</w:t>
      </w:r>
    </w:p>
    <w:p>
      <w:pPr>
        <w:pStyle w:val="10"/>
        <w:spacing w:line="520" w:lineRule="exact"/>
        <w:rPr>
          <w:rFonts w:hint="eastAsia" w:ascii="宋体" w:hAnsi="宋体" w:cs="宋体"/>
          <w:color w:val="auto"/>
          <w:highlight w:val="none"/>
        </w:rPr>
      </w:pPr>
      <w:r>
        <w:rPr>
          <w:rFonts w:hint="eastAsia" w:ascii="宋体" w:hAnsi="宋体" w:cs="宋体"/>
          <w:color w:val="auto"/>
          <w:highlight w:val="none"/>
        </w:rPr>
        <w:t>4、联合体投标的，由联合体主办方提供本表。</w:t>
      </w:r>
    </w:p>
    <w:p>
      <w:pPr>
        <w:pStyle w:val="10"/>
        <w:spacing w:line="520" w:lineRule="exact"/>
        <w:rPr>
          <w:rFonts w:hint="eastAsia" w:ascii="宋体" w:hAnsi="宋体" w:cs="宋体"/>
          <w:color w:val="auto"/>
          <w:highlight w:val="none"/>
        </w:rPr>
      </w:pPr>
      <w:r>
        <w:rPr>
          <w:rFonts w:hint="eastAsia" w:ascii="宋体" w:hAnsi="宋体" w:cs="宋体"/>
          <w:color w:val="auto"/>
          <w:highlight w:val="none"/>
        </w:rPr>
        <w:t>5、资格入围式项目（一个标包由多家中标入围）：采购人公布项目预算的，第2条有关金额按市场预估总价、投标预估总价除以入围数量填写；未公布预算的或入围数量的，供应商无需填写。</w:t>
      </w:r>
    </w:p>
    <w:p>
      <w:pPr>
        <w:pStyle w:val="10"/>
        <w:spacing w:line="520" w:lineRule="exact"/>
        <w:rPr>
          <w:rFonts w:hint="eastAsia" w:ascii="宋体" w:hAnsi="宋体" w:cs="宋体"/>
          <w:color w:val="auto"/>
          <w:highlight w:val="none"/>
        </w:rPr>
      </w:pPr>
      <w:r>
        <w:rPr>
          <w:rFonts w:hint="eastAsia" w:ascii="宋体" w:hAnsi="宋体" w:cs="宋体"/>
          <w:color w:val="auto"/>
          <w:highlight w:val="none"/>
        </w:rPr>
        <w:t>6、投标价格为费率的项目、中标价格按单价执行的项目：采购人公布项目预算的，第2条有关金额按市场预估总价、投标预估总价填写；未公布预算的，供应商无需填写。</w:t>
      </w:r>
    </w:p>
    <w:p>
      <w:pPr>
        <w:pStyle w:val="10"/>
        <w:spacing w:line="520" w:lineRule="exact"/>
        <w:rPr>
          <w:rFonts w:hint="eastAsia" w:ascii="宋体" w:hAnsi="宋体" w:cs="宋体"/>
          <w:color w:val="auto"/>
          <w:highlight w:val="none"/>
        </w:rPr>
      </w:pPr>
      <w:r>
        <w:rPr>
          <w:rFonts w:hint="eastAsia" w:ascii="宋体" w:hAnsi="宋体" w:cs="宋体"/>
          <w:color w:val="auto"/>
          <w:highlight w:val="none"/>
        </w:rPr>
        <w:t>7、列入国家节能产品清单、环保产品清单的产品以中国政府采购网(www.ccgp.gov.cn)上财政部发布的文件为准。</w:t>
      </w:r>
    </w:p>
    <w:p>
      <w:pPr>
        <w:spacing w:line="360" w:lineRule="auto"/>
        <w:rPr>
          <w:rFonts w:hint="eastAsia" w:ascii="宋体" w:hAnsi="宋体" w:cs="宋体"/>
          <w:b/>
          <w:bCs/>
          <w:color w:val="auto"/>
          <w:highlight w:val="none"/>
          <w:lang w:bidi="ar"/>
        </w:rPr>
      </w:pPr>
      <w:r>
        <w:rPr>
          <w:rFonts w:hint="eastAsia" w:ascii="宋体" w:hAnsi="宋体" w:cs="宋体"/>
          <w:b/>
          <w:color w:val="auto"/>
          <w:szCs w:val="21"/>
          <w:highlight w:val="none"/>
        </w:rPr>
        <w:br w:type="page"/>
      </w:r>
      <w:r>
        <w:rPr>
          <w:rFonts w:hint="eastAsia" w:ascii="宋体" w:hAnsi="宋体" w:cs="宋体"/>
          <w:b/>
          <w:bCs/>
          <w:color w:val="auto"/>
          <w:szCs w:val="21"/>
          <w:highlight w:val="none"/>
        </w:rPr>
        <w:t>7.残疾人福利性单位声明函</w:t>
      </w:r>
    </w:p>
    <w:p>
      <w:pPr>
        <w:spacing w:line="588" w:lineRule="exact"/>
        <w:jc w:val="center"/>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t>残疾人福利性单位声明函</w:t>
      </w:r>
    </w:p>
    <w:p>
      <w:pPr>
        <w:spacing w:line="588" w:lineRule="exact"/>
        <w:rPr>
          <w:rFonts w:hint="eastAsia" w:ascii="宋体" w:hAnsi="宋体" w:cs="宋体"/>
          <w:b/>
          <w:color w:val="auto"/>
          <w:spacing w:val="6"/>
          <w:szCs w:val="21"/>
          <w:highlight w:val="none"/>
        </w:rPr>
      </w:pPr>
    </w:p>
    <w:p>
      <w:pPr>
        <w:spacing w:line="588" w:lineRule="exact"/>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cs="宋体"/>
          <w:color w:val="auto"/>
          <w:szCs w:val="21"/>
          <w:highlight w:val="none"/>
        </w:rPr>
        <w:t>〔2017〕 141</w:t>
      </w:r>
      <w:r>
        <w:rPr>
          <w:rFonts w:hint="eastAsia" w:ascii="宋体" w:hAnsi="宋体" w:cs="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本单位对上述声明的真实性负责。如有虚假，将依法承担相应责任。</w:t>
      </w:r>
    </w:p>
    <w:p>
      <w:pPr>
        <w:spacing w:line="588" w:lineRule="exact"/>
        <w:ind w:firstLine="444" w:firstLineChars="200"/>
        <w:rPr>
          <w:rFonts w:hint="eastAsia" w:ascii="宋体" w:hAnsi="宋体" w:cs="宋体"/>
          <w:color w:val="auto"/>
          <w:spacing w:val="6"/>
          <w:szCs w:val="21"/>
          <w:highlight w:val="none"/>
        </w:rPr>
      </w:pPr>
    </w:p>
    <w:p>
      <w:pPr>
        <w:spacing w:line="588" w:lineRule="exact"/>
        <w:ind w:firstLine="444" w:firstLineChars="200"/>
        <w:rPr>
          <w:rFonts w:hint="eastAsia" w:ascii="宋体" w:hAnsi="宋体" w:cs="宋体"/>
          <w:color w:val="auto"/>
          <w:spacing w:val="6"/>
          <w:szCs w:val="21"/>
          <w:highlight w:val="none"/>
        </w:rPr>
      </w:pPr>
    </w:p>
    <w:p>
      <w:pPr>
        <w:tabs>
          <w:tab w:val="left" w:pos="4860"/>
        </w:tabs>
        <w:spacing w:line="588" w:lineRule="exact"/>
        <w:ind w:right="1560" w:firstLine="444" w:firstLineChars="200"/>
        <w:jc w:val="center"/>
        <w:rPr>
          <w:rFonts w:hint="eastAsia" w:ascii="宋体" w:hAnsi="宋体" w:cs="宋体"/>
          <w:color w:val="auto"/>
          <w:spacing w:val="6"/>
          <w:szCs w:val="21"/>
          <w:highlight w:val="none"/>
        </w:rPr>
      </w:pPr>
      <w:r>
        <w:rPr>
          <w:rFonts w:hint="eastAsia" w:ascii="宋体" w:hAnsi="宋体" w:cs="宋体"/>
          <w:color w:val="auto"/>
          <w:spacing w:val="6"/>
          <w:szCs w:val="21"/>
          <w:highlight w:val="none"/>
        </w:rPr>
        <w:t xml:space="preserve">               单位名称（盖章）：</w:t>
      </w:r>
    </w:p>
    <w:p>
      <w:pPr>
        <w:tabs>
          <w:tab w:val="left" w:pos="4860"/>
        </w:tabs>
        <w:spacing w:line="588" w:lineRule="exact"/>
        <w:ind w:right="1560" w:firstLine="444" w:firstLineChars="200"/>
        <w:jc w:val="center"/>
        <w:rPr>
          <w:rFonts w:hint="eastAsia" w:ascii="宋体" w:hAnsi="宋体" w:cs="宋体"/>
          <w:color w:val="auto"/>
          <w:spacing w:val="6"/>
          <w:szCs w:val="21"/>
          <w:highlight w:val="none"/>
        </w:rPr>
      </w:pPr>
      <w:r>
        <w:rPr>
          <w:rFonts w:hint="eastAsia" w:ascii="宋体" w:hAnsi="宋体" w:cs="宋体"/>
          <w:color w:val="auto"/>
          <w:spacing w:val="6"/>
          <w:szCs w:val="21"/>
          <w:highlight w:val="none"/>
        </w:rPr>
        <w:t xml:space="preserve">       日  期：</w:t>
      </w:r>
    </w:p>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br w:type="page"/>
      </w:r>
    </w:p>
    <w:p>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 xml:space="preserve"> </w:t>
      </w: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rFonts w:hint="eastAsia"/>
          <w:color w:val="auto"/>
          <w:highlight w:val="none"/>
        </w:rPr>
      </w:pPr>
    </w:p>
    <w:p>
      <w:pPr>
        <w:snapToGrid w:val="0"/>
        <w:spacing w:line="360" w:lineRule="auto"/>
        <w:jc w:val="center"/>
        <w:rPr>
          <w:rFonts w:hint="eastAsia" w:ascii="宋体" w:hAnsi="宋体" w:cs="宋体"/>
          <w:color w:val="auto"/>
          <w:sz w:val="40"/>
          <w:szCs w:val="40"/>
          <w:highlight w:val="none"/>
        </w:rPr>
      </w:pPr>
      <w:r>
        <w:rPr>
          <w:rFonts w:hint="eastAsia" w:ascii="宋体" w:hAnsi="宋体" w:cs="宋体"/>
          <w:color w:val="auto"/>
          <w:sz w:val="40"/>
          <w:szCs w:val="40"/>
          <w:highlight w:val="none"/>
        </w:rPr>
        <w:t>电子备份投标文件</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 xml:space="preserve">项目名称： </w:t>
      </w:r>
      <w:r>
        <w:rPr>
          <w:rFonts w:hint="eastAsia" w:ascii="宋体" w:hAnsi="宋体" w:cs="宋体"/>
          <w:bCs/>
          <w:color w:val="auto"/>
          <w:sz w:val="24"/>
          <w:highlight w:val="none"/>
          <w:lang w:eastAsia="zh-CN" w:bidi="ar"/>
        </w:rPr>
        <w:t>潘火街道中小学（幼儿园）保安服务项目</w:t>
      </w:r>
    </w:p>
    <w:p>
      <w:pPr>
        <w:snapToGrid w:val="0"/>
        <w:spacing w:line="360" w:lineRule="auto"/>
        <w:ind w:firstLine="1080" w:firstLineChars="45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项目编号：</w:t>
      </w:r>
      <w:r>
        <w:rPr>
          <w:color w:val="auto"/>
          <w:highlight w:val="none"/>
        </w:rPr>
        <w:drawing>
          <wp:anchor distT="0" distB="0" distL="114300" distR="114300" simplePos="0" relativeHeight="251660288" behindDoc="0" locked="0" layoutInCell="1" allowOverlap="1">
            <wp:simplePos x="0" y="0"/>
            <wp:positionH relativeFrom="column">
              <wp:posOffset>3441700</wp:posOffset>
            </wp:positionH>
            <wp:positionV relativeFrom="paragraph">
              <wp:posOffset>6927850</wp:posOffset>
            </wp:positionV>
            <wp:extent cx="791845" cy="435610"/>
            <wp:effectExtent l="0" t="0" r="0" b="190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791845" cy="435610"/>
                    </a:xfrm>
                    <a:prstGeom prst="rect">
                      <a:avLst/>
                    </a:prstGeom>
                    <a:noFill/>
                    <a:ln>
                      <a:noFill/>
                    </a:ln>
                  </pic:spPr>
                </pic:pic>
              </a:graphicData>
            </a:graphic>
          </wp:anchor>
        </w:drawing>
      </w:r>
      <w:r>
        <w:rPr>
          <w:color w:val="auto"/>
          <w:highlight w:val="none"/>
        </w:rPr>
        <w:drawing>
          <wp:anchor distT="0" distB="0" distL="114300" distR="114300" simplePos="0" relativeHeight="251659264" behindDoc="0" locked="0" layoutInCell="1" allowOverlap="1">
            <wp:simplePos x="0" y="0"/>
            <wp:positionH relativeFrom="column">
              <wp:posOffset>3441700</wp:posOffset>
            </wp:positionH>
            <wp:positionV relativeFrom="paragraph">
              <wp:posOffset>6927850</wp:posOffset>
            </wp:positionV>
            <wp:extent cx="791845" cy="435610"/>
            <wp:effectExtent l="0" t="0" r="0" b="19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791845" cy="435610"/>
                    </a:xfrm>
                    <a:prstGeom prst="rect">
                      <a:avLst/>
                    </a:prstGeom>
                    <a:noFill/>
                    <a:ln>
                      <a:noFill/>
                    </a:ln>
                  </pic:spPr>
                </pic:pic>
              </a:graphicData>
            </a:graphic>
          </wp:anchor>
        </w:drawing>
      </w:r>
      <w:r>
        <w:rPr>
          <w:rFonts w:hint="eastAsia" w:ascii="宋体" w:hAnsi="宋体" w:cs="宋体"/>
          <w:bCs/>
          <w:color w:val="auto"/>
          <w:sz w:val="24"/>
          <w:highlight w:val="none"/>
          <w:lang w:val="en-US" w:eastAsia="zh-CN" w:bidi="ar"/>
        </w:rPr>
        <w:t xml:space="preserve"> </w:t>
      </w:r>
    </w:p>
    <w:p>
      <w:pPr>
        <w:snapToGrid w:val="0"/>
        <w:spacing w:line="360" w:lineRule="auto"/>
        <w:ind w:firstLine="1320" w:firstLineChars="55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子包号：一</w:t>
      </w:r>
    </w:p>
    <w:p>
      <w:pPr>
        <w:snapToGrid w:val="0"/>
        <w:spacing w:line="360" w:lineRule="auto"/>
        <w:ind w:firstLine="1080" w:firstLineChars="450"/>
        <w:rPr>
          <w:rFonts w:hint="eastAsia" w:ascii="宋体" w:hAnsi="宋体" w:cs="宋体"/>
          <w:color w:val="auto"/>
          <w:szCs w:val="21"/>
          <w:highlight w:val="none"/>
          <w:lang w:val="en-US" w:eastAsia="zh-CN"/>
        </w:rPr>
      </w:pPr>
      <w:r>
        <w:rPr>
          <w:rFonts w:hint="eastAsia" w:ascii="宋体" w:hAnsi="宋体" w:cs="宋体"/>
          <w:bCs/>
          <w:color w:val="auto"/>
          <w:sz w:val="24"/>
          <w:highlight w:val="none"/>
          <w:lang w:bidi="ar"/>
        </w:rPr>
        <w:t>供应商名称（加盖公章）：</w:t>
      </w:r>
      <w:r>
        <w:rPr>
          <w:rFonts w:hint="eastAsia" w:ascii="宋体" w:hAnsi="宋体" w:cs="宋体"/>
          <w:color w:val="auto"/>
          <w:szCs w:val="21"/>
          <w:highlight w:val="none"/>
          <w:lang w:val="en-US" w:eastAsia="zh-CN"/>
        </w:rPr>
        <w:t xml:space="preserve"> </w:t>
      </w:r>
    </w:p>
    <w:p>
      <w:pPr>
        <w:snapToGrid w:val="0"/>
        <w:spacing w:line="360" w:lineRule="auto"/>
        <w:ind w:firstLine="1080" w:firstLineChars="45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bidi="ar"/>
        </w:rPr>
        <w:t>供应商地址：</w:t>
      </w:r>
    </w:p>
    <w:p>
      <w:pPr>
        <w:spacing w:line="360" w:lineRule="auto"/>
        <w:rPr>
          <w:rFonts w:ascii="宋体" w:hAnsi="宋体" w:cs="宋体"/>
          <w:bCs/>
          <w:color w:val="auto"/>
          <w:sz w:val="24"/>
          <w:highlight w:val="none"/>
          <w:lang w:bidi="ar"/>
        </w:rPr>
      </w:pPr>
      <w:r>
        <w:rPr>
          <w:rFonts w:hint="eastAsia" w:ascii="宋体" w:hAnsi="宋体" w:cs="宋体"/>
          <w:bCs/>
          <w:color w:val="auto"/>
          <w:sz w:val="24"/>
          <w:highlight w:val="none"/>
          <w:lang w:bidi="ar"/>
        </w:rPr>
        <w:t xml:space="preserve">                   </w:t>
      </w:r>
      <w:r>
        <w:rPr>
          <w:rFonts w:ascii="宋体" w:hAnsi="宋体" w:cs="宋体"/>
          <w:bCs/>
          <w:color w:val="auto"/>
          <w:sz w:val="24"/>
          <w:highlight w:val="none"/>
          <w:lang w:bidi="ar"/>
        </w:rPr>
        <w:t xml:space="preserve">          </w:t>
      </w:r>
      <w:r>
        <w:rPr>
          <w:rFonts w:hint="eastAsia" w:ascii="宋体" w:hAnsi="宋体" w:cs="宋体"/>
          <w:bCs/>
          <w:color w:val="auto"/>
          <w:sz w:val="24"/>
          <w:highlight w:val="none"/>
          <w:lang w:bidi="ar"/>
        </w:rPr>
        <w:t xml:space="preserve">   2021年 </w:t>
      </w:r>
      <w:r>
        <w:rPr>
          <w:rFonts w:hint="eastAsia" w:ascii="宋体" w:hAnsi="宋体" w:cs="宋体"/>
          <w:bCs/>
          <w:color w:val="auto"/>
          <w:sz w:val="24"/>
          <w:highlight w:val="none"/>
          <w:lang w:val="en-US" w:eastAsia="zh-CN" w:bidi="ar"/>
        </w:rPr>
        <w:t xml:space="preserve"> </w:t>
      </w:r>
      <w:r>
        <w:rPr>
          <w:rFonts w:hint="eastAsia" w:ascii="宋体" w:hAnsi="宋体" w:cs="宋体"/>
          <w:bCs/>
          <w:color w:val="auto"/>
          <w:sz w:val="24"/>
          <w:highlight w:val="none"/>
          <w:lang w:bidi="ar"/>
        </w:rPr>
        <w:t xml:space="preserve">月  </w:t>
      </w:r>
      <w:r>
        <w:rPr>
          <w:rFonts w:hint="eastAsia" w:ascii="宋体" w:hAnsi="宋体" w:cs="宋体"/>
          <w:bCs/>
          <w:color w:val="auto"/>
          <w:sz w:val="24"/>
          <w:highlight w:val="none"/>
          <w:lang w:val="en-US" w:eastAsia="zh-CN" w:bidi="ar"/>
        </w:rPr>
        <w:t xml:space="preserve"> </w:t>
      </w:r>
      <w:r>
        <w:rPr>
          <w:rFonts w:hint="eastAsia" w:ascii="宋体" w:hAnsi="宋体" w:cs="宋体"/>
          <w:bCs/>
          <w:color w:val="auto"/>
          <w:sz w:val="24"/>
          <w:highlight w:val="none"/>
          <w:lang w:bidi="ar"/>
        </w:rPr>
        <w:t xml:space="preserve"> 日</w:t>
      </w:r>
    </w:p>
    <w:p>
      <w:pPr>
        <w:pStyle w:val="18"/>
        <w:rPr>
          <w:color w:val="auto"/>
          <w:highlight w:val="none"/>
          <w:lang w:bidi="ar"/>
        </w:rPr>
      </w:pPr>
    </w:p>
    <w:p>
      <w:pPr>
        <w:pStyle w:val="18"/>
        <w:rPr>
          <w:rFonts w:hint="eastAsia"/>
          <w:color w:val="auto"/>
          <w:highlight w:val="none"/>
          <w:lang w:bidi="ar"/>
        </w:rPr>
      </w:pPr>
    </w:p>
    <w:p>
      <w:pPr>
        <w:rPr>
          <w:rFonts w:hint="eastAsia"/>
          <w:color w:val="auto"/>
          <w:highlight w:val="none"/>
          <w:lang w:bidi="ar"/>
        </w:rPr>
      </w:pPr>
    </w:p>
    <w:p>
      <w:pPr>
        <w:pStyle w:val="18"/>
        <w:rPr>
          <w:rFonts w:hint="eastAsia"/>
          <w:color w:val="auto"/>
          <w:highlight w:val="none"/>
          <w:lang w:bidi="ar"/>
        </w:rPr>
      </w:pPr>
    </w:p>
    <w:p>
      <w:pPr>
        <w:rPr>
          <w:rFonts w:hint="eastAsia"/>
          <w:color w:val="auto"/>
          <w:highlight w:val="none"/>
          <w:lang w:bidi="ar"/>
        </w:rPr>
      </w:pPr>
    </w:p>
    <w:p>
      <w:pPr>
        <w:pStyle w:val="18"/>
        <w:rPr>
          <w:rFonts w:hint="eastAsia"/>
          <w:color w:val="auto"/>
          <w:highlight w:val="none"/>
          <w:lang w:bidi="ar"/>
        </w:rPr>
      </w:pPr>
    </w:p>
    <w:p>
      <w:pPr>
        <w:rPr>
          <w:rFonts w:hint="eastAsia"/>
          <w:color w:val="auto"/>
          <w:highlight w:val="none"/>
          <w:lang w:bidi="ar"/>
        </w:rPr>
      </w:pPr>
    </w:p>
    <w:p>
      <w:pPr>
        <w:pStyle w:val="18"/>
        <w:rPr>
          <w:rFonts w:hint="eastAsia"/>
          <w:color w:val="auto"/>
          <w:highlight w:val="none"/>
          <w:lang w:bidi="ar"/>
        </w:rPr>
      </w:pPr>
    </w:p>
    <w:p>
      <w:pPr>
        <w:rPr>
          <w:rFonts w:hint="eastAsia"/>
          <w:color w:val="auto"/>
          <w:highlight w:val="none"/>
          <w:lang w:bidi="ar"/>
        </w:rPr>
      </w:pPr>
    </w:p>
    <w:p>
      <w:pPr>
        <w:pStyle w:val="18"/>
        <w:rPr>
          <w:rFonts w:hint="eastAsia"/>
          <w:color w:val="auto"/>
          <w:highlight w:val="none"/>
          <w:lang w:bidi="ar"/>
        </w:rPr>
      </w:pPr>
    </w:p>
    <w:p>
      <w:pPr>
        <w:rPr>
          <w:rFonts w:hint="eastAsia"/>
          <w:color w:val="auto"/>
          <w:highlight w:val="none"/>
          <w:lang w:bidi="ar"/>
        </w:rPr>
      </w:pPr>
    </w:p>
    <w:p>
      <w:pPr>
        <w:pStyle w:val="18"/>
        <w:rPr>
          <w:rFonts w:hint="eastAsia"/>
          <w:color w:val="auto"/>
          <w:highlight w:val="none"/>
          <w:lang w:bidi="ar"/>
        </w:rPr>
      </w:pPr>
    </w:p>
    <w:p>
      <w:pPr>
        <w:rPr>
          <w:rFonts w:hint="eastAsia"/>
          <w:color w:val="auto"/>
          <w:highlight w:val="none"/>
          <w:lang w:bidi="ar"/>
        </w:rPr>
      </w:pPr>
    </w:p>
    <w:p>
      <w:pPr>
        <w:pStyle w:val="18"/>
        <w:rPr>
          <w:rFonts w:hint="eastAsia"/>
          <w:color w:val="auto"/>
          <w:highlight w:val="none"/>
          <w:lang w:bidi="ar"/>
        </w:rPr>
      </w:pPr>
    </w:p>
    <w:p>
      <w:pPr>
        <w:rPr>
          <w:rFonts w:hint="eastAsia"/>
          <w:color w:val="auto"/>
          <w:highlight w:val="none"/>
          <w:lang w:bidi="ar"/>
        </w:rPr>
      </w:pPr>
    </w:p>
    <w:p>
      <w:pPr>
        <w:pStyle w:val="18"/>
        <w:rPr>
          <w:rFonts w:hint="eastAsia"/>
          <w:color w:val="auto"/>
          <w:highlight w:val="none"/>
          <w:lang w:bidi="ar"/>
        </w:rPr>
      </w:pPr>
    </w:p>
    <w:p>
      <w:pPr>
        <w:rPr>
          <w:rFonts w:hint="eastAsia"/>
          <w:color w:val="auto"/>
          <w:highlight w:val="none"/>
          <w:lang w:bidi="ar"/>
        </w:rPr>
      </w:pPr>
    </w:p>
    <w:p>
      <w:pPr>
        <w:pStyle w:val="18"/>
        <w:rPr>
          <w:rFonts w:hint="eastAsia"/>
          <w:color w:val="auto"/>
          <w:highlight w:val="none"/>
        </w:rPr>
      </w:pPr>
    </w:p>
    <w:p>
      <w:pPr>
        <w:numPr>
          <w:ilvl w:val="0"/>
          <w:numId w:val="0"/>
        </w:numPr>
        <w:spacing w:line="360" w:lineRule="auto"/>
        <w:jc w:val="both"/>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8.政府采购统计基础信息表</w:t>
      </w:r>
    </w:p>
    <w:p>
      <w:pPr>
        <w:numPr>
          <w:ilvl w:val="0"/>
          <w:numId w:val="0"/>
        </w:numPr>
        <w:spacing w:line="360" w:lineRule="auto"/>
        <w:jc w:val="center"/>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政府采购统计基础信息表</w:t>
      </w:r>
    </w:p>
    <w:p>
      <w:pPr>
        <w:spacing w:line="360" w:lineRule="auto"/>
        <w:jc w:val="center"/>
        <w:rPr>
          <w:rFonts w:hint="eastAsia" w:ascii="宋体" w:hAnsi="宋体" w:eastAsia="宋体" w:cs="宋体"/>
          <w:b/>
          <w:color w:val="auto"/>
          <w:spacing w:val="6"/>
          <w:sz w:val="24"/>
          <w:highlight w:val="none"/>
        </w:rPr>
      </w:pPr>
    </w:p>
    <w:tbl>
      <w:tblPr>
        <w:tblStyle w:val="19"/>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19"/>
        <w:gridCol w:w="431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219" w:type="dxa"/>
            <w:noWrap w:val="0"/>
            <w:vAlign w:val="center"/>
          </w:tcPr>
          <w:p>
            <w:pPr>
              <w:spacing w:line="400" w:lineRule="exact"/>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采购人及采购项目名称</w:t>
            </w:r>
          </w:p>
        </w:tc>
        <w:tc>
          <w:tcPr>
            <w:tcW w:w="4318" w:type="dxa"/>
            <w:noWrap w:val="0"/>
            <w:vAlign w:val="top"/>
          </w:tcPr>
          <w:p>
            <w:pPr>
              <w:spacing w:line="400" w:lineRule="exact"/>
              <w:ind w:firstLine="444" w:firstLineChars="200"/>
              <w:rPr>
                <w:rFonts w:hint="eastAsia" w:ascii="宋体" w:hAnsi="宋体" w:eastAsia="宋体" w:cs="宋体"/>
                <w:color w:val="auto"/>
                <w:spacing w:val="6"/>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219" w:type="dxa"/>
            <w:noWrap w:val="0"/>
            <w:vAlign w:val="center"/>
          </w:tcPr>
          <w:p>
            <w:pPr>
              <w:spacing w:line="400" w:lineRule="exact"/>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投（中）标单位名称</w:t>
            </w:r>
          </w:p>
        </w:tc>
        <w:tc>
          <w:tcPr>
            <w:tcW w:w="4318" w:type="dxa"/>
            <w:noWrap w:val="0"/>
            <w:vAlign w:val="top"/>
          </w:tcPr>
          <w:p>
            <w:pPr>
              <w:spacing w:line="400" w:lineRule="exact"/>
              <w:ind w:firstLine="444" w:firstLineChars="200"/>
              <w:rPr>
                <w:rFonts w:hint="eastAsia" w:ascii="宋体" w:hAnsi="宋体" w:eastAsia="宋体" w:cs="宋体"/>
                <w:color w:val="auto"/>
                <w:spacing w:val="6"/>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219" w:type="dxa"/>
            <w:noWrap w:val="0"/>
            <w:vAlign w:val="center"/>
          </w:tcPr>
          <w:p>
            <w:pPr>
              <w:spacing w:line="400" w:lineRule="exact"/>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是否国内企业</w:t>
            </w:r>
          </w:p>
        </w:tc>
        <w:tc>
          <w:tcPr>
            <w:tcW w:w="4318" w:type="dxa"/>
            <w:noWrap w:val="0"/>
            <w:vAlign w:val="top"/>
          </w:tcPr>
          <w:p>
            <w:pPr>
              <w:spacing w:line="400" w:lineRule="exact"/>
              <w:ind w:firstLine="444" w:firstLineChars="200"/>
              <w:rPr>
                <w:rFonts w:hint="eastAsia" w:ascii="宋体" w:hAnsi="宋体" w:eastAsia="宋体" w:cs="宋体"/>
                <w:color w:val="auto"/>
                <w:spacing w:val="6"/>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219" w:type="dxa"/>
            <w:noWrap w:val="0"/>
            <w:vAlign w:val="center"/>
          </w:tcPr>
          <w:p>
            <w:pPr>
              <w:spacing w:line="400" w:lineRule="exact"/>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是否宁波企业</w:t>
            </w:r>
          </w:p>
        </w:tc>
        <w:tc>
          <w:tcPr>
            <w:tcW w:w="4318" w:type="dxa"/>
            <w:noWrap w:val="0"/>
            <w:vAlign w:val="top"/>
          </w:tcPr>
          <w:p>
            <w:pPr>
              <w:spacing w:line="400" w:lineRule="exact"/>
              <w:ind w:firstLine="444" w:firstLineChars="200"/>
              <w:rPr>
                <w:rFonts w:hint="eastAsia" w:ascii="宋体" w:hAnsi="宋体" w:eastAsia="宋体" w:cs="宋体"/>
                <w:color w:val="auto"/>
                <w:spacing w:val="6"/>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219" w:type="dxa"/>
            <w:noWrap w:val="0"/>
            <w:vAlign w:val="center"/>
          </w:tcPr>
          <w:p>
            <w:pPr>
              <w:spacing w:line="400" w:lineRule="exact"/>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企业划分标准类型（大型、中型、小型、微型）</w:t>
            </w:r>
          </w:p>
        </w:tc>
        <w:tc>
          <w:tcPr>
            <w:tcW w:w="4318" w:type="dxa"/>
            <w:noWrap w:val="0"/>
            <w:vAlign w:val="top"/>
          </w:tcPr>
          <w:p>
            <w:pPr>
              <w:spacing w:line="400" w:lineRule="exact"/>
              <w:ind w:firstLine="444" w:firstLineChars="200"/>
              <w:rPr>
                <w:rFonts w:hint="eastAsia" w:ascii="宋体" w:hAnsi="宋体" w:eastAsia="宋体" w:cs="宋体"/>
                <w:color w:val="auto"/>
                <w:spacing w:val="6"/>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219" w:type="dxa"/>
            <w:noWrap w:val="0"/>
            <w:vAlign w:val="center"/>
          </w:tcPr>
          <w:p>
            <w:pPr>
              <w:spacing w:line="400" w:lineRule="exact"/>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提供的货物是否本企业制造</w:t>
            </w:r>
          </w:p>
        </w:tc>
        <w:tc>
          <w:tcPr>
            <w:tcW w:w="4318" w:type="dxa"/>
            <w:noWrap w:val="0"/>
            <w:vAlign w:val="center"/>
          </w:tcPr>
          <w:p>
            <w:pPr>
              <w:spacing w:line="400" w:lineRule="exact"/>
              <w:ind w:firstLine="444" w:firstLineChars="20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219" w:type="dxa"/>
            <w:noWrap w:val="0"/>
            <w:vAlign w:val="center"/>
          </w:tcPr>
          <w:p>
            <w:pPr>
              <w:spacing w:line="400" w:lineRule="exact"/>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货物原产地是否是中国境内</w:t>
            </w:r>
          </w:p>
        </w:tc>
        <w:tc>
          <w:tcPr>
            <w:tcW w:w="4318" w:type="dxa"/>
            <w:noWrap w:val="0"/>
            <w:vAlign w:val="center"/>
          </w:tcPr>
          <w:p>
            <w:pPr>
              <w:spacing w:line="400" w:lineRule="exact"/>
              <w:ind w:firstLine="444" w:firstLineChars="20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219" w:type="dxa"/>
            <w:noWrap w:val="0"/>
            <w:vAlign w:val="center"/>
          </w:tcPr>
          <w:p>
            <w:pPr>
              <w:spacing w:line="400" w:lineRule="exact"/>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货物原产地是否是宁波</w:t>
            </w:r>
          </w:p>
        </w:tc>
        <w:tc>
          <w:tcPr>
            <w:tcW w:w="4318" w:type="dxa"/>
            <w:noWrap w:val="0"/>
            <w:vAlign w:val="center"/>
          </w:tcPr>
          <w:p>
            <w:pPr>
              <w:spacing w:line="400" w:lineRule="exact"/>
              <w:ind w:firstLine="444" w:firstLineChars="20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219" w:type="dxa"/>
            <w:noWrap w:val="0"/>
            <w:vAlign w:val="center"/>
          </w:tcPr>
          <w:p>
            <w:pPr>
              <w:spacing w:line="400" w:lineRule="exact"/>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是节能清单产品</w:t>
            </w:r>
          </w:p>
        </w:tc>
        <w:tc>
          <w:tcPr>
            <w:tcW w:w="4318" w:type="dxa"/>
            <w:noWrap w:val="0"/>
            <w:vAlign w:val="center"/>
          </w:tcPr>
          <w:p>
            <w:pPr>
              <w:spacing w:line="400" w:lineRule="exact"/>
              <w:ind w:firstLine="444" w:firstLineChars="20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219" w:type="dxa"/>
            <w:noWrap w:val="0"/>
            <w:vAlign w:val="center"/>
          </w:tcPr>
          <w:p>
            <w:pPr>
              <w:spacing w:line="400" w:lineRule="exact"/>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提供的货物是否是环境标志清单产品</w:t>
            </w:r>
          </w:p>
        </w:tc>
        <w:tc>
          <w:tcPr>
            <w:tcW w:w="4318" w:type="dxa"/>
            <w:noWrap w:val="0"/>
            <w:vAlign w:val="center"/>
          </w:tcPr>
          <w:p>
            <w:pPr>
              <w:spacing w:line="400" w:lineRule="exact"/>
              <w:ind w:firstLine="444" w:firstLineChars="20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219" w:type="dxa"/>
            <w:noWrap w:val="0"/>
            <w:vAlign w:val="center"/>
          </w:tcPr>
          <w:p>
            <w:pPr>
              <w:spacing w:line="400" w:lineRule="exact"/>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承担的工程或服务是否本企业提供</w:t>
            </w:r>
          </w:p>
        </w:tc>
        <w:tc>
          <w:tcPr>
            <w:tcW w:w="4318" w:type="dxa"/>
            <w:noWrap w:val="0"/>
            <w:vAlign w:val="center"/>
          </w:tcPr>
          <w:p>
            <w:pPr>
              <w:spacing w:line="400" w:lineRule="exact"/>
              <w:ind w:firstLine="444" w:firstLineChars="200"/>
              <w:jc w:val="center"/>
              <w:rPr>
                <w:rFonts w:hint="eastAsia" w:ascii="宋体" w:hAnsi="宋体" w:eastAsia="宋体" w:cs="宋体"/>
                <w:color w:val="auto"/>
                <w:spacing w:val="6"/>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219" w:type="dxa"/>
            <w:noWrap w:val="0"/>
            <w:vAlign w:val="center"/>
          </w:tcPr>
          <w:p>
            <w:pPr>
              <w:spacing w:line="400" w:lineRule="exact"/>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本项目预算</w:t>
            </w:r>
          </w:p>
        </w:tc>
        <w:tc>
          <w:tcPr>
            <w:tcW w:w="4318" w:type="dxa"/>
            <w:noWrap w:val="0"/>
            <w:vAlign w:val="center"/>
          </w:tcPr>
          <w:p>
            <w:pPr>
              <w:spacing w:line="400" w:lineRule="exact"/>
              <w:ind w:firstLine="444" w:firstLineChars="20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219" w:type="dxa"/>
            <w:noWrap w:val="0"/>
            <w:vAlign w:val="center"/>
          </w:tcPr>
          <w:p>
            <w:pPr>
              <w:spacing w:line="400" w:lineRule="exact"/>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本项目是否专门面向中小企业采购</w:t>
            </w:r>
          </w:p>
        </w:tc>
        <w:tc>
          <w:tcPr>
            <w:tcW w:w="4318" w:type="dxa"/>
            <w:noWrap w:val="0"/>
            <w:vAlign w:val="center"/>
          </w:tcPr>
          <w:p>
            <w:pPr>
              <w:spacing w:line="400" w:lineRule="exact"/>
              <w:ind w:firstLine="444" w:firstLineChars="20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219" w:type="dxa"/>
            <w:noWrap w:val="0"/>
            <w:vAlign w:val="center"/>
          </w:tcPr>
          <w:p>
            <w:pPr>
              <w:spacing w:line="400" w:lineRule="exact"/>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投（中）标金额（万元）</w:t>
            </w:r>
          </w:p>
        </w:tc>
        <w:tc>
          <w:tcPr>
            <w:tcW w:w="4318" w:type="dxa"/>
            <w:noWrap w:val="0"/>
            <w:vAlign w:val="center"/>
          </w:tcPr>
          <w:p>
            <w:pPr>
              <w:spacing w:line="400" w:lineRule="exact"/>
              <w:ind w:firstLine="444" w:firstLineChars="20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p>
        </w:tc>
      </w:tr>
    </w:tbl>
    <w:p>
      <w:pPr>
        <w:pStyle w:val="10"/>
        <w:spacing w:line="360" w:lineRule="auto"/>
        <w:rPr>
          <w:rFonts w:hint="eastAsia" w:ascii="宋体" w:hAnsi="宋体" w:eastAsia="宋体" w:cs="宋体"/>
          <w:b/>
          <w:color w:val="auto"/>
          <w:sz w:val="21"/>
          <w:szCs w:val="21"/>
          <w:highlight w:val="none"/>
        </w:rPr>
      </w:pPr>
    </w:p>
    <w:p>
      <w:pPr>
        <w:spacing w:line="360" w:lineRule="auto"/>
        <w:jc w:val="left"/>
        <w:rPr>
          <w:rFonts w:hint="eastAsia" w:ascii="宋体" w:hAnsi="宋体" w:eastAsia="宋体" w:cs="宋体"/>
          <w:b/>
          <w:color w:val="auto"/>
          <w:szCs w:val="21"/>
          <w:highlight w:val="none"/>
        </w:rPr>
      </w:pPr>
    </w:p>
    <w:p>
      <w:pPr>
        <w:spacing w:line="360" w:lineRule="auto"/>
        <w:jc w:val="left"/>
        <w:rPr>
          <w:rFonts w:hint="eastAsia" w:ascii="宋体" w:hAnsi="宋体" w:eastAsia="宋体" w:cs="宋体"/>
          <w:b/>
          <w:color w:val="auto"/>
          <w:szCs w:val="21"/>
          <w:highlight w:val="none"/>
        </w:rPr>
      </w:pPr>
    </w:p>
    <w:p>
      <w:pPr>
        <w:spacing w:line="360" w:lineRule="auto"/>
        <w:jc w:val="left"/>
        <w:rPr>
          <w:rFonts w:hint="eastAsia" w:ascii="宋体" w:hAnsi="宋体" w:eastAsia="宋体" w:cs="宋体"/>
          <w:b/>
          <w:color w:val="auto"/>
          <w:szCs w:val="21"/>
          <w:highlight w:val="none"/>
        </w:rPr>
      </w:pPr>
    </w:p>
    <w:p>
      <w:pPr>
        <w:spacing w:line="360" w:lineRule="auto"/>
        <w:jc w:val="left"/>
        <w:rPr>
          <w:rFonts w:hint="eastAsia" w:ascii="宋体" w:hAnsi="宋体" w:eastAsia="宋体" w:cs="宋体"/>
          <w:b/>
          <w:color w:val="auto"/>
          <w:szCs w:val="21"/>
          <w:highlight w:val="none"/>
        </w:rPr>
      </w:pPr>
    </w:p>
    <w:p>
      <w:pPr>
        <w:spacing w:line="360" w:lineRule="auto"/>
        <w:jc w:val="left"/>
        <w:rPr>
          <w:rFonts w:hint="eastAsia" w:ascii="宋体" w:hAnsi="宋体" w:eastAsia="宋体" w:cs="宋体"/>
          <w:b/>
          <w:color w:val="auto"/>
          <w:szCs w:val="21"/>
          <w:highlight w:val="none"/>
        </w:rPr>
      </w:pPr>
    </w:p>
    <w:p>
      <w:pPr>
        <w:spacing w:line="360" w:lineRule="auto"/>
        <w:jc w:val="left"/>
        <w:rPr>
          <w:rFonts w:hint="eastAsia" w:ascii="宋体" w:hAnsi="宋体" w:eastAsia="宋体" w:cs="宋体"/>
          <w:b/>
          <w:color w:val="auto"/>
          <w:szCs w:val="21"/>
          <w:highlight w:val="none"/>
        </w:rPr>
      </w:pPr>
    </w:p>
    <w:p>
      <w:pPr>
        <w:pStyle w:val="16"/>
        <w:spacing w:before="0" w:beforeAutospacing="0" w:after="0" w:afterAutospacing="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附件一</w:t>
      </w:r>
    </w:p>
    <w:p>
      <w:pPr>
        <w:pStyle w:val="16"/>
        <w:spacing w:before="0" w:beforeAutospacing="0" w:after="0" w:afterAutospacing="0" w:line="360" w:lineRule="auto"/>
        <w:jc w:val="center"/>
        <w:rPr>
          <w:rFonts w:hint="eastAsia" w:ascii="宋体" w:hAnsi="宋体" w:eastAsia="宋体" w:cs="宋体"/>
          <w:color w:val="auto"/>
          <w:highlight w:val="none"/>
        </w:rPr>
      </w:pPr>
      <w:r>
        <w:rPr>
          <w:rFonts w:hint="eastAsia" w:ascii="宋体" w:hAnsi="宋体" w:eastAsia="宋体" w:cs="宋体"/>
          <w:b/>
          <w:bCs/>
          <w:color w:val="auto"/>
          <w:kern w:val="2"/>
          <w:highlight w:val="none"/>
        </w:rPr>
        <w:t>加强政府采购售后服务、质量管理须知</w:t>
      </w:r>
    </w:p>
    <w:p>
      <w:pPr>
        <w:pStyle w:val="16"/>
        <w:spacing w:before="0" w:beforeAutospacing="0" w:after="0" w:afterAutospacing="0" w:line="360" w:lineRule="auto"/>
        <w:rPr>
          <w:rFonts w:hint="eastAsia" w:ascii="宋体" w:hAnsi="宋体" w:eastAsia="宋体" w:cs="宋体"/>
          <w:bCs/>
          <w:color w:val="auto"/>
          <w:kern w:val="2"/>
          <w:sz w:val="21"/>
          <w:szCs w:val="21"/>
          <w:highlight w:val="none"/>
        </w:rPr>
      </w:pPr>
      <w:r>
        <w:rPr>
          <w:rFonts w:hint="eastAsia" w:ascii="宋体" w:hAnsi="宋体" w:eastAsia="宋体" w:cs="宋体"/>
          <w:color w:val="auto"/>
          <w:highlight w:val="none"/>
        </w:rPr>
        <w:br w:type="textWrapping"/>
      </w:r>
      <w:r>
        <w:rPr>
          <w:rFonts w:hint="eastAsia" w:ascii="宋体" w:hAnsi="宋体" w:eastAsia="宋体" w:cs="宋体"/>
          <w:bCs/>
          <w:color w:val="auto"/>
          <w:kern w:val="2"/>
          <w:sz w:val="21"/>
          <w:szCs w:val="21"/>
          <w:highlight w:val="none"/>
        </w:rPr>
        <w:t>本招标文件就有关政府采购合同履行、质量及服务事项告知如下：</w:t>
      </w:r>
    </w:p>
    <w:p>
      <w:pPr>
        <w:pStyle w:val="16"/>
        <w:adjustRightInd w:val="0"/>
        <w:spacing w:before="0" w:beforeAutospacing="0" w:after="0" w:afterAutospacing="0" w:line="360" w:lineRule="auto"/>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一、 政府采购售后服务联系须知</w:t>
      </w:r>
      <w:r>
        <w:rPr>
          <w:rFonts w:hint="eastAsia" w:ascii="宋体" w:hAnsi="宋体" w:eastAsia="宋体" w:cs="宋体"/>
          <w:bCs/>
          <w:color w:val="auto"/>
          <w:kern w:val="2"/>
          <w:sz w:val="21"/>
          <w:szCs w:val="21"/>
          <w:highlight w:val="none"/>
        </w:rPr>
        <w:br w:type="textWrapping"/>
      </w:r>
      <w:r>
        <w:rPr>
          <w:rFonts w:hint="eastAsia" w:ascii="宋体" w:hAnsi="宋体" w:eastAsia="宋体" w:cs="宋体"/>
          <w:bCs/>
          <w:color w:val="auto"/>
          <w:kern w:val="2"/>
          <w:sz w:val="21"/>
          <w:szCs w:val="21"/>
          <w:highlight w:val="none"/>
        </w:rPr>
        <w:t xml:space="preserve">    《鄞州区政府采购售后服务联系单》由鄞州区财政局采购办按统一格式制作，中标或成交投标人向招标机构领取、填写并粘贴在设备醒目位置（不适合粘贴的除外），工程和服务项目由采购人和投标人协商解决，保证采购人在遇到售后服务问题时能及时便利与投标人联系。</w:t>
      </w:r>
    </w:p>
    <w:p>
      <w:pPr>
        <w:pStyle w:val="16"/>
        <w:adjustRightInd w:val="0"/>
        <w:spacing w:before="0" w:beforeAutospacing="0" w:after="0" w:afterAutospacing="0" w:line="360" w:lineRule="auto"/>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 xml:space="preserve">二、政府采购质量跟踪和检查须知   </w:t>
      </w:r>
    </w:p>
    <w:p>
      <w:pPr>
        <w:pStyle w:val="16"/>
        <w:adjustRightInd w:val="0"/>
        <w:spacing w:before="0" w:beforeAutospacing="0" w:after="0" w:afterAutospacing="0" w:line="360" w:lineRule="auto"/>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鄞州区财政局采购办将根据不定期检查的情况或采购人填写的《鄞州区政府采购质量、服务存在问题反馈表》的反馈情况，聘请质量监督部门、政府采购专家和有关单位鉴定供货（服务）质量，检查是否符合和满足招标文件的要求和配置，有否存在以次充好、弄虚作假、售后服务工作不到位、不负责任或故意推诿、拖延等情节。投标人应自觉接受并积极配合政府采购产品质量监督检查，如实反映情况。</w:t>
      </w:r>
      <w:r>
        <w:rPr>
          <w:rFonts w:hint="eastAsia" w:ascii="宋体" w:hAnsi="宋体" w:eastAsia="宋体" w:cs="宋体"/>
          <w:bCs/>
          <w:color w:val="auto"/>
          <w:kern w:val="2"/>
          <w:sz w:val="21"/>
          <w:szCs w:val="21"/>
          <w:highlight w:val="none"/>
        </w:rPr>
        <w:br w:type="textWrapping"/>
      </w:r>
      <w:r>
        <w:rPr>
          <w:rFonts w:hint="eastAsia" w:ascii="宋体" w:hAnsi="宋体" w:eastAsia="宋体" w:cs="宋体"/>
          <w:bCs/>
          <w:color w:val="auto"/>
          <w:kern w:val="2"/>
          <w:sz w:val="21"/>
          <w:szCs w:val="21"/>
          <w:highlight w:val="none"/>
        </w:rPr>
        <w:t xml:space="preserve">    三、投标人监督管理须知</w:t>
      </w:r>
      <w:r>
        <w:rPr>
          <w:rFonts w:hint="eastAsia" w:ascii="宋体" w:hAnsi="宋体" w:eastAsia="宋体" w:cs="宋体"/>
          <w:bCs/>
          <w:color w:val="auto"/>
          <w:kern w:val="2"/>
          <w:sz w:val="21"/>
          <w:szCs w:val="21"/>
          <w:highlight w:val="none"/>
        </w:rPr>
        <w:br w:type="textWrapping"/>
      </w:r>
      <w:r>
        <w:rPr>
          <w:rFonts w:hint="eastAsia" w:ascii="宋体" w:hAnsi="宋体" w:eastAsia="宋体" w:cs="宋体"/>
          <w:bCs/>
          <w:color w:val="auto"/>
          <w:kern w:val="2"/>
          <w:sz w:val="21"/>
          <w:szCs w:val="21"/>
          <w:highlight w:val="none"/>
        </w:rPr>
        <w:t xml:space="preserve">   1.对不按规定在政府采购货物上粘贴售后服务联系单（不适合粘贴的除外）的投标人，第一次发现的由监管部门予以书面警告并责令改正；第二次发现的作为该投标人下次参加投标时的评分依据之一；</w:t>
      </w:r>
    </w:p>
    <w:p>
      <w:pPr>
        <w:pStyle w:val="16"/>
        <w:spacing w:before="0" w:beforeAutospacing="0" w:after="0" w:afterAutospacing="0" w:line="360" w:lineRule="auto"/>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对不按招标文件、投标承诺及政府采购合同要求供货，偷工减料或降低供货质量的投标人，一经查实，即列入不良行为记录名单，第一次发现且合同额在人民币50万元以下的在一年内禁止参加鄞州区政府采购活动；第一次发现且合同额在人民币50万元（含）以上的在两年内禁止参加鄞州区政府采购活动；第二次发现且合同额在人民币50万元以下的在两年内禁止参加鄞州区政府采购活动；第二次发现且合同额在人民币50万元（含）以上的在三年内禁止参加鄞州区政府采购活动。拒不改正的除由采购人按有关法规要求投标人按招标文件、投标承诺及政府采购合同要求供货外，将无限期禁止参加鄞州区政府采购活动。</w:t>
      </w:r>
    </w:p>
    <w:p>
      <w:pPr>
        <w:pStyle w:val="16"/>
        <w:spacing w:before="0" w:beforeAutospacing="0" w:after="0" w:afterAutospacing="0" w:line="360" w:lineRule="auto"/>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对不按招标文件、投标承诺及政府采购合同要求向采购人提供完整的售后服务，对采购人的工作造成影响的投标人，经查实，第一次发现的由监管部门予以书面警告并责令改正，并作为该投标人下次参加投标时的评分依据之一；第二次发现的即由监管部门列入不良行为记录名单，两年内禁止参加鄞州区政府采购活动。拒不改正的除由采购人按有关法规要求投标人按招标文件、投标承诺及政府采购合同要求提供完整的售后服务外，将无限期禁止参加鄞州区政府采购活动。</w:t>
      </w:r>
    </w:p>
    <w:p>
      <w:pPr>
        <w:pStyle w:val="16"/>
        <w:spacing w:before="0" w:beforeAutospacing="0" w:after="0" w:afterAutospacing="0" w:line="360" w:lineRule="auto"/>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4.对不按招标文件、投标承诺及政府采购合同要求供货造成人身、财产损害的，应当承担民事赔偿责任；构成犯罪的，移送司法部门依法追究其刑事责任。</w:t>
      </w:r>
      <w:r>
        <w:rPr>
          <w:rFonts w:hint="eastAsia" w:ascii="宋体" w:hAnsi="宋体" w:eastAsia="宋体" w:cs="宋体"/>
          <w:bCs/>
          <w:color w:val="auto"/>
          <w:kern w:val="2"/>
          <w:sz w:val="21"/>
          <w:szCs w:val="21"/>
          <w:highlight w:val="none"/>
        </w:rPr>
        <w:br w:type="textWrapping"/>
      </w:r>
    </w:p>
    <w:p>
      <w:pPr>
        <w:pStyle w:val="16"/>
        <w:spacing w:before="0" w:beforeAutospacing="0" w:after="0" w:afterAutospacing="0" w:line="360" w:lineRule="auto"/>
        <w:ind w:firstLine="420" w:firstLineChars="200"/>
        <w:rPr>
          <w:rFonts w:hint="eastAsia" w:ascii="宋体" w:hAnsi="宋体" w:eastAsia="宋体" w:cs="宋体"/>
          <w:bCs/>
          <w:color w:val="auto"/>
          <w:kern w:val="2"/>
          <w:sz w:val="21"/>
          <w:szCs w:val="21"/>
          <w:highlight w:val="none"/>
        </w:rPr>
      </w:pPr>
    </w:p>
    <w:p>
      <w:pPr>
        <w:pStyle w:val="16"/>
        <w:spacing w:before="0" w:beforeAutospacing="0" w:after="0" w:afterAutospacing="0" w:line="360" w:lineRule="auto"/>
        <w:ind w:firstLine="420" w:firstLineChars="200"/>
        <w:rPr>
          <w:rFonts w:hint="eastAsia" w:ascii="宋体" w:hAnsi="宋体" w:eastAsia="宋体" w:cs="宋体"/>
          <w:bCs/>
          <w:color w:val="auto"/>
          <w:kern w:val="2"/>
          <w:sz w:val="21"/>
          <w:szCs w:val="21"/>
          <w:highlight w:val="none"/>
        </w:rPr>
      </w:pPr>
    </w:p>
    <w:p>
      <w:pPr>
        <w:pStyle w:val="16"/>
        <w:spacing w:before="0" w:beforeAutospacing="0" w:after="0" w:afterAutospacing="0" w:line="360" w:lineRule="auto"/>
        <w:ind w:firstLine="420" w:firstLineChars="200"/>
        <w:rPr>
          <w:rFonts w:hint="eastAsia" w:ascii="宋体" w:hAnsi="宋体" w:eastAsia="宋体" w:cs="宋体"/>
          <w:bCs/>
          <w:color w:val="auto"/>
          <w:kern w:val="2"/>
          <w:sz w:val="21"/>
          <w:szCs w:val="21"/>
          <w:highlight w:val="none"/>
        </w:rPr>
      </w:pPr>
    </w:p>
    <w:p>
      <w:pPr>
        <w:pStyle w:val="16"/>
        <w:spacing w:before="0" w:beforeAutospacing="0" w:after="0" w:afterAutospacing="0" w:line="360" w:lineRule="auto"/>
        <w:ind w:firstLine="420" w:firstLineChars="200"/>
        <w:rPr>
          <w:rFonts w:hint="eastAsia" w:ascii="宋体" w:hAnsi="宋体" w:eastAsia="宋体" w:cs="宋体"/>
          <w:bCs/>
          <w:color w:val="auto"/>
          <w:kern w:val="2"/>
          <w:sz w:val="21"/>
          <w:szCs w:val="21"/>
          <w:highlight w:val="none"/>
        </w:rPr>
      </w:pPr>
    </w:p>
    <w:p>
      <w:pPr>
        <w:pStyle w:val="16"/>
        <w:spacing w:before="0" w:beforeAutospacing="0" w:after="0" w:afterAutospacing="0" w:line="360" w:lineRule="auto"/>
        <w:ind w:firstLine="420" w:firstLineChars="200"/>
        <w:rPr>
          <w:rFonts w:hint="eastAsia" w:ascii="宋体" w:hAnsi="宋体" w:eastAsia="宋体" w:cs="宋体"/>
          <w:bCs/>
          <w:color w:val="auto"/>
          <w:kern w:val="2"/>
          <w:sz w:val="21"/>
          <w:szCs w:val="21"/>
          <w:highlight w:val="none"/>
        </w:rPr>
      </w:pPr>
    </w:p>
    <w:p>
      <w:pPr>
        <w:pStyle w:val="16"/>
        <w:spacing w:before="0" w:beforeAutospacing="0" w:after="0" w:afterAutospacing="0" w:line="360" w:lineRule="auto"/>
        <w:ind w:firstLine="420" w:firstLineChars="200"/>
        <w:rPr>
          <w:rFonts w:hint="eastAsia" w:ascii="宋体" w:hAnsi="宋体" w:eastAsia="宋体" w:cs="宋体"/>
          <w:bCs/>
          <w:color w:val="auto"/>
          <w:kern w:val="2"/>
          <w:sz w:val="21"/>
          <w:szCs w:val="21"/>
          <w:highlight w:val="none"/>
        </w:rPr>
      </w:pPr>
    </w:p>
    <w:p>
      <w:pPr>
        <w:pStyle w:val="16"/>
        <w:spacing w:before="0" w:beforeAutospacing="0" w:after="0" w:afterAutospacing="0" w:line="360" w:lineRule="auto"/>
        <w:ind w:firstLine="420" w:firstLineChars="200"/>
        <w:rPr>
          <w:rFonts w:hint="eastAsia" w:ascii="宋体" w:hAnsi="宋体" w:eastAsia="宋体" w:cs="宋体"/>
          <w:bCs/>
          <w:color w:val="auto"/>
          <w:kern w:val="2"/>
          <w:sz w:val="21"/>
          <w:szCs w:val="21"/>
          <w:highlight w:val="none"/>
        </w:rPr>
      </w:pPr>
    </w:p>
    <w:p>
      <w:pPr>
        <w:pStyle w:val="16"/>
        <w:spacing w:before="0" w:beforeAutospacing="0" w:after="0" w:afterAutospacing="0" w:line="360" w:lineRule="auto"/>
        <w:ind w:firstLine="420" w:firstLineChars="200"/>
        <w:rPr>
          <w:rFonts w:hint="eastAsia" w:ascii="宋体" w:hAnsi="宋体" w:eastAsia="宋体" w:cs="宋体"/>
          <w:bCs/>
          <w:color w:val="auto"/>
          <w:kern w:val="2"/>
          <w:sz w:val="21"/>
          <w:szCs w:val="21"/>
          <w:highlight w:val="none"/>
        </w:rPr>
      </w:pPr>
    </w:p>
    <w:p>
      <w:pPr>
        <w:pStyle w:val="16"/>
        <w:spacing w:before="0" w:beforeAutospacing="0" w:after="0" w:afterAutospacing="0" w:line="360" w:lineRule="auto"/>
        <w:ind w:firstLine="420" w:firstLineChars="200"/>
        <w:rPr>
          <w:rFonts w:hint="eastAsia" w:ascii="宋体" w:hAnsi="宋体" w:eastAsia="宋体" w:cs="宋体"/>
          <w:bCs/>
          <w:color w:val="auto"/>
          <w:kern w:val="2"/>
          <w:sz w:val="21"/>
          <w:szCs w:val="21"/>
          <w:highlight w:val="none"/>
        </w:rPr>
      </w:pPr>
    </w:p>
    <w:p>
      <w:pPr>
        <w:pStyle w:val="16"/>
        <w:spacing w:before="0" w:beforeAutospacing="0" w:after="0" w:afterAutospacing="0" w:line="360" w:lineRule="auto"/>
        <w:ind w:firstLine="420" w:firstLineChars="200"/>
        <w:rPr>
          <w:rFonts w:hint="eastAsia" w:ascii="宋体" w:hAnsi="宋体" w:eastAsia="宋体" w:cs="宋体"/>
          <w:bCs/>
          <w:color w:val="auto"/>
          <w:kern w:val="2"/>
          <w:sz w:val="21"/>
          <w:szCs w:val="21"/>
          <w:highlight w:val="none"/>
        </w:rPr>
      </w:pPr>
    </w:p>
    <w:p>
      <w:pPr>
        <w:pStyle w:val="16"/>
        <w:spacing w:before="0" w:beforeAutospacing="0" w:after="0" w:afterAutospacing="0" w:line="360" w:lineRule="auto"/>
        <w:ind w:firstLine="420" w:firstLineChars="200"/>
        <w:rPr>
          <w:rFonts w:hint="eastAsia" w:ascii="宋体" w:hAnsi="宋体" w:eastAsia="宋体" w:cs="宋体"/>
          <w:bCs/>
          <w:color w:val="auto"/>
          <w:kern w:val="2"/>
          <w:sz w:val="21"/>
          <w:szCs w:val="21"/>
          <w:highlight w:val="none"/>
        </w:rPr>
      </w:pPr>
    </w:p>
    <w:p>
      <w:pPr>
        <w:pStyle w:val="16"/>
        <w:spacing w:before="0" w:beforeAutospacing="0" w:after="0" w:afterAutospacing="0" w:line="360" w:lineRule="auto"/>
        <w:ind w:firstLine="420" w:firstLineChars="200"/>
        <w:rPr>
          <w:rFonts w:hint="eastAsia" w:ascii="宋体" w:hAnsi="宋体" w:eastAsia="宋体" w:cs="宋体"/>
          <w:bCs/>
          <w:color w:val="auto"/>
          <w:kern w:val="2"/>
          <w:sz w:val="21"/>
          <w:szCs w:val="21"/>
          <w:highlight w:val="none"/>
        </w:rPr>
      </w:pPr>
    </w:p>
    <w:p>
      <w:pPr>
        <w:pStyle w:val="16"/>
        <w:spacing w:before="0" w:beforeAutospacing="0" w:after="0" w:afterAutospacing="0" w:line="360" w:lineRule="auto"/>
        <w:ind w:firstLine="420" w:firstLineChars="200"/>
        <w:rPr>
          <w:rFonts w:hint="eastAsia" w:ascii="宋体" w:hAnsi="宋体" w:eastAsia="宋体" w:cs="宋体"/>
          <w:bCs/>
          <w:color w:val="auto"/>
          <w:kern w:val="2"/>
          <w:sz w:val="21"/>
          <w:szCs w:val="21"/>
          <w:highlight w:val="none"/>
        </w:rPr>
      </w:pPr>
    </w:p>
    <w:p>
      <w:pPr>
        <w:pStyle w:val="16"/>
        <w:spacing w:before="0" w:beforeAutospacing="0" w:after="0" w:afterAutospacing="0" w:line="360" w:lineRule="auto"/>
        <w:ind w:firstLine="420" w:firstLineChars="200"/>
        <w:rPr>
          <w:rFonts w:hint="eastAsia" w:ascii="宋体" w:hAnsi="宋体" w:eastAsia="宋体" w:cs="宋体"/>
          <w:bCs/>
          <w:color w:val="auto"/>
          <w:kern w:val="2"/>
          <w:sz w:val="21"/>
          <w:szCs w:val="21"/>
          <w:highlight w:val="none"/>
        </w:rPr>
      </w:pPr>
    </w:p>
    <w:p>
      <w:pPr>
        <w:pStyle w:val="16"/>
        <w:spacing w:before="0" w:beforeAutospacing="0" w:after="0" w:afterAutospacing="0" w:line="360" w:lineRule="auto"/>
        <w:ind w:firstLine="420" w:firstLineChars="200"/>
        <w:rPr>
          <w:rFonts w:hint="eastAsia" w:ascii="宋体" w:hAnsi="宋体" w:eastAsia="宋体" w:cs="宋体"/>
          <w:bCs/>
          <w:color w:val="auto"/>
          <w:kern w:val="2"/>
          <w:sz w:val="21"/>
          <w:szCs w:val="21"/>
          <w:highlight w:val="none"/>
        </w:rPr>
      </w:pPr>
    </w:p>
    <w:p>
      <w:pPr>
        <w:pStyle w:val="16"/>
        <w:spacing w:before="0" w:beforeAutospacing="0" w:after="0" w:afterAutospacing="0" w:line="360" w:lineRule="auto"/>
        <w:ind w:firstLine="420" w:firstLineChars="200"/>
        <w:rPr>
          <w:rFonts w:hint="eastAsia" w:ascii="宋体" w:hAnsi="宋体" w:eastAsia="宋体" w:cs="宋体"/>
          <w:bCs/>
          <w:color w:val="auto"/>
          <w:kern w:val="2"/>
          <w:sz w:val="21"/>
          <w:szCs w:val="21"/>
          <w:highlight w:val="none"/>
        </w:rPr>
      </w:pPr>
    </w:p>
    <w:p>
      <w:pPr>
        <w:pStyle w:val="16"/>
        <w:spacing w:before="0" w:beforeAutospacing="0" w:after="0" w:afterAutospacing="0" w:line="360" w:lineRule="auto"/>
        <w:ind w:firstLine="420" w:firstLineChars="200"/>
        <w:rPr>
          <w:rFonts w:hint="eastAsia" w:ascii="宋体" w:hAnsi="宋体" w:eastAsia="宋体" w:cs="宋体"/>
          <w:bCs/>
          <w:color w:val="auto"/>
          <w:kern w:val="2"/>
          <w:sz w:val="21"/>
          <w:szCs w:val="21"/>
          <w:highlight w:val="none"/>
        </w:rPr>
      </w:pPr>
    </w:p>
    <w:p>
      <w:pPr>
        <w:pStyle w:val="16"/>
        <w:spacing w:before="0" w:beforeAutospacing="0" w:after="0" w:afterAutospacing="0" w:line="360" w:lineRule="auto"/>
        <w:ind w:firstLine="420" w:firstLineChars="200"/>
        <w:rPr>
          <w:rFonts w:hint="eastAsia" w:ascii="宋体" w:hAnsi="宋体" w:eastAsia="宋体" w:cs="宋体"/>
          <w:bCs/>
          <w:color w:val="auto"/>
          <w:kern w:val="2"/>
          <w:sz w:val="21"/>
          <w:szCs w:val="21"/>
          <w:highlight w:val="none"/>
        </w:rPr>
      </w:pPr>
    </w:p>
    <w:p>
      <w:pPr>
        <w:pStyle w:val="16"/>
        <w:spacing w:before="0" w:beforeAutospacing="0" w:after="0" w:afterAutospacing="0" w:line="360" w:lineRule="auto"/>
        <w:ind w:firstLine="420" w:firstLineChars="200"/>
        <w:rPr>
          <w:rFonts w:hint="eastAsia" w:ascii="宋体" w:hAnsi="宋体" w:eastAsia="宋体" w:cs="宋体"/>
          <w:bCs/>
          <w:color w:val="auto"/>
          <w:kern w:val="2"/>
          <w:sz w:val="21"/>
          <w:szCs w:val="21"/>
          <w:highlight w:val="none"/>
        </w:rPr>
      </w:pPr>
    </w:p>
    <w:p>
      <w:pPr>
        <w:pStyle w:val="16"/>
        <w:spacing w:before="0" w:beforeAutospacing="0" w:after="0" w:afterAutospacing="0" w:line="360" w:lineRule="auto"/>
        <w:ind w:firstLine="420" w:firstLineChars="200"/>
        <w:rPr>
          <w:rFonts w:hint="eastAsia" w:ascii="宋体" w:hAnsi="宋体" w:eastAsia="宋体" w:cs="宋体"/>
          <w:bCs/>
          <w:color w:val="auto"/>
          <w:kern w:val="2"/>
          <w:sz w:val="21"/>
          <w:szCs w:val="21"/>
          <w:highlight w:val="none"/>
        </w:rPr>
      </w:pPr>
    </w:p>
    <w:p>
      <w:pPr>
        <w:pStyle w:val="16"/>
        <w:spacing w:before="0" w:beforeAutospacing="0" w:after="0" w:afterAutospacing="0" w:line="360" w:lineRule="auto"/>
        <w:ind w:firstLine="420" w:firstLineChars="200"/>
        <w:rPr>
          <w:rFonts w:hint="eastAsia" w:ascii="宋体" w:hAnsi="宋体" w:eastAsia="宋体" w:cs="宋体"/>
          <w:bCs/>
          <w:color w:val="auto"/>
          <w:kern w:val="2"/>
          <w:sz w:val="21"/>
          <w:szCs w:val="21"/>
          <w:highlight w:val="none"/>
        </w:rPr>
      </w:pPr>
    </w:p>
    <w:p>
      <w:pPr>
        <w:pStyle w:val="16"/>
        <w:spacing w:before="0" w:beforeAutospacing="0" w:after="0" w:afterAutospacing="0" w:line="360" w:lineRule="auto"/>
        <w:ind w:firstLine="420" w:firstLineChars="200"/>
        <w:rPr>
          <w:rFonts w:hint="eastAsia" w:ascii="宋体" w:hAnsi="宋体" w:eastAsia="宋体" w:cs="宋体"/>
          <w:bCs/>
          <w:color w:val="auto"/>
          <w:kern w:val="2"/>
          <w:sz w:val="21"/>
          <w:szCs w:val="21"/>
          <w:highlight w:val="none"/>
        </w:rPr>
      </w:pPr>
    </w:p>
    <w:p>
      <w:pPr>
        <w:pStyle w:val="16"/>
        <w:spacing w:before="0" w:beforeAutospacing="0" w:after="0" w:afterAutospacing="0" w:line="360" w:lineRule="auto"/>
        <w:ind w:firstLine="420" w:firstLineChars="200"/>
        <w:rPr>
          <w:rFonts w:hint="eastAsia" w:ascii="宋体" w:hAnsi="宋体" w:eastAsia="宋体" w:cs="宋体"/>
          <w:bCs/>
          <w:color w:val="auto"/>
          <w:kern w:val="2"/>
          <w:sz w:val="21"/>
          <w:szCs w:val="21"/>
          <w:highlight w:val="none"/>
        </w:rPr>
      </w:pPr>
    </w:p>
    <w:p>
      <w:pPr>
        <w:pStyle w:val="16"/>
        <w:spacing w:before="0" w:beforeAutospacing="0" w:after="0" w:afterAutospacing="0" w:line="360" w:lineRule="auto"/>
        <w:ind w:firstLine="420" w:firstLineChars="200"/>
        <w:rPr>
          <w:rFonts w:hint="eastAsia" w:ascii="宋体" w:hAnsi="宋体" w:eastAsia="宋体" w:cs="宋体"/>
          <w:bCs/>
          <w:color w:val="auto"/>
          <w:kern w:val="2"/>
          <w:sz w:val="21"/>
          <w:szCs w:val="21"/>
          <w:highlight w:val="none"/>
        </w:rPr>
      </w:pPr>
    </w:p>
    <w:p>
      <w:pPr>
        <w:pStyle w:val="16"/>
        <w:spacing w:before="0" w:beforeAutospacing="0" w:after="0" w:afterAutospacing="0" w:line="360" w:lineRule="auto"/>
        <w:ind w:firstLine="420" w:firstLineChars="200"/>
        <w:rPr>
          <w:rFonts w:hint="eastAsia" w:ascii="宋体" w:hAnsi="宋体" w:eastAsia="宋体" w:cs="宋体"/>
          <w:bCs/>
          <w:color w:val="auto"/>
          <w:kern w:val="2"/>
          <w:sz w:val="21"/>
          <w:szCs w:val="21"/>
          <w:highlight w:val="none"/>
        </w:rPr>
      </w:pPr>
    </w:p>
    <w:p>
      <w:pPr>
        <w:pStyle w:val="16"/>
        <w:adjustRightInd w:val="0"/>
        <w:spacing w:before="0" w:beforeAutospacing="0" w:after="0" w:afterAutospacing="0" w:line="360" w:lineRule="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附件二</w:t>
      </w:r>
    </w:p>
    <w:p>
      <w:pPr>
        <w:pStyle w:val="16"/>
        <w:spacing w:before="0" w:beforeAutospacing="0" w:after="0" w:afterAutospacing="0" w:line="360" w:lineRule="auto"/>
        <w:jc w:val="center"/>
        <w:rPr>
          <w:rFonts w:hint="eastAsia" w:ascii="宋体" w:hAnsi="宋体" w:eastAsia="宋体" w:cs="宋体"/>
          <w:b/>
          <w:color w:val="auto"/>
          <w:highlight w:val="none"/>
        </w:rPr>
      </w:pPr>
      <w:r>
        <w:rPr>
          <w:rFonts w:hint="eastAsia" w:ascii="宋体" w:hAnsi="宋体" w:eastAsia="宋体" w:cs="宋体"/>
          <w:b/>
          <w:bCs/>
          <w:color w:val="auto"/>
          <w:kern w:val="2"/>
          <w:highlight w:val="none"/>
        </w:rPr>
        <w:t>特 别 告 知 函</w:t>
      </w:r>
    </w:p>
    <w:p>
      <w:pPr>
        <w:pStyle w:val="16"/>
        <w:adjustRightInd w:val="0"/>
        <w:spacing w:before="0" w:beforeAutospacing="0" w:after="0" w:afterAutospacing="0" w:line="360" w:lineRule="auto"/>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各投标商：</w:t>
      </w:r>
    </w:p>
    <w:p>
      <w:pPr>
        <w:pStyle w:val="16"/>
        <w:adjustRightInd w:val="0"/>
        <w:spacing w:before="0" w:beforeAutospacing="0" w:after="0" w:afterAutospacing="0" w:line="360" w:lineRule="auto"/>
        <w:ind w:left="359" w:leftChars="171" w:firstLine="525" w:firstLineChars="25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根据《关于进一步加强政府采购检测验收工作的意见》（鄞财［2009］1号）文件精神和国家、省有关部门等相关规定，我区自2009年11月开始对单项预算10万元以上货物类采购项目统一由区质量技术监督检测中心进行验收（标准额以下的货物类采购个别项目也视情况实行），来进一步规范加强政府采购的供货验收文件。</w:t>
      </w:r>
    </w:p>
    <w:p>
      <w:pPr>
        <w:pStyle w:val="16"/>
        <w:adjustRightInd w:val="0"/>
        <w:spacing w:before="0" w:beforeAutospacing="0" w:after="0" w:afterAutospacing="0" w:line="360" w:lineRule="auto"/>
        <w:ind w:left="359" w:leftChars="171" w:firstLine="105" w:firstLineChars="5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 xml:space="preserve">   对验收中发现不按招标文件、投标承诺及政府采购合同要求供货的投标人，将给予列入不良行为记录名单和1至3年内禁止参加鄞州区政府采购活动的处罚，拒不改正的除按有关法规处理外，将无限期禁止其参加鄞州区政府采购活动，同时将处罚结果上网进行公示。</w:t>
      </w:r>
    </w:p>
    <w:p>
      <w:pPr>
        <w:pStyle w:val="16"/>
        <w:adjustRightInd w:val="0"/>
        <w:spacing w:before="0" w:beforeAutospacing="0" w:after="0" w:afterAutospacing="0" w:line="360" w:lineRule="auto"/>
        <w:ind w:left="359" w:leftChars="171"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因此希望各投标商必严格按招标文件要求计算投标报价并保证供货质量，否则将被严肃处理，得不偿失。特此告知。</w:t>
      </w:r>
    </w:p>
    <w:p>
      <w:pPr>
        <w:spacing w:line="360" w:lineRule="auto"/>
        <w:rPr>
          <w:rFonts w:hint="eastAsia" w:ascii="宋体" w:hAnsi="宋体" w:eastAsia="宋体" w:cs="宋体"/>
          <w:bCs/>
          <w:color w:val="auto"/>
          <w:szCs w:val="21"/>
          <w:highlight w:val="none"/>
        </w:rPr>
      </w:pPr>
    </w:p>
    <w:p>
      <w:pPr>
        <w:spacing w:line="360" w:lineRule="auto"/>
        <w:ind w:right="320"/>
        <w:jc w:val="righ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鄞州区政府采购管理办公室</w:t>
      </w:r>
    </w:p>
    <w:p>
      <w:pPr>
        <w:spacing w:line="360" w:lineRule="auto"/>
        <w:rPr>
          <w:rFonts w:hint="eastAsia" w:ascii="宋体" w:hAnsi="宋体" w:eastAsia="宋体" w:cs="宋体"/>
          <w:bCs/>
          <w:color w:val="auto"/>
          <w:szCs w:val="21"/>
          <w:highlight w:val="none"/>
        </w:rPr>
      </w:pPr>
    </w:p>
    <w:p>
      <w:pPr>
        <w:spacing w:line="360" w:lineRule="auto"/>
        <w:jc w:val="center"/>
        <w:rPr>
          <w:rFonts w:hint="eastAsia" w:ascii="宋体" w:hAnsi="宋体" w:eastAsia="宋体" w:cs="宋体"/>
          <w:bCs/>
          <w:color w:val="auto"/>
          <w:szCs w:val="21"/>
          <w:highlight w:val="none"/>
        </w:rPr>
      </w:pPr>
    </w:p>
    <w:p>
      <w:pPr>
        <w:spacing w:line="360" w:lineRule="auto"/>
        <w:jc w:val="center"/>
        <w:rPr>
          <w:rFonts w:hint="eastAsia" w:ascii="宋体" w:hAnsi="宋体" w:eastAsia="宋体" w:cs="宋体"/>
          <w:bCs/>
          <w:color w:val="auto"/>
          <w:szCs w:val="21"/>
          <w:highlight w:val="none"/>
        </w:rPr>
      </w:pPr>
    </w:p>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投标人声明</w:t>
      </w:r>
    </w:p>
    <w:p>
      <w:pPr>
        <w:spacing w:line="360" w:lineRule="auto"/>
        <w:rPr>
          <w:rFonts w:hint="eastAsia" w:ascii="宋体" w:hAnsi="宋体" w:eastAsia="宋体" w:cs="宋体"/>
          <w:bCs/>
          <w:color w:val="auto"/>
          <w:szCs w:val="21"/>
          <w:highlight w:val="none"/>
        </w:rPr>
      </w:pP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已完全明确招标文件中《加强政府采购售后服务、质量管理须知》和《特别告知函》告知的全部内容，保证按招标文件、投标承诺及政府采购合同要求履行；并在本投标人违反招标文件、投标承诺及政府采购合同时愿意按告知内容接受处罚。</w:t>
      </w:r>
    </w:p>
    <w:p>
      <w:pPr>
        <w:spacing w:line="360" w:lineRule="auto"/>
        <w:ind w:firstLine="420" w:firstLineChars="200"/>
        <w:rPr>
          <w:rFonts w:hint="eastAsia" w:ascii="宋体" w:hAnsi="宋体" w:eastAsia="宋体" w:cs="宋体"/>
          <w:bCs/>
          <w:color w:val="auto"/>
          <w:szCs w:val="21"/>
          <w:highlight w:val="none"/>
        </w:rPr>
      </w:pPr>
    </w:p>
    <w:p>
      <w:pPr>
        <w:pStyle w:val="10"/>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投标人全称（盖公章）：</w:t>
      </w:r>
    </w:p>
    <w:p>
      <w:pPr>
        <w:pStyle w:val="10"/>
        <w:widowControl/>
        <w:spacing w:line="360" w:lineRule="auto"/>
        <w:jc w:val="left"/>
        <w:rPr>
          <w:rFonts w:hint="eastAsia" w:ascii="宋体" w:hAnsi="宋体" w:eastAsia="宋体" w:cs="宋体"/>
          <w:color w:val="auto"/>
          <w:sz w:val="21"/>
          <w:szCs w:val="21"/>
          <w:highlight w:val="none"/>
        </w:rPr>
      </w:pPr>
    </w:p>
    <w:p>
      <w:pPr>
        <w:pStyle w:val="1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rPr>
        <w:t>年   月  日</w:t>
      </w:r>
    </w:p>
    <w:p>
      <w:pPr>
        <w:rPr>
          <w:color w:val="auto"/>
          <w:highlight w:val="none"/>
        </w:rPr>
      </w:pPr>
    </w:p>
    <w:sectPr>
      <w:headerReference r:id="rId11" w:type="default"/>
      <w:foot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a30+heIBAADMAwAADgAAAGRycy9lMm9Eb2MueG1srVNNrtMwEN4jcQfL e5q0SKiKmj4B1UNICJAeHMB1nMaS7bE8bpNyALgBKzbsOVfPwdhJ+uCxeQs2yfz5m/k+jzc3gzXs pAJqcDVfLkrOlJPQaHeo+edPt8/WnGEUrhEGnKr5WSG/2T59sul9pVbQgWlUYATisOp9zbsYfVUU KDtlBS7AK0fJFoIVkdxwKJogekK3pliV5Yuih9D4AFIhUnQ3JvmEGB4DCG2rpdqBPFrl4ogalBGR KGGnPfJtnrZtlYwf2hZVZKbmxDTmLzUhe5++xXYjqkMQvtNyGkE8ZoQHnKzQjppeoXYiCnYM+h8o q2UAhDYuJNhiJJIVIRbL8oE2d53wKnMhqdFfRcf/Byvfnz4GppuaP+fMCUsXfvn+7fLj1+XnV7ZM 8vQeK6q681QXh1cw0NLMcaRgYj20waY/8WGUJ3HPV3HVEJlMh9ar9bqklKTc7BB+cX/cB4xvFFiW jJoHur0sqji9wziWziWpm4NbbUy+QeP+ChDmGFF5BabTick4cbLisB8mentozsSOHgV17SB84ayn lai5oxfAmXnrSPG0PbMRZmM/G8JJOljzyNlovo7jlh190Icu710aEf3LY6S5M500xtibZEgOXXIW ZFrItEV/+rnq/hFufwNQSwMECgAAAAAAh07iQAAAAAAAAAAAAAAAAAYAAABfcmVscy9QSwMEFAAA AAgAh07iQIoUZjzRAAAAlAEAAAsAAABfcmVscy8ucmVsc6WQwWrDMAyG74O9g9F9cZrDGKNOL6PQ a+kewNiKYxpbRjLZ+vbzDoNl9LajfqHvE//+8JkWtSJLpGxg1/WgMDvyMQcD75fj0wsoqTZ7u1BG AzcUOIyPD/szLra2I5ljEdUoWQzMtZZXrcXNmKx0VDC3zUScbG0jB12su9qAeuj7Z82/GTBumOrk DfDJD6Aut9LMf9gpOiahqXaOkqZpiu4eVQe2ZY7uyDbhG7lGsxywGvAsGgdqWdd+BH1fv/un3tNH PuO61X6HjOuPV2+6HL8AUEsDBBQAAAAIAIdO4kB+5uUg9wAAAOEBAAATAAAAW0NvbnRlbnRfVHlw ZXNdLnhtbJWRQU7DMBBF90jcwfIWJU67QAgl6YK0S0CoHGBkTxKLZGx5TGhvj5O2G0SRWNoz/78n u9wcxkFMGNg6quQqL6RA0s5Y6ir5vt9lD1JwBDIwOMJKHpHlpr69KfdHjyxSmriSfYz+USnWPY7A ufNIadK6MEJMx9ApD/oDOlTrorhX2lFEilmcO2RdNtjC5xDF9pCuTyYBB5bi6bQ4syoJ3g9WQ0ym aiLzg5KdCXlKLjvcW893SUOqXwnz5DrgnHtJTxOsQfEKIT7DmDSUCayM+6KAU/53yWw5cuba1mrM m8BNir3hdLG61o5r1zj93/Ltkrp0q+WD6m9QSwECFAAUAAAACACHTuJAfublIPcAAADhAQAAEwAA AAAAAAABACAAAABKBAAAW0NvbnRlbnRfVHlwZXNdLnhtbFBLAQIUAAoAAAAAAIdO4kAAAAAAAAAA AAAAAAAGAAAAAAAAAAAAEAAAACwDAABfcmVscy9QSwECFAAUAAAACACHTuJAihRmPNEAAACUAQAA CwAAAAAAAAABACAAAABQAwAAX3JlbHMvLnJlbHNQSwECFAAKAAAAAACHTuJAAAAAAAAAAAAAAAAA BAAAAAAAAAAAABAAAAAAAAAAZHJzL1BLAQIUABQAAAAIAIdO4kDOqXm5zwAAAAUBAAAPAAAAAAAA AAEAIAAAACIAAABkcnMvZG93bnJldi54bWxQSwECFAAUAAAACACHTuJAa30+heIBAADMAwAADgAA AAAAAAABACAAAAAeAQAAZHJzL2Uyb0RvYy54bWxQSwUGAAAAAAYABgBZAQAAcgUAAAAA ">
              <v:fill on="f" focussize="0,0"/>
              <v:stroke on="f"/>
              <v:imagedata o:title=""/>
              <o:lock v:ext="edit" aspectratio="f"/>
              <v:textbox inset="0mm,0mm,0mm,0mm" style="mso-fit-shape-to-text:t;">
                <w:txbxContent>
                  <w:p>
                    <w:pPr>
                      <w:pStyle w:val="1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315do+IBAADMAwAADgAAAGRycy9lMm9Eb2MueG1srVPNjtMwEL4j8Q6W 7zTZglAVNV0B1SIkBEgLD+A6TmPJf5pxm5QHgDfgxIU7z9Xn2LGTdGG57IFLMn/+Zr7P4/X1YA07 KkDtXc2vFiVnyknfaLev+ZfPN89WnGEUrhHGO1Xzk0J+vXn6ZN2HSi19502jgBGIw6oPNe9iDFVR oOyUFbjwQTlKth6siOTCvmhA9IRuTbEsy5dF76EJ4KVCpOh2TPIJER4D6NtWS7X18mCViyMqKCMi UcJOB+SbPG3bKhk/ti2qyEzNiWnMX2pC9i59i81aVHsQodNyGkE8ZoQHnKzQjppeoLYiCnYA/Q+U 1RI8+jYupLfFSCQrQiyuygfa3HYiqMyFpMZwER3/H6z8cPwETDc1f8GZE5Yu/Pzj+/nn7/Ovb+x5 kqcPWFHVbaC6OLz2Ay3NHEcKJtZDCzb9iQ+jPIl7uoirhshkOrRarlYlpSTlZofwi/vjATC+Vd6y ZNQc6PayqOL4HuNYOpekbs7faGPyDRr3V4Awx4jKKzCdTkzGiZMVh90w0dv55kTs6FFQ187DV856 WomaO3oBnJl3jhRP2zMbMBu72RBO0sGaR85G800ct+wQQO+7vHdpRAyvDpHmznTSGGNvkiE5dMlZ kGkh0xb96eeq+0e4uQNQSwMECgAAAAAAh07iQAAAAAAAAAAAAAAAAAYAAABfcmVscy9QSwMEFAAA AAgAh07iQIoUZjzRAAAAlAEAAAsAAABfcmVscy8ucmVsc6WQwWrDMAyG74O9g9F9cZrDGKNOL6PQ a+kewNiKYxpbRjLZ+vbzDoNl9LajfqHvE//+8JkWtSJLpGxg1/WgMDvyMQcD75fj0wsoqTZ7u1BG AzcUOIyPD/szLra2I5ljEdUoWQzMtZZXrcXNmKx0VDC3zUScbG0jB12su9qAeuj7Z82/GTBumOrk DfDJD6Aut9LMf9gpOiahqXaOkqZpiu4eVQe2ZY7uyDbhG7lGsxywGvAsGgdqWdd+BH1fv/un3tNH PuO61X6HjOuPV2+6HL8AUEsDBBQAAAAIAIdO4kB+5uUg9wAAAOEBAAATAAAAW0NvbnRlbnRfVHlw ZXNdLnhtbJWRQU7DMBBF90jcwfIWJU67QAgl6YK0S0CoHGBkTxKLZGx5TGhvj5O2G0SRWNoz/78n u9wcxkFMGNg6quQqL6RA0s5Y6ir5vt9lD1JwBDIwOMJKHpHlpr69KfdHjyxSmriSfYz+USnWPY7A ufNIadK6MEJMx9ApD/oDOlTrorhX2lFEilmcO2RdNtjC5xDF9pCuTyYBB5bi6bQ4syoJ3g9WQ0ym aiLzg5KdCXlKLjvcW893SUOqXwnz5DrgnHtJTxOsQfEKIT7DmDSUCayM+6KAU/53yWw5cuba1mrM m8BNir3hdLG61o5r1zj93/Ltkrp0q+WD6m9QSwECFAAUAAAACACHTuJAfublIPcAAADhAQAAEwAA AAAAAAABACAAAABKBAAAW0NvbnRlbnRfVHlwZXNdLnhtbFBLAQIUAAoAAAAAAIdO4kAAAAAAAAAA AAAAAAAGAAAAAAAAAAAAEAAAACwDAABfcmVscy9QSwECFAAUAAAACACHTuJAihRmPNEAAACUAQAA CwAAAAAAAAABACAAAABQAwAAX3JlbHMvLnJlbHNQSwECFAAKAAAAAACHTuJAAAAAAAAAAAAAAAAA BAAAAAAAAAAAABAAAAAAAAAAZHJzL1BLAQIUABQAAAAIAIdO4kDOqXm5zwAAAAUBAAAPAAAAAAAA AAEAIAAAACIAAABkcnMvZG93bnJldi54bWxQSwECFAAUAAAACACHTuJA315do+IBAADMAwAADgAA AAAAAAABACAAAAAeAQAAZHJzL2Uyb0RvYy54bWxQSwUGAAAAAAYABgBZAQAAcgUAAAAA ">
              <v:fill on="f" focussize="0,0"/>
              <v:stroke on="f"/>
              <v:imagedata o:title=""/>
              <o:lock v:ext="edit" aspectratio="f"/>
              <v:textbox inset="0mm,0mm,0mm,0mm" style="mso-fit-shape-to-text:t;">
                <w:txbxContent>
                  <w:p>
                    <w:pPr>
                      <w:pStyle w:val="1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40</w:t>
    </w:r>
    <w: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c6FNPOIBAADMAwAADgAAAGRycy9lMm9Eb2MueG1srVPNjtMwEL4j8Q6W 7zTZCq2qqOkKqBYhIUBa9gFcx2ks+U8zbpPyAPAGnLhw57n6HIydpAvLZQ9ckvnzN/N9Hq9vBmvY UQFq72p+tSg5U076Rrt9ze8/375YcYZRuEYY71TNTwr5zeb5s3UfKrX0nTeNAkYgDqs+1LyLMVRF gbJTVuDCB+Uo2XqwIpIL+6IB0RO6NcWyLK+L3kMTwEuFSNHtmOQTIjwF0Letlmrr5cEqF0dUUEZE ooSdDsg3edq2VTJ+bFtUkZmaE9OYv9SE7F36Fpu1qPYgQqflNIJ4ygiPOFmhHTW9QG1FFOwA+h8o qyV49G1cSG+LkUhWhFhclY+0uetEUJkLSY3hIjr+P1j54fgJmG5qfs2ZE5Yu/Pz92/nHr/PPr+xl kqcPWFHVXaC6OLz2Ay3NHEcKJtZDCzb9iQ+jPIl7uoirhshkOrRarlYlpSTlZofwi4fjATC+Vd6y ZNQc6PayqOL4HuNYOpekbs7famPyDRr3V4Awx4jKKzCdTkzGiZMVh90w0dv55kTs6FFQ187DF856 WomaO3oBnJl3jhRP2zMbMBu72RBO0sGaR85G800ct+wQQO+7vHdpRAyvDpHmznTSGGNvkiE5dMlZ kGkh0xb96eeqh0e4+Q1QSwMECgAAAAAAh07iQAAAAAAAAAAAAAAAAAYAAABfcmVscy9QSwMEFAAA AAgAh07iQIoUZjzRAAAAlAEAAAsAAABfcmVscy8ucmVsc6WQwWrDMAyG74O9g9F9cZrDGKNOL6PQ a+kewNiKYxpbRjLZ+vbzDoNl9LajfqHvE//+8JkWtSJLpGxg1/WgMDvyMQcD75fj0wsoqTZ7u1BG AzcUOIyPD/szLra2I5ljEdUoWQzMtZZXrcXNmKx0VDC3zUScbG0jB12su9qAeuj7Z82/GTBumOrk DfDJD6Aut9LMf9gpOiahqXaOkqZpiu4eVQe2ZY7uyDbhG7lGsxywGvAsGgdqWdd+BH1fv/un3tNH PuO61X6HjOuPV2+6HL8AUEsDBBQAAAAIAIdO4kB+5uUg9wAAAOEBAAATAAAAW0NvbnRlbnRfVHlw ZXNdLnhtbJWRQU7DMBBF90jcwfIWJU67QAgl6YK0S0CoHGBkTxKLZGx5TGhvj5O2G0SRWNoz/78n u9wcxkFMGNg6quQqL6RA0s5Y6ir5vt9lD1JwBDIwOMJKHpHlpr69KfdHjyxSmriSfYz+USnWPY7A ufNIadK6MEJMx9ApD/oDOlTrorhX2lFEilmcO2RdNtjC5xDF9pCuTyYBB5bi6bQ4syoJ3g9WQ0ym aiLzg5KdCXlKLjvcW893SUOqXwnz5DrgnHtJTxOsQfEKIT7DmDSUCayM+6KAU/53yWw5cuba1mrM m8BNir3hdLG61o5r1zj93/Ltkrp0q+WD6m9QSwECFAAUAAAACACHTuJAfublIPcAAADhAQAAEwAA AAAAAAABACAAAABKBAAAW0NvbnRlbnRfVHlwZXNdLnhtbFBLAQIUAAoAAAAAAIdO4kAAAAAAAAAA AAAAAAAGAAAAAAAAAAAAEAAAACwDAABfcmVscy9QSwECFAAUAAAACACHTuJAihRmPNEAAACUAQAA CwAAAAAAAAABACAAAABQAwAAX3JlbHMvLnJlbHNQSwECFAAKAAAAAACHTuJAAAAAAAAAAAAAAAAA BAAAAAAAAAAAABAAAAAAAAAAZHJzL1BLAQIUABQAAAAIAIdO4kDOqXm5zwAAAAUBAAAPAAAAAAAA AAEAIAAAACIAAABkcnMvZG93bnJldi54bWxQSwECFAAUAAAACACHTuJAc6FNPOIBAADMAwAADgAA AAAAAAABACAAAAAeAQAAZHJzL2Uyb0RvYy54bWxQSwUGAAAAAAYABgBZAQAAcgUAAAAA ">
              <v:fill on="f" focussize="0,0"/>
              <v:stroke on="f"/>
              <v:imagedata o:title=""/>
              <o:lock v:ext="edit" aspectratio="f"/>
              <v:textbox inset="0mm,0mm,0mm,0mm" style="mso-fit-shape-to-text:t;">
                <w:txbxContent>
                  <w:p>
                    <w:pPr>
                      <w:pStyle w:val="1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A8H+BrSAQAApAMAAA4AAABkcnMvZTJvRG9jLnhtbK1TzY7TMBC+ I/EOlu80aaUuUdR0tatqERICpIUHcB27seQ/edwmfQF4A05cuPNcfQ7GTtJFy2UPXJwZz/ib+b6Z bG4Ho8lJBFDONnS5KCkRlrtW2UNDv355eFNRApHZlmlnRUPPAujt9vWrTe9rsXKd060IBEEs1L1v aBejr4sCeCcMg4XzwmJQumBYRDccijawHtGNLlZleVP0LrQ+OC4A8HY3BumEGF4C6KRUXOwcPxph 44gahGYRKUGnPNBt7lZKweMnKUFEohuKTGM+sQja+3QW2w2rD4H5TvGpBfaSFp5xMkxZLHqF2rHI yDGof6CM4sGBk3HBnSlGIlkRZLEsn2nz2DEvMheUGvxVdPh/sPzj6XMgqm3omhLLDA788uP75efv y69vZHmT9Ok91Jj26DExDvduwK2Z7wEvE+1BBpO+SIhgHNU9X9UVQyQ8PapWVVViiGNsdhC/eHru A8R3whmSjIYGHF9WlZ0+QBxT55RUzboHpXUeobakR9R19XadX1xDiK4tFkksxm6TFYf9MFHbu/aM zHrcgYZaXHlK9HuLEqd1mY0wG/vZOPqgDl3ep9QK+LtjxHZyl6nCCDsVxuFlntOipe34289ZTz/X 9g9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Dwf4GtIBAACkAwAADgAAAAAAAAABACAAAAAi AQAAZHJzL2Uyb0RvYy54bWxQSwUGAAAAAAYABgBZAQAAZgUAAAAA ">
              <v:fill on="f" focussize="0,0"/>
              <v:stroke on="f" weight="1.25pt"/>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uP286+IBAADMAwAADgAAAGRycy9lMm9Eb2MueG1srVPNjtMwEL4j8Q6W 7zTZHpYqarqCrRYhIUBaeADXcRpL/tOM26Q8ALwBJy7cea4+B2Mn6cJy2QOXZP78zXyfx+ubwRp2 VIDau5pfLUrOlJO+0W5f88+f7l6sOMMoXCOMd6rmJ4X8ZvP82boPlVr6zptGASMQh1Ufat7FGKqi QNkpK3Dhg3KUbD1YEcmFfdGA6AndmmJZltdF76EJ4KVCpOh2TPIJEZ4C6NtWS7X18mCViyMqKCMi UcJOB+SbPG3bKhk/tC2qyEzNiWnMX2pC9i59i81aVHsQodNyGkE8ZYRHnKzQjppeoLYiCnYA/Q+U 1RI8+jYupLfFSCQrQiyuykfa3HciqMyFpMZwER3/H6x8f/wITDc1f8mZE5Yu/Pz92/nHr/PPr2yZ 5OkDVlR1H6guDq/9QEszx5GCifXQgk1/4sMoT+KeLuKqITKZDq2Wq1VJKUm52SH84uF4AIxvlLcs GTUHur0sqji+wziWziWpm/N32ph8g8b9FSDMMaLyCkynE5Nx4mTFYTdM9Ha+ORE7ehTUtfPwhbOe VqLmjl4AZ+atI8XT9swGzMZuNoSTdLDmkbPRvI3jlh0C6H2X9y6NiOHVIdLcmU4aY+xNMiSHLjkL Mi1k2qI//Vz18Ag3vwFQSwMECgAAAAAAh07iQAAAAAAAAAAAAAAAAAYAAABfcmVscy9QSwMEFAAA AAgAh07iQIoUZjzRAAAAlAEAAAsAAABfcmVscy8ucmVsc6WQwWrDMAyG74O9g9F9cZrDGKNOL6PQ a+kewNiKYxpbRjLZ+vbzDoNl9LajfqHvE//+8JkWtSJLpGxg1/WgMDvyMQcD75fj0wsoqTZ7u1BG AzcUOIyPD/szLra2I5ljEdUoWQzMtZZXrcXNmKx0VDC3zUScbG0jB12su9qAeuj7Z82/GTBumOrk DfDJD6Aut9LMf9gpOiahqXaOkqZpiu4eVQe2ZY7uyDbhG7lGsxywGvAsGgdqWdd+BH1fv/un3tNH PuO61X6HjOuPV2+6HL8AUEsDBBQAAAAIAIdO4kB+5uUg9wAAAOEBAAATAAAAW0NvbnRlbnRfVHlw ZXNdLnhtbJWRQU7DMBBF90jcwfIWJU67QAgl6YK0S0CoHGBkTxKLZGx5TGhvj5O2G0SRWNoz/78n u9wcxkFMGNg6quQqL6RA0s5Y6ir5vt9lD1JwBDIwOMJKHpHlpr69KfdHjyxSmriSfYz+USnWPY7A ufNIadK6MEJMx9ApD/oDOlTrorhX2lFEilmcO2RdNtjC5xDF9pCuTyYBB5bi6bQ4syoJ3g9WQ0ym aiLzg5KdCXlKLjvcW893SUOqXwnz5DrgnHtJTxOsQfEKIT7DmDSUCayM+6KAU/53yWw5cuba1mrM m8BNir3hdLG61o5r1zj93/Ltkrp0q+WD6m9QSwECFAAUAAAACACHTuJAfublIPcAAADhAQAAEwAA AAAAAAABACAAAABKBAAAW0NvbnRlbnRfVHlwZXNdLnhtbFBLAQIUAAoAAAAAAIdO4kAAAAAAAAAA AAAAAAAGAAAAAAAAAAAAEAAAACwDAABfcmVscy9QSwECFAAUAAAACACHTuJAihRmPNEAAACUAQAA CwAAAAAAAAABACAAAABQAwAAX3JlbHMvLnJlbHNQSwECFAAKAAAAAACHTuJAAAAAAAAAAAAAAAAA BAAAAAAAAAAAABAAAAAAAAAAZHJzL1BLAQIUABQAAAAIAIdO4kDOqXm5zwAAAAUBAAAPAAAAAAAA AAEAIAAAACIAAABkcnMvZG93bnJldi54bWxQSwECFAAUAAAACACHTuJAuP286+IBAADMAwAADgAA AAAAAAABACAAAAAeAQAAZHJzL2Uyb0RvYy54bWxQSwUGAAAAAAYABgBZAQAAcgUAAAAA ">
              <v:fill on="f" focussize="0,0"/>
              <v:stroke on="f"/>
              <v:imagedata o:title=""/>
              <o:lock v:ext="edit" aspectratio="f"/>
              <v:textbox inset="0mm,0mm,0mm,0mm" style="mso-fit-shape-to-text:t;">
                <w:txbxContent>
                  <w:p>
                    <w:pPr>
                      <w:pStyle w:val="1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spacing w:line="360" w:lineRule="auto"/>
      <w:jc w:val="left"/>
      <w:rPr>
        <w:rFonts w:hint="eastAsia" w:eastAsia="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1703E5"/>
    <w:multiLevelType w:val="singleLevel"/>
    <w:tmpl w:val="CC1703E5"/>
    <w:lvl w:ilvl="0" w:tentative="0">
      <w:start w:val="1"/>
      <w:numFmt w:val="decimal"/>
      <w:suff w:val="nothing"/>
      <w:lvlText w:val="（%1）"/>
      <w:lvlJc w:val="left"/>
    </w:lvl>
  </w:abstractNum>
  <w:abstractNum w:abstractNumId="1">
    <w:nsid w:val="E1AC6CE4"/>
    <w:multiLevelType w:val="singleLevel"/>
    <w:tmpl w:val="E1AC6CE4"/>
    <w:lvl w:ilvl="0" w:tentative="0">
      <w:start w:val="1"/>
      <w:numFmt w:val="decimal"/>
      <w:suff w:val="nothing"/>
      <w:lvlText w:val="（%1）"/>
      <w:lvlJc w:val="left"/>
    </w:lvl>
  </w:abstractNum>
  <w:abstractNum w:abstractNumId="2">
    <w:nsid w:val="00000011"/>
    <w:multiLevelType w:val="singleLevel"/>
    <w:tmpl w:val="00000011"/>
    <w:lvl w:ilvl="0" w:tentative="0">
      <w:start w:val="1"/>
      <w:numFmt w:val="decimal"/>
      <w:suff w:val="nothing"/>
      <w:lvlText w:val="%1."/>
      <w:lvlJc w:val="left"/>
    </w:lvl>
  </w:abstractNum>
  <w:abstractNum w:abstractNumId="3">
    <w:nsid w:val="00000012"/>
    <w:multiLevelType w:val="singleLevel"/>
    <w:tmpl w:val="00000012"/>
    <w:lvl w:ilvl="0" w:tentative="0">
      <w:start w:val="9"/>
      <w:numFmt w:val="decimal"/>
      <w:pStyle w:val="30"/>
      <w:suff w:val="space"/>
      <w:lvlText w:val="%1."/>
      <w:lvlJc w:val="left"/>
    </w:lvl>
  </w:abstractNum>
  <w:abstractNum w:abstractNumId="4">
    <w:nsid w:val="0000001C"/>
    <w:multiLevelType w:val="singleLevel"/>
    <w:tmpl w:val="0000001C"/>
    <w:lvl w:ilvl="0" w:tentative="0">
      <w:start w:val="1"/>
      <w:numFmt w:val="chineseCounting"/>
      <w:suff w:val="nothing"/>
      <w:lvlText w:val="%1、"/>
      <w:lvlJc w:val="left"/>
    </w:lvl>
  </w:abstractNum>
  <w:abstractNum w:abstractNumId="5">
    <w:nsid w:val="18E11E98"/>
    <w:multiLevelType w:val="singleLevel"/>
    <w:tmpl w:val="18E11E98"/>
    <w:lvl w:ilvl="0" w:tentative="0">
      <w:start w:val="2"/>
      <w:numFmt w:val="decimal"/>
      <w:suff w:val="nothing"/>
      <w:lvlText w:val="%1）"/>
      <w:lvlJc w:val="left"/>
    </w:lvl>
  </w:abstractNum>
  <w:abstractNum w:abstractNumId="6">
    <w:nsid w:val="29D120CC"/>
    <w:multiLevelType w:val="singleLevel"/>
    <w:tmpl w:val="29D120CC"/>
    <w:lvl w:ilvl="0" w:tentative="0">
      <w:start w:val="1"/>
      <w:numFmt w:val="decimal"/>
      <w:suff w:val="nothing"/>
      <w:lvlText w:val="（%1）"/>
      <w:lvlJc w:val="left"/>
    </w:lvl>
  </w:abstractNum>
  <w:abstractNum w:abstractNumId="7">
    <w:nsid w:val="3292B99A"/>
    <w:multiLevelType w:val="singleLevel"/>
    <w:tmpl w:val="3292B99A"/>
    <w:lvl w:ilvl="0" w:tentative="0">
      <w:start w:val="1"/>
      <w:numFmt w:val="decimal"/>
      <w:suff w:val="nothing"/>
      <w:lvlText w:val="（%1）"/>
      <w:lvlJc w:val="left"/>
    </w:lvl>
  </w:abstractNum>
  <w:abstractNum w:abstractNumId="8">
    <w:nsid w:val="4698FAF1"/>
    <w:multiLevelType w:val="singleLevel"/>
    <w:tmpl w:val="4698FAF1"/>
    <w:lvl w:ilvl="0" w:tentative="0">
      <w:start w:val="1"/>
      <w:numFmt w:val="decimal"/>
      <w:suff w:val="nothing"/>
      <w:lvlText w:val="%1）"/>
      <w:lvlJc w:val="left"/>
    </w:lvl>
  </w:abstractNum>
  <w:abstractNum w:abstractNumId="9">
    <w:nsid w:val="5950E9B0"/>
    <w:multiLevelType w:val="singleLevel"/>
    <w:tmpl w:val="5950E9B0"/>
    <w:lvl w:ilvl="0" w:tentative="0">
      <w:start w:val="2"/>
      <w:numFmt w:val="decimal"/>
      <w:suff w:val="nothing"/>
      <w:lvlText w:val="%1、"/>
      <w:lvlJc w:val="left"/>
    </w:lvl>
  </w:abstractNum>
  <w:abstractNum w:abstractNumId="10">
    <w:nsid w:val="5A5F4D07"/>
    <w:multiLevelType w:val="singleLevel"/>
    <w:tmpl w:val="5A5F4D07"/>
    <w:lvl w:ilvl="0" w:tentative="0">
      <w:start w:val="1"/>
      <w:numFmt w:val="decimal"/>
      <w:suff w:val="nothing"/>
      <w:lvlText w:val="%1、"/>
      <w:lvlJc w:val="left"/>
      <w:pPr>
        <w:ind w:left="0" w:firstLine="403"/>
      </w:pPr>
      <w:rPr>
        <w:rFonts w:hint="default"/>
      </w:rPr>
    </w:lvl>
  </w:abstractNum>
  <w:abstractNum w:abstractNumId="11">
    <w:nsid w:val="5AB5F34C"/>
    <w:multiLevelType w:val="singleLevel"/>
    <w:tmpl w:val="5AB5F34C"/>
    <w:lvl w:ilvl="0" w:tentative="0">
      <w:start w:val="1"/>
      <w:numFmt w:val="decimal"/>
      <w:pStyle w:val="7"/>
      <w:lvlText w:val="%1."/>
      <w:lvlJc w:val="left"/>
      <w:pPr>
        <w:tabs>
          <w:tab w:val="left" w:pos="360"/>
        </w:tabs>
        <w:ind w:left="360" w:hanging="360"/>
      </w:pPr>
    </w:lvl>
  </w:abstractNum>
  <w:abstractNum w:abstractNumId="12">
    <w:nsid w:val="6F050F0F"/>
    <w:multiLevelType w:val="singleLevel"/>
    <w:tmpl w:val="6F050F0F"/>
    <w:lvl w:ilvl="0" w:tentative="0">
      <w:start w:val="5"/>
      <w:numFmt w:val="chineseCounting"/>
      <w:suff w:val="space"/>
      <w:lvlText w:val="第%1章"/>
      <w:lvlJc w:val="left"/>
      <w:rPr>
        <w:rFonts w:hint="eastAsia"/>
      </w:rPr>
    </w:lvl>
  </w:abstractNum>
  <w:num w:numId="1">
    <w:abstractNumId w:val="11"/>
  </w:num>
  <w:num w:numId="2">
    <w:abstractNumId w:val="3"/>
  </w:num>
  <w:num w:numId="3">
    <w:abstractNumId w:val="0"/>
  </w:num>
  <w:num w:numId="4">
    <w:abstractNumId w:val="12"/>
  </w:num>
  <w:num w:numId="5">
    <w:abstractNumId w:val="6"/>
  </w:num>
  <w:num w:numId="6">
    <w:abstractNumId w:val="9"/>
  </w:num>
  <w:num w:numId="7">
    <w:abstractNumId w:val="4"/>
  </w:num>
  <w:num w:numId="8">
    <w:abstractNumId w:val="1"/>
  </w:num>
  <w:num w:numId="9">
    <w:abstractNumId w:val="8"/>
  </w:num>
  <w:num w:numId="10">
    <w:abstractNumId w:val="7"/>
  </w:num>
  <w:num w:numId="11">
    <w:abstractNumId w:val="5"/>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70598"/>
    <w:rsid w:val="037B13BA"/>
    <w:rsid w:val="03B3683D"/>
    <w:rsid w:val="0401792A"/>
    <w:rsid w:val="04057B83"/>
    <w:rsid w:val="043E6ADF"/>
    <w:rsid w:val="04863895"/>
    <w:rsid w:val="04A323F8"/>
    <w:rsid w:val="04BA0FAE"/>
    <w:rsid w:val="05141193"/>
    <w:rsid w:val="054F6D03"/>
    <w:rsid w:val="05AD13D2"/>
    <w:rsid w:val="07DC717A"/>
    <w:rsid w:val="081F6DE9"/>
    <w:rsid w:val="096248A2"/>
    <w:rsid w:val="0ACD3BA1"/>
    <w:rsid w:val="0CB27F54"/>
    <w:rsid w:val="0F4A7F0F"/>
    <w:rsid w:val="0FE339AE"/>
    <w:rsid w:val="113D6938"/>
    <w:rsid w:val="118A060B"/>
    <w:rsid w:val="1237558B"/>
    <w:rsid w:val="1279277F"/>
    <w:rsid w:val="129310B2"/>
    <w:rsid w:val="1303339C"/>
    <w:rsid w:val="14434119"/>
    <w:rsid w:val="14846BAF"/>
    <w:rsid w:val="152B7CB8"/>
    <w:rsid w:val="156904C8"/>
    <w:rsid w:val="19BF20A5"/>
    <w:rsid w:val="1A675876"/>
    <w:rsid w:val="1AFC5DB0"/>
    <w:rsid w:val="1C7710F3"/>
    <w:rsid w:val="1E8615A8"/>
    <w:rsid w:val="1EAF7452"/>
    <w:rsid w:val="209B541F"/>
    <w:rsid w:val="21D72D79"/>
    <w:rsid w:val="22A10E8E"/>
    <w:rsid w:val="242723D1"/>
    <w:rsid w:val="256E58A6"/>
    <w:rsid w:val="268C055D"/>
    <w:rsid w:val="269727D1"/>
    <w:rsid w:val="26C14517"/>
    <w:rsid w:val="28524920"/>
    <w:rsid w:val="28BA2EF9"/>
    <w:rsid w:val="29823435"/>
    <w:rsid w:val="29A42078"/>
    <w:rsid w:val="2B634AA8"/>
    <w:rsid w:val="2BD65B28"/>
    <w:rsid w:val="2C4773B1"/>
    <w:rsid w:val="2CA14B77"/>
    <w:rsid w:val="2CA96090"/>
    <w:rsid w:val="2D04781E"/>
    <w:rsid w:val="2DD662C5"/>
    <w:rsid w:val="2FEF2C1C"/>
    <w:rsid w:val="30177897"/>
    <w:rsid w:val="310D3357"/>
    <w:rsid w:val="319E60C6"/>
    <w:rsid w:val="324360CC"/>
    <w:rsid w:val="326E5F38"/>
    <w:rsid w:val="348A69F4"/>
    <w:rsid w:val="34DD6FA3"/>
    <w:rsid w:val="350F4774"/>
    <w:rsid w:val="366C6B02"/>
    <w:rsid w:val="36E25B91"/>
    <w:rsid w:val="3716085F"/>
    <w:rsid w:val="37814D01"/>
    <w:rsid w:val="37AB75FC"/>
    <w:rsid w:val="37F119AB"/>
    <w:rsid w:val="384E79F3"/>
    <w:rsid w:val="38DB7AA7"/>
    <w:rsid w:val="397641E9"/>
    <w:rsid w:val="3BF45798"/>
    <w:rsid w:val="3C402110"/>
    <w:rsid w:val="3C66720A"/>
    <w:rsid w:val="3C9D2674"/>
    <w:rsid w:val="3CAC14E6"/>
    <w:rsid w:val="3D2F17D9"/>
    <w:rsid w:val="3DDE334E"/>
    <w:rsid w:val="3FB33806"/>
    <w:rsid w:val="40F21E4B"/>
    <w:rsid w:val="437A00E7"/>
    <w:rsid w:val="439C75ED"/>
    <w:rsid w:val="43AB1CF5"/>
    <w:rsid w:val="43D02F36"/>
    <w:rsid w:val="446C4384"/>
    <w:rsid w:val="44A70D8B"/>
    <w:rsid w:val="451225C0"/>
    <w:rsid w:val="4665388B"/>
    <w:rsid w:val="46BA0AD8"/>
    <w:rsid w:val="46D322D0"/>
    <w:rsid w:val="46FE5BAF"/>
    <w:rsid w:val="47032566"/>
    <w:rsid w:val="4733477F"/>
    <w:rsid w:val="47AE0976"/>
    <w:rsid w:val="4915051C"/>
    <w:rsid w:val="4A5B10A7"/>
    <w:rsid w:val="4BF41B3B"/>
    <w:rsid w:val="4C3627D7"/>
    <w:rsid w:val="4D987C9E"/>
    <w:rsid w:val="4E4476F2"/>
    <w:rsid w:val="4EC44C8A"/>
    <w:rsid w:val="4F8E4D37"/>
    <w:rsid w:val="4FBA0969"/>
    <w:rsid w:val="506D6522"/>
    <w:rsid w:val="51BA5D9B"/>
    <w:rsid w:val="52F663BA"/>
    <w:rsid w:val="53496C93"/>
    <w:rsid w:val="537B5C26"/>
    <w:rsid w:val="54621253"/>
    <w:rsid w:val="54BF2929"/>
    <w:rsid w:val="55280A47"/>
    <w:rsid w:val="56194896"/>
    <w:rsid w:val="57494CF1"/>
    <w:rsid w:val="58D843F0"/>
    <w:rsid w:val="58E30CB2"/>
    <w:rsid w:val="5BD8077D"/>
    <w:rsid w:val="5FD40F9A"/>
    <w:rsid w:val="607A7618"/>
    <w:rsid w:val="62181E39"/>
    <w:rsid w:val="639D03E5"/>
    <w:rsid w:val="671468F7"/>
    <w:rsid w:val="68447DE3"/>
    <w:rsid w:val="691D4048"/>
    <w:rsid w:val="692B65E0"/>
    <w:rsid w:val="6A315136"/>
    <w:rsid w:val="6A9F0E4D"/>
    <w:rsid w:val="6B666E87"/>
    <w:rsid w:val="6DF65B81"/>
    <w:rsid w:val="6EF27CF4"/>
    <w:rsid w:val="6FA56006"/>
    <w:rsid w:val="7186731D"/>
    <w:rsid w:val="71A44DE4"/>
    <w:rsid w:val="726E4F56"/>
    <w:rsid w:val="740254FB"/>
    <w:rsid w:val="7422566E"/>
    <w:rsid w:val="76E01314"/>
    <w:rsid w:val="77665CD4"/>
    <w:rsid w:val="79651095"/>
    <w:rsid w:val="798D3964"/>
    <w:rsid w:val="79EA5D94"/>
    <w:rsid w:val="7AEA555D"/>
    <w:rsid w:val="7B3371AC"/>
    <w:rsid w:val="7C961FFF"/>
    <w:rsid w:val="7CDF518F"/>
    <w:rsid w:val="7D5F6180"/>
    <w:rsid w:val="7DED0BF5"/>
    <w:rsid w:val="7E0460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6" w:lineRule="auto"/>
      <w:jc w:val="center"/>
      <w:outlineLvl w:val="0"/>
    </w:pPr>
    <w:rPr>
      <w:b/>
      <w:bCs/>
      <w:kern w:val="44"/>
      <w:sz w:val="30"/>
      <w:szCs w:val="44"/>
    </w:rPr>
  </w:style>
  <w:style w:type="paragraph" w:styleId="5">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beforeLines="0" w:after="260" w:afterLines="0" w:line="416" w:lineRule="auto"/>
      <w:jc w:val="center"/>
      <w:outlineLvl w:val="2"/>
    </w:pPr>
    <w:rPr>
      <w:rFonts w:ascii="Calibri" w:hAnsi="Calibri"/>
      <w:b/>
      <w:bCs/>
      <w:sz w:val="28"/>
      <w:szCs w:val="32"/>
    </w:rPr>
  </w:style>
  <w:style w:type="character" w:default="1" w:styleId="21">
    <w:name w:val="Default Paragraph Font"/>
    <w:semiHidden/>
    <w:qFormat/>
    <w:uiPriority w:val="0"/>
  </w:style>
  <w:style w:type="table" w:default="1" w:styleId="19">
    <w:name w:val="Normal Table"/>
    <w:semiHidden/>
    <w:qFormat/>
    <w:uiPriority w:val="0"/>
    <w:tblPr>
      <w:tblStyle w:val="19"/>
      <w:tblCellMar>
        <w:top w:w="0" w:type="dxa"/>
        <w:left w:w="108" w:type="dxa"/>
        <w:bottom w:w="0" w:type="dxa"/>
        <w:right w:w="108" w:type="dxa"/>
      </w:tblCellMar>
    </w:tblPr>
  </w:style>
  <w:style w:type="paragraph" w:styleId="2">
    <w:name w:val="Body Text"/>
    <w:basedOn w:val="1"/>
    <w:next w:val="3"/>
    <w:uiPriority w:val="99"/>
    <w:pPr>
      <w:spacing w:after="120" w:afterLines="0"/>
    </w:pPr>
  </w:style>
  <w:style w:type="paragraph" w:styleId="3">
    <w:name w:val="Date"/>
    <w:basedOn w:val="1"/>
    <w:next w:val="1"/>
    <w:uiPriority w:val="0"/>
    <w:pPr>
      <w:ind w:left="100" w:leftChars="2500"/>
    </w:pPr>
    <w:rPr>
      <w:rFonts w:ascii="Times New Roman" w:hAnsi="Times New Roman" w:eastAsia="宋体" w:cs="Times New Roman"/>
      <w:sz w:val="24"/>
    </w:rPr>
  </w:style>
  <w:style w:type="paragraph" w:styleId="7">
    <w:name w:val="List Number"/>
    <w:basedOn w:val="1"/>
    <w:uiPriority w:val="0"/>
    <w:pPr>
      <w:numPr>
        <w:ilvl w:val="0"/>
        <w:numId w:val="1"/>
      </w:numPr>
    </w:pPr>
  </w:style>
  <w:style w:type="paragraph" w:styleId="8">
    <w:name w:val="Normal Indent"/>
    <w:basedOn w:val="1"/>
    <w:qFormat/>
    <w:uiPriority w:val="0"/>
    <w:pPr>
      <w:autoSpaceDE w:val="0"/>
      <w:autoSpaceDN w:val="0"/>
      <w:adjustRightInd w:val="0"/>
      <w:ind w:firstLine="567"/>
      <w:textAlignment w:val="baseline"/>
    </w:pPr>
    <w:rPr>
      <w:rFonts w:eastAsia="宋体"/>
      <w:sz w:val="28"/>
      <w:lang w:val="en-US" w:eastAsia="zh-CN" w:bidi="ar-SA"/>
    </w:rPr>
  </w:style>
  <w:style w:type="paragraph" w:styleId="9">
    <w:name w:val="annotation text"/>
    <w:basedOn w:val="1"/>
    <w:qFormat/>
    <w:uiPriority w:val="0"/>
    <w:pPr>
      <w:jc w:val="left"/>
    </w:pPr>
    <w:rPr>
      <w:szCs w:val="20"/>
    </w:rPr>
  </w:style>
  <w:style w:type="paragraph" w:styleId="10">
    <w:name w:val="Body Text Indent"/>
    <w:basedOn w:val="1"/>
    <w:next w:val="1"/>
    <w:qFormat/>
    <w:uiPriority w:val="0"/>
    <w:pPr>
      <w:spacing w:line="200" w:lineRule="exact"/>
      <w:ind w:firstLine="301"/>
    </w:pPr>
    <w:rPr>
      <w:rFonts w:ascii="宋体" w:hAnsi="Courier New"/>
      <w:spacing w:val="-4"/>
      <w:sz w:val="18"/>
      <w:szCs w:val="20"/>
    </w:rPr>
  </w:style>
  <w:style w:type="paragraph" w:styleId="11">
    <w:name w:val="Plain Text"/>
    <w:basedOn w:val="1"/>
    <w:qFormat/>
    <w:uiPriority w:val="0"/>
    <w:pPr>
      <w:spacing w:before="156" w:beforeLines="50" w:after="156" w:afterLines="50" w:line="400" w:lineRule="exact"/>
    </w:pPr>
    <w:rPr>
      <w:rFonts w:ascii="宋体" w:hAnsi="Courier New"/>
      <w:sz w:val="24"/>
    </w:rPr>
  </w:style>
  <w:style w:type="paragraph" w:styleId="12">
    <w:name w:val="Body Text Indent 2"/>
    <w:basedOn w:val="1"/>
    <w:qFormat/>
    <w:uiPriority w:val="0"/>
    <w:pPr>
      <w:snapToGrid w:val="0"/>
      <w:ind w:firstLine="542" w:firstLineChars="225"/>
    </w:pPr>
    <w:rPr>
      <w:rFonts w:ascii="仿宋_GB2312" w:hAnsi="宋体"/>
      <w:b/>
      <w:bCs/>
      <w:color w:val="000000"/>
      <w:sz w:val="24"/>
    </w:rPr>
  </w:style>
  <w:style w:type="paragraph" w:styleId="13">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15">
    <w:name w:val="toc 1"/>
    <w:basedOn w:val="1"/>
    <w:next w:val="1"/>
    <w:qFormat/>
    <w:uiPriority w:val="39"/>
    <w:pPr>
      <w:spacing w:before="600" w:beforeLines="0" w:after="600" w:afterLines="0"/>
    </w:pPr>
    <w:rPr>
      <w:b/>
      <w:sz w:val="32"/>
    </w:rPr>
  </w:style>
  <w:style w:type="paragraph" w:styleId="16">
    <w:name w:val="Normal (Web)"/>
    <w:basedOn w:val="1"/>
    <w:qFormat/>
    <w:uiPriority w:val="99"/>
    <w:pPr>
      <w:widowControl/>
      <w:spacing w:before="100" w:beforeLines="0" w:beforeAutospacing="1" w:after="100" w:afterLines="0" w:afterAutospacing="1"/>
      <w:jc w:val="left"/>
    </w:pPr>
    <w:rPr>
      <w:kern w:val="0"/>
      <w:sz w:val="24"/>
    </w:rPr>
  </w:style>
  <w:style w:type="paragraph" w:styleId="17">
    <w:name w:val="Body Text First Indent"/>
    <w:basedOn w:val="2"/>
    <w:next w:val="1"/>
    <w:uiPriority w:val="99"/>
    <w:pPr>
      <w:ind w:firstLine="420" w:firstLineChars="100"/>
    </w:pPr>
    <w:rPr>
      <w:sz w:val="21"/>
    </w:rPr>
  </w:style>
  <w:style w:type="paragraph" w:styleId="18">
    <w:name w:val="Body Text First Indent 2"/>
    <w:basedOn w:val="10"/>
    <w:next w:val="1"/>
    <w:unhideWhenUsed/>
    <w:qFormat/>
    <w:uiPriority w:val="99"/>
    <w:pPr>
      <w:spacing w:after="120" w:line="240" w:lineRule="auto"/>
      <w:ind w:left="420" w:leftChars="200" w:firstLine="420"/>
    </w:pPr>
    <w:rPr>
      <w:rFonts w:cs="宋体"/>
      <w:sz w:val="21"/>
      <w:szCs w:val="21"/>
    </w:rPr>
  </w:style>
  <w:style w:type="table" w:styleId="20">
    <w:name w:val="Table Grid"/>
    <w:basedOn w:val="19"/>
    <w:uiPriority w:val="0"/>
    <w:pPr>
      <w:widowControl w:val="0"/>
      <w:jc w:val="both"/>
    </w:pPr>
    <w:tblPr>
      <w:tblStyle w:val="1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22"/>
    <w:rPr>
      <w:rFonts w:ascii="Tahoma" w:hAnsi="Tahoma"/>
      <w:b/>
      <w:bCs/>
      <w:sz w:val="24"/>
      <w:szCs w:val="20"/>
    </w:rPr>
  </w:style>
  <w:style w:type="character" w:styleId="23">
    <w:name w:val="Hyperlink"/>
    <w:qFormat/>
    <w:uiPriority w:val="99"/>
    <w:rPr>
      <w:rFonts w:ascii="Tahoma" w:hAnsi="Tahoma"/>
      <w:color w:val="004102"/>
      <w:sz w:val="24"/>
      <w:szCs w:val="20"/>
      <w:u w:val="none"/>
    </w:rPr>
  </w:style>
  <w:style w:type="paragraph" w:customStyle="1" w:styleId="24">
    <w:name w:val="List Paragraph"/>
    <w:basedOn w:val="1"/>
    <w:qFormat/>
    <w:uiPriority w:val="34"/>
    <w:pPr>
      <w:ind w:firstLine="420" w:firstLineChars="200"/>
    </w:pPr>
  </w:style>
  <w:style w:type="paragraph" w:customStyle="1" w:styleId="25">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26">
    <w:name w:val="正文段"/>
    <w:basedOn w:val="1"/>
    <w:uiPriority w:val="0"/>
    <w:pPr>
      <w:widowControl/>
      <w:snapToGrid w:val="0"/>
      <w:spacing w:after="156" w:afterLines="50"/>
      <w:ind w:firstLine="200" w:firstLineChars="200"/>
    </w:pPr>
    <w:rPr>
      <w:kern w:val="0"/>
      <w:sz w:val="24"/>
      <w:szCs w:val="20"/>
    </w:rPr>
  </w:style>
  <w:style w:type="paragraph" w:customStyle="1" w:styleId="27">
    <w:name w:val="Table Paragraph"/>
    <w:basedOn w:val="1"/>
    <w:uiPriority w:val="0"/>
    <w:pPr>
      <w:jc w:val="left"/>
    </w:pPr>
    <w:rPr>
      <w:rFonts w:ascii="Calibri" w:hAnsi="Calibri"/>
      <w:kern w:val="0"/>
      <w:sz w:val="22"/>
      <w:szCs w:val="22"/>
      <w:lang w:eastAsia="en-US"/>
    </w:rPr>
  </w:style>
  <w:style w:type="paragraph" w:customStyle="1" w:styleId="28">
    <w:name w:val="普通(网站)1"/>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29">
    <w:name w:val="纯文本1"/>
    <w:basedOn w:val="30"/>
    <w:qFormat/>
    <w:uiPriority w:val="99"/>
    <w:pPr>
      <w:widowControl/>
      <w:tabs>
        <w:tab w:val="left" w:pos="360"/>
      </w:tabs>
      <w:jc w:val="left"/>
    </w:pPr>
    <w:rPr>
      <w:rFonts w:ascii="宋体" w:hAnsi="Courier New" w:cs="宋体"/>
    </w:rPr>
  </w:style>
  <w:style w:type="paragraph" w:customStyle="1" w:styleId="30">
    <w:name w:val="正文1"/>
    <w:basedOn w:val="1"/>
    <w:uiPriority w:val="0"/>
    <w:pPr>
      <w:widowControl w:val="0"/>
      <w:numPr>
        <w:ilvl w:val="0"/>
        <w:numId w:val="2"/>
      </w:numPr>
      <w:tabs>
        <w:tab w:val="left" w:pos="360"/>
      </w:tabs>
      <w:spacing w:line="360" w:lineRule="auto"/>
      <w:ind w:left="357" w:hanging="357"/>
      <w:jc w:val="both"/>
    </w:pPr>
    <w:rPr>
      <w:rFonts w:ascii="宋体" w:hAnsi="宋体"/>
      <w:color w:val="FF0000"/>
      <w:kern w:val="2"/>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header4.xml" Type="http://schemas.openxmlformats.org/officeDocument/2006/relationships/header"/><Relationship Id="rId12" Target="footer6.xml" Type="http://schemas.openxmlformats.org/officeDocument/2006/relationships/footer"/><Relationship Id="rId13" Target="theme/theme1.xml" Type="http://schemas.openxmlformats.org/officeDocument/2006/relationships/theme"/><Relationship Id="rId14" Target="media/image1.png" Type="http://schemas.openxmlformats.org/officeDocument/2006/relationships/image"/><Relationship Id="rId15" Target="../customXml/item1.xml" Type="http://schemas.openxmlformats.org/officeDocument/2006/relationships/customXml"/><Relationship Id="rId16" Target="numbering.xml" Type="http://schemas.openxmlformats.org/officeDocument/2006/relationships/numbering"/><Relationship Id="rId17"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header1.xml" Type="http://schemas.openxmlformats.org/officeDocument/2006/relationships/header"/><Relationship Id="rId6" Target="header2.xml" Type="http://schemas.openxmlformats.org/officeDocument/2006/relationships/header"/><Relationship Id="rId7" Target="footer3.xml" Type="http://schemas.openxmlformats.org/officeDocument/2006/relationships/footer"/><Relationship Id="rId8" Target="footer4.xml" Type="http://schemas.openxmlformats.org/officeDocument/2006/relationships/footer"/><Relationship Id="rId9" Target="header3.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2021-10-13T06:07:12Z</dcterms:created>
  <dc:creator>dell</dc:creator>
  <cp:lastModifiedBy>WPS_1701756769</cp:lastModifiedBy>
  <cp:lastPrinted>2021-11-22T02:16:24Z</cp:lastPrinted>
  <dcterms:modified xsi:type="dcterms:W3CDTF">2024-02-22T06:37:00Z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91CF7D9F5E264433B03AB4A0A9D198E5_13</vt:lpwstr>
  </property>
</Properties>
</file>