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rFonts w:hint="eastAsia" w:ascii="宋体" w:hAnsi="宋体" w:eastAsia="宋体" w:cs="宋体"/>
          <w:sz w:val="32"/>
          <w:highlight w:val="none"/>
          <w:lang w:val="zh-CN" w:eastAsia="zh-CN"/>
        </w:rPr>
      </w:pPr>
      <w:r>
        <w:rPr>
          <w:rFonts w:hint="eastAsia" w:ascii="宋体" w:hAnsi="宋体" w:eastAsia="宋体" w:cs="宋体"/>
          <w:sz w:val="32"/>
          <w:highlight w:val="none"/>
          <w:lang w:val="zh-CN" w:eastAsia="zh-CN"/>
        </w:rPr>
        <w:t>桂林市文化旅游中心漓江歌剧院项目室内装修工程施工招标公告</w:t>
      </w:r>
    </w:p>
    <w:p>
      <w:pPr>
        <w:pStyle w:val="16"/>
        <w:jc w:val="center"/>
        <w:rPr>
          <w:rFonts w:hint="eastAsia" w:ascii="宋体" w:hAnsi="宋体" w:eastAsia="宋体" w:cs="宋体"/>
          <w:sz w:val="32"/>
          <w:highlight w:val="none"/>
          <w:lang w:val="zh-CN" w:eastAsia="zh-CN"/>
        </w:rPr>
      </w:pPr>
    </w:p>
    <w:p>
      <w:pPr>
        <w:pStyle w:val="1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highlight w:val="none"/>
          <w:lang w:val="zh-CN" w:eastAsia="zh-CN"/>
        </w:rPr>
      </w:pPr>
      <w:r>
        <w:rPr>
          <w:rFonts w:hint="eastAsia" w:ascii="宋体" w:hAnsi="宋体" w:eastAsia="宋体" w:cs="宋体"/>
          <w:b/>
          <w:bCs/>
          <w:highlight w:val="none"/>
          <w:lang w:val="zh-CN" w:eastAsia="zh-CN"/>
        </w:rPr>
        <w:t>1、招标条件</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  本招标项目</w:t>
      </w:r>
      <w:r>
        <w:rPr>
          <w:rFonts w:hint="eastAsia" w:ascii="宋体" w:hAnsi="宋体" w:eastAsia="宋体" w:cs="宋体"/>
          <w:b/>
          <w:bCs/>
          <w:highlight w:val="none"/>
          <w:lang w:val="zh-CN" w:eastAsia="zh-CN"/>
        </w:rPr>
        <w:t>桂林市文化旅游中心漓江歌剧院项目室内装修工程</w:t>
      </w:r>
      <w:r>
        <w:rPr>
          <w:rFonts w:hint="eastAsia" w:ascii="宋体" w:hAnsi="宋体" w:eastAsia="宋体" w:cs="宋体"/>
          <w:highlight w:val="none"/>
          <w:lang w:val="zh-CN" w:eastAsia="zh-CN"/>
        </w:rPr>
        <w:t>（招标文件备案编号：202</w:t>
      </w:r>
      <w:r>
        <w:rPr>
          <w:rFonts w:hint="eastAsia" w:ascii="宋体" w:hAnsi="宋体" w:eastAsia="宋体" w:cs="宋体"/>
          <w:highlight w:val="none"/>
          <w:lang w:val="en-US" w:eastAsia="zh-CN"/>
        </w:rPr>
        <w:t>1</w:t>
      </w:r>
      <w:r>
        <w:rPr>
          <w:rFonts w:hint="eastAsia" w:ascii="宋体" w:hAnsi="宋体" w:eastAsia="宋体" w:cs="宋体"/>
          <w:highlight w:val="none"/>
          <w:lang w:val="zh-CN" w:eastAsia="zh-CN"/>
        </w:rPr>
        <w:t>-SG-</w:t>
      </w:r>
      <w:r>
        <w:rPr>
          <w:rFonts w:hint="eastAsia" w:ascii="宋体" w:hAnsi="宋体" w:eastAsia="宋体" w:cs="宋体"/>
          <w:highlight w:val="none"/>
          <w:lang w:val="en-US" w:eastAsia="zh-CN"/>
        </w:rPr>
        <w:t>005</w:t>
      </w:r>
      <w:r>
        <w:rPr>
          <w:rFonts w:hint="eastAsia" w:ascii="宋体" w:hAnsi="宋体" w:eastAsia="宋体" w:cs="宋体"/>
          <w:highlight w:val="none"/>
          <w:lang w:val="zh-CN" w:eastAsia="zh-CN"/>
        </w:rPr>
        <w:t>） 已由</w:t>
      </w:r>
      <w:r>
        <w:rPr>
          <w:rFonts w:hint="eastAsia" w:ascii="宋体" w:hAnsi="宋体" w:eastAsia="宋体" w:cs="宋体"/>
          <w:b/>
          <w:bCs/>
          <w:highlight w:val="none"/>
          <w:lang w:val="zh-CN" w:eastAsia="zh-CN"/>
        </w:rPr>
        <w:t>桂林市发展和改革委员会</w:t>
      </w:r>
      <w:r>
        <w:rPr>
          <w:rFonts w:hint="eastAsia" w:ascii="宋体" w:hAnsi="宋体" w:eastAsia="宋体" w:cs="宋体"/>
          <w:highlight w:val="none"/>
          <w:lang w:val="zh-CN" w:eastAsia="zh-CN"/>
        </w:rPr>
        <w:t xml:space="preserve">以 </w:t>
      </w:r>
      <w:r>
        <w:rPr>
          <w:rFonts w:hint="eastAsia" w:ascii="宋体" w:hAnsi="宋体" w:eastAsia="宋体" w:cs="宋体"/>
          <w:b/>
          <w:bCs/>
          <w:highlight w:val="none"/>
          <w:lang w:val="zh-CN" w:eastAsia="zh-CN"/>
        </w:rPr>
        <w:t>桂林市发展和改革委员会关于桂林市文化旅游中心漓江歌剧院项目建议书的批复(市发改管字﹝2019﹞112号</w:t>
      </w:r>
      <w:r>
        <w:rPr>
          <w:rFonts w:hint="eastAsia" w:ascii="宋体" w:hAnsi="宋体" w:eastAsia="宋体" w:cs="宋体"/>
          <w:highlight w:val="none"/>
          <w:lang w:val="zh-CN" w:eastAsia="zh-CN"/>
        </w:rPr>
        <w:t xml:space="preserve"> 批准建设，招标人（项目业主）为 </w:t>
      </w:r>
      <w:r>
        <w:rPr>
          <w:rFonts w:hint="eastAsia" w:ascii="宋体" w:hAnsi="宋体" w:eastAsia="宋体" w:cs="宋体"/>
          <w:b/>
          <w:bCs/>
          <w:highlight w:val="none"/>
          <w:lang w:val="zh-CN" w:eastAsia="zh-CN"/>
        </w:rPr>
        <w:t>桂林市文化广电和旅游局</w:t>
      </w:r>
      <w:r>
        <w:rPr>
          <w:rFonts w:hint="eastAsia" w:ascii="宋体" w:hAnsi="宋体" w:eastAsia="宋体" w:cs="宋体"/>
          <w:highlight w:val="none"/>
          <w:lang w:val="zh-CN" w:eastAsia="zh-CN"/>
        </w:rPr>
        <w:t xml:space="preserve"> ，建设资金来自财政，项目出资比例为</w:t>
      </w:r>
      <w:r>
        <w:rPr>
          <w:rFonts w:hint="eastAsia" w:ascii="宋体" w:hAnsi="宋体" w:eastAsia="宋体" w:cs="宋体"/>
          <w:b/>
          <w:bCs/>
          <w:highlight w:val="none"/>
          <w:lang w:val="zh-CN" w:eastAsia="zh-CN"/>
        </w:rPr>
        <w:t>100.00%</w:t>
      </w:r>
      <w:r>
        <w:rPr>
          <w:rFonts w:hint="eastAsia" w:ascii="宋体" w:hAnsi="宋体" w:eastAsia="宋体" w:cs="宋体"/>
          <w:highlight w:val="none"/>
          <w:lang w:val="zh-CN" w:eastAsia="zh-CN"/>
        </w:rPr>
        <w:t xml:space="preserve">。项目已具备招标条件，现对该项目的施工进行公开招标。 </w:t>
      </w:r>
    </w:p>
    <w:p>
      <w:pPr>
        <w:pStyle w:val="1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highlight w:val="none"/>
          <w:lang w:val="zh-CN" w:eastAsia="zh-CN"/>
        </w:rPr>
      </w:pPr>
      <w:r>
        <w:rPr>
          <w:rFonts w:hint="eastAsia" w:ascii="宋体" w:hAnsi="宋体" w:eastAsia="宋体" w:cs="宋体"/>
          <w:b/>
          <w:bCs/>
          <w:highlight w:val="none"/>
          <w:lang w:val="zh-CN" w:eastAsia="zh-CN"/>
        </w:rPr>
        <w:t>2、项目概况与招标范围</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highlight w:val="none"/>
          <w:lang w:val="en-US" w:eastAsia="zh-CN"/>
        </w:rPr>
      </w:pPr>
      <w:r>
        <w:rPr>
          <w:rFonts w:hint="eastAsia" w:ascii="宋体" w:hAnsi="宋体" w:eastAsia="宋体" w:cs="宋体"/>
          <w:highlight w:val="none"/>
          <w:lang w:val="zh-CN" w:eastAsia="zh-CN"/>
        </w:rPr>
        <w:t>  项目招标编号：</w:t>
      </w:r>
      <w:r>
        <w:rPr>
          <w:rFonts w:hint="eastAsia" w:ascii="宋体" w:hAnsi="宋体" w:eastAsia="宋体" w:cs="宋体"/>
          <w:b/>
          <w:bCs/>
          <w:highlight w:val="none"/>
          <w:lang w:val="zh-CN" w:eastAsia="zh-CN"/>
        </w:rPr>
        <w:t>202</w:t>
      </w:r>
      <w:r>
        <w:rPr>
          <w:rFonts w:hint="eastAsia" w:ascii="宋体" w:hAnsi="宋体" w:eastAsia="宋体" w:cs="宋体"/>
          <w:b/>
          <w:bCs/>
          <w:highlight w:val="none"/>
          <w:lang w:val="en-US" w:eastAsia="zh-CN"/>
        </w:rPr>
        <w:t>1</w:t>
      </w:r>
      <w:r>
        <w:rPr>
          <w:rFonts w:hint="eastAsia" w:ascii="宋体" w:hAnsi="宋体" w:eastAsia="宋体" w:cs="宋体"/>
          <w:b/>
          <w:bCs/>
          <w:highlight w:val="none"/>
          <w:lang w:val="zh-CN" w:eastAsia="zh-CN"/>
        </w:rPr>
        <w:t>-SG-</w:t>
      </w:r>
      <w:r>
        <w:rPr>
          <w:rFonts w:hint="eastAsia" w:ascii="宋体" w:hAnsi="宋体" w:eastAsia="宋体" w:cs="宋体"/>
          <w:b/>
          <w:bCs/>
          <w:highlight w:val="none"/>
          <w:lang w:val="en-US" w:eastAsia="zh-CN"/>
        </w:rPr>
        <w:t>005</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  报建号（如有）：</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  建设地点：</w:t>
      </w:r>
      <w:r>
        <w:rPr>
          <w:rFonts w:hint="eastAsia" w:ascii="宋体" w:hAnsi="宋体" w:eastAsia="宋体" w:cs="宋体"/>
          <w:b/>
          <w:bCs/>
          <w:highlight w:val="none"/>
          <w:lang w:val="zh-CN" w:eastAsia="zh-CN"/>
        </w:rPr>
        <w:t>桂林市七星区，漓江和訾洲河东岸，自由路以南，穿山路以西</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  建设规模：</w:t>
      </w:r>
      <w:r>
        <w:rPr>
          <w:rFonts w:hint="eastAsia" w:ascii="宋体" w:hAnsi="宋体" w:eastAsia="宋体" w:cs="宋体"/>
          <w:b/>
          <w:bCs/>
          <w:highlight w:val="none"/>
          <w:lang w:val="zh-CN" w:eastAsia="zh-CN"/>
        </w:rPr>
        <w:t>项目总用地面积为10587.00㎡，总建筑面积为27432.30㎡，地上建筑面积为16490.80㎡，地下建筑面积为10941.50㎡。工程结构类型为框架剪力墙结构，跨度为20m~29m，地下一层，地上4层，抗震设防烈度为6度，钢结构网架跨度为82m，安装高度42m库面积2324.30㎡。观众厅池座</w:t>
      </w:r>
      <w:r>
        <w:rPr>
          <w:rFonts w:hint="eastAsia" w:ascii="宋体" w:hAnsi="宋体" w:eastAsia="宋体" w:cs="宋体"/>
          <w:b/>
          <w:bCs/>
          <w:highlight w:val="none"/>
          <w:lang w:val="en-US" w:eastAsia="zh-CN"/>
        </w:rPr>
        <w:t>695座（含残疾人坐席3个）楼座263座，合计958座。</w:t>
      </w:r>
      <w:bookmarkStart w:id="0" w:name="_GoBack"/>
      <w:bookmarkEnd w:id="0"/>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  合同估算价：</w:t>
      </w:r>
      <w:r>
        <w:rPr>
          <w:rFonts w:hint="eastAsia" w:ascii="宋体" w:hAnsi="宋体" w:eastAsia="宋体" w:cs="宋体"/>
          <w:b/>
          <w:bCs/>
          <w:highlight w:val="none"/>
          <w:lang w:val="en-US" w:eastAsia="zh-CN"/>
        </w:rPr>
        <w:t>10000</w:t>
      </w:r>
      <w:r>
        <w:rPr>
          <w:rFonts w:hint="eastAsia" w:ascii="宋体" w:hAnsi="宋体" w:eastAsia="宋体" w:cs="宋体"/>
          <w:highlight w:val="none"/>
          <w:lang w:val="zh-CN" w:eastAsia="zh-CN"/>
        </w:rPr>
        <w:t>万元</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  要求工期：</w:t>
      </w:r>
      <w:r>
        <w:rPr>
          <w:rFonts w:hint="eastAsia" w:ascii="宋体" w:hAnsi="宋体" w:eastAsia="宋体" w:cs="宋体"/>
          <w:b/>
          <w:bCs/>
          <w:highlight w:val="none"/>
          <w:lang w:val="en-US" w:eastAsia="zh-CN"/>
        </w:rPr>
        <w:t>223</w:t>
      </w:r>
      <w:r>
        <w:rPr>
          <w:rFonts w:hint="eastAsia" w:ascii="宋体" w:hAnsi="宋体" w:eastAsia="宋体" w:cs="宋体"/>
          <w:highlight w:val="none"/>
          <w:lang w:val="zh-CN" w:eastAsia="zh-CN"/>
        </w:rPr>
        <w:t>日历天,定额工期</w:t>
      </w:r>
      <w:r>
        <w:rPr>
          <w:rFonts w:hint="eastAsia" w:ascii="宋体" w:hAnsi="宋体" w:eastAsia="宋体" w:cs="宋体"/>
          <w:b/>
          <w:bCs/>
          <w:highlight w:val="none"/>
          <w:lang w:val="en-US" w:eastAsia="zh-CN"/>
        </w:rPr>
        <w:t>275</w:t>
      </w:r>
      <w:r>
        <w:rPr>
          <w:rFonts w:hint="eastAsia" w:ascii="宋体" w:hAnsi="宋体" w:eastAsia="宋体" w:cs="宋体"/>
          <w:highlight w:val="none"/>
          <w:lang w:val="zh-CN" w:eastAsia="zh-CN"/>
        </w:rPr>
        <w:t>日历天【备注：建筑安装工程定额工期应按《建筑安装工程工期定额（TY01-89-2016）》确定】工期压缩≧20%时，须组织专家论证，且在招标工程量清单中增设提前竣工（赶工补偿）费项目清单】</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  招标范围：</w:t>
      </w:r>
      <w:r>
        <w:rPr>
          <w:rFonts w:hint="eastAsia" w:ascii="宋体" w:hAnsi="宋体" w:eastAsia="宋体" w:cs="宋体"/>
          <w:b/>
          <w:bCs/>
          <w:highlight w:val="none"/>
          <w:lang w:val="zh-CN" w:eastAsia="zh-CN"/>
        </w:rPr>
        <w:t>经评审备案的施工图纸范围内包含的施工内容，详见工程量清单。</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highlight w:val="none"/>
          <w:lang w:val="en-US" w:eastAsia="zh-CN"/>
        </w:rPr>
      </w:pPr>
      <w:r>
        <w:rPr>
          <w:rFonts w:hint="eastAsia" w:ascii="宋体" w:hAnsi="宋体" w:eastAsia="宋体" w:cs="宋体"/>
          <w:highlight w:val="none"/>
          <w:lang w:val="zh-CN" w:eastAsia="zh-CN"/>
        </w:rPr>
        <w:t>  标段划分：</w:t>
      </w:r>
      <w:r>
        <w:rPr>
          <w:rFonts w:hint="eastAsia" w:ascii="宋体" w:hAnsi="宋体" w:eastAsia="宋体" w:cs="宋体"/>
          <w:b/>
          <w:bCs/>
          <w:highlight w:val="none"/>
          <w:lang w:val="zh-CN" w:eastAsia="zh-CN"/>
        </w:rPr>
        <w:t>本工程划分为1个标段</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  设计单位：</w:t>
      </w:r>
      <w:r>
        <w:rPr>
          <w:rFonts w:hint="eastAsia" w:ascii="宋体" w:hAnsi="宋体" w:eastAsia="宋体" w:cs="宋体"/>
          <w:b/>
          <w:bCs/>
          <w:highlight w:val="none"/>
          <w:lang w:val="zh-CN" w:eastAsia="zh-CN"/>
        </w:rPr>
        <w:t xml:space="preserve">广东省建筑设计研究院 </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  勘察单位：</w:t>
      </w:r>
      <w:r>
        <w:rPr>
          <w:rFonts w:hint="eastAsia" w:ascii="宋体" w:hAnsi="宋体" w:eastAsia="宋体" w:cs="宋体"/>
          <w:b/>
          <w:bCs/>
          <w:highlight w:val="none"/>
          <w:lang w:val="zh-CN" w:eastAsia="zh-CN"/>
        </w:rPr>
        <w:t xml:space="preserve">桂林矿产地质研究院工程有限公司 </w:t>
      </w:r>
    </w:p>
    <w:p>
      <w:pPr>
        <w:pStyle w:val="1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highlight w:val="none"/>
          <w:lang w:val="zh-CN" w:eastAsia="zh-CN"/>
        </w:rPr>
      </w:pPr>
      <w:r>
        <w:rPr>
          <w:rFonts w:hint="eastAsia" w:ascii="宋体" w:hAnsi="宋体" w:eastAsia="宋体" w:cs="宋体"/>
          <w:b/>
          <w:bCs/>
          <w:highlight w:val="none"/>
          <w:lang w:val="zh-CN" w:eastAsia="zh-CN"/>
        </w:rPr>
        <w:t>3、投标人资格要求</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  3.1本次招标要求投标人须已办理诚信库入库手续并处于有效状态，具备</w:t>
      </w:r>
      <w:r>
        <w:rPr>
          <w:rFonts w:hint="eastAsia" w:ascii="宋体" w:hAnsi="宋体" w:eastAsia="宋体" w:cs="宋体"/>
          <w:b/>
          <w:bCs/>
          <w:highlight w:val="none"/>
          <w:lang w:val="zh-CN" w:eastAsia="zh-CN"/>
        </w:rPr>
        <w:t>[建筑装修装饰工程专业承包一级]</w:t>
      </w:r>
      <w:r>
        <w:rPr>
          <w:rFonts w:hint="eastAsia" w:ascii="宋体" w:hAnsi="宋体" w:eastAsia="宋体" w:cs="宋体"/>
          <w:highlight w:val="none"/>
          <w:lang w:val="zh-CN" w:eastAsia="zh-CN"/>
        </w:rPr>
        <w:t>资质【备注：招标人应当根据国家法律法规对企业资质等级许可的相关规定以及招标项目特点，合理设置企业资质等级，不得提高资质等级要求；资质设置为施工总承包已可满足项目建设要求的，不得额外同时设置专业承包资质】，并在人员、设备、资金等方面具备相应的施工能力。其中，投标人拟派项目经理须具备</w:t>
      </w:r>
      <w:r>
        <w:rPr>
          <w:rFonts w:hint="eastAsia" w:ascii="宋体" w:hAnsi="宋体" w:eastAsia="宋体" w:cs="宋体"/>
          <w:b/>
          <w:bCs/>
          <w:highlight w:val="none"/>
          <w:lang w:val="zh-CN" w:eastAsia="zh-CN"/>
        </w:rPr>
        <w:t>[建筑工程一级]</w:t>
      </w:r>
      <w:r>
        <w:rPr>
          <w:rFonts w:hint="eastAsia" w:ascii="宋体" w:hAnsi="宋体" w:eastAsia="宋体" w:cs="宋体"/>
          <w:highlight w:val="none"/>
          <w:lang w:val="zh-CN" w:eastAsia="zh-CN"/>
        </w:rPr>
        <w:t>专业以上（含本级）注册建造师执业资格【备注：招标人应当根据项目规模，按照注册建造师执业工程规模标准，合理设置注册建造师等级，不应提高资格要求】，已录入广西建筑业企业诚信信息库并处于有效状态，具备有效的安全生产考核合格证书（B类）。本项目不接受有在建、已中标未开工或已列为其他项目中标候选人第一名的建造师作为项目经理（符合《广西壮族自治区建筑市场诚信卡管理暂行办法》第十六条第一款除外）。</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  3.2业绩要求:2017年1月1日以来完成过单个标段工程总造价4000万元及以上、800座及以上的专业剧院或文化中心室内装饰工程施工业绩1个（合同范围必须含容纳800坐席的专业剧场）。</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  3.3本次招标不接受联合体投标。</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  3.4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  3.5根据最高人民法院等9部门《关于在招标投标活动中对失信被执行人实施联合惩戒的通知》（法〔2016〕285号）规定，投标人不得为失信被执行人（以评标阶段通过“信用中国”网站（www.creditchina.gov.cn）查询的结果为准）。根据《广西壮族自治区建筑市场主体“黑名单”管理办法（试行）》（桂建发【2018】5号）规定，投标人、拟派项目经理不得为建筑市场主体“黑名单”（以评标阶段通过建筑市场监管与诚信信息一体化平台查询的结果为准）【备注：此款可由招标人自主选择，如不采用，还须向本项目招标的监督部门说明理由】。</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  3.6投标人信息以广西建筑业企业诚信信息库为准。</w:t>
      </w:r>
    </w:p>
    <w:p>
      <w:pPr>
        <w:pStyle w:val="1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highlight w:val="none"/>
          <w:lang w:val="zh-CN" w:eastAsia="zh-CN"/>
        </w:rPr>
      </w:pPr>
      <w:r>
        <w:rPr>
          <w:rFonts w:hint="eastAsia" w:ascii="宋体" w:hAnsi="宋体" w:eastAsia="宋体" w:cs="宋体"/>
          <w:b/>
          <w:bCs/>
          <w:highlight w:val="none"/>
          <w:lang w:val="zh-CN" w:eastAsia="zh-CN"/>
        </w:rPr>
        <w:t>4、招标文件的获取</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  4.1</w:t>
      </w:r>
      <w:r>
        <w:rPr>
          <w:rFonts w:hint="eastAsia" w:ascii="宋体" w:hAnsi="宋体" w:eastAsia="宋体" w:cs="宋体"/>
          <w:highlight w:val="none"/>
          <w:lang w:val="en-US" w:eastAsia="zh-CN"/>
        </w:rPr>
        <w:t xml:space="preserve"> </w:t>
      </w:r>
      <w:r>
        <w:rPr>
          <w:rFonts w:hint="eastAsia" w:ascii="宋体" w:hAnsi="宋体" w:eastAsia="宋体" w:cs="宋体"/>
          <w:highlight w:val="none"/>
          <w:lang w:val="zh-CN" w:eastAsia="zh-CN"/>
        </w:rPr>
        <w:t>2021年</w:t>
      </w:r>
      <w:r>
        <w:rPr>
          <w:rFonts w:hint="eastAsia" w:ascii="宋体" w:hAnsi="宋体" w:eastAsia="宋体" w:cs="宋体"/>
          <w:highlight w:val="none"/>
          <w:lang w:val="en-US" w:eastAsia="zh-CN"/>
        </w:rPr>
        <w:t>1</w:t>
      </w:r>
      <w:r>
        <w:rPr>
          <w:rFonts w:hint="eastAsia" w:ascii="宋体" w:hAnsi="宋体" w:eastAsia="宋体" w:cs="宋体"/>
          <w:highlight w:val="none"/>
          <w:lang w:val="zh-CN" w:eastAsia="zh-CN"/>
        </w:rPr>
        <w:t>月</w:t>
      </w:r>
      <w:r>
        <w:rPr>
          <w:rFonts w:hint="eastAsia" w:ascii="宋体" w:hAnsi="宋体" w:eastAsia="宋体" w:cs="宋体"/>
          <w:highlight w:val="none"/>
          <w:lang w:val="en-US" w:eastAsia="zh-CN"/>
        </w:rPr>
        <w:t>20</w:t>
      </w:r>
      <w:r>
        <w:rPr>
          <w:rFonts w:hint="eastAsia" w:ascii="宋体" w:hAnsi="宋体" w:eastAsia="宋体" w:cs="宋体"/>
          <w:highlight w:val="none"/>
          <w:lang w:val="zh-CN" w:eastAsia="zh-CN"/>
        </w:rPr>
        <w:t>日至投标文件递交的截止时间止（不少于20日），由潜在投标人的专职投标员凭企业CA锁登录桂林市公共资源交易平台（http://glggzy.org.cn）免费下载招标文件。</w:t>
      </w:r>
    </w:p>
    <w:p>
      <w:pPr>
        <w:pStyle w:val="1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highlight w:val="none"/>
          <w:lang w:val="zh-CN" w:eastAsia="zh-CN"/>
        </w:rPr>
      </w:pPr>
      <w:r>
        <w:rPr>
          <w:rFonts w:hint="eastAsia" w:ascii="宋体" w:hAnsi="宋体" w:eastAsia="宋体" w:cs="宋体"/>
          <w:b/>
          <w:bCs/>
          <w:highlight w:val="none"/>
          <w:lang w:val="zh-CN" w:eastAsia="zh-CN"/>
        </w:rPr>
        <w:t>5、投标文件的递交</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  5.1投标人须在投标截止前，截止时间（投标截止时间，下同）为 202</w:t>
      </w:r>
      <w:r>
        <w:rPr>
          <w:rFonts w:hint="eastAsia" w:ascii="宋体" w:hAnsi="宋体" w:eastAsia="宋体" w:cs="宋体"/>
          <w:highlight w:val="none"/>
          <w:lang w:val="en-US" w:eastAsia="zh-CN"/>
        </w:rPr>
        <w:t>1</w:t>
      </w:r>
      <w:r>
        <w:rPr>
          <w:rFonts w:hint="eastAsia" w:ascii="宋体" w:hAnsi="宋体" w:eastAsia="宋体" w:cs="宋体"/>
          <w:highlight w:val="none"/>
          <w:lang w:val="zh-CN" w:eastAsia="zh-CN"/>
        </w:rPr>
        <w:t>年</w:t>
      </w:r>
      <w:r>
        <w:rPr>
          <w:rFonts w:hint="eastAsia" w:ascii="宋体" w:hAnsi="宋体" w:eastAsia="宋体" w:cs="宋体"/>
          <w:highlight w:val="none"/>
          <w:lang w:val="en-US" w:eastAsia="zh-CN"/>
        </w:rPr>
        <w:t>2</w:t>
      </w:r>
      <w:r>
        <w:rPr>
          <w:rFonts w:hint="eastAsia" w:ascii="宋体" w:hAnsi="宋体" w:eastAsia="宋体" w:cs="宋体"/>
          <w:highlight w:val="none"/>
          <w:lang w:val="zh-CN" w:eastAsia="zh-CN"/>
        </w:rPr>
        <w:t>月</w:t>
      </w:r>
      <w:r>
        <w:rPr>
          <w:rFonts w:hint="eastAsia" w:ascii="宋体" w:hAnsi="宋体" w:eastAsia="宋体" w:cs="宋体"/>
          <w:highlight w:val="none"/>
          <w:lang w:val="en-US" w:eastAsia="zh-CN"/>
        </w:rPr>
        <w:t>10</w:t>
      </w:r>
      <w:r>
        <w:rPr>
          <w:rFonts w:hint="eastAsia" w:ascii="宋体" w:hAnsi="宋体" w:eastAsia="宋体" w:cs="宋体"/>
          <w:highlight w:val="none"/>
          <w:lang w:val="zh-CN" w:eastAsia="zh-CN"/>
        </w:rPr>
        <w:t>日9时30分，将加密的投标文件通过桂林市公共资源交易平台（http://glggzy.org.cn/gxglhy）成功上传，并将相同的未加密投标文件电子文本刻录光盘包装密封后，于投标截止前由企业法定代表人或其授权的专职投标员提交到 桂林市公共资源交易中心，并持专职投标员本人身份证原件、拟投入的项目经理和所有专职安全员的身份证复印件通过验证，否则投标无效。投标人拟投入项目经理被标注为注册状态异常的，拟投入的项目经理本人须持本人身份证原件出席开标会现场，否则招标人有权拒绝该投标人投标。</w:t>
      </w:r>
    </w:p>
    <w:p>
      <w:pPr>
        <w:pStyle w:val="1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highlight w:val="none"/>
          <w:lang w:val="zh-CN" w:eastAsia="zh-CN"/>
        </w:rPr>
      </w:pPr>
      <w:r>
        <w:rPr>
          <w:rFonts w:hint="eastAsia" w:ascii="宋体" w:hAnsi="宋体" w:eastAsia="宋体" w:cs="宋体"/>
          <w:b/>
          <w:bCs/>
          <w:highlight w:val="none"/>
          <w:lang w:val="zh-CN" w:eastAsia="zh-CN"/>
        </w:rPr>
        <w:t>6、评标方式</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  </w:t>
      </w:r>
      <w:r>
        <w:rPr>
          <w:rFonts w:hint="eastAsia" w:ascii="宋体" w:hAnsi="宋体" w:eastAsia="宋体" w:cs="宋体"/>
          <w:b/>
          <w:bCs/>
          <w:highlight w:val="none"/>
          <w:lang w:val="zh-CN" w:eastAsia="zh-CN"/>
        </w:rPr>
        <w:t>综合评估法</w:t>
      </w:r>
    </w:p>
    <w:p>
      <w:pPr>
        <w:pStyle w:val="1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highlight w:val="none"/>
          <w:lang w:val="zh-CN" w:eastAsia="zh-CN"/>
        </w:rPr>
      </w:pPr>
      <w:r>
        <w:rPr>
          <w:rFonts w:hint="eastAsia" w:ascii="宋体" w:hAnsi="宋体" w:eastAsia="宋体" w:cs="宋体"/>
          <w:b/>
          <w:bCs/>
          <w:highlight w:val="none"/>
          <w:lang w:val="zh-CN" w:eastAsia="zh-CN"/>
        </w:rPr>
        <w:t>7、预付款和进度款支付方式【备注：该项为可选项】</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  </w:t>
      </w:r>
      <w:r>
        <w:rPr>
          <w:rFonts w:hint="eastAsia" w:ascii="宋体" w:hAnsi="宋体" w:eastAsia="宋体" w:cs="宋体"/>
          <w:b/>
          <w:bCs/>
          <w:highlight w:val="none"/>
          <w:lang w:val="zh-CN" w:eastAsia="zh-CN"/>
        </w:rPr>
        <w:t>详见招标文件合同条款</w:t>
      </w:r>
    </w:p>
    <w:p>
      <w:pPr>
        <w:pStyle w:val="1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highlight w:val="none"/>
          <w:lang w:val="zh-CN" w:eastAsia="zh-CN"/>
        </w:rPr>
      </w:pPr>
      <w:r>
        <w:rPr>
          <w:rFonts w:hint="eastAsia" w:ascii="宋体" w:hAnsi="宋体" w:eastAsia="宋体" w:cs="宋体"/>
          <w:b/>
          <w:bCs/>
          <w:highlight w:val="none"/>
          <w:lang w:val="zh-CN" w:eastAsia="zh-CN"/>
        </w:rPr>
        <w:t>8、发布招标公告的媒体</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  </w:t>
      </w:r>
      <w:r>
        <w:rPr>
          <w:rFonts w:hint="eastAsia" w:ascii="宋体" w:hAnsi="宋体" w:eastAsia="宋体" w:cs="宋体"/>
          <w:b/>
          <w:bCs/>
          <w:highlight w:val="none"/>
          <w:lang w:val="zh-CN" w:eastAsia="zh-CN"/>
        </w:rPr>
        <w:t>中国招标投标公共服务平台http://www.cebpubservice.com、广西壮族自治区招标投标公共服务平台http://zbtb.gxi.gov.cn:9000/、桂林市公共资源交易中心http://glggzy.org.cn、中国政府采购网(http://www.ccgp.gov.cn)、广西壮族自治区政府采购网(http://zfcg.gxzf.gov.cn）、桂林市政府采购网（http://zfcg.czj.guilin.gov.cn）（备注：实行招标投标的政府采购工程项目还应当同时在中国政府采购网http://zfcg.gxzf.gov.cn、广西壮族自治区政府采购网www.gxzfcg.gov.cn、桂林政府采购网上发布http://zfcg.czj.guilin.gov.cn）。</w:t>
      </w:r>
    </w:p>
    <w:p>
      <w:pPr>
        <w:pStyle w:val="1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highlight w:val="none"/>
          <w:lang w:val="zh-CN" w:eastAsia="zh-CN"/>
        </w:rPr>
      </w:pPr>
      <w:r>
        <w:rPr>
          <w:rFonts w:hint="eastAsia" w:ascii="宋体" w:hAnsi="宋体" w:eastAsia="宋体" w:cs="宋体"/>
          <w:b/>
          <w:bCs/>
          <w:highlight w:val="none"/>
          <w:lang w:val="zh-CN" w:eastAsia="zh-CN"/>
        </w:rPr>
        <w:t>9、交易服务单位</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  </w:t>
      </w:r>
      <w:r>
        <w:rPr>
          <w:rFonts w:hint="eastAsia" w:ascii="宋体" w:hAnsi="宋体" w:eastAsia="宋体" w:cs="宋体"/>
          <w:b/>
          <w:bCs/>
          <w:highlight w:val="none"/>
          <w:lang w:val="zh-CN" w:eastAsia="zh-CN"/>
        </w:rPr>
        <w:t>桂林市公共资源交易中心 电话：07735625165</w:t>
      </w:r>
    </w:p>
    <w:p>
      <w:pPr>
        <w:pStyle w:val="1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highlight w:val="none"/>
          <w:lang w:val="zh-CN" w:eastAsia="zh-CN"/>
        </w:rPr>
      </w:pPr>
      <w:r>
        <w:rPr>
          <w:rFonts w:hint="eastAsia" w:ascii="宋体" w:hAnsi="宋体" w:eastAsia="宋体" w:cs="宋体"/>
          <w:b/>
          <w:bCs/>
          <w:highlight w:val="none"/>
          <w:lang w:val="zh-CN" w:eastAsia="zh-CN"/>
        </w:rPr>
        <w:t>10、监督部门及电话</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  </w:t>
      </w:r>
      <w:r>
        <w:rPr>
          <w:rFonts w:hint="eastAsia" w:ascii="宋体" w:hAnsi="宋体" w:eastAsia="宋体" w:cs="宋体"/>
          <w:b/>
          <w:bCs/>
          <w:highlight w:val="none"/>
          <w:lang w:val="zh-CN" w:eastAsia="zh-CN"/>
        </w:rPr>
        <w:t>桂林市建设工程综合监督站 电话：0773-3810165</w:t>
      </w:r>
    </w:p>
    <w:p>
      <w:pPr>
        <w:pStyle w:val="1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highlight w:val="none"/>
          <w:lang w:val="zh-CN" w:eastAsia="zh-CN"/>
        </w:rPr>
      </w:pPr>
      <w:r>
        <w:rPr>
          <w:rFonts w:hint="eastAsia" w:ascii="宋体" w:hAnsi="宋体" w:eastAsia="宋体" w:cs="宋体"/>
          <w:b/>
          <w:bCs/>
          <w:highlight w:val="none"/>
          <w:lang w:val="zh-CN" w:eastAsia="zh-CN"/>
        </w:rPr>
        <w:t>11、注意事项</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  11.1潜在投标人必须录入广西建筑业企业诚信信息库管理系统，广西建筑业企业诚信信息库管理系统登陆地址：http://ztb.gxzjt.gov.cn:1121/zjthy/。由于广西建筑业企业诚信信息库与自治区招标投标系统的相关信息同步存在时间差（非实时同步，每天晚上同步一次），因此投标人应至少在开标时间2天前将所需投标材料在诚信库内审核通过，因录入时间不足造成的后果由投标人自行承担。</w:t>
      </w:r>
    </w:p>
    <w:p>
      <w:pPr>
        <w:pStyle w:val="1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  11.2投标人须办理企业CA锁后并确保在有效期内才能进行网上报名、下载招标文件、制作投标文件及上传投标文件等业务。未办理企业CA锁的单位，请到广西壮族自治区数字认证中心有限公司，地址：南宁青秀区星湖路41号办理，客服电话：0771-5882343。</w:t>
      </w:r>
    </w:p>
    <w:p>
      <w:pPr>
        <w:pStyle w:val="1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highlight w:val="none"/>
          <w:lang w:val="zh-CN" w:eastAsia="zh-CN"/>
        </w:rPr>
      </w:pPr>
    </w:p>
    <w:p>
      <w:pPr>
        <w:pStyle w:val="1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highlight w:val="none"/>
          <w:lang w:val="zh-CN" w:eastAsia="zh-CN"/>
        </w:rPr>
      </w:pPr>
      <w:r>
        <w:rPr>
          <w:rFonts w:hint="eastAsia" w:ascii="宋体" w:hAnsi="宋体" w:eastAsia="宋体" w:cs="宋体"/>
          <w:b/>
          <w:bCs/>
          <w:highlight w:val="none"/>
          <w:lang w:val="zh-CN" w:eastAsia="zh-CN"/>
        </w:rPr>
        <w:t>12、联系方式</w:t>
      </w:r>
    </w:p>
    <w:p>
      <w:pPr>
        <w:pStyle w:val="16"/>
        <w:keepNext w:val="0"/>
        <w:keepLines w:val="0"/>
        <w:pageBreakBefore w:val="0"/>
        <w:widowControl/>
        <w:tabs>
          <w:tab w:val="left" w:pos="144"/>
          <w:tab w:val="left" w:pos="1047"/>
          <w:tab w:val="left" w:pos="4053"/>
          <w:tab w:val="left" w:pos="5806"/>
        </w:tabs>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招 标 人：桂林市文化广电和旅游局</w:t>
      </w:r>
      <w:r>
        <w:rPr>
          <w:rFonts w:hint="eastAsia" w:ascii="宋体" w:hAnsi="宋体" w:eastAsia="宋体" w:cs="宋体"/>
          <w:highlight w:val="none"/>
          <w:lang w:val="en-US" w:eastAsia="zh-CN"/>
        </w:rPr>
        <w:t xml:space="preserve">         </w:t>
      </w:r>
      <w:r>
        <w:rPr>
          <w:rFonts w:hint="eastAsia" w:ascii="宋体" w:hAnsi="宋体" w:eastAsia="宋体" w:cs="宋体"/>
          <w:highlight w:val="none"/>
          <w:lang w:val="zh-CN" w:eastAsia="zh-CN"/>
        </w:rPr>
        <w:t>招标代理机构：大华建设项目管理</w:t>
      </w:r>
    </w:p>
    <w:p>
      <w:pPr>
        <w:pStyle w:val="16"/>
        <w:keepNext w:val="0"/>
        <w:keepLines w:val="0"/>
        <w:pageBreakBefore w:val="0"/>
        <w:widowControl/>
        <w:tabs>
          <w:tab w:val="left" w:pos="144"/>
          <w:tab w:val="left" w:pos="1047"/>
          <w:tab w:val="left" w:pos="4053"/>
          <w:tab w:val="left" w:pos="5806"/>
        </w:tabs>
        <w:kinsoku/>
        <w:wordWrap/>
        <w:overflowPunct/>
        <w:topLinePunct w:val="0"/>
        <w:autoSpaceDE/>
        <w:autoSpaceDN/>
        <w:bidi w:val="0"/>
        <w:adjustRightInd/>
        <w:snapToGrid/>
        <w:spacing w:line="440" w:lineRule="exact"/>
        <w:ind w:firstLine="420" w:firstLineChars="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val="zh-CN" w:eastAsia="zh-CN"/>
        </w:rPr>
        <w:t>有限公司</w:t>
      </w:r>
    </w:p>
    <w:p>
      <w:pPr>
        <w:pStyle w:val="16"/>
        <w:keepNext w:val="0"/>
        <w:keepLines w:val="0"/>
        <w:pageBreakBefore w:val="0"/>
        <w:widowControl/>
        <w:tabs>
          <w:tab w:val="left" w:pos="144"/>
          <w:tab w:val="left" w:pos="1047"/>
          <w:tab w:val="left" w:pos="4053"/>
          <w:tab w:val="left" w:pos="5806"/>
        </w:tabs>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地 址：桂林市临桂区公园北路与</w:t>
      </w:r>
      <w:r>
        <w:rPr>
          <w:rFonts w:hint="eastAsia" w:ascii="宋体" w:hAnsi="宋体" w:eastAsia="宋体" w:cs="宋体"/>
          <w:highlight w:val="none"/>
          <w:lang w:val="zh-CN" w:eastAsia="zh-CN"/>
        </w:rPr>
        <w:tab/>
      </w:r>
      <w:r>
        <w:rPr>
          <w:rFonts w:hint="eastAsia" w:ascii="宋体" w:hAnsi="宋体" w:eastAsia="宋体" w:cs="宋体"/>
          <w:highlight w:val="none"/>
          <w:lang w:val="en-US" w:eastAsia="zh-CN"/>
        </w:rPr>
        <w:t xml:space="preserve">           </w:t>
      </w:r>
      <w:r>
        <w:rPr>
          <w:rFonts w:hint="eastAsia" w:ascii="宋体" w:hAnsi="宋体" w:eastAsia="宋体" w:cs="宋体"/>
          <w:highlight w:val="none"/>
          <w:lang w:val="zh-CN" w:eastAsia="zh-CN"/>
        </w:rPr>
        <w:t>地 址：桂林市七星区骖鸾路41号</w:t>
      </w:r>
    </w:p>
    <w:p>
      <w:pPr>
        <w:pStyle w:val="16"/>
        <w:keepNext w:val="0"/>
        <w:keepLines w:val="0"/>
        <w:pageBreakBefore w:val="0"/>
        <w:widowControl/>
        <w:tabs>
          <w:tab w:val="left" w:pos="144"/>
          <w:tab w:val="left" w:pos="1047"/>
          <w:tab w:val="left" w:pos="4053"/>
          <w:tab w:val="left" w:pos="5806"/>
        </w:tabs>
        <w:kinsoku/>
        <w:wordWrap/>
        <w:overflowPunct/>
        <w:topLinePunct w:val="0"/>
        <w:autoSpaceDE/>
        <w:autoSpaceDN/>
        <w:bidi w:val="0"/>
        <w:adjustRightInd/>
        <w:snapToGrid/>
        <w:spacing w:line="440" w:lineRule="exact"/>
        <w:ind w:firstLine="1200" w:firstLineChars="500"/>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三元路交叉口东南侧</w:t>
      </w:r>
    </w:p>
    <w:p>
      <w:pPr>
        <w:pStyle w:val="16"/>
        <w:keepNext w:val="0"/>
        <w:keepLines w:val="0"/>
        <w:pageBreakBefore w:val="0"/>
        <w:widowControl/>
        <w:tabs>
          <w:tab w:val="left" w:pos="144"/>
          <w:tab w:val="left" w:pos="1047"/>
          <w:tab w:val="left" w:pos="4053"/>
          <w:tab w:val="left" w:pos="5806"/>
        </w:tabs>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邮 编：541002</w:t>
      </w:r>
      <w:r>
        <w:rPr>
          <w:rFonts w:hint="eastAsia" w:ascii="宋体" w:hAnsi="宋体" w:eastAsia="宋体" w:cs="宋体"/>
          <w:highlight w:val="none"/>
          <w:lang w:val="en-US" w:eastAsia="zh-CN"/>
        </w:rPr>
        <w:t xml:space="preserve">                            </w:t>
      </w:r>
      <w:r>
        <w:rPr>
          <w:rFonts w:hint="eastAsia" w:ascii="宋体" w:hAnsi="宋体" w:eastAsia="宋体" w:cs="宋体"/>
          <w:highlight w:val="none"/>
          <w:lang w:val="zh-CN" w:eastAsia="zh-CN"/>
        </w:rPr>
        <w:t>邮 编：541004</w:t>
      </w:r>
    </w:p>
    <w:p>
      <w:pPr>
        <w:pStyle w:val="16"/>
        <w:keepNext w:val="0"/>
        <w:keepLines w:val="0"/>
        <w:pageBreakBefore w:val="0"/>
        <w:widowControl/>
        <w:tabs>
          <w:tab w:val="left" w:pos="144"/>
          <w:tab w:val="left" w:pos="1047"/>
          <w:tab w:val="left" w:pos="4053"/>
          <w:tab w:val="left" w:pos="5806"/>
        </w:tabs>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联 系 人：吴惠霞</w:t>
      </w:r>
      <w:r>
        <w:rPr>
          <w:rFonts w:hint="eastAsia" w:ascii="宋体" w:hAnsi="宋体" w:eastAsia="宋体" w:cs="宋体"/>
          <w:highlight w:val="none"/>
          <w:lang w:val="zh-CN" w:eastAsia="zh-CN"/>
        </w:rPr>
        <w:tab/>
      </w:r>
      <w:r>
        <w:rPr>
          <w:rFonts w:hint="eastAsia" w:ascii="宋体" w:hAnsi="宋体" w:eastAsia="宋体" w:cs="宋体"/>
          <w:highlight w:val="none"/>
          <w:lang w:val="en-US" w:eastAsia="zh-CN"/>
        </w:rPr>
        <w:t xml:space="preserve">           </w:t>
      </w:r>
      <w:r>
        <w:rPr>
          <w:rFonts w:hint="eastAsia" w:ascii="宋体" w:hAnsi="宋体" w:eastAsia="宋体" w:cs="宋体"/>
          <w:highlight w:val="none"/>
          <w:lang w:val="zh-CN" w:eastAsia="zh-CN"/>
        </w:rPr>
        <w:t>联 系 人：邓扬阳</w:t>
      </w:r>
    </w:p>
    <w:p>
      <w:pPr>
        <w:pStyle w:val="16"/>
        <w:keepNext w:val="0"/>
        <w:keepLines w:val="0"/>
        <w:pageBreakBefore w:val="0"/>
        <w:widowControl/>
        <w:tabs>
          <w:tab w:val="left" w:pos="144"/>
          <w:tab w:val="left" w:pos="1047"/>
          <w:tab w:val="left" w:pos="4053"/>
          <w:tab w:val="left" w:pos="5806"/>
        </w:tabs>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电 话：18290042613</w:t>
      </w:r>
      <w:r>
        <w:rPr>
          <w:rFonts w:hint="eastAsia" w:ascii="宋体" w:hAnsi="宋体" w:eastAsia="宋体" w:cs="宋体"/>
          <w:highlight w:val="none"/>
          <w:lang w:val="zh-CN" w:eastAsia="zh-CN"/>
        </w:rPr>
        <w:tab/>
      </w:r>
      <w:r>
        <w:rPr>
          <w:rFonts w:hint="eastAsia" w:ascii="宋体" w:hAnsi="宋体" w:eastAsia="宋体" w:cs="宋体"/>
          <w:highlight w:val="none"/>
          <w:lang w:val="en-US" w:eastAsia="zh-CN"/>
        </w:rPr>
        <w:t xml:space="preserve">           </w:t>
      </w:r>
      <w:r>
        <w:rPr>
          <w:rFonts w:hint="eastAsia" w:ascii="宋体" w:hAnsi="宋体" w:eastAsia="宋体" w:cs="宋体"/>
          <w:highlight w:val="none"/>
          <w:lang w:val="zh-CN" w:eastAsia="zh-CN"/>
        </w:rPr>
        <w:t>电 话：0773-2888667</w:t>
      </w:r>
    </w:p>
    <w:p>
      <w:pPr>
        <w:pStyle w:val="16"/>
        <w:keepNext w:val="0"/>
        <w:keepLines w:val="0"/>
        <w:pageBreakBefore w:val="0"/>
        <w:widowControl/>
        <w:tabs>
          <w:tab w:val="left" w:pos="144"/>
          <w:tab w:val="left" w:pos="1047"/>
          <w:tab w:val="left" w:pos="1971"/>
          <w:tab w:val="left" w:pos="4053"/>
          <w:tab w:val="left" w:pos="5806"/>
        </w:tabs>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传 真：</w:t>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en-US" w:eastAsia="zh-CN"/>
        </w:rPr>
        <w:t xml:space="preserve">           </w:t>
      </w:r>
      <w:r>
        <w:rPr>
          <w:rFonts w:hint="eastAsia" w:ascii="宋体" w:hAnsi="宋体" w:eastAsia="宋体" w:cs="宋体"/>
          <w:highlight w:val="none"/>
          <w:lang w:val="zh-CN" w:eastAsia="zh-CN"/>
        </w:rPr>
        <w:t>传 真：0773-2888667</w:t>
      </w:r>
    </w:p>
    <w:p>
      <w:pPr>
        <w:pStyle w:val="16"/>
        <w:keepNext w:val="0"/>
        <w:keepLines w:val="0"/>
        <w:pageBreakBefore w:val="0"/>
        <w:widowControl/>
        <w:tabs>
          <w:tab w:val="left" w:pos="144"/>
          <w:tab w:val="left" w:pos="1047"/>
          <w:tab w:val="left" w:pos="1971"/>
          <w:tab w:val="left" w:pos="4053"/>
          <w:tab w:val="left" w:pos="5806"/>
        </w:tabs>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电 子 邮 件：</w:t>
      </w:r>
      <w:r>
        <w:rPr>
          <w:rFonts w:hint="eastAsia" w:ascii="宋体" w:hAnsi="宋体" w:eastAsia="宋体" w:cs="宋体"/>
          <w:highlight w:val="none"/>
          <w:lang w:val="zh-CN" w:eastAsia="zh-CN"/>
        </w:rPr>
        <w:tab/>
      </w:r>
      <w:r>
        <w:rPr>
          <w:rFonts w:hint="eastAsia" w:ascii="宋体" w:hAnsi="宋体" w:eastAsia="宋体" w:cs="宋体"/>
          <w:highlight w:val="none"/>
          <w:lang w:val="en-US" w:eastAsia="zh-CN"/>
        </w:rPr>
        <w:t xml:space="preserve">           </w:t>
      </w:r>
      <w:r>
        <w:rPr>
          <w:rFonts w:hint="eastAsia" w:ascii="宋体" w:hAnsi="宋体" w:eastAsia="宋体" w:cs="宋体"/>
          <w:highlight w:val="none"/>
          <w:lang w:val="zh-CN" w:eastAsia="zh-CN"/>
        </w:rPr>
        <w:t>电 子 邮 件：dhgl168@163.com</w:t>
      </w:r>
    </w:p>
    <w:p>
      <w:pPr>
        <w:pStyle w:val="16"/>
        <w:keepNext w:val="0"/>
        <w:keepLines w:val="0"/>
        <w:pageBreakBefore w:val="0"/>
        <w:widowControl/>
        <w:tabs>
          <w:tab w:val="left" w:pos="144"/>
          <w:tab w:val="left" w:pos="1047"/>
          <w:tab w:val="left" w:pos="1971"/>
          <w:tab w:val="left" w:pos="4053"/>
          <w:tab w:val="left" w:pos="5806"/>
          <w:tab w:val="left" w:pos="6210"/>
        </w:tabs>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网 址：</w:t>
      </w:r>
      <w:r>
        <w:rPr>
          <w:rFonts w:hint="eastAsia" w:ascii="宋体" w:hAnsi="宋体" w:eastAsia="宋体" w:cs="宋体"/>
          <w:highlight w:val="none"/>
          <w:lang w:val="zh-CN" w:eastAsia="zh-CN"/>
        </w:rPr>
        <w:tab/>
      </w:r>
      <w:r>
        <w:rPr>
          <w:rFonts w:hint="eastAsia" w:ascii="宋体" w:hAnsi="宋体" w:eastAsia="宋体" w:cs="宋体"/>
          <w:highlight w:val="none"/>
          <w:lang w:val="en-US" w:eastAsia="zh-CN"/>
        </w:rPr>
        <w:t xml:space="preserve">                            </w:t>
      </w:r>
      <w:r>
        <w:rPr>
          <w:rFonts w:hint="eastAsia" w:ascii="宋体" w:hAnsi="宋体" w:eastAsia="宋体" w:cs="宋体"/>
          <w:highlight w:val="none"/>
          <w:lang w:val="zh-CN" w:eastAsia="zh-CN"/>
        </w:rPr>
        <w:t>网 址：</w:t>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p>
    <w:p>
      <w:pPr>
        <w:pStyle w:val="16"/>
        <w:tabs>
          <w:tab w:val="left" w:pos="144"/>
          <w:tab w:val="left" w:pos="1047"/>
          <w:tab w:val="left" w:pos="1971"/>
          <w:tab w:val="left" w:pos="4053"/>
          <w:tab w:val="left" w:pos="4402"/>
          <w:tab w:val="left" w:pos="5806"/>
          <w:tab w:val="left" w:pos="6210"/>
        </w:tabs>
        <w:rPr>
          <w:rFonts w:hint="eastAsia" w:ascii="宋体" w:hAnsi="宋体" w:eastAsia="宋体" w:cs="宋体"/>
          <w:highlight w:val="none"/>
          <w:lang w:val="zh-CN" w:eastAsia="zh-CN"/>
        </w:rPr>
      </w:pP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p>
    <w:p>
      <w:pPr>
        <w:pStyle w:val="16"/>
        <w:tabs>
          <w:tab w:val="left" w:pos="144"/>
          <w:tab w:val="left" w:pos="1047"/>
          <w:tab w:val="left" w:pos="1971"/>
          <w:tab w:val="left" w:pos="4053"/>
          <w:tab w:val="left" w:pos="4402"/>
          <w:tab w:val="left" w:pos="5806"/>
          <w:tab w:val="left" w:pos="6210"/>
        </w:tabs>
        <w:rPr>
          <w:rFonts w:hint="eastAsia" w:ascii="宋体" w:hAnsi="宋体" w:eastAsia="宋体" w:cs="宋体"/>
          <w:highlight w:val="none"/>
          <w:lang w:val="zh-CN" w:eastAsia="zh-CN"/>
        </w:rPr>
      </w:pP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p>
    <w:p>
      <w:pPr>
        <w:pStyle w:val="16"/>
        <w:tabs>
          <w:tab w:val="left" w:pos="144"/>
          <w:tab w:val="left" w:pos="1047"/>
          <w:tab w:val="left" w:pos="1971"/>
          <w:tab w:val="left" w:pos="4053"/>
          <w:tab w:val="left" w:pos="4402"/>
          <w:tab w:val="left" w:pos="5806"/>
          <w:tab w:val="left" w:pos="6210"/>
        </w:tabs>
        <w:rPr>
          <w:rFonts w:hint="eastAsia" w:ascii="宋体" w:hAnsi="宋体" w:eastAsia="宋体" w:cs="宋体"/>
          <w:highlight w:val="none"/>
          <w:lang w:val="zh-CN" w:eastAsia="zh-CN"/>
        </w:rPr>
      </w:pP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p>
    <w:p>
      <w:pPr>
        <w:pStyle w:val="16"/>
        <w:tabs>
          <w:tab w:val="left" w:pos="144"/>
          <w:tab w:val="left" w:pos="1047"/>
          <w:tab w:val="left" w:pos="1971"/>
          <w:tab w:val="left" w:pos="4053"/>
          <w:tab w:val="left" w:pos="4402"/>
          <w:tab w:val="left" w:pos="5806"/>
          <w:tab w:val="left" w:pos="6210"/>
        </w:tabs>
        <w:rPr>
          <w:rFonts w:hint="eastAsia" w:ascii="宋体" w:hAnsi="宋体" w:eastAsia="宋体" w:cs="宋体"/>
          <w:highlight w:val="none"/>
          <w:lang w:val="zh-CN" w:eastAsia="zh-CN"/>
        </w:rPr>
      </w:pP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p>
    <w:p>
      <w:pPr>
        <w:pStyle w:val="16"/>
        <w:tabs>
          <w:tab w:val="left" w:pos="144"/>
          <w:tab w:val="left" w:pos="1047"/>
          <w:tab w:val="left" w:pos="1971"/>
          <w:tab w:val="left" w:pos="4053"/>
          <w:tab w:val="left" w:pos="4402"/>
          <w:tab w:val="left" w:pos="5806"/>
        </w:tabs>
        <w:rPr>
          <w:rFonts w:hint="eastAsia" w:ascii="宋体" w:hAnsi="宋体" w:eastAsia="宋体" w:cs="宋体"/>
          <w:highlight w:val="none"/>
          <w:lang w:val="zh-CN" w:eastAsia="zh-CN"/>
        </w:rPr>
      </w:pP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ab/>
      </w:r>
      <w:r>
        <w:rPr>
          <w:rFonts w:hint="eastAsia" w:ascii="宋体" w:hAnsi="宋体" w:eastAsia="宋体" w:cs="宋体"/>
          <w:highlight w:val="none"/>
          <w:lang w:val="zh-CN" w:eastAsia="zh-CN"/>
        </w:rPr>
        <w:t>2021年</w:t>
      </w:r>
      <w:r>
        <w:rPr>
          <w:rFonts w:hint="eastAsia" w:ascii="宋体" w:hAnsi="宋体" w:eastAsia="宋体" w:cs="宋体"/>
          <w:highlight w:val="none"/>
          <w:lang w:val="en-US" w:eastAsia="zh-CN"/>
        </w:rPr>
        <w:t>1</w:t>
      </w:r>
      <w:r>
        <w:rPr>
          <w:rFonts w:hint="eastAsia" w:ascii="宋体" w:hAnsi="宋体" w:eastAsia="宋体" w:cs="宋体"/>
          <w:highlight w:val="none"/>
          <w:lang w:val="zh-CN" w:eastAsia="zh-CN"/>
        </w:rPr>
        <w:t>月</w:t>
      </w:r>
      <w:r>
        <w:rPr>
          <w:rFonts w:hint="eastAsia" w:ascii="宋体" w:hAnsi="宋体" w:eastAsia="宋体" w:cs="宋体"/>
          <w:highlight w:val="none"/>
          <w:lang w:val="en-US" w:eastAsia="zh-CN"/>
        </w:rPr>
        <w:t>20</w:t>
      </w:r>
      <w:r>
        <w:rPr>
          <w:rFonts w:hint="eastAsia" w:ascii="宋体" w:hAnsi="宋体" w:eastAsia="宋体" w:cs="宋体"/>
          <w:highlight w:val="none"/>
          <w:lang w:val="zh-CN" w:eastAsia="zh-CN"/>
        </w:rPr>
        <w:t>日</w:t>
      </w:r>
    </w:p>
    <w:p>
      <w:pPr>
        <w:keepNext w:val="0"/>
        <w:keepLines w:val="0"/>
        <w:pageBreakBefore w:val="0"/>
        <w:widowControl w:val="0"/>
        <w:kinsoku/>
        <w:wordWrap/>
        <w:overflowPunct/>
        <w:topLinePunct w:val="0"/>
        <w:autoSpaceDE w:val="0"/>
        <w:autoSpaceDN w:val="0"/>
        <w:bidi w:val="0"/>
        <w:adjustRightInd/>
        <w:snapToGrid/>
        <w:spacing w:line="420" w:lineRule="exact"/>
        <w:ind w:firstLine="5600" w:firstLineChars="2500"/>
        <w:contextualSpacing/>
        <w:textAlignment w:val="auto"/>
        <w:rPr>
          <w:rFonts w:hint="eastAsia" w:asciiTheme="minorEastAsia" w:hAnsiTheme="minorEastAsia" w:eastAsiaTheme="minorEastAsia" w:cstheme="minorEastAsia"/>
          <w:spacing w:val="7"/>
          <w:sz w:val="21"/>
          <w:szCs w:val="21"/>
          <w:highlight w:val="none"/>
        </w:rPr>
      </w:pPr>
    </w:p>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167C8"/>
    <w:rsid w:val="05C01F3E"/>
    <w:rsid w:val="07315EB7"/>
    <w:rsid w:val="092A63EA"/>
    <w:rsid w:val="0BA74E3E"/>
    <w:rsid w:val="0E2E7D0C"/>
    <w:rsid w:val="0E585EA1"/>
    <w:rsid w:val="120167C8"/>
    <w:rsid w:val="17220C09"/>
    <w:rsid w:val="17247C19"/>
    <w:rsid w:val="1B584CF1"/>
    <w:rsid w:val="231A4586"/>
    <w:rsid w:val="296A4157"/>
    <w:rsid w:val="29CB1976"/>
    <w:rsid w:val="2C5D0D10"/>
    <w:rsid w:val="33335162"/>
    <w:rsid w:val="33E51612"/>
    <w:rsid w:val="35141941"/>
    <w:rsid w:val="35460308"/>
    <w:rsid w:val="3A6C0795"/>
    <w:rsid w:val="3D49333F"/>
    <w:rsid w:val="42122153"/>
    <w:rsid w:val="46A150D9"/>
    <w:rsid w:val="4D753C82"/>
    <w:rsid w:val="4E03511E"/>
    <w:rsid w:val="55306E48"/>
    <w:rsid w:val="59B672E8"/>
    <w:rsid w:val="5C88761A"/>
    <w:rsid w:val="62515C42"/>
    <w:rsid w:val="6CC272A2"/>
    <w:rsid w:val="6CFB596D"/>
    <w:rsid w:val="6FA404B6"/>
    <w:rsid w:val="700C4F6B"/>
    <w:rsid w:val="79BD7FA7"/>
    <w:rsid w:val="7A9E0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60" w:after="60" w:line="413" w:lineRule="auto"/>
      <w:outlineLvl w:val="1"/>
    </w:pPr>
    <w:rPr>
      <w:rFonts w:ascii="Arial" w:hAnsi="Arial" w:eastAsia="黑体"/>
      <w:b/>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5">
    <w:name w:val="annotation text"/>
    <w:basedOn w:val="1"/>
    <w:qFormat/>
    <w:uiPriority w:val="99"/>
    <w:pPr>
      <w:jc w:val="left"/>
    </w:pPr>
  </w:style>
  <w:style w:type="paragraph" w:styleId="6">
    <w:name w:val="Body Text"/>
    <w:basedOn w:val="1"/>
    <w:qFormat/>
    <w:uiPriority w:val="99"/>
    <w:pPr>
      <w:adjustRightInd w:val="0"/>
      <w:spacing w:after="60" w:line="360" w:lineRule="atLeast"/>
      <w:ind w:left="72" w:leftChars="30" w:right="30" w:rightChars="30"/>
      <w:jc w:val="center"/>
      <w:textAlignment w:val="baseline"/>
    </w:pPr>
    <w:rPr>
      <w:sz w:val="22"/>
      <w:szCs w:val="22"/>
    </w:rPr>
  </w:style>
  <w:style w:type="paragraph" w:styleId="7">
    <w:name w:val="Plain Text"/>
    <w:basedOn w:val="1"/>
    <w:qFormat/>
    <w:uiPriority w:val="0"/>
    <w:rPr>
      <w:rFonts w:ascii="宋体" w:hAnsi="Courier New"/>
      <w:sz w:val="24"/>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uiPriority w:val="99"/>
    <w:pPr>
      <w:widowControl/>
      <w:spacing w:before="100" w:beforeAutospacing="1" w:after="100" w:afterAutospacing="1"/>
      <w:jc w:val="left"/>
    </w:pPr>
    <w:rPr>
      <w:rFonts w:ascii="宋体" w:hAnsi="宋体" w:cs="宋体"/>
      <w:kern w:val="0"/>
      <w:sz w:val="24"/>
    </w:rPr>
  </w:style>
  <w:style w:type="character" w:styleId="12">
    <w:name w:val="FollowedHyperlink"/>
    <w:basedOn w:val="11"/>
    <w:qFormat/>
    <w:uiPriority w:val="0"/>
    <w:rPr>
      <w:color w:val="333333"/>
      <w:u w:val="none"/>
    </w:rPr>
  </w:style>
  <w:style w:type="character" w:styleId="13">
    <w:name w:val="Hyperlink"/>
    <w:basedOn w:val="11"/>
    <w:qFormat/>
    <w:uiPriority w:val="99"/>
    <w:rPr>
      <w:color w:val="0000FF"/>
      <w:u w:val="single"/>
    </w:rPr>
  </w:style>
  <w:style w:type="paragraph" w:customStyle="1" w:styleId="14">
    <w:name w:val="标准正文"/>
    <w:basedOn w:val="1"/>
    <w:qFormat/>
    <w:uiPriority w:val="99"/>
    <w:pPr>
      <w:spacing w:afterLines="50"/>
      <w:ind w:firstLine="200" w:firstLineChars="200"/>
    </w:pPr>
    <w:rPr>
      <w:sz w:val="24"/>
      <w:szCs w:val="21"/>
    </w:rPr>
  </w:style>
  <w:style w:type="paragraph" w:customStyle="1" w:styleId="15">
    <w:name w:val="列表段落1"/>
    <w:basedOn w:val="1"/>
    <w:qFormat/>
    <w:uiPriority w:val="99"/>
    <w:pPr>
      <w:ind w:left="400" w:firstLine="420"/>
    </w:pPr>
  </w:style>
  <w:style w:type="paragraph" w:customStyle="1" w:styleId="16">
    <w:name w:val="Normal"/>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2020-07-21T08:49:00Z</dcterms:created>
  <dc:creator>萌你一脸</dc:creator>
  <cp:lastModifiedBy>NOTE </cp:lastModifiedBy>
  <cp:lastPrinted>2021-01-20T06:54:07Z</cp:lastPrinted>
  <dcterms:modified xsi:type="dcterms:W3CDTF">2021-01-20T08:03:03Z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