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distribute"/>
        <w:rPr>
          <w:rFonts w:hint="eastAsia" w:ascii="宋体" w:hAnsi="宋体" w:eastAsia="宋体" w:cs="宋体"/>
          <w:b/>
          <w:bCs/>
          <w:color w:val="auto"/>
          <w:sz w:val="52"/>
          <w:szCs w:val="52"/>
          <w:highlight w:val="none"/>
          <w:lang w:eastAsia="zh-CN"/>
        </w:rPr>
      </w:pPr>
      <w:r>
        <w:rPr>
          <w:rFonts w:hint="eastAsia" w:ascii="宋体" w:hAnsi="宋体" w:cs="宋体"/>
          <w:color w:val="auto"/>
          <w:spacing w:val="20"/>
          <w:sz w:val="84"/>
          <w:highlight w:val="none"/>
          <w:lang w:eastAsia="zh-CN"/>
        </w:rPr>
        <w:t>温州市第七人民医院</w:t>
      </w:r>
    </w:p>
    <w:p>
      <w:pPr>
        <w:jc w:val="center"/>
        <w:rPr>
          <w:rFonts w:ascii="宋体" w:hAnsi="宋体" w:cs="宋体"/>
          <w:b/>
          <w:bCs/>
          <w:color w:val="auto"/>
          <w:spacing w:val="26"/>
          <w:sz w:val="52"/>
          <w:highlight w:val="none"/>
        </w:rPr>
      </w:pPr>
    </w:p>
    <w:p>
      <w:pPr>
        <w:ind w:firstLine="2357" w:firstLineChars="235"/>
        <w:rPr>
          <w:rFonts w:ascii="宋体" w:hAnsi="宋体" w:cs="宋体"/>
          <w:b/>
          <w:bCs/>
          <w:color w:val="auto"/>
          <w:spacing w:val="140"/>
          <w:sz w:val="72"/>
          <w:highlight w:val="none"/>
        </w:rPr>
      </w:pPr>
    </w:p>
    <w:p>
      <w:pPr>
        <w:adjustRightInd w:val="0"/>
        <w:snapToGrid w:val="0"/>
        <w:spacing w:line="480" w:lineRule="auto"/>
        <w:ind w:right="361"/>
        <w:jc w:val="center"/>
        <w:rPr>
          <w:rFonts w:ascii="宋体" w:hAnsi="宋体" w:cs="宋体"/>
          <w:color w:val="auto"/>
          <w:sz w:val="72"/>
          <w:szCs w:val="72"/>
          <w:highlight w:val="none"/>
        </w:rPr>
      </w:pPr>
      <w:r>
        <w:rPr>
          <w:rFonts w:hint="eastAsia" w:ascii="宋体" w:hAnsi="宋体" w:cs="宋体"/>
          <w:color w:val="auto"/>
          <w:sz w:val="72"/>
          <w:szCs w:val="72"/>
          <w:highlight w:val="none"/>
        </w:rPr>
        <w:t>招 标 文 件</w:t>
      </w:r>
    </w:p>
    <w:tbl>
      <w:tblPr>
        <w:tblStyle w:val="53"/>
        <w:tblW w:w="9546" w:type="dxa"/>
        <w:tblInd w:w="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50"/>
        <w:gridCol w:w="6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0"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项 目 编 号</w:t>
            </w:r>
            <w:r>
              <w:rPr>
                <w:rFonts w:hint="eastAsia" w:ascii="宋体" w:hAnsi="宋体" w:cs="宋体"/>
                <w:color w:val="auto"/>
                <w:spacing w:val="40"/>
                <w:sz w:val="28"/>
                <w:highlight w:val="none"/>
              </w:rPr>
              <w:t>：</w:t>
            </w:r>
          </w:p>
        </w:tc>
        <w:tc>
          <w:tcPr>
            <w:tcW w:w="6796" w:type="dxa"/>
            <w:vAlign w:val="center"/>
          </w:tcPr>
          <w:p>
            <w:pPr>
              <w:spacing w:line="700" w:lineRule="exact"/>
              <w:jc w:val="center"/>
              <w:rPr>
                <w:rFonts w:hint="eastAsia" w:ascii="宋体" w:hAnsi="宋体" w:eastAsia="宋体" w:cs="宋体"/>
                <w:color w:val="auto"/>
                <w:sz w:val="24"/>
                <w:highlight w:val="none"/>
                <w:lang w:eastAsia="zh-CN"/>
              </w:rPr>
            </w:pPr>
            <w:r>
              <w:rPr>
                <w:rFonts w:hint="eastAsia" w:ascii="宋体" w:hAnsi="宋体" w:cs="宋体"/>
                <w:color w:val="auto"/>
                <w:spacing w:val="40"/>
                <w:sz w:val="28"/>
                <w:highlight w:val="none"/>
                <w:lang w:eastAsia="zh-CN"/>
              </w:rPr>
              <w:t>WZLCZB（Z）-2024-04108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2750"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项 目 名 称：</w:t>
            </w:r>
          </w:p>
        </w:tc>
        <w:tc>
          <w:tcPr>
            <w:tcW w:w="6796" w:type="dxa"/>
            <w:vAlign w:val="center"/>
          </w:tcPr>
          <w:p>
            <w:pPr>
              <w:spacing w:line="700" w:lineRule="exact"/>
              <w:jc w:val="center"/>
              <w:rPr>
                <w:rFonts w:hint="eastAsia" w:ascii="宋体" w:hAnsi="宋体" w:eastAsia="宋体" w:cs="宋体"/>
                <w:color w:val="auto"/>
                <w:sz w:val="24"/>
                <w:highlight w:val="none"/>
                <w:lang w:eastAsia="zh-CN"/>
              </w:rPr>
            </w:pPr>
            <w:r>
              <w:rPr>
                <w:rFonts w:hint="eastAsia" w:ascii="宋体" w:hAnsi="宋体" w:cs="宋体"/>
                <w:color w:val="auto"/>
                <w:sz w:val="30"/>
                <w:szCs w:val="30"/>
                <w:highlight w:val="none"/>
                <w:lang w:eastAsia="zh-CN"/>
              </w:rPr>
              <w:t>温州市第七人民医院2024职工疗休养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0"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采 购 方 式：</w:t>
            </w:r>
          </w:p>
        </w:tc>
        <w:tc>
          <w:tcPr>
            <w:tcW w:w="6796"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0"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评 审 方 式：</w:t>
            </w:r>
          </w:p>
        </w:tc>
        <w:tc>
          <w:tcPr>
            <w:tcW w:w="6796"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线上电子招投标</w:t>
            </w:r>
          </w:p>
        </w:tc>
      </w:tr>
    </w:tbl>
    <w:p>
      <w:pPr>
        <w:spacing w:line="700" w:lineRule="exact"/>
        <w:ind w:firstLine="723" w:firstLineChars="300"/>
        <w:jc w:val="left"/>
        <w:rPr>
          <w:rFonts w:ascii="宋体" w:hAnsi="宋体" w:cs="宋体"/>
          <w:b/>
          <w:bCs/>
          <w:color w:val="auto"/>
          <w:sz w:val="24"/>
          <w:highlight w:val="none"/>
        </w:rPr>
      </w:pPr>
    </w:p>
    <w:p>
      <w:pPr>
        <w:spacing w:line="700" w:lineRule="exact"/>
        <w:ind w:firstLine="1144" w:firstLineChars="300"/>
        <w:jc w:val="left"/>
        <w:rPr>
          <w:rFonts w:ascii="宋体" w:hAnsi="宋体" w:cs="宋体"/>
          <w:b/>
          <w:color w:val="auto"/>
          <w:spacing w:val="40"/>
          <w:sz w:val="30"/>
          <w:szCs w:val="30"/>
          <w:highlight w:val="none"/>
        </w:rPr>
      </w:pPr>
    </w:p>
    <w:p>
      <w:pPr>
        <w:spacing w:line="700" w:lineRule="exact"/>
        <w:ind w:left="3802" w:leftChars="540" w:hanging="2668" w:hangingChars="700"/>
        <w:rPr>
          <w:rFonts w:ascii="宋体" w:hAnsi="宋体" w:cs="宋体"/>
          <w:b/>
          <w:color w:val="auto"/>
          <w:spacing w:val="40"/>
          <w:sz w:val="30"/>
          <w:szCs w:val="30"/>
          <w:highlight w:val="none"/>
        </w:rPr>
      </w:pPr>
    </w:p>
    <w:p>
      <w:pPr>
        <w:keepNext/>
        <w:spacing w:line="700" w:lineRule="exact"/>
        <w:rPr>
          <w:rFonts w:ascii="宋体" w:hAnsi="宋体" w:cs="宋体"/>
          <w:color w:val="auto"/>
          <w:spacing w:val="40"/>
          <w:sz w:val="30"/>
          <w:szCs w:val="30"/>
          <w:highlight w:val="none"/>
        </w:rPr>
      </w:pPr>
    </w:p>
    <w:p>
      <w:pPr>
        <w:pStyle w:val="65"/>
        <w:ind w:firstLine="210"/>
        <w:rPr>
          <w:color w:val="auto"/>
          <w:highlight w:val="none"/>
        </w:rPr>
      </w:pPr>
    </w:p>
    <w:p>
      <w:pPr>
        <w:spacing w:line="600" w:lineRule="exact"/>
        <w:jc w:val="center"/>
        <w:rPr>
          <w:rFonts w:hint="eastAsia" w:ascii="宋体" w:hAnsi="宋体" w:eastAsia="宋体" w:cs="宋体"/>
          <w:color w:val="auto"/>
          <w:spacing w:val="30"/>
          <w:sz w:val="30"/>
          <w:highlight w:val="none"/>
          <w:lang w:eastAsia="zh-CN"/>
        </w:rPr>
      </w:pPr>
      <w:r>
        <w:rPr>
          <w:rFonts w:hint="eastAsia" w:ascii="宋体" w:hAnsi="宋体" w:cs="宋体"/>
          <w:color w:val="auto"/>
          <w:spacing w:val="30"/>
          <w:sz w:val="30"/>
          <w:highlight w:val="none"/>
        </w:rPr>
        <w:t>招 标 人:</w:t>
      </w:r>
      <w:r>
        <w:rPr>
          <w:rFonts w:hint="eastAsia" w:ascii="宋体" w:hAnsi="宋体" w:cs="宋体"/>
          <w:color w:val="auto"/>
          <w:spacing w:val="30"/>
          <w:sz w:val="30"/>
          <w:highlight w:val="none"/>
          <w:lang w:eastAsia="zh-CN"/>
        </w:rPr>
        <w:t>温州市第七人民医院</w:t>
      </w:r>
    </w:p>
    <w:p>
      <w:pPr>
        <w:spacing w:line="600" w:lineRule="exact"/>
        <w:jc w:val="center"/>
        <w:rPr>
          <w:rFonts w:ascii="宋体" w:hAnsi="宋体" w:cs="宋体"/>
          <w:color w:val="auto"/>
          <w:spacing w:val="30"/>
          <w:sz w:val="30"/>
          <w:highlight w:val="none"/>
        </w:rPr>
      </w:pPr>
      <w:r>
        <w:rPr>
          <w:rFonts w:hint="eastAsia" w:ascii="宋体" w:hAnsi="宋体" w:cs="宋体"/>
          <w:color w:val="auto"/>
          <w:spacing w:val="30"/>
          <w:sz w:val="30"/>
          <w:highlight w:val="none"/>
        </w:rPr>
        <w:t>招标代理机构：温州历程招标有限公司</w:t>
      </w:r>
    </w:p>
    <w:p>
      <w:pPr>
        <w:spacing w:line="600" w:lineRule="exact"/>
        <w:jc w:val="center"/>
        <w:rPr>
          <w:rFonts w:ascii="宋体" w:hAnsi="宋体" w:cs="宋体"/>
          <w:color w:val="auto"/>
          <w:spacing w:val="30"/>
          <w:sz w:val="30"/>
          <w:highlight w:val="none"/>
        </w:rPr>
      </w:pPr>
      <w:r>
        <w:rPr>
          <w:rFonts w:hint="eastAsia" w:ascii="宋体" w:hAnsi="宋体" w:cs="宋体"/>
          <w:color w:val="auto"/>
          <w:spacing w:val="30"/>
          <w:sz w:val="30"/>
          <w:highlight w:val="none"/>
        </w:rPr>
        <w:t>二0二四年</w:t>
      </w:r>
      <w:r>
        <w:rPr>
          <w:rFonts w:hint="eastAsia" w:ascii="宋体" w:hAnsi="宋体" w:cs="宋体"/>
          <w:color w:val="auto"/>
          <w:spacing w:val="30"/>
          <w:sz w:val="30"/>
          <w:highlight w:val="none"/>
          <w:lang w:val="en-US" w:eastAsia="zh-CN"/>
        </w:rPr>
        <w:t>四</w:t>
      </w:r>
      <w:r>
        <w:rPr>
          <w:rFonts w:hint="eastAsia" w:ascii="宋体" w:hAnsi="宋体" w:cs="宋体"/>
          <w:color w:val="auto"/>
          <w:spacing w:val="30"/>
          <w:sz w:val="30"/>
          <w:highlight w:val="none"/>
        </w:rPr>
        <w:t>月</w:t>
      </w:r>
    </w:p>
    <w:p>
      <w:pPr>
        <w:rPr>
          <w:color w:val="auto"/>
          <w:highlight w:val="none"/>
        </w:rPr>
      </w:pPr>
      <w:r>
        <w:rPr>
          <w:rFonts w:hint="eastAsia" w:ascii="宋体" w:hAnsi="宋体" w:cs="宋体"/>
          <w:b/>
          <w:color w:val="auto"/>
          <w:sz w:val="36"/>
          <w:szCs w:val="36"/>
          <w:highlight w:val="none"/>
        </w:rPr>
        <w:br w:type="page"/>
      </w:r>
    </w:p>
    <w:sdt>
      <w:sdtPr>
        <w:rPr>
          <w:rFonts w:hint="eastAsia" w:ascii="宋体" w:hAnsi="宋体" w:cs="宋体"/>
          <w:color w:val="auto"/>
          <w:highlight w:val="none"/>
        </w:rPr>
        <w:id w:val="147459729"/>
        <w:docPartObj>
          <w:docPartGallery w:val="Table of Contents"/>
          <w:docPartUnique/>
        </w:docPartObj>
      </w:sdtPr>
      <w:sdtEndPr>
        <w:rPr>
          <w:rFonts w:hint="eastAsia" w:ascii="宋体" w:hAnsi="宋体" w:cs="宋体"/>
          <w:color w:val="auto"/>
          <w:szCs w:val="36"/>
          <w:highlight w:val="none"/>
        </w:rPr>
      </w:sdtEndPr>
      <w:sdtContent>
        <w:p>
          <w:pPr>
            <w:jc w:val="center"/>
            <w:rPr>
              <w:rFonts w:ascii="宋体" w:hAnsi="宋体" w:cs="宋体"/>
              <w:color w:val="auto"/>
              <w:highlight w:val="none"/>
            </w:rPr>
          </w:pPr>
        </w:p>
        <w:p>
          <w:pPr>
            <w:pStyle w:val="37"/>
            <w:tabs>
              <w:tab w:val="right" w:leader="dot" w:pos="9638"/>
            </w:tabs>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目  录</w:t>
          </w:r>
        </w:p>
        <w:p>
          <w:pPr>
            <w:pStyle w:val="37"/>
            <w:tabs>
              <w:tab w:val="right" w:leader="dot" w:pos="9638"/>
            </w:tabs>
            <w:spacing w:line="360" w:lineRule="auto"/>
            <w:rPr>
              <w:color w:val="auto"/>
              <w:sz w:val="22"/>
              <w:szCs w:val="28"/>
              <w:highlight w:val="none"/>
            </w:rPr>
          </w:pPr>
          <w:r>
            <w:rPr>
              <w:rFonts w:hint="eastAsia" w:ascii="宋体" w:hAnsi="宋体" w:cs="宋体"/>
              <w:b/>
              <w:color w:val="auto"/>
              <w:sz w:val="40"/>
              <w:szCs w:val="40"/>
              <w:highlight w:val="none"/>
            </w:rPr>
            <w:fldChar w:fldCharType="begin"/>
          </w:r>
          <w:r>
            <w:rPr>
              <w:rFonts w:hint="eastAsia" w:ascii="宋体" w:hAnsi="宋体" w:cs="宋体"/>
              <w:b/>
              <w:color w:val="auto"/>
              <w:sz w:val="40"/>
              <w:szCs w:val="40"/>
              <w:highlight w:val="none"/>
            </w:rPr>
            <w:instrText xml:space="preserve">TOC \o "1-3" \h \u </w:instrText>
          </w:r>
          <w:r>
            <w:rPr>
              <w:rFonts w:hint="eastAsia" w:ascii="宋体" w:hAnsi="宋体" w:cs="宋体"/>
              <w:b/>
              <w:color w:val="auto"/>
              <w:sz w:val="40"/>
              <w:szCs w:val="40"/>
              <w:highlight w:val="none"/>
            </w:rPr>
            <w:fldChar w:fldCharType="separate"/>
          </w:r>
          <w:r>
            <w:rPr>
              <w:color w:val="auto"/>
              <w:highlight w:val="none"/>
            </w:rPr>
            <w:fldChar w:fldCharType="begin"/>
          </w:r>
          <w:r>
            <w:rPr>
              <w:color w:val="auto"/>
              <w:highlight w:val="none"/>
            </w:rPr>
            <w:instrText xml:space="preserve"> HYPERLINK \l "_Toc6599" </w:instrText>
          </w:r>
          <w:r>
            <w:rPr>
              <w:color w:val="auto"/>
              <w:highlight w:val="none"/>
            </w:rPr>
            <w:fldChar w:fldCharType="separate"/>
          </w:r>
          <w:r>
            <w:rPr>
              <w:rFonts w:hint="eastAsia" w:ascii="宋体" w:hAnsi="宋体" w:cs="宋体"/>
              <w:color w:val="auto"/>
              <w:sz w:val="22"/>
              <w:szCs w:val="28"/>
              <w:highlight w:val="none"/>
            </w:rPr>
            <w:t>招标公告</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_Toc6599 \h </w:instrText>
          </w:r>
          <w:r>
            <w:rPr>
              <w:color w:val="auto"/>
              <w:sz w:val="22"/>
              <w:szCs w:val="28"/>
              <w:highlight w:val="none"/>
            </w:rPr>
            <w:fldChar w:fldCharType="separate"/>
          </w:r>
          <w:r>
            <w:rPr>
              <w:color w:val="auto"/>
              <w:sz w:val="22"/>
              <w:szCs w:val="28"/>
              <w:highlight w:val="none"/>
            </w:rPr>
            <w:t>3</w:t>
          </w:r>
          <w:r>
            <w:rPr>
              <w:color w:val="auto"/>
              <w:sz w:val="22"/>
              <w:szCs w:val="28"/>
              <w:highlight w:val="none"/>
            </w:rPr>
            <w:fldChar w:fldCharType="end"/>
          </w:r>
          <w:r>
            <w:rPr>
              <w:color w:val="auto"/>
              <w:sz w:val="22"/>
              <w:szCs w:val="28"/>
              <w:highlight w:val="none"/>
            </w:rPr>
            <w:fldChar w:fldCharType="end"/>
          </w:r>
        </w:p>
        <w:p>
          <w:pPr>
            <w:pStyle w:val="37"/>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"_Toc10401" </w:instrText>
          </w:r>
          <w:r>
            <w:rPr>
              <w:color w:val="auto"/>
              <w:highlight w:val="none"/>
            </w:rPr>
            <w:fldChar w:fldCharType="separate"/>
          </w:r>
          <w:r>
            <w:rPr>
              <w:rFonts w:hint="eastAsia" w:ascii="宋体" w:hAnsi="宋体" w:cs="宋体"/>
              <w:color w:val="auto"/>
              <w:sz w:val="22"/>
              <w:szCs w:val="28"/>
              <w:highlight w:val="none"/>
            </w:rPr>
            <w:t>第一部分    投标人须知</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_Toc10401 \h </w:instrText>
          </w:r>
          <w:r>
            <w:rPr>
              <w:color w:val="auto"/>
              <w:sz w:val="22"/>
              <w:szCs w:val="28"/>
              <w:highlight w:val="none"/>
            </w:rPr>
            <w:fldChar w:fldCharType="separate"/>
          </w:r>
          <w:r>
            <w:rPr>
              <w:color w:val="auto"/>
              <w:sz w:val="22"/>
              <w:szCs w:val="28"/>
              <w:highlight w:val="none"/>
            </w:rPr>
            <w:t>6</w:t>
          </w:r>
          <w:r>
            <w:rPr>
              <w:color w:val="auto"/>
              <w:sz w:val="22"/>
              <w:szCs w:val="28"/>
              <w:highlight w:val="none"/>
            </w:rPr>
            <w:fldChar w:fldCharType="end"/>
          </w:r>
          <w:r>
            <w:rPr>
              <w:color w:val="auto"/>
              <w:sz w:val="22"/>
              <w:szCs w:val="28"/>
              <w:highlight w:val="none"/>
            </w:rPr>
            <w:fldChar w:fldCharType="end"/>
          </w:r>
        </w:p>
        <w:p>
          <w:pPr>
            <w:pStyle w:val="44"/>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"_Toc6224" </w:instrText>
          </w:r>
          <w:r>
            <w:rPr>
              <w:color w:val="auto"/>
              <w:highlight w:val="none"/>
            </w:rPr>
            <w:fldChar w:fldCharType="separate"/>
          </w:r>
          <w:r>
            <w:rPr>
              <w:rFonts w:hint="eastAsia" w:ascii="宋体" w:hAnsi="宋体" w:cs="宋体"/>
              <w:bCs/>
              <w:color w:val="auto"/>
              <w:sz w:val="22"/>
              <w:szCs w:val="28"/>
              <w:highlight w:val="none"/>
            </w:rPr>
            <w:t>前 附 表</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_Toc6224 \h </w:instrText>
          </w:r>
          <w:r>
            <w:rPr>
              <w:color w:val="auto"/>
              <w:sz w:val="22"/>
              <w:szCs w:val="28"/>
              <w:highlight w:val="none"/>
            </w:rPr>
            <w:fldChar w:fldCharType="separate"/>
          </w:r>
          <w:r>
            <w:rPr>
              <w:color w:val="auto"/>
              <w:sz w:val="22"/>
              <w:szCs w:val="28"/>
              <w:highlight w:val="none"/>
            </w:rPr>
            <w:t>6</w:t>
          </w:r>
          <w:r>
            <w:rPr>
              <w:color w:val="auto"/>
              <w:sz w:val="22"/>
              <w:szCs w:val="28"/>
              <w:highlight w:val="none"/>
            </w:rPr>
            <w:fldChar w:fldCharType="end"/>
          </w:r>
          <w:r>
            <w:rPr>
              <w:color w:val="auto"/>
              <w:sz w:val="22"/>
              <w:szCs w:val="28"/>
              <w:highlight w:val="none"/>
            </w:rPr>
            <w:fldChar w:fldCharType="end"/>
          </w:r>
        </w:p>
        <w:p>
          <w:pPr>
            <w:pStyle w:val="44"/>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"_Toc19070" </w:instrText>
          </w:r>
          <w:r>
            <w:rPr>
              <w:color w:val="auto"/>
              <w:highlight w:val="none"/>
            </w:rPr>
            <w:fldChar w:fldCharType="separate"/>
          </w:r>
          <w:r>
            <w:rPr>
              <w:rFonts w:hint="eastAsia" w:ascii="宋体" w:hAnsi="宋体" w:cs="宋体"/>
              <w:bCs/>
              <w:color w:val="auto"/>
              <w:sz w:val="22"/>
              <w:szCs w:val="28"/>
              <w:highlight w:val="none"/>
            </w:rPr>
            <w:t>一、 说   明</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_Toc19070 \h </w:instrText>
          </w:r>
          <w:r>
            <w:rPr>
              <w:color w:val="auto"/>
              <w:sz w:val="22"/>
              <w:szCs w:val="28"/>
              <w:highlight w:val="none"/>
            </w:rPr>
            <w:fldChar w:fldCharType="separate"/>
          </w:r>
          <w:r>
            <w:rPr>
              <w:color w:val="auto"/>
              <w:sz w:val="22"/>
              <w:szCs w:val="28"/>
              <w:highlight w:val="none"/>
            </w:rPr>
            <w:t>10</w:t>
          </w:r>
          <w:r>
            <w:rPr>
              <w:color w:val="auto"/>
              <w:sz w:val="22"/>
              <w:szCs w:val="28"/>
              <w:highlight w:val="none"/>
            </w:rPr>
            <w:fldChar w:fldCharType="end"/>
          </w:r>
          <w:r>
            <w:rPr>
              <w:color w:val="auto"/>
              <w:sz w:val="22"/>
              <w:szCs w:val="28"/>
              <w:highlight w:val="none"/>
            </w:rPr>
            <w:fldChar w:fldCharType="end"/>
          </w:r>
        </w:p>
        <w:p>
          <w:pPr>
            <w:pStyle w:val="44"/>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"_Toc28278" </w:instrText>
          </w:r>
          <w:r>
            <w:rPr>
              <w:color w:val="auto"/>
              <w:highlight w:val="none"/>
            </w:rPr>
            <w:fldChar w:fldCharType="separate"/>
          </w:r>
          <w:r>
            <w:rPr>
              <w:rFonts w:hint="eastAsia" w:ascii="宋体" w:hAnsi="宋体" w:cs="宋体"/>
              <w:bCs/>
              <w:color w:val="auto"/>
              <w:sz w:val="22"/>
              <w:szCs w:val="28"/>
              <w:highlight w:val="none"/>
            </w:rPr>
            <w:t>二、 招标文件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_Toc28278 \h </w:instrText>
          </w:r>
          <w:r>
            <w:rPr>
              <w:color w:val="auto"/>
              <w:sz w:val="22"/>
              <w:szCs w:val="28"/>
              <w:highlight w:val="none"/>
            </w:rPr>
            <w:fldChar w:fldCharType="separate"/>
          </w:r>
          <w:r>
            <w:rPr>
              <w:color w:val="auto"/>
              <w:sz w:val="22"/>
              <w:szCs w:val="28"/>
              <w:highlight w:val="none"/>
            </w:rPr>
            <w:t>10</w:t>
          </w:r>
          <w:r>
            <w:rPr>
              <w:color w:val="auto"/>
              <w:sz w:val="22"/>
              <w:szCs w:val="28"/>
              <w:highlight w:val="none"/>
            </w:rPr>
            <w:fldChar w:fldCharType="end"/>
          </w:r>
          <w:r>
            <w:rPr>
              <w:color w:val="auto"/>
              <w:sz w:val="22"/>
              <w:szCs w:val="28"/>
              <w:highlight w:val="none"/>
            </w:rPr>
            <w:fldChar w:fldCharType="end"/>
          </w:r>
        </w:p>
        <w:p>
          <w:pPr>
            <w:pStyle w:val="44"/>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"_Toc22646" </w:instrText>
          </w:r>
          <w:r>
            <w:rPr>
              <w:color w:val="auto"/>
              <w:highlight w:val="none"/>
            </w:rPr>
            <w:fldChar w:fldCharType="separate"/>
          </w:r>
          <w:r>
            <w:rPr>
              <w:rFonts w:hint="eastAsia" w:ascii="宋体" w:hAnsi="宋体" w:cs="宋体"/>
              <w:bCs/>
              <w:color w:val="auto"/>
              <w:sz w:val="22"/>
              <w:szCs w:val="28"/>
              <w:highlight w:val="none"/>
            </w:rPr>
            <w:t>三、 投标文件的编制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_Toc22646 \h </w:instrText>
          </w:r>
          <w:r>
            <w:rPr>
              <w:color w:val="auto"/>
              <w:sz w:val="22"/>
              <w:szCs w:val="28"/>
              <w:highlight w:val="none"/>
            </w:rPr>
            <w:fldChar w:fldCharType="separate"/>
          </w:r>
          <w:r>
            <w:rPr>
              <w:color w:val="auto"/>
              <w:sz w:val="22"/>
              <w:szCs w:val="28"/>
              <w:highlight w:val="none"/>
            </w:rPr>
            <w:t>11</w:t>
          </w:r>
          <w:r>
            <w:rPr>
              <w:color w:val="auto"/>
              <w:sz w:val="22"/>
              <w:szCs w:val="28"/>
              <w:highlight w:val="none"/>
            </w:rPr>
            <w:fldChar w:fldCharType="end"/>
          </w:r>
          <w:r>
            <w:rPr>
              <w:color w:val="auto"/>
              <w:sz w:val="22"/>
              <w:szCs w:val="28"/>
              <w:highlight w:val="none"/>
            </w:rPr>
            <w:fldChar w:fldCharType="end"/>
          </w:r>
        </w:p>
        <w:p>
          <w:pPr>
            <w:pStyle w:val="44"/>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"_Toc18542" </w:instrText>
          </w:r>
          <w:r>
            <w:rPr>
              <w:color w:val="auto"/>
              <w:highlight w:val="none"/>
            </w:rPr>
            <w:fldChar w:fldCharType="separate"/>
          </w:r>
          <w:r>
            <w:rPr>
              <w:rFonts w:hint="eastAsia" w:ascii="宋体" w:hAnsi="宋体" w:cs="宋体"/>
              <w:bCs/>
              <w:color w:val="auto"/>
              <w:sz w:val="22"/>
              <w:highlight w:val="none"/>
            </w:rPr>
            <w:t>四、 投标文件的递交</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_Toc18542 \h </w:instrText>
          </w:r>
          <w:r>
            <w:rPr>
              <w:color w:val="auto"/>
              <w:sz w:val="22"/>
              <w:szCs w:val="28"/>
              <w:highlight w:val="none"/>
            </w:rPr>
            <w:fldChar w:fldCharType="separate"/>
          </w:r>
          <w:r>
            <w:rPr>
              <w:color w:val="auto"/>
              <w:sz w:val="22"/>
              <w:szCs w:val="28"/>
              <w:highlight w:val="none"/>
            </w:rPr>
            <w:t>14</w:t>
          </w:r>
          <w:r>
            <w:rPr>
              <w:color w:val="auto"/>
              <w:sz w:val="22"/>
              <w:szCs w:val="28"/>
              <w:highlight w:val="none"/>
            </w:rPr>
            <w:fldChar w:fldCharType="end"/>
          </w:r>
          <w:r>
            <w:rPr>
              <w:color w:val="auto"/>
              <w:sz w:val="22"/>
              <w:szCs w:val="28"/>
              <w:highlight w:val="none"/>
            </w:rPr>
            <w:fldChar w:fldCharType="end"/>
          </w:r>
        </w:p>
        <w:p>
          <w:pPr>
            <w:pStyle w:val="44"/>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"_Toc8079" </w:instrText>
          </w:r>
          <w:r>
            <w:rPr>
              <w:color w:val="auto"/>
              <w:highlight w:val="none"/>
            </w:rPr>
            <w:fldChar w:fldCharType="separate"/>
          </w:r>
          <w:r>
            <w:rPr>
              <w:rFonts w:hint="eastAsia" w:ascii="宋体" w:hAnsi="宋体" w:cs="宋体"/>
              <w:bCs/>
              <w:color w:val="auto"/>
              <w:sz w:val="22"/>
              <w:highlight w:val="none"/>
            </w:rPr>
            <w:t>五、 开标和评标</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_Toc8079 \h </w:instrText>
          </w:r>
          <w:r>
            <w:rPr>
              <w:color w:val="auto"/>
              <w:sz w:val="22"/>
              <w:szCs w:val="28"/>
              <w:highlight w:val="none"/>
            </w:rPr>
            <w:fldChar w:fldCharType="separate"/>
          </w:r>
          <w:r>
            <w:rPr>
              <w:color w:val="auto"/>
              <w:sz w:val="22"/>
              <w:szCs w:val="28"/>
              <w:highlight w:val="none"/>
            </w:rPr>
            <w:t>15</w:t>
          </w:r>
          <w:r>
            <w:rPr>
              <w:color w:val="auto"/>
              <w:sz w:val="22"/>
              <w:szCs w:val="28"/>
              <w:highlight w:val="none"/>
            </w:rPr>
            <w:fldChar w:fldCharType="end"/>
          </w:r>
          <w:r>
            <w:rPr>
              <w:color w:val="auto"/>
              <w:sz w:val="22"/>
              <w:szCs w:val="28"/>
              <w:highlight w:val="none"/>
            </w:rPr>
            <w:fldChar w:fldCharType="end"/>
          </w:r>
        </w:p>
        <w:p>
          <w:pPr>
            <w:pStyle w:val="44"/>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"_Toc21056" </w:instrText>
          </w:r>
          <w:r>
            <w:rPr>
              <w:color w:val="auto"/>
              <w:highlight w:val="none"/>
            </w:rPr>
            <w:fldChar w:fldCharType="separate"/>
          </w:r>
          <w:r>
            <w:rPr>
              <w:rFonts w:hint="eastAsia" w:ascii="宋体" w:hAnsi="宋体" w:cs="宋体"/>
              <w:bCs/>
              <w:color w:val="auto"/>
              <w:sz w:val="22"/>
              <w:szCs w:val="28"/>
              <w:highlight w:val="none"/>
            </w:rPr>
            <w:t>六、 授予合同</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_Toc21056 \h </w:instrText>
          </w:r>
          <w:r>
            <w:rPr>
              <w:color w:val="auto"/>
              <w:sz w:val="22"/>
              <w:szCs w:val="28"/>
              <w:highlight w:val="none"/>
            </w:rPr>
            <w:fldChar w:fldCharType="separate"/>
          </w:r>
          <w:r>
            <w:rPr>
              <w:color w:val="auto"/>
              <w:sz w:val="22"/>
              <w:szCs w:val="28"/>
              <w:highlight w:val="none"/>
            </w:rPr>
            <w:t>18</w:t>
          </w:r>
          <w:r>
            <w:rPr>
              <w:color w:val="auto"/>
              <w:sz w:val="22"/>
              <w:szCs w:val="28"/>
              <w:highlight w:val="none"/>
            </w:rPr>
            <w:fldChar w:fldCharType="end"/>
          </w:r>
          <w:r>
            <w:rPr>
              <w:color w:val="auto"/>
              <w:sz w:val="22"/>
              <w:szCs w:val="28"/>
              <w:highlight w:val="none"/>
            </w:rPr>
            <w:fldChar w:fldCharType="end"/>
          </w:r>
        </w:p>
        <w:p>
          <w:pPr>
            <w:pStyle w:val="37"/>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"_Toc19043" </w:instrText>
          </w:r>
          <w:r>
            <w:rPr>
              <w:color w:val="auto"/>
              <w:highlight w:val="none"/>
            </w:rPr>
            <w:fldChar w:fldCharType="separate"/>
          </w:r>
          <w:r>
            <w:rPr>
              <w:rFonts w:hint="eastAsia" w:ascii="宋体" w:hAnsi="宋体" w:cs="宋体"/>
              <w:color w:val="auto"/>
              <w:sz w:val="22"/>
              <w:szCs w:val="28"/>
              <w:highlight w:val="none"/>
            </w:rPr>
            <w:t>第二部分    合同主要条款</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_Toc19043 \h </w:instrText>
          </w:r>
          <w:r>
            <w:rPr>
              <w:color w:val="auto"/>
              <w:sz w:val="22"/>
              <w:szCs w:val="28"/>
              <w:highlight w:val="none"/>
            </w:rPr>
            <w:fldChar w:fldCharType="separate"/>
          </w:r>
          <w:r>
            <w:rPr>
              <w:color w:val="auto"/>
              <w:sz w:val="22"/>
              <w:szCs w:val="28"/>
              <w:highlight w:val="none"/>
            </w:rPr>
            <w:t>20</w:t>
          </w:r>
          <w:r>
            <w:rPr>
              <w:color w:val="auto"/>
              <w:sz w:val="22"/>
              <w:szCs w:val="28"/>
              <w:highlight w:val="none"/>
            </w:rPr>
            <w:fldChar w:fldCharType="end"/>
          </w:r>
          <w:r>
            <w:rPr>
              <w:color w:val="auto"/>
              <w:sz w:val="22"/>
              <w:szCs w:val="28"/>
              <w:highlight w:val="none"/>
            </w:rPr>
            <w:fldChar w:fldCharType="end"/>
          </w:r>
        </w:p>
        <w:p>
          <w:pPr>
            <w:pStyle w:val="37"/>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"_Toc18439" </w:instrText>
          </w:r>
          <w:r>
            <w:rPr>
              <w:color w:val="auto"/>
              <w:highlight w:val="none"/>
            </w:rPr>
            <w:fldChar w:fldCharType="separate"/>
          </w:r>
          <w:r>
            <w:rPr>
              <w:rFonts w:hint="eastAsia" w:ascii="宋体" w:hAnsi="宋体" w:cs="宋体"/>
              <w:color w:val="auto"/>
              <w:sz w:val="22"/>
              <w:szCs w:val="28"/>
              <w:highlight w:val="none"/>
            </w:rPr>
            <w:t>第三部分    附件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_Toc18439 \h </w:instrText>
          </w:r>
          <w:r>
            <w:rPr>
              <w:color w:val="auto"/>
              <w:sz w:val="22"/>
              <w:szCs w:val="28"/>
              <w:highlight w:val="none"/>
            </w:rPr>
            <w:fldChar w:fldCharType="separate"/>
          </w:r>
          <w:r>
            <w:rPr>
              <w:color w:val="auto"/>
              <w:sz w:val="22"/>
              <w:szCs w:val="28"/>
              <w:highlight w:val="none"/>
            </w:rPr>
            <w:t>20</w:t>
          </w:r>
          <w:r>
            <w:rPr>
              <w:color w:val="auto"/>
              <w:sz w:val="22"/>
              <w:szCs w:val="28"/>
              <w:highlight w:val="none"/>
            </w:rPr>
            <w:fldChar w:fldCharType="end"/>
          </w:r>
          <w:r>
            <w:rPr>
              <w:color w:val="auto"/>
              <w:sz w:val="22"/>
              <w:szCs w:val="28"/>
              <w:highlight w:val="none"/>
            </w:rPr>
            <w:fldChar w:fldCharType="end"/>
          </w:r>
        </w:p>
        <w:p>
          <w:pPr>
            <w:pStyle w:val="44"/>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"_Toc6368" </w:instrText>
          </w:r>
          <w:r>
            <w:rPr>
              <w:color w:val="auto"/>
              <w:highlight w:val="none"/>
            </w:rPr>
            <w:fldChar w:fldCharType="separate"/>
          </w:r>
          <w:r>
            <w:rPr>
              <w:rFonts w:hint="eastAsia" w:ascii="宋体" w:hAnsi="宋体" w:cs="宋体"/>
              <w:color w:val="auto"/>
              <w:sz w:val="22"/>
              <w:szCs w:val="28"/>
              <w:highlight w:val="none"/>
            </w:rPr>
            <w:t>附件一</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_Toc6368 \h </w:instrText>
          </w:r>
          <w:r>
            <w:rPr>
              <w:color w:val="auto"/>
              <w:sz w:val="22"/>
              <w:szCs w:val="28"/>
              <w:highlight w:val="none"/>
            </w:rPr>
            <w:fldChar w:fldCharType="separate"/>
          </w:r>
          <w:r>
            <w:rPr>
              <w:color w:val="auto"/>
              <w:sz w:val="22"/>
              <w:szCs w:val="28"/>
              <w:highlight w:val="none"/>
            </w:rPr>
            <w:t>25</w:t>
          </w:r>
          <w:r>
            <w:rPr>
              <w:color w:val="auto"/>
              <w:sz w:val="22"/>
              <w:szCs w:val="28"/>
              <w:highlight w:val="none"/>
            </w:rPr>
            <w:fldChar w:fldCharType="end"/>
          </w:r>
          <w:r>
            <w:rPr>
              <w:color w:val="auto"/>
              <w:sz w:val="22"/>
              <w:szCs w:val="28"/>
              <w:highlight w:val="none"/>
            </w:rPr>
            <w:fldChar w:fldCharType="end"/>
          </w:r>
        </w:p>
        <w:p>
          <w:pPr>
            <w:pStyle w:val="27"/>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"_Toc5430" </w:instrText>
          </w:r>
          <w:r>
            <w:rPr>
              <w:color w:val="auto"/>
              <w:highlight w:val="none"/>
            </w:rPr>
            <w:fldChar w:fldCharType="separate"/>
          </w:r>
          <w:r>
            <w:rPr>
              <w:rFonts w:hint="eastAsia" w:ascii="宋体" w:hAnsi="宋体" w:cs="宋体"/>
              <w:bCs/>
              <w:color w:val="auto"/>
              <w:sz w:val="22"/>
              <w:szCs w:val="32"/>
              <w:highlight w:val="none"/>
            </w:rPr>
            <w:t>报价文件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_Toc5430 \h </w:instrText>
          </w:r>
          <w:r>
            <w:rPr>
              <w:color w:val="auto"/>
              <w:sz w:val="22"/>
              <w:szCs w:val="28"/>
              <w:highlight w:val="none"/>
            </w:rPr>
            <w:fldChar w:fldCharType="separate"/>
          </w:r>
          <w:r>
            <w:rPr>
              <w:color w:val="auto"/>
              <w:sz w:val="22"/>
              <w:szCs w:val="28"/>
              <w:highlight w:val="none"/>
            </w:rPr>
            <w:t>25</w:t>
          </w:r>
          <w:r>
            <w:rPr>
              <w:color w:val="auto"/>
              <w:sz w:val="22"/>
              <w:szCs w:val="28"/>
              <w:highlight w:val="none"/>
            </w:rPr>
            <w:fldChar w:fldCharType="end"/>
          </w:r>
          <w:r>
            <w:rPr>
              <w:color w:val="auto"/>
              <w:sz w:val="22"/>
              <w:szCs w:val="28"/>
              <w:highlight w:val="none"/>
            </w:rPr>
            <w:fldChar w:fldCharType="end"/>
          </w:r>
        </w:p>
        <w:p>
          <w:pPr>
            <w:pStyle w:val="44"/>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"_Toc12035" </w:instrText>
          </w:r>
          <w:r>
            <w:rPr>
              <w:color w:val="auto"/>
              <w:highlight w:val="none"/>
            </w:rPr>
            <w:fldChar w:fldCharType="separate"/>
          </w:r>
          <w:r>
            <w:rPr>
              <w:rFonts w:hint="eastAsia" w:ascii="宋体" w:hAnsi="宋体" w:cs="宋体"/>
              <w:color w:val="auto"/>
              <w:sz w:val="22"/>
              <w:highlight w:val="none"/>
            </w:rPr>
            <w:t>附件二</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_Toc12035 \h </w:instrText>
          </w:r>
          <w:r>
            <w:rPr>
              <w:color w:val="auto"/>
              <w:sz w:val="22"/>
              <w:szCs w:val="28"/>
              <w:highlight w:val="none"/>
            </w:rPr>
            <w:fldChar w:fldCharType="separate"/>
          </w:r>
          <w:r>
            <w:rPr>
              <w:color w:val="auto"/>
              <w:sz w:val="22"/>
              <w:szCs w:val="28"/>
              <w:highlight w:val="none"/>
            </w:rPr>
            <w:t>28</w:t>
          </w:r>
          <w:r>
            <w:rPr>
              <w:color w:val="auto"/>
              <w:sz w:val="22"/>
              <w:szCs w:val="28"/>
              <w:highlight w:val="none"/>
            </w:rPr>
            <w:fldChar w:fldCharType="end"/>
          </w:r>
          <w:r>
            <w:rPr>
              <w:color w:val="auto"/>
              <w:sz w:val="22"/>
              <w:szCs w:val="28"/>
              <w:highlight w:val="none"/>
            </w:rPr>
            <w:fldChar w:fldCharType="end"/>
          </w:r>
        </w:p>
        <w:p>
          <w:pPr>
            <w:pStyle w:val="27"/>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"_Toc25309" </w:instrText>
          </w:r>
          <w:r>
            <w:rPr>
              <w:color w:val="auto"/>
              <w:highlight w:val="none"/>
            </w:rPr>
            <w:fldChar w:fldCharType="separate"/>
          </w:r>
          <w:r>
            <w:rPr>
              <w:rFonts w:hint="eastAsia" w:ascii="宋体" w:hAnsi="宋体" w:cs="宋体"/>
              <w:bCs/>
              <w:color w:val="auto"/>
              <w:sz w:val="22"/>
              <w:szCs w:val="32"/>
              <w:highlight w:val="none"/>
            </w:rPr>
            <w:t>资格证明文件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_Toc25309 \h </w:instrText>
          </w:r>
          <w:r>
            <w:rPr>
              <w:color w:val="auto"/>
              <w:sz w:val="22"/>
              <w:szCs w:val="28"/>
              <w:highlight w:val="none"/>
            </w:rPr>
            <w:fldChar w:fldCharType="separate"/>
          </w:r>
          <w:r>
            <w:rPr>
              <w:color w:val="auto"/>
              <w:sz w:val="22"/>
              <w:szCs w:val="28"/>
              <w:highlight w:val="none"/>
            </w:rPr>
            <w:t>28</w:t>
          </w:r>
          <w:r>
            <w:rPr>
              <w:color w:val="auto"/>
              <w:sz w:val="22"/>
              <w:szCs w:val="28"/>
              <w:highlight w:val="none"/>
            </w:rPr>
            <w:fldChar w:fldCharType="end"/>
          </w:r>
          <w:r>
            <w:rPr>
              <w:color w:val="auto"/>
              <w:sz w:val="22"/>
              <w:szCs w:val="28"/>
              <w:highlight w:val="none"/>
            </w:rPr>
            <w:fldChar w:fldCharType="end"/>
          </w:r>
        </w:p>
        <w:p>
          <w:pPr>
            <w:pStyle w:val="44"/>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"_Toc31356" </w:instrText>
          </w:r>
          <w:r>
            <w:rPr>
              <w:color w:val="auto"/>
              <w:highlight w:val="none"/>
            </w:rPr>
            <w:fldChar w:fldCharType="separate"/>
          </w:r>
          <w:r>
            <w:rPr>
              <w:rFonts w:hint="eastAsia" w:ascii="宋体" w:hAnsi="宋体" w:cs="宋体"/>
              <w:bCs/>
              <w:color w:val="auto"/>
              <w:sz w:val="22"/>
              <w:highlight w:val="none"/>
            </w:rPr>
            <w:t>附件三</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_Toc31356 \h </w:instrText>
          </w:r>
          <w:r>
            <w:rPr>
              <w:color w:val="auto"/>
              <w:sz w:val="22"/>
              <w:szCs w:val="28"/>
              <w:highlight w:val="none"/>
            </w:rPr>
            <w:fldChar w:fldCharType="separate"/>
          </w:r>
          <w:r>
            <w:rPr>
              <w:color w:val="auto"/>
              <w:sz w:val="22"/>
              <w:szCs w:val="28"/>
              <w:highlight w:val="none"/>
            </w:rPr>
            <w:t>34</w:t>
          </w:r>
          <w:r>
            <w:rPr>
              <w:color w:val="auto"/>
              <w:sz w:val="22"/>
              <w:szCs w:val="28"/>
              <w:highlight w:val="none"/>
            </w:rPr>
            <w:fldChar w:fldCharType="end"/>
          </w:r>
          <w:r>
            <w:rPr>
              <w:color w:val="auto"/>
              <w:sz w:val="22"/>
              <w:szCs w:val="28"/>
              <w:highlight w:val="none"/>
            </w:rPr>
            <w:fldChar w:fldCharType="end"/>
          </w:r>
        </w:p>
        <w:p>
          <w:pPr>
            <w:pStyle w:val="27"/>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"_Toc13639" </w:instrText>
          </w:r>
          <w:r>
            <w:rPr>
              <w:color w:val="auto"/>
              <w:highlight w:val="none"/>
            </w:rPr>
            <w:fldChar w:fldCharType="separate"/>
          </w:r>
          <w:r>
            <w:rPr>
              <w:rFonts w:hint="eastAsia" w:ascii="宋体" w:hAnsi="宋体" w:cs="宋体"/>
              <w:bCs/>
              <w:color w:val="auto"/>
              <w:sz w:val="22"/>
              <w:szCs w:val="32"/>
              <w:highlight w:val="none"/>
              <w:lang w:val="zh-CN"/>
            </w:rPr>
            <w:t>商务技术文件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_Toc13639 \h </w:instrText>
          </w:r>
          <w:r>
            <w:rPr>
              <w:color w:val="auto"/>
              <w:sz w:val="22"/>
              <w:szCs w:val="28"/>
              <w:highlight w:val="none"/>
            </w:rPr>
            <w:fldChar w:fldCharType="separate"/>
          </w:r>
          <w:r>
            <w:rPr>
              <w:color w:val="auto"/>
              <w:sz w:val="22"/>
              <w:szCs w:val="28"/>
              <w:highlight w:val="none"/>
            </w:rPr>
            <w:t>34</w:t>
          </w:r>
          <w:r>
            <w:rPr>
              <w:color w:val="auto"/>
              <w:sz w:val="22"/>
              <w:szCs w:val="28"/>
              <w:highlight w:val="none"/>
            </w:rPr>
            <w:fldChar w:fldCharType="end"/>
          </w:r>
          <w:r>
            <w:rPr>
              <w:color w:val="auto"/>
              <w:sz w:val="22"/>
              <w:szCs w:val="28"/>
              <w:highlight w:val="none"/>
            </w:rPr>
            <w:fldChar w:fldCharType="end"/>
          </w:r>
        </w:p>
        <w:p>
          <w:pPr>
            <w:pStyle w:val="37"/>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"_Toc3381" </w:instrText>
          </w:r>
          <w:r>
            <w:rPr>
              <w:color w:val="auto"/>
              <w:highlight w:val="none"/>
            </w:rPr>
            <w:fldChar w:fldCharType="separate"/>
          </w:r>
          <w:r>
            <w:rPr>
              <w:rFonts w:hint="eastAsia" w:ascii="宋体" w:hAnsi="宋体" w:cs="宋体"/>
              <w:color w:val="auto"/>
              <w:sz w:val="22"/>
              <w:szCs w:val="28"/>
              <w:highlight w:val="none"/>
            </w:rPr>
            <w:t>第四部分 项目技术规范和服务要求</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_Toc3381 \h </w:instrText>
          </w:r>
          <w:r>
            <w:rPr>
              <w:color w:val="auto"/>
              <w:sz w:val="22"/>
              <w:szCs w:val="28"/>
              <w:highlight w:val="none"/>
            </w:rPr>
            <w:fldChar w:fldCharType="separate"/>
          </w:r>
          <w:r>
            <w:rPr>
              <w:color w:val="auto"/>
              <w:sz w:val="22"/>
              <w:szCs w:val="28"/>
              <w:highlight w:val="none"/>
            </w:rPr>
            <w:t>37</w:t>
          </w:r>
          <w:r>
            <w:rPr>
              <w:color w:val="auto"/>
              <w:sz w:val="22"/>
              <w:szCs w:val="28"/>
              <w:highlight w:val="none"/>
            </w:rPr>
            <w:fldChar w:fldCharType="end"/>
          </w:r>
          <w:r>
            <w:rPr>
              <w:color w:val="auto"/>
              <w:sz w:val="22"/>
              <w:szCs w:val="28"/>
              <w:highlight w:val="none"/>
            </w:rPr>
            <w:fldChar w:fldCharType="end"/>
          </w:r>
        </w:p>
        <w:p>
          <w:pPr>
            <w:pStyle w:val="37"/>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"_Toc18194" </w:instrText>
          </w:r>
          <w:r>
            <w:rPr>
              <w:color w:val="auto"/>
              <w:highlight w:val="none"/>
            </w:rPr>
            <w:fldChar w:fldCharType="separate"/>
          </w:r>
          <w:r>
            <w:rPr>
              <w:rFonts w:hint="eastAsia" w:ascii="宋体" w:hAnsi="宋体" w:cs="宋体"/>
              <w:color w:val="auto"/>
              <w:sz w:val="22"/>
              <w:szCs w:val="28"/>
              <w:highlight w:val="none"/>
            </w:rPr>
            <w:t>第五部分   评标原则及方法</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_Toc18194 \h </w:instrText>
          </w:r>
          <w:r>
            <w:rPr>
              <w:color w:val="auto"/>
              <w:sz w:val="22"/>
              <w:szCs w:val="28"/>
              <w:highlight w:val="none"/>
            </w:rPr>
            <w:fldChar w:fldCharType="separate"/>
          </w:r>
          <w:r>
            <w:rPr>
              <w:color w:val="auto"/>
              <w:sz w:val="22"/>
              <w:szCs w:val="28"/>
              <w:highlight w:val="none"/>
            </w:rPr>
            <w:t>51</w:t>
          </w:r>
          <w:r>
            <w:rPr>
              <w:color w:val="auto"/>
              <w:sz w:val="22"/>
              <w:szCs w:val="28"/>
              <w:highlight w:val="none"/>
            </w:rPr>
            <w:fldChar w:fldCharType="end"/>
          </w:r>
          <w:r>
            <w:rPr>
              <w:color w:val="auto"/>
              <w:sz w:val="22"/>
              <w:szCs w:val="28"/>
              <w:highlight w:val="none"/>
            </w:rPr>
            <w:fldChar w:fldCharType="end"/>
          </w:r>
        </w:p>
        <w:p>
          <w:pPr>
            <w:pStyle w:val="44"/>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"_Toc15713" </w:instrText>
          </w:r>
          <w:r>
            <w:rPr>
              <w:color w:val="auto"/>
              <w:highlight w:val="none"/>
            </w:rPr>
            <w:fldChar w:fldCharType="separate"/>
          </w:r>
          <w:r>
            <w:rPr>
              <w:rFonts w:hint="eastAsia" w:ascii="宋体" w:hAnsi="宋体" w:cs="宋体"/>
              <w:color w:val="auto"/>
              <w:sz w:val="22"/>
              <w:highlight w:val="none"/>
            </w:rPr>
            <w:t>一、总 则</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_Toc15713 \h </w:instrText>
          </w:r>
          <w:r>
            <w:rPr>
              <w:color w:val="auto"/>
              <w:sz w:val="22"/>
              <w:szCs w:val="28"/>
              <w:highlight w:val="none"/>
            </w:rPr>
            <w:fldChar w:fldCharType="separate"/>
          </w:r>
          <w:r>
            <w:rPr>
              <w:color w:val="auto"/>
              <w:sz w:val="22"/>
              <w:szCs w:val="28"/>
              <w:highlight w:val="none"/>
            </w:rPr>
            <w:t>55</w:t>
          </w:r>
          <w:r>
            <w:rPr>
              <w:color w:val="auto"/>
              <w:sz w:val="22"/>
              <w:szCs w:val="28"/>
              <w:highlight w:val="none"/>
            </w:rPr>
            <w:fldChar w:fldCharType="end"/>
          </w:r>
          <w:r>
            <w:rPr>
              <w:color w:val="auto"/>
              <w:sz w:val="22"/>
              <w:szCs w:val="28"/>
              <w:highlight w:val="none"/>
            </w:rPr>
            <w:fldChar w:fldCharType="end"/>
          </w:r>
        </w:p>
        <w:p>
          <w:pPr>
            <w:pStyle w:val="44"/>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"_Toc23152" </w:instrText>
          </w:r>
          <w:r>
            <w:rPr>
              <w:color w:val="auto"/>
              <w:highlight w:val="none"/>
            </w:rPr>
            <w:fldChar w:fldCharType="separate"/>
          </w:r>
          <w:r>
            <w:rPr>
              <w:rFonts w:hint="eastAsia" w:ascii="宋体" w:hAnsi="宋体" w:cs="宋体"/>
              <w:color w:val="auto"/>
              <w:sz w:val="22"/>
              <w:highlight w:val="none"/>
            </w:rPr>
            <w:t>二、评标组织</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_Toc23152 \h </w:instrText>
          </w:r>
          <w:r>
            <w:rPr>
              <w:color w:val="auto"/>
              <w:sz w:val="22"/>
              <w:szCs w:val="28"/>
              <w:highlight w:val="none"/>
            </w:rPr>
            <w:fldChar w:fldCharType="separate"/>
          </w:r>
          <w:r>
            <w:rPr>
              <w:color w:val="auto"/>
              <w:sz w:val="22"/>
              <w:szCs w:val="28"/>
              <w:highlight w:val="none"/>
            </w:rPr>
            <w:t>55</w:t>
          </w:r>
          <w:r>
            <w:rPr>
              <w:color w:val="auto"/>
              <w:sz w:val="22"/>
              <w:szCs w:val="28"/>
              <w:highlight w:val="none"/>
            </w:rPr>
            <w:fldChar w:fldCharType="end"/>
          </w:r>
          <w:r>
            <w:rPr>
              <w:color w:val="auto"/>
              <w:sz w:val="22"/>
              <w:szCs w:val="28"/>
              <w:highlight w:val="none"/>
            </w:rPr>
            <w:fldChar w:fldCharType="end"/>
          </w:r>
        </w:p>
        <w:p>
          <w:pPr>
            <w:pStyle w:val="44"/>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"_Toc67" </w:instrText>
          </w:r>
          <w:r>
            <w:rPr>
              <w:color w:val="auto"/>
              <w:highlight w:val="none"/>
            </w:rPr>
            <w:fldChar w:fldCharType="separate"/>
          </w:r>
          <w:r>
            <w:rPr>
              <w:rFonts w:hint="eastAsia" w:ascii="宋体" w:hAnsi="宋体" w:cs="宋体"/>
              <w:color w:val="auto"/>
              <w:sz w:val="22"/>
              <w:highlight w:val="none"/>
            </w:rPr>
            <w:t>三、评标程序</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_Toc67 \h </w:instrText>
          </w:r>
          <w:r>
            <w:rPr>
              <w:color w:val="auto"/>
              <w:sz w:val="22"/>
              <w:szCs w:val="28"/>
              <w:highlight w:val="none"/>
            </w:rPr>
            <w:fldChar w:fldCharType="separate"/>
          </w:r>
          <w:r>
            <w:rPr>
              <w:color w:val="auto"/>
              <w:sz w:val="22"/>
              <w:szCs w:val="28"/>
              <w:highlight w:val="none"/>
            </w:rPr>
            <w:t>55</w:t>
          </w:r>
          <w:r>
            <w:rPr>
              <w:color w:val="auto"/>
              <w:sz w:val="22"/>
              <w:szCs w:val="28"/>
              <w:highlight w:val="none"/>
            </w:rPr>
            <w:fldChar w:fldCharType="end"/>
          </w:r>
          <w:r>
            <w:rPr>
              <w:color w:val="auto"/>
              <w:sz w:val="22"/>
              <w:szCs w:val="28"/>
              <w:highlight w:val="none"/>
            </w:rPr>
            <w:fldChar w:fldCharType="end"/>
          </w:r>
        </w:p>
        <w:p>
          <w:pPr>
            <w:pStyle w:val="44"/>
            <w:tabs>
              <w:tab w:val="right" w:leader="dot" w:pos="9638"/>
            </w:tabs>
            <w:spacing w:line="360" w:lineRule="auto"/>
            <w:rPr>
              <w:rFonts w:hint="eastAsia" w:eastAsia="宋体"/>
              <w:color w:val="auto"/>
              <w:sz w:val="22"/>
              <w:szCs w:val="28"/>
              <w:highlight w:val="none"/>
              <w:lang w:val="en-US" w:eastAsia="zh-CN"/>
            </w:rPr>
          </w:pPr>
          <w:r>
            <w:rPr>
              <w:color w:val="auto"/>
              <w:highlight w:val="none"/>
            </w:rPr>
            <w:fldChar w:fldCharType="begin"/>
          </w:r>
          <w:r>
            <w:rPr>
              <w:color w:val="auto"/>
              <w:highlight w:val="none"/>
            </w:rPr>
            <w:instrText xml:space="preserve"> HYPERLINK \l "_Toc24825" </w:instrText>
          </w:r>
          <w:r>
            <w:rPr>
              <w:color w:val="auto"/>
              <w:highlight w:val="none"/>
            </w:rPr>
            <w:fldChar w:fldCharType="separate"/>
          </w:r>
          <w:r>
            <w:rPr>
              <w:rFonts w:hint="eastAsia" w:ascii="宋体" w:hAnsi="宋体" w:cs="宋体"/>
              <w:color w:val="auto"/>
              <w:sz w:val="22"/>
              <w:highlight w:val="none"/>
            </w:rPr>
            <w:t>四、评标办法</w:t>
          </w:r>
          <w:r>
            <w:rPr>
              <w:color w:val="auto"/>
              <w:sz w:val="22"/>
              <w:szCs w:val="28"/>
              <w:highlight w:val="none"/>
            </w:rPr>
            <w:tab/>
          </w:r>
          <w:r>
            <w:rPr>
              <w:rFonts w:hint="eastAsia"/>
              <w:color w:val="auto"/>
              <w:sz w:val="22"/>
              <w:szCs w:val="28"/>
              <w:highlight w:val="none"/>
              <w:lang w:val="en-US" w:eastAsia="zh-CN"/>
            </w:rPr>
            <w:t>5</w:t>
          </w:r>
          <w:r>
            <w:rPr>
              <w:color w:val="auto"/>
              <w:sz w:val="22"/>
              <w:szCs w:val="28"/>
              <w:highlight w:val="none"/>
            </w:rPr>
            <w:fldChar w:fldCharType="end"/>
          </w:r>
          <w:r>
            <w:rPr>
              <w:rFonts w:hint="eastAsia"/>
              <w:color w:val="auto"/>
              <w:sz w:val="22"/>
              <w:szCs w:val="28"/>
              <w:highlight w:val="none"/>
              <w:lang w:val="en-US" w:eastAsia="zh-CN"/>
            </w:rPr>
            <w:t>5</w:t>
          </w:r>
        </w:p>
        <w:p>
          <w:pPr>
            <w:pStyle w:val="44"/>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"_Toc11450" </w:instrText>
          </w:r>
          <w:r>
            <w:rPr>
              <w:color w:val="auto"/>
              <w:highlight w:val="none"/>
            </w:rPr>
            <w:fldChar w:fldCharType="separate"/>
          </w:r>
          <w:r>
            <w:rPr>
              <w:rFonts w:hint="eastAsia" w:ascii="宋体" w:hAnsi="宋体" w:cs="宋体"/>
              <w:color w:val="auto"/>
              <w:sz w:val="22"/>
              <w:highlight w:val="none"/>
            </w:rPr>
            <w:t>五、 评分细则</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_Toc11450 \h </w:instrText>
          </w:r>
          <w:r>
            <w:rPr>
              <w:color w:val="auto"/>
              <w:sz w:val="22"/>
              <w:szCs w:val="28"/>
              <w:highlight w:val="none"/>
            </w:rPr>
            <w:fldChar w:fldCharType="separate"/>
          </w:r>
          <w:r>
            <w:rPr>
              <w:color w:val="auto"/>
              <w:sz w:val="22"/>
              <w:szCs w:val="28"/>
              <w:highlight w:val="none"/>
            </w:rPr>
            <w:t>55</w:t>
          </w:r>
          <w:r>
            <w:rPr>
              <w:color w:val="auto"/>
              <w:sz w:val="22"/>
              <w:szCs w:val="28"/>
              <w:highlight w:val="none"/>
            </w:rPr>
            <w:fldChar w:fldCharType="end"/>
          </w:r>
          <w:r>
            <w:rPr>
              <w:color w:val="auto"/>
              <w:sz w:val="22"/>
              <w:szCs w:val="28"/>
              <w:highlight w:val="none"/>
            </w:rPr>
            <w:fldChar w:fldCharType="end"/>
          </w:r>
        </w:p>
        <w:p>
          <w:pPr>
            <w:pStyle w:val="44"/>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"_Toc4727" </w:instrText>
          </w:r>
          <w:r>
            <w:rPr>
              <w:color w:val="auto"/>
              <w:highlight w:val="none"/>
            </w:rPr>
            <w:fldChar w:fldCharType="separate"/>
          </w:r>
          <w:r>
            <w:rPr>
              <w:rFonts w:hint="eastAsia" w:ascii="宋体" w:hAnsi="宋体" w:cs="宋体"/>
              <w:bCs/>
              <w:color w:val="auto"/>
              <w:sz w:val="22"/>
              <w:highlight w:val="none"/>
            </w:rPr>
            <w:t>六、定标办法</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_Toc4727 \h </w:instrText>
          </w:r>
          <w:r>
            <w:rPr>
              <w:color w:val="auto"/>
              <w:sz w:val="22"/>
              <w:szCs w:val="28"/>
              <w:highlight w:val="none"/>
            </w:rPr>
            <w:fldChar w:fldCharType="separate"/>
          </w:r>
          <w:r>
            <w:rPr>
              <w:color w:val="auto"/>
              <w:sz w:val="22"/>
              <w:szCs w:val="28"/>
              <w:highlight w:val="none"/>
            </w:rPr>
            <w:t>57</w:t>
          </w:r>
          <w:r>
            <w:rPr>
              <w:color w:val="auto"/>
              <w:sz w:val="22"/>
              <w:szCs w:val="28"/>
              <w:highlight w:val="none"/>
            </w:rPr>
            <w:fldChar w:fldCharType="end"/>
          </w:r>
          <w:r>
            <w:rPr>
              <w:color w:val="auto"/>
              <w:sz w:val="22"/>
              <w:szCs w:val="28"/>
              <w:highlight w:val="none"/>
            </w:rPr>
            <w:fldChar w:fldCharType="end"/>
          </w:r>
        </w:p>
        <w:p>
          <w:pPr>
            <w:pStyle w:val="44"/>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"_Toc3629" </w:instrText>
          </w:r>
          <w:r>
            <w:rPr>
              <w:color w:val="auto"/>
              <w:highlight w:val="none"/>
            </w:rPr>
            <w:fldChar w:fldCharType="separate"/>
          </w:r>
          <w:r>
            <w:rPr>
              <w:rFonts w:hint="eastAsia" w:ascii="宋体" w:hAnsi="宋体" w:cs="宋体"/>
              <w:color w:val="auto"/>
              <w:sz w:val="22"/>
              <w:highlight w:val="none"/>
            </w:rPr>
            <w:t>七、投标人义务</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_Toc3629 \h </w:instrText>
          </w:r>
          <w:r>
            <w:rPr>
              <w:color w:val="auto"/>
              <w:sz w:val="22"/>
              <w:szCs w:val="28"/>
              <w:highlight w:val="none"/>
            </w:rPr>
            <w:fldChar w:fldCharType="separate"/>
          </w:r>
          <w:r>
            <w:rPr>
              <w:color w:val="auto"/>
              <w:sz w:val="22"/>
              <w:szCs w:val="28"/>
              <w:highlight w:val="none"/>
            </w:rPr>
            <w:t>58</w:t>
          </w:r>
          <w:r>
            <w:rPr>
              <w:color w:val="auto"/>
              <w:sz w:val="22"/>
              <w:szCs w:val="28"/>
              <w:highlight w:val="none"/>
            </w:rPr>
            <w:fldChar w:fldCharType="end"/>
          </w:r>
          <w:r>
            <w:rPr>
              <w:color w:val="auto"/>
              <w:sz w:val="22"/>
              <w:szCs w:val="28"/>
              <w:highlight w:val="none"/>
            </w:rPr>
            <w:fldChar w:fldCharType="end"/>
          </w:r>
        </w:p>
        <w:p>
          <w:pPr>
            <w:spacing w:line="360" w:lineRule="auto"/>
            <w:ind w:firstLine="1870" w:firstLineChars="850"/>
            <w:rPr>
              <w:rFonts w:ascii="宋体" w:hAnsi="宋体" w:cs="宋体"/>
              <w:b/>
              <w:color w:val="auto"/>
              <w:sz w:val="36"/>
              <w:szCs w:val="36"/>
              <w:highlight w:val="none"/>
            </w:rPr>
          </w:pPr>
          <w:r>
            <w:rPr>
              <w:rFonts w:hint="eastAsia" w:ascii="宋体" w:hAnsi="宋体" w:cs="宋体"/>
              <w:color w:val="auto"/>
              <w:sz w:val="22"/>
              <w:szCs w:val="40"/>
              <w:highlight w:val="none"/>
            </w:rPr>
            <w:fldChar w:fldCharType="end"/>
          </w:r>
        </w:p>
      </w:sdtContent>
    </w:sdt>
    <w:p>
      <w:pPr>
        <w:spacing w:line="360" w:lineRule="auto"/>
        <w:jc w:val="center"/>
        <w:rPr>
          <w:rFonts w:ascii="宋体" w:hAnsi="宋体" w:cs="宋体"/>
          <w:b/>
          <w:color w:val="auto"/>
          <w:sz w:val="22"/>
          <w:szCs w:val="22"/>
          <w:highlight w:val="none"/>
        </w:rPr>
      </w:pPr>
    </w:p>
    <w:p>
      <w:pPr>
        <w:pStyle w:val="2"/>
        <w:rPr>
          <w:rFonts w:ascii="宋体" w:hAnsi="宋体" w:eastAsia="宋体" w:cs="宋体"/>
          <w:color w:val="auto"/>
          <w:highlight w:val="none"/>
        </w:rPr>
      </w:pPr>
      <w:bookmarkStart w:id="0" w:name="_Toc6599"/>
      <w:bookmarkStart w:id="1" w:name="_Toc32649"/>
      <w:r>
        <w:rPr>
          <w:rFonts w:hint="eastAsia" w:ascii="宋体" w:hAnsi="宋体" w:eastAsia="宋体" w:cs="宋体"/>
          <w:color w:val="auto"/>
          <w:highlight w:val="none"/>
        </w:rPr>
        <w:t>招标公告</w:t>
      </w:r>
      <w:bookmarkEnd w:id="0"/>
      <w:bookmarkEnd w:id="1"/>
    </w:p>
    <w:p>
      <w:pPr>
        <w:tabs>
          <w:tab w:val="left" w:pos="360"/>
        </w:tabs>
        <w:spacing w:line="440" w:lineRule="exact"/>
        <w:ind w:firstLine="552" w:firstLineChars="250"/>
        <w:rPr>
          <w:rFonts w:ascii="宋体" w:hAnsi="宋体" w:cs="宋体"/>
          <w:b/>
          <w:bCs/>
          <w:color w:val="auto"/>
          <w:sz w:val="22"/>
          <w:highlight w:val="none"/>
        </w:rPr>
      </w:pPr>
      <w:r>
        <w:rPr>
          <w:rFonts w:hint="eastAsia" w:ascii="宋体" w:hAnsi="宋体" w:cs="宋体"/>
          <w:b/>
          <w:bCs/>
          <w:color w:val="auto"/>
          <w:sz w:val="22"/>
          <w:highlight w:val="none"/>
        </w:rPr>
        <w:t>项目概况</w:t>
      </w:r>
    </w:p>
    <w:p>
      <w:pPr>
        <w:tabs>
          <w:tab w:val="left" w:pos="360"/>
        </w:tabs>
        <w:spacing w:line="440" w:lineRule="exact"/>
        <w:ind w:firstLine="550" w:firstLineChars="250"/>
        <w:rPr>
          <w:rFonts w:ascii="宋体" w:hAnsi="宋体" w:cs="宋体"/>
          <w:color w:val="auto"/>
          <w:sz w:val="22"/>
          <w:highlight w:val="none"/>
        </w:rPr>
      </w:pPr>
      <w:r>
        <w:rPr>
          <w:rFonts w:hint="eastAsia" w:ascii="宋体" w:hAnsi="宋体" w:cs="宋体"/>
          <w:color w:val="auto"/>
          <w:sz w:val="22"/>
          <w:highlight w:val="none"/>
          <w:lang w:eastAsia="zh-CN"/>
        </w:rPr>
        <w:t>温州市第七人民医院2024职工疗休养</w:t>
      </w:r>
      <w:r>
        <w:rPr>
          <w:rFonts w:hint="eastAsia" w:ascii="宋体" w:hAnsi="宋体" w:cs="宋体"/>
          <w:color w:val="auto"/>
          <w:sz w:val="22"/>
          <w:highlight w:val="none"/>
        </w:rPr>
        <w:t>招标项目的潜在投标人应在浙江政府采购网获取（下载）招标文件，并于202</w:t>
      </w:r>
      <w:r>
        <w:rPr>
          <w:rFonts w:hint="eastAsia" w:ascii="宋体" w:hAnsi="宋体" w:cs="宋体"/>
          <w:color w:val="auto"/>
          <w:sz w:val="22"/>
          <w:highlight w:val="none"/>
          <w:lang w:val="en-US" w:eastAsia="zh-CN"/>
        </w:rPr>
        <w:t>4</w:t>
      </w:r>
      <w:r>
        <w:rPr>
          <w:rFonts w:hint="eastAsia" w:ascii="宋体" w:hAnsi="宋体" w:cs="宋体"/>
          <w:color w:val="auto"/>
          <w:sz w:val="22"/>
          <w:highlight w:val="none"/>
        </w:rPr>
        <w:t>年</w:t>
      </w:r>
      <w:r>
        <w:rPr>
          <w:rFonts w:hint="eastAsia" w:ascii="宋体" w:hAnsi="宋体" w:cs="宋体"/>
          <w:color w:val="auto"/>
          <w:sz w:val="22"/>
          <w:highlight w:val="none"/>
          <w:lang w:val="en-US" w:eastAsia="zh-CN"/>
        </w:rPr>
        <w:t>5</w:t>
      </w:r>
      <w:r>
        <w:rPr>
          <w:rFonts w:hint="eastAsia" w:ascii="宋体" w:hAnsi="宋体" w:cs="宋体"/>
          <w:color w:val="auto"/>
          <w:sz w:val="22"/>
          <w:highlight w:val="none"/>
        </w:rPr>
        <w:t>月</w:t>
      </w:r>
      <w:r>
        <w:rPr>
          <w:rFonts w:hint="eastAsia" w:ascii="宋体" w:hAnsi="宋体" w:cs="宋体"/>
          <w:color w:val="auto"/>
          <w:sz w:val="22"/>
          <w:highlight w:val="none"/>
          <w:lang w:val="en-US" w:eastAsia="zh-CN"/>
        </w:rPr>
        <w:t>16</w:t>
      </w:r>
      <w:r>
        <w:rPr>
          <w:rFonts w:hint="eastAsia" w:ascii="宋体" w:hAnsi="宋体" w:cs="宋体"/>
          <w:color w:val="auto"/>
          <w:sz w:val="22"/>
          <w:highlight w:val="none"/>
        </w:rPr>
        <w:t xml:space="preserve">日 </w:t>
      </w:r>
      <w:r>
        <w:rPr>
          <w:rFonts w:hint="eastAsia" w:ascii="宋体" w:hAnsi="宋体" w:cs="宋体"/>
          <w:color w:val="auto"/>
          <w:sz w:val="22"/>
          <w:highlight w:val="none"/>
          <w:lang w:val="en-US" w:eastAsia="zh-CN"/>
        </w:rPr>
        <w:t>09</w:t>
      </w:r>
      <w:r>
        <w:rPr>
          <w:rFonts w:hint="eastAsia" w:ascii="宋体" w:hAnsi="宋体" w:cs="宋体"/>
          <w:color w:val="auto"/>
          <w:sz w:val="22"/>
          <w:highlight w:val="none"/>
        </w:rPr>
        <w:t>:30</w:t>
      </w:r>
      <w:bookmarkStart w:id="85" w:name="_GoBack"/>
      <w:bookmarkEnd w:id="85"/>
      <w:r>
        <w:rPr>
          <w:rFonts w:hint="eastAsia" w:ascii="宋体" w:hAnsi="宋体" w:cs="宋体"/>
          <w:color w:val="auto"/>
          <w:sz w:val="22"/>
          <w:highlight w:val="none"/>
        </w:rPr>
        <w:t>（北京时间）前递交（上传）投标文件。</w:t>
      </w:r>
    </w:p>
    <w:p>
      <w:pPr>
        <w:tabs>
          <w:tab w:val="left" w:pos="360"/>
        </w:tabs>
        <w:spacing w:line="440" w:lineRule="exact"/>
        <w:ind w:firstLine="552" w:firstLineChars="250"/>
        <w:rPr>
          <w:rFonts w:hint="eastAsia" w:ascii="新宋体" w:hAnsi="新宋体" w:eastAsia="新宋体" w:cs="新宋体"/>
          <w:b/>
          <w:bCs/>
          <w:color w:val="auto"/>
          <w:sz w:val="22"/>
          <w:highlight w:val="none"/>
        </w:rPr>
      </w:pPr>
      <w:r>
        <w:rPr>
          <w:rFonts w:hint="eastAsia" w:ascii="新宋体" w:hAnsi="新宋体" w:eastAsia="新宋体" w:cs="新宋体"/>
          <w:b/>
          <w:bCs/>
          <w:color w:val="auto"/>
          <w:sz w:val="22"/>
          <w:highlight w:val="none"/>
        </w:rPr>
        <w:t>一、项目基本情况</w:t>
      </w:r>
    </w:p>
    <w:p>
      <w:pPr>
        <w:tabs>
          <w:tab w:val="left" w:pos="360"/>
        </w:tabs>
        <w:spacing w:line="440" w:lineRule="exact"/>
        <w:ind w:firstLine="550" w:firstLineChars="250"/>
        <w:rPr>
          <w:rFonts w:hint="default" w:ascii="新宋体" w:hAnsi="新宋体" w:eastAsia="新宋体" w:cs="新宋体"/>
          <w:color w:val="auto"/>
          <w:sz w:val="22"/>
          <w:highlight w:val="none"/>
          <w:lang w:val="en-US"/>
        </w:rPr>
      </w:pPr>
      <w:r>
        <w:rPr>
          <w:rFonts w:hint="eastAsia" w:ascii="新宋体" w:hAnsi="新宋体" w:eastAsia="新宋体" w:cs="新宋体"/>
          <w:color w:val="auto"/>
          <w:sz w:val="22"/>
          <w:highlight w:val="none"/>
        </w:rPr>
        <w:t>项目编号：</w:t>
      </w:r>
      <w:r>
        <w:rPr>
          <w:rFonts w:hint="eastAsia" w:ascii="新宋体" w:hAnsi="新宋体" w:eastAsia="新宋体" w:cs="新宋体"/>
          <w:color w:val="auto"/>
          <w:sz w:val="22"/>
          <w:highlight w:val="none"/>
          <w:lang w:eastAsia="zh-CN"/>
        </w:rPr>
        <w:t>WZLCZB（Z）-2024-04108</w:t>
      </w:r>
      <w:r>
        <w:rPr>
          <w:rFonts w:hint="eastAsia" w:ascii="新宋体" w:hAnsi="新宋体" w:eastAsia="新宋体" w:cs="新宋体"/>
          <w:color w:val="auto"/>
          <w:sz w:val="22"/>
          <w:highlight w:val="none"/>
          <w:lang w:val="en-US" w:eastAsia="zh-CN"/>
        </w:rPr>
        <w:t xml:space="preserve">  </w:t>
      </w:r>
    </w:p>
    <w:p>
      <w:pPr>
        <w:tabs>
          <w:tab w:val="left" w:pos="360"/>
        </w:tabs>
        <w:spacing w:line="440" w:lineRule="exact"/>
        <w:ind w:firstLine="550" w:firstLineChars="250"/>
        <w:rPr>
          <w:rFonts w:hint="eastAsia" w:ascii="新宋体" w:hAnsi="新宋体" w:eastAsia="新宋体" w:cs="新宋体"/>
          <w:color w:val="auto"/>
          <w:sz w:val="22"/>
          <w:highlight w:val="none"/>
          <w:lang w:eastAsia="zh-CN"/>
        </w:rPr>
      </w:pPr>
      <w:r>
        <w:rPr>
          <w:rFonts w:hint="eastAsia" w:ascii="新宋体" w:hAnsi="新宋体" w:eastAsia="新宋体" w:cs="新宋体"/>
          <w:color w:val="auto"/>
          <w:sz w:val="22"/>
          <w:highlight w:val="none"/>
        </w:rPr>
        <w:t>项目名称：</w:t>
      </w:r>
      <w:r>
        <w:rPr>
          <w:rFonts w:hint="eastAsia" w:ascii="新宋体" w:hAnsi="新宋体" w:eastAsia="新宋体" w:cs="新宋体"/>
          <w:color w:val="auto"/>
          <w:sz w:val="22"/>
          <w:highlight w:val="none"/>
          <w:lang w:eastAsia="zh-CN"/>
        </w:rPr>
        <w:t>温州市第七人民医院202</w:t>
      </w:r>
      <w:r>
        <w:rPr>
          <w:rFonts w:hint="eastAsia" w:ascii="新宋体" w:hAnsi="新宋体" w:eastAsia="新宋体" w:cs="新宋体"/>
          <w:color w:val="auto"/>
          <w:sz w:val="22"/>
          <w:highlight w:val="none"/>
          <w:lang w:val="en-US" w:eastAsia="zh-CN"/>
        </w:rPr>
        <w:t>4</w:t>
      </w:r>
      <w:r>
        <w:rPr>
          <w:rFonts w:hint="eastAsia" w:ascii="新宋体" w:hAnsi="新宋体" w:eastAsia="新宋体" w:cs="新宋体"/>
          <w:color w:val="auto"/>
          <w:sz w:val="22"/>
          <w:highlight w:val="none"/>
          <w:lang w:eastAsia="zh-CN"/>
        </w:rPr>
        <w:t>职工疗休养</w:t>
      </w:r>
    </w:p>
    <w:p>
      <w:pPr>
        <w:tabs>
          <w:tab w:val="left" w:pos="360"/>
        </w:tabs>
        <w:spacing w:line="440" w:lineRule="exact"/>
        <w:ind w:firstLine="550" w:firstLineChars="250"/>
        <w:rPr>
          <w:rFonts w:hint="eastAsia" w:ascii="新宋体" w:hAnsi="新宋体" w:eastAsia="新宋体" w:cs="新宋体"/>
          <w:color w:val="auto"/>
          <w:highlight w:val="none"/>
          <w:u w:val="single"/>
        </w:rPr>
      </w:pPr>
      <w:r>
        <w:rPr>
          <w:rFonts w:hint="eastAsia" w:ascii="新宋体" w:hAnsi="新宋体" w:eastAsia="新宋体" w:cs="新宋体"/>
          <w:color w:val="auto"/>
          <w:sz w:val="22"/>
          <w:highlight w:val="none"/>
        </w:rPr>
        <w:t>预算金额：人民币</w:t>
      </w:r>
      <w:r>
        <w:rPr>
          <w:rFonts w:hint="eastAsia" w:ascii="新宋体" w:hAnsi="新宋体" w:eastAsia="新宋体" w:cs="新宋体"/>
          <w:color w:val="auto"/>
          <w:sz w:val="22"/>
          <w:highlight w:val="none"/>
          <w:lang w:eastAsia="zh-CN"/>
        </w:rPr>
        <w:t>捌拾壹万</w:t>
      </w:r>
      <w:r>
        <w:rPr>
          <w:rFonts w:hint="eastAsia" w:ascii="新宋体" w:hAnsi="新宋体" w:eastAsia="新宋体" w:cs="新宋体"/>
          <w:color w:val="auto"/>
          <w:sz w:val="22"/>
          <w:highlight w:val="none"/>
        </w:rPr>
        <w:t>元整（¥</w:t>
      </w:r>
      <w:r>
        <w:rPr>
          <w:rFonts w:hint="eastAsia" w:ascii="新宋体" w:hAnsi="新宋体" w:eastAsia="新宋体" w:cs="新宋体"/>
          <w:color w:val="auto"/>
          <w:sz w:val="22"/>
          <w:highlight w:val="none"/>
          <w:lang w:eastAsia="zh-CN"/>
        </w:rPr>
        <w:t>810000</w:t>
      </w:r>
      <w:r>
        <w:rPr>
          <w:rFonts w:hint="eastAsia" w:ascii="新宋体" w:hAnsi="新宋体" w:eastAsia="新宋体" w:cs="新宋体"/>
          <w:color w:val="auto"/>
          <w:sz w:val="22"/>
          <w:highlight w:val="none"/>
        </w:rPr>
        <w:t>.00元）</w:t>
      </w:r>
    </w:p>
    <w:p>
      <w:pPr>
        <w:tabs>
          <w:tab w:val="left" w:pos="360"/>
        </w:tabs>
        <w:spacing w:line="44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采购需求：</w:t>
      </w:r>
    </w:p>
    <w:tbl>
      <w:tblPr>
        <w:tblStyle w:val="52"/>
        <w:tblW w:w="104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5"/>
        <w:gridCol w:w="1530"/>
        <w:gridCol w:w="6345"/>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b/>
                <w:bCs/>
                <w:i w:val="0"/>
                <w:iCs w:val="0"/>
                <w:color w:val="auto"/>
                <w:sz w:val="22"/>
                <w:szCs w:val="22"/>
                <w:highlight w:val="none"/>
                <w:u w:val="none"/>
              </w:rPr>
            </w:pPr>
            <w:r>
              <w:rPr>
                <w:rFonts w:hint="eastAsia" w:ascii="新宋体" w:hAnsi="新宋体" w:eastAsia="新宋体" w:cs="新宋体"/>
                <w:b/>
                <w:bCs/>
                <w:i w:val="0"/>
                <w:iCs w:val="0"/>
                <w:color w:val="auto"/>
                <w:kern w:val="0"/>
                <w:sz w:val="22"/>
                <w:szCs w:val="22"/>
                <w:highlight w:val="none"/>
                <w:u w:val="none"/>
                <w:lang w:val="en-US" w:eastAsia="zh-CN" w:bidi="ar"/>
              </w:rPr>
              <w:t>序号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b/>
                <w:bCs/>
                <w:i w:val="0"/>
                <w:iCs w:val="0"/>
                <w:color w:val="auto"/>
                <w:sz w:val="22"/>
                <w:szCs w:val="22"/>
                <w:highlight w:val="none"/>
                <w:u w:val="none"/>
              </w:rPr>
            </w:pPr>
            <w:r>
              <w:rPr>
                <w:rFonts w:hint="eastAsia" w:ascii="新宋体" w:hAnsi="新宋体" w:eastAsia="新宋体" w:cs="新宋体"/>
                <w:b/>
                <w:bCs/>
                <w:i w:val="0"/>
                <w:iCs w:val="0"/>
                <w:color w:val="auto"/>
                <w:kern w:val="0"/>
                <w:sz w:val="22"/>
                <w:szCs w:val="22"/>
                <w:highlight w:val="none"/>
                <w:u w:val="none"/>
                <w:lang w:val="en-US" w:eastAsia="zh-CN" w:bidi="ar"/>
              </w:rPr>
              <w:t>项目名称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b/>
                <w:bCs/>
                <w:i w:val="0"/>
                <w:iCs w:val="0"/>
                <w:color w:val="auto"/>
                <w:sz w:val="22"/>
                <w:szCs w:val="22"/>
                <w:highlight w:val="none"/>
                <w:u w:val="none"/>
              </w:rPr>
            </w:pPr>
            <w:r>
              <w:rPr>
                <w:rFonts w:hint="eastAsia" w:ascii="新宋体" w:hAnsi="新宋体" w:eastAsia="新宋体" w:cs="新宋体"/>
                <w:b/>
                <w:bCs/>
                <w:i w:val="0"/>
                <w:iCs w:val="0"/>
                <w:color w:val="auto"/>
                <w:kern w:val="0"/>
                <w:sz w:val="22"/>
                <w:szCs w:val="22"/>
                <w:highlight w:val="none"/>
                <w:u w:val="none"/>
                <w:lang w:val="en-US" w:eastAsia="zh-CN" w:bidi="ar"/>
              </w:rPr>
              <w:t>路线安排</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b/>
                <w:bCs/>
                <w:i w:val="0"/>
                <w:iCs w:val="0"/>
                <w:color w:val="auto"/>
                <w:sz w:val="22"/>
                <w:szCs w:val="22"/>
                <w:highlight w:val="none"/>
                <w:u w:val="none"/>
              </w:rPr>
            </w:pPr>
            <w:r>
              <w:rPr>
                <w:rFonts w:hint="eastAsia" w:ascii="新宋体" w:hAnsi="新宋体" w:eastAsia="新宋体" w:cs="新宋体"/>
                <w:b/>
                <w:bCs/>
                <w:i w:val="0"/>
                <w:iCs w:val="0"/>
                <w:color w:val="auto"/>
                <w:kern w:val="0"/>
                <w:sz w:val="22"/>
                <w:szCs w:val="22"/>
                <w:highlight w:val="none"/>
                <w:u w:val="none"/>
                <w:lang w:val="en-US" w:eastAsia="zh-CN" w:bidi="ar"/>
              </w:rPr>
              <w:t>时间要求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kern w:val="0"/>
                <w:sz w:val="22"/>
                <w:szCs w:val="22"/>
                <w:highlight w:val="none"/>
                <w:u w:val="none"/>
                <w:lang w:val="en-US" w:eastAsia="zh-CN" w:bidi="ar"/>
              </w:rPr>
              <w:t>1</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sz w:val="22"/>
                <w:szCs w:val="22"/>
                <w:highlight w:val="none"/>
                <w:u w:val="none"/>
              </w:rPr>
              <w:t>温州市第七人民医院202</w:t>
            </w:r>
            <w:r>
              <w:rPr>
                <w:rFonts w:hint="eastAsia" w:ascii="新宋体" w:hAnsi="新宋体" w:eastAsia="新宋体" w:cs="新宋体"/>
                <w:i w:val="0"/>
                <w:iCs w:val="0"/>
                <w:color w:val="auto"/>
                <w:sz w:val="22"/>
                <w:szCs w:val="22"/>
                <w:highlight w:val="none"/>
                <w:u w:val="none"/>
                <w:lang w:val="en-US" w:eastAsia="zh-CN"/>
              </w:rPr>
              <w:t>4</w:t>
            </w:r>
            <w:r>
              <w:rPr>
                <w:rFonts w:hint="eastAsia" w:ascii="新宋体" w:hAnsi="新宋体" w:eastAsia="新宋体" w:cs="新宋体"/>
                <w:i w:val="0"/>
                <w:iCs w:val="0"/>
                <w:color w:val="auto"/>
                <w:sz w:val="22"/>
                <w:szCs w:val="22"/>
                <w:highlight w:val="none"/>
                <w:u w:val="none"/>
              </w:rPr>
              <w:t>职工疗休养</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kern w:val="0"/>
                <w:sz w:val="22"/>
                <w:szCs w:val="22"/>
                <w:highlight w:val="none"/>
                <w:u w:val="none"/>
                <w:lang w:val="en-US" w:eastAsia="zh-CN" w:bidi="ar"/>
              </w:rPr>
              <w:t>温州市域内市级疗休养基地、浙江国家生态旅游协作区</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kern w:val="0"/>
                <w:sz w:val="22"/>
                <w:szCs w:val="22"/>
                <w:highlight w:val="none"/>
                <w:u w:val="none"/>
                <w:lang w:val="en-US" w:eastAsia="zh-CN" w:bidi="ar"/>
              </w:rPr>
              <w:t>疗休养时间为共5天，3个工作日+2天周末。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kern w:val="0"/>
                <w:sz w:val="22"/>
                <w:szCs w:val="22"/>
                <w:highlight w:val="none"/>
                <w:u w:val="none"/>
                <w:lang w:val="en-US" w:eastAsia="zh-CN" w:bidi="ar"/>
              </w:rPr>
              <w:t>皖闽赣国家生态旅游协作区，长三角地区</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kern w:val="0"/>
                <w:sz w:val="22"/>
                <w:szCs w:val="22"/>
                <w:highlight w:val="none"/>
                <w:u w:val="none"/>
                <w:lang w:val="en-US" w:eastAsia="zh-CN" w:bidi="ar"/>
              </w:rPr>
              <w:t>本市东西部协助、对口支援（合作）地区（新疆阿克苏地区、青海省格尔木市、西藏那曲地区嘉黎县、四川省南充市、阿坝州、 重庆市涪陵区、吉林省吉林市）</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r>
    </w:tbl>
    <w:p>
      <w:pPr>
        <w:tabs>
          <w:tab w:val="left" w:pos="360"/>
        </w:tabs>
        <w:spacing w:line="440" w:lineRule="exact"/>
        <w:ind w:firstLine="552" w:firstLineChars="250"/>
        <w:rPr>
          <w:rFonts w:ascii="宋体" w:hAnsi="宋体" w:cs="宋体"/>
          <w:b/>
          <w:bCs/>
          <w:color w:val="auto"/>
          <w:sz w:val="22"/>
          <w:highlight w:val="none"/>
        </w:rPr>
      </w:pPr>
      <w:r>
        <w:rPr>
          <w:rFonts w:hint="eastAsia" w:ascii="新宋体" w:hAnsi="新宋体" w:eastAsia="新宋体" w:cs="新宋体"/>
          <w:b/>
          <w:bCs/>
          <w:color w:val="auto"/>
          <w:sz w:val="22"/>
          <w:szCs w:val="22"/>
          <w:highlight w:val="none"/>
        </w:rPr>
        <w:t>详见招标文件第四部分“项目技术规范和服务要求”</w:t>
      </w:r>
    </w:p>
    <w:p>
      <w:pPr>
        <w:tabs>
          <w:tab w:val="left" w:pos="360"/>
        </w:tabs>
        <w:spacing w:line="4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二、申请人的资格要求：</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1、符合《中华人民共和国政府采购法》第二十二条的规定：</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（1）具有独立承担民事责任的能力；</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（2）具有良好的商业信誉和健全的财务会计制度；</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（3）具有履行合同所必需的场地、设备和专业技术能力；</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（4）有依法缴纳税收和社会保障资金的良好记录；</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（5）参加采购活动前三年内，在经营活动中没有重大违法记录；</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2、投标人特定资格条件：</w:t>
      </w:r>
    </w:p>
    <w:p>
      <w:pPr>
        <w:tabs>
          <w:tab w:val="left" w:pos="360"/>
        </w:tabs>
        <w:spacing w:line="44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（1）投标人具有有效的《旅行社业务经营许可证》</w:t>
      </w:r>
    </w:p>
    <w:p>
      <w:pPr>
        <w:tabs>
          <w:tab w:val="left" w:pos="360"/>
        </w:tabs>
        <w:spacing w:line="44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（2）未被“信用中国”（www.creditchina.gov.cn）、中国政府采购网（www.ccgp.gov.cn）列入失信被执行人、重大税收违法案件当事人名单、政府采购严重违法失信行为记录名单；</w:t>
      </w:r>
    </w:p>
    <w:p>
      <w:pPr>
        <w:tabs>
          <w:tab w:val="left" w:pos="360"/>
        </w:tabs>
        <w:spacing w:line="44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（3）单位负责人为同一人或者存在直接控股、管理关系的不同供应商，不得参加同一合同项下的采购活动。违反该款规定的，相关投标均无效；</w:t>
      </w:r>
    </w:p>
    <w:p>
      <w:pPr>
        <w:tabs>
          <w:tab w:val="left" w:pos="360"/>
        </w:tabs>
        <w:spacing w:line="460" w:lineRule="exact"/>
        <w:ind w:firstLine="550" w:firstLineChars="250"/>
        <w:rPr>
          <w:rFonts w:ascii="宋体" w:hAnsi="宋体" w:cs="宋体"/>
          <w:color w:val="auto"/>
          <w:sz w:val="22"/>
          <w:highlight w:val="none"/>
        </w:rPr>
      </w:pPr>
      <w:r>
        <w:rPr>
          <w:rFonts w:hint="eastAsia" w:ascii="新宋体" w:hAnsi="新宋体" w:eastAsia="新宋体" w:cs="新宋体"/>
          <w:color w:val="auto"/>
          <w:sz w:val="22"/>
          <w:highlight w:val="none"/>
        </w:rPr>
        <w:t>（4）不允许联合体投标。</w:t>
      </w:r>
    </w:p>
    <w:p>
      <w:pPr>
        <w:tabs>
          <w:tab w:val="left" w:pos="360"/>
        </w:tabs>
        <w:spacing w:line="460" w:lineRule="exact"/>
        <w:ind w:firstLine="552" w:firstLineChars="250"/>
        <w:rPr>
          <w:rFonts w:ascii="宋体" w:hAnsi="宋体" w:cs="宋体"/>
          <w:b/>
          <w:bCs/>
          <w:color w:val="auto"/>
          <w:sz w:val="22"/>
          <w:highlight w:val="none"/>
        </w:rPr>
      </w:pPr>
      <w:r>
        <w:rPr>
          <w:rFonts w:hint="eastAsia" w:ascii="宋体" w:hAnsi="宋体" w:cs="宋体"/>
          <w:b/>
          <w:bCs/>
          <w:color w:val="auto"/>
          <w:sz w:val="22"/>
          <w:highlight w:val="none"/>
        </w:rPr>
        <w:t>三、获取招标文件</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时间：</w:t>
      </w:r>
      <w:r>
        <w:rPr>
          <w:rFonts w:hint="eastAsia" w:ascii="宋体" w:hAnsi="宋体" w:cs="宋体"/>
          <w:color w:val="auto"/>
          <w:sz w:val="22"/>
          <w:highlight w:val="none"/>
          <w:lang w:val="en-US" w:eastAsia="zh-CN"/>
        </w:rPr>
        <w:t>2024年4月25日</w:t>
      </w:r>
      <w:r>
        <w:rPr>
          <w:rFonts w:hint="eastAsia" w:ascii="宋体" w:hAnsi="宋体" w:cs="宋体"/>
          <w:color w:val="auto"/>
          <w:sz w:val="22"/>
          <w:highlight w:val="none"/>
        </w:rPr>
        <w:t>至2024年</w:t>
      </w:r>
      <w:r>
        <w:rPr>
          <w:rFonts w:hint="eastAsia" w:ascii="宋体" w:hAnsi="宋体" w:cs="宋体"/>
          <w:color w:val="auto"/>
          <w:sz w:val="22"/>
          <w:highlight w:val="none"/>
          <w:lang w:val="en-US" w:eastAsia="zh-CN"/>
        </w:rPr>
        <w:t>5</w:t>
      </w:r>
      <w:r>
        <w:rPr>
          <w:rFonts w:hint="eastAsia" w:ascii="宋体" w:hAnsi="宋体" w:cs="宋体"/>
          <w:color w:val="auto"/>
          <w:sz w:val="22"/>
          <w:highlight w:val="none"/>
        </w:rPr>
        <w:t>月</w:t>
      </w:r>
      <w:r>
        <w:rPr>
          <w:rFonts w:hint="eastAsia" w:ascii="宋体" w:hAnsi="宋体" w:cs="宋体"/>
          <w:color w:val="auto"/>
          <w:sz w:val="22"/>
          <w:highlight w:val="none"/>
          <w:lang w:val="en-US" w:eastAsia="zh-CN"/>
        </w:rPr>
        <w:t>16</w:t>
      </w:r>
      <w:r>
        <w:rPr>
          <w:rFonts w:hint="eastAsia" w:ascii="宋体" w:hAnsi="宋体" w:cs="宋体"/>
          <w:color w:val="auto"/>
          <w:sz w:val="22"/>
          <w:highlight w:val="none"/>
        </w:rPr>
        <w:t>日，每天上午08:30至11:30，下午14:00至17:30（北京时间，线上获取法定节假日均可，线下获取文件法定节假日除外）</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地点（网址）：政采云（http://zfcg.czt.zj.gov.cn） </w:t>
      </w:r>
    </w:p>
    <w:p>
      <w:pPr>
        <w:tabs>
          <w:tab w:val="left" w:pos="360"/>
        </w:tabs>
        <w:spacing w:line="460" w:lineRule="exact"/>
        <w:ind w:firstLine="552" w:firstLineChars="250"/>
        <w:rPr>
          <w:rFonts w:ascii="宋体" w:hAnsi="宋体" w:cs="宋体"/>
          <w:b/>
          <w:bCs/>
          <w:color w:val="auto"/>
          <w:sz w:val="22"/>
          <w:highlight w:val="none"/>
        </w:rPr>
      </w:pPr>
      <w:r>
        <w:rPr>
          <w:rFonts w:hint="eastAsia" w:ascii="宋体" w:hAnsi="宋体" w:cs="宋体"/>
          <w:b/>
          <w:bCs/>
          <w:color w:val="auto"/>
          <w:sz w:val="22"/>
          <w:highlight w:val="none"/>
        </w:rPr>
        <w:t>获取方式：</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1、本项目招标文件实行“政府采购云平台”在线获取，不提供招标文件纸质版。供应商获取招标文件前应先完成“政府采购云平台”的账号注册；</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2、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3、供应商获取招标文件时须提交的文件资料：无；</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4、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tabs>
          <w:tab w:val="left" w:pos="360"/>
        </w:tabs>
        <w:spacing w:line="460" w:lineRule="exact"/>
        <w:ind w:firstLine="552" w:firstLineChars="250"/>
        <w:rPr>
          <w:rFonts w:ascii="宋体" w:hAnsi="宋体" w:cs="宋体"/>
          <w:b/>
          <w:bCs/>
          <w:color w:val="auto"/>
          <w:sz w:val="22"/>
          <w:highlight w:val="none"/>
        </w:rPr>
      </w:pPr>
      <w:r>
        <w:rPr>
          <w:rFonts w:hint="eastAsia" w:ascii="宋体" w:hAnsi="宋体" w:cs="宋体"/>
          <w:b/>
          <w:bCs/>
          <w:color w:val="auto"/>
          <w:sz w:val="22"/>
          <w:highlight w:val="none"/>
        </w:rPr>
        <w:t>注：请供应商按上述要求获取招标文件，如未在“政采云”系统内完成相关流程，引起的投标无效责任自负。</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售价（元）：0 </w:t>
      </w:r>
    </w:p>
    <w:p>
      <w:pPr>
        <w:tabs>
          <w:tab w:val="left" w:pos="360"/>
        </w:tabs>
        <w:spacing w:line="460" w:lineRule="exact"/>
        <w:ind w:firstLine="552" w:firstLineChars="250"/>
        <w:rPr>
          <w:rFonts w:ascii="宋体" w:hAnsi="宋体" w:cs="宋体"/>
          <w:b/>
          <w:bCs/>
          <w:color w:val="auto"/>
          <w:sz w:val="22"/>
          <w:highlight w:val="none"/>
        </w:rPr>
      </w:pPr>
      <w:r>
        <w:rPr>
          <w:rFonts w:hint="eastAsia" w:ascii="宋体" w:hAnsi="宋体" w:cs="宋体"/>
          <w:b/>
          <w:bCs/>
          <w:color w:val="auto"/>
          <w:sz w:val="22"/>
          <w:highlight w:val="none"/>
        </w:rPr>
        <w:t>四、提交投标文件截止时间、开标时间和地点</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提交投标文件截止时间：2024年</w:t>
      </w:r>
      <w:r>
        <w:rPr>
          <w:rFonts w:hint="eastAsia" w:ascii="宋体" w:hAnsi="宋体" w:cs="宋体"/>
          <w:color w:val="auto"/>
          <w:sz w:val="22"/>
          <w:highlight w:val="none"/>
          <w:lang w:val="en-US" w:eastAsia="zh-CN"/>
        </w:rPr>
        <w:t>5</w:t>
      </w:r>
      <w:r>
        <w:rPr>
          <w:rFonts w:hint="eastAsia" w:ascii="宋体" w:hAnsi="宋体" w:cs="宋体"/>
          <w:color w:val="auto"/>
          <w:sz w:val="22"/>
          <w:highlight w:val="none"/>
        </w:rPr>
        <w:t>月</w:t>
      </w:r>
      <w:r>
        <w:rPr>
          <w:rFonts w:hint="eastAsia" w:ascii="宋体" w:hAnsi="宋体" w:cs="宋体"/>
          <w:color w:val="auto"/>
          <w:sz w:val="22"/>
          <w:highlight w:val="none"/>
          <w:lang w:val="en-US" w:eastAsia="zh-CN"/>
        </w:rPr>
        <w:t>16</w:t>
      </w:r>
      <w:r>
        <w:rPr>
          <w:rFonts w:hint="eastAsia" w:ascii="宋体" w:hAnsi="宋体" w:cs="宋体"/>
          <w:color w:val="auto"/>
          <w:sz w:val="22"/>
          <w:highlight w:val="none"/>
        </w:rPr>
        <w:t>日</w:t>
      </w:r>
      <w:r>
        <w:rPr>
          <w:rFonts w:hint="eastAsia" w:ascii="宋体" w:hAnsi="宋体" w:cs="宋体"/>
          <w:color w:val="auto"/>
          <w:sz w:val="22"/>
          <w:highlight w:val="none"/>
          <w:lang w:val="en-US" w:eastAsia="zh-CN"/>
        </w:rPr>
        <w:t xml:space="preserve"> 09</w:t>
      </w:r>
      <w:r>
        <w:rPr>
          <w:rFonts w:hint="eastAsia" w:ascii="宋体" w:hAnsi="宋体" w:cs="宋体"/>
          <w:color w:val="auto"/>
          <w:sz w:val="22"/>
          <w:highlight w:val="none"/>
        </w:rPr>
        <w:t>:30（北京时间）  </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投标地点（网址）：</w:t>
      </w:r>
      <w:r>
        <w:rPr>
          <w:rFonts w:hint="eastAsia" w:ascii="新宋体" w:hAnsi="新宋体" w:eastAsia="新宋体" w:cs="新宋体"/>
          <w:color w:val="auto"/>
          <w:sz w:val="22"/>
          <w:highlight w:val="none"/>
        </w:rPr>
        <w:t>温州市鹿城区南汇街道勤民路鹿城壹号18幢803室（政采云平台http://zfcg.czt.zj.gov.cn）</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开标时间：2024年</w:t>
      </w:r>
      <w:r>
        <w:rPr>
          <w:rFonts w:hint="eastAsia" w:ascii="宋体" w:hAnsi="宋体" w:cs="宋体"/>
          <w:color w:val="auto"/>
          <w:sz w:val="22"/>
          <w:highlight w:val="none"/>
          <w:lang w:val="en-US" w:eastAsia="zh-CN"/>
        </w:rPr>
        <w:t>5</w:t>
      </w:r>
      <w:r>
        <w:rPr>
          <w:rFonts w:hint="eastAsia" w:ascii="宋体" w:hAnsi="宋体" w:cs="宋体"/>
          <w:color w:val="auto"/>
          <w:sz w:val="22"/>
          <w:highlight w:val="none"/>
        </w:rPr>
        <w:t>月</w:t>
      </w:r>
      <w:r>
        <w:rPr>
          <w:rFonts w:hint="eastAsia" w:ascii="宋体" w:hAnsi="宋体" w:cs="宋体"/>
          <w:color w:val="auto"/>
          <w:sz w:val="22"/>
          <w:highlight w:val="none"/>
          <w:lang w:val="en-US" w:eastAsia="zh-CN"/>
        </w:rPr>
        <w:t>16</w:t>
      </w:r>
      <w:r>
        <w:rPr>
          <w:rFonts w:hint="eastAsia" w:ascii="宋体" w:hAnsi="宋体" w:cs="宋体"/>
          <w:color w:val="auto"/>
          <w:sz w:val="22"/>
          <w:highlight w:val="none"/>
        </w:rPr>
        <w:t>日</w:t>
      </w:r>
      <w:r>
        <w:rPr>
          <w:rFonts w:hint="eastAsia" w:ascii="宋体" w:hAnsi="宋体" w:cs="宋体"/>
          <w:color w:val="auto"/>
          <w:sz w:val="22"/>
          <w:highlight w:val="none"/>
          <w:lang w:val="en-US" w:eastAsia="zh-CN"/>
        </w:rPr>
        <w:t xml:space="preserve"> 09</w:t>
      </w:r>
      <w:r>
        <w:rPr>
          <w:rFonts w:hint="eastAsia" w:ascii="宋体" w:hAnsi="宋体" w:cs="宋体"/>
          <w:color w:val="auto"/>
          <w:sz w:val="22"/>
          <w:highlight w:val="none"/>
        </w:rPr>
        <w:t>:30（北京时间） </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开标地点（网址）：</w:t>
      </w:r>
      <w:r>
        <w:rPr>
          <w:rFonts w:hint="eastAsia" w:ascii="新宋体" w:hAnsi="新宋体" w:eastAsia="新宋体" w:cs="新宋体"/>
          <w:color w:val="auto"/>
          <w:sz w:val="22"/>
          <w:highlight w:val="none"/>
        </w:rPr>
        <w:t>温州市鹿城区南汇街道勤民路鹿城壹号18幢803室（政采云平台http://zfcg.czt.zj.gov.cn）</w:t>
      </w:r>
    </w:p>
    <w:p>
      <w:pPr>
        <w:tabs>
          <w:tab w:val="left" w:pos="360"/>
        </w:tabs>
        <w:spacing w:line="460" w:lineRule="exact"/>
        <w:ind w:firstLine="552" w:firstLineChars="250"/>
        <w:rPr>
          <w:rFonts w:ascii="宋体" w:hAnsi="宋体" w:cs="宋体"/>
          <w:b/>
          <w:bCs/>
          <w:color w:val="auto"/>
          <w:sz w:val="22"/>
          <w:highlight w:val="none"/>
        </w:rPr>
      </w:pPr>
      <w:r>
        <w:rPr>
          <w:rFonts w:hint="eastAsia" w:ascii="宋体" w:hAnsi="宋体" w:cs="宋体"/>
          <w:b/>
          <w:bCs/>
          <w:color w:val="auto"/>
          <w:sz w:val="22"/>
          <w:highlight w:val="none"/>
        </w:rPr>
        <w:t>五、公告期限</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自本公告发布之日起5个工作日。</w:t>
      </w:r>
    </w:p>
    <w:p>
      <w:pPr>
        <w:tabs>
          <w:tab w:val="left" w:pos="360"/>
        </w:tabs>
        <w:spacing w:line="460" w:lineRule="exact"/>
        <w:ind w:firstLine="552" w:firstLineChars="250"/>
        <w:rPr>
          <w:rFonts w:ascii="宋体" w:hAnsi="宋体" w:cs="宋体"/>
          <w:b/>
          <w:bCs/>
          <w:color w:val="auto"/>
          <w:sz w:val="22"/>
          <w:highlight w:val="none"/>
        </w:rPr>
      </w:pPr>
      <w:r>
        <w:rPr>
          <w:rFonts w:hint="eastAsia" w:ascii="宋体" w:hAnsi="宋体" w:cs="宋体"/>
          <w:b/>
          <w:bCs/>
          <w:color w:val="auto"/>
          <w:sz w:val="22"/>
          <w:highlight w:val="none"/>
        </w:rPr>
        <w:t>六、其他补充事宜</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1、供应商认为招标文件使自己的权益受到损害的，可以自获取到招标文件之日（公告期限截止日之后获取到招标文件的，以公告期限截止日起算）起7个工作日内，</w:t>
      </w:r>
      <w:r>
        <w:rPr>
          <w:rFonts w:hint="eastAsia" w:ascii="宋体" w:hAnsi="宋体" w:cs="宋体"/>
          <w:color w:val="auto"/>
          <w:sz w:val="22"/>
          <w:szCs w:val="22"/>
          <w:highlight w:val="none"/>
        </w:rPr>
        <w:t>且应当在投标截止时间之前</w:t>
      </w:r>
      <w:r>
        <w:rPr>
          <w:rFonts w:hint="eastAsia" w:ascii="宋体" w:hAnsi="宋体" w:cs="宋体"/>
          <w:color w:val="auto"/>
          <w:sz w:val="22"/>
          <w:highlight w:val="none"/>
        </w:rPr>
        <w:t>以书面形式向招标人和招标代理机构提出质疑。质疑供应商对招标人、招标代理机构的答复不满意或者招标人、招标代理机构未在规定的时间内作出答复的，可以在答复期满后十五个工作日内向采购监督管理部门投诉。</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2、本项目对符合财政扶持政策的中小企业（小型、微型）、监狱企业、残疾人福利性单位给予价格优惠扶持，执行节能产品政府强制采购和优先采购政策，执行环境标志产品政府优先采购政策。</w:t>
      </w:r>
    </w:p>
    <w:p>
      <w:pPr>
        <w:tabs>
          <w:tab w:val="left" w:pos="360"/>
        </w:tabs>
        <w:spacing w:line="460" w:lineRule="exact"/>
        <w:ind w:firstLine="550" w:firstLineChars="250"/>
        <w:rPr>
          <w:rFonts w:ascii="宋体" w:hAnsi="宋体" w:cs="宋体"/>
          <w:color w:val="auto"/>
          <w:sz w:val="22"/>
          <w:szCs w:val="22"/>
          <w:highlight w:val="none"/>
        </w:rPr>
      </w:pPr>
      <w:r>
        <w:rPr>
          <w:rFonts w:hint="eastAsia" w:ascii="宋体" w:hAnsi="宋体" w:cs="宋体"/>
          <w:color w:val="auto"/>
          <w:sz w:val="22"/>
          <w:szCs w:val="22"/>
          <w:highlight w:val="none"/>
        </w:rPr>
        <w:t>七、对本次招标提出询问，请按以下方式联系。　　　　　　　　　　　　</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1.采购人信息</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名  称：温州市第七人民医院     　　</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联系人： 邹先生</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 xml:space="preserve">电话： 0577-89870153 </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2.采购代理机构信息</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名  称：温州历程招标有限公司 </w:t>
      </w:r>
    </w:p>
    <w:p>
      <w:pPr>
        <w:spacing w:line="420" w:lineRule="exact"/>
        <w:ind w:firstLine="440" w:firstLineChars="200"/>
        <w:rPr>
          <w:rFonts w:hint="eastAsia" w:ascii="新宋体" w:hAnsi="新宋体" w:eastAsia="新宋体" w:cs="新宋体"/>
          <w:color w:val="auto"/>
          <w:sz w:val="22"/>
          <w:highlight w:val="none"/>
          <w:lang w:eastAsia="zh-CN"/>
        </w:rPr>
      </w:pPr>
      <w:r>
        <w:rPr>
          <w:rFonts w:hint="eastAsia" w:ascii="新宋体" w:hAnsi="新宋体" w:eastAsia="新宋体" w:cs="新宋体"/>
          <w:color w:val="auto"/>
          <w:sz w:val="22"/>
          <w:highlight w:val="none"/>
        </w:rPr>
        <w:t>地  址：</w:t>
      </w:r>
      <w:r>
        <w:rPr>
          <w:rFonts w:hint="eastAsia" w:ascii="新宋体" w:hAnsi="新宋体" w:eastAsia="新宋体" w:cs="新宋体"/>
          <w:color w:val="auto"/>
          <w:sz w:val="22"/>
          <w:highlight w:val="none"/>
          <w:lang w:eastAsia="zh-CN"/>
        </w:rPr>
        <w:t>温州市鹿城区南汇街道勤民路鹿城壹号18幢803室</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 xml:space="preserve">传  真：0577-89887255   </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项目联系人： 张斌、郑永强 </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项目联系方式：0577-89887322、13757727199</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质疑联系人：肖忠文</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质疑联系方式：13757727199 </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3.同级政府采购监督管理部门</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名   称：温州市卫生健康委员会       </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地   址：温州市市府路490号市行政中心18号楼7楼717室</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联系人 ：王先生</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监督投诉电话：0577-88580125</w:t>
      </w:r>
    </w:p>
    <w:p>
      <w:pPr>
        <w:pStyle w:val="47"/>
        <w:spacing w:before="0" w:beforeAutospacing="0" w:after="0" w:afterAutospacing="0" w:line="460" w:lineRule="exact"/>
        <w:rPr>
          <w:color w:val="auto"/>
          <w:sz w:val="22"/>
          <w:szCs w:val="22"/>
          <w:highlight w:val="none"/>
        </w:rPr>
      </w:pPr>
    </w:p>
    <w:p>
      <w:pPr>
        <w:keepNext/>
        <w:keepLines/>
        <w:rPr>
          <w:color w:val="auto"/>
          <w:highlight w:val="none"/>
        </w:rPr>
      </w:pPr>
    </w:p>
    <w:p>
      <w:pPr>
        <w:spacing w:line="440" w:lineRule="exact"/>
        <w:jc w:val="right"/>
        <w:rPr>
          <w:rFonts w:hint="eastAsia" w:ascii="宋体" w:hAnsi="宋体" w:eastAsia="宋体" w:cs="宋体"/>
          <w:color w:val="auto"/>
          <w:kern w:val="0"/>
          <w:sz w:val="22"/>
          <w:highlight w:val="none"/>
          <w:lang w:eastAsia="zh-CN"/>
        </w:rPr>
      </w:pPr>
      <w:r>
        <w:rPr>
          <w:rFonts w:hint="eastAsia" w:ascii="宋体" w:hAnsi="宋体" w:cs="宋体"/>
          <w:color w:val="auto"/>
          <w:sz w:val="22"/>
          <w:highlight w:val="none"/>
          <w:lang w:eastAsia="zh-CN"/>
        </w:rPr>
        <w:t>温州市第七人民医院</w:t>
      </w:r>
    </w:p>
    <w:p>
      <w:pPr>
        <w:spacing w:line="440" w:lineRule="exact"/>
        <w:jc w:val="right"/>
        <w:rPr>
          <w:rFonts w:ascii="宋体" w:hAnsi="宋体" w:cs="宋体"/>
          <w:color w:val="auto"/>
          <w:sz w:val="22"/>
          <w:highlight w:val="none"/>
        </w:rPr>
      </w:pPr>
      <w:r>
        <w:rPr>
          <w:rFonts w:hint="eastAsia" w:ascii="宋体" w:hAnsi="宋体" w:cs="宋体"/>
          <w:color w:val="auto"/>
          <w:sz w:val="22"/>
          <w:highlight w:val="none"/>
        </w:rPr>
        <w:t>温州历程招标有限公司</w:t>
      </w:r>
    </w:p>
    <w:p>
      <w:pPr>
        <w:wordWrap w:val="0"/>
        <w:spacing w:line="440" w:lineRule="exact"/>
        <w:jc w:val="right"/>
        <w:rPr>
          <w:rFonts w:ascii="宋体" w:hAnsi="宋体" w:cs="宋体"/>
          <w:color w:val="auto"/>
          <w:sz w:val="22"/>
          <w:highlight w:val="none"/>
        </w:rPr>
      </w:pPr>
      <w:r>
        <w:rPr>
          <w:rFonts w:hint="eastAsia" w:ascii="宋体" w:hAnsi="宋体" w:cs="宋体"/>
          <w:color w:val="auto"/>
          <w:sz w:val="22"/>
          <w:highlight w:val="none"/>
        </w:rPr>
        <w:t>2024年</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 </w:t>
      </w:r>
    </w:p>
    <w:p>
      <w:pPr>
        <w:rPr>
          <w:rFonts w:ascii="宋体" w:hAnsi="宋体" w:cs="宋体"/>
          <w:color w:val="auto"/>
          <w:highlight w:val="none"/>
        </w:rPr>
      </w:pPr>
    </w:p>
    <w:p>
      <w:pPr>
        <w:rPr>
          <w:rFonts w:ascii="宋体" w:hAnsi="宋体" w:cs="宋体"/>
          <w:b/>
          <w:color w:val="auto"/>
          <w:sz w:val="30"/>
          <w:highlight w:val="none"/>
        </w:rPr>
      </w:pPr>
    </w:p>
    <w:p>
      <w:pPr>
        <w:rPr>
          <w:rFonts w:ascii="宋体" w:hAnsi="宋体" w:cs="宋体"/>
          <w:color w:val="auto"/>
          <w:highlight w:val="none"/>
        </w:rPr>
      </w:pPr>
      <w:bookmarkStart w:id="2" w:name="_Toc5772"/>
      <w:bookmarkStart w:id="3" w:name="_Toc10401"/>
      <w:r>
        <w:rPr>
          <w:rFonts w:hint="eastAsia" w:ascii="宋体" w:hAnsi="宋体" w:cs="宋体"/>
          <w:color w:val="auto"/>
          <w:highlight w:val="none"/>
        </w:rPr>
        <w:br w:type="page"/>
      </w:r>
    </w:p>
    <w:p>
      <w:pPr>
        <w:pStyle w:val="2"/>
        <w:rPr>
          <w:rFonts w:ascii="宋体" w:hAnsi="宋体" w:eastAsia="宋体" w:cs="宋体"/>
          <w:color w:val="auto"/>
          <w:highlight w:val="none"/>
        </w:rPr>
      </w:pPr>
      <w:r>
        <w:rPr>
          <w:rFonts w:hint="eastAsia" w:ascii="宋体" w:hAnsi="宋体" w:eastAsia="宋体" w:cs="宋体"/>
          <w:color w:val="auto"/>
          <w:highlight w:val="none"/>
        </w:rPr>
        <w:t>第一部分    投标人须知</w:t>
      </w:r>
      <w:bookmarkEnd w:id="2"/>
      <w:bookmarkEnd w:id="3"/>
    </w:p>
    <w:p>
      <w:pPr>
        <w:keepNext/>
        <w:keepLines/>
        <w:shd w:val="clear" w:color="auto" w:fill="FFFFFF"/>
        <w:tabs>
          <w:tab w:val="left" w:pos="706"/>
        </w:tabs>
        <w:snapToGrid w:val="0"/>
        <w:spacing w:line="360" w:lineRule="auto"/>
        <w:jc w:val="center"/>
        <w:outlineLvl w:val="1"/>
        <w:rPr>
          <w:rFonts w:ascii="宋体" w:hAnsi="宋体" w:cs="宋体"/>
          <w:b/>
          <w:bCs/>
          <w:color w:val="auto"/>
          <w:sz w:val="24"/>
          <w:highlight w:val="none"/>
        </w:rPr>
      </w:pPr>
      <w:bookmarkStart w:id="4" w:name="_Toc1839"/>
      <w:bookmarkStart w:id="5" w:name="_Toc33194387"/>
      <w:bookmarkStart w:id="6" w:name="_Toc6224"/>
      <w:bookmarkStart w:id="7" w:name="_Toc354996695"/>
      <w:bookmarkStart w:id="8" w:name="_Toc233618971"/>
      <w:r>
        <w:rPr>
          <w:rFonts w:hint="eastAsia" w:ascii="宋体" w:hAnsi="宋体" w:cs="宋体"/>
          <w:b/>
          <w:bCs/>
          <w:color w:val="auto"/>
          <w:sz w:val="24"/>
          <w:highlight w:val="none"/>
        </w:rPr>
        <w:t>前 附 表</w:t>
      </w:r>
      <w:bookmarkEnd w:id="4"/>
      <w:bookmarkEnd w:id="5"/>
      <w:bookmarkEnd w:id="6"/>
      <w:bookmarkEnd w:id="7"/>
      <w:bookmarkEnd w:id="8"/>
    </w:p>
    <w:tbl>
      <w:tblPr>
        <w:tblStyle w:val="52"/>
        <w:tblW w:w="103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85"/>
        <w:gridCol w:w="9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8"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条款</w:t>
            </w:r>
          </w:p>
        </w:tc>
        <w:tc>
          <w:tcPr>
            <w:tcW w:w="9590" w:type="dxa"/>
            <w:tcBorders>
              <w:top w:val="single" w:color="000000" w:sz="8" w:space="0"/>
              <w:left w:val="single" w:color="000000" w:sz="2" w:space="0"/>
              <w:bottom w:val="single" w:color="000000" w:sz="2" w:space="0"/>
              <w:right w:val="single" w:color="000000" w:sz="8"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18" w:hRule="atLeast"/>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1</w:t>
            </w:r>
          </w:p>
        </w:tc>
        <w:tc>
          <w:tcPr>
            <w:tcW w:w="9590" w:type="dxa"/>
            <w:tcBorders>
              <w:top w:val="single" w:color="000000" w:sz="2" w:space="0"/>
              <w:left w:val="single" w:color="000000" w:sz="2" w:space="0"/>
              <w:bottom w:val="single" w:color="000000" w:sz="2" w:space="0"/>
              <w:right w:val="single" w:color="000000" w:sz="8" w:space="0"/>
            </w:tcBorders>
          </w:tcPr>
          <w:p>
            <w:pPr>
              <w:tabs>
                <w:tab w:val="left" w:pos="3780"/>
              </w:tabs>
              <w:snapToGrid w:val="0"/>
              <w:spacing w:line="460" w:lineRule="exact"/>
              <w:rPr>
                <w:rFonts w:hint="eastAsia" w:ascii="宋体" w:hAnsi="宋体" w:eastAsia="宋体" w:cs="宋体"/>
                <w:color w:val="auto"/>
                <w:sz w:val="22"/>
                <w:szCs w:val="22"/>
                <w:highlight w:val="none"/>
                <w:lang w:eastAsia="zh-CN"/>
              </w:rPr>
            </w:pPr>
            <w:r>
              <w:rPr>
                <w:rFonts w:hint="eastAsia" w:ascii="宋体" w:hAnsi="宋体" w:cs="宋体"/>
                <w:b/>
                <w:bCs/>
                <w:color w:val="auto"/>
                <w:sz w:val="22"/>
                <w:szCs w:val="22"/>
                <w:highlight w:val="none"/>
              </w:rPr>
              <w:t>一、项目名称</w:t>
            </w:r>
            <w:r>
              <w:rPr>
                <w:rFonts w:hint="eastAsia" w:ascii="宋体" w:hAnsi="宋体" w:cs="宋体"/>
                <w:color w:val="auto"/>
                <w:sz w:val="22"/>
                <w:szCs w:val="22"/>
                <w:highlight w:val="none"/>
              </w:rPr>
              <w:t>：</w:t>
            </w:r>
            <w:r>
              <w:rPr>
                <w:rFonts w:hint="eastAsia" w:ascii="宋体" w:hAnsi="宋体" w:cs="宋体"/>
                <w:color w:val="auto"/>
                <w:sz w:val="22"/>
                <w:szCs w:val="22"/>
                <w:highlight w:val="none"/>
                <w:lang w:eastAsia="zh-CN"/>
              </w:rPr>
              <w:t>温州市第七人民医院2024职工疗休养</w:t>
            </w:r>
          </w:p>
          <w:p>
            <w:pPr>
              <w:spacing w:line="460" w:lineRule="exact"/>
              <w:rPr>
                <w:rFonts w:ascii="宋体" w:hAnsi="宋体" w:cs="宋体"/>
                <w:b/>
                <w:bCs/>
                <w:color w:val="auto"/>
                <w:sz w:val="22"/>
                <w:szCs w:val="22"/>
                <w:highlight w:val="none"/>
              </w:rPr>
            </w:pPr>
            <w:bookmarkStart w:id="9" w:name="_Hlt75139851"/>
            <w:bookmarkEnd w:id="9"/>
            <w:r>
              <w:rPr>
                <w:rFonts w:hint="eastAsia" w:ascii="宋体" w:hAnsi="宋体" w:cs="宋体"/>
                <w:b/>
                <w:bCs/>
                <w:color w:val="auto"/>
                <w:sz w:val="22"/>
                <w:szCs w:val="22"/>
                <w:highlight w:val="none"/>
              </w:rPr>
              <w:t>二、采购内容：</w:t>
            </w:r>
          </w:p>
          <w:tbl>
            <w:tblPr>
              <w:tblStyle w:val="52"/>
              <w:tblW w:w="9150"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7"/>
              <w:gridCol w:w="788"/>
              <w:gridCol w:w="800"/>
              <w:gridCol w:w="1200"/>
              <w:gridCol w:w="2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353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项目内容</w:t>
                  </w:r>
                </w:p>
              </w:tc>
              <w:tc>
                <w:tcPr>
                  <w:tcW w:w="78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数量</w:t>
                  </w:r>
                </w:p>
              </w:tc>
              <w:tc>
                <w:tcPr>
                  <w:tcW w:w="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单位</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预算金额（万元）</w:t>
                  </w:r>
                </w:p>
              </w:tc>
              <w:tc>
                <w:tcPr>
                  <w:tcW w:w="2825"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353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olor w:val="auto"/>
                      <w:sz w:val="22"/>
                      <w:highlight w:val="none"/>
                      <w:lang w:eastAsia="zh-CN"/>
                    </w:rPr>
                    <w:t>温州市第七人民医院2024职工疗休养</w:t>
                  </w:r>
                </w:p>
              </w:tc>
              <w:tc>
                <w:tcPr>
                  <w:tcW w:w="78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1</w:t>
                  </w:r>
                </w:p>
              </w:tc>
              <w:tc>
                <w:tcPr>
                  <w:tcW w:w="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w:t>
                  </w:r>
                </w:p>
              </w:tc>
              <w:tc>
                <w:tcPr>
                  <w:tcW w:w="1200" w:type="dxa"/>
                  <w:tcBorders>
                    <w:top w:val="single" w:color="auto" w:sz="4" w:space="0"/>
                    <w:left w:val="single" w:color="auto" w:sz="4" w:space="0"/>
                    <w:bottom w:val="single" w:color="auto" w:sz="4" w:space="0"/>
                    <w:right w:val="single" w:color="auto" w:sz="4" w:space="0"/>
                  </w:tcBorders>
                  <w:vAlign w:val="center"/>
                </w:tcPr>
                <w:p>
                  <w:pPr>
                    <w:pStyle w:val="296"/>
                    <w:snapToGrid w:val="0"/>
                    <w:spacing w:before="0" w:line="440" w:lineRule="exact"/>
                    <w:ind w:firstLine="0" w:firstLineChars="0"/>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eastAsia="zh-CN"/>
                    </w:rPr>
                    <w:t>81</w:t>
                  </w:r>
                </w:p>
              </w:tc>
              <w:tc>
                <w:tcPr>
                  <w:tcW w:w="2825" w:type="dxa"/>
                  <w:tcBorders>
                    <w:top w:val="single" w:color="auto" w:sz="4" w:space="0"/>
                    <w:left w:val="single" w:color="auto" w:sz="4" w:space="0"/>
                    <w:bottom w:val="single" w:color="auto" w:sz="4" w:space="0"/>
                  </w:tcBorders>
                  <w:vAlign w:val="center"/>
                </w:tcPr>
                <w:p>
                  <w:pPr>
                    <w:shd w:val="clear" w:color="auto" w:fill="FFFFFF"/>
                    <w:snapToGrid w:val="0"/>
                    <w:spacing w:line="44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详见招标文件第四部分“项目技术规范和服务要求”</w:t>
                  </w:r>
                </w:p>
              </w:tc>
            </w:tr>
          </w:tbl>
          <w:p>
            <w:pPr>
              <w:tabs>
                <w:tab w:val="left" w:pos="360"/>
              </w:tabs>
              <w:spacing w:line="46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2</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lang w:val="zh-CN"/>
              </w:rPr>
              <w:t>投标</w:t>
            </w:r>
            <w:r>
              <w:rPr>
                <w:rFonts w:hint="eastAsia" w:ascii="宋体" w:hAnsi="宋体" w:cs="宋体"/>
                <w:b/>
                <w:bCs/>
                <w:color w:val="auto"/>
                <w:sz w:val="22"/>
                <w:szCs w:val="22"/>
                <w:highlight w:val="none"/>
              </w:rPr>
              <w:t>有效期：</w:t>
            </w:r>
            <w:r>
              <w:rPr>
                <w:rFonts w:hint="eastAsia" w:ascii="宋体" w:hAnsi="宋体" w:cs="宋体"/>
                <w:color w:val="auto"/>
                <w:sz w:val="22"/>
                <w:szCs w:val="22"/>
                <w:highlight w:val="none"/>
              </w:rPr>
              <w:t>自投标截止日起120天。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3</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投标保证金数额：无</w:t>
            </w:r>
            <w:r>
              <w:rPr>
                <w:rFonts w:hint="eastAsia" w:ascii="宋体"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4</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招标服务费：</w:t>
            </w:r>
            <w:r>
              <w:rPr>
                <w:rFonts w:hint="eastAsia" w:ascii="宋体" w:hAnsi="宋体" w:cs="宋体"/>
                <w:b/>
                <w:bCs/>
                <w:color w:val="auto"/>
                <w:sz w:val="22"/>
                <w:highlight w:val="none"/>
              </w:rPr>
              <w:t>参照国家计委计价格【2002】1980号《招标代理服务收费管理暂行办法》规定按</w:t>
            </w:r>
            <w:r>
              <w:rPr>
                <w:rFonts w:hint="eastAsia" w:ascii="宋体" w:hAnsi="宋体" w:cs="宋体"/>
                <w:b/>
                <w:bCs/>
                <w:color w:val="auto"/>
                <w:sz w:val="22"/>
                <w:highlight w:val="none"/>
                <w:lang w:val="en-US" w:eastAsia="zh-CN"/>
              </w:rPr>
              <w:t>预算金额</w:t>
            </w:r>
            <w:r>
              <w:rPr>
                <w:rFonts w:hint="eastAsia" w:ascii="宋体" w:hAnsi="宋体" w:cs="宋体"/>
                <w:b/>
                <w:bCs/>
                <w:color w:val="auto"/>
                <w:sz w:val="22"/>
                <w:highlight w:val="none"/>
              </w:rPr>
              <w:t>的1.5%计算后下浮25%收取，由中标人领取中标通知前支付。</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户   名：温州历程招标有限公司</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账   号：33050162870409101001</w:t>
            </w:r>
          </w:p>
          <w:p>
            <w:pPr>
              <w:spacing w:line="460" w:lineRule="exact"/>
              <w:ind w:firstLine="539" w:firstLineChars="245"/>
              <w:rPr>
                <w:color w:val="auto"/>
                <w:highlight w:val="none"/>
              </w:rPr>
            </w:pPr>
            <w:r>
              <w:rPr>
                <w:rFonts w:hint="eastAsia" w:ascii="宋体" w:hAnsi="宋体" w:cs="宋体"/>
                <w:color w:val="auto"/>
                <w:sz w:val="22"/>
                <w:szCs w:val="22"/>
                <w:highlight w:val="none"/>
              </w:rPr>
              <w:t>开户行：中国建设银行温州黎明支行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5</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投标文件的组成：</w:t>
            </w:r>
            <w:r>
              <w:rPr>
                <w:rFonts w:hint="eastAsia" w:ascii="宋体" w:hAnsi="宋体" w:cs="宋体"/>
                <w:color w:val="auto"/>
                <w:sz w:val="22"/>
                <w:szCs w:val="22"/>
                <w:highlight w:val="none"/>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投标文件的编制：</w:t>
            </w:r>
            <w:r>
              <w:rPr>
                <w:rFonts w:hint="eastAsia" w:ascii="宋体" w:hAnsi="宋体" w:cs="宋体"/>
                <w:color w:val="auto"/>
                <w:sz w:val="22"/>
                <w:szCs w:val="22"/>
                <w:highlight w:val="none"/>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投标文件的签章：</w:t>
            </w:r>
            <w:r>
              <w:rPr>
                <w:rFonts w:hint="eastAsia" w:ascii="宋体" w:hAnsi="宋体" w:cs="宋体"/>
                <w:color w:val="auto"/>
                <w:sz w:val="22"/>
                <w:szCs w:val="22"/>
                <w:highlight w:val="none"/>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8</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投标文件的形式：</w:t>
            </w:r>
            <w:r>
              <w:rPr>
                <w:rFonts w:hint="eastAsia" w:ascii="宋体" w:hAnsi="宋体" w:cs="宋体"/>
                <w:color w:val="auto"/>
                <w:sz w:val="22"/>
                <w:szCs w:val="22"/>
                <w:highlight w:val="none"/>
              </w:rPr>
              <w:t>☑电子投标文件（包括“电子加密投标文件”和“备份投标文件”，在投标文件编制完成后同时生成）；</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（1）“电子加密投标文件”是指通过“政采云电子交易客户端”完成投标文件编制后生成并加密的数据电文形式的投标文件。</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9</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投标文件份数：</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“电子加密投标文件”：在线上传递交、一份。</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“备份投标文件”：密封包装后投标截止时间前递交、一份</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（若不提供备份投标文件，开标当天电子加密投标文件解密失败，投标人自行负责。）</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可以（邮寄形式，建议顺丰）在投标截止时间前递交，并需采购代理机构确认是否收到，</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邮寄地址：温州市鹿城区南汇街道勤民路鹿城壹号18幢803室</w:t>
            </w:r>
          </w:p>
          <w:p>
            <w:pPr>
              <w:spacing w:line="460" w:lineRule="exact"/>
              <w:rPr>
                <w:color w:val="auto"/>
                <w:highlight w:val="none"/>
              </w:rPr>
            </w:pPr>
            <w:r>
              <w:rPr>
                <w:rFonts w:hint="eastAsia" w:ascii="宋体" w:hAnsi="宋体" w:cs="宋体"/>
                <w:color w:val="auto"/>
                <w:sz w:val="22"/>
                <w:szCs w:val="22"/>
                <w:highlight w:val="none"/>
              </w:rPr>
              <w:t>联系人：肖宗文   联系电话：13757727199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10</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投标文件的上传和递交：</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（1）“电子加密投标文件”的上传、递交：</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a.投标人应在投标截止时间前将“电子加密投标文件”成功上传递交至“政府采购云平台”，否则投标无效。</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b.“电子加密投标文件”成功上传递交后，供应商可自行打印投标文件接收回执。</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（2）“备份投标文件”的密封包装、递交：</w:t>
            </w:r>
          </w:p>
          <w:p>
            <w:pPr>
              <w:tabs>
                <w:tab w:val="left" w:pos="360"/>
              </w:tabs>
              <w:spacing w:line="460" w:lineRule="exact"/>
              <w:rPr>
                <w:rFonts w:ascii="宋体" w:hAnsi="宋体" w:cs="宋体"/>
                <w:b/>
                <w:bCs/>
                <w:color w:val="auto"/>
                <w:sz w:val="22"/>
                <w:szCs w:val="22"/>
                <w:highlight w:val="none"/>
              </w:rPr>
            </w:pPr>
            <w:r>
              <w:rPr>
                <w:rFonts w:hint="eastAsia" w:ascii="宋体" w:hAnsi="宋体" w:cs="宋体"/>
                <w:color w:val="auto"/>
                <w:sz w:val="22"/>
                <w:szCs w:val="22"/>
                <w:highlight w:val="none"/>
              </w:rPr>
              <w:t>a.投标人在“政府采购云平台”完成“电子加密投标文件”的上传递交后，</w:t>
            </w:r>
            <w:r>
              <w:rPr>
                <w:rFonts w:hint="eastAsia" w:ascii="宋体" w:hAnsi="宋体" w:cs="宋体"/>
                <w:b/>
                <w:bCs/>
                <w:color w:val="auto"/>
                <w:sz w:val="22"/>
                <w:szCs w:val="22"/>
                <w:highlight w:val="none"/>
              </w:rPr>
              <w:t>还可以在投标截止时间前递交以介质（U盘）存储的数据电文形式的“备份投标文件”，（可以</w:t>
            </w:r>
            <w:r>
              <w:rPr>
                <w:rFonts w:hint="eastAsia" w:ascii="宋体" w:hAnsi="宋体" w:cs="宋体"/>
                <w:b/>
                <w:color w:val="auto"/>
                <w:sz w:val="22"/>
                <w:szCs w:val="22"/>
                <w:highlight w:val="none"/>
                <w:u w:val="single"/>
              </w:rPr>
              <w:t>（邮寄形式，建议顺丰）在投标截止时间前递交，并需采购代理机构确认是否收到</w:t>
            </w:r>
            <w:r>
              <w:rPr>
                <w:rFonts w:hint="eastAsia" w:ascii="宋体" w:hAnsi="宋体" w:cs="宋体"/>
                <w:b/>
                <w:bCs/>
                <w:color w:val="auto"/>
                <w:sz w:val="22"/>
                <w:szCs w:val="22"/>
                <w:highlight w:val="none"/>
              </w:rPr>
              <w:t>）</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b.“备份投标文件”应当密封包装，并在包装上标注投标项目名称、投标人名称并加盖公章。没有密封包装或者逾期（邮寄）送达至投标地点的“备份投标文件”将不予接收；</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11</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电子加密投标文件的解密和异常情况处理：</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（1）开标后，采购组织机构将向各投标人发出“电子加密投标文件”的解密通知，各投标人代表应当在接到解密通知后在系统规定的时间自行完成“电子加密投标文件”的在线解密。</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12</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提交投标文件截止时间：2024年5月16日 09:30（北京时间）  </w:t>
            </w:r>
          </w:p>
          <w:p>
            <w:pPr>
              <w:widowControl/>
              <w:snapToGrid w:val="0"/>
              <w:spacing w:line="460" w:lineRule="exact"/>
              <w:jc w:val="left"/>
              <w:rPr>
                <w:color w:val="auto"/>
                <w:highlight w:val="none"/>
              </w:rPr>
            </w:pPr>
            <w:r>
              <w:rPr>
                <w:rFonts w:hint="eastAsia" w:ascii="宋体" w:hAnsi="宋体" w:cs="宋体"/>
                <w:color w:val="auto"/>
                <w:sz w:val="22"/>
                <w:szCs w:val="22"/>
                <w:highlight w:val="none"/>
              </w:rPr>
              <w:t>投标地点（网址）：</w:t>
            </w:r>
            <w:r>
              <w:rPr>
                <w:rFonts w:hint="eastAsia"/>
                <w:color w:val="auto"/>
                <w:sz w:val="22"/>
                <w:szCs w:val="22"/>
                <w:highlight w:val="none"/>
              </w:rPr>
              <w:t>温州市鹿城区南汇街道勤民路鹿城壹号18幢803室</w:t>
            </w:r>
            <w:r>
              <w:rPr>
                <w:rFonts w:hint="eastAsia" w:ascii="新宋体" w:hAnsi="新宋体" w:eastAsia="新宋体" w:cs="新宋体"/>
                <w:color w:val="auto"/>
                <w:sz w:val="22"/>
                <w:highlight w:val="none"/>
              </w:rPr>
              <w:t>（政采云平台http://zfcg.czt.zj.gov.cn）</w:t>
            </w:r>
            <w:r>
              <w:rPr>
                <w:rFonts w:hint="eastAsia" w:ascii="宋体" w:hAnsi="宋体" w:cs="宋体"/>
                <w:color w:val="auto"/>
                <w:sz w:val="22"/>
                <w:szCs w:val="22"/>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auto" w:sz="4"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13</w:t>
            </w:r>
          </w:p>
        </w:tc>
        <w:tc>
          <w:tcPr>
            <w:tcW w:w="9590" w:type="dxa"/>
            <w:tcBorders>
              <w:top w:val="single" w:color="000000" w:sz="2" w:space="0"/>
              <w:left w:val="single" w:color="000000" w:sz="2" w:space="0"/>
              <w:bottom w:val="single" w:color="auto" w:sz="4" w:space="0"/>
              <w:right w:val="single" w:color="000000" w:sz="8" w:space="0"/>
            </w:tcBorders>
            <w:vAlign w:val="center"/>
          </w:tcPr>
          <w:p>
            <w:pPr>
              <w:widowControl/>
              <w:snapToGrid w:val="0"/>
              <w:spacing w:line="46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开标时间：2024年5月16日 09:30</w:t>
            </w:r>
            <w:r>
              <w:rPr>
                <w:rFonts w:hint="eastAsia" w:ascii="宋体" w:hAnsi="宋体" w:cs="宋体"/>
                <w:color w:val="auto"/>
                <w:sz w:val="22"/>
                <w:highlight w:val="none"/>
              </w:rPr>
              <w:t>（北京时间）</w:t>
            </w:r>
          </w:p>
          <w:p>
            <w:pPr>
              <w:widowControl/>
              <w:snapToGrid w:val="0"/>
              <w:spacing w:line="46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开标地点（网址）：</w:t>
            </w:r>
            <w:r>
              <w:rPr>
                <w:rFonts w:hint="eastAsia"/>
                <w:color w:val="auto"/>
                <w:sz w:val="22"/>
                <w:szCs w:val="22"/>
                <w:highlight w:val="none"/>
              </w:rPr>
              <w:t>温州市鹿城区南汇街道勤民路鹿城壹号18幢803室</w:t>
            </w:r>
            <w:r>
              <w:rPr>
                <w:rFonts w:hint="eastAsia" w:ascii="新宋体" w:hAnsi="新宋体" w:eastAsia="新宋体" w:cs="新宋体"/>
                <w:color w:val="auto"/>
                <w:sz w:val="22"/>
                <w:highlight w:val="none"/>
              </w:rPr>
              <w:t>（政采云平台http://zfcg.czt.zj.gov.cn）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14</w:t>
            </w:r>
          </w:p>
        </w:tc>
        <w:tc>
          <w:tcPr>
            <w:tcW w:w="9590" w:type="dxa"/>
            <w:tcBorders>
              <w:top w:val="single" w:color="auto" w:sz="4" w:space="0"/>
              <w:left w:val="single" w:color="000000" w:sz="2" w:space="0"/>
              <w:bottom w:val="single" w:color="auto" w:sz="4" w:space="0"/>
              <w:right w:val="single" w:color="000000" w:sz="8" w:space="0"/>
            </w:tcBorders>
            <w:vAlign w:val="center"/>
          </w:tcPr>
          <w:p>
            <w:pPr>
              <w:snapToGrid w:val="0"/>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带“▲”条款系指实质性要求条款。“★”是关键技术参数及要求。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b/>
                <w:bCs/>
                <w:color w:val="auto"/>
                <w:sz w:val="22"/>
                <w:szCs w:val="22"/>
                <w:highlight w:val="none"/>
              </w:rPr>
            </w:pPr>
            <w:r>
              <w:rPr>
                <w:rFonts w:hint="eastAsia" w:ascii="宋体" w:hAnsi="宋体" w:cs="宋体"/>
                <w:b/>
                <w:bCs/>
                <w:color w:val="auto"/>
                <w:kern w:val="0"/>
                <w:sz w:val="22"/>
                <w:szCs w:val="22"/>
                <w:highlight w:val="none"/>
              </w:rPr>
              <w:t>15</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color w:val="auto"/>
                <w:sz w:val="22"/>
                <w:szCs w:val="22"/>
                <w:highlight w:val="none"/>
              </w:rPr>
            </w:pPr>
            <w:r>
              <w:rPr>
                <w:rFonts w:hint="eastAsia" w:ascii="宋体" w:hAnsi="宋体" w:cs="宋体"/>
                <w:b/>
                <w:color w:val="auto"/>
                <w:kern w:val="10"/>
                <w:sz w:val="22"/>
                <w:szCs w:val="22"/>
                <w:highlight w:val="none"/>
              </w:rPr>
              <w:t>潜在供应商需在浙江政府采购网http://http://zfcg.czt.zj.gov.cn/进行免费注册，具体详见浙江政府采购网供应商注册要求。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b/>
                <w:bCs/>
                <w:color w:val="auto"/>
                <w:sz w:val="22"/>
                <w:szCs w:val="22"/>
                <w:highlight w:val="none"/>
              </w:rPr>
            </w:pPr>
            <w:r>
              <w:rPr>
                <w:rFonts w:hint="eastAsia" w:ascii="宋体" w:hAnsi="宋体" w:cs="宋体"/>
                <w:b/>
                <w:bCs/>
                <w:color w:val="auto"/>
                <w:kern w:val="0"/>
                <w:sz w:val="22"/>
                <w:szCs w:val="22"/>
                <w:highlight w:val="none"/>
              </w:rPr>
              <w:t>16</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1、本项目对符合财政扶持政策的中小企业（小型、微型）、监狱企业、残疾人福利性单位给予价格优惠扶持，价格优惠给予10%扶持：</w:t>
            </w:r>
          </w:p>
          <w:p>
            <w:pPr>
              <w:widowControl/>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满足转发财政部 工业和信息化部关于印发《政府采购促进中小企业发展管理办法》的通知（财库﹝2020﹞46号）的规定的中小企业可享受优惠扶持。</w:t>
            </w:r>
          </w:p>
          <w:p>
            <w:pPr>
              <w:widowControl/>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满足关于政府采购支持监狱企业发展有关问题的通知（财库[2014]68号）的规定的供应商可享受优惠扶持。</w:t>
            </w:r>
          </w:p>
          <w:p>
            <w:pPr>
              <w:widowControl/>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满足关于促进残疾人就业政府采购政策的通知（财库[2017]141号）的规定的供应商可享受优惠扶持。</w:t>
            </w:r>
          </w:p>
          <w:p>
            <w:pPr>
              <w:widowControl/>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2、节能产品、环境标志产品的强制采购政策</w:t>
            </w:r>
          </w:p>
          <w:p>
            <w:pPr>
              <w:widowControl/>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3、节能产品、环境标志产品的优先采购政策</w:t>
            </w:r>
          </w:p>
          <w:p>
            <w:pPr>
              <w:widowControl/>
              <w:snapToGrid w:val="0"/>
              <w:spacing w:line="460" w:lineRule="exact"/>
              <w:ind w:firstLine="440" w:firstLineChars="200"/>
              <w:jc w:val="left"/>
              <w:rPr>
                <w:rFonts w:ascii="宋体" w:hAnsi="宋体" w:cs="宋体"/>
                <w:b/>
                <w:color w:val="auto"/>
                <w:kern w:val="10"/>
                <w:sz w:val="22"/>
                <w:szCs w:val="22"/>
                <w:highlight w:val="none"/>
              </w:rPr>
            </w:pPr>
            <w:r>
              <w:rPr>
                <w:rFonts w:hint="eastAsia" w:ascii="宋体" w:hAnsi="宋体" w:cs="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b/>
                <w:bCs/>
                <w:color w:val="auto"/>
                <w:sz w:val="22"/>
                <w:szCs w:val="22"/>
                <w:highlight w:val="none"/>
              </w:rPr>
            </w:pPr>
            <w:r>
              <w:rPr>
                <w:rFonts w:hint="eastAsia" w:ascii="宋体" w:hAnsi="宋体" w:cs="宋体"/>
                <w:b/>
                <w:bCs/>
                <w:color w:val="auto"/>
                <w:kern w:val="0"/>
                <w:sz w:val="22"/>
                <w:szCs w:val="22"/>
                <w:highlight w:val="none"/>
              </w:rPr>
              <w:t>17</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ind w:left="105" w:leftChars="50"/>
              <w:rPr>
                <w:rFonts w:ascii="宋体" w:hAnsi="宋体" w:cs="宋体"/>
                <w:color w:val="auto"/>
                <w:sz w:val="22"/>
                <w:szCs w:val="22"/>
                <w:highlight w:val="none"/>
              </w:rPr>
            </w:pPr>
            <w:r>
              <w:rPr>
                <w:rFonts w:hint="eastAsia" w:ascii="宋体" w:hAnsi="宋体" w:cs="宋体"/>
                <w:color w:val="auto"/>
                <w:sz w:val="22"/>
                <w:szCs w:val="22"/>
                <w:highlight w:val="none"/>
              </w:rPr>
              <w:t>根据《关于在政府采购活动中查询及使用信用记录有关问题的通知》财库[2016]125号的规定：</w:t>
            </w:r>
          </w:p>
          <w:p>
            <w:pPr>
              <w:snapToGrid w:val="0"/>
              <w:spacing w:line="460" w:lineRule="exact"/>
              <w:ind w:left="105" w:leftChars="50"/>
              <w:rPr>
                <w:rFonts w:ascii="宋体" w:hAnsi="宋体" w:cs="宋体"/>
                <w:color w:val="auto"/>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1）招标人或采购代理机构将对本项目供应商的信用记录进行查询。查询渠道为信用中国网站（www.creditchina.gov.cn）、中国政府采购网（www.ccgp.gov.cn）；</w:t>
            </w:r>
          </w:p>
          <w:p>
            <w:pPr>
              <w:snapToGrid w:val="0"/>
              <w:spacing w:line="460" w:lineRule="exact"/>
              <w:ind w:firstLine="110" w:firstLineChars="50"/>
              <w:rPr>
                <w:rFonts w:ascii="宋体" w:hAnsi="宋体" w:cs="宋体"/>
                <w:color w:val="auto"/>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2）截止时点：</w:t>
            </w:r>
            <w:r>
              <w:rPr>
                <w:rFonts w:hint="eastAsia" w:ascii="宋体" w:hAnsi="宋体" w:cs="宋体"/>
                <w:color w:val="auto"/>
                <w:sz w:val="22"/>
                <w:highlight w:val="none"/>
              </w:rPr>
              <w:t>招标公告发布之日至投标截止时间前</w:t>
            </w:r>
            <w:r>
              <w:rPr>
                <w:rFonts w:hint="eastAsia" w:ascii="宋体" w:hAnsi="宋体" w:cs="宋体"/>
                <w:color w:val="auto"/>
                <w:sz w:val="22"/>
                <w:szCs w:val="22"/>
                <w:highlight w:val="none"/>
              </w:rPr>
              <w:t>；</w:t>
            </w:r>
          </w:p>
          <w:p>
            <w:pPr>
              <w:snapToGrid w:val="0"/>
              <w:spacing w:line="460" w:lineRule="exact"/>
              <w:ind w:left="105" w:leftChars="50"/>
              <w:rPr>
                <w:rFonts w:ascii="宋体" w:hAnsi="宋体" w:cs="宋体"/>
                <w:color w:val="auto"/>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3）查询记录和证据的留存：信用信息查询记录和证据以网页截图等方式留存。</w:t>
            </w:r>
          </w:p>
          <w:p>
            <w:pPr>
              <w:snapToGrid w:val="0"/>
              <w:spacing w:line="460" w:lineRule="exact"/>
              <w:ind w:left="105" w:leftChars="50"/>
              <w:rPr>
                <w:rFonts w:ascii="宋体" w:hAnsi="宋体" w:cs="宋体"/>
                <w:color w:val="auto"/>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rPr>
                <w:rFonts w:ascii="宋体" w:hAnsi="宋体" w:cs="宋体"/>
                <w:b/>
                <w:color w:val="auto"/>
                <w:kern w:val="10"/>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5）联合体成员任意一方存在不良信用记录的，视同联合体存在不良信用记录。</w:t>
            </w:r>
          </w:p>
        </w:tc>
      </w:tr>
    </w:tbl>
    <w:p>
      <w:pPr>
        <w:rPr>
          <w:rFonts w:ascii="宋体" w:hAnsi="宋体" w:cs="宋体"/>
          <w:b/>
          <w:bCs/>
          <w:color w:val="auto"/>
          <w:sz w:val="26"/>
          <w:szCs w:val="26"/>
          <w:highlight w:val="none"/>
        </w:rPr>
      </w:pPr>
      <w:r>
        <w:rPr>
          <w:rFonts w:hint="eastAsia" w:ascii="宋体" w:hAnsi="宋体" w:cs="宋体"/>
          <w:b/>
          <w:bCs/>
          <w:color w:val="auto"/>
          <w:sz w:val="26"/>
          <w:szCs w:val="26"/>
          <w:highlight w:val="none"/>
        </w:rPr>
        <w:br w:type="page"/>
      </w:r>
    </w:p>
    <w:p>
      <w:pPr>
        <w:spacing w:before="100" w:beforeAutospacing="1" w:after="100" w:afterAutospacing="1" w:line="460" w:lineRule="exact"/>
        <w:jc w:val="center"/>
        <w:outlineLvl w:val="1"/>
        <w:rPr>
          <w:rFonts w:ascii="宋体" w:hAnsi="宋体" w:cs="宋体"/>
          <w:b/>
          <w:bCs/>
          <w:color w:val="auto"/>
          <w:sz w:val="32"/>
          <w:szCs w:val="32"/>
          <w:highlight w:val="none"/>
        </w:rPr>
      </w:pPr>
      <w:bookmarkStart w:id="10" w:name="_Toc20846"/>
      <w:bookmarkStart w:id="11" w:name="_Toc19070"/>
      <w:r>
        <w:rPr>
          <w:rFonts w:hint="eastAsia" w:ascii="宋体" w:hAnsi="宋体" w:cs="宋体"/>
          <w:b/>
          <w:bCs/>
          <w:color w:val="auto"/>
          <w:sz w:val="26"/>
          <w:szCs w:val="26"/>
          <w:highlight w:val="none"/>
        </w:rPr>
        <w:t>一、 说   明</w:t>
      </w:r>
      <w:bookmarkEnd w:id="10"/>
      <w:bookmarkEnd w:id="11"/>
    </w:p>
    <w:p>
      <w:pPr>
        <w:tabs>
          <w:tab w:val="left" w:pos="360"/>
        </w:tabs>
        <w:spacing w:line="460" w:lineRule="exact"/>
        <w:ind w:firstLine="550" w:firstLineChars="250"/>
        <w:rPr>
          <w:rFonts w:ascii="宋体" w:hAnsi="宋体" w:cs="宋体"/>
          <w:b/>
          <w:color w:val="auto"/>
          <w:sz w:val="22"/>
          <w:szCs w:val="22"/>
          <w:highlight w:val="none"/>
        </w:rPr>
      </w:pPr>
      <w:r>
        <w:rPr>
          <w:rFonts w:hint="eastAsia" w:ascii="宋体" w:hAnsi="宋体" w:cs="宋体"/>
          <w:color w:val="auto"/>
          <w:sz w:val="22"/>
          <w:szCs w:val="22"/>
          <w:highlight w:val="none"/>
        </w:rPr>
        <w:t>1、本次招标是参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2、定义</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招标人：是指依法进行政府采购的国家机关、事业单位、团体组织</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招标代理机构：受招标人委托，在委托的范围内办理政府采购事宜的机构；</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投标人：是指参加本政府采购项目投标的供应商；</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投标人代表：是指参加本项目投标活动的供应商法定代表人或法定代表人授权代表；</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投标联合体：是指两个以上供应商组成联合体，以一个供应商的身份参加投标；</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甲方：是指合同签订的一方，一般与招标人、用户相同；</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乙方：是指合同签订的另一方，与中标人相同；</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制造商：是指拥有投标产品自主知识产权的单位；</w:t>
      </w:r>
    </w:p>
    <w:p>
      <w:pPr>
        <w:tabs>
          <w:tab w:val="left" w:pos="360"/>
        </w:tabs>
        <w:spacing w:line="460" w:lineRule="exact"/>
        <w:ind w:firstLine="550" w:firstLineChars="250"/>
        <w:rPr>
          <w:rFonts w:ascii="宋体" w:hAnsi="宋体" w:cs="宋体"/>
          <w:color w:val="auto"/>
          <w:sz w:val="22"/>
          <w:szCs w:val="22"/>
          <w:highlight w:val="none"/>
        </w:rPr>
      </w:pPr>
      <w:r>
        <w:rPr>
          <w:rFonts w:hint="eastAsia" w:ascii="宋体" w:hAnsi="宋体" w:cs="宋体"/>
          <w:color w:val="auto"/>
          <w:sz w:val="22"/>
          <w:szCs w:val="22"/>
          <w:highlight w:val="none"/>
        </w:rPr>
        <w:t>原件备查：要求携带原件备查的，供应商应按要求携带备查，如评标委员会发现投标文件资料复印件存有瑕疵，致使内容模糊、关键信息难以辨认、材料真实性存疑等情形的，有权核对原件或评标委员会认为有必有核对原件，若供应商未能提交原件，将会导致评标委员会作出对 其不利的评定，一切后果由供应商自行承担。</w:t>
      </w:r>
    </w:p>
    <w:p>
      <w:pPr>
        <w:tabs>
          <w:tab w:val="left" w:pos="360"/>
        </w:tabs>
        <w:spacing w:line="460" w:lineRule="exact"/>
        <w:ind w:firstLine="552" w:firstLineChars="250"/>
        <w:rPr>
          <w:rFonts w:ascii="宋体" w:hAnsi="宋体" w:cs="宋体"/>
          <w:b/>
          <w:bCs/>
          <w:color w:val="auto"/>
          <w:sz w:val="22"/>
          <w:szCs w:val="22"/>
          <w:highlight w:val="none"/>
        </w:rPr>
      </w:pPr>
      <w:r>
        <w:rPr>
          <w:rFonts w:hint="eastAsia" w:ascii="宋体" w:hAnsi="宋体" w:cs="宋体"/>
          <w:b/>
          <w:bCs/>
          <w:color w:val="auto"/>
          <w:sz w:val="22"/>
          <w:szCs w:val="22"/>
          <w:highlight w:val="none"/>
        </w:rPr>
        <w:t>带“▲”条款系指实质性要求条款。“★”是关键技术参数及要求。</w:t>
      </w:r>
    </w:p>
    <w:p>
      <w:pPr>
        <w:tabs>
          <w:tab w:val="left" w:pos="360"/>
        </w:tabs>
        <w:spacing w:line="460" w:lineRule="exact"/>
        <w:ind w:firstLine="541" w:firstLineChars="245"/>
        <w:rPr>
          <w:rFonts w:ascii="宋体" w:hAnsi="宋体" w:cs="宋体"/>
          <w:color w:val="auto"/>
          <w:sz w:val="22"/>
          <w:szCs w:val="22"/>
          <w:highlight w:val="none"/>
        </w:rPr>
      </w:pPr>
      <w:r>
        <w:rPr>
          <w:rFonts w:hint="eastAsia" w:ascii="宋体" w:hAnsi="宋体" w:cs="宋体"/>
          <w:b/>
          <w:color w:val="auto"/>
          <w:sz w:val="22"/>
          <w:szCs w:val="22"/>
          <w:highlight w:val="none"/>
        </w:rPr>
        <w:t>3、投标人代表</w:t>
      </w:r>
    </w:p>
    <w:p>
      <w:pPr>
        <w:tabs>
          <w:tab w:val="left" w:pos="360"/>
        </w:tabs>
        <w:spacing w:line="460" w:lineRule="exact"/>
        <w:ind w:firstLine="541" w:firstLineChars="245"/>
        <w:rPr>
          <w:rFonts w:ascii="宋体" w:hAnsi="宋体" w:cs="宋体"/>
          <w:b/>
          <w:color w:val="auto"/>
          <w:sz w:val="22"/>
          <w:highlight w:val="none"/>
        </w:rPr>
      </w:pPr>
      <w:r>
        <w:rPr>
          <w:rFonts w:hint="eastAsia" w:ascii="宋体" w:hAnsi="宋体" w:cs="宋体"/>
          <w:b/>
          <w:color w:val="auto"/>
          <w:sz w:val="22"/>
          <w:szCs w:val="22"/>
          <w:highlight w:val="none"/>
        </w:rPr>
        <w:t>3.1</w:t>
      </w:r>
      <w:r>
        <w:rPr>
          <w:rFonts w:hint="eastAsia" w:ascii="宋体" w:hAnsi="宋体" w:cs="宋体"/>
          <w:b/>
          <w:color w:val="auto"/>
          <w:sz w:val="22"/>
          <w:highlight w:val="none"/>
        </w:rPr>
        <w:t>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r>
        <w:rPr>
          <w:rFonts w:hint="eastAsia" w:ascii="宋体" w:hAnsi="宋体" w:cs="宋体"/>
          <w:b/>
          <w:color w:val="auto"/>
          <w:sz w:val="22"/>
          <w:szCs w:val="22"/>
          <w:highlight w:val="none"/>
        </w:rPr>
        <w:t>。</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4、投标费用</w:t>
      </w:r>
    </w:p>
    <w:p>
      <w:pPr>
        <w:spacing w:line="460" w:lineRule="exact"/>
        <w:ind w:firstLine="541" w:firstLineChars="245"/>
        <w:rPr>
          <w:rFonts w:ascii="宋体" w:hAnsi="宋体" w:cs="宋体"/>
          <w:color w:val="auto"/>
          <w:sz w:val="22"/>
          <w:szCs w:val="22"/>
          <w:highlight w:val="none"/>
        </w:rPr>
      </w:pPr>
      <w:r>
        <w:rPr>
          <w:rFonts w:hint="eastAsia" w:ascii="宋体" w:hAnsi="宋体" w:cs="宋体"/>
          <w:b/>
          <w:color w:val="auto"/>
          <w:sz w:val="22"/>
          <w:szCs w:val="22"/>
          <w:highlight w:val="none"/>
        </w:rPr>
        <w:t>4.1</w:t>
      </w:r>
      <w:r>
        <w:rPr>
          <w:rFonts w:hint="eastAsia" w:ascii="宋体" w:hAnsi="宋体" w:cs="宋体"/>
          <w:color w:val="auto"/>
          <w:sz w:val="22"/>
          <w:szCs w:val="22"/>
          <w:highlight w:val="none"/>
        </w:rPr>
        <w:t>投标人应承担所有与准备和参加投标有关费用，不论投标的结果如何，招标人或招标代理机构均无义务和责任承担这些费用。</w:t>
      </w:r>
    </w:p>
    <w:p>
      <w:pPr>
        <w:jc w:val="center"/>
        <w:outlineLvl w:val="1"/>
        <w:rPr>
          <w:rFonts w:ascii="宋体" w:hAnsi="宋体" w:cs="宋体"/>
          <w:b/>
          <w:bCs/>
          <w:color w:val="auto"/>
          <w:sz w:val="26"/>
          <w:szCs w:val="26"/>
          <w:highlight w:val="none"/>
        </w:rPr>
      </w:pPr>
      <w:bookmarkStart w:id="12" w:name="_Toc9899"/>
      <w:bookmarkStart w:id="13" w:name="_Toc28278"/>
      <w:r>
        <w:rPr>
          <w:rFonts w:hint="eastAsia" w:ascii="宋体" w:hAnsi="宋体" w:cs="宋体"/>
          <w:b/>
          <w:bCs/>
          <w:color w:val="auto"/>
          <w:sz w:val="26"/>
          <w:szCs w:val="26"/>
          <w:highlight w:val="none"/>
        </w:rPr>
        <w:t>二、 招标文件</w:t>
      </w:r>
      <w:bookmarkEnd w:id="12"/>
      <w:bookmarkEnd w:id="13"/>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1、招标文件由招标文件目录所列内容及相关资料组成。</w:t>
      </w:r>
    </w:p>
    <w:p>
      <w:pPr>
        <w:tabs>
          <w:tab w:val="left" w:pos="360"/>
        </w:tabs>
        <w:spacing w:line="460" w:lineRule="exact"/>
        <w:ind w:firstLine="552" w:firstLineChars="250"/>
        <w:rPr>
          <w:rFonts w:ascii="宋体" w:hAnsi="宋体" w:cs="宋体"/>
          <w:b/>
          <w:color w:val="auto"/>
          <w:sz w:val="22"/>
          <w:highlight w:val="none"/>
        </w:rPr>
      </w:pPr>
      <w:r>
        <w:rPr>
          <w:rFonts w:hint="eastAsia" w:ascii="宋体" w:hAnsi="宋体" w:cs="宋体"/>
          <w:b/>
          <w:color w:val="auto"/>
          <w:sz w:val="22"/>
          <w:highlight w:val="none"/>
        </w:rPr>
        <w:t>2、招标文件的澄清</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2" w:firstLineChars="250"/>
        <w:rPr>
          <w:rFonts w:ascii="宋体" w:hAnsi="宋体" w:cs="宋体"/>
          <w:b/>
          <w:color w:val="auto"/>
          <w:sz w:val="22"/>
          <w:highlight w:val="none"/>
        </w:rPr>
      </w:pPr>
      <w:r>
        <w:rPr>
          <w:rFonts w:hint="eastAsia" w:ascii="宋体" w:hAnsi="宋体" w:cs="宋体"/>
          <w:b/>
          <w:color w:val="auto"/>
          <w:sz w:val="22"/>
          <w:highlight w:val="none"/>
        </w:rPr>
        <w:t>3、招标文件的修改</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highlight w:val="none"/>
        </w:rPr>
        <w:t>3.2招标人、招标代理机构可以视采购的具体情况决定是否延长投标截止时间和开标时间，并在招标文件要求递交投标文件的截止时间前，将变更时间书面通知所有招标文件收受人，同时在财政部门指定的政府采购信息发布媒体上发布变更公告。招标文件收受人收到变更时间的书面通知后，应立即书面回复确认已收到该通知</w:t>
      </w:r>
      <w:r>
        <w:rPr>
          <w:rFonts w:hint="eastAsia" w:ascii="宋体" w:hAnsi="宋体" w:cs="宋体"/>
          <w:color w:val="auto"/>
          <w:sz w:val="22"/>
          <w:szCs w:val="22"/>
          <w:highlight w:val="none"/>
        </w:rPr>
        <w:t>。</w:t>
      </w:r>
    </w:p>
    <w:p>
      <w:pPr>
        <w:spacing w:before="100" w:beforeAutospacing="1" w:after="100" w:afterAutospacing="1" w:line="460" w:lineRule="exact"/>
        <w:jc w:val="center"/>
        <w:outlineLvl w:val="1"/>
        <w:rPr>
          <w:rFonts w:ascii="宋体" w:hAnsi="宋体" w:cs="宋体"/>
          <w:b/>
          <w:bCs/>
          <w:color w:val="auto"/>
          <w:sz w:val="26"/>
          <w:szCs w:val="26"/>
          <w:highlight w:val="none"/>
        </w:rPr>
      </w:pPr>
      <w:bookmarkStart w:id="14" w:name="_Toc12726"/>
      <w:bookmarkStart w:id="15" w:name="_Toc22646"/>
      <w:r>
        <w:rPr>
          <w:rFonts w:hint="eastAsia" w:ascii="宋体" w:hAnsi="宋体" w:cs="宋体"/>
          <w:b/>
          <w:bCs/>
          <w:color w:val="auto"/>
          <w:sz w:val="26"/>
          <w:szCs w:val="26"/>
          <w:highlight w:val="none"/>
        </w:rPr>
        <w:t>三、 投标文件的编制</w:t>
      </w:r>
      <w:bookmarkEnd w:id="14"/>
      <w:bookmarkEnd w:id="15"/>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1、投标人应认真阅读招标文件中所有事项、格式、条款和技术规范等。</w:t>
      </w:r>
      <w:r>
        <w:rPr>
          <w:rFonts w:hint="eastAsia" w:ascii="宋体" w:hAnsi="宋体" w:cs="宋体"/>
          <w:b/>
          <w:color w:val="auto"/>
          <w:sz w:val="22"/>
          <w:highlight w:val="none"/>
        </w:rPr>
        <w:t>投标人没有按照招标文件要求提交全部资料，或者没有对招标文件各个方面做出实质性响应，导致投标被否决的风险由投标人自行承担。</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highlight w:val="none"/>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3、</w:t>
      </w:r>
      <w:r>
        <w:rPr>
          <w:rFonts w:hint="eastAsia" w:ascii="宋体" w:hAnsi="宋体" w:cs="宋体"/>
          <w:b/>
          <w:bCs/>
          <w:color w:val="auto"/>
          <w:sz w:val="22"/>
          <w:szCs w:val="22"/>
          <w:highlight w:val="none"/>
        </w:rPr>
        <w:t>投标文件的构成：</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kern w:val="0"/>
          <w:sz w:val="22"/>
          <w:szCs w:val="22"/>
          <w:highlight w:val="none"/>
        </w:rPr>
        <w:t>投标</w:t>
      </w:r>
      <w:r>
        <w:rPr>
          <w:rFonts w:hint="eastAsia" w:ascii="宋体" w:hAnsi="宋体" w:cs="宋体"/>
          <w:b/>
          <w:bCs/>
          <w:color w:val="auto"/>
          <w:kern w:val="0"/>
          <w:sz w:val="22"/>
          <w:szCs w:val="22"/>
          <w:highlight w:val="none"/>
          <w:lang w:val="zh-CN"/>
        </w:rPr>
        <w:t>文件应当包括以下主要内容：资格文件、报价文件、商务技术文件。</w:t>
      </w:r>
    </w:p>
    <w:p>
      <w:pPr>
        <w:spacing w:line="460" w:lineRule="exact"/>
        <w:ind w:firstLine="541" w:firstLineChars="245"/>
        <w:rPr>
          <w:rFonts w:ascii="宋体" w:hAnsi="宋体" w:cs="宋体"/>
          <w:b/>
          <w:bCs/>
          <w:color w:val="auto"/>
          <w:kern w:val="0"/>
          <w:sz w:val="22"/>
          <w:szCs w:val="22"/>
          <w:highlight w:val="none"/>
          <w:lang w:val="zh-CN"/>
        </w:rPr>
      </w:pPr>
      <w:r>
        <w:rPr>
          <w:rFonts w:hint="eastAsia" w:ascii="宋体" w:hAnsi="宋体" w:cs="宋体"/>
          <w:b/>
          <w:bCs/>
          <w:color w:val="auto"/>
          <w:kern w:val="0"/>
          <w:sz w:val="22"/>
          <w:szCs w:val="22"/>
          <w:highlight w:val="none"/>
        </w:rPr>
        <w:t>3.1</w:t>
      </w:r>
      <w:r>
        <w:rPr>
          <w:rFonts w:hint="eastAsia" w:ascii="宋体" w:hAnsi="宋体" w:cs="宋体"/>
          <w:b/>
          <w:bCs/>
          <w:color w:val="auto"/>
          <w:kern w:val="0"/>
          <w:sz w:val="22"/>
          <w:szCs w:val="22"/>
          <w:highlight w:val="none"/>
          <w:lang w:val="zh-CN"/>
        </w:rPr>
        <w:t xml:space="preserve">投标人的资格文件至少应包括以下内容： </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zh-CN"/>
        </w:rPr>
        <w:t>基本资格条件审查材料：</w:t>
      </w:r>
      <w:r>
        <w:rPr>
          <w:rFonts w:hint="eastAsia" w:ascii="宋体" w:hAnsi="宋体" w:cs="宋体"/>
          <w:color w:val="auto"/>
          <w:kern w:val="0"/>
          <w:sz w:val="22"/>
          <w:szCs w:val="22"/>
          <w:highlight w:val="none"/>
        </w:rPr>
        <w:t>即证明供应商</w:t>
      </w:r>
      <w:r>
        <w:rPr>
          <w:rFonts w:hint="eastAsia" w:ascii="宋体" w:hAnsi="宋体" w:cs="宋体"/>
          <w:color w:val="auto"/>
          <w:kern w:val="0"/>
          <w:sz w:val="22"/>
          <w:szCs w:val="22"/>
          <w:highlight w:val="none"/>
          <w:lang w:val="zh-CN"/>
        </w:rPr>
        <w:t>参加本次政府采购活动前3年内</w:t>
      </w:r>
      <w:r>
        <w:rPr>
          <w:rFonts w:hint="eastAsia"/>
          <w:color w:val="auto"/>
          <w:sz w:val="22"/>
          <w:szCs w:val="22"/>
          <w:highlight w:val="none"/>
        </w:rPr>
        <w:t>满足《中华人民共和国政府采购法》</w:t>
      </w:r>
      <w:r>
        <w:rPr>
          <w:rFonts w:hint="eastAsia" w:ascii="宋体" w:hAnsi="宋体" w:cs="宋体"/>
          <w:color w:val="auto"/>
          <w:kern w:val="0"/>
          <w:sz w:val="22"/>
          <w:szCs w:val="22"/>
          <w:highlight w:val="none"/>
          <w:lang w:val="zh-CN"/>
        </w:rPr>
        <w:t>的有关资格证明文件。</w:t>
      </w:r>
      <w:r>
        <w:rPr>
          <w:rFonts w:hint="eastAsia" w:ascii="宋体" w:hAnsi="宋体" w:cs="宋体"/>
          <w:color w:val="auto"/>
          <w:kern w:val="0"/>
          <w:sz w:val="22"/>
          <w:szCs w:val="22"/>
          <w:highlight w:val="none"/>
        </w:rPr>
        <w:t>包括：</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（1）资格条件承诺函；</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 xml:space="preserve">（2）营业执照(或事业法人登记证书或其它工商等登记证明材料；自然人参与政府采购，提供身份证)复印件； </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numPr>
          <w:ilvl w:val="0"/>
          <w:numId w:val="0"/>
        </w:numPr>
        <w:snapToGrid w:val="0"/>
        <w:spacing w:line="460" w:lineRule="exact"/>
        <w:ind w:firstLine="440" w:firstLineChars="200"/>
        <w:rPr>
          <w:rFonts w:hint="eastAsia" w:ascii="宋体" w:hAnsi="宋体" w:cs="宋体"/>
          <w:color w:val="auto"/>
          <w:sz w:val="22"/>
          <w:szCs w:val="22"/>
          <w:highlight w:val="none"/>
        </w:rPr>
      </w:pPr>
      <w:r>
        <w:rPr>
          <w:rFonts w:hint="eastAsia" w:ascii="宋体" w:hAnsi="宋体" w:eastAsia="宋体" w:cs="宋体"/>
          <w:color w:val="auto"/>
          <w:kern w:val="2"/>
          <w:sz w:val="22"/>
          <w:szCs w:val="22"/>
          <w:highlight w:val="none"/>
          <w:lang w:val="en-US" w:eastAsia="zh-CN" w:bidi="ar-SA"/>
        </w:rPr>
        <w:t>（3）</w:t>
      </w:r>
      <w:r>
        <w:rPr>
          <w:rFonts w:hint="eastAsia" w:ascii="宋体" w:hAnsi="宋体" w:cs="宋体"/>
          <w:color w:val="auto"/>
          <w:sz w:val="22"/>
          <w:szCs w:val="22"/>
          <w:highlight w:val="none"/>
        </w:rPr>
        <w:t>投标人信用查询；</w:t>
      </w:r>
    </w:p>
    <w:p>
      <w:pPr>
        <w:numPr>
          <w:ilvl w:val="0"/>
          <w:numId w:val="0"/>
        </w:numPr>
        <w:snapToGrid w:val="0"/>
        <w:spacing w:line="4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《旅行社业务经营许可证》</w:t>
      </w:r>
    </w:p>
    <w:p>
      <w:pPr>
        <w:numPr>
          <w:ilvl w:val="0"/>
          <w:numId w:val="0"/>
        </w:numPr>
        <w:snapToGrid w:val="0"/>
        <w:spacing w:line="460" w:lineRule="exact"/>
        <w:ind w:firstLine="440" w:firstLineChars="200"/>
        <w:rPr>
          <w:rFonts w:hint="eastAsia" w:ascii="宋体" w:hAnsi="宋体" w:cs="宋体"/>
          <w:color w:val="auto"/>
          <w:sz w:val="22"/>
          <w:szCs w:val="22"/>
          <w:highlight w:val="none"/>
        </w:rPr>
      </w:pPr>
      <w:r>
        <w:rPr>
          <w:rFonts w:hint="eastAsia" w:ascii="宋体" w:hAnsi="宋体" w:eastAsia="宋体" w:cs="宋体"/>
          <w:color w:val="auto"/>
          <w:kern w:val="2"/>
          <w:sz w:val="22"/>
          <w:szCs w:val="22"/>
          <w:highlight w:val="none"/>
          <w:lang w:val="en-US" w:eastAsia="zh-CN" w:bidi="ar-SA"/>
        </w:rPr>
        <w:t>（5）</w:t>
      </w:r>
      <w:r>
        <w:rPr>
          <w:rFonts w:hint="eastAsia" w:ascii="宋体" w:hAnsi="宋体" w:cs="宋体"/>
          <w:color w:val="auto"/>
          <w:sz w:val="22"/>
          <w:szCs w:val="22"/>
          <w:highlight w:val="none"/>
        </w:rPr>
        <w:t>采购活动现场确认声明书；</w:t>
      </w:r>
    </w:p>
    <w:p>
      <w:pPr>
        <w:numPr>
          <w:ilvl w:val="0"/>
          <w:numId w:val="0"/>
        </w:numPr>
        <w:snapToGrid w:val="0"/>
        <w:spacing w:line="460" w:lineRule="exact"/>
        <w:ind w:firstLine="440" w:firstLineChars="200"/>
        <w:rPr>
          <w:rFonts w:ascii="宋体" w:hAnsi="宋体" w:cs="宋体"/>
          <w:color w:val="auto"/>
          <w:sz w:val="22"/>
          <w:szCs w:val="22"/>
          <w:highlight w:val="none"/>
        </w:rPr>
      </w:pPr>
      <w:r>
        <w:rPr>
          <w:rFonts w:ascii="宋体" w:hAnsi="宋体" w:eastAsia="宋体" w:cs="宋体"/>
          <w:color w:val="auto"/>
          <w:kern w:val="2"/>
          <w:sz w:val="22"/>
          <w:szCs w:val="22"/>
          <w:highlight w:val="none"/>
          <w:lang w:val="en-US" w:eastAsia="zh-CN" w:bidi="ar-SA"/>
        </w:rPr>
        <w:t>（6）</w:t>
      </w:r>
      <w:r>
        <w:rPr>
          <w:rFonts w:hint="eastAsia" w:ascii="宋体" w:hAnsi="宋体" w:cs="宋体"/>
          <w:color w:val="auto"/>
          <w:sz w:val="22"/>
          <w:szCs w:val="22"/>
          <w:highlight w:val="none"/>
        </w:rPr>
        <w:t>（落实政府采购政策需满足的资格要求证明材料（如有）；</w:t>
      </w:r>
    </w:p>
    <w:p>
      <w:pPr>
        <w:snapToGrid w:val="0"/>
        <w:spacing w:line="460" w:lineRule="exact"/>
        <w:ind w:left="525" w:leftChars="250"/>
        <w:rPr>
          <w:rFonts w:ascii="宋体" w:hAnsi="宋体" w:cs="宋体"/>
          <w:color w:val="auto"/>
          <w:sz w:val="22"/>
          <w:szCs w:val="22"/>
          <w:highlight w:val="none"/>
        </w:rPr>
      </w:pPr>
      <w:r>
        <w:rPr>
          <w:rFonts w:hint="eastAsia" w:ascii="宋体" w:hAnsi="宋体" w:cs="宋体"/>
          <w:color w:val="auto"/>
          <w:sz w:val="22"/>
          <w:szCs w:val="22"/>
          <w:highlight w:val="none"/>
        </w:rPr>
        <w:t>上述资格条件审查材料有一项不提供的，视为资格审查不通过。</w:t>
      </w:r>
    </w:p>
    <w:p>
      <w:pPr>
        <w:snapToGrid w:val="0"/>
        <w:spacing w:line="460" w:lineRule="exact"/>
        <w:ind w:left="105" w:leftChars="50" w:firstLine="442" w:firstLineChars="200"/>
        <w:rPr>
          <w:rFonts w:ascii="宋体" w:hAnsi="宋体" w:cs="宋体"/>
          <w:color w:val="auto"/>
          <w:sz w:val="22"/>
          <w:szCs w:val="22"/>
          <w:highlight w:val="none"/>
          <w:u w:val="single"/>
          <w:lang w:val="zh-CN"/>
        </w:rPr>
      </w:pPr>
      <w:r>
        <w:rPr>
          <w:rFonts w:hint="eastAsia" w:ascii="宋体" w:hAnsi="宋体" w:cs="宋体"/>
          <w:b/>
          <w:bCs/>
          <w:color w:val="auto"/>
          <w:sz w:val="22"/>
          <w:szCs w:val="22"/>
          <w:highlight w:val="none"/>
        </w:rPr>
        <w:t xml:space="preserve">3.2投标人的报价文件至少应包括以下内容： </w:t>
      </w:r>
    </w:p>
    <w:p>
      <w:pPr>
        <w:snapToGrid w:val="0"/>
        <w:spacing w:line="460" w:lineRule="exact"/>
        <w:ind w:left="105" w:leftChars="50"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（1）投标函；</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新宋体" w:hAnsi="新宋体" w:eastAsia="新宋体" w:cs="新宋体"/>
          <w:color w:val="auto"/>
          <w:sz w:val="22"/>
          <w:szCs w:val="22"/>
          <w:highlight w:val="none"/>
        </w:rPr>
        <w:t>（2）投标报价一览表；</w:t>
      </w:r>
      <w:r>
        <w:rPr>
          <w:rFonts w:hint="eastAsia" w:ascii="宋体" w:hAnsi="宋体" w:cs="宋体"/>
          <w:color w:val="auto"/>
          <w:sz w:val="22"/>
          <w:szCs w:val="22"/>
          <w:highlight w:val="none"/>
        </w:rPr>
        <w:t>；</w:t>
      </w:r>
    </w:p>
    <w:p>
      <w:pPr>
        <w:snapToGrid w:val="0"/>
        <w:spacing w:line="460" w:lineRule="exact"/>
        <w:ind w:left="105" w:leftChars="50" w:firstLine="440" w:firstLineChars="200"/>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3.3</w:t>
      </w:r>
      <w:r>
        <w:rPr>
          <w:rFonts w:hint="eastAsia" w:ascii="宋体" w:hAnsi="宋体" w:cs="宋体"/>
          <w:color w:val="auto"/>
          <w:kern w:val="0"/>
          <w:sz w:val="22"/>
          <w:szCs w:val="22"/>
          <w:highlight w:val="none"/>
          <w:lang w:val="zh-CN"/>
        </w:rPr>
        <w:t>投标人的</w:t>
      </w:r>
      <w:r>
        <w:rPr>
          <w:rFonts w:hint="eastAsia" w:ascii="宋体" w:hAnsi="宋体" w:cs="宋体"/>
          <w:b/>
          <w:bCs/>
          <w:color w:val="auto"/>
          <w:kern w:val="0"/>
          <w:sz w:val="22"/>
          <w:szCs w:val="22"/>
          <w:highlight w:val="none"/>
          <w:lang w:val="zh-CN"/>
        </w:rPr>
        <w:t>商务技术文件</w:t>
      </w:r>
      <w:r>
        <w:rPr>
          <w:rFonts w:hint="eastAsia" w:ascii="宋体" w:hAnsi="宋体" w:cs="宋体"/>
          <w:color w:val="auto"/>
          <w:kern w:val="0"/>
          <w:sz w:val="22"/>
          <w:szCs w:val="22"/>
          <w:highlight w:val="none"/>
          <w:lang w:val="zh-CN"/>
        </w:rPr>
        <w:t xml:space="preserve">应包括以下内容： </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（1）法定代表人授权委托书（需提供法定代表人及授权委托人的身份证复印件加盖公章）；</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（2）投标人情况表</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（3）廉政承诺书</w:t>
      </w:r>
    </w:p>
    <w:p>
      <w:pPr>
        <w:snapToGrid w:val="0"/>
        <w:spacing w:line="460" w:lineRule="exact"/>
        <w:ind w:firstLine="440" w:firstLineChars="200"/>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（4）</w:t>
      </w:r>
      <w:r>
        <w:rPr>
          <w:rFonts w:hint="eastAsia" w:ascii="新宋体" w:hAnsi="新宋体" w:eastAsia="新宋体" w:cs="新宋体"/>
          <w:color w:val="auto"/>
          <w:sz w:val="22"/>
          <w:szCs w:val="22"/>
          <w:highlight w:val="none"/>
          <w:lang w:val="zh-CN"/>
        </w:rPr>
        <w:t>偏离表（</w:t>
      </w:r>
      <w:r>
        <w:rPr>
          <w:rFonts w:hint="eastAsia" w:ascii="新宋体" w:hAnsi="新宋体" w:eastAsia="新宋体" w:cs="新宋体"/>
          <w:color w:val="auto"/>
          <w:sz w:val="22"/>
          <w:szCs w:val="22"/>
          <w:highlight w:val="none"/>
        </w:rPr>
        <w:t>商务、技术偏离</w:t>
      </w:r>
      <w:r>
        <w:rPr>
          <w:rFonts w:hint="eastAsia" w:ascii="新宋体" w:hAnsi="新宋体" w:eastAsia="新宋体" w:cs="新宋体"/>
          <w:color w:val="auto"/>
          <w:sz w:val="22"/>
          <w:szCs w:val="22"/>
          <w:highlight w:val="none"/>
          <w:lang w:val="zh-CN"/>
        </w:rPr>
        <w:t>）</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（5）投标人情况</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履行能力</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7</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疗休养策划方案</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8</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保险承诺</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9</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安全及服务质量保证</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10</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应急预案</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11</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投诉处理</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12</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后续服务和特色服务方案</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13</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服务响应时间承诺</w:t>
      </w:r>
    </w:p>
    <w:p>
      <w:pPr>
        <w:snapToGrid w:val="0"/>
        <w:spacing w:line="460" w:lineRule="exact"/>
        <w:ind w:firstLine="440" w:firstLineChars="200"/>
        <w:rPr>
          <w:rFonts w:ascii="宋体" w:hAnsi="宋体" w:cs="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14</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项目业绩</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）其他必要提供的资料。</w:t>
      </w:r>
    </w:p>
    <w:p>
      <w:pPr>
        <w:spacing w:line="460" w:lineRule="exact"/>
        <w:ind w:firstLine="442" w:firstLineChars="200"/>
        <w:rPr>
          <w:rFonts w:ascii="宋体" w:hAnsi="宋体" w:cs="宋体"/>
          <w:b/>
          <w:color w:val="auto"/>
          <w:sz w:val="22"/>
          <w:szCs w:val="22"/>
          <w:highlight w:val="none"/>
          <w:lang w:val="zh-CN"/>
        </w:rPr>
      </w:pPr>
      <w:r>
        <w:rPr>
          <w:rFonts w:hint="eastAsia" w:ascii="宋体" w:hAnsi="宋体" w:cs="宋体"/>
          <w:b/>
          <w:color w:val="auto"/>
          <w:sz w:val="22"/>
          <w:szCs w:val="22"/>
          <w:highlight w:val="none"/>
          <w:lang w:val="zh-CN"/>
        </w:rPr>
        <w:t>投标文件中所需的各种证书、证件、证明资料如是复印件，须在复印件上加盖有效公章。</w:t>
      </w:r>
    </w:p>
    <w:p>
      <w:pPr>
        <w:pStyle w:val="28"/>
        <w:snapToGrid w:val="0"/>
        <w:spacing w:line="460" w:lineRule="exact"/>
        <w:ind w:firstLine="442" w:firstLineChars="200"/>
        <w:rPr>
          <w:rFonts w:hAnsi="宋体" w:cs="宋体"/>
          <w:bCs/>
          <w:color w:val="auto"/>
          <w:sz w:val="22"/>
          <w:szCs w:val="22"/>
          <w:highlight w:val="none"/>
        </w:rPr>
      </w:pPr>
      <w:r>
        <w:rPr>
          <w:rFonts w:hint="eastAsia" w:hAnsi="宋体" w:cs="宋体"/>
          <w:color w:val="auto"/>
          <w:sz w:val="22"/>
          <w:szCs w:val="22"/>
          <w:highlight w:val="none"/>
          <w:lang w:val="zh-CN"/>
        </w:rPr>
        <w:t>投标人的</w:t>
      </w:r>
      <w:r>
        <w:rPr>
          <w:rFonts w:hint="eastAsia" w:hAnsi="宋体" w:cs="宋体"/>
          <w:color w:val="auto"/>
          <w:sz w:val="22"/>
          <w:szCs w:val="22"/>
          <w:highlight w:val="none"/>
        </w:rPr>
        <w:t>投标文件必须按照招标文件要求制作</w:t>
      </w:r>
      <w:r>
        <w:rPr>
          <w:rFonts w:hint="eastAsia" w:hAnsi="宋体" w:cs="宋体"/>
          <w:bCs/>
          <w:color w:val="auto"/>
          <w:sz w:val="22"/>
          <w:szCs w:val="22"/>
          <w:highlight w:val="none"/>
        </w:rPr>
        <w:t>。</w:t>
      </w:r>
    </w:p>
    <w:p>
      <w:pPr>
        <w:pStyle w:val="28"/>
        <w:snapToGrid w:val="0"/>
        <w:spacing w:line="460" w:lineRule="exact"/>
        <w:ind w:firstLine="440" w:firstLineChars="200"/>
        <w:rPr>
          <w:rFonts w:hAnsi="宋体" w:cs="宋体"/>
          <w:b w:val="0"/>
          <w:bCs/>
          <w:color w:val="auto"/>
          <w:sz w:val="22"/>
          <w:szCs w:val="22"/>
          <w:highlight w:val="none"/>
        </w:rPr>
      </w:pPr>
      <w:r>
        <w:rPr>
          <w:rFonts w:hint="eastAsia" w:hAnsi="宋体" w:cs="宋体"/>
          <w:b w:val="0"/>
          <w:bCs/>
          <w:color w:val="auto"/>
          <w:sz w:val="22"/>
          <w:szCs w:val="22"/>
          <w:highlight w:val="none"/>
        </w:rPr>
        <w:t>投标人可在招标文件中对招标货物的技术规格和要求选用替代标准，但这些替代标准必须相当于或优于招标文件中提出的相应要求，并使招标人满意，同时在技术偏离表中作出详细说明。</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bCs/>
          <w:color w:val="auto"/>
          <w:sz w:val="22"/>
          <w:szCs w:val="22"/>
          <w:highlight w:val="none"/>
        </w:rPr>
        <w:t>4、投标报价</w:t>
      </w:r>
    </w:p>
    <w:p>
      <w:pPr>
        <w:spacing w:line="460" w:lineRule="exact"/>
        <w:ind w:firstLine="541" w:firstLineChars="245"/>
        <w:rPr>
          <w:rFonts w:ascii="宋体" w:hAnsi="宋体" w:cs="宋体"/>
          <w:color w:val="auto"/>
          <w:sz w:val="22"/>
          <w:szCs w:val="22"/>
          <w:highlight w:val="none"/>
        </w:rPr>
      </w:pPr>
      <w:r>
        <w:rPr>
          <w:rFonts w:hint="eastAsia" w:ascii="宋体" w:hAnsi="宋体" w:cs="宋体"/>
          <w:b/>
          <w:color w:val="auto"/>
          <w:sz w:val="22"/>
          <w:highlight w:val="none"/>
        </w:rPr>
        <w:t>4.1投标报价为完成项目所可能发生的全部费用，包括但不限于投标人各项成本支出、合理的利润、应交纳的税金及采购代理费用等，完成合同所需的一切本身和不可或缺的所有工作开支、政策性文件规定及合同包含的所有风险、责任等各项全部费用。</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4.2投标人必须按附件中的投标报价一览表、投标分项报价表内容填写价格，并由投标人代表签署。</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4.3</w:t>
      </w:r>
      <w:r>
        <w:rPr>
          <w:rFonts w:hint="eastAsia" w:ascii="宋体" w:hAnsi="宋体" w:cs="宋体"/>
          <w:b/>
          <w:color w:val="auto"/>
          <w:sz w:val="22"/>
          <w:highlight w:val="none"/>
        </w:rPr>
        <w:t>投标货币以人民币进行投标</w:t>
      </w:r>
      <w:r>
        <w:rPr>
          <w:rFonts w:hint="eastAsia" w:ascii="宋体" w:hAnsi="宋体" w:cs="宋体"/>
          <w:b/>
          <w:color w:val="auto"/>
          <w:sz w:val="22"/>
          <w:szCs w:val="22"/>
          <w:highlight w:val="none"/>
        </w:rPr>
        <w:t>。</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4.4</w:t>
      </w:r>
      <w:r>
        <w:rPr>
          <w:rFonts w:hint="eastAsia" w:ascii="宋体" w:hAnsi="宋体" w:cs="宋体"/>
          <w:b/>
          <w:color w:val="auto"/>
          <w:sz w:val="22"/>
          <w:highlight w:val="none"/>
        </w:rPr>
        <w:t>招标人和招标代理机构不接受任何选择投标，对任何服务只允许一个价格。</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4.5招标人和</w:t>
      </w:r>
      <w:r>
        <w:rPr>
          <w:rFonts w:hint="eastAsia" w:ascii="宋体" w:hAnsi="宋体" w:cs="宋体"/>
          <w:color w:val="auto"/>
          <w:sz w:val="22"/>
          <w:highlight w:val="none"/>
        </w:rPr>
        <w:t>招标代理机构</w:t>
      </w:r>
      <w:r>
        <w:rPr>
          <w:rFonts w:hint="eastAsia" w:ascii="宋体" w:hAnsi="宋体" w:cs="宋体"/>
          <w:color w:val="auto"/>
          <w:sz w:val="22"/>
          <w:szCs w:val="22"/>
          <w:highlight w:val="none"/>
        </w:rPr>
        <w:t>要求分类报价是为了方便评标，但在任何情况下不限制招标人以其认为最合适的条款、条件签订合同的权利。</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4.6投标报价报出后，投标人不得以任何理由予以变更。任何包含价格调整的要求，将被认为是非实质性响应投标而予以否决。</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4.7最低报价不能作为中标的保证。</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bCs/>
          <w:color w:val="auto"/>
          <w:sz w:val="22"/>
          <w:szCs w:val="22"/>
          <w:highlight w:val="none"/>
        </w:rPr>
        <w:t>5、投标有效期</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5.1自开标之日起</w:t>
      </w:r>
      <w:r>
        <w:rPr>
          <w:rFonts w:hint="eastAsia" w:ascii="宋体" w:hAnsi="宋体" w:cs="宋体"/>
          <w:b/>
          <w:bCs/>
          <w:color w:val="auto"/>
          <w:sz w:val="22"/>
          <w:szCs w:val="22"/>
          <w:highlight w:val="none"/>
        </w:rPr>
        <w:t xml:space="preserve"> 120 </w:t>
      </w:r>
      <w:r>
        <w:rPr>
          <w:rFonts w:hint="eastAsia" w:ascii="宋体" w:hAnsi="宋体" w:cs="宋体"/>
          <w:b/>
          <w:color w:val="auto"/>
          <w:sz w:val="22"/>
          <w:szCs w:val="22"/>
          <w:highlight w:val="none"/>
        </w:rPr>
        <w:t>天内投标应保持有效。</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6、投标保证金</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无。</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7、投标文件编制</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7.1本项目通过“政府采购云平台（http://zfcg.czt.zj.gov.cn）”实行在线投标响应（电子投标）。供应商应通过“政采云电子交易客户端”，并按照本招标文件和“政府采购云平台”的要求编制并加密投标文件。</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7.2投标人应当按照本章节 “投标文件的构成”规定的内容及顺序在“政采云电子交易客户端”编制投标文件。其中《资格文件》和《商务技术文件》中不得出现本项目投标报价。</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7.3本文件《第三部分  附件》中有提供格式的，投标人须参照格式进行编制（格式中要求提供相关证明材料的还需后附相关证明材料），并按格式要求在指定位置根据要求进行签章，否则视为未提供；本文件《第三部分  附件》未提供格式的，请各投标人自行拟定格式，并加盖单位公章并由法定代表人或其授权代表签署（签字或盖章），否则视为未提供。</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7.4《投标文件》内容不完整、编排混乱导致《投标文件》被误读、漏读或者查找不到相关内容的，投标人自行负责。</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7.5《投标文件》因字迹潦草或表达不清所引起的后果由投标人负责。</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7.6投标人没有按照本章节 “投标文件的构成”要求提供全部资料，或者没有仔细阅读招标文件，或者没有对招标文件在各方面的要求作出实质性响应是投标人的风险，由此造成的一切后果由投标人自行承担。</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8、投标文件的签章</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8.1《投标文件》的签章：见《前附表》；</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8.2《投标文件》应由投标人法定代表人或其授权代表签字（或盖章），并时加盖投标人公章。</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8.3电子签章操作指南详见采购公告附件《供应商项目采购-电子招投标操作指南》。</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9、投标文件的形式</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9.1投标文件的形式：见《前附表》；</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9.2“电子加密投标文件”：“电子加密投标文件”是指通过“政采云电子交易客户端”完成投标文件编制后生成并加密的数据电文形式的投标文件。</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9.3“备份投标文件”：“备份投标文件”是指与“电子加密投标文件”同时生成的数据电文形式的电子文件（备份标书），其他方式编制的“备份投标文件”视为无效的“备份投标文件”。</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10、投标文件的份数</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10.1投标文件的份数：见《前附表》。</w:t>
      </w:r>
    </w:p>
    <w:p>
      <w:pPr>
        <w:spacing w:before="100" w:beforeAutospacing="1" w:after="100" w:afterAutospacing="1" w:line="440" w:lineRule="exact"/>
        <w:jc w:val="center"/>
        <w:outlineLvl w:val="1"/>
        <w:rPr>
          <w:rFonts w:ascii="宋体" w:hAnsi="宋体" w:cs="宋体"/>
          <w:b/>
          <w:bCs/>
          <w:color w:val="auto"/>
          <w:sz w:val="22"/>
          <w:szCs w:val="22"/>
          <w:highlight w:val="none"/>
        </w:rPr>
      </w:pPr>
      <w:bookmarkStart w:id="16" w:name="_Toc15422"/>
      <w:bookmarkStart w:id="17" w:name="_Toc18542"/>
      <w:r>
        <w:rPr>
          <w:rFonts w:hint="eastAsia" w:ascii="宋体" w:hAnsi="宋体" w:cs="宋体"/>
          <w:b/>
          <w:bCs/>
          <w:color w:val="auto"/>
          <w:sz w:val="22"/>
          <w:szCs w:val="22"/>
          <w:highlight w:val="none"/>
        </w:rPr>
        <w:t>四、 投标文件的递交</w:t>
      </w:r>
      <w:bookmarkEnd w:id="16"/>
      <w:bookmarkEnd w:id="17"/>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1、投标文件的上传和递交</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1.1“投标文件”的上传、递交：见《前附表》。</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2、“电子加密投标文件”解密和异常情况处理</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2.1“电子加密投标文件”解密：见《前附表》。</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3、投标文件的补充、修改或撤回</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3.2投标截止时间后，投标人不得撤回、修改《投标文件》。</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4、投标文件的备选方案</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4.1投标人不得递交任何的投标备选（替代）方案，否则其投标文件将作无效标处理。与“电子加密投标文件”同时生成的“备份投标文件”不是投标备选（替代）方案。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ascii="宋体" w:hAnsi="宋体" w:cs="宋体"/>
          <w:b/>
          <w:bCs/>
          <w:color w:val="auto"/>
          <w:sz w:val="22"/>
          <w:szCs w:val="22"/>
          <w:highlight w:val="none"/>
        </w:rPr>
      </w:pPr>
      <w:bookmarkStart w:id="18" w:name="_Toc30172"/>
      <w:bookmarkStart w:id="19" w:name="_Toc8079"/>
      <w:r>
        <w:rPr>
          <w:rFonts w:hint="eastAsia" w:ascii="宋体" w:hAnsi="宋体" w:cs="宋体"/>
          <w:b/>
          <w:bCs/>
          <w:color w:val="auto"/>
          <w:sz w:val="22"/>
          <w:szCs w:val="22"/>
          <w:highlight w:val="none"/>
        </w:rPr>
        <w:t>五、 开标和评标</w:t>
      </w:r>
      <w:bookmarkEnd w:id="18"/>
      <w:bookmarkEnd w:id="19"/>
    </w:p>
    <w:p>
      <w:pPr>
        <w:spacing w:line="460" w:lineRule="exact"/>
        <w:ind w:firstLine="541" w:firstLineChars="245"/>
        <w:rPr>
          <w:rFonts w:ascii="宋体" w:hAnsi="宋体" w:cs="宋体"/>
          <w:b/>
          <w:color w:val="auto"/>
          <w:sz w:val="22"/>
          <w:szCs w:val="22"/>
          <w:highlight w:val="none"/>
        </w:rPr>
      </w:pPr>
      <w:r>
        <w:rPr>
          <w:rFonts w:hint="eastAsia" w:ascii="宋体" w:hAnsi="宋体" w:cs="宋体"/>
          <w:b/>
          <w:bCs/>
          <w:color w:val="auto"/>
          <w:sz w:val="22"/>
          <w:szCs w:val="22"/>
          <w:highlight w:val="none"/>
        </w:rPr>
        <w:t>1、评标委员会</w:t>
      </w:r>
    </w:p>
    <w:p>
      <w:pPr>
        <w:spacing w:line="460" w:lineRule="exact"/>
        <w:ind w:firstLine="539" w:firstLineChars="245"/>
        <w:rPr>
          <w:rFonts w:ascii="宋体" w:hAnsi="宋体" w:cs="宋体"/>
          <w:b/>
          <w:color w:val="auto"/>
          <w:sz w:val="22"/>
          <w:szCs w:val="22"/>
          <w:highlight w:val="none"/>
        </w:rPr>
      </w:pPr>
      <w:r>
        <w:rPr>
          <w:rFonts w:hint="eastAsia" w:ascii="宋体" w:hAnsi="宋体" w:cs="宋体"/>
          <w:bCs/>
          <w:color w:val="auto"/>
          <w:sz w:val="22"/>
          <w:szCs w:val="22"/>
          <w:highlight w:val="none"/>
        </w:rPr>
        <w:t>招标人和招标代理机构组建评标委员会。评标委员会的成员在评标过程中必须严格遵守《政府采购法》等有关法律、法规的规定。</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2、评标过程的保密性</w:t>
      </w:r>
    </w:p>
    <w:p>
      <w:pPr>
        <w:spacing w:line="460" w:lineRule="exact"/>
        <w:ind w:firstLine="539" w:firstLineChars="245"/>
        <w:rPr>
          <w:rFonts w:ascii="宋体" w:hAnsi="宋体" w:cs="宋体"/>
          <w:color w:val="auto"/>
          <w:sz w:val="22"/>
          <w:szCs w:val="22"/>
          <w:highlight w:val="none"/>
        </w:rPr>
      </w:pPr>
      <w:r>
        <w:rPr>
          <w:rFonts w:hint="eastAsia" w:ascii="宋体" w:hAnsi="宋体" w:cs="宋体"/>
          <w:bCs/>
          <w:color w:val="auto"/>
          <w:sz w:val="22"/>
          <w:szCs w:val="22"/>
          <w:highlight w:val="none"/>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3、开标形式</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 xml:space="preserve"> 采购组织机构将按照招标文件规定的时间通过“政府采购云平台”组织开标、开启投标文件，所有供应商均应当准时(在线)参加。</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4、开标准备</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4.1开标的准备工作由采购组织机构负责落实；</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4.2</w:t>
      </w:r>
      <w:r>
        <w:rPr>
          <w:rFonts w:hint="eastAsia" w:ascii="宋体" w:hAnsi="宋体" w:cs="宋体"/>
          <w:b/>
          <w:color w:val="auto"/>
          <w:sz w:val="22"/>
          <w:szCs w:val="22"/>
          <w:highlight w:val="none"/>
        </w:rPr>
        <w:t>采购组织机构将按照招标文件规定的时间通过“政府采购云平台”组织开标、开启投标文件，所有供应商均应当准时(在线)参加。</w:t>
      </w:r>
      <w:r>
        <w:rPr>
          <w:rFonts w:hint="eastAsia" w:ascii="宋体" w:hAnsi="宋体" w:cs="宋体"/>
          <w:b/>
          <w:color w:val="auto"/>
          <w:kern w:val="0"/>
          <w:sz w:val="22"/>
          <w:szCs w:val="22"/>
          <w:highlight w:val="none"/>
        </w:rPr>
        <w:t>投标人如不参加开标大会的，视同认可开标结果，事后不得对采购相关人员、开标过程和开标结果提出异议，同时投标人因未在线参加开标而导致投标文件无法按时解密等一切后果由供应商自己承担。</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5、开标流程</w:t>
      </w:r>
    </w:p>
    <w:p>
      <w:pPr>
        <w:spacing w:line="460" w:lineRule="exact"/>
        <w:ind w:firstLine="541" w:firstLineChars="245"/>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5.1开标、评标</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kern w:val="0"/>
          <w:sz w:val="22"/>
          <w:szCs w:val="22"/>
          <w:highlight w:val="none"/>
        </w:rPr>
        <w:t>（1）向各投标人发出电子加密投标文件【开始解密】通知，由供应商按招标文件规定的时间内自行进行投标文件解密。投标人在规定的时间内无法完成已递交的“电子加密投标文件”解密的，如已按规 定递交了备份投标文件的，将由采购组织机构按“政府采购云平台”操作规范将备份投标文件上传至“政府采购云平台”，上传成功后，“电子加密投标文件”自动失效；</w:t>
      </w:r>
    </w:p>
    <w:p>
      <w:pPr>
        <w:spacing w:line="460" w:lineRule="exact"/>
        <w:ind w:firstLine="539" w:firstLineChars="245"/>
        <w:rPr>
          <w:rFonts w:ascii="宋体" w:hAnsi="宋体" w:cs="宋体"/>
          <w:color w:val="auto"/>
          <w:highlight w:val="none"/>
        </w:rPr>
      </w:pPr>
      <w:r>
        <w:rPr>
          <w:rFonts w:hint="eastAsia" w:ascii="宋体" w:hAnsi="宋体" w:cs="宋体"/>
          <w:bCs/>
          <w:color w:val="auto"/>
          <w:sz w:val="22"/>
          <w:szCs w:val="22"/>
          <w:highlight w:val="none"/>
        </w:rPr>
        <w:t>投标人不足3家的，不得开标。</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（2）解密成功后，开启投标人的《报价文件》，由供应商对自己报价文件相关内容进行签字确认，（不予确认的应说明理由，否则视为无异议）。</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（3）开启《投标文件》，进入资格审查；</w:t>
      </w:r>
      <w:r>
        <w:rPr>
          <w:rFonts w:hint="eastAsia" w:ascii="宋体" w:hAnsi="宋体" w:cs="宋体"/>
          <w:bCs/>
          <w:color w:val="auto"/>
          <w:sz w:val="22"/>
          <w:szCs w:val="22"/>
          <w:highlight w:val="none"/>
        </w:rPr>
        <w:t>合格投标人不足3家的，不得评标。</w:t>
      </w:r>
    </w:p>
    <w:p>
      <w:pPr>
        <w:spacing w:line="460" w:lineRule="exact"/>
        <w:ind w:firstLine="541" w:firstLineChars="245"/>
        <w:rPr>
          <w:rFonts w:ascii="宋体" w:hAnsi="宋体" w:cs="宋体"/>
          <w:color w:val="auto"/>
          <w:kern w:val="0"/>
          <w:sz w:val="22"/>
          <w:szCs w:val="22"/>
          <w:highlight w:val="none"/>
        </w:rPr>
      </w:pPr>
      <w:r>
        <w:rPr>
          <w:rFonts w:hint="eastAsia" w:ascii="宋体" w:hAnsi="宋体" w:cs="宋体"/>
          <w:b/>
          <w:color w:val="auto"/>
          <w:kern w:val="0"/>
          <w:sz w:val="22"/>
          <w:szCs w:val="22"/>
          <w:highlight w:val="none"/>
        </w:rPr>
        <w:t>备注：开标大会的结束后，招标人或采购代理机构将对依法对投标人的资格进行审查，资格审查结束后进入符合性审查和商务技术的评审工作，具体见本章节“投标人资格审查”相关规定。</w:t>
      </w:r>
    </w:p>
    <w:p>
      <w:pPr>
        <w:spacing w:line="460" w:lineRule="exact"/>
        <w:ind w:firstLine="539" w:firstLineChars="245"/>
        <w:rPr>
          <w:rFonts w:ascii="宋体" w:hAnsi="宋体" w:cs="宋体"/>
          <w:bCs/>
          <w:color w:val="auto"/>
          <w:sz w:val="22"/>
          <w:szCs w:val="22"/>
          <w:highlight w:val="none"/>
        </w:rPr>
      </w:pPr>
      <w:r>
        <w:rPr>
          <w:rFonts w:hint="eastAsia" w:ascii="宋体" w:hAnsi="宋体" w:cs="宋体"/>
          <w:color w:val="auto"/>
          <w:kern w:val="0"/>
          <w:sz w:val="22"/>
          <w:szCs w:val="22"/>
          <w:highlight w:val="none"/>
        </w:rPr>
        <w:t>（4）开启资格审查通过的投标人的商务技术文件进入符合性审查，</w:t>
      </w:r>
      <w:r>
        <w:rPr>
          <w:rFonts w:hint="eastAsia" w:ascii="宋体" w:hAnsi="宋体" w:cs="宋体"/>
          <w:bCs/>
          <w:color w:val="auto"/>
          <w:sz w:val="22"/>
          <w:szCs w:val="22"/>
          <w:highlight w:val="none"/>
        </w:rPr>
        <w:t>以确定其是否满足招标文件的实质性要求，合格投标人不足3家的，不得评标。</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ascii="宋体" w:hAnsi="宋体" w:cs="宋体"/>
          <w:color w:val="auto"/>
          <w:highlight w:val="none"/>
        </w:rPr>
      </w:pPr>
      <w:r>
        <w:rPr>
          <w:rFonts w:hint="eastAsia" w:ascii="宋体" w:hAnsi="宋体" w:cs="宋体"/>
          <w:bCs/>
          <w:color w:val="auto"/>
          <w:sz w:val="22"/>
          <w:szCs w:val="22"/>
          <w:highlight w:val="none"/>
        </w:rPr>
        <w:t>（5）对通过资格审查、符合性审查的合格供应商进行商务技术部分的评审。</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（6）评标委员会对报价的合理性、准确性等进行审查核实。</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（7）评审结束后，公布中标（成交）候选供应商名单及招标人最终确定中标或成交供应商名单的时间和公告方式等，未在场的投标人通过发送邮件形式通知。</w:t>
      </w:r>
    </w:p>
    <w:p>
      <w:pPr>
        <w:spacing w:line="460" w:lineRule="exact"/>
        <w:ind w:firstLine="541" w:firstLineChars="245"/>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特别说明：如遇“政府采购云平台”电子化开标或评审程序调整的，按调整后程序执行。</w:t>
      </w:r>
    </w:p>
    <w:p>
      <w:pPr>
        <w:spacing w:line="460" w:lineRule="exact"/>
        <w:ind w:firstLine="539" w:firstLineChars="245"/>
        <w:rPr>
          <w:rFonts w:ascii="宋体" w:hAnsi="宋体" w:cs="宋体"/>
          <w:color w:val="auto"/>
          <w:sz w:val="22"/>
          <w:szCs w:val="22"/>
          <w:highlight w:val="none"/>
        </w:rPr>
      </w:pPr>
      <w:bookmarkStart w:id="20" w:name="_Toc33194393"/>
      <w:bookmarkStart w:id="21" w:name="_Toc24550037"/>
      <w:r>
        <w:rPr>
          <w:rFonts w:hint="eastAsia" w:ascii="宋体" w:hAnsi="宋体" w:cs="宋体"/>
          <w:color w:val="auto"/>
          <w:sz w:val="22"/>
          <w:szCs w:val="22"/>
          <w:highlight w:val="none"/>
        </w:rPr>
        <w:t>6、投标人资格审查</w:t>
      </w:r>
      <w:bookmarkEnd w:id="20"/>
      <w:bookmarkEnd w:id="21"/>
    </w:p>
    <w:p>
      <w:pPr>
        <w:spacing w:line="460" w:lineRule="exact"/>
        <w:ind w:firstLine="541" w:firstLineChars="245"/>
        <w:rPr>
          <w:rFonts w:ascii="宋体" w:hAnsi="宋体" w:cs="宋体"/>
          <w:color w:val="auto"/>
          <w:sz w:val="22"/>
          <w:szCs w:val="22"/>
          <w:highlight w:val="none"/>
        </w:rPr>
      </w:pPr>
      <w:r>
        <w:rPr>
          <w:rFonts w:hint="eastAsia" w:ascii="宋体" w:hAnsi="宋体" w:cs="宋体"/>
          <w:b/>
          <w:color w:val="auto"/>
          <w:sz w:val="22"/>
          <w:szCs w:val="22"/>
          <w:highlight w:val="none"/>
        </w:rPr>
        <w:t>6.1开标大会结束后，招标人或采购代理机构首先依法对各投标人的资格进行审查，审查各投标人的资格是否满足招标文件的要求。</w:t>
      </w:r>
      <w:r>
        <w:rPr>
          <w:rFonts w:hint="eastAsia" w:ascii="宋体" w:hAnsi="宋体" w:cs="宋体"/>
          <w:color w:val="auto"/>
          <w:sz w:val="22"/>
          <w:szCs w:val="22"/>
          <w:highlight w:val="none"/>
        </w:rPr>
        <w:t>招标人或采购代理机构对投标人所提交的资格证明材料仅负审核的责任。如发现投标人所提交的资格证明材料不合法或与事实不符，招标人可取消其中标资格并追究投标人的法律责任。</w:t>
      </w:r>
    </w:p>
    <w:p>
      <w:pPr>
        <w:spacing w:line="460" w:lineRule="exact"/>
        <w:ind w:firstLine="541" w:firstLineChars="245"/>
        <w:rPr>
          <w:rFonts w:ascii="宋体" w:hAnsi="宋体" w:cs="宋体"/>
          <w:b/>
          <w:color w:val="auto"/>
          <w:kern w:val="0"/>
          <w:sz w:val="22"/>
          <w:szCs w:val="22"/>
          <w:highlight w:val="none"/>
        </w:rPr>
      </w:pPr>
      <w:r>
        <w:rPr>
          <w:rFonts w:hint="eastAsia" w:ascii="宋体" w:hAnsi="宋体" w:cs="宋体"/>
          <w:b/>
          <w:color w:val="auto"/>
          <w:sz w:val="22"/>
          <w:szCs w:val="22"/>
          <w:highlight w:val="none"/>
        </w:rPr>
        <w:t>6.2投标人提交的资格证明材料无法证明其符合招标文件规定的“投标人资格要求”的，招标人或采购代理机构</w:t>
      </w:r>
      <w:r>
        <w:rPr>
          <w:rFonts w:hint="eastAsia" w:ascii="宋体" w:hAnsi="宋体" w:cs="宋体"/>
          <w:b/>
          <w:color w:val="auto"/>
          <w:kern w:val="0"/>
          <w:sz w:val="22"/>
          <w:szCs w:val="22"/>
          <w:highlight w:val="none"/>
        </w:rPr>
        <w:t>将对其作资格审查不通过处理（无效投标），并不再将其投标提交评标委员会进行后续评审。</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color w:val="auto"/>
          <w:sz w:val="22"/>
          <w:szCs w:val="22"/>
          <w:highlight w:val="none"/>
        </w:rPr>
        <w:t>6</w:t>
      </w:r>
      <w:r>
        <w:rPr>
          <w:rFonts w:hint="eastAsia" w:ascii="宋体" w:hAnsi="宋体" w:cs="宋体"/>
          <w:b/>
          <w:color w:val="auto"/>
          <w:kern w:val="0"/>
          <w:sz w:val="22"/>
          <w:szCs w:val="22"/>
          <w:highlight w:val="none"/>
        </w:rPr>
        <w:t>.3单位负责人为同一人或者存在直接控股、管理关系的不同供应商参加同一合同项下的政府采购活动的，相关投标人均作资格无效处理。</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7、评标委员按照招标文件中规定的评标方法和标准，对投标文件进行商务和技术评估，综合比较与评价。</w:t>
      </w:r>
    </w:p>
    <w:p>
      <w:pPr>
        <w:spacing w:line="460" w:lineRule="exact"/>
        <w:ind w:firstLine="541" w:firstLineChars="245"/>
        <w:rPr>
          <w:rFonts w:ascii="宋体" w:hAnsi="宋体" w:cs="宋体"/>
          <w:b/>
          <w:color w:val="auto"/>
          <w:sz w:val="22"/>
          <w:szCs w:val="22"/>
          <w:highlight w:val="none"/>
          <w:u w:val="single"/>
        </w:rPr>
      </w:pPr>
      <w:r>
        <w:rPr>
          <w:rFonts w:hint="eastAsia" w:ascii="宋体" w:hAnsi="宋体" w:cs="宋体"/>
          <w:b/>
          <w:color w:val="auto"/>
          <w:sz w:val="22"/>
          <w:szCs w:val="22"/>
          <w:highlight w:val="none"/>
          <w:u w:val="single"/>
        </w:rPr>
        <w:t>8、投标人存在下列情况之一的，投标无效：</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（1）投标文件未按招标文件要求签署、盖章的；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（2）不具备招标文件中规定的资格要求的； </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（3）明显不符合招标文件中主要技术规格、技术标准的；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（4）投标文件内容不全或关键字迹模糊无法辨认的；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（5）报价超过招标文件中规定的预算金额的；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（6）投标人代表没有法定代表人合法、有效委托的；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（7）投标文件存在一个或一个以上备选（替代）投标方案的；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（8）仅提交“备份投标文件”的；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（9）投标文件含有招标人不能接受的附加条件的；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（10）法律、法规和招标文件规定的其他无效情形。</w:t>
      </w:r>
    </w:p>
    <w:p>
      <w:pPr>
        <w:spacing w:line="460" w:lineRule="exact"/>
        <w:ind w:firstLine="541" w:firstLineChars="245"/>
        <w:rPr>
          <w:rFonts w:ascii="宋体" w:hAnsi="宋体" w:cs="宋体"/>
          <w:b/>
          <w:bCs/>
          <w:color w:val="auto"/>
          <w:sz w:val="22"/>
          <w:szCs w:val="22"/>
          <w:highlight w:val="none"/>
          <w:u w:val="single"/>
        </w:rPr>
      </w:pPr>
      <w:r>
        <w:rPr>
          <w:rFonts w:hint="eastAsia" w:ascii="宋体" w:hAnsi="宋体" w:cs="宋体"/>
          <w:b/>
          <w:bCs/>
          <w:color w:val="auto"/>
          <w:sz w:val="22"/>
          <w:szCs w:val="22"/>
          <w:highlight w:val="none"/>
          <w:u w:val="single"/>
        </w:rPr>
        <w:t>9、有下列情形之一的，视为投标人串通投标，其投标无效</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（1）不同投标人的投标文件由同一单位或者个人编制；</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（2）不同投标人委托同一单位或者个人办理投标事宜；</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（3）不同投标人的投标文件载明的项目管理成员或者联系人员为同一人；</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（4）不同投标人的投标文件异常一致或者投标报价呈规律性差异；</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（5）不同投标人的投标文件相互混装。</w:t>
      </w:r>
    </w:p>
    <w:p>
      <w:pPr>
        <w:spacing w:line="460" w:lineRule="exact"/>
        <w:ind w:firstLine="541" w:firstLineChars="245"/>
        <w:rPr>
          <w:rFonts w:ascii="宋体" w:hAnsi="宋体" w:cs="宋体"/>
          <w:b/>
          <w:bCs/>
          <w:color w:val="auto"/>
          <w:sz w:val="22"/>
          <w:szCs w:val="22"/>
          <w:highlight w:val="none"/>
          <w:u w:val="single"/>
        </w:rPr>
      </w:pPr>
      <w:r>
        <w:rPr>
          <w:rFonts w:hint="eastAsia" w:ascii="宋体" w:hAnsi="宋体" w:cs="宋体"/>
          <w:b/>
          <w:bCs/>
          <w:color w:val="auto"/>
          <w:sz w:val="22"/>
          <w:szCs w:val="22"/>
          <w:highlight w:val="none"/>
          <w:u w:val="single"/>
        </w:rPr>
        <w:t>10、投标文件报价出现前后不一致的，按照下列规定修正：</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（1）系统上传的投标文件中开标一览表（报价表）（加盖公章）内容与投标文件中相应内容不一致的，以系统上传的投标文件中开标一览表（报价表）（加盖公章）为准；</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（2）大写金额和小写金额不一致的，以大写金额为准；</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（3）单价金额小数点或者百分比有明显错位的，以开标一览表的总价为准，并修改单价；</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（4）总价金额与按单价汇总金额不一致的，以单价金额计算结果为准。</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同时出现两种以上不一致的，按照前款规定的顺序修正。修正后的报价按照本小节第12条第12.2款的规定经投标人确认后产生约束力，投标人不确认的，其投标无效。</w:t>
      </w:r>
    </w:p>
    <w:p>
      <w:pPr>
        <w:spacing w:line="460" w:lineRule="exact"/>
        <w:ind w:firstLine="759" w:firstLineChars="345"/>
        <w:rPr>
          <w:rFonts w:ascii="宋体" w:hAnsi="宋体" w:cs="宋体"/>
          <w:bCs/>
          <w:color w:val="auto"/>
          <w:sz w:val="22"/>
          <w:szCs w:val="22"/>
          <w:highlight w:val="none"/>
        </w:rPr>
      </w:pPr>
      <w:r>
        <w:rPr>
          <w:rFonts w:hint="eastAsia" w:ascii="宋体" w:hAnsi="宋体" w:cs="宋体"/>
          <w:bCs/>
          <w:color w:val="auto"/>
          <w:sz w:val="22"/>
          <w:szCs w:val="22"/>
          <w:highlight w:val="none"/>
        </w:rPr>
        <w:t>11、标委员会成员对需要共同认定的事项存在争议的，应当按照少数服从多数的原则作出结论。持不同意见的评标委员会成员应当在评标报告上签署不同意见及理由，否则视为同意评标报告。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759" w:firstLineChars="345"/>
        <w:rPr>
          <w:rFonts w:ascii="宋体" w:hAnsi="宋体" w:cs="宋体"/>
          <w:bCs/>
          <w:color w:val="auto"/>
          <w:sz w:val="22"/>
          <w:szCs w:val="22"/>
          <w:highlight w:val="none"/>
        </w:rPr>
      </w:pPr>
      <w:r>
        <w:rPr>
          <w:rFonts w:hint="eastAsia" w:ascii="宋体" w:hAnsi="宋体" w:cs="宋体"/>
          <w:bCs/>
          <w:color w:val="auto"/>
          <w:sz w:val="22"/>
          <w:szCs w:val="22"/>
          <w:highlight w:val="none"/>
        </w:rPr>
        <w:t>12、投标文件的澄清</w:t>
      </w:r>
    </w:p>
    <w:p>
      <w:pPr>
        <w:spacing w:line="460" w:lineRule="exact"/>
        <w:ind w:firstLine="759" w:firstLineChars="345"/>
        <w:rPr>
          <w:rFonts w:ascii="宋体" w:hAnsi="宋体" w:cs="宋体"/>
          <w:bCs/>
          <w:color w:val="auto"/>
          <w:sz w:val="22"/>
          <w:szCs w:val="22"/>
          <w:highlight w:val="none"/>
        </w:rPr>
      </w:pPr>
      <w:r>
        <w:rPr>
          <w:rFonts w:hint="eastAsia" w:ascii="宋体" w:hAnsi="宋体" w:cs="宋体"/>
          <w:bCs/>
          <w:color w:val="auto"/>
          <w:sz w:val="22"/>
          <w:szCs w:val="22"/>
          <w:highlight w:val="none"/>
        </w:rPr>
        <w:t>12.1在评标期间，评标委员会可要求投标人对于投标文件中含义不明确、同类问题表述不一致或者有明显文字和计算错误的内容，评标委员会应当以书面形式（或通过“政府采购云平台”在线询标）要求投标人在规定的时间内作出必要的澄清、说明或者补正。投标人澄清、说明或补正时间为30分钟。</w:t>
      </w:r>
    </w:p>
    <w:p>
      <w:pPr>
        <w:spacing w:line="460" w:lineRule="exact"/>
        <w:ind w:firstLine="759" w:firstLineChars="345"/>
        <w:rPr>
          <w:rFonts w:ascii="宋体" w:hAnsi="宋体" w:cs="宋体"/>
          <w:bCs/>
          <w:color w:val="auto"/>
          <w:sz w:val="22"/>
          <w:szCs w:val="22"/>
          <w:highlight w:val="none"/>
        </w:rPr>
      </w:pPr>
      <w:r>
        <w:rPr>
          <w:rFonts w:hint="eastAsia" w:ascii="宋体" w:hAnsi="宋体" w:cs="宋体"/>
          <w:bCs/>
          <w:color w:val="auto"/>
          <w:sz w:val="22"/>
          <w:szCs w:val="22"/>
          <w:highlight w:val="none"/>
        </w:rPr>
        <w:t>12.2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759" w:firstLineChars="345"/>
        <w:rPr>
          <w:rFonts w:ascii="宋体" w:hAnsi="宋体" w:cs="宋体"/>
          <w:b/>
          <w:color w:val="auto"/>
          <w:sz w:val="22"/>
          <w:szCs w:val="22"/>
          <w:highlight w:val="none"/>
        </w:rPr>
      </w:pPr>
      <w:r>
        <w:rPr>
          <w:rFonts w:hint="eastAsia" w:ascii="宋体" w:hAnsi="宋体" w:cs="宋体"/>
          <w:color w:val="auto"/>
          <w:sz w:val="22"/>
          <w:szCs w:val="22"/>
          <w:highlight w:val="none"/>
        </w:rPr>
        <w:t>拒不按要求对其投标文件进行澄清，说明或补正的投标人，评标委员会可以否决其投标。</w:t>
      </w:r>
    </w:p>
    <w:p>
      <w:pPr>
        <w:spacing w:line="460" w:lineRule="exact"/>
        <w:ind w:firstLine="759" w:firstLineChars="345"/>
        <w:rPr>
          <w:rFonts w:ascii="宋体" w:hAnsi="宋体" w:cs="宋体"/>
          <w:b/>
          <w:color w:val="auto"/>
          <w:sz w:val="22"/>
          <w:szCs w:val="22"/>
          <w:highlight w:val="none"/>
        </w:rPr>
      </w:pPr>
      <w:r>
        <w:rPr>
          <w:rFonts w:hint="eastAsia" w:ascii="宋体" w:hAnsi="宋体" w:cs="宋体"/>
          <w:color w:val="auto"/>
          <w:sz w:val="22"/>
          <w:szCs w:val="22"/>
          <w:highlight w:val="none"/>
        </w:rPr>
        <w:t>12.2</w:t>
      </w:r>
      <w:r>
        <w:rPr>
          <w:rFonts w:hint="eastAsia" w:ascii="宋体" w:hAnsi="宋体" w:cs="宋体"/>
          <w:b/>
          <w:color w:val="auto"/>
          <w:sz w:val="22"/>
          <w:szCs w:val="22"/>
          <w:highlight w:val="none"/>
        </w:rPr>
        <w:t>经澄清后，若偏差仍存在，且不可接受，投标人则被认为是“没有实质性响应招标文件要求”，其投标将被拒绝。</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13、评审结果的修改</w:t>
      </w:r>
    </w:p>
    <w:p>
      <w:pPr>
        <w:spacing w:line="460" w:lineRule="exact"/>
        <w:ind w:firstLine="762" w:firstLineChars="345"/>
        <w:rPr>
          <w:rFonts w:ascii="宋体" w:hAnsi="宋体" w:cs="宋体"/>
          <w:b/>
          <w:color w:val="auto"/>
          <w:sz w:val="22"/>
          <w:szCs w:val="22"/>
          <w:highlight w:val="none"/>
        </w:rPr>
      </w:pPr>
      <w:r>
        <w:rPr>
          <w:rFonts w:hint="eastAsia" w:ascii="宋体" w:hAnsi="宋体" w:cs="宋体"/>
          <w:b/>
          <w:color w:val="auto"/>
          <w:sz w:val="22"/>
          <w:szCs w:val="22"/>
          <w:highlight w:val="none"/>
        </w:rPr>
        <w:t>13.1评标结果汇总完成后，除下列情形外，任何人不得修改评标结果：</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（1）分值汇总计算错误的；</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（2）分项评分超出评分标准范围的；</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（3）评标委员会成员对客观评审因素评分不一致的；</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（4）经评标委员会认定评分畸高、畸低的。</w:t>
      </w:r>
    </w:p>
    <w:p>
      <w:pPr>
        <w:spacing w:line="460" w:lineRule="exact"/>
        <w:ind w:firstLine="759" w:firstLineChars="345"/>
        <w:rPr>
          <w:rFonts w:ascii="宋体" w:hAnsi="宋体" w:cs="宋体"/>
          <w:color w:val="auto"/>
          <w:highlight w:val="none"/>
        </w:rPr>
      </w:pPr>
      <w:r>
        <w:rPr>
          <w:rFonts w:hint="eastAsia" w:ascii="宋体" w:hAnsi="宋体" w:cs="宋体"/>
          <w:bCs/>
          <w:color w:val="auto"/>
          <w:sz w:val="22"/>
          <w:szCs w:val="22"/>
          <w:highlight w:val="none"/>
        </w:rPr>
        <w:t>13.2书面评标报告签署前，经复核发现存在以上情形之一的，评标委员会将当场修改评标结果，并在</w:t>
      </w:r>
      <w:r>
        <w:rPr>
          <w:rFonts w:hint="eastAsia" w:ascii="宋体" w:hAnsi="宋体" w:cs="宋体"/>
          <w:b/>
          <w:color w:val="auto"/>
          <w:sz w:val="22"/>
          <w:szCs w:val="22"/>
          <w:highlight w:val="none"/>
        </w:rPr>
        <w:t>评标报告中记载。</w:t>
      </w:r>
    </w:p>
    <w:p>
      <w:pPr>
        <w:spacing w:line="460" w:lineRule="exact"/>
        <w:ind w:firstLine="759" w:firstLineChars="345"/>
        <w:rPr>
          <w:rFonts w:ascii="宋体" w:hAnsi="宋体" w:cs="宋体"/>
          <w:b/>
          <w:color w:val="auto"/>
          <w:sz w:val="22"/>
          <w:szCs w:val="22"/>
          <w:highlight w:val="none"/>
        </w:rPr>
      </w:pPr>
      <w:r>
        <w:rPr>
          <w:rFonts w:hint="eastAsia" w:ascii="宋体" w:hAnsi="宋体" w:cs="宋体"/>
          <w:color w:val="auto"/>
          <w:sz w:val="22"/>
          <w:szCs w:val="22"/>
          <w:highlight w:val="none"/>
        </w:rPr>
        <w:t>14</w:t>
      </w: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确定中标候选人</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14.1由评标委员会确定中标候选人。</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14.2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762" w:firstLineChars="345"/>
        <w:rPr>
          <w:rFonts w:ascii="宋体" w:hAnsi="宋体" w:cs="宋体"/>
          <w:bCs/>
          <w:color w:val="auto"/>
          <w:sz w:val="22"/>
          <w:szCs w:val="22"/>
          <w:highlight w:val="none"/>
        </w:rPr>
      </w:pPr>
      <w:r>
        <w:rPr>
          <w:rFonts w:hint="eastAsia" w:ascii="宋体" w:hAnsi="宋体" w:cs="宋体"/>
          <w:b/>
          <w:bCs/>
          <w:color w:val="auto"/>
          <w:sz w:val="22"/>
          <w:szCs w:val="22"/>
          <w:highlight w:val="none"/>
        </w:rPr>
        <w:t>15、确定中标人</w:t>
      </w:r>
    </w:p>
    <w:p>
      <w:pPr>
        <w:spacing w:line="460" w:lineRule="exact"/>
        <w:ind w:firstLine="762" w:firstLineChars="345"/>
        <w:rPr>
          <w:rFonts w:ascii="宋体" w:hAnsi="宋体" w:cs="宋体"/>
          <w:b/>
          <w:bCs/>
          <w:color w:val="auto"/>
          <w:sz w:val="22"/>
          <w:szCs w:val="22"/>
          <w:highlight w:val="none"/>
        </w:rPr>
      </w:pPr>
      <w:r>
        <w:rPr>
          <w:rFonts w:hint="eastAsia" w:ascii="宋体" w:hAnsi="宋体" w:cs="宋体"/>
          <w:b/>
          <w:color w:val="auto"/>
          <w:sz w:val="22"/>
          <w:szCs w:val="22"/>
          <w:highlight w:val="none"/>
        </w:rPr>
        <w:t>15</w:t>
      </w:r>
      <w:r>
        <w:rPr>
          <w:rFonts w:hint="eastAsia" w:ascii="宋体" w:hAnsi="宋体" w:cs="宋体"/>
          <w:b/>
          <w:bCs/>
          <w:color w:val="auto"/>
          <w:sz w:val="22"/>
          <w:szCs w:val="22"/>
          <w:highlight w:val="none"/>
        </w:rPr>
        <w:t>.1招标人按照书面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15.2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16、起草、签署评审报告</w:t>
      </w:r>
    </w:p>
    <w:p>
      <w:pPr>
        <w:spacing w:line="460" w:lineRule="exact"/>
        <w:ind w:firstLine="759" w:firstLineChars="345"/>
        <w:rPr>
          <w:rFonts w:ascii="宋体" w:hAnsi="宋体" w:cs="宋体"/>
          <w:b/>
          <w:bCs/>
          <w:color w:val="auto"/>
          <w:sz w:val="22"/>
          <w:szCs w:val="22"/>
          <w:highlight w:val="none"/>
        </w:rPr>
      </w:pPr>
      <w:r>
        <w:rPr>
          <w:rFonts w:hint="eastAsia" w:ascii="宋体" w:hAnsi="宋体" w:cs="宋体"/>
          <w:color w:val="auto"/>
          <w:sz w:val="22"/>
          <w:szCs w:val="22"/>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17</w:t>
      </w: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中标人确定后，招标人将在政府指定媒体公告中标结果，招标人向中标人发出中标通知书。</w:t>
      </w:r>
    </w:p>
    <w:p>
      <w:pPr>
        <w:spacing w:line="460" w:lineRule="exact"/>
        <w:ind w:firstLine="759" w:firstLineChars="345"/>
        <w:rPr>
          <w:rFonts w:ascii="宋体" w:hAnsi="宋体" w:cs="宋体"/>
          <w:b/>
          <w:color w:val="auto"/>
          <w:sz w:val="22"/>
          <w:szCs w:val="22"/>
          <w:highlight w:val="none"/>
        </w:rPr>
      </w:pPr>
      <w:r>
        <w:rPr>
          <w:rFonts w:hint="eastAsia" w:ascii="宋体" w:hAnsi="宋体" w:cs="宋体"/>
          <w:color w:val="auto"/>
          <w:sz w:val="22"/>
          <w:szCs w:val="22"/>
          <w:highlight w:val="none"/>
        </w:rPr>
        <w:t>18、</w:t>
      </w:r>
      <w:r>
        <w:rPr>
          <w:rFonts w:hint="eastAsia" w:ascii="宋体" w:hAnsi="宋体" w:cs="宋体"/>
          <w:b/>
          <w:color w:val="auto"/>
          <w:sz w:val="22"/>
          <w:szCs w:val="22"/>
          <w:highlight w:val="none"/>
        </w:rPr>
        <w:t>招标人对决标结果不做任何解释，也不保证最低价中标。</w:t>
      </w:r>
    </w:p>
    <w:p>
      <w:pPr>
        <w:spacing w:line="460" w:lineRule="exact"/>
        <w:ind w:firstLine="762" w:firstLineChars="345"/>
        <w:rPr>
          <w:rFonts w:ascii="宋体" w:hAnsi="宋体" w:cs="宋体"/>
          <w:b/>
          <w:color w:val="auto"/>
          <w:sz w:val="22"/>
          <w:szCs w:val="22"/>
          <w:highlight w:val="none"/>
        </w:rPr>
      </w:pPr>
      <w:r>
        <w:rPr>
          <w:rFonts w:hint="eastAsia" w:ascii="宋体" w:hAnsi="宋体" w:cs="宋体"/>
          <w:b/>
          <w:color w:val="auto"/>
          <w:sz w:val="22"/>
          <w:szCs w:val="22"/>
          <w:highlight w:val="none"/>
        </w:rPr>
        <w:t>19、评标细则详见“评标原则及方法”。</w:t>
      </w:r>
    </w:p>
    <w:p>
      <w:pPr>
        <w:spacing w:before="100" w:beforeAutospacing="1" w:after="100" w:afterAutospacing="1" w:line="440" w:lineRule="exact"/>
        <w:jc w:val="center"/>
        <w:outlineLvl w:val="1"/>
        <w:rPr>
          <w:rFonts w:ascii="宋体" w:hAnsi="宋体" w:cs="宋体"/>
          <w:b/>
          <w:bCs/>
          <w:color w:val="auto"/>
          <w:sz w:val="26"/>
          <w:szCs w:val="26"/>
          <w:highlight w:val="none"/>
        </w:rPr>
      </w:pPr>
      <w:bookmarkStart w:id="22" w:name="_Toc21056"/>
      <w:bookmarkStart w:id="23" w:name="_Toc26836"/>
      <w:r>
        <w:rPr>
          <w:rFonts w:hint="eastAsia" w:ascii="宋体" w:hAnsi="宋体" w:cs="宋体"/>
          <w:b/>
          <w:bCs/>
          <w:color w:val="auto"/>
          <w:sz w:val="26"/>
          <w:szCs w:val="26"/>
          <w:highlight w:val="none"/>
        </w:rPr>
        <w:t>六、 授予合同</w:t>
      </w:r>
      <w:bookmarkEnd w:id="22"/>
      <w:bookmarkEnd w:id="23"/>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highlight w:val="none"/>
        </w:rPr>
        <w:t>1、中标通知书</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bCs/>
          <w:color w:val="auto"/>
          <w:sz w:val="22"/>
          <w:szCs w:val="22"/>
          <w:highlight w:val="none"/>
        </w:rPr>
        <w:t>1.1</w:t>
      </w:r>
      <w:r>
        <w:rPr>
          <w:rFonts w:hint="eastAsia" w:ascii="宋体" w:hAnsi="宋体" w:cs="宋体"/>
          <w:color w:val="auto"/>
          <w:sz w:val="22"/>
          <w:szCs w:val="22"/>
          <w:highlight w:val="none"/>
        </w:rPr>
        <w:t xml:space="preserve">中标人确定后，招标人将向中标人发出中标通知书。 </w:t>
      </w:r>
    </w:p>
    <w:p>
      <w:pPr>
        <w:spacing w:line="460" w:lineRule="exact"/>
        <w:ind w:firstLine="541" w:firstLineChars="245"/>
        <w:rPr>
          <w:rFonts w:ascii="宋体" w:hAnsi="宋体" w:cs="宋体"/>
          <w:color w:val="auto"/>
          <w:sz w:val="22"/>
          <w:szCs w:val="22"/>
          <w:highlight w:val="none"/>
        </w:rPr>
      </w:pPr>
      <w:r>
        <w:rPr>
          <w:rFonts w:hint="eastAsia" w:ascii="宋体" w:hAnsi="宋体" w:cs="宋体"/>
          <w:b/>
          <w:bCs/>
          <w:color w:val="auto"/>
          <w:sz w:val="22"/>
          <w:szCs w:val="22"/>
          <w:highlight w:val="none"/>
        </w:rPr>
        <w:t>1.2</w:t>
      </w:r>
      <w:r>
        <w:rPr>
          <w:rFonts w:hint="eastAsia" w:ascii="宋体" w:hAnsi="宋体" w:cs="宋体"/>
          <w:color w:val="auto"/>
          <w:sz w:val="22"/>
          <w:szCs w:val="22"/>
          <w:highlight w:val="none"/>
        </w:rPr>
        <w:t>中标通知书是合同的一个组成部分,对招标人和中标人均具有同等法律效力。</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highlight w:val="none"/>
        </w:rPr>
        <w:t>2、授标时更改采购货物数量的权力</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highlight w:val="none"/>
        </w:rPr>
        <w:t>3、签订合同</w:t>
      </w:r>
    </w:p>
    <w:p>
      <w:pPr>
        <w:spacing w:line="460" w:lineRule="exact"/>
        <w:ind w:firstLine="539" w:firstLineChars="245"/>
        <w:rPr>
          <w:rFonts w:ascii="宋体" w:hAnsi="宋体" w:cs="宋体"/>
          <w:b/>
          <w:color w:val="auto"/>
          <w:sz w:val="22"/>
          <w:szCs w:val="22"/>
          <w:highlight w:val="none"/>
        </w:rPr>
      </w:pPr>
      <w:r>
        <w:rPr>
          <w:rFonts w:hint="eastAsia" w:ascii="宋体" w:hAnsi="宋体" w:cs="宋体"/>
          <w:bCs/>
          <w:color w:val="auto"/>
          <w:sz w:val="22"/>
          <w:szCs w:val="22"/>
          <w:highlight w:val="none"/>
        </w:rPr>
        <w:t>3.1中标人应按中标通知书规定的时间、地点与招标人签订合同。</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3.2</w:t>
      </w:r>
      <w:r>
        <w:rPr>
          <w:rFonts w:hint="eastAsia" w:ascii="宋体" w:hAnsi="宋体" w:cs="宋体"/>
          <w:b/>
          <w:color w:val="auto"/>
          <w:spacing w:val="6"/>
          <w:sz w:val="22"/>
          <w:szCs w:val="22"/>
          <w:highlight w:val="none"/>
        </w:rPr>
        <w:t>在签订合同前，招标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3.4拒签合同的违约责任</w:t>
      </w:r>
    </w:p>
    <w:p>
      <w:pPr>
        <w:spacing w:line="460" w:lineRule="exact"/>
        <w:ind w:firstLine="571" w:firstLineChars="245"/>
        <w:rPr>
          <w:rFonts w:ascii="宋体" w:hAnsi="宋体" w:cs="宋体"/>
          <w:b/>
          <w:color w:val="auto"/>
          <w:spacing w:val="6"/>
          <w:sz w:val="22"/>
          <w:szCs w:val="22"/>
          <w:highlight w:val="none"/>
        </w:rPr>
      </w:pPr>
      <w:r>
        <w:rPr>
          <w:rFonts w:hint="eastAsia" w:ascii="宋体" w:hAnsi="宋体" w:cs="宋体"/>
          <w:b/>
          <w:color w:val="auto"/>
          <w:spacing w:val="6"/>
          <w:sz w:val="22"/>
          <w:szCs w:val="22"/>
          <w:highlight w:val="none"/>
        </w:rPr>
        <w:t>中标人接到中标通知书后，在规定时间内借故否认已经承诺的条件而拒签合同的，以违约处理。</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highlight w:val="none"/>
        </w:rPr>
        <w:t>4、质疑与投诉</w:t>
      </w:r>
    </w:p>
    <w:p>
      <w:pPr>
        <w:spacing w:line="460" w:lineRule="exact"/>
        <w:ind w:firstLine="539" w:firstLineChars="245"/>
        <w:rPr>
          <w:rFonts w:ascii="宋体" w:hAnsi="宋体" w:cs="宋体"/>
          <w:bCs/>
          <w:color w:val="auto"/>
          <w:sz w:val="22"/>
          <w:highlight w:val="none"/>
        </w:rPr>
      </w:pPr>
      <w:r>
        <w:rPr>
          <w:rFonts w:hint="eastAsia" w:ascii="宋体" w:hAnsi="宋体" w:cs="宋体"/>
          <w:color w:val="auto"/>
          <w:sz w:val="22"/>
          <w:highlight w:val="none"/>
        </w:rPr>
        <w:t>4.1</w:t>
      </w:r>
      <w:r>
        <w:rPr>
          <w:rFonts w:hint="eastAsia" w:ascii="宋体" w:hAnsi="宋体" w:cs="宋体"/>
          <w:b/>
          <w:color w:val="auto"/>
          <w:sz w:val="22"/>
          <w:highlight w:val="none"/>
        </w:rPr>
        <w:t>特别提醒：</w:t>
      </w:r>
      <w:r>
        <w:rPr>
          <w:rFonts w:hint="eastAsia" w:ascii="宋体" w:hAnsi="宋体" w:cs="宋体"/>
          <w:color w:val="auto"/>
          <w:sz w:val="22"/>
          <w:highlight w:val="none"/>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w:t>
      </w:r>
      <w:r>
        <w:rPr>
          <w:rFonts w:hint="eastAsia" w:ascii="宋体" w:hAnsi="宋体" w:cs="宋体"/>
          <w:bCs/>
          <w:color w:val="auto"/>
          <w:sz w:val="22"/>
          <w:highlight w:val="none"/>
        </w:rPr>
        <w:t>，供应商在法定质疑期内应一次性提出针对同一采购程序环节的质疑，否则</w:t>
      </w:r>
      <w:r>
        <w:rPr>
          <w:rFonts w:hint="eastAsia" w:ascii="新宋体" w:hAnsi="新宋体" w:eastAsia="新宋体" w:cs="新宋体"/>
          <w:color w:val="auto"/>
          <w:sz w:val="22"/>
          <w:szCs w:val="22"/>
          <w:highlight w:val="none"/>
        </w:rPr>
        <w:t>不予受理、答复</w:t>
      </w:r>
      <w:r>
        <w:rPr>
          <w:rFonts w:hint="eastAsia" w:ascii="宋体" w:hAnsi="宋体" w:cs="宋体"/>
          <w:bCs/>
          <w:color w:val="auto"/>
          <w:sz w:val="22"/>
          <w:highlight w:val="none"/>
        </w:rPr>
        <w:t>。</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highlight w:val="none"/>
        </w:rPr>
        <w:t>4.2招标人或招标代理机构在收到投标人的书面质疑后七个工作日内作出答复，但答复的内容不得涉及商业秘密。质疑投标人对招标人或招标代理机构的答复不满意，可以在答复期满后十五个工作日内向同级政府采购监督管理部门投诉。</w:t>
      </w:r>
    </w:p>
    <w:p>
      <w:pPr>
        <w:spacing w:line="460" w:lineRule="exact"/>
        <w:ind w:firstLine="539" w:firstLineChars="245"/>
        <w:rPr>
          <w:rFonts w:ascii="宋体" w:hAnsi="宋体" w:cs="宋体"/>
          <w:b/>
          <w:color w:val="auto"/>
          <w:sz w:val="22"/>
          <w:szCs w:val="22"/>
          <w:highlight w:val="none"/>
        </w:rPr>
      </w:pPr>
      <w:r>
        <w:rPr>
          <w:rFonts w:hint="eastAsia" w:ascii="宋体" w:hAnsi="宋体" w:cs="宋体"/>
          <w:bCs/>
          <w:color w:val="auto"/>
          <w:sz w:val="22"/>
          <w:highlight w:val="none"/>
        </w:rPr>
        <w:t>4.3投诉人投诉时，应提交投诉书，投诉书应当由本人并由法定代表人签字盖公章，投诉书应说明具体的投诉事项及事实依据。投诉人对投诉书的真实性负责，恶意投诉将承当相应的法律和民事责任。</w:t>
      </w:r>
    </w:p>
    <w:p>
      <w:pPr>
        <w:spacing w:line="420" w:lineRule="exact"/>
        <w:rPr>
          <w:rFonts w:ascii="宋体" w:hAnsi="宋体" w:cs="宋体"/>
          <w:color w:val="auto"/>
          <w:sz w:val="22"/>
          <w:highlight w:val="none"/>
        </w:rPr>
      </w:pPr>
    </w:p>
    <w:p>
      <w:pPr>
        <w:rPr>
          <w:rFonts w:ascii="宋体" w:hAnsi="宋体" w:cs="宋体"/>
          <w:color w:val="auto"/>
          <w:sz w:val="22"/>
          <w:highlight w:val="none"/>
        </w:rPr>
      </w:pPr>
      <w:r>
        <w:rPr>
          <w:rFonts w:hint="eastAsia" w:ascii="宋体" w:hAnsi="宋体" w:cs="宋体"/>
          <w:color w:val="auto"/>
          <w:sz w:val="22"/>
          <w:highlight w:val="none"/>
        </w:rPr>
        <w:br w:type="page"/>
      </w:r>
    </w:p>
    <w:p>
      <w:pPr>
        <w:pStyle w:val="2"/>
        <w:rPr>
          <w:rFonts w:ascii="宋体" w:hAnsi="宋体" w:eastAsia="宋体" w:cs="宋体"/>
          <w:color w:val="auto"/>
          <w:highlight w:val="none"/>
        </w:rPr>
      </w:pPr>
      <w:bookmarkStart w:id="24" w:name="_Toc19043"/>
      <w:bookmarkStart w:id="25" w:name="_Toc28194"/>
      <w:bookmarkStart w:id="26" w:name="_Toc18439"/>
      <w:bookmarkStart w:id="27" w:name="_Toc19081"/>
      <w:r>
        <w:rPr>
          <w:rFonts w:hint="eastAsia" w:ascii="宋体" w:hAnsi="宋体" w:eastAsia="宋体" w:cs="宋体"/>
          <w:color w:val="auto"/>
          <w:highlight w:val="none"/>
        </w:rPr>
        <w:t>第二部分    合同主要条款</w:t>
      </w:r>
      <w:bookmarkEnd w:id="24"/>
      <w:bookmarkEnd w:id="25"/>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注：如甲、乙双方同意，合同格式也可以按照其他形式, 具体条款以甲方为主协商确定。但合同条款的基本内容应与以下要求的内容相一致。</w:t>
      </w:r>
    </w:p>
    <w:p>
      <w:pPr>
        <w:spacing w:line="460" w:lineRule="exact"/>
        <w:ind w:firstLine="539" w:firstLineChars="245"/>
        <w:rPr>
          <w:rFonts w:hint="eastAsia" w:ascii="新宋体" w:hAnsi="新宋体" w:eastAsia="新宋体" w:cs="新宋体"/>
          <w:color w:val="auto"/>
          <w:sz w:val="22"/>
          <w:szCs w:val="22"/>
          <w:highlight w:val="none"/>
        </w:rPr>
      </w:pP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甲方：</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（招标人）</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乙方: </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（中标人）</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温州市第七人民医院的</w:t>
      </w:r>
      <w:r>
        <w:rPr>
          <w:rFonts w:hint="eastAsia" w:ascii="新宋体" w:hAnsi="新宋体" w:eastAsia="新宋体" w:cs="新宋体"/>
          <w:bCs/>
          <w:color w:val="auto"/>
          <w:sz w:val="22"/>
          <w:szCs w:val="22"/>
          <w:highlight w:val="none"/>
          <w:u w:val="single"/>
        </w:rPr>
        <w:t xml:space="preserve">             </w:t>
      </w:r>
      <w:r>
        <w:rPr>
          <w:rFonts w:hint="eastAsia" w:ascii="新宋体" w:hAnsi="新宋体" w:eastAsia="新宋体" w:cs="新宋体"/>
          <w:bCs/>
          <w:color w:val="auto"/>
          <w:sz w:val="22"/>
          <w:szCs w:val="22"/>
          <w:highlight w:val="none"/>
        </w:rPr>
        <w:t>（项目名称、编号）在国内以公开招标方式进行投标，经评标委员会评定</w:t>
      </w:r>
      <w:r>
        <w:rPr>
          <w:rFonts w:hint="eastAsia" w:ascii="新宋体" w:hAnsi="新宋体" w:eastAsia="新宋体" w:cs="新宋体"/>
          <w:bCs/>
          <w:color w:val="auto"/>
          <w:sz w:val="22"/>
          <w:szCs w:val="22"/>
          <w:highlight w:val="none"/>
          <w:u w:val="single"/>
        </w:rPr>
        <w:t xml:space="preserve">                 </w:t>
      </w:r>
      <w:r>
        <w:rPr>
          <w:rFonts w:hint="eastAsia" w:ascii="新宋体" w:hAnsi="新宋体" w:eastAsia="新宋体" w:cs="新宋体"/>
          <w:bCs/>
          <w:color w:val="auto"/>
          <w:sz w:val="22"/>
          <w:szCs w:val="22"/>
          <w:highlight w:val="none"/>
        </w:rPr>
        <w:t>（中标人名称）为中标人。双方本着诚信及互利互惠的原则，同意按照下面条款和条件，签署本合同。</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一、本合同签订依据</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《中华人民共和国民典法》</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二、合同文件的优先次序</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合同文件如存在歧义或不一致则根据以下优先次序来判断：</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1、合同书及合同补充条款或说明 </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2、中标通知书</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3、承诺书（含询标记录和优惠条款）</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4、投标文件</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5、招标文件</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三、 旅游的时间安排：</w:t>
      </w:r>
    </w:p>
    <w:p>
      <w:pPr>
        <w:spacing w:line="460" w:lineRule="exact"/>
        <w:ind w:firstLine="43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由乙方在__年__月__日至__年__月__日为甲方提供旅游服务。</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四、旅游的地点及每个旅游景点的时间安排：</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各线路的安排如下：</w:t>
      </w:r>
    </w:p>
    <w:tbl>
      <w:tblPr>
        <w:tblStyle w:val="52"/>
        <w:tblW w:w="91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5"/>
        <w:gridCol w:w="1530"/>
        <w:gridCol w:w="5099"/>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b/>
                <w:bCs/>
                <w:i w:val="0"/>
                <w:iCs w:val="0"/>
                <w:color w:val="auto"/>
                <w:sz w:val="22"/>
                <w:szCs w:val="22"/>
                <w:highlight w:val="none"/>
                <w:u w:val="none"/>
              </w:rPr>
            </w:pPr>
            <w:r>
              <w:rPr>
                <w:rFonts w:hint="eastAsia" w:ascii="新宋体" w:hAnsi="新宋体" w:eastAsia="新宋体" w:cs="新宋体"/>
                <w:b/>
                <w:bCs/>
                <w:i w:val="0"/>
                <w:iCs w:val="0"/>
                <w:color w:val="auto"/>
                <w:kern w:val="0"/>
                <w:sz w:val="22"/>
                <w:szCs w:val="22"/>
                <w:highlight w:val="none"/>
                <w:u w:val="none"/>
                <w:lang w:val="en-US" w:eastAsia="zh-CN" w:bidi="ar"/>
              </w:rPr>
              <w:t>序号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b/>
                <w:bCs/>
                <w:i w:val="0"/>
                <w:iCs w:val="0"/>
                <w:color w:val="auto"/>
                <w:sz w:val="22"/>
                <w:szCs w:val="22"/>
                <w:highlight w:val="none"/>
                <w:u w:val="none"/>
              </w:rPr>
            </w:pPr>
            <w:r>
              <w:rPr>
                <w:rFonts w:hint="eastAsia" w:ascii="新宋体" w:hAnsi="新宋体" w:eastAsia="新宋体" w:cs="新宋体"/>
                <w:b/>
                <w:bCs/>
                <w:i w:val="0"/>
                <w:iCs w:val="0"/>
                <w:color w:val="auto"/>
                <w:kern w:val="0"/>
                <w:sz w:val="22"/>
                <w:szCs w:val="22"/>
                <w:highlight w:val="none"/>
                <w:u w:val="none"/>
                <w:lang w:val="en-US" w:eastAsia="zh-CN" w:bidi="ar"/>
              </w:rPr>
              <w:t>项目名称</w:t>
            </w:r>
          </w:p>
        </w:tc>
        <w:tc>
          <w:tcPr>
            <w:tcW w:w="5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b/>
                <w:bCs/>
                <w:i w:val="0"/>
                <w:iCs w:val="0"/>
                <w:color w:val="auto"/>
                <w:sz w:val="22"/>
                <w:szCs w:val="22"/>
                <w:highlight w:val="none"/>
                <w:u w:val="none"/>
              </w:rPr>
            </w:pPr>
            <w:r>
              <w:rPr>
                <w:rFonts w:hint="eastAsia" w:ascii="新宋体" w:hAnsi="新宋体" w:eastAsia="新宋体" w:cs="新宋体"/>
                <w:b/>
                <w:bCs/>
                <w:i w:val="0"/>
                <w:iCs w:val="0"/>
                <w:color w:val="auto"/>
                <w:kern w:val="0"/>
                <w:sz w:val="22"/>
                <w:szCs w:val="22"/>
                <w:highlight w:val="none"/>
                <w:u w:val="none"/>
                <w:lang w:val="en-US" w:eastAsia="zh-CN" w:bidi="ar"/>
              </w:rPr>
              <w:t>路线安排</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b/>
                <w:bCs/>
                <w:i w:val="0"/>
                <w:iCs w:val="0"/>
                <w:color w:val="auto"/>
                <w:sz w:val="22"/>
                <w:szCs w:val="22"/>
                <w:highlight w:val="none"/>
                <w:u w:val="none"/>
              </w:rPr>
            </w:pPr>
            <w:r>
              <w:rPr>
                <w:rFonts w:hint="eastAsia" w:ascii="新宋体" w:hAnsi="新宋体" w:eastAsia="新宋体" w:cs="新宋体"/>
                <w:b/>
                <w:bCs/>
                <w:i w:val="0"/>
                <w:iCs w:val="0"/>
                <w:color w:val="auto"/>
                <w:kern w:val="0"/>
                <w:sz w:val="22"/>
                <w:szCs w:val="22"/>
                <w:highlight w:val="none"/>
                <w:u w:val="none"/>
                <w:lang w:val="en-US" w:eastAsia="zh-CN" w:bidi="ar"/>
              </w:rPr>
              <w:t>时间要求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kern w:val="0"/>
                <w:sz w:val="22"/>
                <w:szCs w:val="22"/>
                <w:highlight w:val="none"/>
                <w:u w:val="none"/>
                <w:lang w:val="en-US" w:eastAsia="zh-CN" w:bidi="ar"/>
              </w:rPr>
              <w:t>1</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kern w:val="0"/>
                <w:sz w:val="22"/>
                <w:szCs w:val="22"/>
                <w:highlight w:val="none"/>
                <w:u w:val="none"/>
                <w:lang w:val="en-US" w:eastAsia="zh-CN" w:bidi="ar"/>
              </w:rPr>
              <w:t>2024年职工疗休养</w:t>
            </w:r>
          </w:p>
        </w:tc>
        <w:tc>
          <w:tcPr>
            <w:tcW w:w="5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kern w:val="0"/>
                <w:sz w:val="22"/>
                <w:szCs w:val="22"/>
                <w:highlight w:val="none"/>
                <w:u w:val="none"/>
                <w:lang w:val="en-US" w:eastAsia="zh-CN" w:bidi="ar"/>
              </w:rPr>
              <w:t>温州市域内市级疗休养基地、浙江国家生态旅游协作区</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kern w:val="0"/>
                <w:sz w:val="22"/>
                <w:szCs w:val="22"/>
                <w:highlight w:val="none"/>
                <w:u w:val="none"/>
                <w:lang w:val="en-US" w:eastAsia="zh-CN" w:bidi="ar"/>
              </w:rPr>
              <w:t>疗休养时间为共5天，3个工作日+2天周末。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c>
          <w:tcPr>
            <w:tcW w:w="5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kern w:val="0"/>
                <w:sz w:val="22"/>
                <w:szCs w:val="22"/>
                <w:highlight w:val="none"/>
                <w:u w:val="none"/>
                <w:lang w:val="en-US" w:eastAsia="zh-CN" w:bidi="ar"/>
              </w:rPr>
              <w:t>皖闽赣国家生态旅游协作区，长三角地区</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c>
          <w:tcPr>
            <w:tcW w:w="5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kern w:val="0"/>
                <w:sz w:val="22"/>
                <w:szCs w:val="22"/>
                <w:highlight w:val="none"/>
                <w:u w:val="none"/>
                <w:lang w:val="en-US" w:eastAsia="zh-CN" w:bidi="ar"/>
              </w:rPr>
              <w:t>本市东西部协助、对口支援（合作）地区（新疆阿克苏地区、青海省格尔木市、西藏那曲地区嘉黎县、四川省南充市、阿坝州、 重庆市涪陵区、吉林省吉林市）</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r>
    </w:tbl>
    <w:p>
      <w:pPr>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乙方为甲方提供的旅游景点为____个。分别是________、________、________.</w:t>
      </w:r>
    </w:p>
    <w:p>
      <w:pPr>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每天的时间安排为上午________时至________时，下午________时至________时。</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五、旅游的生活安排：</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乙方为甲方提供食宿，每天伙食在________元至________元标准内。</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六、导游服务：</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乙方为甲方提供导游服务，服务内容：____________________.</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七、旅游的费用：</w:t>
      </w:r>
    </w:p>
    <w:p>
      <w:pPr>
        <w:tabs>
          <w:tab w:val="left" w:pos="525"/>
        </w:tabs>
        <w:spacing w:line="460" w:lineRule="exact"/>
        <w:ind w:firstLine="413" w:firstLineChars="187"/>
        <w:rPr>
          <w:rFonts w:hint="eastAsia" w:ascii="新宋体" w:hAnsi="新宋体" w:eastAsia="新宋体"/>
          <w:b/>
          <w:color w:val="auto"/>
          <w:sz w:val="22"/>
          <w:szCs w:val="22"/>
          <w:highlight w:val="none"/>
        </w:rPr>
      </w:pPr>
      <w:r>
        <w:rPr>
          <w:rFonts w:hint="eastAsia" w:ascii="新宋体" w:hAnsi="新宋体" w:eastAsia="新宋体" w:cs="新宋体"/>
          <w:b/>
          <w:bCs w:val="0"/>
          <w:color w:val="auto"/>
          <w:sz w:val="22"/>
          <w:szCs w:val="22"/>
          <w:highlight w:val="none"/>
          <w:lang w:val="en-US" w:eastAsia="zh-CN"/>
        </w:rPr>
        <w:t>各线路福利费用3000元/人（</w:t>
      </w:r>
      <w:r>
        <w:rPr>
          <w:rFonts w:hint="eastAsia" w:ascii="新宋体" w:hAnsi="新宋体" w:eastAsia="新宋体"/>
          <w:b/>
          <w:color w:val="auto"/>
          <w:sz w:val="22"/>
          <w:szCs w:val="22"/>
          <w:highlight w:val="none"/>
        </w:rPr>
        <w:t>跨省超出</w:t>
      </w:r>
      <w:r>
        <w:rPr>
          <w:rFonts w:hint="eastAsia" w:ascii="新宋体" w:hAnsi="新宋体" w:eastAsia="新宋体"/>
          <w:b/>
          <w:color w:val="auto"/>
          <w:sz w:val="22"/>
          <w:szCs w:val="22"/>
          <w:highlight w:val="none"/>
          <w:lang w:val="en-US" w:eastAsia="zh-CN"/>
        </w:rPr>
        <w:t>福利费用</w:t>
      </w:r>
      <w:r>
        <w:rPr>
          <w:rFonts w:hint="eastAsia" w:ascii="新宋体" w:hAnsi="新宋体" w:eastAsia="新宋体"/>
          <w:b/>
          <w:color w:val="auto"/>
          <w:sz w:val="22"/>
          <w:szCs w:val="22"/>
          <w:highlight w:val="none"/>
        </w:rPr>
        <w:t>部分由职工本人负担费用，职工本人负担费用不得超过3000元）</w:t>
      </w:r>
    </w:p>
    <w:p>
      <w:pPr>
        <w:tabs>
          <w:tab w:val="left" w:pos="525"/>
        </w:tabs>
        <w:spacing w:line="460" w:lineRule="exact"/>
        <w:ind w:firstLine="413" w:firstLineChars="187"/>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本项目疗休养活动按批次进行，按月支付。每月底，中标供应商汇总当月疗休养行程并提供结算函（附本结算批次的人数、天数、总价等统计情况），经采购人签字同意后，采购人按批次根据中标供应商开具的增值税普通发票，30日内一次性支付该批次合同价款。</w:t>
      </w:r>
    </w:p>
    <w:p>
      <w:pPr>
        <w:spacing w:line="460" w:lineRule="exact"/>
        <w:ind w:firstLine="440"/>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本项总预算为</w:t>
      </w:r>
      <w:r>
        <w:rPr>
          <w:rFonts w:hint="eastAsia" w:ascii="新宋体" w:hAnsi="新宋体" w:eastAsia="新宋体" w:cs="新宋体"/>
          <w:b/>
          <w:color w:val="auto"/>
          <w:sz w:val="22"/>
          <w:szCs w:val="22"/>
          <w:highlight w:val="none"/>
        </w:rPr>
        <w:t>人民币</w:t>
      </w:r>
      <w:r>
        <w:rPr>
          <w:rFonts w:hint="eastAsia" w:ascii="新宋体" w:hAnsi="新宋体" w:eastAsia="新宋体" w:cs="新宋体"/>
          <w:b/>
          <w:color w:val="auto"/>
          <w:sz w:val="22"/>
          <w:szCs w:val="22"/>
          <w:highlight w:val="none"/>
          <w:lang w:eastAsia="zh-CN"/>
        </w:rPr>
        <w:t>捌拾壹万</w:t>
      </w:r>
      <w:r>
        <w:rPr>
          <w:rFonts w:hint="eastAsia" w:ascii="新宋体" w:hAnsi="新宋体" w:eastAsia="新宋体" w:cs="新宋体"/>
          <w:b/>
          <w:color w:val="auto"/>
          <w:sz w:val="22"/>
          <w:szCs w:val="22"/>
          <w:highlight w:val="none"/>
        </w:rPr>
        <w:t>元整（¥</w:t>
      </w:r>
      <w:r>
        <w:rPr>
          <w:rFonts w:hint="eastAsia" w:ascii="新宋体" w:hAnsi="新宋体" w:eastAsia="新宋体" w:cs="新宋体"/>
          <w:b/>
          <w:color w:val="auto"/>
          <w:sz w:val="22"/>
          <w:szCs w:val="22"/>
          <w:highlight w:val="none"/>
          <w:lang w:eastAsia="zh-CN"/>
        </w:rPr>
        <w:t>810000</w:t>
      </w:r>
      <w:r>
        <w:rPr>
          <w:rFonts w:hint="eastAsia" w:ascii="新宋体" w:hAnsi="新宋体" w:eastAsia="新宋体" w:cs="新宋体"/>
          <w:b/>
          <w:color w:val="auto"/>
          <w:sz w:val="22"/>
          <w:szCs w:val="22"/>
          <w:highlight w:val="none"/>
        </w:rPr>
        <w:t>.00元），总预算为甲方负担费用的总和。</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八、旅游的交通工具：</w:t>
      </w:r>
    </w:p>
    <w:p>
      <w:pPr>
        <w:spacing w:line="460" w:lineRule="exact"/>
        <w:ind w:firstLine="40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乙方为甲方提供交通工具。________、________、________等交通工具都由乙方联系、提供，</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 xml:space="preserve">并保证甲方的旅游安全。 </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九、乙方的权利义务及违约金：</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1、核实甲方提供的相关信息资料。</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2、按照合同约定向甲方收取疗休养费用。</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3、疗休养团队遇紧急情况时，可以采取安全防范措施和紧急避险措施并要求甲方配合。</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4、要求甲方健康、文明疗休养，劝阻甲方违法和违反社会公德的行为。</w:t>
      </w:r>
    </w:p>
    <w:p>
      <w:pPr>
        <w:tabs>
          <w:tab w:val="left" w:pos="525"/>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5、按照合同个约定的内容和标准为甲方提供服务，未经甲方同意不得擅自变更疗休养行程、酒店、餐饮安排；在疗休养过程中维护甲方人员的人身财产权益，承担相应的安全保障责任。</w:t>
      </w:r>
    </w:p>
    <w:p>
      <w:pPr>
        <w:tabs>
          <w:tab w:val="left" w:pos="525"/>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6、向合格的供应商订购产品和服务；不以不合理的低价组织疗休养活动，诱骗甲方，并通过安排购物或者另行付费疗休养项目获取回扣等不正当利益。</w:t>
      </w:r>
    </w:p>
    <w:p>
      <w:pPr>
        <w:tabs>
          <w:tab w:val="left" w:pos="525"/>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7、组织、接待甲方，不指定具体购物场所，不安排另行付费疗休养项目，但是，经双方协商一致或者甲方要求，且不影响其他游客行程安排的除外。</w:t>
      </w:r>
    </w:p>
    <w:p>
      <w:pPr>
        <w:tabs>
          <w:tab w:val="left" w:pos="525"/>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8、在出团前如实告知具体行程安排和有关具体事项，具体事项包括但不限于所到疗休养目的地的属地规定、风俗习惯；疗休养活动中的安全注意事项和安全避险措施、甲方不适合参加疗休养活动的情形；乙方已发可以减免责任的信息；应急联络方式以及法律、法规规定的其他应当告知的事项。</w:t>
      </w:r>
    </w:p>
    <w:p>
      <w:pPr>
        <w:tabs>
          <w:tab w:val="left" w:pos="525"/>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9、按照合同约定个，为甲方安排符合《中华人民共和国旅游法》、《导游人员管理条例》规定的持证导游人员。</w:t>
      </w:r>
    </w:p>
    <w:p>
      <w:pPr>
        <w:tabs>
          <w:tab w:val="left" w:pos="525"/>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10、妥善保管甲方交其代管的证件、行李等物品。</w:t>
      </w:r>
    </w:p>
    <w:p>
      <w:pPr>
        <w:tabs>
          <w:tab w:val="left" w:pos="525"/>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11、为甲方发放用固定格式书写、由甲方填写的安全信息卡（包括甲方的姓名、血型、应急联络方式等）；甲方人身、财产权益受到损害时，应当采取合理必要的保护和救助措施，避免甲方人身、财产权益损失扩大。</w:t>
      </w:r>
    </w:p>
    <w:p>
      <w:pPr>
        <w:tabs>
          <w:tab w:val="left" w:pos="525"/>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12乙方提供旅行社责任险及个人旅游人身意外险，包括但不限于旅行社责任险和个人旅游人身意外险（个人旅游人身意外险保额不少于100万），疗休养期间所有的安全责任由乙方承担。</w:t>
      </w:r>
    </w:p>
    <w:p>
      <w:pPr>
        <w:tabs>
          <w:tab w:val="left" w:pos="525"/>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13、疗休养行程中解除合同的，乙方应当将甲方人员带回出发地或者甲方指定的合理地点，由于乙方的原因导致合同解除的，返程费用由乙方承担。</w:t>
      </w:r>
    </w:p>
    <w:p>
      <w:pPr>
        <w:tabs>
          <w:tab w:val="left" w:pos="525"/>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14、依法对甲方的个人信息保密。</w:t>
      </w:r>
    </w:p>
    <w:p>
      <w:pPr>
        <w:tabs>
          <w:tab w:val="left" w:pos="525"/>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15、疗休养期间所有的安全责任由乙方承担。由于地接社、履行辅助人的原因造成甲方人身损害、财产损失的，甲方可以要求地接社、履行辅助人承担赔偿责任，也可以要求乙方承担赔偿责任。因乙方不履行协助义务致使甲方人身、财产权益损失扩大的，乙方还应当就扩大的损失承担赔偿责任。</w:t>
      </w:r>
    </w:p>
    <w:p>
      <w:pPr>
        <w:tabs>
          <w:tab w:val="left" w:pos="525"/>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16、乙方不得将本项目疗休养服务转包、分包。</w:t>
      </w:r>
    </w:p>
    <w:p>
      <w:pPr>
        <w:tabs>
          <w:tab w:val="left" w:pos="525"/>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17、乙方未经甲方同意不得擅自更改疗休养景点和缩短疗休养时间；不得擅自降低疗休养方案标准（包括但不限于住宿、餐饮、交通工具、导游等实质性内容）；不得通过安排购物或者另行付费疗休养项目获得回扣等不正当利益。如乙方违反约定，应每次向甲方赔偿当批次疗休养费用总额</w:t>
      </w:r>
      <w:r>
        <w:rPr>
          <w:rFonts w:hint="eastAsia" w:ascii="新宋体" w:hAnsi="新宋体" w:eastAsia="新宋体" w:cs="新宋体"/>
          <w:color w:val="auto"/>
          <w:sz w:val="22"/>
          <w:szCs w:val="22"/>
          <w:highlight w:val="none"/>
          <w:u w:val="single"/>
        </w:rPr>
        <w:t>30</w:t>
      </w:r>
      <w:r>
        <w:rPr>
          <w:rFonts w:hint="eastAsia" w:ascii="新宋体" w:hAnsi="新宋体" w:eastAsia="新宋体" w:cs="新宋体"/>
          <w:color w:val="auto"/>
          <w:sz w:val="22"/>
          <w:szCs w:val="22"/>
          <w:highlight w:val="none"/>
        </w:rPr>
        <w:t>_% 的违约金，同时甲方有权要求乙方按约定继续完成疗休养服务。乙方在出发前通知甲方拒绝提供疗休养服务的，甲方可以选择其他旅行社按原定行程出游，支出费用由乙方承担。乙方在出发后通知甲方拒绝提供部分疗休养服务的，甲方可以选择乘坐其他交通方式前往原定疗休养景点，支出费用由乙方承担，且乙方不得以此拒绝承担安全保障和维护责任；乙方自行增加游览景点的，增加的费用由乙方承担。事后甲方有权解除合同。</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18、乙方不得擅自变更或解除合同，否则按约定赔偿甲方合同总额</w:t>
      </w:r>
      <w:r>
        <w:rPr>
          <w:rFonts w:hint="eastAsia" w:ascii="新宋体" w:hAnsi="新宋体" w:eastAsia="新宋体" w:cs="新宋体"/>
          <w:color w:val="auto"/>
          <w:sz w:val="22"/>
          <w:szCs w:val="22"/>
          <w:highlight w:val="none"/>
          <w:u w:val="single"/>
        </w:rPr>
        <w:t>30_</w:t>
      </w:r>
      <w:r>
        <w:rPr>
          <w:rFonts w:hint="eastAsia" w:ascii="新宋体" w:hAnsi="新宋体" w:eastAsia="新宋体" w:cs="新宋体"/>
          <w:color w:val="auto"/>
          <w:sz w:val="22"/>
          <w:szCs w:val="22"/>
          <w:highlight w:val="none"/>
        </w:rPr>
        <w:t>％的违约金。</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19、每期完成疗养服务后，须让10名出行代表填写《满意度调查表》</w:t>
      </w:r>
    </w:p>
    <w:p>
      <w:pPr>
        <w:spacing w:line="460" w:lineRule="exact"/>
        <w:ind w:firstLine="57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满意度调查表</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956"/>
        <w:gridCol w:w="770"/>
        <w:gridCol w:w="863"/>
        <w:gridCol w:w="671"/>
        <w:gridCol w:w="192"/>
        <w:gridCol w:w="517"/>
        <w:gridCol w:w="346"/>
        <w:gridCol w:w="863"/>
        <w:gridCol w:w="863"/>
        <w:gridCol w:w="86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疗休养服务单位</w:t>
            </w:r>
          </w:p>
        </w:tc>
        <w:tc>
          <w:tcPr>
            <w:tcW w:w="6910" w:type="dxa"/>
            <w:gridSpan w:val="11"/>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疗养地点</w:t>
            </w:r>
          </w:p>
        </w:tc>
        <w:tc>
          <w:tcPr>
            <w:tcW w:w="3260" w:type="dxa"/>
            <w:gridSpan w:val="4"/>
          </w:tcPr>
          <w:p>
            <w:pPr>
              <w:spacing w:line="460" w:lineRule="exact"/>
              <w:ind w:firstLine="570"/>
              <w:rPr>
                <w:rFonts w:hint="eastAsia" w:ascii="新宋体" w:hAnsi="新宋体" w:eastAsia="新宋体" w:cs="新宋体"/>
                <w:color w:val="auto"/>
                <w:sz w:val="22"/>
                <w:szCs w:val="22"/>
                <w:highlight w:val="none"/>
              </w:rPr>
            </w:pPr>
          </w:p>
        </w:tc>
        <w:tc>
          <w:tcPr>
            <w:tcW w:w="709" w:type="dxa"/>
            <w:gridSpan w:val="2"/>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人数</w:t>
            </w:r>
          </w:p>
        </w:tc>
        <w:tc>
          <w:tcPr>
            <w:tcW w:w="2941" w:type="dxa"/>
            <w:gridSpan w:val="5"/>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疗养时间</w:t>
            </w:r>
          </w:p>
        </w:tc>
        <w:tc>
          <w:tcPr>
            <w:tcW w:w="6910" w:type="dxa"/>
            <w:gridSpan w:val="11"/>
          </w:tcPr>
          <w:p>
            <w:pPr>
              <w:spacing w:line="460" w:lineRule="exact"/>
              <w:ind w:firstLine="57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_____ 年___ 月  ____日至 ___ 月  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916" w:type="dxa"/>
            <w:vMerge w:val="restart"/>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评分项目及分值（100分）</w:t>
            </w:r>
          </w:p>
        </w:tc>
        <w:tc>
          <w:tcPr>
            <w:tcW w:w="6910" w:type="dxa"/>
            <w:gridSpan w:val="11"/>
          </w:tcPr>
          <w:p>
            <w:pPr>
              <w:spacing w:line="460" w:lineRule="exact"/>
              <w:ind w:firstLine="57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满意度评价（请您在人为的选项后空格内评分）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1916" w:type="dxa"/>
            <w:vMerge w:val="continue"/>
          </w:tcPr>
          <w:p>
            <w:pPr>
              <w:spacing w:line="460" w:lineRule="exact"/>
              <w:rPr>
                <w:rFonts w:hint="eastAsia" w:ascii="新宋体" w:hAnsi="新宋体" w:eastAsia="新宋体" w:cs="新宋体"/>
                <w:color w:val="auto"/>
                <w:sz w:val="22"/>
                <w:szCs w:val="22"/>
                <w:highlight w:val="none"/>
              </w:rPr>
            </w:pPr>
          </w:p>
        </w:tc>
        <w:tc>
          <w:tcPr>
            <w:tcW w:w="1726" w:type="dxa"/>
            <w:gridSpan w:val="2"/>
          </w:tcPr>
          <w:p>
            <w:pPr>
              <w:spacing w:line="460" w:lineRule="exact"/>
              <w:ind w:firstLine="57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好</w:t>
            </w:r>
          </w:p>
        </w:tc>
        <w:tc>
          <w:tcPr>
            <w:tcW w:w="1726" w:type="dxa"/>
            <w:gridSpan w:val="3"/>
          </w:tcPr>
          <w:p>
            <w:pPr>
              <w:spacing w:line="460" w:lineRule="exact"/>
              <w:ind w:firstLine="57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较好</w:t>
            </w:r>
          </w:p>
        </w:tc>
        <w:tc>
          <w:tcPr>
            <w:tcW w:w="1726" w:type="dxa"/>
            <w:gridSpan w:val="3"/>
          </w:tcPr>
          <w:p>
            <w:pPr>
              <w:spacing w:line="460" w:lineRule="exact"/>
              <w:ind w:firstLine="57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一般</w:t>
            </w:r>
          </w:p>
        </w:tc>
        <w:tc>
          <w:tcPr>
            <w:tcW w:w="1732" w:type="dxa"/>
            <w:gridSpan w:val="3"/>
          </w:tcPr>
          <w:p>
            <w:pPr>
              <w:spacing w:line="460" w:lineRule="exact"/>
              <w:ind w:firstLine="57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住宿条件（20分）</w:t>
            </w:r>
          </w:p>
        </w:tc>
        <w:tc>
          <w:tcPr>
            <w:tcW w:w="956"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20-18</w:t>
            </w:r>
          </w:p>
        </w:tc>
        <w:tc>
          <w:tcPr>
            <w:tcW w:w="770"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17-16</w:t>
            </w:r>
          </w:p>
        </w:tc>
        <w:tc>
          <w:tcPr>
            <w:tcW w:w="863" w:type="dxa"/>
            <w:gridSpan w:val="2"/>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gridSpan w:val="2"/>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15-12</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&lt;12</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餐饮状况（20分）</w:t>
            </w:r>
          </w:p>
        </w:tc>
        <w:tc>
          <w:tcPr>
            <w:tcW w:w="956"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20-18</w:t>
            </w:r>
          </w:p>
        </w:tc>
        <w:tc>
          <w:tcPr>
            <w:tcW w:w="770"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17-16</w:t>
            </w:r>
          </w:p>
        </w:tc>
        <w:tc>
          <w:tcPr>
            <w:tcW w:w="863" w:type="dxa"/>
            <w:gridSpan w:val="2"/>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gridSpan w:val="2"/>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15-12</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&lt;12</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31" w:hRule="atLeast"/>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行程景点安排</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（30分）</w:t>
            </w:r>
          </w:p>
        </w:tc>
        <w:tc>
          <w:tcPr>
            <w:tcW w:w="956"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30-25</w:t>
            </w:r>
          </w:p>
        </w:tc>
        <w:tc>
          <w:tcPr>
            <w:tcW w:w="770"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24-20</w:t>
            </w:r>
          </w:p>
        </w:tc>
        <w:tc>
          <w:tcPr>
            <w:tcW w:w="863" w:type="dxa"/>
            <w:gridSpan w:val="2"/>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gridSpan w:val="2"/>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19-15</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&lt;15</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车辆状况和司机服务（10分）</w:t>
            </w:r>
          </w:p>
        </w:tc>
        <w:tc>
          <w:tcPr>
            <w:tcW w:w="956"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10-9</w:t>
            </w:r>
          </w:p>
        </w:tc>
        <w:tc>
          <w:tcPr>
            <w:tcW w:w="770"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8-7</w:t>
            </w:r>
          </w:p>
        </w:tc>
        <w:tc>
          <w:tcPr>
            <w:tcW w:w="863" w:type="dxa"/>
            <w:gridSpan w:val="2"/>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gridSpan w:val="2"/>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6-5</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&lt;5</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导游服务（10分）</w:t>
            </w:r>
          </w:p>
        </w:tc>
        <w:tc>
          <w:tcPr>
            <w:tcW w:w="956"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10-9</w:t>
            </w:r>
          </w:p>
        </w:tc>
        <w:tc>
          <w:tcPr>
            <w:tcW w:w="770"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8-7</w:t>
            </w:r>
          </w:p>
        </w:tc>
        <w:tc>
          <w:tcPr>
            <w:tcW w:w="863" w:type="dxa"/>
            <w:gridSpan w:val="2"/>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gridSpan w:val="2"/>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6-5</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&lt;5</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安全措施（10分）</w:t>
            </w:r>
          </w:p>
        </w:tc>
        <w:tc>
          <w:tcPr>
            <w:tcW w:w="956"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10-9</w:t>
            </w:r>
          </w:p>
        </w:tc>
        <w:tc>
          <w:tcPr>
            <w:tcW w:w="770"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8-7</w:t>
            </w:r>
          </w:p>
        </w:tc>
        <w:tc>
          <w:tcPr>
            <w:tcW w:w="863" w:type="dxa"/>
            <w:gridSpan w:val="2"/>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gridSpan w:val="2"/>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6-5</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&lt;5</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合计得分</w:t>
            </w:r>
          </w:p>
        </w:tc>
        <w:tc>
          <w:tcPr>
            <w:tcW w:w="6904" w:type="dxa"/>
            <w:gridSpan w:val="10"/>
            <w:vAlign w:val="center"/>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8826" w:type="dxa"/>
            <w:gridSpan w:val="12"/>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对本次疗休养的整体评价及建议：</w:t>
            </w:r>
          </w:p>
          <w:p>
            <w:pPr>
              <w:spacing w:line="460" w:lineRule="exact"/>
              <w:rPr>
                <w:rFonts w:hint="eastAsia" w:ascii="新宋体" w:hAnsi="新宋体" w:eastAsia="新宋体" w:cs="新宋体"/>
                <w:color w:val="auto"/>
                <w:sz w:val="22"/>
                <w:szCs w:val="22"/>
                <w:highlight w:val="none"/>
              </w:rPr>
            </w:pPr>
          </w:p>
          <w:p>
            <w:pPr>
              <w:spacing w:line="460" w:lineRule="exact"/>
              <w:rPr>
                <w:rFonts w:hint="eastAsia" w:ascii="新宋体" w:hAnsi="新宋体" w:eastAsia="新宋体" w:cs="新宋体"/>
                <w:color w:val="auto"/>
                <w:sz w:val="22"/>
                <w:szCs w:val="22"/>
                <w:highlight w:val="none"/>
              </w:rPr>
            </w:pPr>
          </w:p>
          <w:p>
            <w:pPr>
              <w:spacing w:line="460" w:lineRule="exact"/>
              <w:rPr>
                <w:rFonts w:hint="eastAsia" w:ascii="新宋体" w:hAnsi="新宋体" w:eastAsia="新宋体" w:cs="新宋体"/>
                <w:color w:val="auto"/>
                <w:sz w:val="22"/>
                <w:szCs w:val="22"/>
                <w:highlight w:val="none"/>
              </w:rPr>
            </w:pPr>
          </w:p>
          <w:p>
            <w:pPr>
              <w:wordWrap w:val="0"/>
              <w:spacing w:line="460" w:lineRule="exact"/>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签名：          联系电话               </w:t>
            </w:r>
          </w:p>
          <w:p>
            <w:pPr>
              <w:wordWrap w:val="0"/>
              <w:spacing w:line="460" w:lineRule="exact"/>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8826" w:type="dxa"/>
            <w:gridSpan w:val="12"/>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词表作为对疗休养服务单位的评价依据，每批次疗休养完成后组织测评。得分90分（含）以上为满意，80分（含）-90分为合格，80分一下为不合格。合同期内不合格数量达到2批及以上，采购人有权解除合同。</w:t>
            </w:r>
          </w:p>
        </w:tc>
      </w:tr>
    </w:tbl>
    <w:p>
      <w:pPr>
        <w:spacing w:line="460" w:lineRule="exact"/>
        <w:ind w:firstLine="442" w:firstLineChars="200"/>
        <w:outlineLvl w:val="1"/>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十、甲方的权利义务及违约金：</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1、如实填写旅行社要求填卡写的游客安全信息等各项内容，告知与疗休养活动相关的个人健康信息，并对其真实性负责，保证所提供的联系方式准确无误且能及时联系。</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2、按照合同约定支付疗休养费用。</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3、遵守法律、法规和有关规定，不在疗休养行程中从事违法活动，不参与色情、赌博和涉毒活动。</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4、遵守公共秩序和社会公德，遵守疗休养目的地的风俗习惯，文化传统和宗教信仰，爱护疗休养资源，保护生态环境，遵守《中国公民国内旅游文明行为公约》等文明行为规范。</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5、对国家应对重大突发事件暂时限制旅游或疗休养活动的措施以及有关部门、机构或者旅游经营者采取的安全防范和应急处置措施予以配合。</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6、妥善保管自己的行李物品。</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7、在疗休养活动中或者在解决纠纷时，应采取措施防止损失扩大，不损害当地居民的合法权益；不干扰他人的旅游活动：不损害旅游经营者和旅游从业人员的合法权益。</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8、甲方应遵守乙方安排在本次旅游当中的安全事项及其他合理要求，不得擅自单独行动。自行安排活动期间，应当在自己能够控制风险的范围内选择活动项目，遵守疗休养活动中的安全警示规定。</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9、甲方应遵守乙方在本次疗休养当中设定的安全事项及其他合理要求，不得擅自单独行动。</w:t>
      </w:r>
    </w:p>
    <w:p>
      <w:pPr>
        <w:spacing w:line="460" w:lineRule="exact"/>
        <w:ind w:firstLine="541" w:firstLineChars="245"/>
        <w:outlineLvl w:val="1"/>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十一、不可抗力</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1、在服务期间发生地震等双方不能预料和不可抗力的自然灾害导致承包区不能正常经营，合同不能或不能全部履行。双方可以按以下内容执行：</w:t>
      </w:r>
    </w:p>
    <w:p>
      <w:pPr>
        <w:tabs>
          <w:tab w:val="left" w:pos="-1080"/>
        </w:tabs>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1.1任何一方可以书面形式终止合同无需作出任何赔偿。</w:t>
      </w:r>
    </w:p>
    <w:p>
      <w:pPr>
        <w:tabs>
          <w:tab w:val="left" w:pos="-1080"/>
        </w:tabs>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1.2因不可抗力导致合同终止，并不影响任何一方对不可抗力先前发生的违约行为合法追偿。</w:t>
      </w:r>
    </w:p>
    <w:p>
      <w:pPr>
        <w:tabs>
          <w:tab w:val="left" w:pos="-1080"/>
        </w:tabs>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1.3乙方不负责因不可抗力造成合同不能正常履行的责任。</w:t>
      </w:r>
    </w:p>
    <w:p>
      <w:pPr>
        <w:tabs>
          <w:tab w:val="left" w:pos="-1080"/>
        </w:tabs>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1.4因不可抗力造成甲方的损害，甲方的保险赔偿不受影响。对恢复承包合同期的价格及其它费用双方可以协商解决。</w:t>
      </w:r>
    </w:p>
    <w:p>
      <w:pPr>
        <w:spacing w:line="460" w:lineRule="exact"/>
        <w:ind w:firstLine="541" w:firstLineChars="245"/>
        <w:outlineLvl w:val="1"/>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十二、其他</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1、由于甲方原因导致人员发生的事故由甲方自行全权负责，乙方不承担任何责任及经济责任。在甲方的责任区内由于甲方原因导致第三方的事故由甲方负责，乙方不承担任何责任及经济责任。</w:t>
      </w:r>
    </w:p>
    <w:p>
      <w:pPr>
        <w:spacing w:line="460" w:lineRule="exact"/>
        <w:ind w:firstLine="565" w:firstLineChars="25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2、本合同中所述通知必须以书面形式，送达对方签收。</w:t>
      </w:r>
    </w:p>
    <w:p>
      <w:pPr>
        <w:spacing w:line="460" w:lineRule="exact"/>
        <w:ind w:firstLine="565" w:firstLineChars="25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3、本合同争议，应双方友好协商解决，协商不能解决的，任何一方均可提起诉讼，诉讼按合同属地原则，诉讼费用由败诉方承担。</w:t>
      </w:r>
    </w:p>
    <w:p>
      <w:pPr>
        <w:spacing w:line="460" w:lineRule="exact"/>
        <w:ind w:firstLine="565" w:firstLineChars="25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4、如双方同意，可以书面修改或补充本合同条款；合同的附件、修改（补充）文件均与本合同同效。</w:t>
      </w:r>
    </w:p>
    <w:p>
      <w:pPr>
        <w:spacing w:line="460" w:lineRule="exact"/>
        <w:ind w:firstLine="565" w:firstLineChars="257"/>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5、本合同签订地为： </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u w:val="single"/>
          <w:lang w:val="en-US" w:eastAsia="zh-CN"/>
        </w:rPr>
        <w:t>甲方所在地</w:t>
      </w:r>
      <w:r>
        <w:rPr>
          <w:rFonts w:hint="eastAsia" w:ascii="新宋体" w:hAnsi="新宋体" w:eastAsia="新宋体" w:cs="新宋体"/>
          <w:color w:val="auto"/>
          <w:sz w:val="22"/>
          <w:szCs w:val="22"/>
          <w:highlight w:val="none"/>
          <w:u w:val="single"/>
        </w:rPr>
        <w:t xml:space="preserve">   </w:t>
      </w:r>
    </w:p>
    <w:p>
      <w:pPr>
        <w:spacing w:line="460" w:lineRule="exact"/>
        <w:ind w:firstLine="40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十三、 本合同一式__5_份，由甲、乙方各执__2__份，</w:t>
      </w:r>
      <w:r>
        <w:rPr>
          <w:rFonts w:hint="eastAsia" w:ascii="新宋体" w:hAnsi="新宋体" w:eastAsia="新宋体" w:cs="新宋体"/>
          <w:color w:val="auto"/>
          <w:sz w:val="22"/>
          <w:szCs w:val="22"/>
          <w:highlight w:val="none"/>
          <w:u w:val="single"/>
        </w:rPr>
        <w:t xml:space="preserve">  1  </w:t>
      </w:r>
      <w:r>
        <w:rPr>
          <w:rFonts w:hint="eastAsia" w:ascii="新宋体" w:hAnsi="新宋体" w:eastAsia="新宋体" w:cs="新宋体"/>
          <w:color w:val="auto"/>
          <w:sz w:val="22"/>
          <w:szCs w:val="22"/>
          <w:highlight w:val="none"/>
        </w:rPr>
        <w:t xml:space="preserve"> 份送招标代理公司备案。</w:t>
      </w:r>
    </w:p>
    <w:p>
      <w:pPr>
        <w:spacing w:line="460" w:lineRule="exact"/>
        <w:ind w:firstLine="539" w:firstLineChars="245"/>
        <w:rPr>
          <w:rFonts w:hint="eastAsia" w:ascii="新宋体" w:hAnsi="新宋体" w:eastAsia="新宋体" w:cs="新宋体"/>
          <w:bCs/>
          <w:color w:val="auto"/>
          <w:sz w:val="22"/>
          <w:szCs w:val="22"/>
          <w:highlight w:val="none"/>
          <w:lang w:val="zh-CN"/>
        </w:rPr>
      </w:pP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甲方：（印章）                        乙方：（印章）</w:t>
      </w: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全权代表:（签字）                    全权代表:（签字）</w:t>
      </w: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地址：                               地址：</w:t>
      </w: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邮政编码：                           邮政编码：</w:t>
      </w: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电话：                               电话：</w:t>
      </w: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传真：                               传真：</w:t>
      </w: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开户银行：                           开户银行：</w:t>
      </w: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帐号：                               帐号：</w:t>
      </w:r>
    </w:p>
    <w:p>
      <w:pPr>
        <w:spacing w:line="44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时间:                                时间：</w:t>
      </w:r>
    </w:p>
    <w:p>
      <w:pPr>
        <w:tabs>
          <w:tab w:val="left" w:pos="360"/>
        </w:tabs>
        <w:spacing w:line="460" w:lineRule="exact"/>
        <w:ind w:firstLine="525" w:firstLineChars="250"/>
        <w:rPr>
          <w:rFonts w:ascii="宋体" w:hAnsi="宋体" w:cs="宋体"/>
          <w:color w:val="auto"/>
          <w:highlight w:val="none"/>
        </w:rPr>
      </w:pPr>
      <w:r>
        <w:rPr>
          <w:rFonts w:ascii="宋体" w:hAnsi="宋体" w:cs="宋体"/>
          <w:color w:val="auto"/>
          <w:highlight w:val="none"/>
        </w:rPr>
        <w:br w:type="page"/>
      </w:r>
    </w:p>
    <w:p>
      <w:pPr>
        <w:pStyle w:val="2"/>
        <w:rPr>
          <w:rFonts w:ascii="宋体" w:hAnsi="宋体" w:eastAsia="宋体" w:cs="宋体"/>
          <w:color w:val="auto"/>
          <w:highlight w:val="none"/>
        </w:rPr>
      </w:pPr>
      <w:r>
        <w:rPr>
          <w:rFonts w:hint="eastAsia" w:ascii="宋体" w:hAnsi="宋体" w:eastAsia="宋体" w:cs="宋体"/>
          <w:color w:val="auto"/>
          <w:highlight w:val="none"/>
        </w:rPr>
        <w:t>第三部分    附件</w:t>
      </w:r>
      <w:bookmarkEnd w:id="26"/>
      <w:bookmarkEnd w:id="27"/>
    </w:p>
    <w:p>
      <w:pPr>
        <w:pStyle w:val="22"/>
        <w:spacing w:line="460" w:lineRule="exact"/>
        <w:ind w:left="433" w:hanging="433" w:hangingChars="196"/>
        <w:outlineLvl w:val="1"/>
        <w:rPr>
          <w:rFonts w:ascii="宋体" w:hAnsi="宋体" w:cs="宋体"/>
          <w:b/>
          <w:color w:val="auto"/>
          <w:sz w:val="22"/>
          <w:highlight w:val="none"/>
        </w:rPr>
      </w:pPr>
      <w:bookmarkStart w:id="28" w:name="_Toc7056"/>
      <w:bookmarkStart w:id="29" w:name="_Toc6368"/>
      <w:r>
        <w:rPr>
          <w:rFonts w:hint="eastAsia" w:ascii="宋体" w:hAnsi="宋体" w:cs="宋体"/>
          <w:b/>
          <w:color w:val="auto"/>
          <w:sz w:val="22"/>
          <w:highlight w:val="none"/>
        </w:rPr>
        <w:t>附件一</w:t>
      </w:r>
      <w:bookmarkEnd w:id="28"/>
      <w:bookmarkEnd w:id="29"/>
    </w:p>
    <w:p>
      <w:pPr>
        <w:spacing w:line="400" w:lineRule="exact"/>
        <w:jc w:val="center"/>
        <w:outlineLvl w:val="2"/>
        <w:rPr>
          <w:rFonts w:ascii="宋体" w:hAnsi="宋体" w:cs="宋体"/>
          <w:b/>
          <w:bCs/>
          <w:color w:val="auto"/>
          <w:sz w:val="28"/>
          <w:szCs w:val="28"/>
          <w:highlight w:val="none"/>
        </w:rPr>
      </w:pPr>
      <w:bookmarkStart w:id="30" w:name="_Toc13365"/>
      <w:bookmarkStart w:id="31" w:name="_Toc5430"/>
      <w:r>
        <w:rPr>
          <w:rFonts w:hint="eastAsia" w:ascii="宋体" w:hAnsi="宋体" w:cs="宋体"/>
          <w:b/>
          <w:bCs/>
          <w:color w:val="auto"/>
          <w:sz w:val="28"/>
          <w:szCs w:val="28"/>
          <w:highlight w:val="none"/>
        </w:rPr>
        <w:t>报价文件</w:t>
      </w:r>
      <w:bookmarkEnd w:id="30"/>
      <w:bookmarkEnd w:id="31"/>
    </w:p>
    <w:p>
      <w:pPr>
        <w:spacing w:line="400" w:lineRule="exact"/>
        <w:jc w:val="center"/>
        <w:outlineLvl w:val="3"/>
        <w:rPr>
          <w:rFonts w:ascii="宋体" w:hAnsi="宋体" w:cs="宋体"/>
          <w:b/>
          <w:color w:val="auto"/>
          <w:sz w:val="22"/>
          <w:szCs w:val="22"/>
          <w:highlight w:val="none"/>
          <w:lang w:val="zh-CN"/>
        </w:rPr>
      </w:pPr>
      <w:r>
        <w:rPr>
          <w:rFonts w:hint="eastAsia" w:ascii="宋体" w:hAnsi="宋体" w:cs="宋体"/>
          <w:b/>
          <w:color w:val="auto"/>
          <w:sz w:val="22"/>
          <w:szCs w:val="22"/>
          <w:highlight w:val="none"/>
        </w:rPr>
        <w:t>1、</w:t>
      </w:r>
      <w:r>
        <w:rPr>
          <w:rFonts w:hint="eastAsia" w:ascii="宋体" w:hAnsi="宋体" w:cs="宋体"/>
          <w:b/>
          <w:color w:val="auto"/>
          <w:sz w:val="22"/>
          <w:szCs w:val="22"/>
          <w:highlight w:val="none"/>
          <w:lang w:val="zh-CN"/>
        </w:rPr>
        <w:t>投标函</w:t>
      </w:r>
    </w:p>
    <w:p>
      <w:pPr>
        <w:spacing w:line="460" w:lineRule="exac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致：</w:t>
      </w:r>
      <w:r>
        <w:rPr>
          <w:rFonts w:hint="eastAsia" w:ascii="宋体" w:hAnsi="宋体" w:cs="宋体"/>
          <w:color w:val="auto"/>
          <w:sz w:val="22"/>
          <w:szCs w:val="22"/>
          <w:highlight w:val="none"/>
          <w:lang w:eastAsia="zh-CN"/>
        </w:rPr>
        <w:t>温州市第七人民医院</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根据贵方为</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项目（招标编号：</w:t>
      </w:r>
      <w:r>
        <w:rPr>
          <w:rFonts w:hint="eastAsia" w:ascii="宋体" w:hAnsi="宋体" w:cs="宋体"/>
          <w:b/>
          <w:color w:val="auto"/>
          <w:sz w:val="22"/>
          <w:szCs w:val="22"/>
          <w:highlight w:val="none"/>
          <w:u w:val="single"/>
        </w:rPr>
        <w:t xml:space="preserve">        </w:t>
      </w:r>
      <w:r>
        <w:rPr>
          <w:rFonts w:hint="eastAsia" w:ascii="宋体" w:hAnsi="宋体" w:cs="宋体"/>
          <w:b/>
          <w:color w:val="auto"/>
          <w:sz w:val="22"/>
          <w:szCs w:val="22"/>
          <w:highlight w:val="none"/>
        </w:rPr>
        <w:t xml:space="preserve"> </w:t>
      </w:r>
      <w:r>
        <w:rPr>
          <w:rFonts w:hint="eastAsia" w:ascii="宋体" w:hAnsi="宋体" w:cs="宋体"/>
          <w:color w:val="auto"/>
          <w:sz w:val="22"/>
          <w:szCs w:val="22"/>
          <w:highlight w:val="none"/>
        </w:rPr>
        <w:t>）的投标邀请，我方</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（投标人名称）作为投标人正式授权</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（授权代表全名，职务）代表我方处理有关本投标的一切事宜。为此：</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1、我方同意在投标人</w:t>
      </w:r>
      <w:r>
        <w:rPr>
          <w:rFonts w:hint="eastAsia" w:ascii="宋体" w:hAnsi="宋体" w:cs="宋体"/>
          <w:color w:val="auto"/>
          <w:kern w:val="44"/>
          <w:sz w:val="22"/>
          <w:szCs w:val="22"/>
          <w:highlight w:val="none"/>
        </w:rPr>
        <w:t>编制和提交投标文件须知</w:t>
      </w:r>
      <w:r>
        <w:rPr>
          <w:rFonts w:hint="eastAsia" w:ascii="宋体" w:hAnsi="宋体" w:cs="宋体"/>
          <w:color w:val="auto"/>
          <w:sz w:val="22"/>
          <w:szCs w:val="22"/>
          <w:highlight w:val="none"/>
        </w:rPr>
        <w:t>规定的开标日期起遵守本投标书中的承诺且在投标有效期满之前均具有约束力。</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2、我方承诺已经具备《中华人民共和国政府采购法》中规定的参加政府采购活动的供应商应当具备的条件：</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(1)具有独立承担民事责任的能力；</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(2)遵守国家法律、行政法规，具有良好的信誉和商业道德；</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(3)具有履行合同的能力和良好的履行合同记录；</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(4)良好的资金、财务状况；</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(5)提供的产品和服务符合中国政府规定的相应标准和环保标准；</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(6)没有违反政府采购法规、政策的记录；</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(7)没有发生重大经济纠纷和走私犯罪记录。</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3、提供</w:t>
      </w:r>
      <w:r>
        <w:rPr>
          <w:rFonts w:hint="eastAsia" w:ascii="宋体" w:hAnsi="宋体" w:cs="宋体"/>
          <w:color w:val="auto"/>
          <w:kern w:val="44"/>
          <w:sz w:val="22"/>
          <w:szCs w:val="22"/>
          <w:highlight w:val="none"/>
        </w:rPr>
        <w:t>编制和提交投标文件须知</w:t>
      </w:r>
      <w:r>
        <w:rPr>
          <w:rFonts w:hint="eastAsia" w:ascii="宋体" w:hAnsi="宋体" w:cs="宋体"/>
          <w:color w:val="auto"/>
          <w:sz w:val="22"/>
          <w:szCs w:val="22"/>
          <w:highlight w:val="none"/>
        </w:rPr>
        <w:t>规定的全部投标文件，包括资格文件、报价文件、商务技术文件。具体内容为：</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(1)资格文件</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(2)报价文件；</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w:t>
      </w:r>
      <w:r>
        <w:rPr>
          <w:rFonts w:hint="eastAsia" w:ascii="宋体" w:hAnsi="宋体" w:cs="宋体"/>
          <w:color w:val="auto"/>
          <w:sz w:val="22"/>
          <w:szCs w:val="22"/>
          <w:highlight w:val="none"/>
          <w:lang w:val="zh-CN"/>
        </w:rPr>
        <w:t>商务</w:t>
      </w:r>
      <w:r>
        <w:rPr>
          <w:rFonts w:hint="eastAsia" w:ascii="宋体" w:hAnsi="宋体" w:cs="宋体"/>
          <w:color w:val="auto"/>
          <w:kern w:val="0"/>
          <w:sz w:val="22"/>
          <w:szCs w:val="22"/>
          <w:highlight w:val="none"/>
          <w:lang w:val="zh-CN"/>
        </w:rPr>
        <w:t>技术文件</w:t>
      </w:r>
      <w:r>
        <w:rPr>
          <w:rFonts w:hint="eastAsia" w:ascii="宋体" w:hAnsi="宋体" w:cs="宋体"/>
          <w:color w:val="auto"/>
          <w:sz w:val="22"/>
          <w:szCs w:val="22"/>
          <w:highlight w:val="none"/>
        </w:rPr>
        <w:t>；</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w:t>
      </w:r>
      <w:r>
        <w:rPr>
          <w:rFonts w:hint="eastAsia" w:ascii="宋体" w:hAnsi="宋体" w:cs="宋体"/>
          <w:color w:val="auto"/>
          <w:kern w:val="44"/>
          <w:sz w:val="22"/>
          <w:szCs w:val="22"/>
          <w:highlight w:val="none"/>
        </w:rPr>
        <w:t>编制和提交投标文件须知</w:t>
      </w:r>
      <w:r>
        <w:rPr>
          <w:rFonts w:hint="eastAsia" w:ascii="宋体" w:hAnsi="宋体" w:cs="宋体"/>
          <w:color w:val="auto"/>
          <w:sz w:val="22"/>
          <w:szCs w:val="22"/>
          <w:highlight w:val="none"/>
        </w:rPr>
        <w:t>要求投标人提交的全部文件；</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(5)按招标文件要求提供和交付的货物和服务的投标报价详见开标一览表；</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(6)保证忠实地执行双方所签订的合同，并承担合同规定的责任和义务；</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(7)保证遵守招标文件中的其他有关规定。</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4、投标有效期内不撤销投标文件，如中标，有效期将延至合同终止日为止。</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5、我方完全理解贵方不一定要接受最低价的投标。</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7、如中标，按招标文件规定的招标代理服务费标准，在领取中标通知书时向招标代理机构支付招标代理服务费。</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(1)提供虚假材料谋取中标、成交的；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(2)采取不正当手段诋毁、排挤其他供应商的；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(3)与招标人、其它供应商或者招标代理机构恶意串通的；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(4)向招标人、招标代理机构行贿或者提供其他不正当利益的；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(5)在招标采购过程中与招标人进行协商谈判的；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(6)拒绝有关部门监督检查或提供虚假情况的。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供应商有前款第(1)至(5)项情形之一的，中标、成交无效。</w:t>
      </w:r>
    </w:p>
    <w:p>
      <w:pPr>
        <w:shd w:val="clear" w:color="auto" w:fill="FFFFFF"/>
        <w:snapToGrid w:val="0"/>
        <w:spacing w:line="360" w:lineRule="auto"/>
        <w:rPr>
          <w:rFonts w:ascii="宋体" w:hAnsi="宋体" w:cs="宋体"/>
          <w:color w:val="auto"/>
          <w:kern w:val="0"/>
          <w:sz w:val="22"/>
          <w:szCs w:val="22"/>
          <w:highlight w:val="none"/>
          <w:lang w:val="zh-CN"/>
        </w:rPr>
      </w:pPr>
    </w:p>
    <w:p>
      <w:pPr>
        <w:shd w:val="clear" w:color="auto" w:fill="FFFFFF"/>
        <w:snapToGrid w:val="0"/>
        <w:spacing w:line="360" w:lineRule="auto"/>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zh-CN"/>
        </w:rPr>
        <w:t>法定（授权）代表人（签字）：</w:t>
      </w:r>
      <w:r>
        <w:rPr>
          <w:rFonts w:hint="eastAsia" w:ascii="宋体" w:hAnsi="宋体" w:cs="宋体"/>
          <w:color w:val="auto"/>
          <w:kern w:val="0"/>
          <w:sz w:val="22"/>
          <w:szCs w:val="22"/>
          <w:highlight w:val="none"/>
          <w:u w:val="single"/>
          <w:lang w:val="zh-CN"/>
        </w:rPr>
        <w:t xml:space="preserve">                    </w:t>
      </w:r>
      <w:r>
        <w:rPr>
          <w:rFonts w:hint="eastAsia" w:ascii="宋体" w:hAnsi="宋体" w:cs="宋体"/>
          <w:color w:val="auto"/>
          <w:kern w:val="0"/>
          <w:sz w:val="22"/>
          <w:szCs w:val="22"/>
          <w:highlight w:val="none"/>
        </w:rPr>
        <w:tab/>
      </w:r>
    </w:p>
    <w:p>
      <w:pPr>
        <w:shd w:val="clear" w:color="auto" w:fill="FFFFFF"/>
        <w:snapToGrid w:val="0"/>
        <w:spacing w:line="360" w:lineRule="auto"/>
        <w:ind w:firstLine="440" w:firstLineChars="200"/>
        <w:rPr>
          <w:rFonts w:ascii="宋体" w:hAnsi="宋体" w:cs="宋体"/>
          <w:color w:val="auto"/>
          <w:kern w:val="0"/>
          <w:sz w:val="22"/>
          <w:szCs w:val="22"/>
          <w:highlight w:val="none"/>
          <w:u w:val="single"/>
          <w:lang w:val="zh-CN"/>
        </w:rPr>
      </w:pPr>
      <w:r>
        <w:rPr>
          <w:rFonts w:hint="eastAsia" w:ascii="宋体" w:hAnsi="宋体" w:cs="宋体"/>
          <w:color w:val="auto"/>
          <w:kern w:val="0"/>
          <w:sz w:val="22"/>
          <w:szCs w:val="22"/>
          <w:highlight w:val="none"/>
          <w:lang w:val="zh-CN"/>
        </w:rPr>
        <w:t>投标人盖 章：</w:t>
      </w:r>
      <w:r>
        <w:rPr>
          <w:rFonts w:hint="eastAsia" w:ascii="宋体" w:hAnsi="宋体" w:cs="宋体"/>
          <w:color w:val="auto"/>
          <w:kern w:val="0"/>
          <w:sz w:val="22"/>
          <w:szCs w:val="22"/>
          <w:highlight w:val="none"/>
          <w:u w:val="single"/>
          <w:lang w:val="zh-CN"/>
        </w:rPr>
        <w:t xml:space="preserve">                     </w:t>
      </w:r>
      <w:r>
        <w:rPr>
          <w:rFonts w:hint="eastAsia" w:ascii="宋体" w:hAnsi="宋体" w:cs="宋体"/>
          <w:color w:val="auto"/>
          <w:kern w:val="0"/>
          <w:sz w:val="22"/>
          <w:szCs w:val="22"/>
          <w:highlight w:val="none"/>
        </w:rPr>
        <w:tab/>
      </w:r>
      <w:r>
        <w:rPr>
          <w:rFonts w:hint="eastAsia" w:ascii="宋体" w:hAnsi="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zh-CN"/>
        </w:rPr>
        <w:t xml:space="preserve">联系电话： </w:t>
      </w:r>
      <w:r>
        <w:rPr>
          <w:rFonts w:hint="eastAsia" w:ascii="宋体" w:hAnsi="宋体" w:cs="宋体"/>
          <w:color w:val="auto"/>
          <w:kern w:val="0"/>
          <w:sz w:val="22"/>
          <w:szCs w:val="22"/>
          <w:highlight w:val="none"/>
          <w:u w:val="single"/>
          <w:lang w:val="zh-CN"/>
        </w:rPr>
        <w:t xml:space="preserve">          </w:t>
      </w:r>
      <w:r>
        <w:rPr>
          <w:rFonts w:hint="eastAsia" w:ascii="宋体" w:hAnsi="宋体" w:cs="宋体"/>
          <w:color w:val="auto"/>
          <w:kern w:val="0"/>
          <w:sz w:val="22"/>
          <w:szCs w:val="22"/>
          <w:highlight w:val="none"/>
          <w:lang w:val="zh-CN"/>
        </w:rPr>
        <w:t xml:space="preserve">传真：  </w:t>
      </w:r>
      <w:r>
        <w:rPr>
          <w:rFonts w:hint="eastAsia" w:ascii="宋体" w:hAnsi="宋体" w:cs="宋体"/>
          <w:color w:val="auto"/>
          <w:kern w:val="0"/>
          <w:sz w:val="22"/>
          <w:szCs w:val="22"/>
          <w:highlight w:val="none"/>
          <w:u w:val="single"/>
          <w:lang w:val="zh-CN"/>
        </w:rPr>
        <w:t xml:space="preserve">           </w:t>
      </w:r>
      <w:r>
        <w:rPr>
          <w:rFonts w:hint="eastAsia" w:ascii="宋体" w:hAnsi="宋体" w:cs="宋体"/>
          <w:color w:val="auto"/>
          <w:kern w:val="0"/>
          <w:sz w:val="22"/>
          <w:szCs w:val="22"/>
          <w:highlight w:val="none"/>
          <w:lang w:val="zh-CN"/>
        </w:rPr>
        <w:t xml:space="preserve">电子邮件：  </w:t>
      </w:r>
      <w:r>
        <w:rPr>
          <w:rFonts w:hint="eastAsia" w:ascii="宋体" w:hAnsi="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zh-CN"/>
        </w:rPr>
        <w:t>联系地址：</w:t>
      </w:r>
      <w:r>
        <w:rPr>
          <w:rFonts w:hint="eastAsia" w:ascii="宋体" w:hAnsi="宋体" w:cs="宋体"/>
          <w:color w:val="auto"/>
          <w:kern w:val="0"/>
          <w:sz w:val="22"/>
          <w:szCs w:val="22"/>
          <w:highlight w:val="none"/>
          <w:u w:val="single"/>
          <w:lang w:val="zh-CN"/>
        </w:rPr>
        <w:t xml:space="preserve">                    </w:t>
      </w:r>
      <w:r>
        <w:rPr>
          <w:rFonts w:hint="eastAsia" w:ascii="宋体" w:hAnsi="宋体" w:cs="宋体"/>
          <w:color w:val="auto"/>
          <w:kern w:val="0"/>
          <w:sz w:val="22"/>
          <w:szCs w:val="22"/>
          <w:highlight w:val="none"/>
        </w:rPr>
        <w:tab/>
      </w:r>
      <w:r>
        <w:rPr>
          <w:rFonts w:hint="eastAsia" w:ascii="宋体" w:hAnsi="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zh-CN"/>
        </w:rPr>
        <w:t>邮政编码：</w:t>
      </w:r>
      <w:r>
        <w:rPr>
          <w:rFonts w:hint="eastAsia" w:ascii="宋体" w:hAnsi="宋体" w:cs="宋体"/>
          <w:color w:val="auto"/>
          <w:kern w:val="0"/>
          <w:sz w:val="22"/>
          <w:szCs w:val="22"/>
          <w:highlight w:val="none"/>
          <w:u w:val="single"/>
          <w:lang w:val="zh-CN"/>
        </w:rPr>
        <w:t xml:space="preserve">                     </w:t>
      </w:r>
      <w:r>
        <w:rPr>
          <w:rFonts w:hint="eastAsia" w:ascii="宋体" w:hAnsi="宋体" w:cs="宋体"/>
          <w:color w:val="auto"/>
          <w:kern w:val="0"/>
          <w:sz w:val="22"/>
          <w:szCs w:val="22"/>
          <w:highlight w:val="none"/>
          <w:lang w:val="zh-CN"/>
        </w:rPr>
        <w:t>传真号码：</w:t>
      </w:r>
      <w:r>
        <w:rPr>
          <w:rFonts w:hint="eastAsia" w:ascii="宋体" w:hAnsi="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ascii="宋体" w:hAnsi="宋体" w:cs="宋体"/>
          <w:color w:val="auto"/>
          <w:kern w:val="0"/>
          <w:sz w:val="22"/>
          <w:szCs w:val="22"/>
          <w:highlight w:val="none"/>
          <w:u w:val="single"/>
        </w:rPr>
      </w:pPr>
      <w:r>
        <w:rPr>
          <w:rFonts w:hint="eastAsia" w:ascii="宋体" w:hAnsi="宋体" w:cs="宋体"/>
          <w:color w:val="auto"/>
          <w:kern w:val="0"/>
          <w:sz w:val="22"/>
          <w:szCs w:val="22"/>
          <w:highlight w:val="none"/>
          <w:lang w:val="zh-CN"/>
        </w:rPr>
        <w:t>日</w:t>
      </w: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lang w:val="zh-CN"/>
        </w:rPr>
        <w:t>期</w:t>
      </w: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lang w:val="zh-CN"/>
        </w:rPr>
        <w:t>年</w:t>
      </w:r>
      <w:r>
        <w:rPr>
          <w:rFonts w:hint="eastAsia"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u w:val="single"/>
        </w:rPr>
        <w:tab/>
      </w:r>
      <w:r>
        <w:rPr>
          <w:rFonts w:hint="eastAsia" w:ascii="宋体" w:hAnsi="宋体" w:cs="宋体"/>
          <w:color w:val="auto"/>
          <w:kern w:val="0"/>
          <w:sz w:val="22"/>
          <w:szCs w:val="22"/>
          <w:highlight w:val="none"/>
          <w:lang w:val="zh-CN"/>
        </w:rPr>
        <w:t>月</w:t>
      </w:r>
      <w:r>
        <w:rPr>
          <w:rFonts w:hint="eastAsia" w:ascii="宋体" w:hAnsi="宋体" w:cs="宋体"/>
          <w:color w:val="auto"/>
          <w:kern w:val="0"/>
          <w:sz w:val="22"/>
          <w:szCs w:val="22"/>
          <w:highlight w:val="none"/>
          <w:u w:val="single"/>
          <w:lang w:val="zh-CN"/>
        </w:rPr>
        <w:t xml:space="preserve">    </w:t>
      </w:r>
      <w:r>
        <w:rPr>
          <w:rFonts w:hint="eastAsia" w:ascii="宋体" w:hAnsi="宋体" w:cs="宋体"/>
          <w:color w:val="auto"/>
          <w:kern w:val="0"/>
          <w:sz w:val="22"/>
          <w:szCs w:val="22"/>
          <w:highlight w:val="none"/>
          <w:lang w:val="zh-CN"/>
        </w:rPr>
        <w:t>日</w:t>
      </w:r>
    </w:p>
    <w:p>
      <w:pPr>
        <w:spacing w:line="440" w:lineRule="exact"/>
        <w:rPr>
          <w:rFonts w:ascii="宋体" w:hAnsi="宋体" w:cs="宋体"/>
          <w:b/>
          <w:bCs/>
          <w:color w:val="auto"/>
          <w:sz w:val="22"/>
          <w:szCs w:val="22"/>
          <w:highlight w:val="none"/>
        </w:rPr>
      </w:pPr>
      <w:r>
        <w:rPr>
          <w:rFonts w:hint="eastAsia" w:ascii="宋体" w:hAnsi="宋体" w:cs="宋体"/>
          <w:b/>
          <w:bCs/>
          <w:color w:val="auto"/>
          <w:kern w:val="0"/>
          <w:sz w:val="22"/>
          <w:szCs w:val="22"/>
          <w:highlight w:val="none"/>
          <w:lang w:val="zh-CN"/>
        </w:rPr>
        <w:t>注：未按照本投标响应函要求填报的将被视为非实质性响应，从而可能导致该投标文件被拒绝。</w:t>
      </w:r>
    </w:p>
    <w:p>
      <w:pPr>
        <w:pStyle w:val="22"/>
        <w:ind w:left="442" w:hanging="442"/>
        <w:rPr>
          <w:rFonts w:ascii="宋体" w:hAnsi="宋体" w:cs="宋体"/>
          <w:b/>
          <w:bCs/>
          <w:color w:val="auto"/>
          <w:sz w:val="22"/>
          <w:szCs w:val="22"/>
          <w:highlight w:val="none"/>
        </w:rPr>
      </w:pPr>
    </w:p>
    <w:p>
      <w:pPr>
        <w:pStyle w:val="22"/>
        <w:ind w:left="442" w:hanging="442"/>
        <w:rPr>
          <w:rFonts w:ascii="宋体" w:hAnsi="宋体" w:cs="宋体"/>
          <w:b/>
          <w:bCs/>
          <w:color w:val="auto"/>
          <w:sz w:val="22"/>
          <w:szCs w:val="22"/>
          <w:highlight w:val="none"/>
        </w:rPr>
      </w:pPr>
    </w:p>
    <w:p>
      <w:pPr>
        <w:pStyle w:val="22"/>
        <w:ind w:left="442" w:hanging="442"/>
        <w:rPr>
          <w:rFonts w:ascii="宋体" w:hAnsi="宋体" w:cs="宋体"/>
          <w:b/>
          <w:bCs/>
          <w:color w:val="auto"/>
          <w:sz w:val="22"/>
          <w:szCs w:val="22"/>
          <w:highlight w:val="none"/>
        </w:rPr>
      </w:pPr>
    </w:p>
    <w:p>
      <w:pPr>
        <w:pStyle w:val="22"/>
        <w:ind w:left="442" w:hanging="442"/>
        <w:rPr>
          <w:rFonts w:ascii="宋体" w:hAnsi="宋体" w:cs="宋体"/>
          <w:b/>
          <w:bCs/>
          <w:color w:val="auto"/>
          <w:sz w:val="22"/>
          <w:szCs w:val="22"/>
          <w:highlight w:val="none"/>
        </w:rPr>
      </w:pPr>
    </w:p>
    <w:p>
      <w:pPr>
        <w:pStyle w:val="22"/>
        <w:ind w:left="442" w:hanging="442"/>
        <w:rPr>
          <w:rFonts w:ascii="宋体" w:hAnsi="宋体" w:cs="宋体"/>
          <w:b/>
          <w:bCs/>
          <w:color w:val="auto"/>
          <w:sz w:val="22"/>
          <w:szCs w:val="22"/>
          <w:highlight w:val="none"/>
        </w:rPr>
      </w:pPr>
    </w:p>
    <w:p>
      <w:pPr>
        <w:pStyle w:val="22"/>
        <w:ind w:left="442" w:hanging="442"/>
        <w:rPr>
          <w:rFonts w:ascii="宋体" w:hAnsi="宋体" w:cs="宋体"/>
          <w:b/>
          <w:bCs/>
          <w:color w:val="auto"/>
          <w:sz w:val="22"/>
          <w:szCs w:val="22"/>
          <w:highlight w:val="none"/>
        </w:rPr>
      </w:pPr>
    </w:p>
    <w:p>
      <w:pPr>
        <w:pStyle w:val="22"/>
        <w:ind w:left="442" w:hanging="442"/>
        <w:rPr>
          <w:rFonts w:ascii="宋体" w:hAnsi="宋体" w:cs="宋体"/>
          <w:b/>
          <w:bCs/>
          <w:color w:val="auto"/>
          <w:sz w:val="22"/>
          <w:szCs w:val="22"/>
          <w:highlight w:val="none"/>
        </w:rPr>
      </w:pPr>
    </w:p>
    <w:p>
      <w:pPr>
        <w:pStyle w:val="22"/>
        <w:ind w:left="442" w:hanging="442"/>
        <w:rPr>
          <w:rFonts w:ascii="宋体" w:hAnsi="宋体" w:cs="宋体"/>
          <w:b/>
          <w:bCs/>
          <w:color w:val="auto"/>
          <w:sz w:val="22"/>
          <w:szCs w:val="22"/>
          <w:highlight w:val="none"/>
        </w:rPr>
      </w:pPr>
    </w:p>
    <w:p>
      <w:pPr>
        <w:spacing w:line="46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 xml:space="preserve">  </w:t>
      </w:r>
    </w:p>
    <w:p>
      <w:pPr>
        <w:pStyle w:val="22"/>
        <w:ind w:left="0" w:firstLine="0" w:firstLineChars="0"/>
        <w:rPr>
          <w:rFonts w:ascii="宋体" w:hAnsi="宋体" w:cs="宋体"/>
          <w:b/>
          <w:bCs/>
          <w:color w:val="auto"/>
          <w:sz w:val="22"/>
          <w:szCs w:val="22"/>
          <w:highlight w:val="none"/>
        </w:rPr>
      </w:pPr>
    </w:p>
    <w:p>
      <w:pPr>
        <w:pStyle w:val="22"/>
        <w:ind w:left="0" w:firstLine="0" w:firstLineChars="0"/>
        <w:rPr>
          <w:rFonts w:ascii="宋体" w:hAnsi="宋体" w:cs="宋体"/>
          <w:b/>
          <w:bCs/>
          <w:color w:val="auto"/>
          <w:sz w:val="22"/>
          <w:szCs w:val="22"/>
          <w:highlight w:val="none"/>
        </w:rPr>
      </w:pPr>
    </w:p>
    <w:p>
      <w:pPr>
        <w:spacing w:line="400" w:lineRule="exact"/>
        <w:jc w:val="center"/>
        <w:outlineLvl w:val="3"/>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rPr>
        <w:t>2、</w:t>
      </w:r>
      <w:r>
        <w:rPr>
          <w:rFonts w:hint="eastAsia" w:ascii="新宋体" w:hAnsi="新宋体" w:eastAsia="新宋体" w:cs="新宋体"/>
          <w:b/>
          <w:color w:val="auto"/>
          <w:sz w:val="22"/>
          <w:szCs w:val="22"/>
          <w:highlight w:val="none"/>
          <w:lang w:val="zh-CN"/>
        </w:rPr>
        <w:t>投标报价一览表</w:t>
      </w:r>
    </w:p>
    <w:p>
      <w:pPr>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w:t>
      </w:r>
    </w:p>
    <w:p>
      <w:pPr>
        <w:spacing w:line="380" w:lineRule="exact"/>
        <w:rPr>
          <w:rFonts w:hint="eastAsia" w:ascii="新宋体" w:hAnsi="新宋体" w:eastAsia="新宋体" w:cs="新宋体"/>
          <w:b/>
          <w:color w:val="auto"/>
          <w:sz w:val="22"/>
          <w:highlight w:val="none"/>
        </w:rPr>
      </w:pPr>
      <w:r>
        <w:rPr>
          <w:rFonts w:hint="eastAsia" w:ascii="新宋体" w:hAnsi="新宋体" w:eastAsia="新宋体" w:cs="新宋体"/>
          <w:b/>
          <w:bCs/>
          <w:color w:val="auto"/>
          <w:sz w:val="22"/>
          <w:szCs w:val="22"/>
          <w:highlight w:val="none"/>
        </w:rPr>
        <w:t>项目名称：                                         项目编号：</w:t>
      </w:r>
    </w:p>
    <w:tbl>
      <w:tblPr>
        <w:tblStyle w:val="52"/>
        <w:tblW w:w="10145" w:type="dxa"/>
        <w:tblInd w:w="93" w:type="dxa"/>
        <w:tblLayout w:type="fixed"/>
        <w:tblCellMar>
          <w:top w:w="0" w:type="dxa"/>
          <w:left w:w="108" w:type="dxa"/>
          <w:bottom w:w="0" w:type="dxa"/>
          <w:right w:w="108" w:type="dxa"/>
        </w:tblCellMar>
      </w:tblPr>
      <w:tblGrid>
        <w:gridCol w:w="703"/>
        <w:gridCol w:w="1062"/>
        <w:gridCol w:w="3202"/>
        <w:gridCol w:w="1904"/>
        <w:gridCol w:w="1904"/>
        <w:gridCol w:w="1370"/>
      </w:tblGrid>
      <w:tr>
        <w:tblPrEx>
          <w:tblCellMar>
            <w:top w:w="0" w:type="dxa"/>
            <w:left w:w="108" w:type="dxa"/>
            <w:bottom w:w="0" w:type="dxa"/>
            <w:right w:w="108" w:type="dxa"/>
          </w:tblCellMar>
        </w:tblPrEx>
        <w:trPr>
          <w:trHeight w:val="555" w:hRule="atLeast"/>
        </w:trPr>
        <w:tc>
          <w:tcPr>
            <w:tcW w:w="703"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leftChars="0" w:right="0" w:rightChars="0" w:firstLine="0" w:firstLineChars="0"/>
              <w:jc w:val="center"/>
              <w:rPr>
                <w:rFonts w:hint="eastAsia" w:ascii="新宋体" w:hAnsi="新宋体" w:eastAsia="新宋体" w:cs="新宋体"/>
                <w:b/>
                <w:bCs/>
                <w:color w:val="auto"/>
                <w:highlight w:val="none"/>
              </w:rPr>
            </w:pPr>
            <w:r>
              <w:rPr>
                <w:rFonts w:hint="eastAsia" w:ascii="新宋体" w:hAnsi="新宋体" w:eastAsia="新宋体" w:cs="新宋体"/>
                <w:b/>
                <w:bCs/>
                <w:color w:val="auto"/>
                <w:highlight w:val="none"/>
              </w:rPr>
              <w:t>序号</w:t>
            </w:r>
          </w:p>
        </w:tc>
        <w:tc>
          <w:tcPr>
            <w:tcW w:w="1062" w:type="dxa"/>
            <w:tcBorders>
              <w:top w:val="single" w:color="auto" w:sz="4" w:space="0"/>
              <w:left w:val="nil"/>
              <w:bottom w:val="single" w:color="auto" w:sz="4" w:space="0"/>
              <w:right w:val="single" w:color="auto" w:sz="4" w:space="0"/>
            </w:tcBorders>
            <w:shd w:val="clear" w:color="auto" w:fill="auto"/>
            <w:noWrap/>
            <w:vAlign w:val="center"/>
          </w:tcPr>
          <w:p>
            <w:pPr>
              <w:ind w:left="0" w:leftChars="0" w:right="0" w:rightChars="0" w:firstLine="0" w:firstLineChars="0"/>
              <w:jc w:val="center"/>
              <w:rPr>
                <w:rFonts w:hint="eastAsia" w:ascii="新宋体" w:hAnsi="新宋体" w:eastAsia="新宋体" w:cs="新宋体"/>
                <w:b/>
                <w:bCs/>
                <w:color w:val="auto"/>
                <w:highlight w:val="none"/>
              </w:rPr>
            </w:pPr>
            <w:r>
              <w:rPr>
                <w:rFonts w:hint="eastAsia" w:ascii="新宋体" w:hAnsi="新宋体" w:eastAsia="新宋体" w:cs="新宋体"/>
                <w:b/>
                <w:bCs/>
                <w:color w:val="auto"/>
                <w:highlight w:val="none"/>
              </w:rPr>
              <w:t>项目名称</w:t>
            </w:r>
          </w:p>
        </w:tc>
        <w:tc>
          <w:tcPr>
            <w:tcW w:w="3202" w:type="dxa"/>
            <w:tcBorders>
              <w:top w:val="single" w:color="auto" w:sz="4" w:space="0"/>
              <w:left w:val="nil"/>
              <w:bottom w:val="single" w:color="auto" w:sz="4" w:space="0"/>
              <w:right w:val="single" w:color="auto" w:sz="4" w:space="0"/>
            </w:tcBorders>
            <w:shd w:val="clear" w:color="auto" w:fill="auto"/>
            <w:noWrap/>
            <w:vAlign w:val="center"/>
          </w:tcPr>
          <w:p>
            <w:pPr>
              <w:ind w:left="0" w:leftChars="0" w:right="0" w:rightChars="0" w:firstLine="0" w:firstLineChars="0"/>
              <w:jc w:val="center"/>
              <w:rPr>
                <w:rFonts w:hint="eastAsia" w:ascii="新宋体" w:hAnsi="新宋体" w:eastAsia="新宋体" w:cs="新宋体"/>
                <w:b/>
                <w:bCs/>
                <w:color w:val="auto"/>
                <w:highlight w:val="none"/>
              </w:rPr>
            </w:pPr>
            <w:r>
              <w:rPr>
                <w:rFonts w:hint="eastAsia" w:ascii="新宋体" w:hAnsi="新宋体" w:eastAsia="新宋体" w:cs="新宋体"/>
                <w:b/>
                <w:bCs/>
                <w:color w:val="auto"/>
                <w:highlight w:val="none"/>
              </w:rPr>
              <w:t>路线安排</w:t>
            </w:r>
          </w:p>
        </w:tc>
        <w:tc>
          <w:tcPr>
            <w:tcW w:w="1904" w:type="dxa"/>
            <w:tcBorders>
              <w:top w:val="single" w:color="auto" w:sz="4" w:space="0"/>
              <w:left w:val="nil"/>
              <w:bottom w:val="single" w:color="auto" w:sz="4" w:space="0"/>
              <w:right w:val="single" w:color="auto" w:sz="4" w:space="0"/>
            </w:tcBorders>
            <w:shd w:val="clear" w:color="auto" w:fill="auto"/>
            <w:noWrap/>
            <w:vAlign w:val="center"/>
          </w:tcPr>
          <w:p>
            <w:pPr>
              <w:ind w:left="0" w:leftChars="0" w:right="0" w:rightChars="0" w:firstLine="0" w:firstLineChars="0"/>
              <w:jc w:val="center"/>
              <w:rPr>
                <w:rFonts w:hint="default" w:ascii="新宋体" w:hAnsi="新宋体" w:eastAsia="新宋体" w:cs="新宋体"/>
                <w:b/>
                <w:bCs/>
                <w:color w:val="auto"/>
                <w:highlight w:val="none"/>
                <w:lang w:val="en-US" w:eastAsia="zh-CN"/>
              </w:rPr>
            </w:pPr>
            <w:r>
              <w:rPr>
                <w:rFonts w:hint="eastAsia" w:ascii="新宋体" w:hAnsi="新宋体" w:eastAsia="新宋体" w:cs="新宋体"/>
                <w:b/>
                <w:bCs/>
                <w:color w:val="auto"/>
                <w:highlight w:val="none"/>
                <w:lang w:val="en-US" w:eastAsia="zh-CN"/>
              </w:rPr>
              <w:t>投标报价（元/人）</w:t>
            </w:r>
          </w:p>
        </w:tc>
        <w:tc>
          <w:tcPr>
            <w:tcW w:w="1904" w:type="dxa"/>
            <w:tcBorders>
              <w:top w:val="single" w:color="auto" w:sz="4" w:space="0"/>
              <w:left w:val="nil"/>
              <w:bottom w:val="single" w:color="auto" w:sz="4" w:space="0"/>
              <w:right w:val="single" w:color="auto" w:sz="4" w:space="0"/>
            </w:tcBorders>
            <w:shd w:val="clear" w:color="auto" w:fill="auto"/>
            <w:noWrap/>
            <w:vAlign w:val="center"/>
          </w:tcPr>
          <w:p>
            <w:pPr>
              <w:ind w:left="0" w:leftChars="0" w:right="0" w:rightChars="0" w:firstLine="0" w:firstLineChars="0"/>
              <w:jc w:val="center"/>
              <w:rPr>
                <w:rFonts w:hint="eastAsia" w:ascii="新宋体" w:hAnsi="新宋体" w:eastAsia="新宋体" w:cs="新宋体"/>
                <w:b/>
                <w:bCs/>
                <w:color w:val="auto"/>
                <w:highlight w:val="none"/>
              </w:rPr>
            </w:pPr>
            <w:r>
              <w:rPr>
                <w:rFonts w:hint="eastAsia" w:ascii="新宋体" w:hAnsi="新宋体" w:eastAsia="新宋体" w:cs="新宋体"/>
                <w:b/>
                <w:bCs/>
                <w:color w:val="auto"/>
                <w:highlight w:val="none"/>
              </w:rPr>
              <w:t>线路要求</w:t>
            </w:r>
          </w:p>
        </w:tc>
        <w:tc>
          <w:tcPr>
            <w:tcW w:w="13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rPr>
                <w:rFonts w:hint="eastAsia" w:ascii="新宋体" w:hAnsi="新宋体" w:eastAsia="新宋体" w:cs="新宋体"/>
                <w:b/>
                <w:bCs/>
                <w:color w:val="auto"/>
                <w:highlight w:val="none"/>
              </w:rPr>
            </w:pPr>
            <w:r>
              <w:rPr>
                <w:rFonts w:hint="eastAsia" w:ascii="新宋体" w:hAnsi="新宋体" w:eastAsia="新宋体" w:cs="新宋体"/>
                <w:b/>
                <w:bCs/>
                <w:i w:val="0"/>
                <w:iCs w:val="0"/>
                <w:color w:val="auto"/>
                <w:kern w:val="0"/>
                <w:sz w:val="22"/>
                <w:szCs w:val="22"/>
                <w:highlight w:val="none"/>
                <w:u w:val="none"/>
                <w:lang w:val="en-US" w:eastAsia="zh-CN" w:bidi="ar"/>
              </w:rPr>
              <w:t>时间要求</w:t>
            </w:r>
          </w:p>
        </w:tc>
      </w:tr>
      <w:tr>
        <w:tblPrEx>
          <w:tblCellMar>
            <w:top w:w="0" w:type="dxa"/>
            <w:left w:w="108" w:type="dxa"/>
            <w:bottom w:w="0" w:type="dxa"/>
            <w:right w:w="108" w:type="dxa"/>
          </w:tblCellMar>
        </w:tblPrEx>
        <w:trPr>
          <w:trHeight w:val="510" w:hRule="atLeast"/>
        </w:trPr>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1</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lang w:eastAsia="zh-CN"/>
              </w:rPr>
              <w:t>202</w:t>
            </w:r>
            <w:r>
              <w:rPr>
                <w:rFonts w:hint="eastAsia" w:ascii="新宋体" w:hAnsi="新宋体" w:eastAsia="新宋体" w:cs="新宋体"/>
                <w:color w:val="auto"/>
                <w:highlight w:val="none"/>
                <w:lang w:val="en-US" w:eastAsia="zh-CN"/>
              </w:rPr>
              <w:t>4</w:t>
            </w:r>
            <w:r>
              <w:rPr>
                <w:rFonts w:hint="eastAsia" w:ascii="新宋体" w:hAnsi="新宋体" w:eastAsia="新宋体" w:cs="新宋体"/>
                <w:color w:val="auto"/>
                <w:highlight w:val="none"/>
              </w:rPr>
              <w:t>年度职工疗休养</w:t>
            </w:r>
          </w:p>
        </w:tc>
        <w:tc>
          <w:tcPr>
            <w:tcW w:w="32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新宋体" w:hAnsi="新宋体" w:eastAsia="新宋体" w:cs="新宋体"/>
                <w:color w:val="auto"/>
                <w:szCs w:val="21"/>
                <w:highlight w:val="none"/>
              </w:rPr>
            </w:pPr>
            <w:r>
              <w:rPr>
                <w:rFonts w:hint="eastAsia" w:ascii="新宋体" w:hAnsi="新宋体" w:eastAsia="新宋体" w:cs="新宋体"/>
                <w:i w:val="0"/>
                <w:iCs w:val="0"/>
                <w:color w:val="auto"/>
                <w:kern w:val="0"/>
                <w:sz w:val="22"/>
                <w:szCs w:val="22"/>
                <w:highlight w:val="none"/>
                <w:u w:val="none"/>
                <w:lang w:val="en-US" w:eastAsia="zh-CN" w:bidi="ar"/>
              </w:rPr>
              <w:t>温州市域内市级疗休养基地、浙江国家生态旅游协作区</w:t>
            </w:r>
          </w:p>
        </w:tc>
        <w:tc>
          <w:tcPr>
            <w:tcW w:w="1904" w:type="dxa"/>
            <w:tcBorders>
              <w:top w:val="nil"/>
              <w:left w:val="single" w:color="auto" w:sz="4" w:space="0"/>
              <w:bottom w:val="single" w:color="auto" w:sz="4" w:space="0"/>
              <w:right w:val="single" w:color="auto" w:sz="4" w:space="0"/>
            </w:tcBorders>
            <w:shd w:val="clear" w:color="auto" w:fill="auto"/>
            <w:vAlign w:val="center"/>
          </w:tcPr>
          <w:p>
            <w:pPr>
              <w:rPr>
                <w:rFonts w:hint="eastAsia" w:ascii="新宋体" w:hAnsi="新宋体" w:eastAsia="新宋体" w:cs="新宋体"/>
                <w:b/>
                <w:bCs w:val="0"/>
                <w:color w:val="auto"/>
                <w:sz w:val="22"/>
                <w:szCs w:val="22"/>
                <w:highlight w:val="none"/>
                <w:lang w:val="en-US" w:eastAsia="zh-CN"/>
              </w:rPr>
            </w:pPr>
          </w:p>
        </w:tc>
        <w:tc>
          <w:tcPr>
            <w:tcW w:w="1904" w:type="dxa"/>
            <w:vMerge w:val="restart"/>
            <w:tcBorders>
              <w:top w:val="nil"/>
              <w:left w:val="single" w:color="auto" w:sz="4" w:space="0"/>
              <w:bottom w:val="single" w:color="auto" w:sz="4" w:space="0"/>
              <w:right w:val="single" w:color="auto" w:sz="4" w:space="0"/>
            </w:tcBorders>
            <w:shd w:val="clear" w:color="auto" w:fill="auto"/>
            <w:vAlign w:val="center"/>
          </w:tcPr>
          <w:p>
            <w:pPr>
              <w:rPr>
                <w:rFonts w:hint="default" w:ascii="新宋体" w:hAnsi="新宋体" w:eastAsia="新宋体" w:cs="新宋体"/>
                <w:color w:val="auto"/>
                <w:highlight w:val="none"/>
                <w:lang w:val="en-US" w:eastAsia="zh-CN"/>
              </w:rPr>
            </w:pPr>
            <w:r>
              <w:rPr>
                <w:rFonts w:hint="eastAsia" w:ascii="新宋体" w:hAnsi="新宋体" w:eastAsia="新宋体" w:cs="新宋体"/>
                <w:b/>
                <w:bCs w:val="0"/>
                <w:color w:val="auto"/>
                <w:sz w:val="22"/>
                <w:szCs w:val="22"/>
                <w:highlight w:val="none"/>
                <w:lang w:val="en-US" w:eastAsia="zh-CN"/>
              </w:rPr>
              <w:t>▲各线路预算福利费用3000元/人（</w:t>
            </w:r>
            <w:r>
              <w:rPr>
                <w:rFonts w:hint="eastAsia" w:ascii="新宋体" w:hAnsi="新宋体" w:eastAsia="新宋体"/>
                <w:b/>
                <w:color w:val="auto"/>
                <w:sz w:val="22"/>
                <w:szCs w:val="22"/>
                <w:highlight w:val="none"/>
              </w:rPr>
              <w:t>跨省超出</w:t>
            </w:r>
            <w:r>
              <w:rPr>
                <w:rFonts w:hint="eastAsia" w:ascii="新宋体" w:hAnsi="新宋体" w:eastAsia="新宋体"/>
                <w:b/>
                <w:color w:val="auto"/>
                <w:sz w:val="22"/>
                <w:szCs w:val="22"/>
                <w:highlight w:val="none"/>
                <w:lang w:val="en-US" w:eastAsia="zh-CN"/>
              </w:rPr>
              <w:t>福利费用</w:t>
            </w:r>
            <w:r>
              <w:rPr>
                <w:rFonts w:hint="eastAsia" w:ascii="新宋体" w:hAnsi="新宋体" w:eastAsia="新宋体"/>
                <w:b/>
                <w:color w:val="auto"/>
                <w:sz w:val="22"/>
                <w:szCs w:val="22"/>
                <w:highlight w:val="none"/>
              </w:rPr>
              <w:t>部分由职工本人负担费用，职工本人负担费用不得超过3000元）</w:t>
            </w:r>
            <w:r>
              <w:rPr>
                <w:rFonts w:hint="eastAsia" w:ascii="新宋体" w:hAnsi="新宋体" w:eastAsia="新宋体"/>
                <w:b/>
                <w:color w:val="auto"/>
                <w:sz w:val="22"/>
                <w:szCs w:val="22"/>
                <w:highlight w:val="none"/>
                <w:lang w:eastAsia="zh-CN"/>
              </w:rPr>
              <w:t>，</w:t>
            </w:r>
          </w:p>
        </w:tc>
        <w:tc>
          <w:tcPr>
            <w:tcW w:w="1370"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b/>
                <w:bCs w:val="0"/>
                <w:color w:val="auto"/>
                <w:sz w:val="22"/>
                <w:szCs w:val="22"/>
                <w:highlight w:val="none"/>
                <w:lang w:val="en-US" w:eastAsia="zh-CN"/>
              </w:rPr>
            </w:pPr>
            <w:r>
              <w:rPr>
                <w:rFonts w:hint="eastAsia" w:ascii="新宋体" w:hAnsi="新宋体" w:eastAsia="新宋体" w:cs="新宋体"/>
                <w:i w:val="0"/>
                <w:iCs w:val="0"/>
                <w:color w:val="auto"/>
                <w:kern w:val="0"/>
                <w:sz w:val="22"/>
                <w:szCs w:val="22"/>
                <w:highlight w:val="none"/>
                <w:u w:val="none"/>
                <w:lang w:val="en-US" w:eastAsia="zh-CN" w:bidi="ar"/>
              </w:rPr>
              <w:t>疗休养时间为共5天，3个工作日+2天周末。</w:t>
            </w:r>
          </w:p>
        </w:tc>
      </w:tr>
      <w:tr>
        <w:tblPrEx>
          <w:tblCellMar>
            <w:top w:w="0" w:type="dxa"/>
            <w:left w:w="108" w:type="dxa"/>
            <w:bottom w:w="0" w:type="dxa"/>
            <w:right w:w="108" w:type="dxa"/>
          </w:tblCellMar>
        </w:tblPrEx>
        <w:trPr>
          <w:trHeight w:val="510" w:hRule="atLeast"/>
        </w:trPr>
        <w:tc>
          <w:tcPr>
            <w:tcW w:w="703" w:type="dxa"/>
            <w:vMerge w:val="continue"/>
            <w:tcBorders>
              <w:top w:val="nil"/>
              <w:left w:val="single" w:color="auto" w:sz="4" w:space="0"/>
              <w:bottom w:val="single" w:color="auto" w:sz="4" w:space="0"/>
              <w:right w:val="single" w:color="auto" w:sz="4" w:space="0"/>
            </w:tcBorders>
            <w:vAlign w:val="center"/>
          </w:tcPr>
          <w:p>
            <w:pPr>
              <w:rPr>
                <w:rFonts w:hint="eastAsia" w:ascii="新宋体" w:hAnsi="新宋体" w:eastAsia="新宋体" w:cs="新宋体"/>
                <w:color w:val="auto"/>
                <w:highlight w:val="none"/>
              </w:rPr>
            </w:pPr>
          </w:p>
        </w:tc>
        <w:tc>
          <w:tcPr>
            <w:tcW w:w="1062" w:type="dxa"/>
            <w:vMerge w:val="continue"/>
            <w:tcBorders>
              <w:top w:val="nil"/>
              <w:left w:val="single" w:color="auto" w:sz="4" w:space="0"/>
              <w:bottom w:val="single" w:color="auto" w:sz="4" w:space="0"/>
              <w:right w:val="single" w:color="auto" w:sz="4" w:space="0"/>
            </w:tcBorders>
            <w:vAlign w:val="center"/>
          </w:tcPr>
          <w:p>
            <w:pPr>
              <w:rPr>
                <w:rFonts w:hint="eastAsia" w:ascii="新宋体" w:hAnsi="新宋体" w:eastAsia="新宋体" w:cs="新宋体"/>
                <w:color w:val="auto"/>
                <w:highlight w:val="none"/>
              </w:rPr>
            </w:pPr>
          </w:p>
        </w:tc>
        <w:tc>
          <w:tcPr>
            <w:tcW w:w="32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新宋体" w:hAnsi="新宋体" w:eastAsia="新宋体" w:cs="新宋体"/>
                <w:color w:val="auto"/>
                <w:szCs w:val="21"/>
                <w:highlight w:val="none"/>
              </w:rPr>
            </w:pPr>
            <w:r>
              <w:rPr>
                <w:rFonts w:hint="eastAsia" w:ascii="新宋体" w:hAnsi="新宋体" w:eastAsia="新宋体" w:cs="新宋体"/>
                <w:i w:val="0"/>
                <w:iCs w:val="0"/>
                <w:color w:val="auto"/>
                <w:kern w:val="0"/>
                <w:sz w:val="22"/>
                <w:szCs w:val="22"/>
                <w:highlight w:val="none"/>
                <w:u w:val="none"/>
                <w:lang w:val="en-US" w:eastAsia="zh-CN" w:bidi="ar"/>
              </w:rPr>
              <w:t>皖闽赣国家生态旅游协作区，长三角地区</w:t>
            </w:r>
          </w:p>
        </w:tc>
        <w:tc>
          <w:tcPr>
            <w:tcW w:w="1904" w:type="dxa"/>
            <w:tcBorders>
              <w:top w:val="nil"/>
              <w:left w:val="single" w:color="auto" w:sz="4" w:space="0"/>
              <w:bottom w:val="single" w:color="auto" w:sz="4" w:space="0"/>
              <w:right w:val="single" w:color="auto" w:sz="4" w:space="0"/>
            </w:tcBorders>
            <w:vAlign w:val="center"/>
          </w:tcPr>
          <w:p>
            <w:pPr>
              <w:rPr>
                <w:rFonts w:hint="eastAsia" w:ascii="新宋体" w:hAnsi="新宋体" w:eastAsia="新宋体" w:cs="新宋体"/>
                <w:color w:val="auto"/>
                <w:highlight w:val="none"/>
              </w:rPr>
            </w:pPr>
          </w:p>
        </w:tc>
        <w:tc>
          <w:tcPr>
            <w:tcW w:w="1904" w:type="dxa"/>
            <w:vMerge w:val="continue"/>
            <w:tcBorders>
              <w:top w:val="nil"/>
              <w:left w:val="single" w:color="auto" w:sz="4" w:space="0"/>
              <w:bottom w:val="single" w:color="auto" w:sz="4" w:space="0"/>
              <w:right w:val="single" w:color="auto" w:sz="4" w:space="0"/>
            </w:tcBorders>
            <w:vAlign w:val="center"/>
          </w:tcPr>
          <w:p>
            <w:pPr>
              <w:rPr>
                <w:rFonts w:hint="eastAsia" w:ascii="新宋体" w:hAnsi="新宋体" w:eastAsia="新宋体" w:cs="新宋体"/>
                <w:color w:val="auto"/>
                <w:highlight w:val="none"/>
              </w:rPr>
            </w:pPr>
          </w:p>
        </w:tc>
        <w:tc>
          <w:tcPr>
            <w:tcW w:w="1370" w:type="dxa"/>
            <w:vMerge w:val="continue"/>
            <w:tcBorders>
              <w:left w:val="single" w:color="auto" w:sz="4" w:space="0"/>
              <w:right w:val="single" w:color="auto" w:sz="4" w:space="0"/>
            </w:tcBorders>
            <w:vAlign w:val="center"/>
          </w:tcPr>
          <w:p>
            <w:pPr>
              <w:rPr>
                <w:rFonts w:hint="eastAsia" w:ascii="新宋体" w:hAnsi="新宋体" w:eastAsia="新宋体" w:cs="新宋体"/>
                <w:color w:val="auto"/>
                <w:highlight w:val="none"/>
              </w:rPr>
            </w:pPr>
          </w:p>
        </w:tc>
      </w:tr>
      <w:tr>
        <w:tblPrEx>
          <w:tblCellMar>
            <w:top w:w="0" w:type="dxa"/>
            <w:left w:w="108" w:type="dxa"/>
            <w:bottom w:w="0" w:type="dxa"/>
            <w:right w:w="108" w:type="dxa"/>
          </w:tblCellMar>
        </w:tblPrEx>
        <w:trPr>
          <w:trHeight w:val="510" w:hRule="atLeast"/>
        </w:trPr>
        <w:tc>
          <w:tcPr>
            <w:tcW w:w="703" w:type="dxa"/>
            <w:vMerge w:val="continue"/>
            <w:tcBorders>
              <w:top w:val="nil"/>
              <w:left w:val="single" w:color="auto" w:sz="4" w:space="0"/>
              <w:bottom w:val="single" w:color="auto" w:sz="4" w:space="0"/>
              <w:right w:val="single" w:color="auto" w:sz="4" w:space="0"/>
            </w:tcBorders>
            <w:vAlign w:val="center"/>
          </w:tcPr>
          <w:p>
            <w:pPr>
              <w:rPr>
                <w:rFonts w:hint="eastAsia" w:ascii="新宋体" w:hAnsi="新宋体" w:eastAsia="新宋体" w:cs="新宋体"/>
                <w:color w:val="auto"/>
                <w:highlight w:val="none"/>
              </w:rPr>
            </w:pPr>
          </w:p>
        </w:tc>
        <w:tc>
          <w:tcPr>
            <w:tcW w:w="1062" w:type="dxa"/>
            <w:vMerge w:val="continue"/>
            <w:tcBorders>
              <w:top w:val="nil"/>
              <w:left w:val="single" w:color="auto" w:sz="4" w:space="0"/>
              <w:bottom w:val="single" w:color="auto" w:sz="4" w:space="0"/>
              <w:right w:val="single" w:color="auto" w:sz="4" w:space="0"/>
            </w:tcBorders>
            <w:vAlign w:val="center"/>
          </w:tcPr>
          <w:p>
            <w:pPr>
              <w:rPr>
                <w:rFonts w:hint="eastAsia" w:ascii="新宋体" w:hAnsi="新宋体" w:eastAsia="新宋体" w:cs="新宋体"/>
                <w:color w:val="auto"/>
                <w:highlight w:val="none"/>
              </w:rPr>
            </w:pPr>
          </w:p>
        </w:tc>
        <w:tc>
          <w:tcPr>
            <w:tcW w:w="32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新宋体" w:hAnsi="新宋体" w:eastAsia="新宋体" w:cs="新宋体"/>
                <w:color w:val="auto"/>
                <w:szCs w:val="21"/>
                <w:highlight w:val="none"/>
              </w:rPr>
            </w:pPr>
            <w:r>
              <w:rPr>
                <w:rFonts w:hint="eastAsia" w:ascii="新宋体" w:hAnsi="新宋体" w:eastAsia="新宋体" w:cs="新宋体"/>
                <w:i w:val="0"/>
                <w:iCs w:val="0"/>
                <w:color w:val="auto"/>
                <w:kern w:val="0"/>
                <w:sz w:val="22"/>
                <w:szCs w:val="22"/>
                <w:highlight w:val="none"/>
                <w:u w:val="none"/>
                <w:lang w:val="en-US" w:eastAsia="zh-CN" w:bidi="ar"/>
              </w:rPr>
              <w:t>本市东西部协助、对口支援（合作）地区（新疆阿克苏地区、青海省格尔木市、西藏那曲地区嘉黎县、四川省南充市、阿坝州、 重庆市涪陵区、吉林省吉林市）</w:t>
            </w:r>
          </w:p>
        </w:tc>
        <w:tc>
          <w:tcPr>
            <w:tcW w:w="1904" w:type="dxa"/>
            <w:tcBorders>
              <w:top w:val="nil"/>
              <w:left w:val="single" w:color="auto" w:sz="4" w:space="0"/>
              <w:bottom w:val="single" w:color="auto" w:sz="4" w:space="0"/>
              <w:right w:val="single" w:color="auto" w:sz="4" w:space="0"/>
            </w:tcBorders>
            <w:vAlign w:val="center"/>
          </w:tcPr>
          <w:p>
            <w:pPr>
              <w:rPr>
                <w:rFonts w:hint="eastAsia" w:ascii="新宋体" w:hAnsi="新宋体" w:eastAsia="新宋体" w:cs="新宋体"/>
                <w:color w:val="auto"/>
                <w:highlight w:val="none"/>
              </w:rPr>
            </w:pPr>
          </w:p>
        </w:tc>
        <w:tc>
          <w:tcPr>
            <w:tcW w:w="1904" w:type="dxa"/>
            <w:vMerge w:val="continue"/>
            <w:tcBorders>
              <w:top w:val="nil"/>
              <w:left w:val="single" w:color="auto" w:sz="4" w:space="0"/>
              <w:bottom w:val="single" w:color="auto" w:sz="4" w:space="0"/>
              <w:right w:val="single" w:color="auto" w:sz="4" w:space="0"/>
            </w:tcBorders>
            <w:vAlign w:val="center"/>
          </w:tcPr>
          <w:p>
            <w:pPr>
              <w:rPr>
                <w:rFonts w:hint="eastAsia" w:ascii="新宋体" w:hAnsi="新宋体" w:eastAsia="新宋体" w:cs="新宋体"/>
                <w:color w:val="auto"/>
                <w:highlight w:val="none"/>
              </w:rPr>
            </w:pPr>
          </w:p>
        </w:tc>
        <w:tc>
          <w:tcPr>
            <w:tcW w:w="1370" w:type="dxa"/>
            <w:vMerge w:val="continue"/>
            <w:tcBorders>
              <w:left w:val="single" w:color="auto" w:sz="4" w:space="0"/>
              <w:bottom w:val="single" w:color="auto" w:sz="4" w:space="0"/>
              <w:right w:val="single" w:color="auto" w:sz="4" w:space="0"/>
            </w:tcBorders>
            <w:vAlign w:val="center"/>
          </w:tcPr>
          <w:p>
            <w:pPr>
              <w:rPr>
                <w:rFonts w:hint="eastAsia" w:ascii="新宋体" w:hAnsi="新宋体" w:eastAsia="新宋体" w:cs="新宋体"/>
                <w:color w:val="auto"/>
                <w:highlight w:val="none"/>
              </w:rPr>
            </w:pPr>
          </w:p>
        </w:tc>
      </w:tr>
    </w:tbl>
    <w:p>
      <w:pPr>
        <w:spacing w:line="400" w:lineRule="exact"/>
        <w:ind w:firstLine="541" w:firstLineChars="245"/>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说明：</w:t>
      </w:r>
    </w:p>
    <w:p>
      <w:pPr>
        <w:numPr>
          <w:ilvl w:val="0"/>
          <w:numId w:val="1"/>
        </w:numPr>
        <w:spacing w:line="450" w:lineRule="exact"/>
        <w:ind w:firstLine="541" w:firstLineChars="245"/>
        <w:rPr>
          <w:rFonts w:hint="eastAsia" w:ascii="新宋体" w:hAnsi="新宋体" w:eastAsia="新宋体" w:cs="新宋体"/>
          <w:b/>
          <w:color w:val="auto"/>
          <w:sz w:val="22"/>
          <w:highlight w:val="none"/>
        </w:rPr>
      </w:pPr>
      <w:r>
        <w:rPr>
          <w:rFonts w:hint="eastAsia" w:ascii="新宋体" w:hAnsi="新宋体" w:eastAsia="新宋体"/>
          <w:b/>
          <w:color w:val="auto"/>
          <w:sz w:val="22"/>
          <w:szCs w:val="22"/>
          <w:highlight w:val="none"/>
          <w:lang w:val="en-US" w:eastAsia="zh-CN"/>
        </w:rPr>
        <w:t>若投标人报价超过预算金额按无效标处理。</w:t>
      </w:r>
    </w:p>
    <w:p>
      <w:pPr>
        <w:numPr>
          <w:ilvl w:val="0"/>
          <w:numId w:val="1"/>
        </w:numPr>
        <w:spacing w:line="450" w:lineRule="exact"/>
        <w:ind w:firstLine="541" w:firstLineChars="245"/>
        <w:rPr>
          <w:rFonts w:hint="eastAsia" w:ascii="新宋体" w:hAnsi="新宋体" w:eastAsia="新宋体" w:cs="新宋体"/>
          <w:b/>
          <w:color w:val="auto"/>
          <w:sz w:val="22"/>
          <w:highlight w:val="none"/>
        </w:rPr>
      </w:pPr>
      <w:r>
        <w:rPr>
          <w:rFonts w:hint="eastAsia" w:ascii="新宋体" w:hAnsi="新宋体" w:eastAsia="新宋体" w:cs="新宋体"/>
          <w:b/>
          <w:color w:val="auto"/>
          <w:sz w:val="22"/>
          <w:szCs w:val="22"/>
          <w:highlight w:val="none"/>
        </w:rPr>
        <w:t>该费用为含税单人价格，即在承包本次职工疗休养所需的一切人员工资、车、住宿、门票、餐费、交通、保险、导游、税费、利润等完成合同所需的一切本身和不可或缺的所有工作开支、政策性文件规定及合同包含的所有风险、责任等各项全部费用。</w:t>
      </w:r>
    </w:p>
    <w:p>
      <w:pPr>
        <w:spacing w:line="400" w:lineRule="exact"/>
        <w:jc w:val="center"/>
        <w:rPr>
          <w:rFonts w:hint="eastAsia" w:ascii="新宋体" w:hAnsi="新宋体" w:eastAsia="新宋体" w:cs="新宋体"/>
          <w:color w:val="auto"/>
          <w:sz w:val="22"/>
          <w:szCs w:val="22"/>
          <w:highlight w:val="none"/>
        </w:rPr>
      </w:pPr>
    </w:p>
    <w:p>
      <w:pPr>
        <w:spacing w:line="400" w:lineRule="exact"/>
        <w:jc w:val="center"/>
        <w:rPr>
          <w:rFonts w:hint="eastAsia" w:ascii="新宋体" w:hAnsi="新宋体" w:eastAsia="新宋体" w:cs="新宋体"/>
          <w:color w:val="auto"/>
          <w:sz w:val="22"/>
          <w:szCs w:val="22"/>
          <w:highlight w:val="none"/>
        </w:rPr>
      </w:pPr>
    </w:p>
    <w:p>
      <w:pPr>
        <w:spacing w:line="40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0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38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日    期：</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p>
    <w:p>
      <w:pPr>
        <w:spacing w:line="400" w:lineRule="exact"/>
        <w:jc w:val="both"/>
        <w:outlineLvl w:val="3"/>
        <w:rPr>
          <w:rFonts w:hint="eastAsia" w:ascii="宋体" w:hAnsi="宋体" w:eastAsia="宋体" w:cs="宋体"/>
          <w:b/>
          <w:bCs/>
          <w:color w:val="auto"/>
          <w:sz w:val="22"/>
          <w:szCs w:val="22"/>
          <w:highlight w:val="none"/>
        </w:rPr>
      </w:pPr>
      <w:r>
        <w:rPr>
          <w:rFonts w:hint="eastAsia" w:ascii="宋体" w:hAnsi="宋体" w:cs="宋体"/>
          <w:b/>
          <w:bCs/>
          <w:color w:val="auto"/>
          <w:sz w:val="28"/>
          <w:szCs w:val="28"/>
          <w:highlight w:val="none"/>
          <w:lang w:val="en-US" w:eastAsia="zh-CN"/>
        </w:rPr>
        <w:t>3</w:t>
      </w:r>
      <w:r>
        <w:rPr>
          <w:rFonts w:hint="eastAsia" w:ascii="宋体" w:hAnsi="宋体" w:eastAsia="宋体" w:cs="宋体"/>
          <w:b/>
          <w:bCs/>
          <w:color w:val="auto"/>
          <w:sz w:val="28"/>
          <w:szCs w:val="28"/>
          <w:highlight w:val="none"/>
        </w:rPr>
        <w:t>、中小企业的相关证明材料</w:t>
      </w:r>
    </w:p>
    <w:p>
      <w:pPr>
        <w:spacing w:line="460" w:lineRule="exact"/>
        <w:ind w:firstLine="568" w:firstLineChars="245"/>
        <w:jc w:val="center"/>
        <w:rPr>
          <w:rFonts w:hint="eastAsia" w:ascii="宋体" w:hAnsi="宋体" w:eastAsia="宋体" w:cs="宋体"/>
          <w:color w:val="auto"/>
          <w:sz w:val="22"/>
          <w:szCs w:val="22"/>
          <w:highlight w:val="none"/>
          <w:lang w:val="zh-CN"/>
        </w:rPr>
      </w:pPr>
      <w:r>
        <w:rPr>
          <w:rFonts w:hint="eastAsia" w:ascii="宋体" w:hAnsi="宋体" w:eastAsia="宋体" w:cs="宋体"/>
          <w:color w:val="auto"/>
          <w:spacing w:val="6"/>
          <w:sz w:val="22"/>
          <w:szCs w:val="22"/>
          <w:highlight w:val="none"/>
        </w:rPr>
        <w:t>【非</w:t>
      </w:r>
      <w:r>
        <w:rPr>
          <w:rFonts w:hint="eastAsia" w:ascii="宋体" w:hAnsi="宋体" w:eastAsia="宋体" w:cs="宋体"/>
          <w:color w:val="auto"/>
          <w:spacing w:val="6"/>
          <w:sz w:val="22"/>
          <w:szCs w:val="22"/>
          <w:highlight w:val="none"/>
          <w:lang w:val="zh-CN"/>
        </w:rPr>
        <w:t>小型、微型</w:t>
      </w:r>
      <w:r>
        <w:rPr>
          <w:rFonts w:hint="eastAsia" w:ascii="宋体" w:hAnsi="宋体" w:eastAsia="宋体" w:cs="宋体"/>
          <w:color w:val="auto"/>
          <w:spacing w:val="6"/>
          <w:sz w:val="22"/>
          <w:szCs w:val="22"/>
          <w:highlight w:val="none"/>
        </w:rPr>
        <w:t>企业不用提供】</w:t>
      </w:r>
    </w:p>
    <w:p>
      <w:pPr>
        <w:spacing w:line="460" w:lineRule="exact"/>
        <w:ind w:firstLine="539" w:firstLineChars="245"/>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根据《政府采购促进中小企业发展管理办法》（财库﹝2020﹞46号），</w:t>
      </w:r>
      <w:r>
        <w:rPr>
          <w:rFonts w:hint="eastAsia" w:ascii="新宋体" w:hAnsi="新宋体" w:eastAsia="新宋体"/>
          <w:b w:val="0"/>
          <w:bCs w:val="0"/>
          <w:color w:val="auto"/>
          <w:sz w:val="22"/>
          <w:szCs w:val="22"/>
          <w:highlight w:val="none"/>
          <w:lang w:val="zh-CN"/>
        </w:rPr>
        <w:t>对</w:t>
      </w:r>
      <w:r>
        <w:rPr>
          <w:rFonts w:hint="eastAsia" w:ascii="新宋体" w:hAnsi="新宋体" w:eastAsia="新宋体"/>
          <w:b w:val="0"/>
          <w:bCs w:val="0"/>
          <w:color w:val="auto"/>
          <w:sz w:val="22"/>
          <w:szCs w:val="22"/>
          <w:highlight w:val="none"/>
          <w:lang w:val="en-US" w:eastAsia="zh-CN"/>
        </w:rPr>
        <w:t>货物类项目</w:t>
      </w:r>
      <w:r>
        <w:rPr>
          <w:rFonts w:hint="eastAsia" w:ascii="新宋体" w:hAnsi="新宋体" w:eastAsia="新宋体"/>
          <w:b w:val="0"/>
          <w:bCs w:val="0"/>
          <w:color w:val="auto"/>
          <w:sz w:val="22"/>
          <w:szCs w:val="22"/>
          <w:highlight w:val="none"/>
          <w:lang w:val="zh-CN"/>
        </w:rPr>
        <w:t>投标产品为小型或微型企业生产的，</w:t>
      </w:r>
      <w:r>
        <w:rPr>
          <w:rFonts w:hint="eastAsia" w:ascii="新宋体" w:hAnsi="新宋体" w:eastAsia="新宋体"/>
          <w:b w:val="0"/>
          <w:bCs w:val="0"/>
          <w:color w:val="auto"/>
          <w:sz w:val="22"/>
          <w:szCs w:val="22"/>
          <w:highlight w:val="none"/>
          <w:lang w:val="en-US" w:eastAsia="zh-CN"/>
        </w:rPr>
        <w:t>工程、服务类项目由小型或微型企业承建、承接的</w:t>
      </w:r>
      <w:r>
        <w:rPr>
          <w:rFonts w:hint="eastAsia" w:ascii="新宋体" w:hAnsi="新宋体" w:eastAsia="新宋体"/>
          <w:b w:val="0"/>
          <w:bCs w:val="0"/>
          <w:color w:val="auto"/>
          <w:sz w:val="22"/>
          <w:szCs w:val="22"/>
          <w:highlight w:val="none"/>
          <w:lang w:val="zh-CN"/>
        </w:rPr>
        <w:t>，</w:t>
      </w:r>
      <w:r>
        <w:rPr>
          <w:rFonts w:hint="eastAsia" w:ascii="新宋体" w:hAnsi="新宋体" w:eastAsia="新宋体"/>
          <w:b w:val="0"/>
          <w:bCs w:val="0"/>
          <w:color w:val="auto"/>
          <w:sz w:val="22"/>
          <w:szCs w:val="22"/>
          <w:highlight w:val="none"/>
          <w:u w:val="single"/>
          <w:lang w:val="zh-CN"/>
        </w:rPr>
        <w:t>价格给予</w:t>
      </w:r>
      <w:r>
        <w:rPr>
          <w:rFonts w:hint="eastAsia" w:ascii="新宋体" w:hAnsi="新宋体" w:eastAsia="新宋体"/>
          <w:b w:val="0"/>
          <w:bCs w:val="0"/>
          <w:color w:val="auto"/>
          <w:sz w:val="22"/>
          <w:szCs w:val="22"/>
          <w:highlight w:val="none"/>
          <w:u w:val="single"/>
          <w:lang w:val="en-US" w:eastAsia="zh-CN"/>
        </w:rPr>
        <w:t>1</w:t>
      </w:r>
      <w:r>
        <w:rPr>
          <w:rFonts w:hint="eastAsia" w:ascii="新宋体" w:hAnsi="新宋体" w:eastAsia="新宋体"/>
          <w:b w:val="0"/>
          <w:bCs w:val="0"/>
          <w:color w:val="auto"/>
          <w:sz w:val="22"/>
          <w:szCs w:val="22"/>
          <w:highlight w:val="none"/>
          <w:u w:val="single"/>
        </w:rPr>
        <w:t>0</w:t>
      </w:r>
      <w:r>
        <w:rPr>
          <w:rFonts w:hint="eastAsia" w:ascii="新宋体" w:hAnsi="新宋体" w:eastAsia="新宋体"/>
          <w:b w:val="0"/>
          <w:bCs w:val="0"/>
          <w:color w:val="auto"/>
          <w:sz w:val="22"/>
          <w:szCs w:val="22"/>
          <w:highlight w:val="none"/>
          <w:u w:val="single"/>
          <w:lang w:val="zh-CN"/>
        </w:rPr>
        <w:t>%的扣除</w:t>
      </w:r>
      <w:r>
        <w:rPr>
          <w:rFonts w:hint="eastAsia" w:ascii="宋体" w:hAnsi="宋体" w:eastAsia="宋体" w:cs="宋体"/>
          <w:color w:val="auto"/>
          <w:sz w:val="22"/>
          <w:szCs w:val="22"/>
          <w:highlight w:val="none"/>
          <w:lang w:val="zh-CN"/>
        </w:rPr>
        <w:t>，用扣除后的价格参与价格评分。</w:t>
      </w:r>
    </w:p>
    <w:p>
      <w:pPr>
        <w:spacing w:line="460" w:lineRule="exact"/>
        <w:ind w:firstLine="541" w:firstLineChars="245"/>
        <w:rPr>
          <w:rFonts w:hint="eastAsia" w:ascii="宋体" w:hAnsi="宋体" w:eastAsia="宋体" w:cs="宋体"/>
          <w:color w:val="auto"/>
          <w:sz w:val="22"/>
          <w:szCs w:val="22"/>
          <w:highlight w:val="none"/>
          <w:lang w:val="zh-CN"/>
        </w:rPr>
      </w:pPr>
      <w:r>
        <w:rPr>
          <w:rFonts w:hint="eastAsia" w:ascii="宋体" w:hAnsi="宋体" w:eastAsia="宋体" w:cs="宋体"/>
          <w:b/>
          <w:bCs/>
          <w:color w:val="auto"/>
          <w:sz w:val="22"/>
          <w:szCs w:val="22"/>
          <w:highlight w:val="none"/>
          <w:u w:val="single"/>
          <w:lang w:val="en-US" w:eastAsia="zh-CN"/>
        </w:rPr>
        <w:t>同时</w:t>
      </w:r>
      <w:r>
        <w:rPr>
          <w:rFonts w:hint="eastAsia" w:ascii="宋体" w:hAnsi="宋体" w:eastAsia="宋体" w:cs="宋体"/>
          <w:b/>
          <w:bCs/>
          <w:color w:val="auto"/>
          <w:sz w:val="22"/>
          <w:szCs w:val="22"/>
          <w:highlight w:val="none"/>
          <w:u w:val="single"/>
          <w:lang w:val="zh-CN"/>
        </w:rPr>
        <w:t>符合以下所有要求的投标人被认定为小型、微型企业：</w:t>
      </w:r>
    </w:p>
    <w:p>
      <w:pPr>
        <w:spacing w:line="460" w:lineRule="exact"/>
        <w:ind w:firstLine="541" w:firstLineChars="245"/>
        <w:rPr>
          <w:rFonts w:hint="eastAsia" w:ascii="宋体" w:hAnsi="宋体" w:eastAsia="宋体" w:cs="宋体"/>
          <w:b/>
          <w:bCs/>
          <w:color w:val="auto"/>
          <w:sz w:val="22"/>
          <w:szCs w:val="22"/>
          <w:highlight w:val="none"/>
          <w:lang w:val="zh-CN"/>
        </w:rPr>
      </w:pPr>
      <w:r>
        <w:rPr>
          <w:rFonts w:hint="eastAsia" w:ascii="宋体" w:hAnsi="宋体" w:eastAsia="宋体" w:cs="宋体"/>
          <w:b/>
          <w:bCs/>
          <w:color w:val="auto"/>
          <w:sz w:val="22"/>
          <w:szCs w:val="22"/>
          <w:highlight w:val="none"/>
          <w:lang w:val="zh-CN"/>
        </w:rPr>
        <w:t>①企业按照《关于印发中小企业划型标准规定的通知》（工信部联企业〔2011〕300号）的所属行业规定为小型、微型企业。</w:t>
      </w:r>
    </w:p>
    <w:p>
      <w:pPr>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u w:val="single"/>
          <w:lang w:val="en-US" w:eastAsia="zh-CN"/>
        </w:rPr>
        <w:t>②</w:t>
      </w:r>
      <w:r>
        <w:rPr>
          <w:rFonts w:hint="eastAsia" w:ascii="宋体" w:hAnsi="宋体" w:eastAsia="宋体" w:cs="宋体"/>
          <w:b/>
          <w:bCs/>
          <w:color w:val="auto"/>
          <w:sz w:val="22"/>
          <w:szCs w:val="22"/>
          <w:highlight w:val="none"/>
          <w:u w:val="single"/>
          <w:lang w:val="zh-CN"/>
        </w:rPr>
        <w:t>投标文件中必须提供《中小企业声明函》。</w:t>
      </w:r>
    </w:p>
    <w:p>
      <w:pPr>
        <w:spacing w:line="460" w:lineRule="exact"/>
        <w:jc w:val="center"/>
        <w:rPr>
          <w:rFonts w:hint="eastAsia" w:ascii="宋体" w:hAnsi="宋体" w:eastAsia="宋体" w:cs="宋体"/>
          <w:b/>
          <w:bCs/>
          <w:color w:val="auto"/>
          <w:sz w:val="22"/>
          <w:szCs w:val="22"/>
          <w:highlight w:val="none"/>
        </w:rPr>
      </w:pPr>
    </w:p>
    <w:p>
      <w:pPr>
        <w:rPr>
          <w:rFonts w:hint="eastAsia" w:ascii="宋体" w:hAnsi="宋体" w:eastAsia="宋体" w:cs="宋体"/>
          <w:color w:val="auto"/>
          <w:spacing w:val="20"/>
          <w:sz w:val="22"/>
          <w:szCs w:val="22"/>
          <w:highlight w:val="none"/>
        </w:rPr>
      </w:pPr>
    </w:p>
    <w:p>
      <w:pPr>
        <w:spacing w:line="460" w:lineRule="exact"/>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中小企业声明函（工程、服务）</w:t>
      </w:r>
      <w:r>
        <w:rPr>
          <w:rFonts w:hint="eastAsia" w:ascii="宋体" w:hAnsi="宋体" w:eastAsia="宋体" w:cs="宋体"/>
          <w:b/>
          <w:bCs/>
          <w:color w:val="auto"/>
          <w:sz w:val="24"/>
          <w:szCs w:val="24"/>
          <w:highlight w:val="none"/>
          <w:lang w:eastAsia="zh-CN"/>
        </w:rPr>
        <w:t>》</w:t>
      </w:r>
    </w:p>
    <w:p>
      <w:pPr>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【不属于中小企业单位的无需填写、递交】</w:t>
      </w: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本公司（联合体）郑重声明，根据《政府采购促进中小企业发展管理办法》（财库﹝2020﹞46 号）的规定，本公司（联合体）参加</w:t>
      </w:r>
      <w:r>
        <w:rPr>
          <w:rFonts w:hint="eastAsia" w:ascii="宋体" w:hAnsi="宋体" w:eastAsia="宋体" w:cs="宋体"/>
          <w:color w:val="auto"/>
          <w:spacing w:val="20"/>
          <w:sz w:val="22"/>
          <w:szCs w:val="22"/>
          <w:highlight w:val="none"/>
          <w:u w:val="single"/>
        </w:rPr>
        <w:t>（单位名称）</w:t>
      </w:r>
      <w:r>
        <w:rPr>
          <w:rFonts w:hint="eastAsia" w:ascii="宋体" w:hAnsi="宋体" w:eastAsia="宋体" w:cs="宋体"/>
          <w:color w:val="auto"/>
          <w:spacing w:val="20"/>
          <w:sz w:val="22"/>
          <w:szCs w:val="22"/>
          <w:highlight w:val="none"/>
        </w:rPr>
        <w:t>的</w:t>
      </w:r>
      <w:r>
        <w:rPr>
          <w:rFonts w:hint="eastAsia" w:ascii="宋体" w:hAnsi="宋体" w:eastAsia="宋体" w:cs="宋体"/>
          <w:color w:val="auto"/>
          <w:spacing w:val="20"/>
          <w:sz w:val="22"/>
          <w:szCs w:val="22"/>
          <w:highlight w:val="none"/>
          <w:u w:val="single"/>
        </w:rPr>
        <w:t>（项目名称）</w:t>
      </w:r>
      <w:r>
        <w:rPr>
          <w:rFonts w:hint="eastAsia" w:ascii="宋体" w:hAnsi="宋体" w:eastAsia="宋体" w:cs="宋体"/>
          <w:color w:val="auto"/>
          <w:spacing w:val="20"/>
          <w:sz w:val="22"/>
          <w:szCs w:val="22"/>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1.</w:t>
      </w:r>
      <w:r>
        <w:rPr>
          <w:rFonts w:hint="eastAsia" w:ascii="宋体" w:hAnsi="宋体" w:eastAsia="宋体" w:cs="宋体"/>
          <w:color w:val="auto"/>
          <w:spacing w:val="20"/>
          <w:sz w:val="22"/>
          <w:szCs w:val="22"/>
          <w:highlight w:val="none"/>
          <w:u w:val="single"/>
        </w:rPr>
        <w:t>（标的名称）</w:t>
      </w:r>
      <w:r>
        <w:rPr>
          <w:rFonts w:hint="eastAsia" w:ascii="宋体" w:hAnsi="宋体" w:eastAsia="宋体" w:cs="宋体"/>
          <w:color w:val="auto"/>
          <w:spacing w:val="20"/>
          <w:sz w:val="22"/>
          <w:szCs w:val="22"/>
          <w:highlight w:val="none"/>
        </w:rPr>
        <w:t>，属于</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u w:val="none"/>
          <w:lang w:val="en-US" w:eastAsia="zh-CN"/>
        </w:rPr>
        <w:t>行业</w:t>
      </w:r>
      <w:r>
        <w:rPr>
          <w:rFonts w:hint="eastAsia" w:ascii="宋体" w:hAnsi="宋体" w:eastAsia="宋体" w:cs="宋体"/>
          <w:color w:val="auto"/>
          <w:spacing w:val="20"/>
          <w:sz w:val="22"/>
          <w:szCs w:val="22"/>
          <w:highlight w:val="none"/>
        </w:rPr>
        <w:t>； 承建（承接）企业为</w:t>
      </w:r>
      <w:r>
        <w:rPr>
          <w:rFonts w:hint="eastAsia" w:ascii="宋体" w:hAnsi="宋体" w:eastAsia="宋体" w:cs="宋体"/>
          <w:color w:val="auto"/>
          <w:spacing w:val="20"/>
          <w:sz w:val="22"/>
          <w:szCs w:val="22"/>
          <w:highlight w:val="none"/>
          <w:u w:val="single"/>
        </w:rPr>
        <w:t>（企业名称）</w:t>
      </w:r>
      <w:r>
        <w:rPr>
          <w:rFonts w:hint="eastAsia" w:ascii="宋体" w:hAnsi="宋体" w:eastAsia="宋体" w:cs="宋体"/>
          <w:color w:val="auto"/>
          <w:spacing w:val="20"/>
          <w:sz w:val="22"/>
          <w:szCs w:val="22"/>
          <w:highlight w:val="none"/>
        </w:rPr>
        <w:t>，从业人员</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人，营业收入为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万元，资产总额为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万元，属于</w:t>
      </w:r>
      <w:r>
        <w:rPr>
          <w:rFonts w:hint="eastAsia" w:ascii="宋体" w:hAnsi="宋体" w:eastAsia="宋体" w:cs="宋体"/>
          <w:color w:val="auto"/>
          <w:spacing w:val="20"/>
          <w:sz w:val="22"/>
          <w:szCs w:val="22"/>
          <w:highlight w:val="none"/>
          <w:u w:val="single"/>
        </w:rPr>
        <w:t>（中型企业、 小型企业、微型企业）</w:t>
      </w:r>
      <w:r>
        <w:rPr>
          <w:rFonts w:hint="eastAsia" w:ascii="宋体" w:hAnsi="宋体" w:eastAsia="宋体" w:cs="宋体"/>
          <w:color w:val="auto"/>
          <w:spacing w:val="20"/>
          <w:sz w:val="22"/>
          <w:szCs w:val="22"/>
          <w:highlight w:val="none"/>
        </w:rPr>
        <w:t xml:space="preserve">； </w:t>
      </w: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2.</w:t>
      </w:r>
      <w:r>
        <w:rPr>
          <w:rFonts w:hint="eastAsia" w:ascii="宋体" w:hAnsi="宋体" w:eastAsia="宋体" w:cs="宋体"/>
          <w:color w:val="auto"/>
          <w:spacing w:val="20"/>
          <w:sz w:val="22"/>
          <w:szCs w:val="22"/>
          <w:highlight w:val="none"/>
          <w:u w:val="single"/>
        </w:rPr>
        <w:t>（标的名称）</w:t>
      </w:r>
      <w:r>
        <w:rPr>
          <w:rFonts w:hint="eastAsia" w:ascii="宋体" w:hAnsi="宋体" w:eastAsia="宋体" w:cs="宋体"/>
          <w:color w:val="auto"/>
          <w:spacing w:val="20"/>
          <w:sz w:val="22"/>
          <w:szCs w:val="22"/>
          <w:highlight w:val="none"/>
        </w:rPr>
        <w:t>，属于</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u w:val="none"/>
          <w:lang w:val="en-US" w:eastAsia="zh-CN"/>
        </w:rPr>
        <w:t>行业</w:t>
      </w:r>
      <w:r>
        <w:rPr>
          <w:rFonts w:hint="eastAsia" w:ascii="宋体" w:hAnsi="宋体" w:eastAsia="宋体" w:cs="宋体"/>
          <w:color w:val="auto"/>
          <w:spacing w:val="20"/>
          <w:sz w:val="22"/>
          <w:szCs w:val="22"/>
          <w:highlight w:val="none"/>
        </w:rPr>
        <w:t>；承建（承接）企业为</w:t>
      </w:r>
      <w:r>
        <w:rPr>
          <w:rFonts w:hint="eastAsia" w:ascii="宋体" w:hAnsi="宋体" w:eastAsia="宋体" w:cs="宋体"/>
          <w:color w:val="auto"/>
          <w:spacing w:val="20"/>
          <w:sz w:val="22"/>
          <w:szCs w:val="22"/>
          <w:highlight w:val="none"/>
          <w:u w:val="single"/>
        </w:rPr>
        <w:t>（企业名称）</w:t>
      </w:r>
      <w:r>
        <w:rPr>
          <w:rFonts w:hint="eastAsia" w:ascii="宋体" w:hAnsi="宋体" w:eastAsia="宋体" w:cs="宋体"/>
          <w:color w:val="auto"/>
          <w:spacing w:val="20"/>
          <w:sz w:val="22"/>
          <w:szCs w:val="22"/>
          <w:highlight w:val="none"/>
        </w:rPr>
        <w:t>，从业人员</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人，营业收入为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万元，资产总额为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万元，属于</w:t>
      </w:r>
      <w:r>
        <w:rPr>
          <w:rFonts w:hint="eastAsia" w:ascii="宋体" w:hAnsi="宋体" w:eastAsia="宋体" w:cs="宋体"/>
          <w:color w:val="auto"/>
          <w:spacing w:val="20"/>
          <w:sz w:val="22"/>
          <w:szCs w:val="22"/>
          <w:highlight w:val="none"/>
          <w:u w:val="single"/>
        </w:rPr>
        <w:t>（中型企业、 小型企业、微型企业）</w:t>
      </w:r>
      <w:r>
        <w:rPr>
          <w:rFonts w:hint="eastAsia" w:ascii="宋体" w:hAnsi="宋体" w:eastAsia="宋体" w:cs="宋体"/>
          <w:color w:val="auto"/>
          <w:spacing w:val="20"/>
          <w:sz w:val="22"/>
          <w:szCs w:val="22"/>
          <w:highlight w:val="none"/>
        </w:rPr>
        <w:t>；</w:t>
      </w:r>
    </w:p>
    <w:p>
      <w:pPr>
        <w:spacing w:line="460" w:lineRule="exact"/>
        <w:ind w:firstLine="639" w:firstLineChars="245"/>
        <w:rPr>
          <w:rFonts w:hint="eastAsia" w:ascii="宋体" w:hAnsi="宋体" w:eastAsia="宋体" w:cs="宋体"/>
          <w:b/>
          <w:bCs/>
          <w:color w:val="auto"/>
          <w:spacing w:val="20"/>
          <w:sz w:val="22"/>
          <w:szCs w:val="22"/>
          <w:highlight w:val="none"/>
        </w:rPr>
      </w:pPr>
      <w:r>
        <w:rPr>
          <w:rFonts w:hint="eastAsia" w:ascii="宋体" w:hAnsi="宋体" w:eastAsia="宋体" w:cs="宋体"/>
          <w:b/>
          <w:bCs/>
          <w:color w:val="auto"/>
          <w:spacing w:val="20"/>
          <w:sz w:val="22"/>
          <w:szCs w:val="22"/>
          <w:highlight w:val="none"/>
        </w:rPr>
        <w:t>……</w:t>
      </w: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以上企业，不属于大企业的分支机构，不存在控股股东为大企业的情形，也不存在与大企业的负责人为同一人的情形。</w:t>
      </w:r>
    </w:p>
    <w:p>
      <w:pPr>
        <w:spacing w:line="460" w:lineRule="exact"/>
        <w:ind w:firstLine="637" w:firstLineChars="245"/>
        <w:rPr>
          <w:rFonts w:hint="eastAsia" w:ascii="宋体" w:hAnsi="宋体" w:eastAsia="宋体" w:cs="宋体"/>
          <w:color w:val="auto"/>
          <w:spacing w:val="20"/>
          <w:sz w:val="22"/>
          <w:szCs w:val="22"/>
          <w:highlight w:val="none"/>
          <w:lang w:val="en-US" w:eastAsia="zh-CN"/>
        </w:rPr>
      </w:pPr>
      <w:r>
        <w:rPr>
          <w:rFonts w:hint="eastAsia" w:ascii="宋体" w:hAnsi="宋体" w:eastAsia="宋体" w:cs="宋体"/>
          <w:color w:val="auto"/>
          <w:spacing w:val="20"/>
          <w:sz w:val="22"/>
          <w:szCs w:val="22"/>
          <w:highlight w:val="none"/>
        </w:rPr>
        <w:t xml:space="preserve">本企业对上述声明内容的真实性负责。如有虚假，将依法承担相应责任。 </w:t>
      </w:r>
    </w:p>
    <w:p>
      <w:pPr>
        <w:spacing w:line="460" w:lineRule="exact"/>
        <w:jc w:val="center"/>
        <w:rPr>
          <w:rFonts w:hint="eastAsia" w:ascii="宋体" w:hAnsi="宋体" w:eastAsia="宋体" w:cs="宋体"/>
          <w:color w:val="auto"/>
          <w:spacing w:val="20"/>
          <w:sz w:val="22"/>
          <w:szCs w:val="22"/>
          <w:highlight w:val="none"/>
          <w:lang w:val="en-US" w:eastAsia="zh-CN"/>
        </w:rPr>
      </w:pPr>
      <w:r>
        <w:rPr>
          <w:rFonts w:hint="eastAsia" w:ascii="宋体" w:hAnsi="宋体" w:eastAsia="宋体" w:cs="宋体"/>
          <w:color w:val="auto"/>
          <w:spacing w:val="20"/>
          <w:sz w:val="22"/>
          <w:szCs w:val="22"/>
          <w:highlight w:val="none"/>
          <w:lang w:val="en-US" w:eastAsia="zh-CN"/>
        </w:rPr>
        <w:t xml:space="preserve">           企业</w:t>
      </w:r>
      <w:r>
        <w:rPr>
          <w:rFonts w:hint="eastAsia" w:ascii="宋体" w:hAnsi="宋体" w:eastAsia="宋体" w:cs="宋体"/>
          <w:color w:val="auto"/>
          <w:spacing w:val="20"/>
          <w:sz w:val="22"/>
          <w:szCs w:val="22"/>
          <w:highlight w:val="none"/>
        </w:rPr>
        <w:t>名称（盖章）：</w:t>
      </w:r>
    </w:p>
    <w:p>
      <w:pPr>
        <w:spacing w:line="380" w:lineRule="exact"/>
        <w:ind w:firstLine="260" w:firstLineChars="100"/>
        <w:rPr>
          <w:rFonts w:hint="eastAsia" w:ascii="新宋体" w:hAnsi="新宋体" w:eastAsia="新宋体" w:cs="新宋体"/>
          <w:color w:val="auto"/>
          <w:sz w:val="22"/>
          <w:szCs w:val="22"/>
          <w:highlight w:val="none"/>
        </w:rPr>
      </w:pPr>
      <w:r>
        <w:rPr>
          <w:rFonts w:hint="eastAsia" w:ascii="宋体" w:hAnsi="宋体" w:eastAsia="宋体" w:cs="宋体"/>
          <w:color w:val="auto"/>
          <w:spacing w:val="20"/>
          <w:sz w:val="22"/>
          <w:szCs w:val="22"/>
          <w:highlight w:val="none"/>
          <w:lang w:val="en-US" w:eastAsia="zh-CN"/>
        </w:rPr>
        <w:t xml:space="preserve">  日</w:t>
      </w:r>
      <w:r>
        <w:rPr>
          <w:rFonts w:hint="eastAsia" w:ascii="宋体" w:hAnsi="宋体" w:eastAsia="宋体" w:cs="宋体"/>
          <w:color w:val="auto"/>
          <w:spacing w:val="20"/>
          <w:sz w:val="22"/>
          <w:szCs w:val="22"/>
          <w:highlight w:val="none"/>
        </w:rPr>
        <w:t xml:space="preserve"> 期：</w:t>
      </w:r>
    </w:p>
    <w:p>
      <w:pP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pStyle w:val="22"/>
        <w:spacing w:line="460" w:lineRule="exact"/>
        <w:ind w:left="433" w:hanging="433" w:hangingChars="196"/>
        <w:outlineLvl w:val="1"/>
        <w:rPr>
          <w:rFonts w:ascii="宋体" w:hAnsi="宋体" w:cs="宋体"/>
          <w:b/>
          <w:color w:val="auto"/>
          <w:sz w:val="22"/>
          <w:szCs w:val="22"/>
          <w:highlight w:val="none"/>
        </w:rPr>
      </w:pPr>
      <w:bookmarkStart w:id="32" w:name="_Toc12035"/>
      <w:bookmarkStart w:id="33" w:name="_Toc19402"/>
      <w:r>
        <w:rPr>
          <w:rFonts w:hint="eastAsia" w:ascii="宋体" w:hAnsi="宋体" w:cs="宋体"/>
          <w:b/>
          <w:color w:val="auto"/>
          <w:sz w:val="22"/>
          <w:szCs w:val="22"/>
          <w:highlight w:val="none"/>
        </w:rPr>
        <w:t>附件二</w:t>
      </w:r>
      <w:bookmarkEnd w:id="32"/>
      <w:bookmarkEnd w:id="33"/>
    </w:p>
    <w:p>
      <w:pPr>
        <w:spacing w:line="460" w:lineRule="exact"/>
        <w:jc w:val="center"/>
        <w:outlineLvl w:val="2"/>
        <w:rPr>
          <w:rFonts w:ascii="宋体" w:hAnsi="宋体" w:cs="宋体"/>
          <w:color w:val="auto"/>
          <w:sz w:val="28"/>
          <w:szCs w:val="28"/>
          <w:highlight w:val="none"/>
        </w:rPr>
      </w:pPr>
      <w:bookmarkStart w:id="34" w:name="_Toc4718"/>
      <w:bookmarkStart w:id="35" w:name="_Toc25309"/>
      <w:r>
        <w:rPr>
          <w:rFonts w:hint="eastAsia" w:ascii="宋体" w:hAnsi="宋体" w:cs="宋体"/>
          <w:b/>
          <w:bCs/>
          <w:color w:val="auto"/>
          <w:sz w:val="28"/>
          <w:szCs w:val="28"/>
          <w:highlight w:val="none"/>
        </w:rPr>
        <w:t>资格证明文件</w:t>
      </w:r>
      <w:bookmarkEnd w:id="34"/>
      <w:bookmarkEnd w:id="35"/>
    </w:p>
    <w:p>
      <w:pPr>
        <w:pStyle w:val="47"/>
        <w:tabs>
          <w:tab w:val="left" w:pos="630"/>
          <w:tab w:val="left" w:pos="840"/>
          <w:tab w:val="left" w:pos="1050"/>
        </w:tabs>
        <w:adjustRightInd w:val="0"/>
        <w:snapToGrid w:val="0"/>
        <w:spacing w:before="0" w:beforeAutospacing="0" w:after="0" w:afterAutospacing="0" w:line="360" w:lineRule="auto"/>
        <w:jc w:val="center"/>
        <w:outlineLvl w:val="3"/>
        <w:rPr>
          <w:b/>
          <w:color w:val="auto"/>
          <w:sz w:val="28"/>
          <w:szCs w:val="28"/>
          <w:highlight w:val="none"/>
        </w:rPr>
      </w:pPr>
      <w:r>
        <w:rPr>
          <w:rFonts w:hint="eastAsia"/>
          <w:b/>
          <w:color w:val="auto"/>
          <w:sz w:val="28"/>
          <w:szCs w:val="28"/>
          <w:highlight w:val="none"/>
        </w:rPr>
        <w:t>1、资格条件承诺函</w:t>
      </w:r>
    </w:p>
    <w:p>
      <w:pPr>
        <w:shd w:val="clear" w:color="auto" w:fill="FFFFFF"/>
        <w:snapToGrid w:val="0"/>
        <w:spacing w:line="440" w:lineRule="exact"/>
        <w:rPr>
          <w:rFonts w:ascii="宋体" w:hAnsi="宋体" w:cs="宋体"/>
          <w:color w:val="auto"/>
          <w:sz w:val="22"/>
          <w:szCs w:val="22"/>
          <w:highlight w:val="none"/>
        </w:rPr>
      </w:pPr>
      <w:r>
        <w:rPr>
          <w:rFonts w:hint="eastAsia" w:ascii="宋体" w:hAnsi="宋体" w:cs="宋体"/>
          <w:color w:val="auto"/>
          <w:sz w:val="22"/>
          <w:szCs w:val="22"/>
          <w:highlight w:val="none"/>
          <w:lang w:eastAsia="zh-CN"/>
        </w:rPr>
        <w:t>温州市第七人民医院</w:t>
      </w:r>
      <w:r>
        <w:rPr>
          <w:rFonts w:hint="eastAsia" w:ascii="宋体" w:hAnsi="宋体" w:cs="宋体"/>
          <w:color w:val="auto"/>
          <w:sz w:val="22"/>
          <w:szCs w:val="22"/>
          <w:highlight w:val="none"/>
        </w:rPr>
        <w:t>、温州历程招标有限公司：</w:t>
      </w:r>
    </w:p>
    <w:p>
      <w:pPr>
        <w:widowControl/>
        <w:spacing w:line="44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我方参与</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（采购项目名称、编号）投标，现郑重承诺，</w:t>
      </w:r>
      <w:r>
        <w:rPr>
          <w:rFonts w:hint="eastAsia" w:ascii="宋体" w:hAnsi="宋体" w:cs="宋体"/>
          <w:color w:val="auto"/>
          <w:kern w:val="0"/>
          <w:sz w:val="22"/>
          <w:szCs w:val="22"/>
          <w:highlight w:val="none"/>
        </w:rPr>
        <w:t>参加本次政府采购活动前3年内</w:t>
      </w:r>
      <w:r>
        <w:rPr>
          <w:rFonts w:hint="eastAsia" w:ascii="宋体" w:hAnsi="宋体" w:cs="宋体"/>
          <w:color w:val="auto"/>
          <w:sz w:val="22"/>
          <w:szCs w:val="22"/>
          <w:highlight w:val="none"/>
        </w:rPr>
        <w:t>：</w:t>
      </w:r>
    </w:p>
    <w:p>
      <w:pPr>
        <w:widowControl/>
        <w:spacing w:line="44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1、我方符合《中华人民共和国政府采购法》第22条规定的资格条件，即</w:t>
      </w: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（1）我方具有独立承担民事责任的能力；</w:t>
      </w: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（2）我方具有良好的商业信誉和健全的财务会计制度；</w:t>
      </w: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（3）我方具有履行合同所必需的设备和专业技术能力；</w:t>
      </w: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（4）我方有依法缴纳税收和社会保障资金的良好记录；</w:t>
      </w: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5）我方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2、到本项目投标截止时间为止，我方未被“信用中国（</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s="宋体"/>
          <w:color w:val="auto"/>
          <w:kern w:val="0"/>
          <w:sz w:val="22"/>
          <w:szCs w:val="22"/>
          <w:highlight w:val="none"/>
        </w:rPr>
        <w:t>www.creditchina.gov.cn）、</w:t>
      </w:r>
      <w:r>
        <w:rPr>
          <w:rFonts w:hint="eastAsia" w:ascii="宋体" w:hAnsi="宋体" w:cs="宋体"/>
          <w:color w:val="auto"/>
          <w:kern w:val="0"/>
          <w:sz w:val="22"/>
          <w:szCs w:val="22"/>
          <w:highlight w:val="none"/>
        </w:rPr>
        <w:fldChar w:fldCharType="end"/>
      </w:r>
      <w:r>
        <w:rPr>
          <w:rFonts w:hint="eastAsia" w:ascii="宋体" w:hAnsi="宋体" w:cs="宋体"/>
          <w:color w:val="auto"/>
          <w:kern w:val="0"/>
          <w:sz w:val="22"/>
          <w:szCs w:val="22"/>
          <w:highlight w:val="none"/>
        </w:rPr>
        <w:t xml:space="preserve"> 中国政府采购网（www.ccgp.gov.cn）列入失信被执行人名单、重大税收违法案件当事人名单、政府采购严重违法失信行为记录名单。</w:t>
      </w: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3、我方与参加本次项目同一合同项下政府采购活动的其他供应商不存在单位负责人为同一人或者直接控股、管理关系。</w:t>
      </w: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4、我方不属于公益一类事业单位。</w:t>
      </w:r>
    </w:p>
    <w:p>
      <w:pPr>
        <w:widowControl/>
        <w:snapToGrid w:val="0"/>
        <w:spacing w:line="440" w:lineRule="exact"/>
        <w:ind w:firstLine="440" w:firstLineChars="200"/>
        <w:jc w:val="left"/>
        <w:rPr>
          <w:rFonts w:ascii="宋体" w:hAnsi="宋体" w:cs="宋体"/>
          <w:color w:val="auto"/>
          <w:kern w:val="0"/>
          <w:sz w:val="22"/>
          <w:szCs w:val="22"/>
          <w:highlight w:val="none"/>
        </w:rPr>
      </w:pP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以上承诺如有虚假，</w:t>
      </w:r>
      <w:r>
        <w:rPr>
          <w:rFonts w:hint="eastAsia" w:ascii="宋体" w:hAnsi="宋体" w:cs="宋体"/>
          <w:color w:val="auto"/>
          <w:sz w:val="22"/>
          <w:szCs w:val="22"/>
          <w:highlight w:val="none"/>
        </w:rPr>
        <w:t>愿接受取消</w:t>
      </w:r>
      <w:r>
        <w:rPr>
          <w:rFonts w:hint="eastAsia" w:ascii="宋体" w:hAnsi="宋体" w:cs="宋体"/>
          <w:color w:val="auto"/>
          <w:kern w:val="0"/>
          <w:sz w:val="22"/>
          <w:szCs w:val="22"/>
          <w:highlight w:val="none"/>
        </w:rPr>
        <w:t>我方任何资格（投标/成交/签订合同）</w:t>
      </w:r>
      <w:r>
        <w:rPr>
          <w:rFonts w:hint="eastAsia" w:ascii="宋体" w:hAnsi="宋体" w:cs="宋体"/>
          <w:color w:val="auto"/>
          <w:sz w:val="22"/>
          <w:szCs w:val="22"/>
          <w:highlight w:val="none"/>
        </w:rPr>
        <w:t>及其他任何形式的处理。</w:t>
      </w:r>
    </w:p>
    <w:p>
      <w:pPr>
        <w:widowControl/>
        <w:snapToGrid w:val="0"/>
        <w:spacing w:line="440" w:lineRule="exact"/>
        <w:ind w:firstLine="440" w:firstLineChars="200"/>
        <w:jc w:val="left"/>
        <w:rPr>
          <w:rFonts w:ascii="宋体" w:hAnsi="宋体" w:cs="宋体"/>
          <w:color w:val="auto"/>
          <w:kern w:val="0"/>
          <w:sz w:val="22"/>
          <w:szCs w:val="22"/>
          <w:highlight w:val="none"/>
        </w:rPr>
      </w:pPr>
    </w:p>
    <w:p>
      <w:pPr>
        <w:snapToGrid w:val="0"/>
        <w:spacing w:line="360" w:lineRule="auto"/>
        <w:ind w:firstLine="5060" w:firstLineChars="2300"/>
        <w:rPr>
          <w:rFonts w:ascii="宋体" w:hAnsi="宋体" w:cs="宋体"/>
          <w:color w:val="auto"/>
          <w:kern w:val="0"/>
          <w:sz w:val="22"/>
          <w:szCs w:val="22"/>
          <w:highlight w:val="none"/>
          <w:lang w:val="zh-CN"/>
        </w:rPr>
      </w:pP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sz w:val="22"/>
          <w:szCs w:val="22"/>
          <w:highlight w:val="none"/>
        </w:rPr>
        <w:t>投标人全称（盖章）</w:t>
      </w:r>
      <w:r>
        <w:rPr>
          <w:rFonts w:hint="eastAsia" w:ascii="宋体" w:hAnsi="宋体" w:cs="宋体"/>
          <w:color w:val="auto"/>
          <w:kern w:val="0"/>
          <w:sz w:val="22"/>
          <w:szCs w:val="22"/>
          <w:highlight w:val="none"/>
        </w:rPr>
        <w:t xml:space="preserve"> ：</w:t>
      </w: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ascii="宋体" w:hAnsi="宋体" w:cs="宋体"/>
          <w:color w:val="auto"/>
          <w:kern w:val="0"/>
          <w:sz w:val="22"/>
          <w:szCs w:val="22"/>
          <w:highlight w:val="none"/>
        </w:rPr>
      </w:pPr>
    </w:p>
    <w:p>
      <w:pPr>
        <w:pStyle w:val="22"/>
        <w:spacing w:line="460" w:lineRule="exact"/>
        <w:ind w:left="479" w:leftChars="228" w:firstLine="5280" w:firstLineChars="24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日期：     年  月  日</w:t>
      </w:r>
    </w:p>
    <w:p>
      <w:pPr>
        <w:rPr>
          <w:rFonts w:ascii="宋体" w:hAnsi="宋体" w:cs="宋体"/>
          <w:color w:val="auto"/>
          <w:highlight w:val="none"/>
        </w:rPr>
      </w:pPr>
    </w:p>
    <w:p>
      <w:pPr>
        <w:pStyle w:val="47"/>
        <w:tabs>
          <w:tab w:val="left" w:pos="630"/>
          <w:tab w:val="left" w:pos="840"/>
          <w:tab w:val="left" w:pos="1050"/>
        </w:tabs>
        <w:adjustRightInd w:val="0"/>
        <w:snapToGrid w:val="0"/>
        <w:spacing w:before="0" w:beforeAutospacing="0" w:after="0" w:afterAutospacing="0" w:line="360" w:lineRule="auto"/>
        <w:jc w:val="both"/>
        <w:rPr>
          <w:b/>
          <w:color w:val="auto"/>
          <w:sz w:val="28"/>
          <w:szCs w:val="28"/>
          <w:highlight w:val="none"/>
        </w:rPr>
      </w:pPr>
    </w:p>
    <w:p>
      <w:pP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pStyle w:val="47"/>
        <w:tabs>
          <w:tab w:val="left" w:pos="630"/>
          <w:tab w:val="left" w:pos="840"/>
          <w:tab w:val="left" w:pos="1050"/>
        </w:tabs>
        <w:adjustRightInd w:val="0"/>
        <w:snapToGrid w:val="0"/>
        <w:spacing w:before="0" w:beforeAutospacing="0" w:after="0" w:afterAutospacing="0" w:line="360" w:lineRule="auto"/>
        <w:jc w:val="center"/>
        <w:outlineLvl w:val="3"/>
        <w:rPr>
          <w:b/>
          <w:color w:val="auto"/>
          <w:sz w:val="28"/>
          <w:szCs w:val="28"/>
          <w:highlight w:val="none"/>
        </w:rPr>
      </w:pPr>
      <w:r>
        <w:rPr>
          <w:rFonts w:hint="eastAsia"/>
          <w:b/>
          <w:color w:val="auto"/>
          <w:sz w:val="28"/>
          <w:szCs w:val="28"/>
          <w:highlight w:val="none"/>
        </w:rPr>
        <w:t>2、有效营业执照</w:t>
      </w:r>
    </w:p>
    <w:p>
      <w:pPr>
        <w:pStyle w:val="47"/>
        <w:tabs>
          <w:tab w:val="left" w:pos="630"/>
          <w:tab w:val="left" w:pos="840"/>
          <w:tab w:val="left" w:pos="1050"/>
        </w:tabs>
        <w:adjustRightInd w:val="0"/>
        <w:snapToGrid w:val="0"/>
        <w:spacing w:before="0" w:beforeAutospacing="0" w:after="0" w:afterAutospacing="0" w:line="360" w:lineRule="auto"/>
        <w:ind w:left="420"/>
        <w:rPr>
          <w:bCs/>
          <w:color w:val="auto"/>
          <w:highlight w:val="none"/>
        </w:rPr>
      </w:pPr>
    </w:p>
    <w:p>
      <w:pPr>
        <w:pStyle w:val="47"/>
        <w:tabs>
          <w:tab w:val="left" w:pos="630"/>
          <w:tab w:val="left" w:pos="840"/>
          <w:tab w:val="left" w:pos="1050"/>
        </w:tabs>
        <w:adjustRightInd w:val="0"/>
        <w:snapToGrid w:val="0"/>
        <w:spacing w:before="0" w:beforeAutospacing="0" w:after="0" w:afterAutospacing="0" w:line="360" w:lineRule="auto"/>
        <w:ind w:left="420"/>
        <w:rPr>
          <w:bCs/>
          <w:color w:val="auto"/>
          <w:sz w:val="22"/>
          <w:szCs w:val="22"/>
          <w:highlight w:val="none"/>
        </w:rPr>
      </w:pPr>
      <w:r>
        <w:rPr>
          <w:rFonts w:hint="eastAsia"/>
          <w:bCs/>
          <w:color w:val="auto"/>
          <w:sz w:val="22"/>
          <w:szCs w:val="22"/>
          <w:highlight w:val="none"/>
        </w:rPr>
        <w:t>投标人须在投标文件中出具符合以下情况的证明材料复印件（五选一）：</w:t>
      </w:r>
    </w:p>
    <w:p>
      <w:pPr>
        <w:pStyle w:val="47"/>
        <w:tabs>
          <w:tab w:val="left" w:pos="312"/>
        </w:tabs>
        <w:adjustRightInd w:val="0"/>
        <w:snapToGrid w:val="0"/>
        <w:spacing w:before="0" w:beforeAutospacing="0" w:after="0" w:afterAutospacing="0" w:line="360" w:lineRule="auto"/>
        <w:ind w:left="420" w:leftChars="200"/>
        <w:rPr>
          <w:bCs/>
          <w:color w:val="auto"/>
          <w:sz w:val="22"/>
          <w:szCs w:val="22"/>
          <w:highlight w:val="none"/>
        </w:rPr>
      </w:pPr>
      <w:r>
        <w:rPr>
          <w:rFonts w:hint="eastAsia"/>
          <w:bCs/>
          <w:color w:val="auto"/>
          <w:sz w:val="22"/>
          <w:szCs w:val="22"/>
          <w:highlight w:val="none"/>
        </w:rPr>
        <w:t>①如投标人是企业（包括合伙企业），提供在工商部门注册的有效“企业法人营业执照”或“营业执照”；</w:t>
      </w:r>
    </w:p>
    <w:p>
      <w:pPr>
        <w:pStyle w:val="47"/>
        <w:tabs>
          <w:tab w:val="left" w:pos="312"/>
        </w:tabs>
        <w:adjustRightInd w:val="0"/>
        <w:snapToGrid w:val="0"/>
        <w:spacing w:before="0" w:beforeAutospacing="0" w:after="0" w:afterAutospacing="0" w:line="360" w:lineRule="auto"/>
        <w:ind w:left="420" w:leftChars="200"/>
        <w:rPr>
          <w:bCs/>
          <w:color w:val="auto"/>
          <w:sz w:val="22"/>
          <w:szCs w:val="22"/>
          <w:highlight w:val="none"/>
        </w:rPr>
      </w:pPr>
      <w:r>
        <w:rPr>
          <w:rFonts w:hint="eastAsia"/>
          <w:bCs/>
          <w:color w:val="auto"/>
          <w:sz w:val="22"/>
          <w:szCs w:val="22"/>
          <w:highlight w:val="none"/>
        </w:rPr>
        <w:t>②如投标人是事业单位，提供有效的“事业单位法人证书”；</w:t>
      </w:r>
    </w:p>
    <w:p>
      <w:pPr>
        <w:pStyle w:val="47"/>
        <w:tabs>
          <w:tab w:val="left" w:pos="312"/>
        </w:tabs>
        <w:adjustRightInd w:val="0"/>
        <w:snapToGrid w:val="0"/>
        <w:spacing w:before="0" w:beforeAutospacing="0" w:after="0" w:afterAutospacing="0" w:line="360" w:lineRule="auto"/>
        <w:ind w:left="420" w:leftChars="200"/>
        <w:rPr>
          <w:bCs/>
          <w:color w:val="auto"/>
          <w:sz w:val="22"/>
          <w:szCs w:val="22"/>
          <w:highlight w:val="none"/>
        </w:rPr>
      </w:pPr>
      <w:r>
        <w:rPr>
          <w:rFonts w:hint="eastAsia"/>
          <w:bCs/>
          <w:color w:val="auto"/>
          <w:sz w:val="22"/>
          <w:szCs w:val="22"/>
          <w:highlight w:val="none"/>
        </w:rPr>
        <w:t>③如投标人是非企业专业服务机构的，提供执业许可证等证明文件；</w:t>
      </w:r>
    </w:p>
    <w:p>
      <w:pPr>
        <w:pStyle w:val="47"/>
        <w:tabs>
          <w:tab w:val="left" w:pos="312"/>
        </w:tabs>
        <w:adjustRightInd w:val="0"/>
        <w:snapToGrid w:val="0"/>
        <w:spacing w:before="0" w:beforeAutospacing="0" w:after="0" w:afterAutospacing="0" w:line="360" w:lineRule="auto"/>
        <w:ind w:left="420" w:leftChars="200"/>
        <w:rPr>
          <w:bCs/>
          <w:color w:val="auto"/>
          <w:sz w:val="22"/>
          <w:szCs w:val="22"/>
          <w:highlight w:val="none"/>
        </w:rPr>
      </w:pPr>
      <w:r>
        <w:rPr>
          <w:rFonts w:hint="eastAsia"/>
          <w:bCs/>
          <w:color w:val="auto"/>
          <w:sz w:val="22"/>
          <w:szCs w:val="22"/>
          <w:highlight w:val="none"/>
        </w:rPr>
        <w:t>④如投标人是个体工商户，提供有效的“个体工商户营业执照”；</w:t>
      </w:r>
    </w:p>
    <w:p>
      <w:pPr>
        <w:pStyle w:val="47"/>
        <w:tabs>
          <w:tab w:val="left" w:pos="312"/>
        </w:tabs>
        <w:adjustRightInd w:val="0"/>
        <w:snapToGrid w:val="0"/>
        <w:spacing w:before="0" w:beforeAutospacing="0" w:after="0" w:afterAutospacing="0" w:line="360" w:lineRule="auto"/>
        <w:ind w:left="420" w:leftChars="200"/>
        <w:rPr>
          <w:bCs/>
          <w:color w:val="auto"/>
          <w:sz w:val="22"/>
          <w:szCs w:val="22"/>
          <w:highlight w:val="none"/>
        </w:rPr>
      </w:pPr>
      <w:r>
        <w:rPr>
          <w:rFonts w:hint="eastAsia"/>
          <w:bCs/>
          <w:color w:val="auto"/>
          <w:sz w:val="22"/>
          <w:szCs w:val="22"/>
          <w:highlight w:val="none"/>
        </w:rPr>
        <w:t>⑤如投标人是自然人，提供有效的自然人身份证明（居民身份证正反面或公安机关出具的临时居民身份证正反面或港澳台胞证或护照）。</w:t>
      </w:r>
    </w:p>
    <w:p>
      <w:pPr>
        <w:pStyle w:val="47"/>
        <w:tabs>
          <w:tab w:val="left" w:pos="312"/>
        </w:tabs>
        <w:adjustRightInd w:val="0"/>
        <w:snapToGrid w:val="0"/>
        <w:spacing w:before="0" w:beforeAutospacing="0" w:after="0" w:afterAutospacing="0" w:line="360" w:lineRule="auto"/>
        <w:rPr>
          <w:bCs/>
          <w:color w:val="auto"/>
          <w:sz w:val="22"/>
          <w:szCs w:val="22"/>
          <w:highlight w:val="none"/>
        </w:rPr>
      </w:pPr>
    </w:p>
    <w:p>
      <w:pPr>
        <w:pStyle w:val="220"/>
        <w:tabs>
          <w:tab w:val="left" w:pos="1212"/>
          <w:tab w:val="left" w:pos="3888"/>
        </w:tabs>
        <w:snapToGrid w:val="0"/>
        <w:spacing w:line="360" w:lineRule="auto"/>
        <w:ind w:firstLine="420"/>
        <w:rPr>
          <w:rFonts w:hAnsi="宋体"/>
          <w:color w:val="auto"/>
          <w:sz w:val="22"/>
          <w:szCs w:val="22"/>
          <w:highlight w:val="none"/>
        </w:rPr>
      </w:pPr>
      <w:r>
        <w:rPr>
          <w:rFonts w:hint="eastAsia" w:hAnsi="宋体"/>
          <w:color w:val="auto"/>
          <w:sz w:val="22"/>
          <w:szCs w:val="22"/>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pStyle w:val="47"/>
        <w:tabs>
          <w:tab w:val="left" w:pos="630"/>
          <w:tab w:val="left" w:pos="840"/>
          <w:tab w:val="left" w:pos="1050"/>
        </w:tabs>
        <w:adjustRightInd w:val="0"/>
        <w:snapToGrid w:val="0"/>
        <w:spacing w:before="0" w:beforeAutospacing="0" w:after="0" w:afterAutospacing="0" w:line="360" w:lineRule="auto"/>
        <w:jc w:val="center"/>
        <w:outlineLvl w:val="3"/>
        <w:rPr>
          <w:b/>
          <w:color w:val="auto"/>
          <w:sz w:val="28"/>
          <w:szCs w:val="28"/>
          <w:highlight w:val="none"/>
        </w:rPr>
      </w:pPr>
      <w:r>
        <w:rPr>
          <w:rFonts w:hint="eastAsia"/>
          <w:b/>
          <w:color w:val="auto"/>
          <w:sz w:val="28"/>
          <w:szCs w:val="28"/>
          <w:highlight w:val="none"/>
        </w:rPr>
        <w:t>3、投标人信用查询</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1、投标人信用信息查询的查询渠道：“信用中国”(www.creditchina.gov.cn)；“中国政府采购网”（http://www.ccgp.gov.cn/）；</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2、投标人信用信息查询截止时点：招标公告发布之日至投标截止时间前。</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3、投标人信用信息查询记录和证据留存的具体方式：</w:t>
      </w:r>
      <w:r>
        <w:rPr>
          <w:rFonts w:hint="eastAsia" w:ascii="宋体" w:hAnsi="宋体" w:cs="宋体"/>
          <w:b/>
          <w:bCs/>
          <w:color w:val="auto"/>
          <w:sz w:val="22"/>
          <w:highlight w:val="none"/>
        </w:rPr>
        <w:t>网页截图</w:t>
      </w:r>
      <w:r>
        <w:rPr>
          <w:rFonts w:hint="eastAsia" w:ascii="宋体" w:hAnsi="宋体" w:cs="宋体"/>
          <w:color w:val="auto"/>
          <w:sz w:val="22"/>
          <w:highlight w:val="none"/>
        </w:rPr>
        <w:t>；</w:t>
      </w:r>
    </w:p>
    <w:p>
      <w:pPr>
        <w:tabs>
          <w:tab w:val="left" w:pos="360"/>
        </w:tabs>
        <w:spacing w:line="460" w:lineRule="exact"/>
        <w:ind w:firstLine="550" w:firstLineChars="250"/>
        <w:rPr>
          <w:rFonts w:ascii="宋体" w:hAnsi="宋体" w:cs="宋体"/>
          <w:color w:val="auto"/>
          <w:sz w:val="22"/>
          <w:szCs w:val="22"/>
          <w:highlight w:val="none"/>
        </w:rPr>
      </w:pPr>
      <w:r>
        <w:rPr>
          <w:rFonts w:hint="eastAsia" w:ascii="宋体" w:hAnsi="宋体" w:cs="宋体"/>
          <w:color w:val="auto"/>
          <w:sz w:val="22"/>
          <w:highlight w:val="none"/>
        </w:rPr>
        <w:t>4、信用信息的使用规则：对列入失信被执行人、重大税收违法案件当事人名单、政府采购严重违法失信行为记录名单的投标人，其投标将作无效标处理。</w:t>
      </w:r>
    </w:p>
    <w:p>
      <w:pPr>
        <w:rPr>
          <w:rFonts w:cs="宋体"/>
          <w:b/>
          <w:color w:val="auto"/>
          <w:kern w:val="0"/>
          <w:sz w:val="28"/>
          <w:szCs w:val="28"/>
          <w:highlight w:val="none"/>
        </w:rPr>
      </w:pPr>
    </w:p>
    <w:p>
      <w:pPr>
        <w:rPr>
          <w:rFonts w:hint="eastAsia"/>
          <w:b/>
          <w:color w:val="auto"/>
          <w:sz w:val="28"/>
          <w:szCs w:val="28"/>
          <w:highlight w:val="none"/>
          <w:lang w:val="en-US" w:eastAsia="zh-CN"/>
        </w:rPr>
      </w:pPr>
      <w:r>
        <w:rPr>
          <w:rFonts w:hint="eastAsia" w:cs="宋体"/>
          <w:b/>
          <w:color w:val="auto"/>
          <w:kern w:val="0"/>
          <w:sz w:val="28"/>
          <w:szCs w:val="28"/>
          <w:highlight w:val="none"/>
        </w:rPr>
        <w:br w:type="page"/>
      </w:r>
    </w:p>
    <w:p>
      <w:pPr>
        <w:pStyle w:val="47"/>
        <w:tabs>
          <w:tab w:val="left" w:pos="630"/>
          <w:tab w:val="left" w:pos="840"/>
          <w:tab w:val="left" w:pos="1050"/>
        </w:tabs>
        <w:adjustRightInd w:val="0"/>
        <w:snapToGrid w:val="0"/>
        <w:spacing w:before="0" w:beforeAutospacing="0" w:after="0" w:afterAutospacing="0" w:line="360" w:lineRule="auto"/>
        <w:jc w:val="center"/>
        <w:outlineLvl w:val="3"/>
        <w:rPr>
          <w:rFonts w:hint="default"/>
          <w:b/>
          <w:color w:val="auto"/>
          <w:sz w:val="28"/>
          <w:szCs w:val="28"/>
          <w:highlight w:val="none"/>
          <w:lang w:val="en-US" w:eastAsia="zh-CN"/>
        </w:rPr>
      </w:pPr>
      <w:r>
        <w:rPr>
          <w:rFonts w:hint="eastAsia"/>
          <w:b/>
          <w:color w:val="auto"/>
          <w:sz w:val="28"/>
          <w:szCs w:val="28"/>
          <w:highlight w:val="none"/>
          <w:lang w:val="en-US" w:eastAsia="zh-CN"/>
        </w:rPr>
        <w:t>4、《旅行社业务经营许可证》</w:t>
      </w:r>
    </w:p>
    <w:p>
      <w:pPr>
        <w:rPr>
          <w:rFonts w:hint="eastAsia"/>
          <w:b/>
          <w:color w:val="auto"/>
          <w:sz w:val="28"/>
          <w:szCs w:val="28"/>
          <w:highlight w:val="none"/>
          <w:lang w:val="en-US" w:eastAsia="zh-CN"/>
        </w:rPr>
      </w:pPr>
      <w:r>
        <w:rPr>
          <w:rFonts w:hint="eastAsia"/>
          <w:b/>
          <w:color w:val="auto"/>
          <w:sz w:val="28"/>
          <w:szCs w:val="28"/>
          <w:highlight w:val="none"/>
          <w:lang w:val="en-US" w:eastAsia="zh-CN"/>
        </w:rPr>
        <w:br w:type="page"/>
      </w:r>
    </w:p>
    <w:p>
      <w:pPr>
        <w:pStyle w:val="47"/>
        <w:tabs>
          <w:tab w:val="left" w:pos="630"/>
          <w:tab w:val="left" w:pos="840"/>
          <w:tab w:val="left" w:pos="1050"/>
        </w:tabs>
        <w:adjustRightInd w:val="0"/>
        <w:snapToGrid w:val="0"/>
        <w:spacing w:before="0" w:beforeAutospacing="0" w:after="0" w:afterAutospacing="0" w:line="360" w:lineRule="auto"/>
        <w:jc w:val="center"/>
        <w:outlineLvl w:val="3"/>
        <w:rPr>
          <w:b/>
          <w:color w:val="auto"/>
          <w:sz w:val="28"/>
          <w:szCs w:val="28"/>
          <w:highlight w:val="none"/>
        </w:rPr>
      </w:pPr>
      <w:r>
        <w:rPr>
          <w:rFonts w:hint="eastAsia"/>
          <w:b/>
          <w:color w:val="auto"/>
          <w:sz w:val="28"/>
          <w:szCs w:val="28"/>
          <w:highlight w:val="none"/>
          <w:lang w:val="en-US" w:eastAsia="zh-CN"/>
        </w:rPr>
        <w:t>5</w:t>
      </w:r>
      <w:r>
        <w:rPr>
          <w:rFonts w:hint="eastAsia"/>
          <w:b/>
          <w:color w:val="auto"/>
          <w:sz w:val="28"/>
          <w:szCs w:val="28"/>
          <w:highlight w:val="none"/>
        </w:rPr>
        <w:t>、采购活动现场确认声明书</w:t>
      </w:r>
    </w:p>
    <w:p>
      <w:pPr>
        <w:spacing w:line="460" w:lineRule="exact"/>
        <w:rPr>
          <w:rFonts w:ascii="宋体" w:hAnsi="宋体" w:cs="宋体"/>
          <w:b/>
          <w:bCs/>
          <w:color w:val="auto"/>
          <w:sz w:val="22"/>
          <w:szCs w:val="22"/>
          <w:highlight w:val="none"/>
        </w:rPr>
      </w:pPr>
    </w:p>
    <w:p>
      <w:pPr>
        <w:spacing w:line="460" w:lineRule="exact"/>
        <w:rPr>
          <w:rFonts w:ascii="宋体" w:hAnsi="宋体" w:cs="宋体"/>
          <w:b/>
          <w:bCs/>
          <w:color w:val="auto"/>
          <w:sz w:val="22"/>
          <w:szCs w:val="22"/>
          <w:highlight w:val="none"/>
        </w:rPr>
      </w:pPr>
      <w:r>
        <w:rPr>
          <w:rFonts w:hint="eastAsia" w:ascii="宋体" w:hAnsi="宋体" w:cs="宋体"/>
          <w:color w:val="auto"/>
          <w:sz w:val="22"/>
          <w:szCs w:val="22"/>
          <w:highlight w:val="none"/>
        </w:rPr>
        <w:t>温州历程招标有限公司：</w:t>
      </w:r>
    </w:p>
    <w:p>
      <w:pPr>
        <w:spacing w:line="460" w:lineRule="exact"/>
        <w:ind w:firstLine="440" w:firstLineChars="200"/>
        <w:rPr>
          <w:rFonts w:ascii="宋体" w:hAnsi="宋体" w:cs="宋体"/>
          <w:color w:val="auto"/>
          <w:sz w:val="22"/>
          <w:szCs w:val="22"/>
          <w:highlight w:val="none"/>
        </w:rPr>
      </w:pPr>
      <w:r>
        <w:rPr>
          <w:rFonts w:hint="eastAsia" w:ascii="宋体" w:hAnsi="宋体" w:cs="宋体"/>
          <w:color w:val="auto"/>
          <w:kern w:val="0"/>
          <w:sz w:val="22"/>
          <w:szCs w:val="22"/>
          <w:highlight w:val="none"/>
        </w:rPr>
        <w:t>本人经由</w:t>
      </w:r>
      <w:r>
        <w:rPr>
          <w:rFonts w:hint="eastAsia"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（供应商名称）负责人</w:t>
      </w:r>
      <w:r>
        <w:rPr>
          <w:rFonts w:hint="eastAsia"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（姓名）合法授权参加</w:t>
      </w:r>
      <w:r>
        <w:rPr>
          <w:rFonts w:hint="eastAsia"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项目（编号：</w:t>
      </w:r>
      <w:r>
        <w:rPr>
          <w:rFonts w:hint="eastAsia"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）采购活动，经与本单位法人代表（负责人）联系确认，现就有关公平竞争事项郑重声明如下：</w:t>
      </w:r>
    </w:p>
    <w:p>
      <w:pPr>
        <w:numPr>
          <w:ilvl w:val="0"/>
          <w:numId w:val="2"/>
        </w:numPr>
        <w:spacing w:line="46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本单位与招标人之间 □不存在利害关系 □存在下列利害关系：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A.投资关系    </w:t>
      </w:r>
    </w:p>
    <w:p>
      <w:pPr>
        <w:spacing w:line="460" w:lineRule="exact"/>
        <w:ind w:firstLine="660" w:firstLineChars="300"/>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B.行政隶属关系    </w:t>
      </w:r>
    </w:p>
    <w:p>
      <w:pPr>
        <w:spacing w:line="460" w:lineRule="exact"/>
        <w:ind w:firstLine="660" w:firstLineChars="300"/>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C.业务指导关系  </w:t>
      </w:r>
    </w:p>
    <w:p>
      <w:pPr>
        <w:spacing w:line="460" w:lineRule="exact"/>
        <w:ind w:firstLine="660" w:firstLineChars="300"/>
        <w:rPr>
          <w:rFonts w:ascii="宋体" w:hAnsi="宋体" w:cs="宋体"/>
          <w:color w:val="auto"/>
          <w:sz w:val="22"/>
          <w:szCs w:val="22"/>
          <w:highlight w:val="none"/>
        </w:rPr>
      </w:pPr>
      <w:r>
        <w:rPr>
          <w:rFonts w:hint="eastAsia" w:ascii="宋体" w:hAnsi="宋体" w:cs="宋体"/>
          <w:color w:val="auto"/>
          <w:kern w:val="0"/>
          <w:sz w:val="22"/>
          <w:szCs w:val="22"/>
          <w:highlight w:val="none"/>
        </w:rPr>
        <w:t>D.其他可能影响采购公正的利害关系</w:t>
      </w:r>
      <w:r>
        <w:rPr>
          <w:rStyle w:val="334"/>
          <w:rFonts w:hint="default"/>
          <w:color w:val="auto"/>
          <w:sz w:val="22"/>
          <w:szCs w:val="22"/>
          <w:highlight w:val="none"/>
        </w:rPr>
        <w:t xml:space="preserve">（如有，请如实说明）                 </w:t>
      </w:r>
      <w:r>
        <w:rPr>
          <w:rFonts w:hint="eastAsia" w:ascii="宋体" w:hAnsi="宋体" w:cs="宋体"/>
          <w:color w:val="auto"/>
          <w:kern w:val="0"/>
          <w:sz w:val="22"/>
          <w:szCs w:val="22"/>
          <w:highlight w:val="none"/>
        </w:rPr>
        <w:t>。</w:t>
      </w:r>
    </w:p>
    <w:p>
      <w:pPr>
        <w:numPr>
          <w:ilvl w:val="0"/>
          <w:numId w:val="2"/>
        </w:numPr>
        <w:spacing w:line="46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现已清楚知道参加本项目采购活动的其他所有供应商名称，本单位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□与其他所有供应商之间均不存在利害关系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□与</w:t>
      </w:r>
      <w:r>
        <w:rPr>
          <w:rFonts w:hint="eastAsia"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供应商名称）之间存在下列利害关系</w:t>
      </w:r>
      <w:r>
        <w:rPr>
          <w:rFonts w:hint="eastAsia"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A.法定代表人或负责人或实际控制人是同一人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B.法定代表人或负责人或实际控制人是夫妻关系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C.法定代表人或负责人或实际控制人是直系血亲关系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D.法定代表人或负责人或实际控制人存在三代以内旁系血亲关系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E.法定代表人或负责人或实际控制人存在近姻亲关系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F.法定代表人或负责人或实际控制人存在股份控制或实际控制关系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G.存在共同直接或间接投资设立子公司、联营企业和合营企业情况</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H.存在分级代理或代销关系、同一生产制造商关系、管理关系、重要业务（占主营业务收入50%以上）或重要财务往来关系（如融资）等其他实质性控制关系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I.其他利害关系情况</w:t>
      </w:r>
      <w:r>
        <w:rPr>
          <w:rFonts w:hint="eastAsia" w:ascii="宋体" w:hAnsi="宋体" w:cs="宋体"/>
          <w:color w:val="auto"/>
          <w:kern w:val="0"/>
          <w:sz w:val="22"/>
          <w:szCs w:val="22"/>
          <w:highlight w:val="none"/>
          <w:u w:val="single"/>
        </w:rPr>
        <w:t xml:space="preserve">                              。</w:t>
      </w:r>
    </w:p>
    <w:p>
      <w:pPr>
        <w:pStyle w:val="22"/>
        <w:spacing w:line="460" w:lineRule="exact"/>
        <w:ind w:left="0" w:firstLine="0" w:firstLineChars="0"/>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（三）现已清楚知道并严格遵守政府采购法律法规和现场纪律</w:t>
      </w:r>
    </w:p>
    <w:p>
      <w:pPr>
        <w:pStyle w:val="22"/>
        <w:spacing w:line="460" w:lineRule="exact"/>
        <w:ind w:left="0" w:firstLine="0" w:firstLineChars="0"/>
        <w:rPr>
          <w:rFonts w:ascii="宋体" w:hAnsi="宋体" w:cs="宋体"/>
          <w:color w:val="auto"/>
          <w:kern w:val="0"/>
          <w:sz w:val="22"/>
          <w:szCs w:val="22"/>
          <w:highlight w:val="none"/>
        </w:rPr>
      </w:pPr>
      <w:r>
        <w:rPr>
          <w:rFonts w:hint="eastAsia" w:ascii="宋体" w:hAnsi="宋体" w:cs="宋体"/>
          <w:color w:val="auto"/>
          <w:kern w:val="0"/>
          <w:sz w:val="22"/>
          <w:szCs w:val="22"/>
          <w:highlight w:val="none"/>
        </w:rPr>
        <w:t>（四）我发现</w:t>
      </w:r>
      <w:r>
        <w:rPr>
          <w:rStyle w:val="334"/>
          <w:rFonts w:hint="default"/>
          <w:color w:val="auto"/>
          <w:sz w:val="22"/>
          <w:szCs w:val="22"/>
          <w:highlight w:val="none"/>
        </w:rPr>
        <w:t xml:space="preserve">                  与                  （供应商名称）</w:t>
      </w:r>
      <w:r>
        <w:rPr>
          <w:rFonts w:hint="eastAsia" w:ascii="宋体" w:hAnsi="宋体" w:cs="宋体"/>
          <w:color w:val="auto"/>
          <w:kern w:val="0"/>
          <w:sz w:val="22"/>
          <w:szCs w:val="22"/>
          <w:highlight w:val="none"/>
        </w:rPr>
        <w:t>之间存在或可能存在上述第二条第</w:t>
      </w:r>
      <w:r>
        <w:rPr>
          <w:rStyle w:val="334"/>
          <w:rFonts w:hint="default"/>
          <w:color w:val="auto"/>
          <w:sz w:val="22"/>
          <w:szCs w:val="22"/>
          <w:highlight w:val="none"/>
        </w:rPr>
        <w:t xml:space="preserve">        </w:t>
      </w:r>
      <w:r>
        <w:rPr>
          <w:rFonts w:hint="eastAsia" w:ascii="宋体" w:hAnsi="宋体" w:cs="宋体"/>
          <w:color w:val="auto"/>
          <w:kern w:val="0"/>
          <w:sz w:val="22"/>
          <w:szCs w:val="22"/>
          <w:highlight w:val="none"/>
        </w:rPr>
        <w:t>项利害关系。</w:t>
      </w:r>
    </w:p>
    <w:p>
      <w:pPr>
        <w:pStyle w:val="22"/>
        <w:spacing w:line="460" w:lineRule="exact"/>
        <w:ind w:left="0" w:firstLine="0" w:firstLineChars="0"/>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供应商代表签名:</w:t>
      </w:r>
    </w:p>
    <w:p>
      <w:pPr>
        <w:pStyle w:val="22"/>
        <w:spacing w:line="460" w:lineRule="exact"/>
        <w:ind w:left="0" w:firstLine="0" w:firstLineChars="0"/>
        <w:jc w:val="right"/>
        <w:rPr>
          <w:rFonts w:ascii="宋体" w:hAnsi="宋体" w:cs="宋体"/>
          <w:b/>
          <w:bCs/>
          <w:color w:val="auto"/>
          <w:sz w:val="22"/>
          <w:szCs w:val="22"/>
          <w:highlight w:val="none"/>
        </w:rPr>
      </w:pPr>
      <w:r>
        <w:rPr>
          <w:rFonts w:hint="eastAsia" w:ascii="宋体" w:hAnsi="宋体" w:cs="宋体"/>
          <w:b/>
          <w:color w:val="auto"/>
          <w:kern w:val="0"/>
          <w:sz w:val="22"/>
          <w:szCs w:val="22"/>
          <w:highlight w:val="none"/>
        </w:rPr>
        <w:t>日期:202  年    月    日</w:t>
      </w:r>
    </w:p>
    <w:p>
      <w:pPr>
        <w:rPr>
          <w:rFonts w:ascii="宋体" w:hAnsi="宋体" w:cs="宋体"/>
          <w:b/>
          <w:bCs/>
          <w:color w:val="auto"/>
          <w:sz w:val="22"/>
          <w:szCs w:val="22"/>
          <w:highlight w:val="none"/>
        </w:rPr>
      </w:pPr>
      <w:r>
        <w:rPr>
          <w:rFonts w:hint="eastAsia" w:ascii="宋体" w:hAnsi="宋体" w:cs="宋体"/>
          <w:b/>
          <w:bCs/>
          <w:color w:val="auto"/>
          <w:sz w:val="22"/>
          <w:szCs w:val="22"/>
          <w:highlight w:val="none"/>
        </w:rPr>
        <w:br w:type="page"/>
      </w:r>
    </w:p>
    <w:p>
      <w:pPr>
        <w:pStyle w:val="47"/>
        <w:tabs>
          <w:tab w:val="left" w:pos="630"/>
          <w:tab w:val="left" w:pos="840"/>
          <w:tab w:val="left" w:pos="1050"/>
        </w:tabs>
        <w:adjustRightInd w:val="0"/>
        <w:snapToGrid w:val="0"/>
        <w:spacing w:before="0" w:beforeAutospacing="0" w:after="0" w:afterAutospacing="0" w:line="360" w:lineRule="auto"/>
        <w:jc w:val="center"/>
        <w:outlineLvl w:val="3"/>
        <w:rPr>
          <w:b/>
          <w:color w:val="auto"/>
          <w:sz w:val="28"/>
          <w:szCs w:val="28"/>
          <w:highlight w:val="none"/>
        </w:rPr>
      </w:pPr>
      <w:r>
        <w:rPr>
          <w:rFonts w:hint="eastAsia"/>
          <w:b/>
          <w:color w:val="auto"/>
          <w:sz w:val="28"/>
          <w:szCs w:val="28"/>
          <w:highlight w:val="none"/>
          <w:lang w:val="en-US" w:eastAsia="zh-CN"/>
        </w:rPr>
        <w:t>6</w:t>
      </w:r>
      <w:r>
        <w:rPr>
          <w:rFonts w:hint="eastAsia"/>
          <w:b/>
          <w:color w:val="auto"/>
          <w:sz w:val="28"/>
          <w:szCs w:val="28"/>
          <w:highlight w:val="none"/>
        </w:rPr>
        <w:t>、落实政府采购政策需满足的资格要求证明材料</w:t>
      </w:r>
    </w:p>
    <w:p>
      <w:pPr>
        <w:pStyle w:val="22"/>
        <w:spacing w:line="460" w:lineRule="exact"/>
        <w:ind w:left="0" w:firstLine="0" w:firstLineChars="0"/>
        <w:jc w:val="right"/>
        <w:rPr>
          <w:rFonts w:ascii="宋体" w:hAnsi="宋体" w:cs="宋体"/>
          <w:b/>
          <w:bCs/>
          <w:color w:val="auto"/>
          <w:sz w:val="22"/>
          <w:szCs w:val="22"/>
          <w:highlight w:val="none"/>
        </w:rPr>
      </w:pPr>
      <w:r>
        <w:rPr>
          <w:rFonts w:hint="eastAsia" w:ascii="宋体" w:hAnsi="宋体" w:cs="宋体"/>
          <w:color w:val="auto"/>
          <w:sz w:val="22"/>
          <w:szCs w:val="22"/>
          <w:highlight w:val="none"/>
        </w:rPr>
        <w:t>（根据招标公告落实政府采购政策需满足的资格要求选择提供相应的材料；未要求的，无需提供）</w:t>
      </w:r>
    </w:p>
    <w:p>
      <w:pPr>
        <w:rPr>
          <w:rFonts w:ascii="宋体" w:hAnsi="宋体" w:cs="宋体"/>
          <w:b/>
          <w:bCs/>
          <w:color w:val="auto"/>
          <w:sz w:val="22"/>
          <w:szCs w:val="22"/>
          <w:highlight w:val="none"/>
        </w:rPr>
      </w:pPr>
    </w:p>
    <w:p>
      <w:pPr>
        <w:rPr>
          <w:rFonts w:ascii="宋体" w:hAnsi="宋体" w:cs="宋体"/>
          <w:b/>
          <w:bCs/>
          <w:color w:val="auto"/>
          <w:sz w:val="22"/>
          <w:szCs w:val="22"/>
          <w:highlight w:val="none"/>
        </w:rPr>
      </w:pPr>
      <w:bookmarkStart w:id="36" w:name="_Toc16516"/>
      <w:bookmarkStart w:id="37" w:name="_Toc31356"/>
      <w:r>
        <w:rPr>
          <w:rFonts w:hint="eastAsia" w:ascii="宋体" w:hAnsi="宋体" w:cs="宋体"/>
          <w:b/>
          <w:bCs/>
          <w:color w:val="auto"/>
          <w:sz w:val="22"/>
          <w:szCs w:val="22"/>
          <w:highlight w:val="none"/>
        </w:rPr>
        <w:br w:type="page"/>
      </w:r>
    </w:p>
    <w:p>
      <w:pPr>
        <w:outlineLvl w:val="1"/>
        <w:rPr>
          <w:rFonts w:ascii="宋体" w:hAnsi="宋体" w:cs="宋体"/>
          <w:b/>
          <w:bCs/>
          <w:color w:val="auto"/>
          <w:sz w:val="22"/>
          <w:szCs w:val="22"/>
          <w:highlight w:val="none"/>
        </w:rPr>
      </w:pPr>
      <w:r>
        <w:rPr>
          <w:rFonts w:hint="eastAsia" w:ascii="宋体" w:hAnsi="宋体" w:cs="宋体"/>
          <w:b/>
          <w:bCs/>
          <w:color w:val="auto"/>
          <w:sz w:val="22"/>
          <w:szCs w:val="22"/>
          <w:highlight w:val="none"/>
        </w:rPr>
        <w:t>附件三</w:t>
      </w:r>
      <w:bookmarkEnd w:id="36"/>
      <w:bookmarkEnd w:id="37"/>
    </w:p>
    <w:p>
      <w:pPr>
        <w:spacing w:line="460" w:lineRule="exact"/>
        <w:jc w:val="center"/>
        <w:outlineLvl w:val="2"/>
        <w:rPr>
          <w:rFonts w:ascii="宋体" w:hAnsi="宋体" w:cs="宋体"/>
          <w:b/>
          <w:bCs/>
          <w:color w:val="auto"/>
          <w:sz w:val="28"/>
          <w:szCs w:val="28"/>
          <w:highlight w:val="none"/>
          <w:lang w:val="zh-CN"/>
        </w:rPr>
      </w:pPr>
      <w:bookmarkStart w:id="38" w:name="_Toc29102"/>
      <w:bookmarkStart w:id="39" w:name="_Toc13639"/>
      <w:r>
        <w:rPr>
          <w:rFonts w:hint="eastAsia" w:ascii="宋体" w:hAnsi="宋体" w:cs="宋体"/>
          <w:b/>
          <w:bCs/>
          <w:color w:val="auto"/>
          <w:sz w:val="28"/>
          <w:szCs w:val="28"/>
          <w:highlight w:val="none"/>
          <w:lang w:val="zh-CN"/>
        </w:rPr>
        <w:t>商务技术文件</w:t>
      </w:r>
      <w:bookmarkEnd w:id="38"/>
      <w:bookmarkEnd w:id="39"/>
    </w:p>
    <w:p>
      <w:pPr>
        <w:spacing w:line="380" w:lineRule="exact"/>
        <w:jc w:val="center"/>
        <w:outlineLvl w:val="3"/>
        <w:rPr>
          <w:rFonts w:ascii="宋体" w:hAnsi="宋体" w:cs="宋体"/>
          <w:b/>
          <w:color w:val="auto"/>
          <w:sz w:val="22"/>
          <w:szCs w:val="22"/>
          <w:highlight w:val="none"/>
        </w:rPr>
      </w:pPr>
      <w:r>
        <w:rPr>
          <w:rFonts w:hint="eastAsia" w:ascii="宋体" w:hAnsi="宋体" w:cs="宋体"/>
          <w:b/>
          <w:color w:val="auto"/>
          <w:sz w:val="24"/>
          <w:highlight w:val="none"/>
        </w:rPr>
        <w:t>1、法定代表人授权书</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lang w:eastAsia="zh-CN"/>
        </w:rPr>
        <w:t>温州市第七人民医院</w:t>
      </w:r>
      <w:r>
        <w:rPr>
          <w:rFonts w:hint="eastAsia" w:ascii="宋体" w:hAnsi="宋体" w:cs="宋体"/>
          <w:color w:val="auto"/>
          <w:sz w:val="22"/>
          <w:szCs w:val="22"/>
          <w:highlight w:val="none"/>
        </w:rPr>
        <w:t>：</w:t>
      </w:r>
    </w:p>
    <w:p>
      <w:pPr>
        <w:spacing w:line="460" w:lineRule="exact"/>
        <w:rPr>
          <w:rFonts w:ascii="宋体" w:hAnsi="宋体" w:cs="宋体"/>
          <w:color w:val="auto"/>
          <w:sz w:val="22"/>
          <w:szCs w:val="22"/>
          <w:highlight w:val="none"/>
          <w:u w:val="single"/>
        </w:rPr>
      </w:pPr>
    </w:p>
    <w:p>
      <w:pPr>
        <w:spacing w:line="460" w:lineRule="exact"/>
        <w:ind w:firstLine="550" w:firstLineChars="250"/>
        <w:rPr>
          <w:rFonts w:ascii="宋体" w:hAnsi="宋体" w:cs="宋体"/>
          <w:color w:val="auto"/>
          <w:sz w:val="22"/>
          <w:szCs w:val="22"/>
          <w:highlight w:val="none"/>
        </w:rPr>
      </w:pPr>
      <w:r>
        <w:rPr>
          <w:rFonts w:hint="eastAsia" w:ascii="宋体" w:hAnsi="宋体" w:cs="宋体"/>
          <w:color w:val="auto"/>
          <w:sz w:val="22"/>
          <w:szCs w:val="22"/>
          <w:highlight w:val="none"/>
          <w:u w:val="single"/>
        </w:rPr>
        <w:t>（投标人全称）</w:t>
      </w:r>
      <w:r>
        <w:rPr>
          <w:rFonts w:hint="eastAsia" w:ascii="宋体" w:hAnsi="宋体" w:cs="宋体"/>
          <w:color w:val="auto"/>
          <w:sz w:val="22"/>
          <w:szCs w:val="22"/>
          <w:highlight w:val="none"/>
        </w:rPr>
        <w:t>法定代表人授权</w:t>
      </w:r>
      <w:r>
        <w:rPr>
          <w:rFonts w:hint="eastAsia" w:ascii="宋体" w:hAnsi="宋体" w:cs="宋体"/>
          <w:color w:val="auto"/>
          <w:sz w:val="22"/>
          <w:szCs w:val="22"/>
          <w:highlight w:val="none"/>
          <w:u w:val="single"/>
        </w:rPr>
        <w:t>（全权代表姓名）</w:t>
      </w:r>
      <w:r>
        <w:rPr>
          <w:rFonts w:hint="eastAsia" w:ascii="宋体" w:hAnsi="宋体" w:cs="宋体"/>
          <w:color w:val="auto"/>
          <w:sz w:val="22"/>
          <w:szCs w:val="22"/>
          <w:highlight w:val="none"/>
        </w:rPr>
        <w:t>为全权代表，参加贵处组织的</w:t>
      </w:r>
      <w:r>
        <w:rPr>
          <w:rFonts w:hint="eastAsia" w:ascii="宋体" w:hAnsi="宋体" w:cs="宋体"/>
          <w:color w:val="auto"/>
          <w:sz w:val="22"/>
          <w:szCs w:val="22"/>
          <w:highlight w:val="none"/>
          <w:u w:val="single"/>
        </w:rPr>
        <w:t>（项目名称、编号）</w:t>
      </w:r>
      <w:r>
        <w:rPr>
          <w:rFonts w:hint="eastAsia" w:ascii="宋体" w:hAnsi="宋体" w:cs="宋体"/>
          <w:color w:val="auto"/>
          <w:sz w:val="22"/>
          <w:szCs w:val="22"/>
          <w:highlight w:val="none"/>
        </w:rPr>
        <w:t>的招标活动，全权代表我方处理招标活动中的一切事宜。</w:t>
      </w:r>
    </w:p>
    <w:p>
      <w:pPr>
        <w:spacing w:line="460" w:lineRule="exact"/>
        <w:ind w:firstLine="2955"/>
        <w:rPr>
          <w:rFonts w:ascii="宋体" w:hAnsi="宋体" w:cs="宋体"/>
          <w:color w:val="auto"/>
          <w:sz w:val="22"/>
          <w:szCs w:val="22"/>
          <w:highlight w:val="none"/>
        </w:rPr>
      </w:pPr>
    </w:p>
    <w:p>
      <w:pPr>
        <w:spacing w:line="460" w:lineRule="exact"/>
        <w:ind w:firstLine="2955"/>
        <w:rPr>
          <w:rFonts w:ascii="宋体" w:hAnsi="宋体" w:cs="宋体"/>
          <w:color w:val="auto"/>
          <w:sz w:val="22"/>
          <w:szCs w:val="22"/>
          <w:highlight w:val="none"/>
        </w:rPr>
      </w:pPr>
    </w:p>
    <w:p>
      <w:pPr>
        <w:spacing w:line="460" w:lineRule="exact"/>
        <w:ind w:firstLine="4081" w:firstLineChars="1855"/>
        <w:rPr>
          <w:rFonts w:ascii="宋体" w:hAnsi="宋体" w:cs="宋体"/>
          <w:color w:val="auto"/>
          <w:sz w:val="22"/>
          <w:szCs w:val="22"/>
          <w:highlight w:val="none"/>
        </w:rPr>
      </w:pPr>
      <w:r>
        <w:rPr>
          <w:rFonts w:hint="eastAsia" w:ascii="宋体" w:hAnsi="宋体" w:cs="宋体"/>
          <w:color w:val="auto"/>
          <w:sz w:val="22"/>
          <w:szCs w:val="22"/>
          <w:highlight w:val="none"/>
        </w:rPr>
        <w:t>法定代表人  (签字或盖章)：</w:t>
      </w:r>
    </w:p>
    <w:p>
      <w:pPr>
        <w:spacing w:line="460" w:lineRule="exact"/>
        <w:ind w:firstLine="2955"/>
        <w:rPr>
          <w:rFonts w:ascii="宋体" w:hAnsi="宋体" w:cs="宋体"/>
          <w:color w:val="auto"/>
          <w:sz w:val="22"/>
          <w:szCs w:val="22"/>
          <w:highlight w:val="none"/>
        </w:rPr>
      </w:pPr>
      <w:r>
        <w:rPr>
          <w:rFonts w:hint="eastAsia" w:ascii="宋体" w:hAnsi="宋体" w:cs="宋体"/>
          <w:color w:val="auto"/>
          <w:sz w:val="22"/>
          <w:szCs w:val="22"/>
          <w:highlight w:val="none"/>
        </w:rPr>
        <w:t xml:space="preserve">          投标人全称（公章）：</w:t>
      </w:r>
    </w:p>
    <w:p>
      <w:pPr>
        <w:spacing w:line="460" w:lineRule="exact"/>
        <w:ind w:firstLine="2955"/>
        <w:rPr>
          <w:rFonts w:ascii="宋体" w:hAnsi="宋体" w:cs="宋体"/>
          <w:color w:val="auto"/>
          <w:sz w:val="22"/>
          <w:szCs w:val="22"/>
          <w:highlight w:val="none"/>
        </w:rPr>
      </w:pPr>
      <w:r>
        <w:rPr>
          <w:rFonts w:hint="eastAsia" w:ascii="宋体" w:hAnsi="宋体" w:cs="宋体"/>
          <w:color w:val="auto"/>
          <w:sz w:val="22"/>
          <w:szCs w:val="22"/>
          <w:highlight w:val="none"/>
        </w:rPr>
        <w:t xml:space="preserve">          日   期：  </w:t>
      </w:r>
    </w:p>
    <w:p>
      <w:pPr>
        <w:spacing w:line="380" w:lineRule="exact"/>
        <w:rPr>
          <w:rFonts w:ascii="宋体" w:hAnsi="宋体" w:cs="宋体"/>
          <w:color w:val="auto"/>
          <w:sz w:val="22"/>
          <w:szCs w:val="22"/>
          <w:highlight w:val="none"/>
        </w:rPr>
      </w:pPr>
    </w:p>
    <w:p>
      <w:pPr>
        <w:spacing w:line="380" w:lineRule="exact"/>
        <w:rPr>
          <w:rFonts w:ascii="宋体" w:hAnsi="宋体" w:cs="宋体"/>
          <w:color w:val="auto"/>
          <w:sz w:val="22"/>
          <w:szCs w:val="22"/>
          <w:highlight w:val="none"/>
        </w:rPr>
      </w:pPr>
    </w:p>
    <w:p>
      <w:pPr>
        <w:spacing w:line="380" w:lineRule="exact"/>
        <w:rPr>
          <w:rFonts w:ascii="宋体" w:hAnsi="宋体" w:cs="宋体"/>
          <w:color w:val="auto"/>
          <w:sz w:val="22"/>
          <w:szCs w:val="22"/>
          <w:highlight w:val="none"/>
        </w:rPr>
      </w:pP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附：</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 xml:space="preserve">授权代表姓名：                               </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职务：</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详细通讯地址：</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电话：</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传真：</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邮政编码:</w:t>
      </w:r>
    </w:p>
    <w:p>
      <w:pPr>
        <w:spacing w:line="380" w:lineRule="exact"/>
        <w:rPr>
          <w:rFonts w:ascii="宋体" w:hAnsi="宋体" w:cs="宋体"/>
          <w:color w:val="auto"/>
          <w:sz w:val="22"/>
          <w:szCs w:val="22"/>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keepNext/>
        <w:rPr>
          <w:color w:val="auto"/>
          <w:highlight w:val="none"/>
        </w:rPr>
      </w:pPr>
    </w:p>
    <w:p>
      <w:pPr>
        <w:spacing w:line="460" w:lineRule="exact"/>
        <w:jc w:val="center"/>
        <w:rPr>
          <w:rFonts w:ascii="宋体" w:hAnsi="宋体" w:cs="宋体"/>
          <w:b/>
          <w:bCs/>
          <w:color w:val="auto"/>
          <w:sz w:val="28"/>
          <w:szCs w:val="28"/>
          <w:highlight w:val="none"/>
        </w:rPr>
      </w:pPr>
      <w:r>
        <w:rPr>
          <w:rFonts w:ascii="宋体" w:hAnsi="宋体" w:cs="宋体"/>
          <w:color w:val="auto"/>
          <w:sz w:val="22"/>
          <w:szCs w:val="22"/>
          <w:highlight w:val="none"/>
          <w:lang w:val="zh-CN"/>
        </w:rPr>
        <w:pict>
          <v:shape id="Text Box 2" o:spid="_x0000_s1026" o:spt="202" type="#_x0000_t202" style="position:absolute;left:0pt;margin-left:8.95pt;margin-top:25.25pt;height:236.55pt;width:492.45pt;z-index:251659264;mso-width-relative:page;mso-height-relative:page;" coordsize="21600,21600" o:gfxdata="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9wjaNgAAAAKAQAADwAAAAAAAAABACAAAAAiAAAAZHJzL2Rv&#10;d25yZXYueG1sUEsBAhQAFAAAAAgAh07iQCalZX0BAgAARAQAAA4AAAAAAAAAAQAgAAAAJwEAAGRy&#10;cy9lMm9Eb2MueG1sUEsFBgAAAAAGAAYAWQEAAJoFAAAAAA==&#10;">
            <v:path/>
            <v:fill focussize="0,0"/>
            <v:stroke joinstyle="miter"/>
            <v:imagedata o:title=""/>
            <o:lock v:ext="edit"/>
            <v:textbox>
              <w:txbxContent>
                <w:p>
                  <w:r>
                    <w:rPr>
                      <w:rFonts w:hint="eastAsia" w:ascii="新宋体" w:hAnsi="新宋体" w:eastAsia="新宋体"/>
                      <w:sz w:val="22"/>
                      <w:szCs w:val="22"/>
                    </w:rPr>
                    <w:t xml:space="preserve">  法定代表人身份证（正反面）：</w:t>
                  </w:r>
                </w:p>
              </w:txbxContent>
            </v:textbox>
          </v:shape>
        </w:pict>
      </w: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r>
        <w:rPr>
          <w:rFonts w:ascii="宋体" w:hAnsi="宋体" w:cs="宋体"/>
          <w:color w:val="auto"/>
          <w:sz w:val="22"/>
          <w:szCs w:val="22"/>
          <w:highlight w:val="none"/>
          <w:lang w:val="zh-CN"/>
        </w:rPr>
        <w:pict>
          <v:shape id="文本框 26" o:spid="_x0000_s1027" o:spt="202" type="#_x0000_t202" style="position:absolute;left:0pt;margin-left:6.95pt;margin-top:-4.25pt;height:305.15pt;width:496.35pt;z-index:251660288;mso-width-relative:page;mso-height-relative:page;" coordsize="21600,21600" o:gfxdata="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GqLXdgAAAAKAQAADwAAAAAA&#10;AAABACAAAAAiAAAAZHJzL2Rvd25yZXYueG1sUEsBAhQAFAAAAAgAh07iQELca5wTAgAARgQAAA4A&#10;AAAAAAAAAQAgAAAAJwEAAGRycy9lMm9Eb2MueG1sUEsFBgAAAAAGAAYAWQEAAKwFAAAAAA==&#10;">
            <v:path/>
            <v:fill focussize="0,0"/>
            <v:stroke joinstyle="miter"/>
            <v:imagedata o:title=""/>
            <o:lock v:ext="edit"/>
            <v:textbox>
              <w:txbxContent>
                <w:p>
                  <w:r>
                    <w:rPr>
                      <w:rFonts w:hint="eastAsia" w:ascii="新宋体" w:hAnsi="新宋体" w:eastAsia="新宋体"/>
                      <w:sz w:val="22"/>
                      <w:szCs w:val="22"/>
                    </w:rPr>
                    <w:t xml:space="preserve">  授权代表身份证（正反面）：</w:t>
                  </w:r>
                </w:p>
              </w:txbxContent>
            </v:textbox>
          </v:shape>
        </w:pict>
      </w: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outlineLvl w:val="3"/>
        <w:rPr>
          <w:rFonts w:ascii="宋体" w:hAnsi="宋体" w:cs="宋体"/>
          <w:b/>
          <w:bCs/>
          <w:color w:val="auto"/>
          <w:sz w:val="22"/>
          <w:szCs w:val="22"/>
          <w:highlight w:val="none"/>
        </w:rPr>
        <w:sectPr>
          <w:headerReference r:id="rId3" w:type="default"/>
          <w:footerReference r:id="rId4" w:type="default"/>
          <w:pgSz w:w="11906" w:h="16838"/>
          <w:pgMar w:top="1134" w:right="1134" w:bottom="1134" w:left="1134" w:header="850" w:footer="992" w:gutter="0"/>
          <w:cols w:space="720" w:num="1"/>
          <w:titlePg/>
          <w:docGrid w:type="lines" w:linePitch="312" w:charSpace="0"/>
        </w:sectPr>
      </w:pPr>
    </w:p>
    <w:p>
      <w:pPr>
        <w:spacing w:line="380" w:lineRule="exact"/>
        <w:jc w:val="center"/>
        <w:outlineLvl w:val="3"/>
        <w:rPr>
          <w:rFonts w:ascii="宋体" w:hAnsi="宋体" w:cs="宋体"/>
          <w:b/>
          <w:color w:val="auto"/>
          <w:sz w:val="24"/>
          <w:highlight w:val="none"/>
        </w:rPr>
      </w:pPr>
      <w:r>
        <w:rPr>
          <w:rFonts w:hint="eastAsia" w:ascii="宋体" w:hAnsi="宋体" w:cs="宋体"/>
          <w:b/>
          <w:color w:val="auto"/>
          <w:sz w:val="24"/>
          <w:highlight w:val="none"/>
        </w:rPr>
        <w:t>2、投标人情况表</w:t>
      </w:r>
    </w:p>
    <w:p>
      <w:pPr>
        <w:tabs>
          <w:tab w:val="left" w:pos="780"/>
        </w:tabs>
        <w:spacing w:line="400" w:lineRule="exact"/>
        <w:rPr>
          <w:rFonts w:ascii="宋体" w:hAnsi="宋体" w:cs="宋体"/>
          <w:b/>
          <w:color w:val="auto"/>
          <w:sz w:val="22"/>
          <w:szCs w:val="22"/>
          <w:highlight w:val="none"/>
        </w:rPr>
      </w:pPr>
      <w:r>
        <w:rPr>
          <w:rFonts w:hint="eastAsia" w:ascii="宋体" w:hAnsi="宋体" w:cs="宋体"/>
          <w:b/>
          <w:color w:val="auto"/>
          <w:sz w:val="22"/>
          <w:szCs w:val="22"/>
          <w:highlight w:val="none"/>
        </w:rPr>
        <w:t>项目名称：                                                                       项目编号：</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单位名称（盖章）</w:t>
            </w:r>
          </w:p>
        </w:tc>
        <w:tc>
          <w:tcPr>
            <w:tcW w:w="2804" w:type="dxa"/>
            <w:gridSpan w:val="2"/>
          </w:tcPr>
          <w:p>
            <w:pPr>
              <w:spacing w:line="480" w:lineRule="exact"/>
              <w:rPr>
                <w:rFonts w:ascii="宋体" w:hAnsi="宋体" w:cs="宋体"/>
                <w:color w:val="auto"/>
                <w:sz w:val="22"/>
                <w:szCs w:val="22"/>
                <w:highlight w:val="none"/>
              </w:rPr>
            </w:pPr>
          </w:p>
        </w:tc>
        <w:tc>
          <w:tcPr>
            <w:tcW w:w="1115"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电 话</w:t>
            </w:r>
          </w:p>
        </w:tc>
        <w:tc>
          <w:tcPr>
            <w:tcW w:w="2588" w:type="dxa"/>
            <w:gridSpan w:val="2"/>
          </w:tcPr>
          <w:p>
            <w:pPr>
              <w:spacing w:line="480" w:lineRule="exact"/>
              <w:rPr>
                <w:rFonts w:ascii="宋体" w:hAnsi="宋体" w:cs="宋体"/>
                <w:color w:val="auto"/>
                <w:sz w:val="22"/>
                <w:szCs w:val="22"/>
                <w:highlight w:val="none"/>
              </w:rPr>
            </w:pPr>
          </w:p>
        </w:tc>
        <w:tc>
          <w:tcPr>
            <w:tcW w:w="1488"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主管部门</w:t>
            </w:r>
          </w:p>
        </w:tc>
        <w:tc>
          <w:tcPr>
            <w:tcW w:w="1502" w:type="dxa"/>
          </w:tcPr>
          <w:p>
            <w:pPr>
              <w:spacing w:line="480" w:lineRule="exact"/>
              <w:rPr>
                <w:rFonts w:ascii="宋体" w:hAnsi="宋体" w:cs="宋体"/>
                <w:color w:val="auto"/>
                <w:sz w:val="22"/>
                <w:szCs w:val="22"/>
                <w:highlight w:val="none"/>
              </w:rPr>
            </w:pPr>
          </w:p>
        </w:tc>
        <w:tc>
          <w:tcPr>
            <w:tcW w:w="1488"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企业负责人</w:t>
            </w:r>
          </w:p>
        </w:tc>
        <w:tc>
          <w:tcPr>
            <w:tcW w:w="1115" w:type="dxa"/>
          </w:tcPr>
          <w:p>
            <w:pPr>
              <w:spacing w:line="480" w:lineRule="exact"/>
              <w:rPr>
                <w:rFonts w:ascii="宋体" w:hAnsi="宋体" w:cs="宋体"/>
                <w:color w:val="auto"/>
                <w:sz w:val="22"/>
                <w:szCs w:val="22"/>
                <w:highlight w:val="none"/>
              </w:rPr>
            </w:pPr>
          </w:p>
        </w:tc>
        <w:tc>
          <w:tcPr>
            <w:tcW w:w="1461"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地    址</w:t>
            </w:r>
          </w:p>
        </w:tc>
        <w:tc>
          <w:tcPr>
            <w:tcW w:w="2804" w:type="dxa"/>
            <w:gridSpan w:val="2"/>
          </w:tcPr>
          <w:p>
            <w:pPr>
              <w:spacing w:line="480" w:lineRule="exact"/>
              <w:rPr>
                <w:rFonts w:ascii="宋体" w:hAnsi="宋体" w:cs="宋体"/>
                <w:color w:val="auto"/>
                <w:sz w:val="22"/>
                <w:szCs w:val="22"/>
                <w:highlight w:val="none"/>
              </w:rPr>
            </w:pPr>
          </w:p>
        </w:tc>
        <w:tc>
          <w:tcPr>
            <w:tcW w:w="1115"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传 真</w:t>
            </w:r>
          </w:p>
        </w:tc>
        <w:tc>
          <w:tcPr>
            <w:tcW w:w="2588" w:type="dxa"/>
            <w:gridSpan w:val="2"/>
          </w:tcPr>
          <w:p>
            <w:pPr>
              <w:spacing w:line="480" w:lineRule="exact"/>
              <w:rPr>
                <w:rFonts w:ascii="宋体" w:hAnsi="宋体" w:cs="宋体"/>
                <w:color w:val="auto"/>
                <w:sz w:val="22"/>
                <w:szCs w:val="22"/>
                <w:highlight w:val="none"/>
              </w:rPr>
            </w:pPr>
          </w:p>
        </w:tc>
        <w:tc>
          <w:tcPr>
            <w:tcW w:w="1488"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企业性质</w:t>
            </w:r>
          </w:p>
        </w:tc>
        <w:tc>
          <w:tcPr>
            <w:tcW w:w="1502" w:type="dxa"/>
          </w:tcPr>
          <w:p>
            <w:pPr>
              <w:spacing w:line="480" w:lineRule="exact"/>
              <w:rPr>
                <w:rFonts w:ascii="宋体" w:hAnsi="宋体" w:cs="宋体"/>
                <w:color w:val="auto"/>
                <w:sz w:val="22"/>
                <w:szCs w:val="22"/>
                <w:highlight w:val="none"/>
              </w:rPr>
            </w:pPr>
          </w:p>
        </w:tc>
        <w:tc>
          <w:tcPr>
            <w:tcW w:w="1488"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授权代表</w:t>
            </w:r>
          </w:p>
        </w:tc>
        <w:tc>
          <w:tcPr>
            <w:tcW w:w="1115" w:type="dxa"/>
          </w:tcPr>
          <w:p>
            <w:pPr>
              <w:spacing w:line="480" w:lineRule="exact"/>
              <w:rPr>
                <w:rFonts w:ascii="宋体" w:hAnsi="宋体" w:cs="宋体"/>
                <w:color w:val="auto"/>
                <w:sz w:val="22"/>
                <w:szCs w:val="22"/>
                <w:highlight w:val="none"/>
              </w:rPr>
            </w:pPr>
          </w:p>
        </w:tc>
        <w:tc>
          <w:tcPr>
            <w:tcW w:w="1461"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单位简介</w:t>
            </w:r>
          </w:p>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及机构</w:t>
            </w:r>
          </w:p>
        </w:tc>
        <w:tc>
          <w:tcPr>
            <w:tcW w:w="6507" w:type="dxa"/>
            <w:gridSpan w:val="6"/>
            <w:vAlign w:val="center"/>
          </w:tcPr>
          <w:p>
            <w:pPr>
              <w:spacing w:line="480" w:lineRule="exact"/>
              <w:jc w:val="center"/>
              <w:rPr>
                <w:rFonts w:ascii="宋体" w:hAnsi="宋体" w:cs="宋体"/>
                <w:color w:val="auto"/>
                <w:sz w:val="22"/>
                <w:szCs w:val="22"/>
                <w:highlight w:val="none"/>
              </w:rPr>
            </w:pPr>
          </w:p>
        </w:tc>
        <w:tc>
          <w:tcPr>
            <w:tcW w:w="1488"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单位优势</w:t>
            </w:r>
          </w:p>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及特长</w:t>
            </w:r>
          </w:p>
        </w:tc>
        <w:tc>
          <w:tcPr>
            <w:tcW w:w="5566" w:type="dxa"/>
            <w:gridSpan w:val="5"/>
          </w:tcPr>
          <w:p>
            <w:pPr>
              <w:spacing w:line="480" w:lineRule="exact"/>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单位概况</w:t>
            </w:r>
          </w:p>
        </w:tc>
        <w:tc>
          <w:tcPr>
            <w:tcW w:w="1115" w:type="dxa"/>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职工总数</w:t>
            </w:r>
          </w:p>
        </w:tc>
        <w:tc>
          <w:tcPr>
            <w:tcW w:w="1689" w:type="dxa"/>
            <w:vMerge w:val="restart"/>
          </w:tcPr>
          <w:p>
            <w:pPr>
              <w:spacing w:line="480" w:lineRule="exact"/>
              <w:ind w:firstLine="1540" w:firstLineChars="700"/>
              <w:rPr>
                <w:rFonts w:ascii="宋体" w:hAnsi="宋体" w:cs="宋体"/>
                <w:color w:val="auto"/>
                <w:sz w:val="22"/>
                <w:szCs w:val="22"/>
                <w:highlight w:val="none"/>
              </w:rPr>
            </w:pPr>
          </w:p>
        </w:tc>
        <w:tc>
          <w:tcPr>
            <w:tcW w:w="3703" w:type="dxa"/>
            <w:gridSpan w:val="4"/>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各人员构成情况</w:t>
            </w:r>
          </w:p>
        </w:tc>
        <w:tc>
          <w:tcPr>
            <w:tcW w:w="1488" w:type="dxa"/>
            <w:vMerge w:val="restart"/>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上一年主要  经济指标</w:t>
            </w:r>
          </w:p>
        </w:tc>
        <w:tc>
          <w:tcPr>
            <w:tcW w:w="1502"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指标名称</w:t>
            </w:r>
          </w:p>
        </w:tc>
        <w:tc>
          <w:tcPr>
            <w:tcW w:w="1488" w:type="dxa"/>
            <w:tcBorders>
              <w:tr2bl w:val="single" w:color="auto" w:sz="4" w:space="0"/>
            </w:tcBorders>
            <w:vAlign w:val="center"/>
          </w:tcPr>
          <w:p>
            <w:pPr>
              <w:spacing w:line="480" w:lineRule="exact"/>
              <w:jc w:val="center"/>
              <w:rPr>
                <w:rFonts w:ascii="宋体" w:hAnsi="宋体" w:cs="宋体"/>
                <w:color w:val="auto"/>
                <w:sz w:val="22"/>
                <w:szCs w:val="22"/>
                <w:highlight w:val="none"/>
              </w:rPr>
            </w:pPr>
          </w:p>
        </w:tc>
        <w:tc>
          <w:tcPr>
            <w:tcW w:w="1470" w:type="dxa"/>
            <w:gridSpan w:val="2"/>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实际完成</w:t>
            </w:r>
          </w:p>
        </w:tc>
        <w:tc>
          <w:tcPr>
            <w:tcW w:w="1106" w:type="dxa"/>
            <w:tcBorders>
              <w:tr2bl w:val="single" w:color="auto" w:sz="4" w:space="0"/>
            </w:tcBorders>
            <w:vAlign w:val="center"/>
          </w:tcPr>
          <w:p>
            <w:pPr>
              <w:spacing w:line="48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tcPr>
          <w:p>
            <w:pPr>
              <w:spacing w:line="480" w:lineRule="exact"/>
              <w:rPr>
                <w:rFonts w:ascii="宋体" w:hAnsi="宋体" w:cs="宋体"/>
                <w:color w:val="auto"/>
                <w:sz w:val="22"/>
                <w:szCs w:val="22"/>
                <w:highlight w:val="none"/>
              </w:rPr>
            </w:pPr>
          </w:p>
        </w:tc>
        <w:tc>
          <w:tcPr>
            <w:tcW w:w="1115" w:type="dxa"/>
            <w:vMerge w:val="continue"/>
          </w:tcPr>
          <w:p>
            <w:pPr>
              <w:spacing w:line="480" w:lineRule="exact"/>
              <w:rPr>
                <w:rFonts w:ascii="宋体" w:hAnsi="宋体" w:cs="宋体"/>
                <w:color w:val="auto"/>
                <w:sz w:val="22"/>
                <w:szCs w:val="22"/>
                <w:highlight w:val="none"/>
              </w:rPr>
            </w:pPr>
          </w:p>
        </w:tc>
        <w:tc>
          <w:tcPr>
            <w:tcW w:w="1689" w:type="dxa"/>
            <w:vMerge w:val="continue"/>
          </w:tcPr>
          <w:p>
            <w:pPr>
              <w:spacing w:line="480" w:lineRule="exact"/>
              <w:rPr>
                <w:rFonts w:ascii="宋体" w:hAnsi="宋体" w:cs="宋体"/>
                <w:color w:val="auto"/>
                <w:sz w:val="22"/>
                <w:szCs w:val="22"/>
                <w:highlight w:val="none"/>
              </w:rPr>
            </w:pPr>
          </w:p>
        </w:tc>
        <w:tc>
          <w:tcPr>
            <w:tcW w:w="3703" w:type="dxa"/>
            <w:gridSpan w:val="4"/>
            <w:vMerge w:val="continue"/>
          </w:tcPr>
          <w:p>
            <w:pPr>
              <w:spacing w:line="480" w:lineRule="exact"/>
              <w:rPr>
                <w:rFonts w:ascii="宋体" w:hAnsi="宋体" w:cs="宋体"/>
                <w:color w:val="auto"/>
                <w:sz w:val="22"/>
                <w:szCs w:val="22"/>
                <w:highlight w:val="none"/>
              </w:rPr>
            </w:pPr>
          </w:p>
        </w:tc>
        <w:tc>
          <w:tcPr>
            <w:tcW w:w="1488" w:type="dxa"/>
            <w:vMerge w:val="continue"/>
          </w:tcPr>
          <w:p>
            <w:pPr>
              <w:spacing w:line="480" w:lineRule="exact"/>
              <w:rPr>
                <w:rFonts w:ascii="宋体" w:hAnsi="宋体" w:cs="宋体"/>
                <w:color w:val="auto"/>
                <w:sz w:val="22"/>
                <w:szCs w:val="22"/>
                <w:highlight w:val="none"/>
              </w:rPr>
            </w:pPr>
          </w:p>
        </w:tc>
        <w:tc>
          <w:tcPr>
            <w:tcW w:w="1502"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总产值</w:t>
            </w:r>
          </w:p>
        </w:tc>
        <w:tc>
          <w:tcPr>
            <w:tcW w:w="1488" w:type="dxa"/>
            <w:vAlign w:val="center"/>
          </w:tcPr>
          <w:p>
            <w:pPr>
              <w:spacing w:line="480" w:lineRule="exact"/>
              <w:ind w:firstLine="660" w:firstLineChars="300"/>
              <w:jc w:val="right"/>
              <w:rPr>
                <w:rFonts w:ascii="宋体" w:hAnsi="宋体" w:cs="宋体"/>
                <w:color w:val="auto"/>
                <w:sz w:val="22"/>
                <w:szCs w:val="22"/>
                <w:highlight w:val="none"/>
              </w:rPr>
            </w:pPr>
            <w:r>
              <w:rPr>
                <w:rFonts w:hint="eastAsia" w:ascii="宋体" w:hAnsi="宋体" w:cs="宋体"/>
                <w:color w:val="auto"/>
                <w:sz w:val="22"/>
                <w:szCs w:val="22"/>
                <w:highlight w:val="none"/>
              </w:rPr>
              <w:t>万元</w:t>
            </w:r>
          </w:p>
        </w:tc>
        <w:tc>
          <w:tcPr>
            <w:tcW w:w="1470" w:type="dxa"/>
            <w:gridSpan w:val="2"/>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总产值</w:t>
            </w:r>
          </w:p>
        </w:tc>
        <w:tc>
          <w:tcPr>
            <w:tcW w:w="1106"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tcPr>
          <w:p>
            <w:pPr>
              <w:spacing w:line="480" w:lineRule="exact"/>
              <w:rPr>
                <w:rFonts w:ascii="宋体" w:hAnsi="宋体" w:cs="宋体"/>
                <w:color w:val="auto"/>
                <w:sz w:val="22"/>
                <w:szCs w:val="22"/>
                <w:highlight w:val="none"/>
              </w:rPr>
            </w:pPr>
          </w:p>
        </w:tc>
        <w:tc>
          <w:tcPr>
            <w:tcW w:w="1115" w:type="dxa"/>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流动资金</w:t>
            </w:r>
          </w:p>
        </w:tc>
        <w:tc>
          <w:tcPr>
            <w:tcW w:w="1689" w:type="dxa"/>
            <w:vMerge w:val="restart"/>
          </w:tcPr>
          <w:p>
            <w:pPr>
              <w:spacing w:line="480" w:lineRule="exact"/>
              <w:jc w:val="right"/>
              <w:rPr>
                <w:rFonts w:ascii="宋体" w:hAnsi="宋体" w:cs="宋体"/>
                <w:color w:val="auto"/>
                <w:sz w:val="22"/>
                <w:szCs w:val="22"/>
                <w:highlight w:val="none"/>
              </w:rPr>
            </w:pPr>
          </w:p>
          <w:p>
            <w:pPr>
              <w:spacing w:line="480" w:lineRule="exact"/>
              <w:ind w:firstLine="660" w:firstLineChars="300"/>
              <w:jc w:val="right"/>
              <w:rPr>
                <w:rFonts w:ascii="宋体" w:hAnsi="宋体" w:cs="宋体"/>
                <w:color w:val="auto"/>
                <w:sz w:val="22"/>
                <w:szCs w:val="22"/>
                <w:highlight w:val="none"/>
              </w:rPr>
            </w:pPr>
            <w:r>
              <w:rPr>
                <w:rFonts w:hint="eastAsia" w:ascii="宋体" w:hAnsi="宋体" w:cs="宋体"/>
                <w:color w:val="auto"/>
                <w:sz w:val="22"/>
                <w:szCs w:val="22"/>
                <w:highlight w:val="none"/>
              </w:rPr>
              <w:t xml:space="preserve">万元 </w:t>
            </w:r>
          </w:p>
        </w:tc>
        <w:tc>
          <w:tcPr>
            <w:tcW w:w="728" w:type="dxa"/>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资金来源</w:t>
            </w:r>
          </w:p>
        </w:tc>
        <w:tc>
          <w:tcPr>
            <w:tcW w:w="1487" w:type="dxa"/>
            <w:gridSpan w:val="2"/>
            <w:vAlign w:val="center"/>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自有资金</w:t>
            </w:r>
          </w:p>
        </w:tc>
        <w:tc>
          <w:tcPr>
            <w:tcW w:w="1488"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 xml:space="preserve">  万元</w:t>
            </w:r>
          </w:p>
        </w:tc>
        <w:tc>
          <w:tcPr>
            <w:tcW w:w="1488" w:type="dxa"/>
            <w:vMerge w:val="continue"/>
          </w:tcPr>
          <w:p>
            <w:pPr>
              <w:spacing w:line="480" w:lineRule="exact"/>
              <w:rPr>
                <w:rFonts w:ascii="宋体" w:hAnsi="宋体" w:cs="宋体"/>
                <w:color w:val="auto"/>
                <w:sz w:val="22"/>
                <w:szCs w:val="22"/>
                <w:highlight w:val="none"/>
              </w:rPr>
            </w:pPr>
          </w:p>
        </w:tc>
        <w:tc>
          <w:tcPr>
            <w:tcW w:w="1502"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实现利润</w:t>
            </w:r>
          </w:p>
        </w:tc>
        <w:tc>
          <w:tcPr>
            <w:tcW w:w="1488" w:type="dxa"/>
            <w:vAlign w:val="center"/>
          </w:tcPr>
          <w:p>
            <w:pPr>
              <w:spacing w:line="480" w:lineRule="exact"/>
              <w:ind w:firstLine="660" w:firstLineChars="300"/>
              <w:jc w:val="right"/>
              <w:rPr>
                <w:rFonts w:ascii="宋体" w:hAnsi="宋体" w:cs="宋体"/>
                <w:color w:val="auto"/>
                <w:sz w:val="22"/>
                <w:szCs w:val="22"/>
                <w:highlight w:val="none"/>
              </w:rPr>
            </w:pPr>
            <w:r>
              <w:rPr>
                <w:rFonts w:hint="eastAsia" w:ascii="宋体" w:hAnsi="宋体" w:cs="宋体"/>
                <w:color w:val="auto"/>
                <w:sz w:val="22"/>
                <w:szCs w:val="22"/>
                <w:highlight w:val="none"/>
              </w:rPr>
              <w:t>万元</w:t>
            </w:r>
          </w:p>
        </w:tc>
        <w:tc>
          <w:tcPr>
            <w:tcW w:w="1470" w:type="dxa"/>
            <w:gridSpan w:val="2"/>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实现利润</w:t>
            </w:r>
          </w:p>
        </w:tc>
        <w:tc>
          <w:tcPr>
            <w:tcW w:w="1106"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tcPr>
          <w:p>
            <w:pPr>
              <w:spacing w:line="480" w:lineRule="exact"/>
              <w:rPr>
                <w:rFonts w:ascii="宋体" w:hAnsi="宋体" w:cs="宋体"/>
                <w:color w:val="auto"/>
                <w:sz w:val="22"/>
                <w:szCs w:val="22"/>
                <w:highlight w:val="none"/>
              </w:rPr>
            </w:pPr>
          </w:p>
        </w:tc>
        <w:tc>
          <w:tcPr>
            <w:tcW w:w="1115" w:type="dxa"/>
            <w:vMerge w:val="continue"/>
            <w:tcBorders>
              <w:bottom w:val="single" w:color="auto" w:sz="4" w:space="0"/>
            </w:tcBorders>
          </w:tcPr>
          <w:p>
            <w:pPr>
              <w:spacing w:line="480" w:lineRule="exact"/>
              <w:rPr>
                <w:rFonts w:ascii="宋体" w:hAnsi="宋体" w:cs="宋体"/>
                <w:color w:val="auto"/>
                <w:sz w:val="22"/>
                <w:szCs w:val="22"/>
                <w:highlight w:val="none"/>
              </w:rPr>
            </w:pPr>
          </w:p>
        </w:tc>
        <w:tc>
          <w:tcPr>
            <w:tcW w:w="1689" w:type="dxa"/>
            <w:vMerge w:val="continue"/>
            <w:tcBorders>
              <w:bottom w:val="single" w:color="auto" w:sz="4" w:space="0"/>
            </w:tcBorders>
          </w:tcPr>
          <w:p>
            <w:pPr>
              <w:spacing w:line="480" w:lineRule="exact"/>
              <w:rPr>
                <w:rFonts w:ascii="宋体" w:hAnsi="宋体" w:cs="宋体"/>
                <w:color w:val="auto"/>
                <w:sz w:val="22"/>
                <w:szCs w:val="22"/>
                <w:highlight w:val="none"/>
              </w:rPr>
            </w:pPr>
          </w:p>
        </w:tc>
        <w:tc>
          <w:tcPr>
            <w:tcW w:w="728" w:type="dxa"/>
            <w:vMerge w:val="continue"/>
            <w:tcBorders>
              <w:bottom w:val="single" w:color="auto" w:sz="4" w:space="0"/>
            </w:tcBorders>
          </w:tcPr>
          <w:p>
            <w:pPr>
              <w:spacing w:line="480" w:lineRule="exact"/>
              <w:rPr>
                <w:rFonts w:ascii="宋体" w:hAnsi="宋体" w:cs="宋体"/>
                <w:color w:val="auto"/>
                <w:sz w:val="22"/>
                <w:szCs w:val="22"/>
                <w:highlight w:val="none"/>
              </w:rPr>
            </w:pPr>
          </w:p>
        </w:tc>
        <w:tc>
          <w:tcPr>
            <w:tcW w:w="1487" w:type="dxa"/>
            <w:gridSpan w:val="2"/>
            <w:tcBorders>
              <w:bottom w:val="single" w:color="auto" w:sz="4" w:space="0"/>
            </w:tcBorders>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银行贷款</w:t>
            </w:r>
          </w:p>
        </w:tc>
        <w:tc>
          <w:tcPr>
            <w:tcW w:w="1488" w:type="dxa"/>
            <w:tcBorders>
              <w:bottom w:val="single" w:color="auto" w:sz="4" w:space="0"/>
            </w:tcBorders>
          </w:tcPr>
          <w:p>
            <w:pPr>
              <w:spacing w:line="48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万元</w:t>
            </w:r>
          </w:p>
        </w:tc>
        <w:tc>
          <w:tcPr>
            <w:tcW w:w="1488" w:type="dxa"/>
            <w:vMerge w:val="continue"/>
            <w:tcBorders>
              <w:bottom w:val="single" w:color="auto" w:sz="4" w:space="0"/>
            </w:tcBorders>
          </w:tcPr>
          <w:p>
            <w:pPr>
              <w:spacing w:line="480" w:lineRule="exact"/>
              <w:rPr>
                <w:rFonts w:ascii="宋体" w:hAnsi="宋体" w:cs="宋体"/>
                <w:color w:val="auto"/>
                <w:sz w:val="22"/>
                <w:szCs w:val="22"/>
                <w:highlight w:val="none"/>
              </w:rPr>
            </w:pPr>
          </w:p>
        </w:tc>
        <w:tc>
          <w:tcPr>
            <w:tcW w:w="1502" w:type="dxa"/>
            <w:vMerge w:val="restart"/>
            <w:tcBorders>
              <w:bottom w:val="single" w:color="auto" w:sz="4" w:space="0"/>
            </w:tcBorders>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主要业绩</w:t>
            </w:r>
          </w:p>
        </w:tc>
        <w:tc>
          <w:tcPr>
            <w:tcW w:w="4064" w:type="dxa"/>
            <w:gridSpan w:val="4"/>
            <w:vMerge w:val="restart"/>
            <w:tcBorders>
              <w:bottom w:val="single" w:color="auto" w:sz="4" w:space="0"/>
            </w:tcBorders>
            <w:vAlign w:val="center"/>
          </w:tcPr>
          <w:p>
            <w:pPr>
              <w:spacing w:line="48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tcPr>
          <w:p>
            <w:pPr>
              <w:spacing w:line="480" w:lineRule="exact"/>
              <w:rPr>
                <w:rFonts w:ascii="宋体" w:hAnsi="宋体" w:cs="宋体"/>
                <w:color w:val="auto"/>
                <w:sz w:val="22"/>
                <w:szCs w:val="22"/>
                <w:highlight w:val="none"/>
              </w:rPr>
            </w:pPr>
          </w:p>
        </w:tc>
        <w:tc>
          <w:tcPr>
            <w:tcW w:w="1115" w:type="dxa"/>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固定资产</w:t>
            </w:r>
          </w:p>
        </w:tc>
        <w:tc>
          <w:tcPr>
            <w:tcW w:w="1689" w:type="dxa"/>
            <w:vMerge w:val="restart"/>
          </w:tcPr>
          <w:p>
            <w:pPr>
              <w:spacing w:line="480" w:lineRule="exact"/>
              <w:jc w:val="right"/>
              <w:rPr>
                <w:rFonts w:ascii="宋体" w:hAnsi="宋体" w:cs="宋体"/>
                <w:color w:val="auto"/>
                <w:sz w:val="22"/>
                <w:szCs w:val="22"/>
                <w:highlight w:val="none"/>
              </w:rPr>
            </w:pPr>
            <w:r>
              <w:rPr>
                <w:rFonts w:hint="eastAsia" w:ascii="宋体" w:hAnsi="宋体" w:cs="宋体"/>
                <w:color w:val="auto"/>
                <w:sz w:val="22"/>
                <w:szCs w:val="22"/>
                <w:highlight w:val="none"/>
              </w:rPr>
              <w:t>原值   万元</w:t>
            </w:r>
          </w:p>
          <w:p>
            <w:pPr>
              <w:spacing w:line="480" w:lineRule="exact"/>
              <w:jc w:val="right"/>
              <w:rPr>
                <w:rFonts w:ascii="宋体" w:hAnsi="宋体" w:cs="宋体"/>
                <w:color w:val="auto"/>
                <w:sz w:val="22"/>
                <w:szCs w:val="22"/>
                <w:highlight w:val="none"/>
              </w:rPr>
            </w:pPr>
            <w:r>
              <w:rPr>
                <w:rFonts w:hint="eastAsia" w:ascii="宋体" w:hAnsi="宋体" w:cs="宋体"/>
                <w:color w:val="auto"/>
                <w:sz w:val="22"/>
                <w:szCs w:val="22"/>
                <w:highlight w:val="none"/>
              </w:rPr>
              <w:t>净值   万元</w:t>
            </w:r>
          </w:p>
        </w:tc>
        <w:tc>
          <w:tcPr>
            <w:tcW w:w="728" w:type="dxa"/>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资金性质</w:t>
            </w:r>
          </w:p>
        </w:tc>
        <w:tc>
          <w:tcPr>
            <w:tcW w:w="1487"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生产性</w:t>
            </w:r>
          </w:p>
        </w:tc>
        <w:tc>
          <w:tcPr>
            <w:tcW w:w="1488" w:type="dxa"/>
          </w:tcPr>
          <w:p>
            <w:pPr>
              <w:spacing w:line="480" w:lineRule="exact"/>
              <w:ind w:left="220" w:hanging="220" w:hangingChars="100"/>
              <w:rPr>
                <w:rFonts w:ascii="宋体" w:hAnsi="宋体" w:cs="宋体"/>
                <w:color w:val="auto"/>
                <w:sz w:val="22"/>
                <w:szCs w:val="22"/>
                <w:highlight w:val="none"/>
              </w:rPr>
            </w:pPr>
            <w:r>
              <w:rPr>
                <w:rFonts w:hint="eastAsia" w:ascii="宋体" w:hAnsi="宋体" w:cs="宋体"/>
                <w:color w:val="auto"/>
                <w:sz w:val="22"/>
                <w:szCs w:val="22"/>
                <w:highlight w:val="none"/>
              </w:rPr>
              <w:t xml:space="preserve">      万元</w:t>
            </w:r>
          </w:p>
        </w:tc>
        <w:tc>
          <w:tcPr>
            <w:tcW w:w="1488" w:type="dxa"/>
            <w:vMerge w:val="continue"/>
          </w:tcPr>
          <w:p>
            <w:pPr>
              <w:spacing w:line="480" w:lineRule="exact"/>
              <w:rPr>
                <w:rFonts w:ascii="宋体" w:hAnsi="宋体" w:cs="宋体"/>
                <w:color w:val="auto"/>
                <w:sz w:val="22"/>
                <w:szCs w:val="22"/>
                <w:highlight w:val="none"/>
              </w:rPr>
            </w:pPr>
          </w:p>
        </w:tc>
        <w:tc>
          <w:tcPr>
            <w:tcW w:w="1502" w:type="dxa"/>
            <w:vMerge w:val="continue"/>
          </w:tcPr>
          <w:p>
            <w:pPr>
              <w:spacing w:line="480" w:lineRule="exact"/>
              <w:rPr>
                <w:rFonts w:ascii="宋体" w:hAnsi="宋体" w:cs="宋体"/>
                <w:color w:val="auto"/>
                <w:sz w:val="22"/>
                <w:szCs w:val="22"/>
                <w:highlight w:val="none"/>
              </w:rPr>
            </w:pPr>
          </w:p>
        </w:tc>
        <w:tc>
          <w:tcPr>
            <w:tcW w:w="4064" w:type="dxa"/>
            <w:gridSpan w:val="4"/>
            <w:vMerge w:val="continue"/>
          </w:tcPr>
          <w:p>
            <w:pPr>
              <w:spacing w:line="480" w:lineRule="exact"/>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tcPr>
          <w:p>
            <w:pPr>
              <w:spacing w:line="480" w:lineRule="exact"/>
              <w:rPr>
                <w:rFonts w:ascii="宋体" w:hAnsi="宋体" w:cs="宋体"/>
                <w:color w:val="auto"/>
                <w:sz w:val="22"/>
                <w:szCs w:val="22"/>
                <w:highlight w:val="none"/>
              </w:rPr>
            </w:pPr>
          </w:p>
        </w:tc>
        <w:tc>
          <w:tcPr>
            <w:tcW w:w="1115" w:type="dxa"/>
            <w:vMerge w:val="continue"/>
          </w:tcPr>
          <w:p>
            <w:pPr>
              <w:spacing w:line="480" w:lineRule="exact"/>
              <w:rPr>
                <w:rFonts w:ascii="宋体" w:hAnsi="宋体" w:cs="宋体"/>
                <w:color w:val="auto"/>
                <w:sz w:val="22"/>
                <w:szCs w:val="22"/>
                <w:highlight w:val="none"/>
              </w:rPr>
            </w:pPr>
          </w:p>
        </w:tc>
        <w:tc>
          <w:tcPr>
            <w:tcW w:w="1689" w:type="dxa"/>
            <w:vMerge w:val="continue"/>
          </w:tcPr>
          <w:p>
            <w:pPr>
              <w:spacing w:line="480" w:lineRule="exact"/>
              <w:rPr>
                <w:rFonts w:ascii="宋体" w:hAnsi="宋体" w:cs="宋体"/>
                <w:color w:val="auto"/>
                <w:sz w:val="22"/>
                <w:szCs w:val="22"/>
                <w:highlight w:val="none"/>
              </w:rPr>
            </w:pPr>
          </w:p>
        </w:tc>
        <w:tc>
          <w:tcPr>
            <w:tcW w:w="728" w:type="dxa"/>
            <w:vMerge w:val="continue"/>
          </w:tcPr>
          <w:p>
            <w:pPr>
              <w:spacing w:line="480" w:lineRule="exact"/>
              <w:rPr>
                <w:rFonts w:ascii="宋体" w:hAnsi="宋体" w:cs="宋体"/>
                <w:color w:val="auto"/>
                <w:sz w:val="22"/>
                <w:szCs w:val="22"/>
                <w:highlight w:val="none"/>
              </w:rPr>
            </w:pPr>
          </w:p>
        </w:tc>
        <w:tc>
          <w:tcPr>
            <w:tcW w:w="1487"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非生产性</w:t>
            </w:r>
          </w:p>
        </w:tc>
        <w:tc>
          <w:tcPr>
            <w:tcW w:w="1488" w:type="dxa"/>
          </w:tcPr>
          <w:p>
            <w:pPr>
              <w:spacing w:line="480" w:lineRule="exact"/>
              <w:ind w:left="220" w:hanging="220" w:hangingChars="100"/>
              <w:rPr>
                <w:rFonts w:ascii="宋体" w:hAnsi="宋体" w:cs="宋体"/>
                <w:color w:val="auto"/>
                <w:sz w:val="22"/>
                <w:szCs w:val="22"/>
                <w:highlight w:val="none"/>
              </w:rPr>
            </w:pPr>
            <w:r>
              <w:rPr>
                <w:rFonts w:hint="eastAsia" w:ascii="宋体" w:hAnsi="宋体" w:cs="宋体"/>
                <w:color w:val="auto"/>
                <w:sz w:val="22"/>
                <w:szCs w:val="22"/>
                <w:highlight w:val="none"/>
              </w:rPr>
              <w:t xml:space="preserve">      万元</w:t>
            </w:r>
          </w:p>
        </w:tc>
        <w:tc>
          <w:tcPr>
            <w:tcW w:w="1488" w:type="dxa"/>
            <w:vMerge w:val="continue"/>
          </w:tcPr>
          <w:p>
            <w:pPr>
              <w:spacing w:line="480" w:lineRule="exact"/>
              <w:rPr>
                <w:rFonts w:ascii="宋体" w:hAnsi="宋体" w:cs="宋体"/>
                <w:color w:val="auto"/>
                <w:sz w:val="22"/>
                <w:szCs w:val="22"/>
                <w:highlight w:val="none"/>
              </w:rPr>
            </w:pPr>
          </w:p>
        </w:tc>
        <w:tc>
          <w:tcPr>
            <w:tcW w:w="1502" w:type="dxa"/>
            <w:vMerge w:val="continue"/>
          </w:tcPr>
          <w:p>
            <w:pPr>
              <w:spacing w:line="480" w:lineRule="exact"/>
              <w:rPr>
                <w:rFonts w:ascii="宋体" w:hAnsi="宋体" w:cs="宋体"/>
                <w:color w:val="auto"/>
                <w:sz w:val="22"/>
                <w:szCs w:val="22"/>
                <w:highlight w:val="none"/>
              </w:rPr>
            </w:pPr>
          </w:p>
        </w:tc>
        <w:tc>
          <w:tcPr>
            <w:tcW w:w="4064" w:type="dxa"/>
            <w:gridSpan w:val="4"/>
            <w:vMerge w:val="continue"/>
          </w:tcPr>
          <w:p>
            <w:pPr>
              <w:spacing w:line="480" w:lineRule="exact"/>
              <w:rPr>
                <w:rFonts w:ascii="宋体" w:hAnsi="宋体" w:cs="宋体"/>
                <w:color w:val="auto"/>
                <w:sz w:val="22"/>
                <w:szCs w:val="22"/>
                <w:highlight w:val="none"/>
              </w:rPr>
            </w:pPr>
          </w:p>
        </w:tc>
      </w:tr>
    </w:tbl>
    <w:p>
      <w:pPr>
        <w:spacing w:line="460" w:lineRule="exact"/>
        <w:rPr>
          <w:rFonts w:ascii="宋体" w:hAnsi="宋体" w:cs="宋体"/>
          <w:color w:val="auto"/>
          <w:sz w:val="22"/>
          <w:szCs w:val="22"/>
          <w:highlight w:val="none"/>
        </w:rPr>
        <w:sectPr>
          <w:pgSz w:w="16838" w:h="11906" w:orient="landscape"/>
          <w:pgMar w:top="1134" w:right="1134" w:bottom="1134" w:left="1134" w:header="850" w:footer="992" w:gutter="0"/>
          <w:cols w:space="720" w:num="1"/>
          <w:docGrid w:type="lines" w:linePitch="321" w:charSpace="0"/>
        </w:sectPr>
      </w:pPr>
    </w:p>
    <w:p>
      <w:pPr>
        <w:spacing w:line="400" w:lineRule="exact"/>
        <w:jc w:val="center"/>
        <w:outlineLvl w:val="3"/>
        <w:rPr>
          <w:rFonts w:hint="eastAsia" w:ascii="新宋体" w:hAnsi="新宋体" w:eastAsia="新宋体" w:cs="新宋体"/>
          <w:b/>
          <w:bCs/>
          <w:color w:val="auto"/>
          <w:sz w:val="28"/>
          <w:szCs w:val="28"/>
          <w:highlight w:val="none"/>
        </w:rPr>
      </w:pPr>
      <w:bookmarkStart w:id="40" w:name="_Toc10142"/>
      <w:bookmarkStart w:id="41" w:name="_Toc3381"/>
      <w:bookmarkStart w:id="42" w:name="_Toc221356958"/>
      <w:bookmarkStart w:id="43" w:name="_Toc221356895"/>
      <w:r>
        <w:rPr>
          <w:rFonts w:hint="eastAsia" w:ascii="新宋体" w:hAnsi="新宋体" w:eastAsia="新宋体" w:cs="新宋体"/>
          <w:b/>
          <w:bCs/>
          <w:color w:val="auto"/>
          <w:sz w:val="28"/>
          <w:szCs w:val="28"/>
          <w:highlight w:val="none"/>
        </w:rPr>
        <w:t>3、廉政承诺书</w:t>
      </w:r>
    </w:p>
    <w:p>
      <w:pPr>
        <w:pStyle w:val="51"/>
        <w:spacing w:line="460" w:lineRule="exact"/>
        <w:ind w:left="514" w:leftChars="245" w:firstLine="0" w:firstLineChars="0"/>
        <w:rPr>
          <w:rFonts w:hint="eastAsia" w:ascii="新宋体" w:hAnsi="新宋体" w:eastAsia="新宋体" w:cs="新宋体"/>
          <w:color w:val="auto"/>
          <w:sz w:val="22"/>
          <w:szCs w:val="22"/>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温州市第七人民医院、温州历程招标有限公司：</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为加强采购活动中的廉政建设，防止发生违法违纪行为，体现公开、公平、公正的原则，根据国家有关法律、法规和廉政建设责任制的规定，本投标人特作如下承诺：</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不与购人、采购代理机构及其他投标人私下串通协商，进行围标、串标、抬标，控制投标价格。</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不向采购人、采购代理机构、评标专家行贿，以不正手段谋取中标。</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不向监管人员请客、送礼及组织其它有可能影响客观公正监管的活动。</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自觉遵守开标、评标现场工作纪律，不私下 接触评标专家，不干扰正常的开标评标秩序。</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不给责任人的违法违规行为说情、解脱。</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Cs w:val="22"/>
          <w:highlight w:val="none"/>
        </w:rPr>
      </w:pPr>
      <w:r>
        <w:rPr>
          <w:rFonts w:hint="eastAsia" w:ascii="新宋体" w:hAnsi="新宋体" w:eastAsia="新宋体" w:cs="新宋体"/>
          <w:color w:val="auto"/>
          <w:sz w:val="22"/>
          <w:szCs w:val="22"/>
          <w:highlight w:val="none"/>
        </w:rPr>
        <w:t>如违反上述承诺，你方有权立即取消我单位投标、中标或在建项目的履约资格，有权拒绝我单位在一定时期内进入你方进行政府采购或其他经营活动，并通报监督管理部门、纪检监察部门或司法机关调查处理。由此引起的相应损失均由我单位承担。</w:t>
      </w:r>
    </w:p>
    <w:p>
      <w:pPr>
        <w:spacing w:line="460" w:lineRule="exact"/>
        <w:jc w:val="center"/>
        <w:rPr>
          <w:rFonts w:hint="eastAsia" w:ascii="新宋体" w:hAnsi="新宋体" w:eastAsia="新宋体" w:cs="新宋体"/>
          <w:b/>
          <w:bCs/>
          <w:color w:val="auto"/>
          <w:sz w:val="28"/>
          <w:szCs w:val="28"/>
          <w:highlight w:val="none"/>
        </w:rPr>
      </w:pPr>
    </w:p>
    <w:p>
      <w:pPr>
        <w:pStyle w:val="51"/>
        <w:spacing w:line="460" w:lineRule="exact"/>
        <w:ind w:left="94" w:leftChars="45" w:firstLine="5280" w:firstLineChars="2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pStyle w:val="51"/>
        <w:spacing w:line="460" w:lineRule="exact"/>
        <w:ind w:left="94" w:leftChars="45" w:firstLine="0" w:firstLineChars="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投标人代表（签字）：</w:t>
      </w:r>
    </w:p>
    <w:p>
      <w:pPr>
        <w:pStyle w:val="51"/>
        <w:spacing w:line="460" w:lineRule="exact"/>
        <w:ind w:left="94" w:leftChars="45" w:firstLine="0" w:firstLineChars="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日    期：</w:t>
      </w:r>
    </w:p>
    <w:p>
      <w:pPr>
        <w:spacing w:line="380" w:lineRule="exact"/>
        <w:ind w:firstLine="4400" w:firstLineChars="2000"/>
        <w:rPr>
          <w:rFonts w:hint="eastAsia" w:ascii="新宋体" w:hAnsi="新宋体" w:eastAsia="新宋体" w:cs="新宋体"/>
          <w:color w:val="auto"/>
          <w:sz w:val="22"/>
          <w:szCs w:val="22"/>
          <w:highlight w:val="none"/>
        </w:rPr>
      </w:pPr>
    </w:p>
    <w:p>
      <w:pPr>
        <w:spacing w:line="460" w:lineRule="exact"/>
        <w:ind w:firstLine="4400" w:firstLineChars="2000"/>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sectPr>
          <w:footerReference r:id="rId5" w:type="default"/>
          <w:pgSz w:w="11906" w:h="16838"/>
          <w:pgMar w:top="1134" w:right="1134" w:bottom="1134" w:left="1134" w:header="850" w:footer="992" w:gutter="0"/>
          <w:cols w:space="720" w:num="1"/>
          <w:docGrid w:type="lines" w:linePitch="321" w:charSpace="0"/>
        </w:sectPr>
      </w:pPr>
      <w:r>
        <w:rPr>
          <w:rFonts w:hint="eastAsia" w:ascii="新宋体" w:hAnsi="新宋体" w:eastAsia="新宋体" w:cs="新宋体"/>
          <w:color w:val="auto"/>
          <w:sz w:val="22"/>
          <w:szCs w:val="22"/>
          <w:highlight w:val="none"/>
        </w:rPr>
        <w:br w:type="page"/>
      </w:r>
    </w:p>
    <w:p>
      <w:pPr>
        <w:pStyle w:val="28"/>
        <w:spacing w:line="460" w:lineRule="exact"/>
        <w:ind w:left="843" w:hanging="843" w:hangingChars="300"/>
        <w:jc w:val="center"/>
        <w:outlineLvl w:val="3"/>
        <w:rPr>
          <w:rFonts w:hint="eastAsia" w:ascii="新宋体" w:hAnsi="新宋体" w:eastAsia="新宋体" w:cs="新宋体"/>
          <w:bCs/>
          <w:color w:val="auto"/>
          <w:kern w:val="2"/>
          <w:sz w:val="28"/>
          <w:szCs w:val="28"/>
          <w:highlight w:val="none"/>
        </w:rPr>
      </w:pPr>
      <w:r>
        <w:rPr>
          <w:rFonts w:hint="eastAsia" w:ascii="新宋体" w:hAnsi="新宋体" w:eastAsia="新宋体" w:cs="新宋体"/>
          <w:bCs/>
          <w:color w:val="auto"/>
          <w:kern w:val="2"/>
          <w:sz w:val="28"/>
          <w:szCs w:val="28"/>
          <w:highlight w:val="none"/>
        </w:rPr>
        <w:t>4、</w:t>
      </w:r>
      <w:r>
        <w:rPr>
          <w:rFonts w:hint="eastAsia" w:ascii="新宋体" w:hAnsi="新宋体" w:eastAsia="新宋体" w:cs="新宋体"/>
          <w:bCs/>
          <w:color w:val="auto"/>
          <w:kern w:val="2"/>
          <w:sz w:val="28"/>
          <w:szCs w:val="28"/>
          <w:highlight w:val="none"/>
          <w:lang w:val="zh-CN"/>
        </w:rPr>
        <w:t>偏离表（</w:t>
      </w:r>
      <w:r>
        <w:rPr>
          <w:rFonts w:hint="eastAsia" w:ascii="新宋体" w:hAnsi="新宋体" w:eastAsia="新宋体" w:cs="新宋体"/>
          <w:bCs/>
          <w:color w:val="auto"/>
          <w:kern w:val="2"/>
          <w:sz w:val="28"/>
          <w:szCs w:val="28"/>
          <w:highlight w:val="none"/>
        </w:rPr>
        <w:t>商务、技术偏离</w:t>
      </w:r>
      <w:r>
        <w:rPr>
          <w:rFonts w:hint="eastAsia" w:ascii="新宋体" w:hAnsi="新宋体" w:eastAsia="新宋体" w:cs="新宋体"/>
          <w:bCs/>
          <w:color w:val="auto"/>
          <w:kern w:val="2"/>
          <w:sz w:val="28"/>
          <w:szCs w:val="28"/>
          <w:highlight w:val="none"/>
          <w:lang w:val="zh-CN"/>
        </w:rPr>
        <w:t>）</w:t>
      </w:r>
    </w:p>
    <w:p>
      <w:pPr>
        <w:spacing w:line="560" w:lineRule="exact"/>
        <w:ind w:firstLine="433" w:firstLineChars="196"/>
        <w:rPr>
          <w:rFonts w:hint="eastAsia" w:ascii="新宋体" w:hAnsi="新宋体" w:eastAsia="新宋体" w:cs="新宋体"/>
          <w:b/>
          <w:bCs/>
          <w:color w:val="auto"/>
          <w:sz w:val="22"/>
          <w:szCs w:val="22"/>
          <w:highlight w:val="none"/>
        </w:rPr>
      </w:pPr>
      <w:r>
        <w:rPr>
          <w:rFonts w:hint="eastAsia" w:ascii="新宋体" w:hAnsi="新宋体" w:eastAsia="新宋体" w:cs="新宋体"/>
          <w:b/>
          <w:color w:val="auto"/>
          <w:sz w:val="22"/>
          <w:szCs w:val="22"/>
          <w:highlight w:val="none"/>
        </w:rPr>
        <w:t>项目名称：                                          项目编号：</w:t>
      </w:r>
    </w:p>
    <w:tbl>
      <w:tblPr>
        <w:tblStyle w:val="52"/>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544"/>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134" w:type="dxa"/>
            <w:shd w:val="clear" w:color="auto" w:fill="FFFFFF"/>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  号</w:t>
            </w:r>
          </w:p>
        </w:tc>
        <w:tc>
          <w:tcPr>
            <w:tcW w:w="3544" w:type="dxa"/>
            <w:shd w:val="clear" w:color="auto" w:fill="FFFFFF"/>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招标文件</w:t>
            </w:r>
          </w:p>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规格要求</w:t>
            </w:r>
          </w:p>
        </w:tc>
        <w:tc>
          <w:tcPr>
            <w:tcW w:w="3402" w:type="dxa"/>
            <w:shd w:val="clear" w:color="auto" w:fill="FFFFFF"/>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投标文件</w:t>
            </w:r>
          </w:p>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对应规格</w:t>
            </w:r>
          </w:p>
        </w:tc>
        <w:tc>
          <w:tcPr>
            <w:tcW w:w="1843" w:type="dxa"/>
            <w:shd w:val="clear" w:color="auto" w:fill="FFFFFF"/>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134" w:type="dxa"/>
            <w:vAlign w:val="center"/>
          </w:tcPr>
          <w:p>
            <w:pPr>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p>
        </w:tc>
        <w:tc>
          <w:tcPr>
            <w:tcW w:w="3544" w:type="dxa"/>
            <w:vAlign w:val="center"/>
          </w:tcPr>
          <w:p>
            <w:pPr>
              <w:jc w:val="center"/>
              <w:rPr>
                <w:rFonts w:hint="eastAsia" w:ascii="新宋体" w:hAnsi="新宋体" w:eastAsia="新宋体" w:cs="新宋体"/>
                <w:color w:val="auto"/>
                <w:sz w:val="22"/>
                <w:szCs w:val="22"/>
                <w:highlight w:val="none"/>
              </w:rPr>
            </w:pPr>
          </w:p>
        </w:tc>
        <w:tc>
          <w:tcPr>
            <w:tcW w:w="3402" w:type="dxa"/>
            <w:vAlign w:val="center"/>
          </w:tcPr>
          <w:p>
            <w:pPr>
              <w:jc w:val="center"/>
              <w:rPr>
                <w:rFonts w:hint="eastAsia" w:ascii="新宋体" w:hAnsi="新宋体" w:eastAsia="新宋体" w:cs="新宋体"/>
                <w:color w:val="auto"/>
                <w:sz w:val="22"/>
                <w:szCs w:val="22"/>
                <w:highlight w:val="none"/>
              </w:rPr>
            </w:pPr>
          </w:p>
        </w:tc>
        <w:tc>
          <w:tcPr>
            <w:tcW w:w="184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s="新宋体"/>
                <w:color w:val="auto"/>
                <w:sz w:val="22"/>
                <w:szCs w:val="22"/>
                <w:highlight w:val="none"/>
              </w:rPr>
            </w:pPr>
          </w:p>
        </w:tc>
        <w:tc>
          <w:tcPr>
            <w:tcW w:w="3544" w:type="dxa"/>
            <w:vAlign w:val="center"/>
          </w:tcPr>
          <w:p>
            <w:pPr>
              <w:jc w:val="center"/>
              <w:rPr>
                <w:rFonts w:hint="eastAsia" w:ascii="新宋体" w:hAnsi="新宋体" w:eastAsia="新宋体" w:cs="新宋体"/>
                <w:color w:val="auto"/>
                <w:sz w:val="22"/>
                <w:szCs w:val="22"/>
                <w:highlight w:val="none"/>
              </w:rPr>
            </w:pPr>
          </w:p>
        </w:tc>
        <w:tc>
          <w:tcPr>
            <w:tcW w:w="3402" w:type="dxa"/>
            <w:vAlign w:val="center"/>
          </w:tcPr>
          <w:p>
            <w:pPr>
              <w:jc w:val="center"/>
              <w:rPr>
                <w:rFonts w:hint="eastAsia" w:ascii="新宋体" w:hAnsi="新宋体" w:eastAsia="新宋体" w:cs="新宋体"/>
                <w:color w:val="auto"/>
                <w:sz w:val="22"/>
                <w:szCs w:val="22"/>
                <w:highlight w:val="none"/>
              </w:rPr>
            </w:pPr>
          </w:p>
        </w:tc>
        <w:tc>
          <w:tcPr>
            <w:tcW w:w="184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s="新宋体"/>
                <w:color w:val="auto"/>
                <w:sz w:val="22"/>
                <w:szCs w:val="22"/>
                <w:highlight w:val="none"/>
              </w:rPr>
            </w:pPr>
          </w:p>
        </w:tc>
        <w:tc>
          <w:tcPr>
            <w:tcW w:w="3544" w:type="dxa"/>
            <w:vAlign w:val="center"/>
          </w:tcPr>
          <w:p>
            <w:pPr>
              <w:jc w:val="center"/>
              <w:rPr>
                <w:rFonts w:hint="eastAsia" w:ascii="新宋体" w:hAnsi="新宋体" w:eastAsia="新宋体" w:cs="新宋体"/>
                <w:color w:val="auto"/>
                <w:sz w:val="22"/>
                <w:szCs w:val="22"/>
                <w:highlight w:val="none"/>
              </w:rPr>
            </w:pPr>
          </w:p>
        </w:tc>
        <w:tc>
          <w:tcPr>
            <w:tcW w:w="3402" w:type="dxa"/>
            <w:vAlign w:val="center"/>
          </w:tcPr>
          <w:p>
            <w:pPr>
              <w:jc w:val="center"/>
              <w:rPr>
                <w:rFonts w:hint="eastAsia" w:ascii="新宋体" w:hAnsi="新宋体" w:eastAsia="新宋体" w:cs="新宋体"/>
                <w:color w:val="auto"/>
                <w:sz w:val="22"/>
                <w:szCs w:val="22"/>
                <w:highlight w:val="none"/>
              </w:rPr>
            </w:pPr>
          </w:p>
        </w:tc>
        <w:tc>
          <w:tcPr>
            <w:tcW w:w="184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s="新宋体"/>
                <w:color w:val="auto"/>
                <w:sz w:val="22"/>
                <w:szCs w:val="22"/>
                <w:highlight w:val="none"/>
              </w:rPr>
            </w:pPr>
          </w:p>
        </w:tc>
        <w:tc>
          <w:tcPr>
            <w:tcW w:w="3544" w:type="dxa"/>
            <w:vAlign w:val="center"/>
          </w:tcPr>
          <w:p>
            <w:pPr>
              <w:jc w:val="center"/>
              <w:rPr>
                <w:rFonts w:hint="eastAsia" w:ascii="新宋体" w:hAnsi="新宋体" w:eastAsia="新宋体" w:cs="新宋体"/>
                <w:color w:val="auto"/>
                <w:sz w:val="22"/>
                <w:szCs w:val="22"/>
                <w:highlight w:val="none"/>
              </w:rPr>
            </w:pPr>
          </w:p>
        </w:tc>
        <w:tc>
          <w:tcPr>
            <w:tcW w:w="3402" w:type="dxa"/>
            <w:vAlign w:val="center"/>
          </w:tcPr>
          <w:p>
            <w:pPr>
              <w:jc w:val="center"/>
              <w:rPr>
                <w:rFonts w:hint="eastAsia" w:ascii="新宋体" w:hAnsi="新宋体" w:eastAsia="新宋体" w:cs="新宋体"/>
                <w:color w:val="auto"/>
                <w:sz w:val="22"/>
                <w:szCs w:val="22"/>
                <w:highlight w:val="none"/>
              </w:rPr>
            </w:pPr>
          </w:p>
        </w:tc>
        <w:tc>
          <w:tcPr>
            <w:tcW w:w="184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s="新宋体"/>
                <w:color w:val="auto"/>
                <w:sz w:val="22"/>
                <w:szCs w:val="22"/>
                <w:highlight w:val="none"/>
              </w:rPr>
            </w:pPr>
          </w:p>
        </w:tc>
        <w:tc>
          <w:tcPr>
            <w:tcW w:w="3544" w:type="dxa"/>
            <w:vAlign w:val="center"/>
          </w:tcPr>
          <w:p>
            <w:pPr>
              <w:jc w:val="center"/>
              <w:rPr>
                <w:rFonts w:hint="eastAsia" w:ascii="新宋体" w:hAnsi="新宋体" w:eastAsia="新宋体" w:cs="新宋体"/>
                <w:color w:val="auto"/>
                <w:sz w:val="22"/>
                <w:szCs w:val="22"/>
                <w:highlight w:val="none"/>
              </w:rPr>
            </w:pPr>
          </w:p>
        </w:tc>
        <w:tc>
          <w:tcPr>
            <w:tcW w:w="3402" w:type="dxa"/>
            <w:vAlign w:val="center"/>
          </w:tcPr>
          <w:p>
            <w:pPr>
              <w:jc w:val="center"/>
              <w:rPr>
                <w:rFonts w:hint="eastAsia" w:ascii="新宋体" w:hAnsi="新宋体" w:eastAsia="新宋体" w:cs="新宋体"/>
                <w:color w:val="auto"/>
                <w:sz w:val="22"/>
                <w:szCs w:val="22"/>
                <w:highlight w:val="none"/>
              </w:rPr>
            </w:pPr>
          </w:p>
        </w:tc>
        <w:tc>
          <w:tcPr>
            <w:tcW w:w="184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p>
        </w:tc>
        <w:tc>
          <w:tcPr>
            <w:tcW w:w="3544" w:type="dxa"/>
            <w:vAlign w:val="center"/>
          </w:tcPr>
          <w:p>
            <w:pPr>
              <w:jc w:val="center"/>
              <w:rPr>
                <w:rFonts w:hint="eastAsia" w:ascii="新宋体" w:hAnsi="新宋体" w:eastAsia="新宋体" w:cs="新宋体"/>
                <w:color w:val="auto"/>
                <w:sz w:val="22"/>
                <w:szCs w:val="22"/>
                <w:highlight w:val="none"/>
              </w:rPr>
            </w:pPr>
          </w:p>
        </w:tc>
        <w:tc>
          <w:tcPr>
            <w:tcW w:w="3402" w:type="dxa"/>
            <w:vAlign w:val="center"/>
          </w:tcPr>
          <w:p>
            <w:pPr>
              <w:jc w:val="center"/>
              <w:rPr>
                <w:rFonts w:hint="eastAsia" w:ascii="新宋体" w:hAnsi="新宋体" w:eastAsia="新宋体" w:cs="新宋体"/>
                <w:color w:val="auto"/>
                <w:sz w:val="22"/>
                <w:szCs w:val="22"/>
                <w:highlight w:val="none"/>
              </w:rPr>
            </w:pPr>
          </w:p>
        </w:tc>
        <w:tc>
          <w:tcPr>
            <w:tcW w:w="184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s="新宋体"/>
                <w:color w:val="auto"/>
                <w:sz w:val="22"/>
                <w:szCs w:val="22"/>
                <w:highlight w:val="none"/>
              </w:rPr>
            </w:pPr>
          </w:p>
        </w:tc>
        <w:tc>
          <w:tcPr>
            <w:tcW w:w="3544" w:type="dxa"/>
            <w:vAlign w:val="center"/>
          </w:tcPr>
          <w:p>
            <w:pPr>
              <w:jc w:val="center"/>
              <w:rPr>
                <w:rFonts w:hint="eastAsia" w:ascii="新宋体" w:hAnsi="新宋体" w:eastAsia="新宋体" w:cs="新宋体"/>
                <w:color w:val="auto"/>
                <w:sz w:val="22"/>
                <w:szCs w:val="22"/>
                <w:highlight w:val="none"/>
              </w:rPr>
            </w:pPr>
          </w:p>
        </w:tc>
        <w:tc>
          <w:tcPr>
            <w:tcW w:w="3402" w:type="dxa"/>
            <w:vAlign w:val="center"/>
          </w:tcPr>
          <w:p>
            <w:pPr>
              <w:jc w:val="center"/>
              <w:rPr>
                <w:rFonts w:hint="eastAsia" w:ascii="新宋体" w:hAnsi="新宋体" w:eastAsia="新宋体" w:cs="新宋体"/>
                <w:color w:val="auto"/>
                <w:sz w:val="22"/>
                <w:szCs w:val="22"/>
                <w:highlight w:val="none"/>
              </w:rPr>
            </w:pPr>
          </w:p>
        </w:tc>
        <w:tc>
          <w:tcPr>
            <w:tcW w:w="184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s="新宋体"/>
                <w:color w:val="auto"/>
                <w:sz w:val="22"/>
                <w:szCs w:val="22"/>
                <w:highlight w:val="none"/>
              </w:rPr>
            </w:pPr>
          </w:p>
        </w:tc>
        <w:tc>
          <w:tcPr>
            <w:tcW w:w="3544" w:type="dxa"/>
            <w:vAlign w:val="center"/>
          </w:tcPr>
          <w:p>
            <w:pPr>
              <w:jc w:val="center"/>
              <w:rPr>
                <w:rFonts w:hint="eastAsia" w:ascii="新宋体" w:hAnsi="新宋体" w:eastAsia="新宋体" w:cs="新宋体"/>
                <w:color w:val="auto"/>
                <w:sz w:val="22"/>
                <w:szCs w:val="22"/>
                <w:highlight w:val="none"/>
              </w:rPr>
            </w:pPr>
          </w:p>
        </w:tc>
        <w:tc>
          <w:tcPr>
            <w:tcW w:w="3402" w:type="dxa"/>
            <w:vAlign w:val="center"/>
          </w:tcPr>
          <w:p>
            <w:pPr>
              <w:jc w:val="center"/>
              <w:rPr>
                <w:rFonts w:hint="eastAsia" w:ascii="新宋体" w:hAnsi="新宋体" w:eastAsia="新宋体" w:cs="新宋体"/>
                <w:color w:val="auto"/>
                <w:sz w:val="22"/>
                <w:szCs w:val="22"/>
                <w:highlight w:val="none"/>
              </w:rPr>
            </w:pPr>
          </w:p>
        </w:tc>
        <w:tc>
          <w:tcPr>
            <w:tcW w:w="184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s="新宋体"/>
                <w:color w:val="auto"/>
                <w:sz w:val="22"/>
                <w:szCs w:val="22"/>
                <w:highlight w:val="none"/>
              </w:rPr>
            </w:pPr>
          </w:p>
        </w:tc>
        <w:tc>
          <w:tcPr>
            <w:tcW w:w="3544" w:type="dxa"/>
            <w:vAlign w:val="center"/>
          </w:tcPr>
          <w:p>
            <w:pPr>
              <w:jc w:val="center"/>
              <w:rPr>
                <w:rFonts w:hint="eastAsia" w:ascii="新宋体" w:hAnsi="新宋体" w:eastAsia="新宋体" w:cs="新宋体"/>
                <w:color w:val="auto"/>
                <w:sz w:val="22"/>
                <w:szCs w:val="22"/>
                <w:highlight w:val="none"/>
              </w:rPr>
            </w:pPr>
          </w:p>
        </w:tc>
        <w:tc>
          <w:tcPr>
            <w:tcW w:w="3402" w:type="dxa"/>
            <w:vAlign w:val="center"/>
          </w:tcPr>
          <w:p>
            <w:pPr>
              <w:jc w:val="center"/>
              <w:rPr>
                <w:rFonts w:hint="eastAsia" w:ascii="新宋体" w:hAnsi="新宋体" w:eastAsia="新宋体" w:cs="新宋体"/>
                <w:color w:val="auto"/>
                <w:sz w:val="22"/>
                <w:szCs w:val="22"/>
                <w:highlight w:val="none"/>
              </w:rPr>
            </w:pPr>
          </w:p>
        </w:tc>
        <w:tc>
          <w:tcPr>
            <w:tcW w:w="184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s="新宋体"/>
                <w:color w:val="auto"/>
                <w:sz w:val="22"/>
                <w:szCs w:val="22"/>
                <w:highlight w:val="none"/>
              </w:rPr>
            </w:pPr>
          </w:p>
        </w:tc>
        <w:tc>
          <w:tcPr>
            <w:tcW w:w="3544" w:type="dxa"/>
            <w:vAlign w:val="center"/>
          </w:tcPr>
          <w:p>
            <w:pPr>
              <w:jc w:val="center"/>
              <w:rPr>
                <w:rFonts w:hint="eastAsia" w:ascii="新宋体" w:hAnsi="新宋体" w:eastAsia="新宋体" w:cs="新宋体"/>
                <w:color w:val="auto"/>
                <w:sz w:val="22"/>
                <w:szCs w:val="22"/>
                <w:highlight w:val="none"/>
              </w:rPr>
            </w:pPr>
          </w:p>
        </w:tc>
        <w:tc>
          <w:tcPr>
            <w:tcW w:w="3402" w:type="dxa"/>
            <w:vAlign w:val="center"/>
          </w:tcPr>
          <w:p>
            <w:pPr>
              <w:jc w:val="center"/>
              <w:rPr>
                <w:rFonts w:hint="eastAsia" w:ascii="新宋体" w:hAnsi="新宋体" w:eastAsia="新宋体" w:cs="新宋体"/>
                <w:color w:val="auto"/>
                <w:sz w:val="22"/>
                <w:szCs w:val="22"/>
                <w:highlight w:val="none"/>
              </w:rPr>
            </w:pPr>
          </w:p>
        </w:tc>
        <w:tc>
          <w:tcPr>
            <w:tcW w:w="184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s="新宋体"/>
                <w:color w:val="auto"/>
                <w:sz w:val="22"/>
                <w:szCs w:val="22"/>
                <w:highlight w:val="none"/>
              </w:rPr>
            </w:pPr>
          </w:p>
        </w:tc>
        <w:tc>
          <w:tcPr>
            <w:tcW w:w="3544" w:type="dxa"/>
            <w:vAlign w:val="center"/>
          </w:tcPr>
          <w:p>
            <w:pPr>
              <w:jc w:val="center"/>
              <w:rPr>
                <w:rFonts w:hint="eastAsia" w:ascii="新宋体" w:hAnsi="新宋体" w:eastAsia="新宋体" w:cs="新宋体"/>
                <w:color w:val="auto"/>
                <w:sz w:val="22"/>
                <w:szCs w:val="22"/>
                <w:highlight w:val="none"/>
              </w:rPr>
            </w:pPr>
          </w:p>
        </w:tc>
        <w:tc>
          <w:tcPr>
            <w:tcW w:w="3402" w:type="dxa"/>
            <w:vAlign w:val="center"/>
          </w:tcPr>
          <w:p>
            <w:pPr>
              <w:jc w:val="center"/>
              <w:rPr>
                <w:rFonts w:hint="eastAsia" w:ascii="新宋体" w:hAnsi="新宋体" w:eastAsia="新宋体" w:cs="新宋体"/>
                <w:color w:val="auto"/>
                <w:sz w:val="22"/>
                <w:szCs w:val="22"/>
                <w:highlight w:val="none"/>
              </w:rPr>
            </w:pPr>
          </w:p>
        </w:tc>
        <w:tc>
          <w:tcPr>
            <w:tcW w:w="1843" w:type="dxa"/>
            <w:vAlign w:val="center"/>
          </w:tcPr>
          <w:p>
            <w:pPr>
              <w:jc w:val="center"/>
              <w:rPr>
                <w:rFonts w:hint="eastAsia" w:ascii="新宋体" w:hAnsi="新宋体" w:eastAsia="新宋体" w:cs="新宋体"/>
                <w:color w:val="auto"/>
                <w:sz w:val="22"/>
                <w:szCs w:val="22"/>
                <w:highlight w:val="none"/>
              </w:rPr>
            </w:pPr>
          </w:p>
        </w:tc>
      </w:tr>
    </w:tbl>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r>
        <w:rPr>
          <w:rFonts w:hint="eastAsia" w:ascii="新宋体" w:hAnsi="新宋体" w:eastAsia="新宋体" w:cs="新宋体"/>
          <w:b/>
          <w:bCs/>
          <w:color w:val="auto"/>
          <w:sz w:val="22"/>
          <w:szCs w:val="22"/>
          <w:highlight w:val="none"/>
        </w:rPr>
        <w:t>注： 如有偏离，必须在偏离表中进行详细对比说明并注明正偏离和负偏离，如不说明偏离情况，视为完全响应采购文件要求无偏离</w:t>
      </w:r>
    </w:p>
    <w:p>
      <w:pPr>
        <w:spacing w:line="46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46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w:t>
      </w:r>
    </w:p>
    <w:p>
      <w:pPr>
        <w:rPr>
          <w:rFonts w:hint="eastAsia" w:ascii="新宋体" w:hAnsi="新宋体" w:eastAsia="新宋体" w:cs="新宋体"/>
          <w:b/>
          <w:bCs/>
          <w:color w:val="auto"/>
          <w:sz w:val="28"/>
          <w:szCs w:val="28"/>
          <w:highlight w:val="none"/>
        </w:rPr>
      </w:pPr>
      <w:bookmarkStart w:id="44" w:name="_Toc415152386"/>
    </w:p>
    <w:p>
      <w:pPr>
        <w:pStyle w:val="28"/>
        <w:spacing w:line="460" w:lineRule="exact"/>
        <w:ind w:left="843" w:hanging="843" w:hangingChars="300"/>
        <w:jc w:val="center"/>
        <w:outlineLvl w:val="3"/>
        <w:rPr>
          <w:rFonts w:hint="eastAsia" w:ascii="新宋体" w:hAnsi="新宋体" w:eastAsia="新宋体" w:cs="新宋体"/>
          <w:bCs/>
          <w:color w:val="auto"/>
          <w:kern w:val="2"/>
          <w:sz w:val="28"/>
          <w:szCs w:val="28"/>
          <w:highlight w:val="none"/>
        </w:rPr>
      </w:pPr>
      <w:r>
        <w:rPr>
          <w:rFonts w:hint="eastAsia" w:ascii="新宋体" w:hAnsi="新宋体" w:eastAsia="新宋体" w:cs="新宋体"/>
          <w:bCs/>
          <w:color w:val="auto"/>
          <w:kern w:val="2"/>
          <w:sz w:val="28"/>
          <w:szCs w:val="28"/>
          <w:highlight w:val="none"/>
        </w:rPr>
        <w:t>5、投标人情况</w:t>
      </w:r>
    </w:p>
    <w:p>
      <w:pPr>
        <w:spacing w:line="4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color w:val="auto"/>
          <w:sz w:val="22"/>
          <w:szCs w:val="22"/>
          <w:highlight w:val="none"/>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hint="eastAsia" w:ascii="新宋体" w:hAnsi="新宋体" w:eastAsia="新宋体" w:cs="新宋体"/>
                <w:color w:val="auto"/>
                <w:sz w:val="22"/>
                <w:szCs w:val="22"/>
                <w:highlight w:val="none"/>
              </w:rPr>
            </w:pPr>
          </w:p>
        </w:tc>
      </w:tr>
    </w:tbl>
    <w:p>
      <w:pPr>
        <w:pStyle w:val="28"/>
        <w:spacing w:line="400" w:lineRule="atLeast"/>
        <w:rPr>
          <w:rFonts w:hint="eastAsia" w:ascii="新宋体" w:hAnsi="新宋体" w:eastAsia="新宋体" w:cs="新宋体"/>
          <w:color w:val="auto"/>
          <w:sz w:val="22"/>
          <w:szCs w:val="22"/>
          <w:highlight w:val="none"/>
        </w:rPr>
      </w:pP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w:t>
      </w:r>
    </w:p>
    <w:p>
      <w:pPr>
        <w:pStyle w:val="28"/>
        <w:spacing w:line="460" w:lineRule="exact"/>
        <w:ind w:left="843" w:hanging="663" w:hangingChars="300"/>
        <w:jc w:val="center"/>
        <w:outlineLvl w:val="9"/>
        <w:rPr>
          <w:rFonts w:hint="eastAsia" w:ascii="新宋体" w:hAnsi="新宋体" w:eastAsia="新宋体" w:cs="新宋体"/>
          <w:color w:val="auto"/>
          <w:sz w:val="22"/>
          <w:szCs w:val="22"/>
          <w:highlight w:val="none"/>
        </w:rPr>
      </w:pPr>
    </w:p>
    <w:p>
      <w:pPr>
        <w:rPr>
          <w:rFonts w:hint="eastAsia" w:ascii="新宋体" w:hAnsi="新宋体" w:eastAsia="新宋体" w:cs="新宋体"/>
          <w:bCs/>
          <w:color w:val="auto"/>
          <w:kern w:val="2"/>
          <w:sz w:val="28"/>
          <w:szCs w:val="28"/>
          <w:highlight w:val="none"/>
        </w:rPr>
      </w:pPr>
      <w:r>
        <w:rPr>
          <w:rFonts w:hint="eastAsia" w:ascii="新宋体" w:hAnsi="新宋体" w:eastAsia="新宋体" w:cs="新宋体"/>
          <w:bCs/>
          <w:color w:val="auto"/>
          <w:kern w:val="2"/>
          <w:sz w:val="28"/>
          <w:szCs w:val="28"/>
          <w:highlight w:val="none"/>
        </w:rPr>
        <w:br w:type="page"/>
      </w:r>
    </w:p>
    <w:p>
      <w:pPr>
        <w:pStyle w:val="28"/>
        <w:spacing w:line="460" w:lineRule="exact"/>
        <w:ind w:left="843" w:hanging="843" w:hangingChars="300"/>
        <w:jc w:val="center"/>
        <w:outlineLvl w:val="3"/>
        <w:rPr>
          <w:rFonts w:hint="eastAsia" w:ascii="新宋体" w:hAnsi="新宋体" w:eastAsia="新宋体" w:cs="新宋体"/>
          <w:bCs/>
          <w:color w:val="auto"/>
          <w:kern w:val="2"/>
          <w:sz w:val="28"/>
          <w:szCs w:val="28"/>
          <w:highlight w:val="none"/>
        </w:rPr>
      </w:pPr>
      <w:r>
        <w:rPr>
          <w:rFonts w:hint="eastAsia" w:ascii="新宋体" w:hAnsi="新宋体" w:eastAsia="新宋体" w:cs="新宋体"/>
          <w:bCs/>
          <w:color w:val="auto"/>
          <w:kern w:val="2"/>
          <w:sz w:val="28"/>
          <w:szCs w:val="28"/>
          <w:highlight w:val="none"/>
          <w:lang w:val="en-US" w:eastAsia="zh-CN"/>
        </w:rPr>
        <w:t>6</w:t>
      </w:r>
      <w:r>
        <w:rPr>
          <w:rFonts w:hint="eastAsia" w:ascii="新宋体" w:hAnsi="新宋体" w:eastAsia="新宋体" w:cs="新宋体"/>
          <w:bCs/>
          <w:color w:val="auto"/>
          <w:kern w:val="2"/>
          <w:sz w:val="28"/>
          <w:szCs w:val="28"/>
          <w:highlight w:val="none"/>
        </w:rPr>
        <w:t>、履行能力</w:t>
      </w:r>
    </w:p>
    <w:p>
      <w:pPr>
        <w:spacing w:line="4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color w:val="auto"/>
          <w:sz w:val="22"/>
          <w:szCs w:val="22"/>
          <w:highlight w:val="none"/>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hint="eastAsia" w:ascii="新宋体" w:hAnsi="新宋体" w:eastAsia="新宋体" w:cs="新宋体"/>
                <w:color w:val="auto"/>
                <w:sz w:val="22"/>
                <w:szCs w:val="22"/>
                <w:highlight w:val="none"/>
              </w:rPr>
            </w:pPr>
          </w:p>
        </w:tc>
      </w:tr>
    </w:tbl>
    <w:p>
      <w:pPr>
        <w:pStyle w:val="28"/>
        <w:spacing w:line="400" w:lineRule="atLeast"/>
        <w:rPr>
          <w:rFonts w:hint="eastAsia" w:ascii="新宋体" w:hAnsi="新宋体" w:eastAsia="新宋体" w:cs="新宋体"/>
          <w:color w:val="auto"/>
          <w:sz w:val="22"/>
          <w:szCs w:val="22"/>
          <w:highlight w:val="none"/>
        </w:rPr>
      </w:pP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p>
    <w:bookmarkEnd w:id="44"/>
    <w:p>
      <w:pPr>
        <w:pStyle w:val="28"/>
        <w:spacing w:line="460" w:lineRule="exact"/>
        <w:ind w:left="-630" w:leftChars="-300"/>
        <w:jc w:val="center"/>
        <w:outlineLvl w:val="3"/>
        <w:rPr>
          <w:rFonts w:hint="eastAsia" w:ascii="新宋体" w:hAnsi="新宋体" w:eastAsia="新宋体" w:cs="新宋体"/>
          <w:bCs/>
          <w:color w:val="auto"/>
          <w:kern w:val="2"/>
          <w:sz w:val="28"/>
          <w:szCs w:val="28"/>
          <w:highlight w:val="none"/>
        </w:rPr>
      </w:pPr>
      <w:r>
        <w:rPr>
          <w:rFonts w:hint="eastAsia" w:ascii="新宋体" w:hAnsi="新宋体" w:eastAsia="新宋体" w:cs="新宋体"/>
          <w:bCs/>
          <w:color w:val="auto"/>
          <w:kern w:val="2"/>
          <w:sz w:val="28"/>
          <w:szCs w:val="28"/>
          <w:highlight w:val="none"/>
        </w:rPr>
        <w:t>7、疗休养策划方案</w:t>
      </w:r>
    </w:p>
    <w:p>
      <w:pPr>
        <w:pStyle w:val="28"/>
        <w:spacing w:line="460" w:lineRule="exact"/>
        <w:ind w:left="-630" w:leftChars="-300"/>
        <w:jc w:val="center"/>
        <w:outlineLvl w:val="4"/>
        <w:rPr>
          <w:rFonts w:hint="eastAsia" w:ascii="新宋体" w:hAnsi="新宋体" w:eastAsia="新宋体" w:cs="新宋体"/>
          <w:bCs/>
          <w:color w:val="auto"/>
          <w:kern w:val="2"/>
          <w:sz w:val="28"/>
          <w:szCs w:val="28"/>
          <w:highlight w:val="none"/>
        </w:rPr>
      </w:pPr>
      <w:r>
        <w:rPr>
          <w:rFonts w:hint="eastAsia" w:ascii="新宋体" w:hAnsi="新宋体" w:eastAsia="新宋体" w:cs="新宋体"/>
          <w:bCs/>
          <w:color w:val="auto"/>
          <w:kern w:val="2"/>
          <w:sz w:val="28"/>
          <w:szCs w:val="28"/>
          <w:highlight w:val="none"/>
        </w:rPr>
        <w:t>（1）路线安排（包括景点安排）方案</w:t>
      </w:r>
    </w:p>
    <w:p>
      <w:pPr>
        <w:ind w:firstLine="221" w:firstLineChars="10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0" w:hRule="atLeast"/>
          <w:jc w:val="center"/>
        </w:trPr>
        <w:tc>
          <w:tcPr>
            <w:tcW w:w="9242" w:type="dxa"/>
            <w:vAlign w:val="center"/>
          </w:tcPr>
          <w:p>
            <w:pPr>
              <w:spacing w:line="500" w:lineRule="exact"/>
              <w:jc w:val="center"/>
              <w:rPr>
                <w:rFonts w:hint="eastAsia" w:ascii="新宋体" w:hAnsi="新宋体" w:eastAsia="新宋体" w:cs="新宋体"/>
                <w:b/>
                <w:color w:val="auto"/>
                <w:sz w:val="22"/>
                <w:szCs w:val="22"/>
                <w:highlight w:val="none"/>
              </w:rPr>
            </w:pPr>
          </w:p>
        </w:tc>
      </w:tr>
    </w:tbl>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460" w:lineRule="exact"/>
        <w:ind w:firstLine="5060" w:firstLineChars="2300"/>
        <w:rPr>
          <w:rFonts w:hint="eastAsia" w:ascii="新宋体" w:hAnsi="新宋体" w:eastAsia="新宋体" w:cs="新宋体"/>
          <w:bCs/>
          <w:color w:val="auto"/>
          <w:sz w:val="28"/>
          <w:szCs w:val="28"/>
          <w:highlight w:val="none"/>
        </w:rPr>
      </w:pPr>
      <w:r>
        <w:rPr>
          <w:rFonts w:hint="eastAsia" w:ascii="新宋体" w:hAnsi="新宋体" w:eastAsia="新宋体" w:cs="新宋体"/>
          <w:color w:val="auto"/>
          <w:sz w:val="22"/>
          <w:szCs w:val="22"/>
          <w:highlight w:val="none"/>
        </w:rPr>
        <w:t>日   期：</w:t>
      </w:r>
    </w:p>
    <w:p>
      <w:pPr>
        <w:rPr>
          <w:rFonts w:hint="eastAsia" w:ascii="新宋体" w:hAnsi="新宋体" w:eastAsia="新宋体" w:cs="新宋体"/>
          <w:bCs/>
          <w:color w:val="auto"/>
          <w:sz w:val="28"/>
          <w:szCs w:val="28"/>
          <w:highlight w:val="none"/>
        </w:rPr>
      </w:pPr>
      <w:r>
        <w:rPr>
          <w:rFonts w:hint="eastAsia" w:ascii="新宋体" w:hAnsi="新宋体" w:eastAsia="新宋体" w:cs="新宋体"/>
          <w:bCs/>
          <w:color w:val="auto"/>
          <w:sz w:val="28"/>
          <w:szCs w:val="28"/>
          <w:highlight w:val="none"/>
        </w:rPr>
        <w:br w:type="page"/>
      </w:r>
    </w:p>
    <w:p>
      <w:pPr>
        <w:pStyle w:val="28"/>
        <w:spacing w:line="460" w:lineRule="exact"/>
        <w:ind w:left="843" w:hanging="843" w:hangingChars="300"/>
        <w:jc w:val="center"/>
        <w:outlineLvl w:val="4"/>
        <w:rPr>
          <w:rFonts w:hint="eastAsia" w:ascii="新宋体" w:hAnsi="新宋体" w:eastAsia="新宋体" w:cs="新宋体"/>
          <w:bCs/>
          <w:color w:val="auto"/>
          <w:kern w:val="2"/>
          <w:sz w:val="28"/>
          <w:szCs w:val="28"/>
          <w:highlight w:val="none"/>
        </w:rPr>
      </w:pPr>
      <w:r>
        <w:rPr>
          <w:rFonts w:hint="eastAsia" w:ascii="新宋体" w:hAnsi="新宋体" w:eastAsia="新宋体" w:cs="新宋体"/>
          <w:bCs/>
          <w:color w:val="auto"/>
          <w:kern w:val="2"/>
          <w:sz w:val="28"/>
          <w:szCs w:val="28"/>
          <w:highlight w:val="none"/>
        </w:rPr>
        <w:t>（2）酒店住宿安排方案</w:t>
      </w:r>
    </w:p>
    <w:p>
      <w:pPr>
        <w:ind w:firstLine="221" w:firstLineChars="10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0" w:hRule="atLeast"/>
          <w:jc w:val="center"/>
        </w:trPr>
        <w:tc>
          <w:tcPr>
            <w:tcW w:w="9242" w:type="dxa"/>
            <w:vAlign w:val="center"/>
          </w:tcPr>
          <w:p>
            <w:pPr>
              <w:spacing w:line="500" w:lineRule="exact"/>
              <w:jc w:val="center"/>
              <w:rPr>
                <w:rFonts w:hint="eastAsia" w:ascii="新宋体" w:hAnsi="新宋体" w:eastAsia="新宋体" w:cs="新宋体"/>
                <w:b/>
                <w:color w:val="auto"/>
                <w:sz w:val="22"/>
                <w:szCs w:val="22"/>
                <w:highlight w:val="none"/>
              </w:rPr>
            </w:pPr>
          </w:p>
        </w:tc>
      </w:tr>
    </w:tbl>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460" w:lineRule="exact"/>
        <w:ind w:firstLine="5060" w:firstLineChars="2300"/>
        <w:rPr>
          <w:rFonts w:hint="eastAsia" w:ascii="新宋体" w:hAnsi="新宋体" w:eastAsia="新宋体" w:cs="新宋体"/>
          <w:bCs/>
          <w:color w:val="auto"/>
          <w:sz w:val="28"/>
          <w:szCs w:val="28"/>
          <w:highlight w:val="none"/>
        </w:rPr>
      </w:pPr>
      <w:r>
        <w:rPr>
          <w:rFonts w:hint="eastAsia" w:ascii="新宋体" w:hAnsi="新宋体" w:eastAsia="新宋体" w:cs="新宋体"/>
          <w:color w:val="auto"/>
          <w:sz w:val="22"/>
          <w:szCs w:val="22"/>
          <w:highlight w:val="none"/>
        </w:rPr>
        <w:t>日   期：</w:t>
      </w:r>
    </w:p>
    <w:p>
      <w:pPr>
        <w:pStyle w:val="28"/>
        <w:spacing w:line="460" w:lineRule="exact"/>
        <w:ind w:left="843" w:hanging="843" w:hangingChars="300"/>
        <w:jc w:val="center"/>
        <w:rPr>
          <w:rFonts w:hint="eastAsia" w:ascii="新宋体" w:hAnsi="新宋体" w:eastAsia="新宋体" w:cs="新宋体"/>
          <w:bCs/>
          <w:color w:val="auto"/>
          <w:kern w:val="2"/>
          <w:sz w:val="28"/>
          <w:szCs w:val="28"/>
          <w:highlight w:val="none"/>
        </w:rPr>
      </w:pPr>
    </w:p>
    <w:p>
      <w:pPr>
        <w:rPr>
          <w:rFonts w:hint="eastAsia" w:ascii="新宋体" w:hAnsi="新宋体" w:eastAsia="新宋体" w:cs="新宋体"/>
          <w:bCs/>
          <w:color w:val="auto"/>
          <w:sz w:val="28"/>
          <w:szCs w:val="28"/>
          <w:highlight w:val="none"/>
        </w:rPr>
      </w:pPr>
      <w:r>
        <w:rPr>
          <w:rFonts w:hint="eastAsia" w:ascii="新宋体" w:hAnsi="新宋体" w:eastAsia="新宋体" w:cs="新宋体"/>
          <w:bCs/>
          <w:color w:val="auto"/>
          <w:sz w:val="28"/>
          <w:szCs w:val="28"/>
          <w:highlight w:val="none"/>
        </w:rPr>
        <w:br w:type="page"/>
      </w:r>
    </w:p>
    <w:p>
      <w:pPr>
        <w:pStyle w:val="28"/>
        <w:spacing w:line="460" w:lineRule="exact"/>
        <w:ind w:left="843" w:hanging="843" w:hangingChars="300"/>
        <w:jc w:val="center"/>
        <w:outlineLvl w:val="4"/>
        <w:rPr>
          <w:rFonts w:hint="eastAsia" w:ascii="新宋体" w:hAnsi="新宋体" w:eastAsia="新宋体" w:cs="新宋体"/>
          <w:bCs/>
          <w:color w:val="auto"/>
          <w:kern w:val="2"/>
          <w:sz w:val="28"/>
          <w:szCs w:val="28"/>
          <w:highlight w:val="none"/>
        </w:rPr>
      </w:pPr>
      <w:r>
        <w:rPr>
          <w:rFonts w:hint="eastAsia" w:ascii="新宋体" w:hAnsi="新宋体" w:eastAsia="新宋体" w:cs="新宋体"/>
          <w:bCs/>
          <w:color w:val="auto"/>
          <w:kern w:val="2"/>
          <w:sz w:val="28"/>
          <w:szCs w:val="28"/>
          <w:highlight w:val="none"/>
        </w:rPr>
        <w:t>（3）餐标、旅游车或其他交通工具安排方案</w:t>
      </w:r>
    </w:p>
    <w:p>
      <w:pPr>
        <w:ind w:firstLine="221" w:firstLineChars="10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0" w:hRule="atLeast"/>
          <w:jc w:val="center"/>
        </w:trPr>
        <w:tc>
          <w:tcPr>
            <w:tcW w:w="9242" w:type="dxa"/>
            <w:vAlign w:val="center"/>
          </w:tcPr>
          <w:p>
            <w:pPr>
              <w:spacing w:line="500" w:lineRule="exact"/>
              <w:jc w:val="center"/>
              <w:rPr>
                <w:rFonts w:hint="eastAsia" w:ascii="新宋体" w:hAnsi="新宋体" w:eastAsia="新宋体" w:cs="新宋体"/>
                <w:b/>
                <w:color w:val="auto"/>
                <w:sz w:val="22"/>
                <w:szCs w:val="22"/>
                <w:highlight w:val="none"/>
              </w:rPr>
            </w:pPr>
          </w:p>
        </w:tc>
      </w:tr>
    </w:tbl>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460" w:lineRule="exact"/>
        <w:ind w:firstLine="5060" w:firstLineChars="2300"/>
        <w:rPr>
          <w:rFonts w:hint="eastAsia" w:ascii="新宋体" w:hAnsi="新宋体" w:eastAsia="新宋体" w:cs="新宋体"/>
          <w:bCs/>
          <w:color w:val="auto"/>
          <w:sz w:val="28"/>
          <w:szCs w:val="28"/>
          <w:highlight w:val="none"/>
        </w:rPr>
      </w:pPr>
      <w:r>
        <w:rPr>
          <w:rFonts w:hint="eastAsia" w:ascii="新宋体" w:hAnsi="新宋体" w:eastAsia="新宋体" w:cs="新宋体"/>
          <w:color w:val="auto"/>
          <w:sz w:val="22"/>
          <w:szCs w:val="22"/>
          <w:highlight w:val="none"/>
        </w:rPr>
        <w:t>日   期：</w:t>
      </w:r>
    </w:p>
    <w:p>
      <w:pPr>
        <w:rPr>
          <w:rFonts w:hint="eastAsia" w:ascii="新宋体" w:hAnsi="新宋体" w:eastAsia="新宋体" w:cs="新宋体"/>
          <w:bCs/>
          <w:color w:val="auto"/>
          <w:sz w:val="28"/>
          <w:szCs w:val="28"/>
          <w:highlight w:val="none"/>
        </w:rPr>
      </w:pPr>
      <w:r>
        <w:rPr>
          <w:rFonts w:hint="eastAsia" w:ascii="新宋体" w:hAnsi="新宋体" w:eastAsia="新宋体" w:cs="新宋体"/>
          <w:bCs/>
          <w:color w:val="auto"/>
          <w:sz w:val="28"/>
          <w:szCs w:val="28"/>
          <w:highlight w:val="none"/>
        </w:rPr>
        <w:br w:type="page"/>
      </w:r>
    </w:p>
    <w:p>
      <w:pPr>
        <w:pStyle w:val="28"/>
        <w:spacing w:line="460" w:lineRule="exact"/>
        <w:ind w:left="843" w:hanging="843" w:hangingChars="300"/>
        <w:jc w:val="center"/>
        <w:outlineLvl w:val="3"/>
        <w:rPr>
          <w:rFonts w:hint="eastAsia" w:ascii="新宋体" w:hAnsi="新宋体" w:eastAsia="新宋体" w:cs="新宋体"/>
          <w:bCs/>
          <w:color w:val="auto"/>
          <w:kern w:val="2"/>
          <w:sz w:val="28"/>
          <w:szCs w:val="28"/>
          <w:highlight w:val="none"/>
        </w:rPr>
      </w:pPr>
      <w:r>
        <w:rPr>
          <w:rFonts w:hint="eastAsia" w:ascii="新宋体" w:hAnsi="新宋体" w:eastAsia="新宋体" w:cs="新宋体"/>
          <w:bCs/>
          <w:color w:val="auto"/>
          <w:sz w:val="28"/>
          <w:szCs w:val="28"/>
          <w:highlight w:val="none"/>
        </w:rPr>
        <w:t>8、</w:t>
      </w:r>
      <w:r>
        <w:rPr>
          <w:rFonts w:hint="eastAsia" w:ascii="新宋体" w:hAnsi="新宋体" w:eastAsia="新宋体" w:cs="新宋体"/>
          <w:bCs/>
          <w:color w:val="auto"/>
          <w:kern w:val="2"/>
          <w:sz w:val="28"/>
          <w:szCs w:val="28"/>
          <w:highlight w:val="none"/>
        </w:rPr>
        <w:t>保险承诺</w:t>
      </w:r>
    </w:p>
    <w:p>
      <w:pPr>
        <w:ind w:firstLine="221" w:firstLineChars="10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0" w:hRule="atLeast"/>
          <w:jc w:val="center"/>
        </w:trPr>
        <w:tc>
          <w:tcPr>
            <w:tcW w:w="9242" w:type="dxa"/>
          </w:tcPr>
          <w:p>
            <w:pPr>
              <w:spacing w:line="500" w:lineRule="exact"/>
              <w:jc w:val="center"/>
              <w:rPr>
                <w:rFonts w:hint="eastAsia" w:ascii="新宋体" w:hAnsi="新宋体" w:eastAsia="新宋体" w:cs="新宋体"/>
                <w:b/>
                <w:color w:val="auto"/>
                <w:sz w:val="22"/>
                <w:szCs w:val="22"/>
                <w:highlight w:val="none"/>
              </w:rPr>
            </w:pPr>
          </w:p>
        </w:tc>
      </w:tr>
    </w:tbl>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p>
    <w:p>
      <w:pPr>
        <w:pStyle w:val="28"/>
        <w:spacing w:line="460" w:lineRule="exact"/>
        <w:ind w:left="843" w:hanging="843" w:hangingChars="300"/>
        <w:jc w:val="center"/>
        <w:outlineLvl w:val="3"/>
        <w:rPr>
          <w:rFonts w:hint="eastAsia" w:ascii="新宋体" w:hAnsi="新宋体" w:eastAsia="新宋体" w:cs="新宋体"/>
          <w:bCs/>
          <w:color w:val="auto"/>
          <w:sz w:val="28"/>
          <w:szCs w:val="28"/>
          <w:highlight w:val="none"/>
        </w:rPr>
      </w:pPr>
      <w:r>
        <w:rPr>
          <w:rFonts w:hint="eastAsia" w:ascii="新宋体" w:hAnsi="新宋体" w:eastAsia="新宋体" w:cs="新宋体"/>
          <w:bCs/>
          <w:color w:val="auto"/>
          <w:sz w:val="28"/>
          <w:szCs w:val="28"/>
          <w:highlight w:val="none"/>
        </w:rPr>
        <w:t>9、安全及服务质量保证</w:t>
      </w:r>
    </w:p>
    <w:p>
      <w:pPr>
        <w:ind w:firstLine="221" w:firstLineChars="10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0" w:hRule="atLeast"/>
          <w:jc w:val="center"/>
        </w:trPr>
        <w:tc>
          <w:tcPr>
            <w:tcW w:w="9242" w:type="dxa"/>
          </w:tcPr>
          <w:p>
            <w:pPr>
              <w:spacing w:line="500" w:lineRule="exact"/>
              <w:jc w:val="center"/>
              <w:rPr>
                <w:rFonts w:hint="eastAsia" w:ascii="新宋体" w:hAnsi="新宋体" w:eastAsia="新宋体" w:cs="新宋体"/>
                <w:b/>
                <w:color w:val="auto"/>
                <w:sz w:val="22"/>
                <w:szCs w:val="22"/>
                <w:highlight w:val="none"/>
              </w:rPr>
            </w:pPr>
          </w:p>
        </w:tc>
      </w:tr>
    </w:tbl>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p>
    <w:p>
      <w:pPr>
        <w:pStyle w:val="28"/>
        <w:spacing w:line="460" w:lineRule="exact"/>
        <w:ind w:left="843" w:hanging="843" w:hangingChars="300"/>
        <w:jc w:val="center"/>
        <w:outlineLvl w:val="3"/>
        <w:rPr>
          <w:rFonts w:hint="eastAsia" w:ascii="新宋体" w:hAnsi="新宋体" w:eastAsia="新宋体" w:cs="新宋体"/>
          <w:bCs/>
          <w:color w:val="auto"/>
          <w:sz w:val="28"/>
          <w:szCs w:val="28"/>
          <w:highlight w:val="none"/>
        </w:rPr>
      </w:pPr>
      <w:r>
        <w:rPr>
          <w:rFonts w:hint="eastAsia" w:ascii="新宋体" w:hAnsi="新宋体" w:eastAsia="新宋体" w:cs="新宋体"/>
          <w:bCs/>
          <w:color w:val="auto"/>
          <w:sz w:val="28"/>
          <w:szCs w:val="28"/>
          <w:highlight w:val="none"/>
        </w:rPr>
        <w:t>10、应急预案</w:t>
      </w:r>
    </w:p>
    <w:p>
      <w:pPr>
        <w:ind w:firstLine="221" w:firstLineChars="10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0" w:hRule="atLeast"/>
          <w:jc w:val="center"/>
        </w:trPr>
        <w:tc>
          <w:tcPr>
            <w:tcW w:w="9242" w:type="dxa"/>
          </w:tcPr>
          <w:p>
            <w:pPr>
              <w:spacing w:line="500" w:lineRule="exact"/>
              <w:jc w:val="center"/>
              <w:rPr>
                <w:rFonts w:hint="eastAsia" w:ascii="新宋体" w:hAnsi="新宋体" w:eastAsia="新宋体" w:cs="新宋体"/>
                <w:b/>
                <w:color w:val="auto"/>
                <w:sz w:val="22"/>
                <w:szCs w:val="22"/>
                <w:highlight w:val="none"/>
              </w:rPr>
            </w:pPr>
          </w:p>
        </w:tc>
      </w:tr>
    </w:tbl>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p>
    <w:p>
      <w:pPr>
        <w:pStyle w:val="28"/>
        <w:spacing w:line="460" w:lineRule="exact"/>
        <w:ind w:left="843" w:hanging="843" w:hangingChars="300"/>
        <w:jc w:val="center"/>
        <w:outlineLvl w:val="3"/>
        <w:rPr>
          <w:rFonts w:hint="eastAsia" w:ascii="新宋体" w:hAnsi="新宋体" w:eastAsia="新宋体" w:cs="新宋体"/>
          <w:bCs/>
          <w:color w:val="auto"/>
          <w:sz w:val="28"/>
          <w:szCs w:val="28"/>
          <w:highlight w:val="none"/>
        </w:rPr>
      </w:pPr>
      <w:r>
        <w:rPr>
          <w:rFonts w:hint="eastAsia" w:ascii="新宋体" w:hAnsi="新宋体" w:eastAsia="新宋体" w:cs="新宋体"/>
          <w:bCs/>
          <w:color w:val="auto"/>
          <w:sz w:val="28"/>
          <w:szCs w:val="28"/>
          <w:highlight w:val="none"/>
        </w:rPr>
        <w:t>11、投诉处理</w:t>
      </w:r>
    </w:p>
    <w:p>
      <w:pPr>
        <w:ind w:firstLine="221" w:firstLineChars="10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0" w:hRule="atLeast"/>
          <w:jc w:val="center"/>
        </w:trPr>
        <w:tc>
          <w:tcPr>
            <w:tcW w:w="9242" w:type="dxa"/>
          </w:tcPr>
          <w:p>
            <w:pPr>
              <w:spacing w:line="500" w:lineRule="exact"/>
              <w:jc w:val="center"/>
              <w:rPr>
                <w:rFonts w:hint="eastAsia" w:ascii="新宋体" w:hAnsi="新宋体" w:eastAsia="新宋体" w:cs="新宋体"/>
                <w:b/>
                <w:color w:val="auto"/>
                <w:sz w:val="22"/>
                <w:szCs w:val="22"/>
                <w:highlight w:val="none"/>
              </w:rPr>
            </w:pPr>
          </w:p>
        </w:tc>
      </w:tr>
    </w:tbl>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日   期： </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p>
    <w:p>
      <w:pPr>
        <w:pStyle w:val="28"/>
        <w:spacing w:line="460" w:lineRule="exact"/>
        <w:ind w:left="843" w:hanging="843" w:hangingChars="300"/>
        <w:jc w:val="center"/>
        <w:outlineLvl w:val="3"/>
        <w:rPr>
          <w:rFonts w:hint="eastAsia" w:ascii="新宋体" w:hAnsi="新宋体" w:eastAsia="新宋体" w:cs="新宋体"/>
          <w:bCs/>
          <w:color w:val="auto"/>
          <w:kern w:val="2"/>
          <w:sz w:val="28"/>
          <w:szCs w:val="28"/>
          <w:highlight w:val="none"/>
        </w:rPr>
      </w:pPr>
      <w:r>
        <w:rPr>
          <w:rFonts w:hint="eastAsia" w:ascii="新宋体" w:hAnsi="新宋体" w:eastAsia="新宋体" w:cs="新宋体"/>
          <w:bCs/>
          <w:color w:val="auto"/>
          <w:sz w:val="28"/>
          <w:szCs w:val="28"/>
          <w:highlight w:val="none"/>
        </w:rPr>
        <w:t>12、后续服务和特色服务方案</w:t>
      </w:r>
    </w:p>
    <w:p>
      <w:pPr>
        <w:ind w:firstLine="221" w:firstLineChars="10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0" w:hRule="atLeast"/>
          <w:jc w:val="center"/>
        </w:trPr>
        <w:tc>
          <w:tcPr>
            <w:tcW w:w="9242" w:type="dxa"/>
          </w:tcPr>
          <w:p>
            <w:pPr>
              <w:spacing w:line="500" w:lineRule="exact"/>
              <w:jc w:val="center"/>
              <w:rPr>
                <w:rFonts w:hint="eastAsia" w:ascii="新宋体" w:hAnsi="新宋体" w:eastAsia="新宋体" w:cs="新宋体"/>
                <w:b/>
                <w:color w:val="auto"/>
                <w:sz w:val="22"/>
                <w:szCs w:val="22"/>
                <w:highlight w:val="none"/>
              </w:rPr>
            </w:pPr>
          </w:p>
        </w:tc>
      </w:tr>
    </w:tbl>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p>
    <w:p>
      <w:pPr>
        <w:pStyle w:val="28"/>
        <w:spacing w:line="460" w:lineRule="exact"/>
        <w:ind w:left="843" w:hanging="843" w:hangingChars="300"/>
        <w:jc w:val="center"/>
        <w:outlineLvl w:val="3"/>
        <w:rPr>
          <w:rFonts w:hint="eastAsia" w:ascii="新宋体" w:hAnsi="新宋体" w:eastAsia="新宋体" w:cs="新宋体"/>
          <w:bCs/>
          <w:color w:val="auto"/>
          <w:kern w:val="2"/>
          <w:sz w:val="28"/>
          <w:szCs w:val="28"/>
          <w:highlight w:val="none"/>
        </w:rPr>
      </w:pPr>
      <w:r>
        <w:rPr>
          <w:rFonts w:hint="eastAsia" w:ascii="新宋体" w:hAnsi="新宋体" w:eastAsia="新宋体" w:cs="新宋体"/>
          <w:bCs/>
          <w:color w:val="auto"/>
          <w:sz w:val="28"/>
          <w:szCs w:val="28"/>
          <w:highlight w:val="none"/>
        </w:rPr>
        <w:t>1</w:t>
      </w:r>
      <w:r>
        <w:rPr>
          <w:rFonts w:hint="eastAsia" w:ascii="新宋体" w:hAnsi="新宋体" w:eastAsia="新宋体" w:cs="新宋体"/>
          <w:bCs/>
          <w:color w:val="auto"/>
          <w:sz w:val="28"/>
          <w:szCs w:val="28"/>
          <w:highlight w:val="none"/>
          <w:lang w:val="en-US" w:eastAsia="zh-CN"/>
        </w:rPr>
        <w:t>3</w:t>
      </w:r>
      <w:r>
        <w:rPr>
          <w:rFonts w:hint="eastAsia" w:ascii="新宋体" w:hAnsi="新宋体" w:eastAsia="新宋体" w:cs="新宋体"/>
          <w:bCs/>
          <w:color w:val="auto"/>
          <w:sz w:val="28"/>
          <w:szCs w:val="28"/>
          <w:highlight w:val="none"/>
        </w:rPr>
        <w:t>、服务响应时间承诺</w:t>
      </w:r>
    </w:p>
    <w:p>
      <w:pPr>
        <w:ind w:firstLine="221" w:firstLineChars="10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0" w:hRule="atLeast"/>
          <w:jc w:val="center"/>
        </w:trPr>
        <w:tc>
          <w:tcPr>
            <w:tcW w:w="9242" w:type="dxa"/>
          </w:tcPr>
          <w:p>
            <w:pPr>
              <w:spacing w:line="500" w:lineRule="exact"/>
              <w:jc w:val="center"/>
              <w:rPr>
                <w:rFonts w:hint="eastAsia" w:ascii="新宋体" w:hAnsi="新宋体" w:eastAsia="新宋体" w:cs="新宋体"/>
                <w:b/>
                <w:color w:val="auto"/>
                <w:sz w:val="22"/>
                <w:szCs w:val="22"/>
                <w:highlight w:val="none"/>
              </w:rPr>
            </w:pPr>
          </w:p>
        </w:tc>
      </w:tr>
    </w:tbl>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460" w:lineRule="exact"/>
        <w:ind w:firstLine="5060" w:firstLineChars="2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w:t>
      </w:r>
    </w:p>
    <w:p>
      <w:pPr>
        <w:outlineLvl w:val="9"/>
        <w:rPr>
          <w:rFonts w:hint="eastAsia"/>
          <w:color w:val="auto"/>
          <w:highlight w:val="none"/>
        </w:rPr>
      </w:pP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p>
    <w:p>
      <w:pPr>
        <w:pStyle w:val="28"/>
        <w:spacing w:line="460" w:lineRule="exact"/>
        <w:ind w:left="843" w:hanging="843" w:hangingChars="300"/>
        <w:jc w:val="center"/>
        <w:outlineLvl w:val="3"/>
        <w:rPr>
          <w:rFonts w:hint="eastAsia" w:ascii="新宋体" w:hAnsi="新宋体" w:eastAsia="新宋体" w:cs="新宋体"/>
          <w:b/>
          <w:bCs/>
          <w:color w:val="auto"/>
          <w:sz w:val="28"/>
          <w:szCs w:val="28"/>
          <w:highlight w:val="none"/>
          <w:lang w:val="zh-CN"/>
        </w:rPr>
      </w:pPr>
      <w:r>
        <w:rPr>
          <w:rFonts w:hint="eastAsia" w:ascii="新宋体" w:hAnsi="新宋体" w:eastAsia="新宋体" w:cs="新宋体"/>
          <w:b/>
          <w:bCs/>
          <w:color w:val="auto"/>
          <w:sz w:val="28"/>
          <w:szCs w:val="28"/>
          <w:highlight w:val="none"/>
          <w:lang w:val="en-US" w:eastAsia="zh-CN"/>
        </w:rPr>
        <w:t>14、</w:t>
      </w:r>
      <w:r>
        <w:rPr>
          <w:rFonts w:hint="eastAsia" w:ascii="新宋体" w:hAnsi="新宋体" w:eastAsia="新宋体" w:cs="新宋体"/>
          <w:b/>
          <w:bCs/>
          <w:color w:val="auto"/>
          <w:sz w:val="28"/>
          <w:szCs w:val="28"/>
          <w:highlight w:val="none"/>
          <w:lang w:val="zh-CN"/>
        </w:rPr>
        <w:t>项目业绩</w:t>
      </w:r>
    </w:p>
    <w:p>
      <w:pPr>
        <w:autoSpaceDE w:val="0"/>
        <w:autoSpaceDN w:val="0"/>
        <w:ind w:right="893"/>
        <w:textAlignment w:val="bottom"/>
        <w:rPr>
          <w:rFonts w:hint="eastAsia" w:ascii="新宋体" w:hAnsi="新宋体" w:eastAsia="新宋体" w:cs="新宋体"/>
          <w:color w:val="auto"/>
          <w:highlight w:val="none"/>
        </w:rPr>
      </w:pPr>
      <w:r>
        <w:rPr>
          <w:rFonts w:hint="eastAsia" w:ascii="新宋体" w:hAnsi="新宋体" w:eastAsia="新宋体" w:cs="新宋体"/>
          <w:b/>
          <w:color w:val="auto"/>
          <w:sz w:val="22"/>
          <w:highlight w:val="none"/>
        </w:rPr>
        <w:t>项目名称：                                   项目编号：</w:t>
      </w:r>
      <w:r>
        <w:rPr>
          <w:rFonts w:hint="eastAsia" w:ascii="新宋体" w:hAnsi="新宋体" w:eastAsia="新宋体" w:cs="新宋体"/>
          <w:color w:val="auto"/>
          <w:highlight w:val="none"/>
        </w:rPr>
        <w:t xml:space="preserve"> </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069"/>
        <w:gridCol w:w="2437"/>
        <w:gridCol w:w="1737"/>
        <w:gridCol w:w="173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rPr>
                <w:rFonts w:hint="eastAsia" w:ascii="新宋体" w:hAnsi="新宋体" w:eastAsia="新宋体"/>
                <w:b/>
                <w:bCs/>
                <w:color w:val="auto"/>
                <w:sz w:val="22"/>
                <w:szCs w:val="22"/>
                <w:highlight w:val="none"/>
              </w:rPr>
            </w:pPr>
            <w:r>
              <w:rPr>
                <w:rFonts w:hint="eastAsia" w:ascii="新宋体" w:hAnsi="新宋体" w:eastAsia="新宋体" w:cs="新宋体"/>
                <w:b/>
                <w:color w:val="auto"/>
                <w:sz w:val="22"/>
                <w:highlight w:val="none"/>
              </w:rPr>
              <w:t xml:space="preserve"> </w:t>
            </w:r>
            <w:r>
              <w:rPr>
                <w:rFonts w:hint="eastAsia" w:ascii="新宋体" w:hAnsi="新宋体" w:eastAsia="新宋体"/>
                <w:b/>
                <w:bCs/>
                <w:color w:val="auto"/>
                <w:sz w:val="22"/>
                <w:szCs w:val="22"/>
                <w:highlight w:val="none"/>
              </w:rPr>
              <w:t>序号</w:t>
            </w:r>
          </w:p>
        </w:tc>
        <w:tc>
          <w:tcPr>
            <w:tcW w:w="206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用户名称</w:t>
            </w:r>
          </w:p>
        </w:tc>
        <w:tc>
          <w:tcPr>
            <w:tcW w:w="24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项目名称</w:t>
            </w: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合同金额</w:t>
            </w: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联系方式</w:t>
            </w:r>
          </w:p>
        </w:tc>
        <w:tc>
          <w:tcPr>
            <w:tcW w:w="9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bl>
    <w:p>
      <w:pPr>
        <w:rPr>
          <w:rFonts w:hint="eastAsia" w:ascii="新宋体" w:hAnsi="新宋体" w:eastAsia="新宋体" w:cs="新宋体"/>
          <w:b/>
          <w:color w:val="auto"/>
          <w:sz w:val="22"/>
          <w:highlight w:val="none"/>
        </w:rPr>
      </w:pPr>
    </w:p>
    <w:p>
      <w:pPr>
        <w:pStyle w:val="28"/>
        <w:spacing w:line="400" w:lineRule="atLeast"/>
        <w:ind w:left="5360" w:leftChars="2500" w:hanging="110" w:hangingChars="50"/>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投标人全称（盖章）：</w:t>
      </w:r>
    </w:p>
    <w:p>
      <w:pPr>
        <w:spacing w:line="40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                                                投标人代表（签字）：</w:t>
      </w:r>
    </w:p>
    <w:p>
      <w:pPr>
        <w:pStyle w:val="28"/>
        <w:spacing w:line="400" w:lineRule="atLeast"/>
        <w:ind w:left="5360" w:leftChars="2500" w:hanging="110" w:hangingChars="50"/>
        <w:rPr>
          <w:rFonts w:hint="default" w:eastAsia="黑体"/>
          <w:b w:val="0"/>
          <w:bCs w:val="0"/>
          <w:color w:val="auto"/>
          <w:highlight w:val="none"/>
          <w:lang w:val="en-US" w:eastAsia="zh-CN"/>
        </w:rPr>
      </w:pPr>
      <w:r>
        <w:rPr>
          <w:rFonts w:hint="eastAsia" w:ascii="新宋体" w:hAnsi="新宋体" w:eastAsia="新宋体" w:cs="新宋体"/>
          <w:b w:val="0"/>
          <w:bCs w:val="0"/>
          <w:color w:val="auto"/>
          <w:sz w:val="22"/>
          <w:szCs w:val="22"/>
          <w:highlight w:val="none"/>
        </w:rPr>
        <w:t>日   期：</w:t>
      </w:r>
    </w:p>
    <w:p>
      <w:pPr>
        <w:rPr>
          <w:rFonts w:ascii="宋体" w:hAnsi="宋体" w:eastAsia="宋体" w:cs="宋体"/>
          <w:color w:val="auto"/>
          <w:highlight w:val="none"/>
        </w:rPr>
      </w:pPr>
      <w:r>
        <w:rPr>
          <w:rFonts w:hint="eastAsia" w:ascii="宋体" w:hAnsi="宋体" w:eastAsia="宋体" w:cs="宋体"/>
          <w:color w:val="auto"/>
          <w:highlight w:val="none"/>
        </w:rPr>
        <w:br w:type="page"/>
      </w:r>
    </w:p>
    <w:p>
      <w:pPr>
        <w:pStyle w:val="2"/>
        <w:numPr>
          <w:ilvl w:val="0"/>
          <w:numId w:val="3"/>
        </w:numPr>
        <w:rPr>
          <w:rFonts w:ascii="宋体" w:hAnsi="宋体" w:eastAsia="宋体" w:cs="宋体"/>
          <w:color w:val="auto"/>
          <w:highlight w:val="none"/>
        </w:rPr>
      </w:pPr>
      <w:r>
        <w:rPr>
          <w:rFonts w:hint="eastAsia" w:ascii="宋体" w:hAnsi="宋体" w:eastAsia="宋体" w:cs="宋体"/>
          <w:color w:val="auto"/>
          <w:highlight w:val="none"/>
        </w:rPr>
        <w:t xml:space="preserve">  项目技术规范和服务要求</w:t>
      </w:r>
      <w:bookmarkEnd w:id="40"/>
      <w:bookmarkEnd w:id="41"/>
    </w:p>
    <w:bookmarkEnd w:id="42"/>
    <w:bookmarkEnd w:id="43"/>
    <w:p>
      <w:pPr>
        <w:tabs>
          <w:tab w:val="left" w:pos="360"/>
        </w:tabs>
        <w:spacing w:line="460" w:lineRule="exact"/>
        <w:ind w:firstLine="552" w:firstLineChars="250"/>
        <w:rPr>
          <w:rFonts w:hint="eastAsia" w:ascii="新宋体" w:hAnsi="新宋体" w:eastAsia="新宋体" w:cs="新宋体"/>
          <w:b/>
          <w:color w:val="auto"/>
          <w:sz w:val="22"/>
          <w:szCs w:val="22"/>
          <w:highlight w:val="none"/>
        </w:rPr>
      </w:pPr>
      <w:bookmarkStart w:id="45" w:name="_Toc282690457"/>
      <w:bookmarkStart w:id="46" w:name="_Toc201920311"/>
      <w:bookmarkStart w:id="47" w:name="_Toc441051470"/>
      <w:bookmarkStart w:id="48" w:name="OLE_LINK8"/>
      <w:bookmarkStart w:id="49" w:name="_Toc498199476"/>
      <w:bookmarkStart w:id="50" w:name="_Toc23050625"/>
      <w:bookmarkStart w:id="51" w:name="_Toc496257825"/>
      <w:bookmarkStart w:id="52" w:name="_Toc40266002"/>
      <w:bookmarkStart w:id="53" w:name="_Toc497300733"/>
      <w:bookmarkStart w:id="54" w:name="_Toc496101575"/>
      <w:bookmarkStart w:id="55" w:name="_Toc496256263"/>
      <w:bookmarkStart w:id="56" w:name="_Toc201920298"/>
      <w:bookmarkStart w:id="57" w:name="_Toc495660084"/>
      <w:bookmarkStart w:id="58" w:name="_Toc497300664"/>
      <w:bookmarkStart w:id="59" w:name="_Toc495651839"/>
      <w:bookmarkStart w:id="60" w:name="_Toc23050423"/>
      <w:bookmarkStart w:id="61" w:name="_Toc498186719"/>
      <w:bookmarkStart w:id="62" w:name="_Toc498186820"/>
      <w:bookmarkStart w:id="63" w:name="_Toc496101312"/>
      <w:bookmarkStart w:id="64" w:name="_Toc51996430"/>
      <w:bookmarkStart w:id="65" w:name="_Toc441051461"/>
      <w:bookmarkStart w:id="66" w:name="_Toc282690445"/>
      <w:bookmarkStart w:id="67" w:name="_Toc40594931"/>
      <w:bookmarkStart w:id="68" w:name="_Toc23050562"/>
      <w:bookmarkStart w:id="69" w:name="_Toc23050833"/>
      <w:bookmarkStart w:id="70" w:name="_Toc497307615"/>
      <w:bookmarkStart w:id="71" w:name="_Toc18194"/>
      <w:bookmarkStart w:id="72" w:name="_Toc30323"/>
      <w:r>
        <w:rPr>
          <w:rFonts w:hint="eastAsia" w:ascii="新宋体" w:hAnsi="新宋体" w:eastAsia="新宋体" w:cs="新宋体"/>
          <w:b/>
          <w:color w:val="auto"/>
          <w:sz w:val="22"/>
          <w:szCs w:val="22"/>
          <w:highlight w:val="none"/>
        </w:rPr>
        <w:t>本次预算为人民币</w:t>
      </w:r>
      <w:r>
        <w:rPr>
          <w:rFonts w:hint="eastAsia" w:ascii="新宋体" w:hAnsi="新宋体" w:eastAsia="新宋体" w:cs="新宋体"/>
          <w:b/>
          <w:color w:val="auto"/>
          <w:sz w:val="22"/>
          <w:szCs w:val="22"/>
          <w:highlight w:val="none"/>
          <w:lang w:eastAsia="zh-CN"/>
        </w:rPr>
        <w:t>捌拾壹万</w:t>
      </w:r>
      <w:r>
        <w:rPr>
          <w:rFonts w:hint="eastAsia" w:ascii="新宋体" w:hAnsi="新宋体" w:eastAsia="新宋体" w:cs="新宋体"/>
          <w:b/>
          <w:color w:val="auto"/>
          <w:sz w:val="22"/>
          <w:szCs w:val="22"/>
          <w:highlight w:val="none"/>
        </w:rPr>
        <w:t>元整（¥</w:t>
      </w:r>
      <w:r>
        <w:rPr>
          <w:rFonts w:hint="eastAsia" w:ascii="新宋体" w:hAnsi="新宋体" w:eastAsia="新宋体" w:cs="新宋体"/>
          <w:b/>
          <w:color w:val="auto"/>
          <w:sz w:val="22"/>
          <w:szCs w:val="22"/>
          <w:highlight w:val="none"/>
          <w:lang w:eastAsia="zh-CN"/>
        </w:rPr>
        <w:t>810000</w:t>
      </w:r>
      <w:r>
        <w:rPr>
          <w:rFonts w:hint="eastAsia" w:ascii="新宋体" w:hAnsi="新宋体" w:eastAsia="新宋体" w:cs="新宋体"/>
          <w:b/>
          <w:color w:val="auto"/>
          <w:sz w:val="22"/>
          <w:szCs w:val="22"/>
          <w:highlight w:val="none"/>
        </w:rPr>
        <w:t>.00元）, 如投标人报价超过预算按无效标处理。</w:t>
      </w:r>
      <w:bookmarkEnd w:id="45"/>
      <w:bookmarkEnd w:id="46"/>
      <w:bookmarkEnd w:id="47"/>
      <w:bookmarkEnd w:id="48"/>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Pr>
        <w:autoSpaceDN w:val="0"/>
        <w:spacing w:line="460" w:lineRule="exact"/>
        <w:ind w:firstLine="663" w:firstLineChars="300"/>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一、招标项目内容</w:t>
      </w:r>
    </w:p>
    <w:tbl>
      <w:tblPr>
        <w:tblStyle w:val="52"/>
        <w:tblW w:w="91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5"/>
        <w:gridCol w:w="1530"/>
        <w:gridCol w:w="5099"/>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b/>
                <w:bCs/>
                <w:i w:val="0"/>
                <w:iCs w:val="0"/>
                <w:color w:val="auto"/>
                <w:sz w:val="22"/>
                <w:szCs w:val="22"/>
                <w:highlight w:val="none"/>
                <w:u w:val="none"/>
              </w:rPr>
            </w:pPr>
            <w:r>
              <w:rPr>
                <w:rFonts w:hint="eastAsia" w:ascii="新宋体" w:hAnsi="新宋体" w:eastAsia="新宋体" w:cs="新宋体"/>
                <w:b/>
                <w:bCs/>
                <w:i w:val="0"/>
                <w:iCs w:val="0"/>
                <w:color w:val="auto"/>
                <w:kern w:val="0"/>
                <w:sz w:val="22"/>
                <w:szCs w:val="22"/>
                <w:highlight w:val="none"/>
                <w:u w:val="none"/>
                <w:lang w:val="en-US" w:eastAsia="zh-CN" w:bidi="ar"/>
              </w:rPr>
              <w:t>序号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b/>
                <w:bCs/>
                <w:i w:val="0"/>
                <w:iCs w:val="0"/>
                <w:color w:val="auto"/>
                <w:sz w:val="22"/>
                <w:szCs w:val="22"/>
                <w:highlight w:val="none"/>
                <w:u w:val="none"/>
              </w:rPr>
            </w:pPr>
            <w:r>
              <w:rPr>
                <w:rFonts w:hint="eastAsia" w:ascii="新宋体" w:hAnsi="新宋体" w:eastAsia="新宋体" w:cs="新宋体"/>
                <w:b/>
                <w:bCs/>
                <w:i w:val="0"/>
                <w:iCs w:val="0"/>
                <w:color w:val="auto"/>
                <w:kern w:val="0"/>
                <w:sz w:val="22"/>
                <w:szCs w:val="22"/>
                <w:highlight w:val="none"/>
                <w:u w:val="none"/>
                <w:lang w:val="en-US" w:eastAsia="zh-CN" w:bidi="ar"/>
              </w:rPr>
              <w:t>项目名称</w:t>
            </w:r>
          </w:p>
        </w:tc>
        <w:tc>
          <w:tcPr>
            <w:tcW w:w="5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b/>
                <w:bCs/>
                <w:i w:val="0"/>
                <w:iCs w:val="0"/>
                <w:color w:val="auto"/>
                <w:sz w:val="22"/>
                <w:szCs w:val="22"/>
                <w:highlight w:val="none"/>
                <w:u w:val="none"/>
              </w:rPr>
            </w:pPr>
            <w:r>
              <w:rPr>
                <w:rFonts w:hint="eastAsia" w:ascii="新宋体" w:hAnsi="新宋体" w:eastAsia="新宋体" w:cs="新宋体"/>
                <w:b/>
                <w:bCs/>
                <w:i w:val="0"/>
                <w:iCs w:val="0"/>
                <w:color w:val="auto"/>
                <w:kern w:val="0"/>
                <w:sz w:val="22"/>
                <w:szCs w:val="22"/>
                <w:highlight w:val="none"/>
                <w:u w:val="none"/>
                <w:lang w:val="en-US" w:eastAsia="zh-CN" w:bidi="ar"/>
              </w:rPr>
              <w:t>路线安排</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b/>
                <w:bCs/>
                <w:i w:val="0"/>
                <w:iCs w:val="0"/>
                <w:color w:val="auto"/>
                <w:sz w:val="22"/>
                <w:szCs w:val="22"/>
                <w:highlight w:val="none"/>
                <w:u w:val="none"/>
              </w:rPr>
            </w:pPr>
            <w:r>
              <w:rPr>
                <w:rFonts w:hint="eastAsia" w:ascii="新宋体" w:hAnsi="新宋体" w:eastAsia="新宋体" w:cs="新宋体"/>
                <w:b/>
                <w:bCs/>
                <w:i w:val="0"/>
                <w:iCs w:val="0"/>
                <w:color w:val="auto"/>
                <w:kern w:val="0"/>
                <w:sz w:val="22"/>
                <w:szCs w:val="22"/>
                <w:highlight w:val="none"/>
                <w:u w:val="none"/>
                <w:lang w:val="en-US" w:eastAsia="zh-CN" w:bidi="ar"/>
              </w:rPr>
              <w:t>时间要求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kern w:val="0"/>
                <w:sz w:val="22"/>
                <w:szCs w:val="22"/>
                <w:highlight w:val="none"/>
                <w:u w:val="none"/>
                <w:lang w:val="en-US" w:eastAsia="zh-CN" w:bidi="ar"/>
              </w:rPr>
              <w:t>1</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kern w:val="0"/>
                <w:sz w:val="22"/>
                <w:szCs w:val="22"/>
                <w:highlight w:val="none"/>
                <w:u w:val="none"/>
                <w:lang w:val="en-US" w:eastAsia="zh-CN" w:bidi="ar"/>
              </w:rPr>
              <w:t>2024年职工疗休养</w:t>
            </w:r>
          </w:p>
        </w:tc>
        <w:tc>
          <w:tcPr>
            <w:tcW w:w="5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kern w:val="0"/>
                <w:sz w:val="22"/>
                <w:szCs w:val="22"/>
                <w:highlight w:val="none"/>
                <w:u w:val="none"/>
                <w:lang w:val="en-US" w:eastAsia="zh-CN" w:bidi="ar"/>
              </w:rPr>
              <w:t>温州市域内市级疗休养基地、浙江国家生态旅游协作区</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kern w:val="0"/>
                <w:sz w:val="22"/>
                <w:szCs w:val="22"/>
                <w:highlight w:val="none"/>
                <w:u w:val="none"/>
                <w:lang w:val="en-US" w:eastAsia="zh-CN" w:bidi="ar"/>
              </w:rPr>
              <w:t>疗休养时间为共5天，3个工作日+2天周末。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c>
          <w:tcPr>
            <w:tcW w:w="5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kern w:val="0"/>
                <w:sz w:val="22"/>
                <w:szCs w:val="22"/>
                <w:highlight w:val="none"/>
                <w:u w:val="none"/>
                <w:lang w:val="en-US" w:eastAsia="zh-CN" w:bidi="ar"/>
              </w:rPr>
              <w:t>皖闽赣国家生态旅游协作区，长三角地区</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c>
          <w:tcPr>
            <w:tcW w:w="5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新宋体" w:hAnsi="新宋体" w:eastAsia="新宋体" w:cs="新宋体"/>
                <w:i w:val="0"/>
                <w:iCs w:val="0"/>
                <w:color w:val="auto"/>
                <w:sz w:val="22"/>
                <w:szCs w:val="22"/>
                <w:highlight w:val="none"/>
                <w:u w:val="none"/>
              </w:rPr>
            </w:pPr>
            <w:r>
              <w:rPr>
                <w:rFonts w:hint="eastAsia" w:ascii="新宋体" w:hAnsi="新宋体" w:eastAsia="新宋体" w:cs="新宋体"/>
                <w:i w:val="0"/>
                <w:iCs w:val="0"/>
                <w:color w:val="auto"/>
                <w:kern w:val="0"/>
                <w:sz w:val="22"/>
                <w:szCs w:val="22"/>
                <w:highlight w:val="none"/>
                <w:u w:val="none"/>
                <w:lang w:val="en-US" w:eastAsia="zh-CN" w:bidi="ar"/>
              </w:rPr>
              <w:t>本市东西部协助、对口支援（合作）地区（新疆阿克苏地区、青海省格尔木市、西藏那曲地区嘉黎县、四川省南充市、阿坝州、 重庆市涪陵区、吉林省吉林市）</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新宋体" w:hAnsi="新宋体" w:eastAsia="新宋体" w:cs="新宋体"/>
                <w:i w:val="0"/>
                <w:iCs w:val="0"/>
                <w:color w:val="auto"/>
                <w:sz w:val="22"/>
                <w:szCs w:val="22"/>
                <w:highlight w:val="none"/>
                <w:u w:val="none"/>
              </w:rPr>
            </w:pPr>
          </w:p>
        </w:tc>
      </w:tr>
    </w:tbl>
    <w:p>
      <w:pPr>
        <w:autoSpaceDN w:val="0"/>
        <w:spacing w:line="460" w:lineRule="exact"/>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二、实施原则</w:t>
      </w:r>
    </w:p>
    <w:p>
      <w:pPr>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温州市第七人民医院202</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lang w:eastAsia="zh-CN"/>
        </w:rPr>
        <w:t>职工疗休养</w:t>
      </w:r>
      <w:r>
        <w:rPr>
          <w:rFonts w:hint="eastAsia" w:ascii="新宋体" w:hAnsi="新宋体" w:eastAsia="新宋体" w:cs="新宋体"/>
          <w:color w:val="auto"/>
          <w:sz w:val="22"/>
          <w:szCs w:val="22"/>
          <w:highlight w:val="none"/>
        </w:rPr>
        <w:t>项目以参加职工疗休养的人次为单位。职工疗休养按合同约定的线路、服务标准和其他要求，根据疗休养职工实际报名的线路组团实施，按照实际组团的人次结算。</w:t>
      </w:r>
    </w:p>
    <w:p>
      <w:pPr>
        <w:spacing w:line="460" w:lineRule="exact"/>
        <w:ind w:firstLine="442" w:firstLineChars="20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服务期限</w:t>
      </w:r>
      <w:r>
        <w:rPr>
          <w:rFonts w:hint="eastAsia" w:ascii="新宋体" w:hAnsi="新宋体" w:eastAsia="新宋体" w:cs="新宋体"/>
          <w:b/>
          <w:color w:val="auto"/>
          <w:sz w:val="22"/>
          <w:szCs w:val="22"/>
          <w:highlight w:val="none"/>
          <w:lang w:eastAsia="zh-CN"/>
        </w:rPr>
        <w:t>：</w:t>
      </w:r>
      <w:r>
        <w:rPr>
          <w:rFonts w:hint="eastAsia" w:ascii="新宋体" w:hAnsi="新宋体" w:eastAsia="新宋体" w:cs="新宋体"/>
          <w:b/>
          <w:color w:val="auto"/>
          <w:sz w:val="22"/>
          <w:szCs w:val="22"/>
          <w:highlight w:val="none"/>
          <w:lang w:val="en-US" w:eastAsia="zh-CN"/>
        </w:rPr>
        <w:t>1年</w:t>
      </w:r>
      <w:r>
        <w:rPr>
          <w:rFonts w:hint="eastAsia" w:ascii="新宋体" w:hAnsi="新宋体" w:eastAsia="新宋体" w:cs="新宋体"/>
          <w:b/>
          <w:color w:val="auto"/>
          <w:sz w:val="22"/>
          <w:szCs w:val="22"/>
          <w:highlight w:val="none"/>
        </w:rPr>
        <w:t>。</w:t>
      </w:r>
    </w:p>
    <w:p>
      <w:pPr>
        <w:autoSpaceDN w:val="0"/>
        <w:spacing w:line="460" w:lineRule="exact"/>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三、项目具体线路安排及要求：</w:t>
      </w:r>
    </w:p>
    <w:p>
      <w:pPr>
        <w:spacing w:line="460" w:lineRule="exact"/>
        <w:ind w:firstLine="442" w:firstLineChars="200"/>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（一）疗休养线路要求</w:t>
      </w:r>
    </w:p>
    <w:p>
      <w:pPr>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职工疗休养总数暂</w:t>
      </w:r>
      <w:r>
        <w:rPr>
          <w:rFonts w:hint="eastAsia" w:ascii="新宋体" w:hAnsi="新宋体" w:eastAsia="新宋体" w:cs="新宋体"/>
          <w:bCs/>
          <w:color w:val="auto"/>
          <w:sz w:val="22"/>
          <w:szCs w:val="22"/>
          <w:highlight w:val="none"/>
        </w:rPr>
        <w:t>定为</w:t>
      </w:r>
      <w:r>
        <w:rPr>
          <w:rFonts w:hint="eastAsia" w:ascii="新宋体" w:hAnsi="新宋体" w:eastAsia="新宋体" w:cs="新宋体"/>
          <w:bCs/>
          <w:color w:val="auto"/>
          <w:sz w:val="22"/>
          <w:szCs w:val="22"/>
          <w:highlight w:val="none"/>
          <w:u w:val="single"/>
        </w:rPr>
        <w:t xml:space="preserve">   </w:t>
      </w:r>
      <w:r>
        <w:rPr>
          <w:rFonts w:hint="eastAsia" w:ascii="新宋体" w:hAnsi="新宋体" w:eastAsia="新宋体" w:cs="新宋体"/>
          <w:bCs/>
          <w:color w:val="auto"/>
          <w:sz w:val="22"/>
          <w:szCs w:val="22"/>
          <w:highlight w:val="none"/>
          <w:u w:val="single"/>
          <w:lang w:val="en-US" w:eastAsia="zh-CN"/>
        </w:rPr>
        <w:t>270</w:t>
      </w:r>
      <w:r>
        <w:rPr>
          <w:rFonts w:hint="eastAsia" w:ascii="新宋体" w:hAnsi="新宋体" w:eastAsia="新宋体" w:cs="新宋体"/>
          <w:bCs/>
          <w:color w:val="auto"/>
          <w:sz w:val="22"/>
          <w:szCs w:val="22"/>
          <w:highlight w:val="none"/>
          <w:u w:val="single"/>
        </w:rPr>
        <w:t xml:space="preserve">  </w:t>
      </w:r>
      <w:r>
        <w:rPr>
          <w:rFonts w:hint="eastAsia" w:ascii="新宋体" w:hAnsi="新宋体" w:eastAsia="新宋体" w:cs="新宋体"/>
          <w:bCs/>
          <w:color w:val="auto"/>
          <w:sz w:val="22"/>
          <w:szCs w:val="22"/>
          <w:highlight w:val="none"/>
        </w:rPr>
        <w:t>人次</w:t>
      </w:r>
      <w:r>
        <w:rPr>
          <w:rFonts w:hint="eastAsia" w:ascii="新宋体" w:hAnsi="新宋体" w:eastAsia="新宋体" w:cs="新宋体"/>
          <w:bCs/>
          <w:color w:val="auto"/>
          <w:sz w:val="22"/>
          <w:szCs w:val="22"/>
          <w:highlight w:val="none"/>
        </w:rPr>
        <w:t>，具体结算人数以疗养出行的个数进行结算，如合同到期后，实际成行人数</w:t>
      </w:r>
      <w:r>
        <w:rPr>
          <w:rFonts w:hint="eastAsia" w:ascii="新宋体" w:hAnsi="新宋体" w:eastAsia="新宋体" w:cs="新宋体"/>
          <w:bCs/>
          <w:color w:val="auto"/>
          <w:sz w:val="22"/>
          <w:szCs w:val="22"/>
          <w:highlight w:val="none"/>
        </w:rPr>
        <w:t>不足</w:t>
      </w:r>
      <w:r>
        <w:rPr>
          <w:rFonts w:hint="eastAsia" w:ascii="新宋体" w:hAnsi="新宋体" w:eastAsia="新宋体" w:cs="新宋体"/>
          <w:bCs/>
          <w:color w:val="auto"/>
          <w:sz w:val="22"/>
          <w:szCs w:val="22"/>
          <w:highlight w:val="none"/>
          <w:u w:val="single"/>
        </w:rPr>
        <w:t xml:space="preserve">  </w:t>
      </w:r>
      <w:r>
        <w:rPr>
          <w:rFonts w:hint="eastAsia" w:ascii="新宋体" w:hAnsi="新宋体" w:eastAsia="新宋体" w:cs="新宋体"/>
          <w:bCs/>
          <w:color w:val="auto"/>
          <w:sz w:val="22"/>
          <w:szCs w:val="22"/>
          <w:highlight w:val="none"/>
          <w:u w:val="single"/>
          <w:lang w:eastAsia="zh-CN"/>
        </w:rPr>
        <w:t>270</w:t>
      </w:r>
      <w:r>
        <w:rPr>
          <w:rFonts w:hint="eastAsia" w:ascii="新宋体" w:hAnsi="新宋体" w:eastAsia="新宋体" w:cs="新宋体"/>
          <w:bCs/>
          <w:color w:val="auto"/>
          <w:sz w:val="22"/>
          <w:szCs w:val="22"/>
          <w:highlight w:val="none"/>
          <w:u w:val="single"/>
        </w:rPr>
        <w:t xml:space="preserve">   </w:t>
      </w:r>
      <w:r>
        <w:rPr>
          <w:rFonts w:hint="eastAsia" w:ascii="新宋体" w:hAnsi="新宋体" w:eastAsia="新宋体" w:cs="新宋体"/>
          <w:bCs/>
          <w:color w:val="auto"/>
          <w:sz w:val="22"/>
          <w:szCs w:val="22"/>
          <w:highlight w:val="none"/>
        </w:rPr>
        <w:t>人</w:t>
      </w:r>
      <w:r>
        <w:rPr>
          <w:rFonts w:hint="eastAsia" w:ascii="新宋体" w:hAnsi="新宋体" w:eastAsia="新宋体" w:cs="新宋体"/>
          <w:bCs/>
          <w:color w:val="auto"/>
          <w:sz w:val="22"/>
          <w:szCs w:val="22"/>
          <w:highlight w:val="none"/>
        </w:rPr>
        <w:t>次，采购人不给于其他费用补偿，投标人需考虑由此产生的风险；</w:t>
      </w:r>
    </w:p>
    <w:p>
      <w:pPr>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路线：</w:t>
      </w:r>
    </w:p>
    <w:p>
      <w:pPr>
        <w:spacing w:line="460" w:lineRule="exact"/>
        <w:ind w:firstLine="442" w:firstLineChars="200"/>
        <w:rPr>
          <w:rFonts w:hint="eastAsia" w:ascii="新宋体" w:hAnsi="新宋体" w:eastAsia="新宋体" w:cs="新宋体"/>
          <w:b/>
          <w:bCs w:val="0"/>
          <w:color w:val="auto"/>
          <w:sz w:val="22"/>
          <w:szCs w:val="22"/>
          <w:highlight w:val="none"/>
          <w:lang w:eastAsia="zh-CN"/>
        </w:rPr>
      </w:pPr>
      <w:r>
        <w:rPr>
          <w:rFonts w:hint="eastAsia" w:ascii="新宋体" w:hAnsi="新宋体" w:eastAsia="新宋体" w:cs="新宋体"/>
          <w:b/>
          <w:bCs w:val="0"/>
          <w:color w:val="auto"/>
          <w:sz w:val="22"/>
          <w:szCs w:val="22"/>
          <w:highlight w:val="none"/>
        </w:rPr>
        <w:t>温州市域内市级疗休养基地、浙江国家生态旅游协作区</w:t>
      </w:r>
      <w:r>
        <w:rPr>
          <w:rFonts w:hint="eastAsia" w:ascii="新宋体" w:hAnsi="新宋体" w:eastAsia="新宋体" w:cs="新宋体"/>
          <w:b/>
          <w:bCs w:val="0"/>
          <w:color w:val="auto"/>
          <w:sz w:val="22"/>
          <w:szCs w:val="22"/>
          <w:highlight w:val="none"/>
          <w:lang w:eastAsia="zh-CN"/>
        </w:rPr>
        <w:t>；</w:t>
      </w:r>
    </w:p>
    <w:p>
      <w:pPr>
        <w:spacing w:line="460" w:lineRule="exact"/>
        <w:ind w:firstLine="442" w:firstLineChars="200"/>
        <w:rPr>
          <w:rFonts w:hint="eastAsia" w:ascii="新宋体" w:hAnsi="新宋体" w:eastAsia="新宋体" w:cs="新宋体"/>
          <w:b/>
          <w:bCs w:val="0"/>
          <w:color w:val="auto"/>
          <w:sz w:val="22"/>
          <w:szCs w:val="22"/>
          <w:highlight w:val="none"/>
          <w:lang w:eastAsia="zh-CN"/>
        </w:rPr>
      </w:pPr>
      <w:r>
        <w:rPr>
          <w:rFonts w:hint="eastAsia" w:ascii="新宋体" w:hAnsi="新宋体" w:eastAsia="新宋体" w:cs="新宋体"/>
          <w:b/>
          <w:bCs w:val="0"/>
          <w:color w:val="auto"/>
          <w:sz w:val="22"/>
          <w:szCs w:val="22"/>
          <w:highlight w:val="none"/>
        </w:rPr>
        <w:t>皖闽赣国家生态旅游协作区，长三角地区</w:t>
      </w:r>
      <w:r>
        <w:rPr>
          <w:rFonts w:hint="eastAsia" w:ascii="新宋体" w:hAnsi="新宋体" w:eastAsia="新宋体" w:cs="新宋体"/>
          <w:b/>
          <w:bCs w:val="0"/>
          <w:color w:val="auto"/>
          <w:sz w:val="22"/>
          <w:szCs w:val="22"/>
          <w:highlight w:val="none"/>
          <w:lang w:eastAsia="zh-CN"/>
        </w:rPr>
        <w:t>；</w:t>
      </w:r>
    </w:p>
    <w:p>
      <w:pPr>
        <w:spacing w:line="460" w:lineRule="exact"/>
        <w:ind w:firstLine="442" w:firstLineChars="200"/>
        <w:rPr>
          <w:rFonts w:hint="eastAsia" w:ascii="新宋体" w:hAnsi="新宋体" w:eastAsia="新宋体" w:cs="新宋体"/>
          <w:bCs/>
          <w:color w:val="auto"/>
          <w:sz w:val="22"/>
          <w:szCs w:val="22"/>
          <w:highlight w:val="none"/>
          <w:lang w:eastAsia="zh-CN"/>
        </w:rPr>
      </w:pPr>
      <w:r>
        <w:rPr>
          <w:rFonts w:hint="eastAsia" w:ascii="新宋体" w:hAnsi="新宋体" w:eastAsia="新宋体" w:cs="新宋体"/>
          <w:b/>
          <w:bCs w:val="0"/>
          <w:color w:val="auto"/>
          <w:sz w:val="22"/>
          <w:szCs w:val="22"/>
          <w:highlight w:val="none"/>
        </w:rPr>
        <w:t>本市东西部协助、对口支援（合作）地区（新疆阿克苏地区、青海省格尔木市、西藏那曲地区嘉黎县、四川省南充市、阿坝州、 重庆市涪陵区、吉林省吉林市）</w:t>
      </w:r>
      <w:r>
        <w:rPr>
          <w:rFonts w:hint="eastAsia" w:ascii="新宋体" w:hAnsi="新宋体" w:eastAsia="新宋体" w:cs="新宋体"/>
          <w:b/>
          <w:bCs w:val="0"/>
          <w:color w:val="auto"/>
          <w:sz w:val="22"/>
          <w:szCs w:val="22"/>
          <w:highlight w:val="none"/>
          <w:lang w:eastAsia="zh-CN"/>
        </w:rPr>
        <w:t>；</w:t>
      </w:r>
    </w:p>
    <w:p>
      <w:pPr>
        <w:spacing w:line="460" w:lineRule="exact"/>
        <w:ind w:firstLine="440" w:firstLineChars="200"/>
        <w:rPr>
          <w:rFonts w:hint="eastAsia"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具体要求如下：</w:t>
      </w:r>
    </w:p>
    <w:p>
      <w:pPr>
        <w:numPr>
          <w:ilvl w:val="0"/>
          <w:numId w:val="4"/>
        </w:numPr>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线路：</w:t>
      </w:r>
      <w:r>
        <w:rPr>
          <w:rFonts w:hint="eastAsia" w:ascii="新宋体" w:hAnsi="新宋体" w:eastAsia="新宋体" w:cs="新宋体"/>
          <w:bCs/>
          <w:color w:val="auto"/>
          <w:sz w:val="22"/>
          <w:szCs w:val="22"/>
          <w:highlight w:val="none"/>
          <w:lang w:val="en-US" w:eastAsia="zh-CN"/>
        </w:rPr>
        <w:t>▲</w:t>
      </w:r>
      <w:r>
        <w:rPr>
          <w:rFonts w:hint="eastAsia" w:ascii="新宋体" w:hAnsi="新宋体" w:eastAsia="新宋体" w:cs="新宋体"/>
          <w:b/>
          <w:bCs w:val="0"/>
          <w:color w:val="auto"/>
          <w:sz w:val="22"/>
          <w:szCs w:val="22"/>
          <w:highlight w:val="none"/>
          <w:lang w:val="en-US" w:eastAsia="zh-CN"/>
        </w:rPr>
        <w:t>各线路福利费用3000元/人（</w:t>
      </w:r>
      <w:r>
        <w:rPr>
          <w:rFonts w:hint="eastAsia" w:ascii="新宋体" w:hAnsi="新宋体" w:eastAsia="新宋体"/>
          <w:b/>
          <w:color w:val="auto"/>
          <w:sz w:val="22"/>
          <w:szCs w:val="22"/>
          <w:highlight w:val="none"/>
        </w:rPr>
        <w:t>跨省超出</w:t>
      </w:r>
      <w:r>
        <w:rPr>
          <w:rFonts w:hint="eastAsia" w:ascii="新宋体" w:hAnsi="新宋体" w:eastAsia="新宋体"/>
          <w:b/>
          <w:color w:val="auto"/>
          <w:sz w:val="22"/>
          <w:szCs w:val="22"/>
          <w:highlight w:val="none"/>
          <w:lang w:val="en-US" w:eastAsia="zh-CN"/>
        </w:rPr>
        <w:t>福利费用</w:t>
      </w:r>
      <w:r>
        <w:rPr>
          <w:rFonts w:hint="eastAsia" w:ascii="新宋体" w:hAnsi="新宋体" w:eastAsia="新宋体"/>
          <w:b/>
          <w:color w:val="auto"/>
          <w:sz w:val="22"/>
          <w:szCs w:val="22"/>
          <w:highlight w:val="none"/>
        </w:rPr>
        <w:t>部分由职工本人负担费用，职工本人负担费用不得超过3000元）</w:t>
      </w:r>
      <w:r>
        <w:rPr>
          <w:rFonts w:hint="eastAsia" w:ascii="新宋体" w:hAnsi="新宋体" w:eastAsia="新宋体" w:cs="新宋体"/>
          <w:color w:val="auto"/>
          <w:highlight w:val="none"/>
        </w:rPr>
        <w:t>。</w:t>
      </w:r>
      <w:r>
        <w:rPr>
          <w:rFonts w:hint="eastAsia" w:ascii="新宋体" w:hAnsi="新宋体" w:eastAsia="新宋体" w:cs="新宋体"/>
          <w:bCs/>
          <w:color w:val="auto"/>
          <w:sz w:val="22"/>
          <w:szCs w:val="22"/>
          <w:highlight w:val="none"/>
        </w:rPr>
        <w:t>在实</w:t>
      </w:r>
      <w:r>
        <w:rPr>
          <w:rFonts w:hint="eastAsia" w:ascii="新宋体" w:hAnsi="新宋体" w:eastAsia="新宋体" w:cs="新宋体"/>
          <w:bCs/>
          <w:color w:val="auto"/>
          <w:sz w:val="22"/>
          <w:szCs w:val="22"/>
          <w:highlight w:val="none"/>
        </w:rPr>
        <w:t>施阶段，职工可任选某一线路。供应商应考虑职工疗休养的公平性、均衡性（即保证任一线路的疗休养标准基本一致），自行安排上述线路的具体方案。中标人的方案应获得招标人的认可，招标人保留对中标人的某一线路指定其他方案的权利。</w:t>
      </w:r>
    </w:p>
    <w:p>
      <w:pPr>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r>
        <w:rPr>
          <w:rFonts w:hint="eastAsia" w:ascii="新宋体" w:hAnsi="新宋体" w:eastAsia="新宋体" w:cs="新宋体"/>
          <w:b/>
          <w:bCs/>
          <w:color w:val="auto"/>
          <w:sz w:val="22"/>
          <w:szCs w:val="22"/>
          <w:highlight w:val="none"/>
        </w:rPr>
        <w:t>时间：均为含在途时间。</w:t>
      </w:r>
      <w:r>
        <w:rPr>
          <w:rFonts w:hint="eastAsia" w:ascii="新宋体" w:hAnsi="新宋体" w:eastAsia="新宋体" w:cs="新宋体"/>
          <w:bCs/>
          <w:color w:val="auto"/>
          <w:sz w:val="22"/>
          <w:szCs w:val="22"/>
          <w:highlight w:val="none"/>
        </w:rPr>
        <w:t>组团按招标人计划实施，具体出团及返回时间根据供应商编制并获得招标人认可的方案为准。</w:t>
      </w:r>
    </w:p>
    <w:p>
      <w:pPr>
        <w:autoSpaceDN w:val="0"/>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住宿：四星级及以上标准酒店，开业或新装修时间不超过五年。住宿为标准间（2人），尽可能在同一楼层，不安排窗户朝路边喧闹的房间，含早餐。要求房间干净整洁，各个设施齐全且能正常使用（淋浴房沐浴喷头有手持可以活动的喷头），24小时供应热水。同一线路原则上住在同一家酒店。方案中需列出酒店名称或具体的地点、价格（携程网用户评分不低于4.0分）。</w:t>
      </w:r>
    </w:p>
    <w:p>
      <w:pPr>
        <w:autoSpaceDN w:val="0"/>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景点及门票：需列明项目具体线路安排及设计到的主要景区、景点。门票包括大门票和景点内必游的小门票，以及索道（如有）、电瓶车（如有）、游船（如有）等，不参加其他自费景点。方案中列出每个参观景点、计划参观时间。如因出行人员身体不适等原因未进入景区的,结算时须退还相应门票价，并安排不参加的职工在宾馆休息。本次疗休养不安排购物点，不指定具体的购物场所，不安排强制付费疗休养项目。</w:t>
      </w:r>
    </w:p>
    <w:p>
      <w:pPr>
        <w:autoSpaceDN w:val="0"/>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5、用餐：在正规饭店或农家乐就餐，以10人一桌为标准，正菜不少于1</w:t>
      </w:r>
      <w:r>
        <w:rPr>
          <w:rFonts w:hint="eastAsia" w:ascii="新宋体" w:hAnsi="新宋体" w:eastAsia="新宋体" w:cs="新宋体"/>
          <w:bCs/>
          <w:color w:val="auto"/>
          <w:sz w:val="22"/>
          <w:szCs w:val="22"/>
          <w:highlight w:val="none"/>
          <w:lang w:val="en-US" w:eastAsia="zh-CN"/>
        </w:rPr>
        <w:t>0</w:t>
      </w:r>
      <w:r>
        <w:rPr>
          <w:rFonts w:hint="eastAsia" w:ascii="新宋体" w:hAnsi="新宋体" w:eastAsia="新宋体" w:cs="新宋体"/>
          <w:bCs/>
          <w:color w:val="auto"/>
          <w:sz w:val="22"/>
          <w:szCs w:val="22"/>
          <w:highlight w:val="none"/>
        </w:rPr>
        <w:t>个（不含冷菜），荤菜不少于</w:t>
      </w:r>
      <w:r>
        <w:rPr>
          <w:rFonts w:hint="eastAsia" w:ascii="新宋体" w:hAnsi="新宋体" w:eastAsia="新宋体" w:cs="新宋体"/>
          <w:bCs/>
          <w:color w:val="auto"/>
          <w:sz w:val="22"/>
          <w:szCs w:val="22"/>
          <w:highlight w:val="none"/>
          <w:lang w:val="en-US" w:eastAsia="zh-CN"/>
        </w:rPr>
        <w:t>4</w:t>
      </w:r>
      <w:r>
        <w:rPr>
          <w:rFonts w:hint="eastAsia" w:ascii="新宋体" w:hAnsi="新宋体" w:eastAsia="新宋体" w:cs="新宋体"/>
          <w:bCs/>
          <w:color w:val="auto"/>
          <w:sz w:val="22"/>
          <w:szCs w:val="22"/>
          <w:highlight w:val="none"/>
        </w:rPr>
        <w:t>个，也可用自助餐的形式。正餐（午餐、晚餐）不低于</w:t>
      </w:r>
      <w:r>
        <w:rPr>
          <w:rFonts w:hint="eastAsia" w:ascii="新宋体" w:hAnsi="新宋体" w:eastAsia="新宋体" w:cs="新宋体"/>
          <w:bCs/>
          <w:color w:val="auto"/>
          <w:sz w:val="22"/>
          <w:szCs w:val="22"/>
          <w:highlight w:val="none"/>
          <w:lang w:val="en-US" w:eastAsia="zh-CN"/>
        </w:rPr>
        <w:t>100</w:t>
      </w:r>
      <w:r>
        <w:rPr>
          <w:rFonts w:hint="eastAsia" w:ascii="新宋体" w:hAnsi="新宋体" w:eastAsia="新宋体" w:cs="新宋体"/>
          <w:bCs/>
          <w:color w:val="auto"/>
          <w:sz w:val="22"/>
          <w:szCs w:val="22"/>
          <w:highlight w:val="none"/>
        </w:rPr>
        <w:t>元/人/天，用餐次数按旅游天数算足，旅游期间，如遇未用餐的情况，结算时须退还相应餐费；</w:t>
      </w:r>
    </w:p>
    <w:p>
      <w:pPr>
        <w:autoSpaceDN w:val="0"/>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司机、导游和车辆情况：司机五年内无不良纪录，服务态度好、技术好，确保行程安全。投标供应商需安排有丰富经验的导游（不少于三年，且具备导游证）全程陪同，每辆车至少安排一名导游。当地优秀资质公司有导游资格的专业导游讲解服务（不送小费）。要求每批旅行社至少安排一名全陪导游，一名地接导游。 全程空调车接送。要求车况好，两年内车辆，内饰干净，下部有行李箱，车位充足，空调效果好（如需高铁出行，需安排旅游大巴接送至动车站，并设全陪导游一名）。报价须包含司机、导游及车辆的所有费用。途中的坐船等交通费用以及其他需产生的费用均包含在报价中，在方案中需详细列出。</w:t>
      </w:r>
    </w:p>
    <w:p>
      <w:pPr>
        <w:spacing w:line="460" w:lineRule="exact"/>
        <w:ind w:firstLine="442" w:firstLineChars="200"/>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（二）其他要求</w:t>
      </w:r>
    </w:p>
    <w:p>
      <w:pPr>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服务人员：设本项目服务专员（项目负责人），要求具备一定的资历资格和丰富的从业经验，加强双方沟通，根据招标人要求及时调整方案并获得招标人认可，应急处理相关事务等。具体出团全程配导游（全陪+地陪），要求不少于三年导游经验，引导、讲解景点山水、典故等，解决旅途中可能出现的突发事件，并给予游客食、宿、行等方面的帮助。</w:t>
      </w:r>
    </w:p>
    <w:p>
      <w:pPr>
        <w:autoSpaceDN w:val="0"/>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保险：由中标人提供责任险及旅游意外险，并包含在报价中。包括但不限于旅行社责任险和个人旅游人身意外险（个人旅游人身意外险保额不少于100万），疗休养期间所有的安全责任由中标单位承担，投标单位投标时需予以承诺。</w:t>
      </w:r>
    </w:p>
    <w:p>
      <w:pPr>
        <w:autoSpaceDN w:val="0"/>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3、组团：按20-30人成团考虑，根据实际情况出行。（20人及以上不允许拼团）</w:t>
      </w:r>
    </w:p>
    <w:p>
      <w:pPr>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费用：报价包括以上参团职工吃、住、行及景点门票费、导游费、保险费（旅游全程保险费）、服务人员（导游、司机等）吃、住、行费用、供应商预计的其他费用和风险费用。供应商应根据自身编制的方案并考虑职工疗休养的公平性、均衡性，对各线路分别综合报价。</w:t>
      </w:r>
    </w:p>
    <w:p>
      <w:pPr>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5、行程要求：写明启程与回程的旅游大巴、动车及航班具体时间。</w:t>
      </w:r>
    </w:p>
    <w:p>
      <w:pPr>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付款方式：按批次进行，按批次支付。各批次疗休养行程结束后，中标供应商提供结算函（附本结算批次的人数、总价等统计情况），经采购人签字同意后，采购人按批次在中标供应商开具增值税普通发票后30日内一次性支付该批次合同价款，职工本人负担部分由职工本人与旅行社结算。</w:t>
      </w:r>
    </w:p>
    <w:p>
      <w:pPr>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本项目招标结束后，采购人如发现中标供应商提供不实投标资料，采购人有权取消中标资格；如合同签订后发现，采购人有权解除合同。供应商必须对采购人要求的全部服务范围进行响应，不得进行选择性服务。</w:t>
      </w:r>
    </w:p>
    <w:p>
      <w:pPr>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8、疗休养活动方案制定必须遵守相关规定。</w:t>
      </w:r>
    </w:p>
    <w:p>
      <w:pPr>
        <w:autoSpaceDN w:val="0"/>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9、其他事项以旅游合同为准。</w:t>
      </w:r>
    </w:p>
    <w:p>
      <w:pPr>
        <w:autoSpaceDN w:val="0"/>
        <w:spacing w:line="460" w:lineRule="exact"/>
        <w:ind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10、具体行程双方协商确定。</w:t>
      </w:r>
    </w:p>
    <w:p>
      <w:pPr>
        <w:spacing w:line="460" w:lineRule="exact"/>
        <w:ind w:firstLine="440" w:firstLineChars="200"/>
        <w:rPr>
          <w:rFonts w:hint="eastAsia" w:ascii="新宋体" w:hAnsi="新宋体" w:eastAsia="新宋体" w:cs="新宋体"/>
          <w:color w:val="auto"/>
          <w:sz w:val="28"/>
          <w:szCs w:val="28"/>
          <w:highlight w:val="none"/>
        </w:rPr>
      </w:pPr>
      <w:r>
        <w:rPr>
          <w:rFonts w:hint="eastAsia" w:ascii="新宋体" w:hAnsi="新宋体" w:eastAsia="新宋体" w:cs="新宋体"/>
          <w:bCs/>
          <w:color w:val="auto"/>
          <w:sz w:val="22"/>
          <w:szCs w:val="22"/>
          <w:highlight w:val="none"/>
        </w:rPr>
        <w:t>11、</w:t>
      </w:r>
      <w:r>
        <w:rPr>
          <w:rFonts w:hint="eastAsia" w:ascii="新宋体" w:hAnsi="新宋体" w:eastAsia="新宋体" w:cs="新宋体"/>
          <w:b/>
          <w:color w:val="auto"/>
          <w:sz w:val="22"/>
          <w:szCs w:val="22"/>
          <w:highlight w:val="none"/>
        </w:rPr>
        <w:t>每期完成疗养服务后，须让10名出行代表填写《满意度调查表》</w:t>
      </w:r>
    </w:p>
    <w:p>
      <w:pPr>
        <w:spacing w:line="460" w:lineRule="exact"/>
        <w:ind w:firstLine="570"/>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满意度调查表</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956"/>
        <w:gridCol w:w="770"/>
        <w:gridCol w:w="863"/>
        <w:gridCol w:w="671"/>
        <w:gridCol w:w="192"/>
        <w:gridCol w:w="517"/>
        <w:gridCol w:w="346"/>
        <w:gridCol w:w="863"/>
        <w:gridCol w:w="863"/>
        <w:gridCol w:w="86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疗休养服务单位</w:t>
            </w:r>
          </w:p>
        </w:tc>
        <w:tc>
          <w:tcPr>
            <w:tcW w:w="6910" w:type="dxa"/>
            <w:gridSpan w:val="11"/>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疗养地点</w:t>
            </w:r>
          </w:p>
        </w:tc>
        <w:tc>
          <w:tcPr>
            <w:tcW w:w="3260" w:type="dxa"/>
            <w:gridSpan w:val="4"/>
          </w:tcPr>
          <w:p>
            <w:pPr>
              <w:spacing w:line="460" w:lineRule="exact"/>
              <w:ind w:firstLine="570"/>
              <w:rPr>
                <w:rFonts w:hint="eastAsia" w:ascii="新宋体" w:hAnsi="新宋体" w:eastAsia="新宋体" w:cs="新宋体"/>
                <w:color w:val="auto"/>
                <w:sz w:val="22"/>
                <w:szCs w:val="22"/>
                <w:highlight w:val="none"/>
              </w:rPr>
            </w:pPr>
          </w:p>
        </w:tc>
        <w:tc>
          <w:tcPr>
            <w:tcW w:w="709" w:type="dxa"/>
            <w:gridSpan w:val="2"/>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人数</w:t>
            </w:r>
          </w:p>
        </w:tc>
        <w:tc>
          <w:tcPr>
            <w:tcW w:w="2941" w:type="dxa"/>
            <w:gridSpan w:val="5"/>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疗养时间</w:t>
            </w:r>
          </w:p>
        </w:tc>
        <w:tc>
          <w:tcPr>
            <w:tcW w:w="6910" w:type="dxa"/>
            <w:gridSpan w:val="11"/>
          </w:tcPr>
          <w:p>
            <w:pPr>
              <w:spacing w:line="460" w:lineRule="exact"/>
              <w:ind w:firstLine="57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_____ 年___ 月  ____日至 ___ 月  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916" w:type="dxa"/>
            <w:vMerge w:val="restart"/>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评分项目及分值（100分）</w:t>
            </w:r>
          </w:p>
        </w:tc>
        <w:tc>
          <w:tcPr>
            <w:tcW w:w="6910" w:type="dxa"/>
            <w:gridSpan w:val="11"/>
          </w:tcPr>
          <w:p>
            <w:pPr>
              <w:spacing w:line="460" w:lineRule="exact"/>
              <w:ind w:firstLine="57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满意度评价（请您在人为的选项后空格内评分）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1916" w:type="dxa"/>
            <w:vMerge w:val="continue"/>
          </w:tcPr>
          <w:p>
            <w:pPr>
              <w:spacing w:line="460" w:lineRule="exact"/>
              <w:rPr>
                <w:rFonts w:hint="eastAsia" w:ascii="新宋体" w:hAnsi="新宋体" w:eastAsia="新宋体" w:cs="新宋体"/>
                <w:color w:val="auto"/>
                <w:sz w:val="22"/>
                <w:szCs w:val="22"/>
                <w:highlight w:val="none"/>
              </w:rPr>
            </w:pPr>
          </w:p>
        </w:tc>
        <w:tc>
          <w:tcPr>
            <w:tcW w:w="1726" w:type="dxa"/>
            <w:gridSpan w:val="2"/>
          </w:tcPr>
          <w:p>
            <w:pPr>
              <w:spacing w:line="460" w:lineRule="exact"/>
              <w:ind w:firstLine="57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好</w:t>
            </w:r>
          </w:p>
        </w:tc>
        <w:tc>
          <w:tcPr>
            <w:tcW w:w="1726" w:type="dxa"/>
            <w:gridSpan w:val="3"/>
          </w:tcPr>
          <w:p>
            <w:pPr>
              <w:spacing w:line="460" w:lineRule="exact"/>
              <w:ind w:firstLine="57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较好</w:t>
            </w:r>
          </w:p>
        </w:tc>
        <w:tc>
          <w:tcPr>
            <w:tcW w:w="1726" w:type="dxa"/>
            <w:gridSpan w:val="3"/>
          </w:tcPr>
          <w:p>
            <w:pPr>
              <w:spacing w:line="460" w:lineRule="exact"/>
              <w:ind w:firstLine="57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一般</w:t>
            </w:r>
          </w:p>
        </w:tc>
        <w:tc>
          <w:tcPr>
            <w:tcW w:w="1732" w:type="dxa"/>
            <w:gridSpan w:val="3"/>
          </w:tcPr>
          <w:p>
            <w:pPr>
              <w:spacing w:line="460" w:lineRule="exact"/>
              <w:ind w:firstLine="57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住宿条件（20分）</w:t>
            </w:r>
          </w:p>
        </w:tc>
        <w:tc>
          <w:tcPr>
            <w:tcW w:w="956"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20-18</w:t>
            </w:r>
          </w:p>
        </w:tc>
        <w:tc>
          <w:tcPr>
            <w:tcW w:w="770"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17-16</w:t>
            </w:r>
          </w:p>
        </w:tc>
        <w:tc>
          <w:tcPr>
            <w:tcW w:w="863" w:type="dxa"/>
            <w:gridSpan w:val="2"/>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gridSpan w:val="2"/>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15-12</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&lt;12</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餐饮状况（20分）</w:t>
            </w:r>
          </w:p>
        </w:tc>
        <w:tc>
          <w:tcPr>
            <w:tcW w:w="956"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20-18</w:t>
            </w:r>
          </w:p>
        </w:tc>
        <w:tc>
          <w:tcPr>
            <w:tcW w:w="770"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17-16</w:t>
            </w:r>
          </w:p>
        </w:tc>
        <w:tc>
          <w:tcPr>
            <w:tcW w:w="863" w:type="dxa"/>
            <w:gridSpan w:val="2"/>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gridSpan w:val="2"/>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15-12</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&lt;12</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31" w:hRule="atLeast"/>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行程景点安排</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（30分）</w:t>
            </w:r>
          </w:p>
        </w:tc>
        <w:tc>
          <w:tcPr>
            <w:tcW w:w="956"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30-25</w:t>
            </w:r>
          </w:p>
        </w:tc>
        <w:tc>
          <w:tcPr>
            <w:tcW w:w="770"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24-20</w:t>
            </w:r>
          </w:p>
        </w:tc>
        <w:tc>
          <w:tcPr>
            <w:tcW w:w="863" w:type="dxa"/>
            <w:gridSpan w:val="2"/>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gridSpan w:val="2"/>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19-15</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&lt;15</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车辆状况和司机服务（10分）</w:t>
            </w:r>
          </w:p>
        </w:tc>
        <w:tc>
          <w:tcPr>
            <w:tcW w:w="956"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10-9</w:t>
            </w:r>
          </w:p>
        </w:tc>
        <w:tc>
          <w:tcPr>
            <w:tcW w:w="770"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8-7</w:t>
            </w:r>
          </w:p>
        </w:tc>
        <w:tc>
          <w:tcPr>
            <w:tcW w:w="863" w:type="dxa"/>
            <w:gridSpan w:val="2"/>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gridSpan w:val="2"/>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6-5</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&lt;5</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导游服务（10分）</w:t>
            </w:r>
          </w:p>
        </w:tc>
        <w:tc>
          <w:tcPr>
            <w:tcW w:w="956"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10-9</w:t>
            </w:r>
          </w:p>
        </w:tc>
        <w:tc>
          <w:tcPr>
            <w:tcW w:w="770"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8-7</w:t>
            </w:r>
          </w:p>
        </w:tc>
        <w:tc>
          <w:tcPr>
            <w:tcW w:w="863" w:type="dxa"/>
            <w:gridSpan w:val="2"/>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gridSpan w:val="2"/>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6-5</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&lt;5</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安全措施（10分）</w:t>
            </w:r>
          </w:p>
        </w:tc>
        <w:tc>
          <w:tcPr>
            <w:tcW w:w="956"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10-9</w:t>
            </w:r>
          </w:p>
        </w:tc>
        <w:tc>
          <w:tcPr>
            <w:tcW w:w="770"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8-7</w:t>
            </w:r>
          </w:p>
        </w:tc>
        <w:tc>
          <w:tcPr>
            <w:tcW w:w="863" w:type="dxa"/>
            <w:gridSpan w:val="2"/>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gridSpan w:val="2"/>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6-5</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c>
          <w:tcPr>
            <w:tcW w:w="863" w:type="dxa"/>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&lt;5</w:t>
            </w:r>
          </w:p>
        </w:tc>
        <w:tc>
          <w:tcPr>
            <w:tcW w:w="863" w:type="dxa"/>
            <w:vAlign w:val="center"/>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1916" w:type="dxa"/>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合计得分</w:t>
            </w:r>
          </w:p>
        </w:tc>
        <w:tc>
          <w:tcPr>
            <w:tcW w:w="6904" w:type="dxa"/>
            <w:gridSpan w:val="10"/>
            <w:vAlign w:val="center"/>
          </w:tcPr>
          <w:p>
            <w:pPr>
              <w:spacing w:line="460" w:lineRule="exact"/>
              <w:ind w:firstLine="570"/>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8826" w:type="dxa"/>
            <w:gridSpan w:val="12"/>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对本次疗休养的整体评价及建议：</w:t>
            </w:r>
          </w:p>
          <w:p>
            <w:pPr>
              <w:spacing w:line="460" w:lineRule="exact"/>
              <w:rPr>
                <w:rFonts w:hint="eastAsia" w:ascii="新宋体" w:hAnsi="新宋体" w:eastAsia="新宋体" w:cs="新宋体"/>
                <w:color w:val="auto"/>
                <w:sz w:val="22"/>
                <w:szCs w:val="22"/>
                <w:highlight w:val="none"/>
              </w:rPr>
            </w:pPr>
          </w:p>
          <w:p>
            <w:pPr>
              <w:spacing w:line="460" w:lineRule="exact"/>
              <w:rPr>
                <w:rFonts w:hint="eastAsia" w:ascii="新宋体" w:hAnsi="新宋体" w:eastAsia="新宋体" w:cs="新宋体"/>
                <w:color w:val="auto"/>
                <w:sz w:val="22"/>
                <w:szCs w:val="22"/>
                <w:highlight w:val="none"/>
              </w:rPr>
            </w:pPr>
          </w:p>
          <w:p>
            <w:pPr>
              <w:spacing w:line="460" w:lineRule="exact"/>
              <w:rPr>
                <w:rFonts w:hint="eastAsia" w:ascii="新宋体" w:hAnsi="新宋体" w:eastAsia="新宋体" w:cs="新宋体"/>
                <w:color w:val="auto"/>
                <w:sz w:val="22"/>
                <w:szCs w:val="22"/>
                <w:highlight w:val="none"/>
              </w:rPr>
            </w:pPr>
          </w:p>
          <w:p>
            <w:pPr>
              <w:wordWrap w:val="0"/>
              <w:spacing w:line="460" w:lineRule="exact"/>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签名：          联系电话               </w:t>
            </w:r>
          </w:p>
          <w:p>
            <w:pPr>
              <w:wordWrap w:val="0"/>
              <w:spacing w:line="460" w:lineRule="exact"/>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8826" w:type="dxa"/>
            <w:gridSpan w:val="12"/>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词表作为对疗休养服务单位的评价依据，每批次疗休养完成后组织测评。得分90分（含）以上为满意，80分（含）-90分为合格，80分一下为不合格。合同期内不合格数量达到2批及以上，采购人有权解除合同。</w:t>
            </w:r>
          </w:p>
        </w:tc>
      </w:tr>
    </w:tbl>
    <w:p>
      <w:pPr>
        <w:rPr>
          <w:rFonts w:ascii="宋体" w:hAnsi="宋体" w:cs="宋体"/>
          <w:color w:val="auto"/>
          <w:highlight w:val="none"/>
        </w:rPr>
      </w:pPr>
      <w:r>
        <w:rPr>
          <w:rFonts w:hint="eastAsia" w:ascii="宋体" w:hAnsi="宋体" w:cs="宋体"/>
          <w:color w:val="auto"/>
          <w:highlight w:val="none"/>
        </w:rPr>
        <w:br w:type="page"/>
      </w:r>
    </w:p>
    <w:p>
      <w:pPr>
        <w:pStyle w:val="2"/>
        <w:rPr>
          <w:rFonts w:ascii="宋体" w:hAnsi="宋体" w:eastAsia="宋体" w:cs="宋体"/>
          <w:color w:val="auto"/>
          <w:highlight w:val="none"/>
        </w:rPr>
      </w:pPr>
      <w:r>
        <w:rPr>
          <w:rFonts w:hint="eastAsia" w:ascii="宋体" w:hAnsi="宋体" w:eastAsia="宋体" w:cs="宋体"/>
          <w:color w:val="auto"/>
          <w:highlight w:val="none"/>
        </w:rPr>
        <w:t>第五部分   评标原则及方法</w:t>
      </w:r>
      <w:bookmarkEnd w:id="71"/>
      <w:bookmarkEnd w:id="72"/>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参照《中华人民共和国政府采购法》、《政府采购货物和服务招标投标管理办法》、《中华人民共和国政府采购法实施条例》和《关于进一步规范政府采购活动的若干意见》等相关法规特制定以下评标办法。</w:t>
      </w:r>
    </w:p>
    <w:p>
      <w:pPr>
        <w:spacing w:line="460" w:lineRule="exact"/>
        <w:ind w:firstLine="541" w:firstLineChars="245"/>
        <w:outlineLvl w:val="1"/>
        <w:rPr>
          <w:rFonts w:hint="eastAsia" w:ascii="新宋体" w:hAnsi="新宋体" w:eastAsia="新宋体" w:cs="新宋体"/>
          <w:b/>
          <w:color w:val="auto"/>
          <w:sz w:val="22"/>
          <w:szCs w:val="22"/>
          <w:highlight w:val="none"/>
        </w:rPr>
      </w:pPr>
      <w:bookmarkStart w:id="73" w:name="_Toc15713"/>
      <w:bookmarkStart w:id="74" w:name="_Toc4407"/>
      <w:r>
        <w:rPr>
          <w:rFonts w:hint="eastAsia" w:ascii="新宋体" w:hAnsi="新宋体" w:eastAsia="新宋体" w:cs="新宋体"/>
          <w:b/>
          <w:color w:val="auto"/>
          <w:sz w:val="22"/>
          <w:szCs w:val="22"/>
          <w:highlight w:val="none"/>
        </w:rPr>
        <w:t>一、总 则</w:t>
      </w:r>
      <w:bookmarkEnd w:id="73"/>
      <w:bookmarkEnd w:id="74"/>
    </w:p>
    <w:p>
      <w:pPr>
        <w:spacing w:line="460" w:lineRule="exact"/>
        <w:ind w:firstLine="539" w:firstLineChars="245"/>
        <w:rPr>
          <w:rFonts w:hint="eastAsia" w:ascii="新宋体" w:hAnsi="新宋体" w:eastAsia="新宋体" w:cs="新宋体"/>
          <w:b/>
          <w:color w:val="auto"/>
          <w:sz w:val="22"/>
          <w:highlight w:val="none"/>
        </w:rPr>
      </w:pPr>
      <w:r>
        <w:rPr>
          <w:rFonts w:hint="eastAsia" w:ascii="新宋体" w:hAnsi="新宋体" w:eastAsia="新宋体" w:cs="新宋体"/>
          <w:color w:val="auto"/>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541" w:firstLineChars="245"/>
        <w:outlineLvl w:val="1"/>
        <w:rPr>
          <w:rFonts w:hint="eastAsia" w:ascii="新宋体" w:hAnsi="新宋体" w:eastAsia="新宋体" w:cs="新宋体"/>
          <w:b/>
          <w:color w:val="auto"/>
          <w:sz w:val="22"/>
          <w:szCs w:val="22"/>
          <w:highlight w:val="none"/>
        </w:rPr>
      </w:pPr>
      <w:bookmarkStart w:id="75" w:name="_Toc23152"/>
      <w:bookmarkStart w:id="76" w:name="_Toc24468"/>
      <w:r>
        <w:rPr>
          <w:rFonts w:hint="eastAsia" w:ascii="新宋体" w:hAnsi="新宋体" w:eastAsia="新宋体" w:cs="新宋体"/>
          <w:b/>
          <w:color w:val="auto"/>
          <w:sz w:val="22"/>
          <w:szCs w:val="22"/>
          <w:highlight w:val="none"/>
        </w:rPr>
        <w:t>二、评标组织</w:t>
      </w:r>
      <w:bookmarkEnd w:id="75"/>
      <w:bookmarkEnd w:id="76"/>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评标工作由招标人组建的评标委员会负责，评标全过程由有关部门指导监督。</w:t>
      </w:r>
    </w:p>
    <w:p>
      <w:pPr>
        <w:spacing w:line="460" w:lineRule="exact"/>
        <w:ind w:firstLine="541" w:firstLineChars="245"/>
        <w:outlineLvl w:val="1"/>
        <w:rPr>
          <w:rFonts w:hint="eastAsia" w:ascii="新宋体" w:hAnsi="新宋体" w:eastAsia="新宋体" w:cs="新宋体"/>
          <w:b/>
          <w:color w:val="auto"/>
          <w:sz w:val="22"/>
          <w:szCs w:val="22"/>
          <w:highlight w:val="none"/>
        </w:rPr>
      </w:pPr>
      <w:bookmarkStart w:id="77" w:name="_Toc67"/>
      <w:bookmarkStart w:id="78" w:name="_Toc15153"/>
      <w:r>
        <w:rPr>
          <w:rFonts w:hint="eastAsia" w:ascii="新宋体" w:hAnsi="新宋体" w:eastAsia="新宋体" w:cs="新宋体"/>
          <w:b/>
          <w:color w:val="auto"/>
          <w:sz w:val="22"/>
          <w:szCs w:val="22"/>
          <w:highlight w:val="none"/>
        </w:rPr>
        <w:t>三、评标程序</w:t>
      </w:r>
      <w:bookmarkEnd w:id="77"/>
      <w:bookmarkEnd w:id="78"/>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评标委员按照招标文件中规定的评标方法和标准，对投标文件进行商务和技术评估，综合比较与评价</w:t>
      </w:r>
      <w:r>
        <w:rPr>
          <w:rFonts w:hint="eastAsia" w:ascii="新宋体" w:hAnsi="新宋体" w:eastAsia="新宋体" w:cs="新宋体"/>
          <w:color w:val="auto"/>
          <w:sz w:val="22"/>
          <w:szCs w:val="22"/>
          <w:highlight w:val="none"/>
        </w:rPr>
        <w:t>，根据综合评审结果，提交评审报告。</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四、评标办法</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新宋体" w:hAnsi="新宋体" w:eastAsia="新宋体"/>
          <w:b/>
          <w:color w:val="auto"/>
          <w:sz w:val="22"/>
          <w:szCs w:val="22"/>
          <w:highlight w:val="none"/>
        </w:rPr>
        <w:t>总分设定为100分：技术标90分（权值90%），商务标（报价）10分（权值10%）。</w:t>
      </w:r>
    </w:p>
    <w:p>
      <w:pPr>
        <w:numPr>
          <w:ilvl w:val="0"/>
          <w:numId w:val="5"/>
        </w:numPr>
        <w:spacing w:line="460" w:lineRule="exact"/>
        <w:ind w:firstLine="541" w:firstLineChars="245"/>
        <w:outlineLvl w:val="1"/>
        <w:rPr>
          <w:rFonts w:ascii="宋体" w:hAnsi="宋体" w:cs="宋体"/>
          <w:b/>
          <w:color w:val="auto"/>
          <w:sz w:val="22"/>
          <w:szCs w:val="22"/>
          <w:highlight w:val="none"/>
        </w:rPr>
      </w:pPr>
      <w:bookmarkStart w:id="79" w:name="_Toc1535"/>
      <w:bookmarkStart w:id="80" w:name="_Toc11450"/>
      <w:r>
        <w:rPr>
          <w:rFonts w:hint="eastAsia" w:ascii="宋体" w:hAnsi="宋体" w:cs="宋体"/>
          <w:b/>
          <w:color w:val="auto"/>
          <w:sz w:val="22"/>
          <w:szCs w:val="22"/>
          <w:highlight w:val="none"/>
        </w:rPr>
        <w:t>评分细则</w:t>
      </w:r>
      <w:bookmarkEnd w:id="79"/>
      <w:bookmarkEnd w:id="80"/>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1、技术分的评定：技术标</w:t>
      </w:r>
      <w:r>
        <w:rPr>
          <w:rFonts w:hint="eastAsia" w:ascii="宋体" w:hAnsi="宋体" w:cs="宋体"/>
          <w:b/>
          <w:color w:val="auto"/>
          <w:sz w:val="22"/>
          <w:szCs w:val="22"/>
          <w:highlight w:val="none"/>
          <w:lang w:val="en-US" w:eastAsia="zh-CN"/>
        </w:rPr>
        <w:t>9</w:t>
      </w:r>
      <w:r>
        <w:rPr>
          <w:rFonts w:hint="eastAsia" w:ascii="宋体" w:hAnsi="宋体" w:cs="宋体"/>
          <w:b/>
          <w:color w:val="auto"/>
          <w:sz w:val="22"/>
          <w:szCs w:val="22"/>
          <w:highlight w:val="none"/>
        </w:rPr>
        <w:t>0分（权值</w:t>
      </w:r>
      <w:r>
        <w:rPr>
          <w:rFonts w:hint="eastAsia" w:ascii="宋体" w:hAnsi="宋体" w:cs="宋体"/>
          <w:b/>
          <w:color w:val="auto"/>
          <w:sz w:val="22"/>
          <w:szCs w:val="22"/>
          <w:highlight w:val="none"/>
          <w:lang w:val="en-US" w:eastAsia="zh-CN"/>
        </w:rPr>
        <w:t>9</w:t>
      </w:r>
      <w:r>
        <w:rPr>
          <w:rFonts w:hint="eastAsia" w:ascii="宋体" w:hAnsi="宋体" w:cs="宋体"/>
          <w:b/>
          <w:color w:val="auto"/>
          <w:sz w:val="22"/>
          <w:szCs w:val="22"/>
          <w:highlight w:val="none"/>
        </w:rPr>
        <w:t>0%）</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ascii="宋体" w:hAnsi="宋体" w:cs="宋体"/>
          <w:color w:val="auto"/>
          <w:sz w:val="22"/>
          <w:highlight w:val="none"/>
        </w:rPr>
        <w:t>各评标委员会成员对各投标人的各项评分内容评分的算术平均值为各投标人技术分得分</w:t>
      </w:r>
      <w:r>
        <w:rPr>
          <w:rFonts w:hint="eastAsia" w:ascii="宋体" w:hAnsi="宋体" w:cs="宋体"/>
          <w:color w:val="auto"/>
          <w:sz w:val="22"/>
          <w:szCs w:val="22"/>
          <w:highlight w:val="none"/>
        </w:rPr>
        <w:t>（小数点后按四舍五入保留2位）。</w:t>
      </w:r>
    </w:p>
    <w:p>
      <w:pPr>
        <w:rPr>
          <w:rFonts w:ascii="宋体" w:hAnsi="宋体" w:cs="宋体"/>
          <w:color w:val="auto"/>
          <w:sz w:val="22"/>
          <w:szCs w:val="22"/>
          <w:highlight w:val="none"/>
        </w:rPr>
      </w:pPr>
    </w:p>
    <w:tbl>
      <w:tblPr>
        <w:tblStyle w:val="52"/>
        <w:tblW w:w="973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485"/>
        <w:gridCol w:w="1275"/>
        <w:gridCol w:w="670"/>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shd w:val="clear" w:color="000000" w:fill="FFFFFF"/>
            <w:vAlign w:val="center"/>
          </w:tcPr>
          <w:p>
            <w:pPr>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序号</w:t>
            </w:r>
          </w:p>
        </w:tc>
        <w:tc>
          <w:tcPr>
            <w:tcW w:w="1760" w:type="dxa"/>
            <w:gridSpan w:val="2"/>
            <w:shd w:val="clear" w:color="000000" w:fill="FFFFFF"/>
            <w:vAlign w:val="center"/>
          </w:tcPr>
          <w:p>
            <w:pPr>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评分项目</w:t>
            </w:r>
          </w:p>
        </w:tc>
        <w:tc>
          <w:tcPr>
            <w:tcW w:w="670" w:type="dxa"/>
            <w:shd w:val="clear" w:color="000000" w:fill="FFFFFF"/>
            <w:vAlign w:val="center"/>
          </w:tcPr>
          <w:p>
            <w:pPr>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分值</w:t>
            </w:r>
          </w:p>
        </w:tc>
        <w:tc>
          <w:tcPr>
            <w:tcW w:w="6595" w:type="dxa"/>
            <w:shd w:val="clear" w:color="000000" w:fill="FFFFFF"/>
            <w:vAlign w:val="center"/>
          </w:tcPr>
          <w:p>
            <w:pPr>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评审要点及说明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vMerge w:val="restart"/>
            <w:shd w:val="clear" w:color="000000" w:fill="FFFFFF"/>
            <w:vAlign w:val="center"/>
          </w:tcPr>
          <w:p>
            <w:pPr>
              <w:spacing w:line="460" w:lineRule="exact"/>
              <w:ind w:left="-50" w:leftChars="-24" w:firstLine="215" w:firstLineChars="98"/>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t>1</w:t>
            </w:r>
          </w:p>
        </w:tc>
        <w:tc>
          <w:tcPr>
            <w:tcW w:w="1760" w:type="dxa"/>
            <w:gridSpan w:val="2"/>
            <w:vMerge w:val="restart"/>
            <w:shd w:val="clear" w:color="000000" w:fill="FFFFFF"/>
            <w:vAlign w:val="center"/>
          </w:tcPr>
          <w:p>
            <w:pPr>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lang w:val="zh-CN"/>
              </w:rPr>
              <w:t>投标</w:t>
            </w:r>
            <w:r>
              <w:rPr>
                <w:rFonts w:hint="eastAsia" w:ascii="新宋体" w:hAnsi="新宋体" w:eastAsia="新宋体" w:cs="新宋体"/>
                <w:color w:val="auto"/>
                <w:sz w:val="22"/>
                <w:szCs w:val="22"/>
                <w:highlight w:val="none"/>
              </w:rPr>
              <w:t>人情况</w:t>
            </w:r>
          </w:p>
        </w:tc>
        <w:tc>
          <w:tcPr>
            <w:tcW w:w="670" w:type="dxa"/>
            <w:shd w:val="clear" w:color="000000" w:fill="FFFFFF"/>
            <w:vAlign w:val="center"/>
          </w:tcPr>
          <w:p>
            <w:pPr>
              <w:spacing w:line="460" w:lineRule="exact"/>
              <w:ind w:left="-50" w:leftChars="0"/>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4</w:t>
            </w:r>
          </w:p>
        </w:tc>
        <w:tc>
          <w:tcPr>
            <w:tcW w:w="6595" w:type="dxa"/>
            <w:shd w:val="clear" w:color="000000" w:fill="FFFFFF"/>
            <w:vAlign w:val="center"/>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根据投标供应商的企业概况、市场情况、网点分布（需提供租赁合同或房产证明复印件加盖公章）等情况进行打分。</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A档：</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分；B档：</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-2分；C档：</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vMerge w:val="continue"/>
            <w:shd w:val="clear" w:color="000000" w:fill="FFFFFF"/>
            <w:vAlign w:val="center"/>
          </w:tcPr>
          <w:p>
            <w:pPr>
              <w:spacing w:line="460" w:lineRule="exact"/>
              <w:ind w:left="-50" w:leftChars="-24" w:firstLine="216" w:firstLineChars="98"/>
              <w:jc w:val="center"/>
              <w:rPr>
                <w:rFonts w:hint="eastAsia" w:ascii="新宋体" w:hAnsi="新宋体" w:eastAsia="新宋体" w:cs="新宋体"/>
                <w:b/>
                <w:bCs/>
                <w:color w:val="auto"/>
                <w:sz w:val="22"/>
                <w:szCs w:val="22"/>
                <w:highlight w:val="none"/>
              </w:rPr>
            </w:pPr>
          </w:p>
        </w:tc>
        <w:tc>
          <w:tcPr>
            <w:tcW w:w="1760" w:type="dxa"/>
            <w:gridSpan w:val="2"/>
            <w:vMerge w:val="continue"/>
            <w:shd w:val="clear" w:color="000000" w:fill="FFFFFF"/>
            <w:vAlign w:val="center"/>
          </w:tcPr>
          <w:p>
            <w:pPr>
              <w:spacing w:line="460" w:lineRule="exact"/>
              <w:jc w:val="center"/>
              <w:rPr>
                <w:rFonts w:hint="eastAsia" w:ascii="新宋体" w:hAnsi="新宋体" w:eastAsia="新宋体" w:cs="新宋体"/>
                <w:b/>
                <w:bCs/>
                <w:color w:val="auto"/>
                <w:sz w:val="22"/>
                <w:szCs w:val="22"/>
                <w:highlight w:val="none"/>
              </w:rPr>
            </w:pPr>
          </w:p>
        </w:tc>
        <w:tc>
          <w:tcPr>
            <w:tcW w:w="670" w:type="dxa"/>
            <w:shd w:val="clear" w:color="000000" w:fill="FFFFFF"/>
            <w:vAlign w:val="center"/>
          </w:tcPr>
          <w:p>
            <w:pPr>
              <w:spacing w:line="460" w:lineRule="exact"/>
              <w:ind w:left="-50" w:leftChars="0"/>
              <w:jc w:val="center"/>
              <w:rPr>
                <w:rFonts w:hint="eastAsia" w:ascii="新宋体" w:hAnsi="新宋体" w:eastAsia="新宋体" w:cs="新宋体"/>
                <w:b/>
                <w:bCs/>
                <w:color w:val="auto"/>
                <w:sz w:val="22"/>
                <w:szCs w:val="22"/>
                <w:highlight w:val="none"/>
              </w:rPr>
            </w:pPr>
            <w:r>
              <w:rPr>
                <w:rFonts w:ascii="新宋体" w:hAnsi="新宋体" w:eastAsia="新宋体" w:cs="新宋体"/>
                <w:color w:val="auto"/>
                <w:sz w:val="22"/>
                <w:szCs w:val="22"/>
                <w:highlight w:val="none"/>
              </w:rPr>
              <w:t>3</w:t>
            </w:r>
          </w:p>
        </w:tc>
        <w:tc>
          <w:tcPr>
            <w:tcW w:w="6595" w:type="dxa"/>
            <w:shd w:val="clear" w:color="000000" w:fill="FFFFFF"/>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获得行业行政主管部门认定的三星级得1分，四星级得</w:t>
            </w:r>
            <w:r>
              <w:rPr>
                <w:rFonts w:ascii="新宋体" w:hAnsi="新宋体" w:eastAsia="新宋体" w:cs="新宋体"/>
                <w:bCs/>
                <w:color w:val="auto"/>
                <w:sz w:val="22"/>
                <w:szCs w:val="22"/>
                <w:highlight w:val="none"/>
              </w:rPr>
              <w:t>2</w:t>
            </w:r>
            <w:r>
              <w:rPr>
                <w:rFonts w:hint="eastAsia" w:ascii="新宋体" w:hAnsi="新宋体" w:eastAsia="新宋体" w:cs="新宋体"/>
                <w:bCs/>
                <w:color w:val="auto"/>
                <w:sz w:val="22"/>
                <w:szCs w:val="22"/>
                <w:highlight w:val="none"/>
              </w:rPr>
              <w:t>分，五星级得</w:t>
            </w:r>
            <w:r>
              <w:rPr>
                <w:rFonts w:ascii="新宋体" w:hAnsi="新宋体" w:eastAsia="新宋体" w:cs="新宋体"/>
                <w:bCs/>
                <w:color w:val="auto"/>
                <w:sz w:val="22"/>
                <w:szCs w:val="22"/>
                <w:highlight w:val="none"/>
              </w:rPr>
              <w:t>3</w:t>
            </w:r>
            <w:r>
              <w:rPr>
                <w:rFonts w:hint="eastAsia" w:ascii="新宋体" w:hAnsi="新宋体" w:eastAsia="新宋体" w:cs="新宋体"/>
                <w:bCs/>
                <w:color w:val="auto"/>
                <w:sz w:val="22"/>
                <w:szCs w:val="22"/>
                <w:highlight w:val="none"/>
              </w:rPr>
              <w:t>分。</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t>注：提供相关证明材料复印件加盖公章。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vMerge w:val="restart"/>
            <w:shd w:val="clear" w:color="000000" w:fill="FFFFFF"/>
            <w:vAlign w:val="center"/>
          </w:tcPr>
          <w:p>
            <w:pPr>
              <w:spacing w:line="460" w:lineRule="exact"/>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2</w:t>
            </w:r>
          </w:p>
        </w:tc>
        <w:tc>
          <w:tcPr>
            <w:tcW w:w="1760" w:type="dxa"/>
            <w:gridSpan w:val="2"/>
            <w:vMerge w:val="restart"/>
            <w:shd w:val="clear" w:color="000000" w:fill="FFFFFF"/>
            <w:vAlign w:val="center"/>
          </w:tcPr>
          <w:p>
            <w:pPr>
              <w:spacing w:line="460" w:lineRule="exact"/>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履行能力</w:t>
            </w:r>
          </w:p>
        </w:tc>
        <w:tc>
          <w:tcPr>
            <w:tcW w:w="670" w:type="dxa"/>
            <w:shd w:val="clear" w:color="000000" w:fill="FFFFFF"/>
            <w:vAlign w:val="center"/>
          </w:tcPr>
          <w:p>
            <w:pPr>
              <w:spacing w:line="460" w:lineRule="exact"/>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3</w:t>
            </w:r>
          </w:p>
        </w:tc>
        <w:tc>
          <w:tcPr>
            <w:tcW w:w="6595" w:type="dxa"/>
            <w:shd w:val="clear" w:color="000000" w:fill="FFFFFF"/>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项目负责人的专业素质、技术能力、经验等情况，是否具有类似项目经验，是否具有调动各项资源的能力综合给分。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提供近三个月社保证明</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0-3分</w:t>
            </w:r>
            <w:r>
              <w:rPr>
                <w:rFonts w:hint="eastAsia" w:ascii="新宋体" w:hAnsi="新宋体" w:eastAsia="新宋体" w:cs="新宋体"/>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vMerge w:val="continue"/>
            <w:shd w:val="clear" w:color="000000" w:fill="FFFFFF"/>
            <w:vAlign w:val="center"/>
          </w:tcPr>
          <w:p>
            <w:pPr>
              <w:spacing w:line="460" w:lineRule="exact"/>
              <w:jc w:val="center"/>
              <w:rPr>
                <w:rFonts w:hint="eastAsia" w:ascii="新宋体" w:hAnsi="新宋体" w:eastAsia="新宋体" w:cs="新宋体"/>
                <w:color w:val="auto"/>
                <w:sz w:val="22"/>
                <w:szCs w:val="22"/>
                <w:highlight w:val="none"/>
                <w:lang w:eastAsia="zh-CN"/>
              </w:rPr>
            </w:pPr>
          </w:p>
        </w:tc>
        <w:tc>
          <w:tcPr>
            <w:tcW w:w="1760" w:type="dxa"/>
            <w:gridSpan w:val="2"/>
            <w:vMerge w:val="continue"/>
            <w:shd w:val="clear" w:color="000000" w:fill="FFFFFF"/>
            <w:vAlign w:val="center"/>
          </w:tcPr>
          <w:p>
            <w:pPr>
              <w:spacing w:line="460" w:lineRule="exact"/>
              <w:jc w:val="center"/>
              <w:rPr>
                <w:rFonts w:hint="eastAsia" w:ascii="新宋体" w:hAnsi="新宋体" w:eastAsia="新宋体" w:cs="新宋体"/>
                <w:color w:val="auto"/>
                <w:sz w:val="22"/>
                <w:szCs w:val="22"/>
                <w:highlight w:val="none"/>
              </w:rPr>
            </w:pPr>
          </w:p>
        </w:tc>
        <w:tc>
          <w:tcPr>
            <w:tcW w:w="670" w:type="dxa"/>
            <w:shd w:val="clear" w:color="000000" w:fill="FFFFFF"/>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6595" w:type="dxa"/>
            <w:shd w:val="clear" w:color="000000" w:fill="FFFFFF"/>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拟投入的项目组人员（除项目负责人外）中有中级及以上导游证的每个得1分，高级及以上导游证的每个得2分，最高得5分。（提供导游证及</w:t>
            </w:r>
            <w:r>
              <w:rPr>
                <w:rFonts w:hint="eastAsia" w:ascii="新宋体" w:hAnsi="新宋体" w:eastAsia="新宋体" w:cs="新宋体"/>
                <w:color w:val="auto"/>
                <w:sz w:val="22"/>
                <w:szCs w:val="22"/>
                <w:highlight w:val="none"/>
                <w:lang w:val="en-US" w:eastAsia="zh-CN"/>
              </w:rPr>
              <w:t>近三个月员工社保证明</w:t>
            </w:r>
            <w:r>
              <w:rPr>
                <w:rFonts w:hint="eastAsia" w:ascii="新宋体" w:hAnsi="新宋体" w:eastAsia="新宋体" w:cs="新宋体"/>
                <w:color w:val="auto"/>
                <w:sz w:val="22"/>
                <w:szCs w:val="22"/>
                <w:highlight w:val="none"/>
              </w:rPr>
              <w:t>），二者缺一不可，否则不得分）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vMerge w:val="restart"/>
            <w:shd w:val="clear" w:color="000000" w:fill="FFFFFF"/>
            <w:vAlign w:val="center"/>
          </w:tcPr>
          <w:p>
            <w:pPr>
              <w:spacing w:line="460" w:lineRule="exact"/>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3</w:t>
            </w:r>
          </w:p>
        </w:tc>
        <w:tc>
          <w:tcPr>
            <w:tcW w:w="485" w:type="dxa"/>
            <w:vMerge w:val="restart"/>
            <w:shd w:val="clear" w:color="000000" w:fill="FFFFFF"/>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疗休养策划方案</w:t>
            </w:r>
          </w:p>
        </w:tc>
        <w:tc>
          <w:tcPr>
            <w:tcW w:w="1275" w:type="dxa"/>
            <w:shd w:val="clear" w:color="000000" w:fill="FFFFFF"/>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路线安排（包括景点安排）方案</w:t>
            </w:r>
          </w:p>
        </w:tc>
        <w:tc>
          <w:tcPr>
            <w:tcW w:w="670" w:type="dxa"/>
            <w:shd w:val="clear" w:color="000000" w:fill="FFFFFF"/>
            <w:vAlign w:val="center"/>
          </w:tcPr>
          <w:p>
            <w:pPr>
              <w:spacing w:line="460" w:lineRule="exact"/>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16</w:t>
            </w:r>
          </w:p>
        </w:tc>
        <w:tc>
          <w:tcPr>
            <w:tcW w:w="6595" w:type="dxa"/>
            <w:shd w:val="clear" w:color="000000" w:fill="FFFFFF"/>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总体出行线路安排（标明各景点档次、景点之间的车程时间，当天出行路线安排、疗养期间的整体行程安排，住宿至各景点的路线行程安排）是否轻松、舒适以及合理性、适用性、科学性等情况综合给分。根据方案是否覆盖全面、是否科学合理、具有针对性和可操作性打分</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 w:val="0"/>
                <w:color w:val="auto"/>
                <w:sz w:val="22"/>
                <w:szCs w:val="22"/>
                <w:highlight w:val="none"/>
              </w:rPr>
              <w:t>A档：</w:t>
            </w:r>
            <w:r>
              <w:rPr>
                <w:rFonts w:hint="eastAsia" w:ascii="新宋体" w:hAnsi="新宋体" w:eastAsia="新宋体" w:cs="新宋体"/>
                <w:b w:val="0"/>
                <w:color w:val="auto"/>
                <w:sz w:val="22"/>
                <w:szCs w:val="22"/>
                <w:highlight w:val="none"/>
                <w:lang w:val="en-US" w:eastAsia="zh-CN"/>
              </w:rPr>
              <w:t>16</w:t>
            </w:r>
            <w:r>
              <w:rPr>
                <w:rFonts w:hint="eastAsia" w:ascii="新宋体" w:hAnsi="新宋体" w:eastAsia="新宋体" w:cs="新宋体"/>
                <w:b w:val="0"/>
                <w:color w:val="auto"/>
                <w:sz w:val="22"/>
                <w:szCs w:val="22"/>
                <w:highlight w:val="none"/>
              </w:rPr>
              <w:t>-</w:t>
            </w:r>
            <w:r>
              <w:rPr>
                <w:rFonts w:hint="eastAsia" w:ascii="新宋体" w:hAnsi="新宋体" w:eastAsia="新宋体" w:cs="新宋体"/>
                <w:b w:val="0"/>
                <w:color w:val="auto"/>
                <w:sz w:val="22"/>
                <w:szCs w:val="22"/>
                <w:highlight w:val="none"/>
                <w:lang w:val="en-US" w:eastAsia="zh-CN"/>
              </w:rPr>
              <w:t>10</w:t>
            </w:r>
            <w:r>
              <w:rPr>
                <w:rFonts w:hint="eastAsia" w:ascii="新宋体" w:hAnsi="新宋体" w:eastAsia="新宋体" w:cs="新宋体"/>
                <w:b w:val="0"/>
                <w:color w:val="auto"/>
                <w:sz w:val="22"/>
                <w:szCs w:val="22"/>
                <w:highlight w:val="none"/>
              </w:rPr>
              <w:t>分；B档：</w:t>
            </w:r>
            <w:r>
              <w:rPr>
                <w:rFonts w:hint="eastAsia" w:ascii="新宋体" w:hAnsi="新宋体" w:eastAsia="新宋体" w:cs="新宋体"/>
                <w:b w:val="0"/>
                <w:color w:val="auto"/>
                <w:sz w:val="22"/>
                <w:szCs w:val="22"/>
                <w:highlight w:val="none"/>
                <w:lang w:val="en-US" w:eastAsia="zh-CN"/>
              </w:rPr>
              <w:t>10</w:t>
            </w:r>
            <w:r>
              <w:rPr>
                <w:rFonts w:hint="eastAsia" w:ascii="新宋体" w:hAnsi="新宋体" w:eastAsia="新宋体" w:cs="新宋体"/>
                <w:b w:val="0"/>
                <w:color w:val="auto"/>
                <w:sz w:val="22"/>
                <w:szCs w:val="22"/>
                <w:highlight w:val="none"/>
              </w:rPr>
              <w:t>-</w:t>
            </w:r>
            <w:r>
              <w:rPr>
                <w:rFonts w:hint="eastAsia" w:ascii="新宋体" w:hAnsi="新宋体" w:eastAsia="新宋体" w:cs="新宋体"/>
                <w:b w:val="0"/>
                <w:color w:val="auto"/>
                <w:sz w:val="22"/>
                <w:szCs w:val="22"/>
                <w:highlight w:val="none"/>
                <w:lang w:val="en-US" w:eastAsia="zh-CN"/>
              </w:rPr>
              <w:t>5</w:t>
            </w:r>
            <w:r>
              <w:rPr>
                <w:rFonts w:hint="eastAsia" w:ascii="新宋体" w:hAnsi="新宋体" w:eastAsia="新宋体" w:cs="新宋体"/>
                <w:b w:val="0"/>
                <w:color w:val="auto"/>
                <w:sz w:val="22"/>
                <w:szCs w:val="22"/>
                <w:highlight w:val="none"/>
              </w:rPr>
              <w:t>分；C档：</w:t>
            </w:r>
            <w:r>
              <w:rPr>
                <w:rFonts w:hint="eastAsia" w:ascii="新宋体" w:hAnsi="新宋体" w:eastAsia="新宋体" w:cs="新宋体"/>
                <w:b w:val="0"/>
                <w:color w:val="auto"/>
                <w:sz w:val="22"/>
                <w:szCs w:val="22"/>
                <w:highlight w:val="none"/>
                <w:lang w:val="en-US" w:eastAsia="zh-CN"/>
              </w:rPr>
              <w:t>5</w:t>
            </w:r>
            <w:r>
              <w:rPr>
                <w:rFonts w:hint="eastAsia" w:ascii="新宋体" w:hAnsi="新宋体" w:eastAsia="新宋体" w:cs="新宋体"/>
                <w:b w:val="0"/>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vMerge w:val="continue"/>
            <w:shd w:val="clear" w:color="000000" w:fill="FFFFFF"/>
            <w:vAlign w:val="center"/>
          </w:tcPr>
          <w:p>
            <w:pPr>
              <w:spacing w:line="460" w:lineRule="exact"/>
              <w:jc w:val="center"/>
              <w:rPr>
                <w:rFonts w:hint="eastAsia" w:ascii="新宋体" w:hAnsi="新宋体" w:eastAsia="新宋体" w:cs="新宋体"/>
                <w:color w:val="auto"/>
                <w:sz w:val="22"/>
                <w:szCs w:val="22"/>
                <w:highlight w:val="none"/>
              </w:rPr>
            </w:pPr>
          </w:p>
        </w:tc>
        <w:tc>
          <w:tcPr>
            <w:tcW w:w="485" w:type="dxa"/>
            <w:vMerge w:val="continue"/>
            <w:shd w:val="clear" w:color="000000" w:fill="FFFFFF"/>
            <w:vAlign w:val="center"/>
          </w:tcPr>
          <w:p>
            <w:pPr>
              <w:spacing w:line="460" w:lineRule="exact"/>
              <w:jc w:val="center"/>
              <w:rPr>
                <w:rFonts w:hint="eastAsia" w:ascii="新宋体" w:hAnsi="新宋体" w:eastAsia="新宋体" w:cs="新宋体"/>
                <w:color w:val="auto"/>
                <w:sz w:val="22"/>
                <w:szCs w:val="22"/>
                <w:highlight w:val="none"/>
              </w:rPr>
            </w:pPr>
          </w:p>
        </w:tc>
        <w:tc>
          <w:tcPr>
            <w:tcW w:w="1275" w:type="dxa"/>
            <w:shd w:val="clear" w:color="000000" w:fill="FFFFFF"/>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酒店住宿安排方案</w:t>
            </w:r>
          </w:p>
        </w:tc>
        <w:tc>
          <w:tcPr>
            <w:tcW w:w="670" w:type="dxa"/>
            <w:shd w:val="clear" w:color="000000" w:fill="FFFFFF"/>
            <w:vAlign w:val="center"/>
          </w:tcPr>
          <w:p>
            <w:pPr>
              <w:spacing w:line="460" w:lineRule="exact"/>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16</w:t>
            </w:r>
          </w:p>
        </w:tc>
        <w:tc>
          <w:tcPr>
            <w:tcW w:w="6595" w:type="dxa"/>
            <w:shd w:val="clear" w:color="000000" w:fill="FFFFFF"/>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住宿安排须提供住宿点的具体星级等级，无挂牌的提供相当于同档次星级的资料，如网评资料、相关主管单位评定资料等；同时提供酒店相关地理位置及住宿点具体情况介绍及联系号码）与本项目疗休养特色的吻合程度综合给分。根据方案是否覆盖全面、是否科学合理、具有针对性和可操作性打分。</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 w:val="0"/>
                <w:color w:val="auto"/>
                <w:sz w:val="22"/>
                <w:szCs w:val="22"/>
                <w:highlight w:val="none"/>
              </w:rPr>
              <w:t>A档：</w:t>
            </w:r>
            <w:r>
              <w:rPr>
                <w:rFonts w:hint="eastAsia" w:ascii="新宋体" w:hAnsi="新宋体" w:eastAsia="新宋体" w:cs="新宋体"/>
                <w:b w:val="0"/>
                <w:color w:val="auto"/>
                <w:sz w:val="22"/>
                <w:szCs w:val="22"/>
                <w:highlight w:val="none"/>
                <w:lang w:val="en-US" w:eastAsia="zh-CN"/>
              </w:rPr>
              <w:t>16</w:t>
            </w:r>
            <w:r>
              <w:rPr>
                <w:rFonts w:hint="eastAsia" w:ascii="新宋体" w:hAnsi="新宋体" w:eastAsia="新宋体" w:cs="新宋体"/>
                <w:b w:val="0"/>
                <w:color w:val="auto"/>
                <w:sz w:val="22"/>
                <w:szCs w:val="22"/>
                <w:highlight w:val="none"/>
              </w:rPr>
              <w:t>-</w:t>
            </w:r>
            <w:r>
              <w:rPr>
                <w:rFonts w:hint="eastAsia" w:ascii="新宋体" w:hAnsi="新宋体" w:eastAsia="新宋体" w:cs="新宋体"/>
                <w:b w:val="0"/>
                <w:color w:val="auto"/>
                <w:sz w:val="22"/>
                <w:szCs w:val="22"/>
                <w:highlight w:val="none"/>
                <w:lang w:val="en-US" w:eastAsia="zh-CN"/>
              </w:rPr>
              <w:t>10</w:t>
            </w:r>
            <w:r>
              <w:rPr>
                <w:rFonts w:hint="eastAsia" w:ascii="新宋体" w:hAnsi="新宋体" w:eastAsia="新宋体" w:cs="新宋体"/>
                <w:b w:val="0"/>
                <w:color w:val="auto"/>
                <w:sz w:val="22"/>
                <w:szCs w:val="22"/>
                <w:highlight w:val="none"/>
              </w:rPr>
              <w:t>分；B档：</w:t>
            </w:r>
            <w:r>
              <w:rPr>
                <w:rFonts w:hint="eastAsia" w:ascii="新宋体" w:hAnsi="新宋体" w:eastAsia="新宋体" w:cs="新宋体"/>
                <w:b w:val="0"/>
                <w:color w:val="auto"/>
                <w:sz w:val="22"/>
                <w:szCs w:val="22"/>
                <w:highlight w:val="none"/>
                <w:lang w:val="en-US" w:eastAsia="zh-CN"/>
              </w:rPr>
              <w:t>10</w:t>
            </w:r>
            <w:r>
              <w:rPr>
                <w:rFonts w:hint="eastAsia" w:ascii="新宋体" w:hAnsi="新宋体" w:eastAsia="新宋体" w:cs="新宋体"/>
                <w:b w:val="0"/>
                <w:color w:val="auto"/>
                <w:sz w:val="22"/>
                <w:szCs w:val="22"/>
                <w:highlight w:val="none"/>
              </w:rPr>
              <w:t>-</w:t>
            </w:r>
            <w:r>
              <w:rPr>
                <w:rFonts w:hint="eastAsia" w:ascii="新宋体" w:hAnsi="新宋体" w:eastAsia="新宋体" w:cs="新宋体"/>
                <w:b w:val="0"/>
                <w:color w:val="auto"/>
                <w:sz w:val="22"/>
                <w:szCs w:val="22"/>
                <w:highlight w:val="none"/>
                <w:lang w:val="en-US" w:eastAsia="zh-CN"/>
              </w:rPr>
              <w:t>5</w:t>
            </w:r>
            <w:r>
              <w:rPr>
                <w:rFonts w:hint="eastAsia" w:ascii="新宋体" w:hAnsi="新宋体" w:eastAsia="新宋体" w:cs="新宋体"/>
                <w:b w:val="0"/>
                <w:color w:val="auto"/>
                <w:sz w:val="22"/>
                <w:szCs w:val="22"/>
                <w:highlight w:val="none"/>
              </w:rPr>
              <w:t>分；C档：</w:t>
            </w:r>
            <w:r>
              <w:rPr>
                <w:rFonts w:hint="eastAsia" w:ascii="新宋体" w:hAnsi="新宋体" w:eastAsia="新宋体" w:cs="新宋体"/>
                <w:b w:val="0"/>
                <w:color w:val="auto"/>
                <w:sz w:val="22"/>
                <w:szCs w:val="22"/>
                <w:highlight w:val="none"/>
                <w:lang w:val="en-US" w:eastAsia="zh-CN"/>
              </w:rPr>
              <w:t>5</w:t>
            </w:r>
            <w:r>
              <w:rPr>
                <w:rFonts w:hint="eastAsia" w:ascii="新宋体" w:hAnsi="新宋体" w:eastAsia="新宋体" w:cs="新宋体"/>
                <w:b w:val="0"/>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vMerge w:val="continue"/>
            <w:shd w:val="clear" w:color="000000" w:fill="FFFFFF"/>
            <w:vAlign w:val="center"/>
          </w:tcPr>
          <w:p>
            <w:pPr>
              <w:spacing w:line="460" w:lineRule="exact"/>
              <w:jc w:val="center"/>
              <w:rPr>
                <w:rFonts w:hint="eastAsia" w:ascii="新宋体" w:hAnsi="新宋体" w:eastAsia="新宋体" w:cs="新宋体"/>
                <w:color w:val="auto"/>
                <w:sz w:val="22"/>
                <w:szCs w:val="22"/>
                <w:highlight w:val="none"/>
              </w:rPr>
            </w:pPr>
          </w:p>
        </w:tc>
        <w:tc>
          <w:tcPr>
            <w:tcW w:w="485" w:type="dxa"/>
            <w:vMerge w:val="continue"/>
            <w:shd w:val="clear" w:color="000000" w:fill="FFFFFF"/>
            <w:vAlign w:val="center"/>
          </w:tcPr>
          <w:p>
            <w:pPr>
              <w:spacing w:line="460" w:lineRule="exact"/>
              <w:jc w:val="center"/>
              <w:rPr>
                <w:rFonts w:hint="eastAsia" w:ascii="新宋体" w:hAnsi="新宋体" w:eastAsia="新宋体" w:cs="新宋体"/>
                <w:color w:val="auto"/>
                <w:sz w:val="22"/>
                <w:szCs w:val="22"/>
                <w:highlight w:val="none"/>
              </w:rPr>
            </w:pPr>
          </w:p>
        </w:tc>
        <w:tc>
          <w:tcPr>
            <w:tcW w:w="1275" w:type="dxa"/>
            <w:shd w:val="clear" w:color="000000" w:fill="FFFFFF"/>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餐标、旅游车或其他交通工具安排方案</w:t>
            </w:r>
          </w:p>
        </w:tc>
        <w:tc>
          <w:tcPr>
            <w:tcW w:w="670" w:type="dxa"/>
            <w:shd w:val="clear" w:color="000000" w:fill="FFFFFF"/>
            <w:vAlign w:val="center"/>
          </w:tcPr>
          <w:p>
            <w:pPr>
              <w:spacing w:line="460" w:lineRule="exact"/>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16</w:t>
            </w:r>
          </w:p>
        </w:tc>
        <w:tc>
          <w:tcPr>
            <w:tcW w:w="6595" w:type="dxa"/>
            <w:shd w:val="clear" w:color="000000" w:fill="FFFFFF"/>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（可提供相关图片、</w:t>
            </w:r>
            <w:r>
              <w:rPr>
                <w:rFonts w:hint="eastAsia" w:ascii="新宋体" w:hAnsi="新宋体" w:eastAsia="新宋体" w:cs="新宋体"/>
                <w:color w:val="auto"/>
                <w:sz w:val="22"/>
                <w:szCs w:val="22"/>
                <w:highlight w:val="none"/>
                <w:lang w:val="en-US" w:eastAsia="zh-CN"/>
              </w:rPr>
              <w:t>菜单、</w:t>
            </w:r>
            <w:r>
              <w:rPr>
                <w:rFonts w:hint="eastAsia" w:ascii="新宋体" w:hAnsi="新宋体" w:eastAsia="新宋体" w:cs="新宋体"/>
                <w:color w:val="auto"/>
                <w:sz w:val="22"/>
                <w:szCs w:val="22"/>
                <w:highlight w:val="none"/>
              </w:rPr>
              <w:t>驾照、行驶证作为辅助评审资料）根据方案是否覆盖全面、是否科学合理、具有针对性和可操作性打分。</w:t>
            </w:r>
          </w:p>
          <w:p>
            <w:pPr>
              <w:pStyle w:val="2"/>
              <w:spacing w:line="460" w:lineRule="exact"/>
              <w:jc w:val="left"/>
              <w:rPr>
                <w:rFonts w:hint="eastAsia" w:ascii="新宋体" w:hAnsi="新宋体" w:eastAsia="新宋体" w:cs="新宋体"/>
                <w:color w:val="auto"/>
                <w:sz w:val="22"/>
                <w:szCs w:val="22"/>
                <w:highlight w:val="none"/>
              </w:rPr>
            </w:pPr>
            <w:r>
              <w:rPr>
                <w:rFonts w:hint="eastAsia" w:ascii="新宋体" w:hAnsi="新宋体" w:eastAsia="新宋体" w:cs="新宋体"/>
                <w:b w:val="0"/>
                <w:color w:val="auto"/>
                <w:sz w:val="22"/>
                <w:szCs w:val="22"/>
                <w:highlight w:val="none"/>
              </w:rPr>
              <w:t>A档：</w:t>
            </w:r>
            <w:r>
              <w:rPr>
                <w:rFonts w:hint="eastAsia" w:ascii="新宋体" w:hAnsi="新宋体" w:eastAsia="新宋体" w:cs="新宋体"/>
                <w:b w:val="0"/>
                <w:color w:val="auto"/>
                <w:sz w:val="22"/>
                <w:szCs w:val="22"/>
                <w:highlight w:val="none"/>
                <w:lang w:val="en-US" w:eastAsia="zh-CN"/>
              </w:rPr>
              <w:t>16</w:t>
            </w:r>
            <w:r>
              <w:rPr>
                <w:rFonts w:hint="eastAsia" w:ascii="新宋体" w:hAnsi="新宋体" w:eastAsia="新宋体" w:cs="新宋体"/>
                <w:b w:val="0"/>
                <w:color w:val="auto"/>
                <w:sz w:val="22"/>
                <w:szCs w:val="22"/>
                <w:highlight w:val="none"/>
              </w:rPr>
              <w:t>-</w:t>
            </w:r>
            <w:r>
              <w:rPr>
                <w:rFonts w:hint="eastAsia" w:ascii="新宋体" w:hAnsi="新宋体" w:eastAsia="新宋体" w:cs="新宋体"/>
                <w:b w:val="0"/>
                <w:color w:val="auto"/>
                <w:sz w:val="22"/>
                <w:szCs w:val="22"/>
                <w:highlight w:val="none"/>
                <w:lang w:val="en-US" w:eastAsia="zh-CN"/>
              </w:rPr>
              <w:t>10</w:t>
            </w:r>
            <w:r>
              <w:rPr>
                <w:rFonts w:hint="eastAsia" w:ascii="新宋体" w:hAnsi="新宋体" w:eastAsia="新宋体" w:cs="新宋体"/>
                <w:b w:val="0"/>
                <w:color w:val="auto"/>
                <w:sz w:val="22"/>
                <w:szCs w:val="22"/>
                <w:highlight w:val="none"/>
              </w:rPr>
              <w:t>分；B档：</w:t>
            </w:r>
            <w:r>
              <w:rPr>
                <w:rFonts w:hint="eastAsia" w:ascii="新宋体" w:hAnsi="新宋体" w:eastAsia="新宋体" w:cs="新宋体"/>
                <w:b w:val="0"/>
                <w:color w:val="auto"/>
                <w:sz w:val="22"/>
                <w:szCs w:val="22"/>
                <w:highlight w:val="none"/>
                <w:lang w:val="en-US" w:eastAsia="zh-CN"/>
              </w:rPr>
              <w:t>10</w:t>
            </w:r>
            <w:r>
              <w:rPr>
                <w:rFonts w:hint="eastAsia" w:ascii="新宋体" w:hAnsi="新宋体" w:eastAsia="新宋体" w:cs="新宋体"/>
                <w:b w:val="0"/>
                <w:color w:val="auto"/>
                <w:sz w:val="22"/>
                <w:szCs w:val="22"/>
                <w:highlight w:val="none"/>
              </w:rPr>
              <w:t>-</w:t>
            </w:r>
            <w:r>
              <w:rPr>
                <w:rFonts w:hint="eastAsia" w:ascii="新宋体" w:hAnsi="新宋体" w:eastAsia="新宋体" w:cs="新宋体"/>
                <w:b w:val="0"/>
                <w:color w:val="auto"/>
                <w:sz w:val="22"/>
                <w:szCs w:val="22"/>
                <w:highlight w:val="none"/>
                <w:lang w:val="en-US" w:eastAsia="zh-CN"/>
              </w:rPr>
              <w:t>5</w:t>
            </w:r>
            <w:r>
              <w:rPr>
                <w:rFonts w:hint="eastAsia" w:ascii="新宋体" w:hAnsi="新宋体" w:eastAsia="新宋体" w:cs="新宋体"/>
                <w:b w:val="0"/>
                <w:color w:val="auto"/>
                <w:sz w:val="22"/>
                <w:szCs w:val="22"/>
                <w:highlight w:val="none"/>
              </w:rPr>
              <w:t>分；C档：</w:t>
            </w:r>
            <w:r>
              <w:rPr>
                <w:rFonts w:hint="eastAsia" w:ascii="新宋体" w:hAnsi="新宋体" w:eastAsia="新宋体" w:cs="新宋体"/>
                <w:b w:val="0"/>
                <w:color w:val="auto"/>
                <w:sz w:val="22"/>
                <w:szCs w:val="22"/>
                <w:highlight w:val="none"/>
                <w:lang w:val="en-US" w:eastAsia="zh-CN"/>
              </w:rPr>
              <w:t>5</w:t>
            </w:r>
            <w:r>
              <w:rPr>
                <w:rFonts w:hint="eastAsia" w:ascii="新宋体" w:hAnsi="新宋体" w:eastAsia="新宋体" w:cs="新宋体"/>
                <w:b w:val="0"/>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shd w:val="clear" w:color="000000" w:fill="FFFFFF"/>
            <w:vAlign w:val="center"/>
          </w:tcPr>
          <w:p>
            <w:pPr>
              <w:spacing w:line="460" w:lineRule="exact"/>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4</w:t>
            </w:r>
          </w:p>
        </w:tc>
        <w:tc>
          <w:tcPr>
            <w:tcW w:w="1760" w:type="dxa"/>
            <w:gridSpan w:val="2"/>
            <w:shd w:val="clear" w:color="000000" w:fill="FFFFFF"/>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保险承诺</w:t>
            </w:r>
          </w:p>
        </w:tc>
        <w:tc>
          <w:tcPr>
            <w:tcW w:w="670" w:type="dxa"/>
            <w:shd w:val="clear" w:color="000000" w:fill="FFFFFF"/>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6595" w:type="dxa"/>
            <w:shd w:val="clear" w:color="000000" w:fill="FFFFFF"/>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根据投标人提供责任险及旅游意外险，包括但不限于旅行社责任险和个人旅游人身意外险</w:t>
            </w:r>
            <w:r>
              <w:rPr>
                <w:rFonts w:hint="eastAsia" w:ascii="新宋体" w:hAnsi="新宋体" w:eastAsia="新宋体" w:cs="新宋体"/>
                <w:color w:val="auto"/>
                <w:sz w:val="22"/>
                <w:szCs w:val="22"/>
                <w:highlight w:val="none"/>
                <w:lang w:val="en-US" w:eastAsia="zh-CN"/>
              </w:rPr>
              <w:t>进行打分</w:t>
            </w:r>
            <w:r>
              <w:rPr>
                <w:rFonts w:hint="eastAsia" w:ascii="新宋体" w:hAnsi="新宋体" w:eastAsia="新宋体" w:cs="新宋体"/>
                <w:color w:val="auto"/>
                <w:sz w:val="22"/>
                <w:szCs w:val="22"/>
                <w:highlight w:val="none"/>
              </w:rPr>
              <w:t>：50万元以下不得分,50（含）万元-100万元得1分,100（含）万元-150</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含</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万元得2分,150万元以上得3分。疗休养期间所有的安全责任由中标单位承担，投标单位投标时需予以承诺</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格式自拟</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shd w:val="clear" w:color="000000" w:fill="FFFFFF"/>
            <w:vAlign w:val="center"/>
          </w:tcPr>
          <w:p>
            <w:pPr>
              <w:spacing w:line="460" w:lineRule="exact"/>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5</w:t>
            </w:r>
          </w:p>
        </w:tc>
        <w:tc>
          <w:tcPr>
            <w:tcW w:w="1760" w:type="dxa"/>
            <w:gridSpan w:val="2"/>
            <w:shd w:val="clear" w:color="000000" w:fill="FFFFFF"/>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安全及服务质量保证</w:t>
            </w:r>
          </w:p>
        </w:tc>
        <w:tc>
          <w:tcPr>
            <w:tcW w:w="670" w:type="dxa"/>
            <w:shd w:val="clear" w:color="000000" w:fill="FFFFFF"/>
            <w:vAlign w:val="center"/>
          </w:tcPr>
          <w:p>
            <w:pPr>
              <w:spacing w:line="460" w:lineRule="exact"/>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5</w:t>
            </w:r>
          </w:p>
        </w:tc>
        <w:tc>
          <w:tcPr>
            <w:tcW w:w="6595" w:type="dxa"/>
            <w:shd w:val="clear" w:color="000000" w:fill="FFFFFF"/>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根据出发前、疗养中、回程情况相应的安全方面的承诺及服务质量保障措施等方案。根据方案是否覆盖全面、是否科学合理、具有针对性和可操作性打分：</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A档：5-4分；B档：</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-2分；C档：</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shd w:val="clear" w:color="000000" w:fill="FFFFFF"/>
            <w:vAlign w:val="center"/>
          </w:tcPr>
          <w:p>
            <w:pPr>
              <w:spacing w:line="460" w:lineRule="exact"/>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6</w:t>
            </w:r>
          </w:p>
        </w:tc>
        <w:tc>
          <w:tcPr>
            <w:tcW w:w="1760" w:type="dxa"/>
            <w:gridSpan w:val="2"/>
            <w:shd w:val="clear" w:color="000000" w:fill="FFFFFF"/>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应急预案</w:t>
            </w:r>
          </w:p>
        </w:tc>
        <w:tc>
          <w:tcPr>
            <w:tcW w:w="670" w:type="dxa"/>
            <w:shd w:val="clear" w:color="000000" w:fill="FFFFFF"/>
            <w:vAlign w:val="center"/>
          </w:tcPr>
          <w:p>
            <w:pPr>
              <w:spacing w:line="460" w:lineRule="exact"/>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5</w:t>
            </w:r>
          </w:p>
        </w:tc>
        <w:tc>
          <w:tcPr>
            <w:tcW w:w="6595" w:type="dxa"/>
            <w:shd w:val="clear" w:color="000000" w:fill="FFFFFF"/>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对服务过程中可能出现的意外情况的应对措施等方案（含疫情防控应急预案和疾病应急预案）。根据方案是否覆盖全面、是否科学合理、具有针对性和可操作性打分：</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A档：5-4分；B档：</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-2分；C档：</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shd w:val="clear" w:color="000000" w:fill="FFFFFF"/>
            <w:vAlign w:val="center"/>
          </w:tcPr>
          <w:p>
            <w:pPr>
              <w:spacing w:line="460" w:lineRule="exact"/>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7</w:t>
            </w:r>
          </w:p>
        </w:tc>
        <w:tc>
          <w:tcPr>
            <w:tcW w:w="1760" w:type="dxa"/>
            <w:gridSpan w:val="2"/>
            <w:shd w:val="clear" w:color="000000" w:fill="FFFFFF"/>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投诉处理</w:t>
            </w:r>
          </w:p>
        </w:tc>
        <w:tc>
          <w:tcPr>
            <w:tcW w:w="670" w:type="dxa"/>
            <w:shd w:val="clear" w:color="000000" w:fill="FFFFFF"/>
            <w:vAlign w:val="center"/>
          </w:tcPr>
          <w:p>
            <w:pPr>
              <w:spacing w:line="460" w:lineRule="exact"/>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5</w:t>
            </w:r>
          </w:p>
        </w:tc>
        <w:tc>
          <w:tcPr>
            <w:tcW w:w="6595" w:type="dxa"/>
            <w:shd w:val="clear" w:color="000000" w:fill="FFFFFF"/>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日常投诉处理详细方案及可行性情况综合打分。根据方案是否覆盖全面、是否科学合理、具有针对性和可操作性打分：</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A档：5-4分；B档：</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-2分；C档：</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shd w:val="clear" w:color="000000" w:fill="FFFFFF"/>
            <w:vAlign w:val="center"/>
          </w:tcPr>
          <w:p>
            <w:pPr>
              <w:spacing w:line="460" w:lineRule="exact"/>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8</w:t>
            </w:r>
          </w:p>
        </w:tc>
        <w:tc>
          <w:tcPr>
            <w:tcW w:w="1760" w:type="dxa"/>
            <w:gridSpan w:val="2"/>
            <w:shd w:val="clear" w:color="000000" w:fill="FFFFFF"/>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后续服务和特色服务方案</w:t>
            </w:r>
          </w:p>
        </w:tc>
        <w:tc>
          <w:tcPr>
            <w:tcW w:w="670" w:type="dxa"/>
            <w:shd w:val="clear" w:color="000000" w:fill="FFFFFF"/>
            <w:vAlign w:val="center"/>
          </w:tcPr>
          <w:p>
            <w:pPr>
              <w:spacing w:line="460" w:lineRule="exact"/>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4</w:t>
            </w:r>
          </w:p>
        </w:tc>
        <w:tc>
          <w:tcPr>
            <w:tcW w:w="6595" w:type="dxa"/>
            <w:shd w:val="clear" w:color="000000" w:fill="FFFFFF"/>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根据供应商提供的后续服务方案和本项目的增值（特色）服务方案综合给分。根据方案是否覆盖全面、是否科学合理、具有针对性和可操作性打分：</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A档：</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-2分；B档：</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-1分；C档：</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vAlign w:val="center"/>
          </w:tcPr>
          <w:p>
            <w:pPr>
              <w:keepNext w:val="0"/>
              <w:keepLines w:val="0"/>
              <w:pageBreakBefore w:val="0"/>
              <w:kinsoku/>
              <w:wordWrap/>
              <w:overflowPunct/>
              <w:topLinePunct w:val="0"/>
              <w:autoSpaceDE/>
              <w:autoSpaceDN/>
              <w:bidi w:val="0"/>
              <w:adjustRightInd/>
              <w:snapToGrid/>
              <w:spacing w:line="460" w:lineRule="exact"/>
              <w:ind w:left="-50" w:leftChars="0"/>
              <w:jc w:val="center"/>
              <w:textAlignment w:val="auto"/>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9</w:t>
            </w:r>
          </w:p>
        </w:tc>
        <w:tc>
          <w:tcPr>
            <w:tcW w:w="1760" w:type="dxa"/>
            <w:gridSpan w:val="2"/>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服务响应时间承诺</w:t>
            </w:r>
          </w:p>
        </w:tc>
        <w:tc>
          <w:tcPr>
            <w:tcW w:w="67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6595" w:type="dxa"/>
            <w:shd w:val="clear" w:color="000000" w:fill="FFFFFF"/>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服务响应时间承诺：1小时内能响应并派人员到招标人协商地点的得2分，1小时至4小时内能响应并派人员到招标人协商地点的得1分</w:t>
            </w:r>
            <w:r>
              <w:rPr>
                <w:rFonts w:hint="eastAsia" w:ascii="新宋体" w:hAnsi="新宋体" w:eastAsia="新宋体" w:cs="新宋体"/>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vMerge w:val="restart"/>
            <w:vAlign w:val="center"/>
          </w:tcPr>
          <w:p>
            <w:pPr>
              <w:spacing w:line="460" w:lineRule="exact"/>
              <w:ind w:left="-50" w:leftChars="0"/>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b w:val="0"/>
                <w:bCs/>
                <w:color w:val="auto"/>
                <w:sz w:val="22"/>
                <w:szCs w:val="22"/>
                <w:highlight w:val="none"/>
                <w:lang w:val="en-US" w:eastAsia="zh-CN"/>
              </w:rPr>
              <w:t>10</w:t>
            </w:r>
          </w:p>
        </w:tc>
        <w:tc>
          <w:tcPr>
            <w:tcW w:w="1760" w:type="dxa"/>
            <w:gridSpan w:val="2"/>
            <w:vMerge w:val="restart"/>
            <w:vAlign w:val="center"/>
          </w:tcPr>
          <w:p>
            <w:pPr>
              <w:widowControl/>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项目业绩</w:t>
            </w:r>
          </w:p>
        </w:tc>
        <w:tc>
          <w:tcPr>
            <w:tcW w:w="670" w:type="dxa"/>
            <w:vAlign w:val="center"/>
          </w:tcPr>
          <w:p>
            <w:pPr>
              <w:spacing w:line="460" w:lineRule="exact"/>
              <w:ind w:left="-50" w:leftChars="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1</w:t>
            </w:r>
          </w:p>
        </w:tc>
        <w:tc>
          <w:tcPr>
            <w:tcW w:w="6595" w:type="dxa"/>
            <w:shd w:val="clear" w:color="000000" w:fill="FFFFFF"/>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根据20</w:t>
            </w:r>
            <w:r>
              <w:rPr>
                <w:rFonts w:hint="eastAsia" w:ascii="新宋体" w:hAnsi="新宋体" w:eastAsia="新宋体" w:cs="新宋体"/>
                <w:color w:val="auto"/>
                <w:sz w:val="22"/>
                <w:szCs w:val="22"/>
                <w:highlight w:val="none"/>
                <w:lang w:val="en-US" w:eastAsia="zh-CN"/>
              </w:rPr>
              <w:t>20</w:t>
            </w:r>
            <w:r>
              <w:rPr>
                <w:rFonts w:hint="eastAsia" w:ascii="新宋体" w:hAnsi="新宋体" w:eastAsia="新宋体" w:cs="新宋体"/>
                <w:color w:val="auto"/>
                <w:sz w:val="22"/>
                <w:szCs w:val="22"/>
                <w:highlight w:val="none"/>
              </w:rPr>
              <w:t>年1月1日</w:t>
            </w:r>
            <w:r>
              <w:rPr>
                <w:rFonts w:hint="eastAsia" w:ascii="新宋体" w:hAnsi="新宋体" w:eastAsia="新宋体" w:cs="新宋体"/>
                <w:color w:val="auto"/>
                <w:sz w:val="22"/>
                <w:szCs w:val="22"/>
                <w:highlight w:val="none"/>
                <w:lang w:val="en-US" w:eastAsia="zh-CN"/>
              </w:rPr>
              <w:t>(合同签订时间为准）</w:t>
            </w:r>
            <w:r>
              <w:rPr>
                <w:rFonts w:hint="eastAsia" w:ascii="新宋体" w:hAnsi="新宋体" w:eastAsia="新宋体" w:cs="新宋体"/>
                <w:color w:val="auto"/>
                <w:sz w:val="22"/>
                <w:szCs w:val="22"/>
                <w:highlight w:val="none"/>
              </w:rPr>
              <w:t>以来签署同类项目业绩，每个业绩得</w:t>
            </w:r>
            <w:r>
              <w:rPr>
                <w:rFonts w:hint="eastAsia" w:ascii="新宋体" w:hAnsi="新宋体" w:eastAsia="新宋体" w:cs="新宋体"/>
                <w:color w:val="auto"/>
                <w:sz w:val="22"/>
                <w:szCs w:val="22"/>
                <w:highlight w:val="none"/>
                <w:lang w:val="en-US" w:eastAsia="zh-CN"/>
              </w:rPr>
              <w:t>0.5</w:t>
            </w:r>
            <w:r>
              <w:rPr>
                <w:rFonts w:hint="eastAsia" w:ascii="新宋体" w:hAnsi="新宋体" w:eastAsia="新宋体" w:cs="新宋体"/>
                <w:color w:val="auto"/>
                <w:sz w:val="22"/>
                <w:szCs w:val="22"/>
                <w:highlight w:val="none"/>
              </w:rPr>
              <w:t>分，最高</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分。业绩证明材料以合同</w:t>
            </w:r>
            <w:r>
              <w:rPr>
                <w:rFonts w:hint="eastAsia" w:ascii="新宋体" w:hAnsi="新宋体" w:eastAsia="新宋体" w:cs="新宋体"/>
                <w:color w:val="auto"/>
                <w:sz w:val="22"/>
                <w:szCs w:val="22"/>
                <w:highlight w:val="none"/>
                <w:lang w:val="en-US" w:eastAsia="zh-CN"/>
              </w:rPr>
              <w:t>和中标通知书</w:t>
            </w:r>
            <w:r>
              <w:rPr>
                <w:rFonts w:hint="eastAsia" w:ascii="新宋体" w:hAnsi="新宋体" w:eastAsia="新宋体" w:cs="新宋体"/>
                <w:color w:val="auto"/>
                <w:sz w:val="22"/>
                <w:szCs w:val="22"/>
                <w:highlight w:val="none"/>
              </w:rPr>
              <w:t>复印件加盖公章为准。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5" w:type="dxa"/>
            <w:vMerge w:val="continue"/>
            <w:vAlign w:val="center"/>
          </w:tcPr>
          <w:p>
            <w:pPr>
              <w:spacing w:line="460" w:lineRule="exact"/>
              <w:ind w:left="-50" w:leftChars="0"/>
              <w:jc w:val="center"/>
              <w:rPr>
                <w:rFonts w:hint="eastAsia" w:ascii="新宋体" w:hAnsi="新宋体" w:eastAsia="新宋体" w:cs="新宋体"/>
                <w:color w:val="auto"/>
                <w:sz w:val="22"/>
                <w:szCs w:val="22"/>
                <w:highlight w:val="none"/>
                <w:lang w:val="en-US" w:eastAsia="zh-CN"/>
              </w:rPr>
            </w:pPr>
          </w:p>
        </w:tc>
        <w:tc>
          <w:tcPr>
            <w:tcW w:w="1760" w:type="dxa"/>
            <w:gridSpan w:val="2"/>
            <w:vMerge w:val="continue"/>
            <w:vAlign w:val="center"/>
          </w:tcPr>
          <w:p>
            <w:pPr>
              <w:widowControl/>
              <w:spacing w:line="460" w:lineRule="exact"/>
              <w:jc w:val="center"/>
              <w:rPr>
                <w:rFonts w:hint="eastAsia" w:ascii="新宋体" w:hAnsi="新宋体" w:eastAsia="新宋体" w:cs="新宋体"/>
                <w:color w:val="auto"/>
                <w:sz w:val="22"/>
                <w:szCs w:val="22"/>
                <w:highlight w:val="none"/>
              </w:rPr>
            </w:pPr>
          </w:p>
        </w:tc>
        <w:tc>
          <w:tcPr>
            <w:tcW w:w="670" w:type="dxa"/>
            <w:vAlign w:val="center"/>
          </w:tcPr>
          <w:p>
            <w:pPr>
              <w:spacing w:line="460" w:lineRule="exact"/>
              <w:ind w:left="-50" w:leftChars="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2</w:t>
            </w:r>
          </w:p>
        </w:tc>
        <w:tc>
          <w:tcPr>
            <w:tcW w:w="6595" w:type="dxa"/>
            <w:shd w:val="clear" w:color="000000" w:fill="FFFFFF"/>
            <w:vAlign w:val="center"/>
          </w:tcPr>
          <w:p>
            <w:pPr>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对应</w:t>
            </w:r>
            <w:r>
              <w:rPr>
                <w:rFonts w:hint="eastAsia" w:ascii="新宋体" w:hAnsi="新宋体" w:eastAsia="新宋体" w:cs="新宋体"/>
                <w:color w:val="auto"/>
                <w:sz w:val="22"/>
                <w:szCs w:val="22"/>
                <w:highlight w:val="none"/>
              </w:rPr>
              <w:t>上述业绩提供合作案例合作单位（业主）的疗养或旅游的服务评价。每提供一个服务评价优</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好等正面评价</w:t>
            </w:r>
            <w:r>
              <w:rPr>
                <w:rFonts w:hint="eastAsia" w:ascii="新宋体" w:hAnsi="新宋体" w:eastAsia="新宋体" w:cs="新宋体"/>
                <w:color w:val="auto"/>
                <w:sz w:val="22"/>
                <w:szCs w:val="22"/>
                <w:highlight w:val="none"/>
              </w:rPr>
              <w:t>的得1分，最多</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（服务评价表必须具有合作单位（业主）加盖的公章，后附评价单位联系人及联系号码</w:t>
            </w:r>
            <w:r>
              <w:rPr>
                <w:rFonts w:hint="eastAsia" w:ascii="新宋体" w:hAnsi="新宋体" w:eastAsia="新宋体" w:cs="新宋体"/>
                <w:color w:val="auto"/>
                <w:sz w:val="22"/>
                <w:szCs w:val="22"/>
                <w:highlight w:val="none"/>
                <w:lang w:val="en-US" w:eastAsia="zh-CN"/>
              </w:rPr>
              <w:t>并加盖公章</w:t>
            </w:r>
            <w:r>
              <w:rPr>
                <w:rFonts w:hint="eastAsia" w:ascii="新宋体" w:hAnsi="新宋体" w:eastAsia="新宋体" w:cs="新宋体"/>
                <w:color w:val="auto"/>
                <w:sz w:val="22"/>
                <w:szCs w:val="22"/>
                <w:highlight w:val="none"/>
              </w:rPr>
              <w:t>。）</w:t>
            </w:r>
          </w:p>
        </w:tc>
      </w:tr>
    </w:tbl>
    <w:p>
      <w:pPr>
        <w:pStyle w:val="22"/>
        <w:spacing w:line="460" w:lineRule="exact"/>
        <w:ind w:firstLine="0" w:firstLineChars="0"/>
        <w:rPr>
          <w:rFonts w:hint="eastAsia" w:ascii="新宋体" w:hAnsi="新宋体" w:eastAsia="新宋体"/>
          <w:b/>
          <w:color w:val="auto"/>
          <w:sz w:val="22"/>
          <w:szCs w:val="22"/>
          <w:highlight w:val="none"/>
        </w:rPr>
      </w:pPr>
      <w:bookmarkStart w:id="81" w:name="_Toc2482"/>
      <w:bookmarkStart w:id="82" w:name="_Toc4727"/>
      <w:r>
        <w:rPr>
          <w:rFonts w:hint="eastAsia" w:ascii="新宋体" w:hAnsi="新宋体" w:eastAsia="新宋体"/>
          <w:b/>
          <w:color w:val="auto"/>
          <w:sz w:val="22"/>
          <w:szCs w:val="22"/>
          <w:highlight w:val="none"/>
        </w:rPr>
        <w:t>2、商务评分（10分）（权值10%）：</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满足招标文件要求且投标报价（旅游费用）最低的投标报价为评标基准价，其余投标人投标报价与该基准价对比，计算出商务报价评分值（保留小数2位）：</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1）有效投标人的投标报价等于评标基准价时其报价分为</w:t>
      </w:r>
      <w:r>
        <w:rPr>
          <w:rFonts w:hint="eastAsia" w:ascii="新宋体" w:hAnsi="新宋体" w:eastAsia="新宋体" w:cs="新宋体"/>
          <w:color w:val="auto"/>
          <w:sz w:val="22"/>
          <w:szCs w:val="22"/>
          <w:highlight w:val="none"/>
          <w:lang w:val="en-US" w:eastAsia="zh-CN"/>
        </w:rPr>
        <w:t>该项的</w:t>
      </w:r>
      <w:r>
        <w:rPr>
          <w:rFonts w:hint="eastAsia" w:ascii="新宋体" w:hAnsi="新宋体" w:eastAsia="新宋体" w:cs="新宋体"/>
          <w:color w:val="auto"/>
          <w:sz w:val="22"/>
          <w:szCs w:val="22"/>
          <w:highlight w:val="none"/>
        </w:rPr>
        <w:t>满分；</w:t>
      </w:r>
    </w:p>
    <w:p>
      <w:pPr>
        <w:spacing w:line="400" w:lineRule="exact"/>
        <w:ind w:firstLine="550" w:firstLineChars="250"/>
        <w:rPr>
          <w:rFonts w:hint="eastAsia" w:ascii="宋体" w:hAnsi="宋体" w:eastAsia="新宋体" w:cs="Arial"/>
          <w:color w:val="auto"/>
          <w:sz w:val="22"/>
          <w:highlight w:val="none"/>
          <w:lang w:val="en-US" w:eastAsia="zh-CN"/>
        </w:rPr>
      </w:pPr>
      <w:r>
        <w:rPr>
          <w:rFonts w:hint="eastAsia" w:ascii="新宋体" w:hAnsi="新宋体" w:eastAsia="新宋体" w:cs="新宋体"/>
          <w:color w:val="auto"/>
          <w:sz w:val="22"/>
          <w:szCs w:val="22"/>
          <w:highlight w:val="none"/>
        </w:rPr>
        <w:t>2）</w:t>
      </w:r>
      <w:r>
        <w:rPr>
          <w:rFonts w:hint="eastAsia" w:ascii="宋体" w:hAnsi="宋体" w:cs="Arial"/>
          <w:color w:val="auto"/>
          <w:sz w:val="22"/>
          <w:highlight w:val="none"/>
        </w:rPr>
        <w:t>其他投标人的价格分按以下公式计算：</w:t>
      </w:r>
      <w:r>
        <w:rPr>
          <w:rFonts w:hint="eastAsia" w:ascii="新宋体" w:hAnsi="新宋体" w:eastAsia="新宋体" w:cs="新宋体"/>
          <w:color w:val="auto"/>
          <w:sz w:val="22"/>
          <w:szCs w:val="22"/>
          <w:highlight w:val="none"/>
        </w:rPr>
        <w:t>温州市域内市级疗休养基地、浙江国家生态旅游协作区</w:t>
      </w:r>
      <w:r>
        <w:rPr>
          <w:rFonts w:hint="eastAsia" w:ascii="宋体" w:hAnsi="宋体" w:cs="Arial"/>
          <w:color w:val="auto"/>
          <w:sz w:val="22"/>
          <w:highlight w:val="none"/>
        </w:rPr>
        <w:t>路线（</w:t>
      </w:r>
      <w:r>
        <w:rPr>
          <w:rFonts w:hint="eastAsia" w:ascii="宋体" w:hAnsi="宋体" w:cs="Arial"/>
          <w:color w:val="auto"/>
          <w:sz w:val="22"/>
          <w:highlight w:val="none"/>
          <w:lang w:val="en-US" w:eastAsia="zh-CN"/>
        </w:rPr>
        <w:t>3</w:t>
      </w:r>
      <w:r>
        <w:rPr>
          <w:rFonts w:hint="eastAsia" w:ascii="宋体" w:hAnsi="宋体" w:cs="Arial"/>
          <w:color w:val="auto"/>
          <w:sz w:val="22"/>
          <w:highlight w:val="none"/>
        </w:rPr>
        <w:t>分）+</w:t>
      </w:r>
      <w:r>
        <w:rPr>
          <w:rFonts w:hint="eastAsia" w:ascii="新宋体" w:hAnsi="新宋体" w:eastAsia="新宋体" w:cs="新宋体"/>
          <w:color w:val="auto"/>
          <w:sz w:val="22"/>
          <w:szCs w:val="22"/>
          <w:highlight w:val="none"/>
        </w:rPr>
        <w:t>皖闽赣国家生态旅游协作区，长三角地区</w:t>
      </w:r>
      <w:r>
        <w:rPr>
          <w:rFonts w:hint="eastAsia" w:ascii="宋体" w:hAnsi="宋体" w:cs="Arial"/>
          <w:color w:val="auto"/>
          <w:sz w:val="22"/>
          <w:highlight w:val="none"/>
        </w:rPr>
        <w:t>路线（</w:t>
      </w:r>
      <w:r>
        <w:rPr>
          <w:rFonts w:hint="eastAsia" w:ascii="宋体" w:hAnsi="宋体" w:cs="Arial"/>
          <w:color w:val="auto"/>
          <w:sz w:val="22"/>
          <w:highlight w:val="none"/>
          <w:lang w:val="en-US" w:eastAsia="zh-CN"/>
        </w:rPr>
        <w:t>3</w:t>
      </w:r>
      <w:r>
        <w:rPr>
          <w:rFonts w:hint="eastAsia" w:ascii="宋体" w:hAnsi="宋体" w:cs="Arial"/>
          <w:color w:val="auto"/>
          <w:sz w:val="22"/>
          <w:highlight w:val="none"/>
        </w:rPr>
        <w:t>分）</w:t>
      </w:r>
      <w:r>
        <w:rPr>
          <w:rFonts w:hint="eastAsia" w:ascii="宋体" w:hAnsi="宋体" w:cs="Arial"/>
          <w:color w:val="auto"/>
          <w:sz w:val="22"/>
          <w:highlight w:val="none"/>
          <w:lang w:val="en-US" w:eastAsia="zh-CN"/>
        </w:rPr>
        <w:t>+</w:t>
      </w:r>
      <w:r>
        <w:rPr>
          <w:rFonts w:hint="eastAsia" w:ascii="新宋体" w:hAnsi="新宋体" w:eastAsia="新宋体" w:cs="新宋体"/>
          <w:color w:val="auto"/>
          <w:sz w:val="22"/>
          <w:szCs w:val="22"/>
          <w:highlight w:val="none"/>
        </w:rPr>
        <w:t>本市东西部协助、对口支援（合作）地区（新疆阿克苏地区、青海省格尔木市、西藏那曲地区嘉黎县、四川省南充市、阿坝州、 重庆市涪陵区、吉林省吉林市）</w:t>
      </w:r>
      <w:r>
        <w:rPr>
          <w:rFonts w:hint="eastAsia" w:ascii="新宋体" w:hAnsi="新宋体" w:eastAsia="新宋体" w:cs="新宋体"/>
          <w:color w:val="auto"/>
          <w:sz w:val="22"/>
          <w:szCs w:val="22"/>
          <w:highlight w:val="none"/>
          <w:lang w:val="en-US" w:eastAsia="zh-CN"/>
        </w:rPr>
        <w:t>路线（4分）</w:t>
      </w:r>
    </w:p>
    <w:p>
      <w:pPr>
        <w:spacing w:line="460" w:lineRule="exact"/>
        <w:ind w:firstLine="539" w:firstLineChars="245"/>
        <w:rPr>
          <w:rFonts w:hint="eastAsia" w:ascii="宋体" w:hAnsi="宋体" w:cs="Arial"/>
          <w:color w:val="auto"/>
          <w:sz w:val="22"/>
          <w:highlight w:val="none"/>
        </w:rPr>
      </w:pPr>
      <w:r>
        <w:rPr>
          <w:rFonts w:hint="eastAsia" w:ascii="新宋体" w:hAnsi="新宋体" w:eastAsia="新宋体" w:cs="新宋体"/>
          <w:color w:val="auto"/>
          <w:sz w:val="22"/>
          <w:szCs w:val="22"/>
          <w:highlight w:val="none"/>
        </w:rPr>
        <w:t>温州市域内市级疗休养基地、浙江国家生态旅游协作区</w:t>
      </w:r>
      <w:r>
        <w:rPr>
          <w:rFonts w:hint="eastAsia" w:ascii="宋体" w:hAnsi="宋体" w:cs="Arial"/>
          <w:color w:val="auto"/>
          <w:sz w:val="22"/>
          <w:highlight w:val="none"/>
        </w:rPr>
        <w:t>商务分得分=（评标基准价/投标人投标总价）×</w:t>
      </w:r>
      <w:r>
        <w:rPr>
          <w:rFonts w:hint="eastAsia" w:ascii="宋体" w:hAnsi="宋体" w:cs="Arial"/>
          <w:color w:val="auto"/>
          <w:sz w:val="22"/>
          <w:highlight w:val="none"/>
          <w:lang w:val="en-US" w:eastAsia="zh-CN"/>
        </w:rPr>
        <w:t>3</w:t>
      </w:r>
      <w:r>
        <w:rPr>
          <w:rFonts w:hint="eastAsia" w:ascii="宋体" w:hAnsi="宋体" w:cs="Arial"/>
          <w:color w:val="auto"/>
          <w:sz w:val="22"/>
          <w:highlight w:val="none"/>
        </w:rPr>
        <w:t>% ×100（四舍五入后保留小数2位）</w:t>
      </w:r>
    </w:p>
    <w:p>
      <w:pPr>
        <w:spacing w:line="460" w:lineRule="exact"/>
        <w:ind w:firstLine="539" w:firstLineChars="245"/>
        <w:rPr>
          <w:rFonts w:hint="eastAsia" w:ascii="宋体" w:hAnsi="宋体" w:cs="Arial"/>
          <w:color w:val="auto"/>
          <w:sz w:val="22"/>
          <w:highlight w:val="none"/>
        </w:rPr>
      </w:pPr>
      <w:r>
        <w:rPr>
          <w:rFonts w:hint="eastAsia" w:ascii="新宋体" w:hAnsi="新宋体" w:eastAsia="新宋体" w:cs="新宋体"/>
          <w:color w:val="auto"/>
          <w:sz w:val="22"/>
          <w:szCs w:val="22"/>
          <w:highlight w:val="none"/>
        </w:rPr>
        <w:t>皖闽赣国家生态旅游协作区，长三角地区</w:t>
      </w:r>
      <w:r>
        <w:rPr>
          <w:rFonts w:hint="eastAsia" w:ascii="宋体" w:hAnsi="宋体" w:cs="Arial"/>
          <w:color w:val="auto"/>
          <w:sz w:val="22"/>
          <w:highlight w:val="none"/>
        </w:rPr>
        <w:t>商务分得分=（评标基准价/投标人投标总价）×</w:t>
      </w:r>
      <w:r>
        <w:rPr>
          <w:rFonts w:hint="eastAsia" w:ascii="宋体" w:hAnsi="宋体" w:cs="Arial"/>
          <w:color w:val="auto"/>
          <w:sz w:val="22"/>
          <w:highlight w:val="none"/>
          <w:lang w:val="en-US" w:eastAsia="zh-CN"/>
        </w:rPr>
        <w:t>3</w:t>
      </w:r>
      <w:r>
        <w:rPr>
          <w:rFonts w:hint="eastAsia" w:ascii="宋体" w:hAnsi="宋体" w:cs="Arial"/>
          <w:color w:val="auto"/>
          <w:sz w:val="22"/>
          <w:highlight w:val="none"/>
        </w:rPr>
        <w:t>% ×100（四舍五入后保留小数2位）</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本市东西部协助、对口支援（合作）地区（新疆阿克苏地区、青海省格尔木市、西藏那曲地区嘉黎县、四川省南充市、阿坝州、 重庆市涪陵区、吉林省吉林市）</w:t>
      </w:r>
      <w:r>
        <w:rPr>
          <w:rFonts w:hint="eastAsia" w:ascii="宋体" w:hAnsi="宋体" w:cs="Arial"/>
          <w:color w:val="auto"/>
          <w:sz w:val="22"/>
          <w:highlight w:val="none"/>
        </w:rPr>
        <w:t>商务分得分=（评标基准价/投标人投标总价）×</w:t>
      </w:r>
      <w:r>
        <w:rPr>
          <w:rFonts w:hint="eastAsia" w:ascii="宋体" w:hAnsi="宋体" w:cs="Arial"/>
          <w:color w:val="auto"/>
          <w:sz w:val="22"/>
          <w:highlight w:val="none"/>
          <w:lang w:val="en-US" w:eastAsia="zh-CN"/>
        </w:rPr>
        <w:t>4</w:t>
      </w:r>
      <w:r>
        <w:rPr>
          <w:rFonts w:hint="eastAsia" w:ascii="宋体" w:hAnsi="宋体" w:cs="Arial"/>
          <w:color w:val="auto"/>
          <w:sz w:val="22"/>
          <w:highlight w:val="none"/>
        </w:rPr>
        <w:t>% ×100（四舍五入后保留小数2位）</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3、有效投标人的综合得分为技术分和</w:t>
      </w:r>
      <w:r>
        <w:rPr>
          <w:rFonts w:hint="eastAsia" w:ascii="新宋体" w:hAnsi="新宋体" w:eastAsia="新宋体" w:cs="新宋体"/>
          <w:color w:val="auto"/>
          <w:sz w:val="22"/>
          <w:szCs w:val="22"/>
          <w:highlight w:val="none"/>
          <w:lang w:val="en-US" w:eastAsia="zh-CN"/>
        </w:rPr>
        <w:t>各</w:t>
      </w:r>
      <w:r>
        <w:rPr>
          <w:rFonts w:hint="eastAsia" w:ascii="新宋体" w:hAnsi="新宋体" w:eastAsia="新宋体" w:cs="新宋体"/>
          <w:color w:val="auto"/>
          <w:sz w:val="22"/>
          <w:szCs w:val="22"/>
          <w:highlight w:val="none"/>
        </w:rPr>
        <w:t>商务（报价）分的总和。</w:t>
      </w:r>
    </w:p>
    <w:p>
      <w:pPr>
        <w:spacing w:line="460" w:lineRule="exact"/>
        <w:ind w:firstLine="539" w:firstLineChars="245"/>
        <w:outlineLvl w:val="9"/>
        <w:rPr>
          <w:rFonts w:hint="eastAsia" w:ascii="宋体" w:hAnsi="宋体" w:cs="宋体"/>
          <w:b/>
          <w:bCs/>
          <w:color w:val="auto"/>
          <w:sz w:val="22"/>
          <w:szCs w:val="22"/>
          <w:highlight w:val="none"/>
        </w:rPr>
      </w:pPr>
      <w:r>
        <w:rPr>
          <w:rFonts w:hint="eastAsia" w:ascii="新宋体" w:hAnsi="新宋体" w:eastAsia="新宋体" w:cs="新宋体"/>
          <w:color w:val="auto"/>
          <w:sz w:val="22"/>
          <w:szCs w:val="22"/>
          <w:highlight w:val="non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outlineLvl w:val="1"/>
        <w:rPr>
          <w:rFonts w:ascii="宋体" w:hAnsi="宋体" w:cs="宋体"/>
          <w:b/>
          <w:bCs/>
          <w:color w:val="auto"/>
          <w:sz w:val="22"/>
          <w:szCs w:val="22"/>
          <w:highlight w:val="none"/>
        </w:rPr>
      </w:pPr>
      <w:r>
        <w:rPr>
          <w:rFonts w:hint="eastAsia" w:ascii="宋体" w:hAnsi="宋体" w:cs="宋体"/>
          <w:b/>
          <w:bCs/>
          <w:color w:val="auto"/>
          <w:sz w:val="22"/>
          <w:szCs w:val="22"/>
          <w:highlight w:val="none"/>
        </w:rPr>
        <w:t>六、定标办法</w:t>
      </w:r>
      <w:bookmarkEnd w:id="81"/>
      <w:bookmarkEnd w:id="82"/>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1</w:t>
      </w: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确定中标候选人</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1.1由评标委员会确定中标候选人。</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2、确定中标人</w:t>
      </w:r>
    </w:p>
    <w:p>
      <w:pPr>
        <w:spacing w:line="46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 xml:space="preserve">     2.1招标人按照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w:t>
      </w: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中标人确定后，招标人将在指定媒体公告中标结果，招标人向中标人发出中标通知书。</w:t>
      </w:r>
    </w:p>
    <w:p>
      <w:pPr>
        <w:spacing w:line="460" w:lineRule="exact"/>
        <w:ind w:firstLine="541" w:firstLineChars="245"/>
        <w:outlineLvl w:val="1"/>
        <w:rPr>
          <w:rFonts w:ascii="宋体" w:hAnsi="宋体" w:cs="宋体"/>
          <w:b/>
          <w:color w:val="auto"/>
          <w:sz w:val="22"/>
          <w:szCs w:val="22"/>
          <w:highlight w:val="none"/>
        </w:rPr>
      </w:pPr>
      <w:bookmarkStart w:id="83" w:name="_Toc3629"/>
      <w:bookmarkStart w:id="84" w:name="_Toc17587"/>
      <w:r>
        <w:rPr>
          <w:rFonts w:hint="eastAsia" w:ascii="宋体" w:hAnsi="宋体" w:cs="宋体"/>
          <w:b/>
          <w:color w:val="auto"/>
          <w:sz w:val="22"/>
          <w:szCs w:val="22"/>
          <w:highlight w:val="none"/>
        </w:rPr>
        <w:t>七、投标人义务</w:t>
      </w:r>
      <w:bookmarkEnd w:id="83"/>
      <w:bookmarkEnd w:id="84"/>
    </w:p>
    <w:p>
      <w:pPr>
        <w:spacing w:line="460" w:lineRule="exact"/>
        <w:ind w:firstLine="539" w:firstLineChars="245"/>
        <w:rPr>
          <w:rFonts w:ascii="宋体" w:hAnsi="宋体" w:cs="宋体"/>
          <w:color w:val="auto"/>
          <w:highlight w:val="none"/>
        </w:rPr>
      </w:pPr>
      <w:r>
        <w:rPr>
          <w:rFonts w:hint="eastAsia" w:ascii="宋体" w:hAnsi="宋体" w:cs="宋体"/>
          <w:color w:val="auto"/>
          <w:sz w:val="22"/>
          <w:szCs w:val="22"/>
          <w:highlight w:val="none"/>
        </w:rPr>
        <w:t>投标人应随时接受评标委员会的询标，解答包括有关的商务、技术问题等。评标结束，所有评标资料存招标机构备查。</w:t>
      </w:r>
    </w:p>
    <w:p>
      <w:pPr>
        <w:spacing w:line="460" w:lineRule="exact"/>
        <w:jc w:val="center"/>
        <w:rPr>
          <w:rFonts w:ascii="宋体" w:hAnsi="宋体" w:cs="宋体"/>
          <w:b/>
          <w:color w:val="auto"/>
          <w:sz w:val="32"/>
          <w:szCs w:val="32"/>
          <w:highlight w:val="none"/>
        </w:rPr>
      </w:pPr>
    </w:p>
    <w:p>
      <w:pPr>
        <w:pStyle w:val="22"/>
        <w:ind w:left="440" w:hanging="440"/>
        <w:rPr>
          <w:rFonts w:ascii="宋体" w:hAnsi="宋体" w:cs="宋体"/>
          <w:color w:val="auto"/>
          <w:kern w:val="0"/>
          <w:sz w:val="22"/>
          <w:szCs w:val="22"/>
          <w:highlight w:val="none"/>
        </w:rPr>
      </w:pPr>
    </w:p>
    <w:sectPr>
      <w:headerReference r:id="rId6" w:type="default"/>
      <w:footerReference r:id="rId7" w:type="default"/>
      <w:pgSz w:w="11906" w:h="16838"/>
      <w:pgMar w:top="1134" w:right="1134" w:bottom="1134" w:left="1134" w:header="850"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Century Gothic">
    <w:panose1 w:val="020B0502020202020204"/>
    <w:charset w:val="00"/>
    <w:family w:val="swiss"/>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6"/>
      </w:rPr>
    </w:pPr>
    <w:r>
      <w:fldChar w:fldCharType="begin"/>
    </w:r>
    <w:r>
      <w:rPr>
        <w:rStyle w:val="56"/>
      </w:rPr>
      <w:instrText xml:space="preserve">PAGE  </w:instrText>
    </w:r>
    <w:r>
      <w:fldChar w:fldCharType="separate"/>
    </w:r>
    <w:r>
      <w:rPr>
        <w:rStyle w:val="56"/>
      </w:rPr>
      <w:t>48</w:t>
    </w:r>
    <w:r>
      <w:fldChar w:fldCharType="end"/>
    </w:r>
  </w:p>
  <w:p>
    <w:pPr>
      <w:pStyle w:val="34"/>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firstLine="4500" w:firstLineChars="25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6"/>
      </w:rPr>
    </w:pPr>
    <w:r>
      <w:fldChar w:fldCharType="begin"/>
    </w:r>
    <w:r>
      <w:rPr>
        <w:rStyle w:val="56"/>
      </w:rPr>
      <w:instrText xml:space="preserve">PAGE  </w:instrText>
    </w:r>
    <w:r>
      <w:fldChar w:fldCharType="separate"/>
    </w:r>
    <w:r>
      <w:rPr>
        <w:rStyle w:val="56"/>
      </w:rPr>
      <w:t>56</w:t>
    </w:r>
    <w:r>
      <w:fldChar w:fldCharType="end"/>
    </w:r>
  </w:p>
  <w:p>
    <w:pPr>
      <w:pStyle w:val="34"/>
      <w:ind w:right="360"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6" w:space="0"/>
      </w:pBdr>
      <w:jc w:val="both"/>
      <w:rPr>
        <w:rFonts w:hint="eastAsia" w:eastAsia="宋体"/>
        <w:lang w:eastAsia="zh-CN"/>
      </w:rPr>
    </w:pPr>
    <w:r>
      <w:rPr>
        <w:rFonts w:hint="eastAsia"/>
        <w:lang w:eastAsia="zh-CN"/>
      </w:rPr>
      <w:t>温州市第七人民医院</w:t>
    </w:r>
    <w:r>
      <w:rPr>
        <w:rFonts w:hint="eastAsia"/>
      </w:rPr>
      <w:t xml:space="preserve">招标文件                             </w:t>
    </w:r>
    <w:r>
      <w:rPr>
        <w:rFonts w:hint="eastAsia"/>
        <w:lang w:val="en-US" w:eastAsia="zh-CN"/>
      </w:rPr>
      <w:t xml:space="preserve">          </w:t>
    </w:r>
    <w:r>
      <w:rPr>
        <w:rFonts w:hint="eastAsia"/>
      </w:rPr>
      <w:t xml:space="preserve">   项目编号：</w:t>
    </w:r>
    <w:r>
      <w:rPr>
        <w:rFonts w:hint="eastAsia"/>
        <w:lang w:eastAsia="zh-CN"/>
      </w:rPr>
      <w:t>WZLCZB（Z）-2024-04108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6" w:space="0"/>
      </w:pBdr>
      <w:jc w:val="both"/>
      <w:rPr>
        <w:rFonts w:hint="eastAsia" w:eastAsia="宋体"/>
        <w:lang w:eastAsia="zh-CN"/>
      </w:rPr>
    </w:pPr>
    <w:r>
      <w:rPr>
        <w:rFonts w:hint="eastAsia"/>
        <w:lang w:eastAsia="zh-CN"/>
      </w:rPr>
      <w:t>温州市第七人民医院</w:t>
    </w:r>
    <w:r>
      <w:rPr>
        <w:rFonts w:hint="eastAsia"/>
      </w:rPr>
      <w:t>招标文件                                                项目编号：</w:t>
    </w:r>
    <w:r>
      <w:rPr>
        <w:rFonts w:hint="eastAsia"/>
        <w:lang w:eastAsia="zh-CN"/>
      </w:rPr>
      <w:t>WZLCZB（Z）-2024-04108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D2AFC"/>
    <w:multiLevelType w:val="singleLevel"/>
    <w:tmpl w:val="9DED2AFC"/>
    <w:lvl w:ilvl="0" w:tentative="0">
      <w:start w:val="4"/>
      <w:numFmt w:val="chineseCounting"/>
      <w:suff w:val="space"/>
      <w:lvlText w:val="第%1部分"/>
      <w:lvlJc w:val="left"/>
      <w:rPr>
        <w:rFonts w:hint="eastAsia"/>
      </w:rPr>
    </w:lvl>
  </w:abstractNum>
  <w:abstractNum w:abstractNumId="1">
    <w:nsid w:val="B1C0EE6B"/>
    <w:multiLevelType w:val="singleLevel"/>
    <w:tmpl w:val="B1C0EE6B"/>
    <w:lvl w:ilvl="0" w:tentative="0">
      <w:start w:val="5"/>
      <w:numFmt w:val="chineseCounting"/>
      <w:suff w:val="nothing"/>
      <w:lvlText w:val="%1、"/>
      <w:lvlJc w:val="left"/>
      <w:rPr>
        <w:rFonts w:hint="eastAsia"/>
      </w:rPr>
    </w:lvl>
  </w:abstractNum>
  <w:abstractNum w:abstractNumId="2">
    <w:nsid w:val="BAF9EC89"/>
    <w:multiLevelType w:val="singleLevel"/>
    <w:tmpl w:val="BAF9EC89"/>
    <w:lvl w:ilvl="0" w:tentative="0">
      <w:start w:val="1"/>
      <w:numFmt w:val="chineseCounting"/>
      <w:suff w:val="nothing"/>
      <w:lvlText w:val="（%1）"/>
      <w:lvlJc w:val="left"/>
      <w:rPr>
        <w:rFonts w:hint="eastAsia"/>
      </w:rPr>
    </w:lvl>
  </w:abstractNum>
  <w:abstractNum w:abstractNumId="3">
    <w:nsid w:val="C17DE9BD"/>
    <w:multiLevelType w:val="singleLevel"/>
    <w:tmpl w:val="C17DE9BD"/>
    <w:lvl w:ilvl="0" w:tentative="0">
      <w:start w:val="1"/>
      <w:numFmt w:val="decimal"/>
      <w:suff w:val="nothing"/>
      <w:lvlText w:val="%1、"/>
      <w:lvlJc w:val="left"/>
    </w:lvl>
  </w:abstractNum>
  <w:abstractNum w:abstractNumId="4">
    <w:nsid w:val="CD31F181"/>
    <w:multiLevelType w:val="singleLevel"/>
    <w:tmpl w:val="CD31F181"/>
    <w:lvl w:ilvl="0" w:tentative="0">
      <w:start w:val="1"/>
      <w:numFmt w:val="decimal"/>
      <w:suff w:val="nothing"/>
      <w:lvlText w:val="%1、"/>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forms" w:enforcement="0"/>
  <w:defaultTabStop w:val="420"/>
  <w:drawingGridHorizontalSpacing w:val="210"/>
  <w:drawingGridVerticalSpacing w:val="16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M4MTY1MmFmZmM0YzFmYjliMTVjYzA0ZTI1YzRmZjUifQ=="/>
  </w:docVars>
  <w:rsids>
    <w:rsidRoot w:val="00172A27"/>
    <w:rsid w:val="0000121E"/>
    <w:rsid w:val="0000590A"/>
    <w:rsid w:val="000149E3"/>
    <w:rsid w:val="00020693"/>
    <w:rsid w:val="000217C7"/>
    <w:rsid w:val="00026A46"/>
    <w:rsid w:val="00027D0D"/>
    <w:rsid w:val="00031F49"/>
    <w:rsid w:val="00037B6F"/>
    <w:rsid w:val="000467FA"/>
    <w:rsid w:val="000474B4"/>
    <w:rsid w:val="00063600"/>
    <w:rsid w:val="00076942"/>
    <w:rsid w:val="000A6326"/>
    <w:rsid w:val="000B2878"/>
    <w:rsid w:val="000C256B"/>
    <w:rsid w:val="000D3F48"/>
    <w:rsid w:val="000F2CE7"/>
    <w:rsid w:val="000F7303"/>
    <w:rsid w:val="0010260A"/>
    <w:rsid w:val="00113133"/>
    <w:rsid w:val="0011488F"/>
    <w:rsid w:val="0013241A"/>
    <w:rsid w:val="0013451B"/>
    <w:rsid w:val="00146E35"/>
    <w:rsid w:val="00172A27"/>
    <w:rsid w:val="00175B72"/>
    <w:rsid w:val="00176791"/>
    <w:rsid w:val="001943FB"/>
    <w:rsid w:val="0019644F"/>
    <w:rsid w:val="001A6D3C"/>
    <w:rsid w:val="001B0F17"/>
    <w:rsid w:val="001B2275"/>
    <w:rsid w:val="001C6448"/>
    <w:rsid w:val="001D17EA"/>
    <w:rsid w:val="001D4048"/>
    <w:rsid w:val="001D49A1"/>
    <w:rsid w:val="001D76F4"/>
    <w:rsid w:val="001E7897"/>
    <w:rsid w:val="001F5D2B"/>
    <w:rsid w:val="002018F6"/>
    <w:rsid w:val="002044B9"/>
    <w:rsid w:val="00212172"/>
    <w:rsid w:val="00223CC1"/>
    <w:rsid w:val="00227214"/>
    <w:rsid w:val="00230913"/>
    <w:rsid w:val="00240C51"/>
    <w:rsid w:val="00243D5B"/>
    <w:rsid w:val="002447E7"/>
    <w:rsid w:val="00261F3C"/>
    <w:rsid w:val="00264C73"/>
    <w:rsid w:val="00270294"/>
    <w:rsid w:val="00271C2D"/>
    <w:rsid w:val="00280B9C"/>
    <w:rsid w:val="002843F3"/>
    <w:rsid w:val="00296547"/>
    <w:rsid w:val="002A31D6"/>
    <w:rsid w:val="002B5782"/>
    <w:rsid w:val="002C08AE"/>
    <w:rsid w:val="002C09AD"/>
    <w:rsid w:val="002D20EE"/>
    <w:rsid w:val="002D2D3D"/>
    <w:rsid w:val="002D664C"/>
    <w:rsid w:val="002E078B"/>
    <w:rsid w:val="002E72EF"/>
    <w:rsid w:val="002E7DAB"/>
    <w:rsid w:val="003058EA"/>
    <w:rsid w:val="0031756C"/>
    <w:rsid w:val="00325D0F"/>
    <w:rsid w:val="00327AB8"/>
    <w:rsid w:val="003323A3"/>
    <w:rsid w:val="00350DF6"/>
    <w:rsid w:val="00351F86"/>
    <w:rsid w:val="00352124"/>
    <w:rsid w:val="0035435E"/>
    <w:rsid w:val="00355CF1"/>
    <w:rsid w:val="00357388"/>
    <w:rsid w:val="00357A7B"/>
    <w:rsid w:val="003654EF"/>
    <w:rsid w:val="00371955"/>
    <w:rsid w:val="00372FCF"/>
    <w:rsid w:val="00373BB2"/>
    <w:rsid w:val="00380B23"/>
    <w:rsid w:val="00383F1F"/>
    <w:rsid w:val="003B0A15"/>
    <w:rsid w:val="003B1471"/>
    <w:rsid w:val="003B5050"/>
    <w:rsid w:val="003C713C"/>
    <w:rsid w:val="00405437"/>
    <w:rsid w:val="00405F28"/>
    <w:rsid w:val="004111FA"/>
    <w:rsid w:val="0041137E"/>
    <w:rsid w:val="00430AB9"/>
    <w:rsid w:val="00432BAE"/>
    <w:rsid w:val="00441256"/>
    <w:rsid w:val="0045663E"/>
    <w:rsid w:val="00461389"/>
    <w:rsid w:val="0046542D"/>
    <w:rsid w:val="00481BD3"/>
    <w:rsid w:val="00485D0A"/>
    <w:rsid w:val="00495FFD"/>
    <w:rsid w:val="004B66F1"/>
    <w:rsid w:val="004C013A"/>
    <w:rsid w:val="004C0420"/>
    <w:rsid w:val="004C7034"/>
    <w:rsid w:val="004E0B8A"/>
    <w:rsid w:val="004E214B"/>
    <w:rsid w:val="005001D6"/>
    <w:rsid w:val="00501B40"/>
    <w:rsid w:val="00513FC8"/>
    <w:rsid w:val="00516871"/>
    <w:rsid w:val="00522EF2"/>
    <w:rsid w:val="005238A3"/>
    <w:rsid w:val="00526065"/>
    <w:rsid w:val="00532669"/>
    <w:rsid w:val="00533C40"/>
    <w:rsid w:val="00535AC9"/>
    <w:rsid w:val="00555E01"/>
    <w:rsid w:val="00555FA3"/>
    <w:rsid w:val="00561E5D"/>
    <w:rsid w:val="0056534C"/>
    <w:rsid w:val="0056562E"/>
    <w:rsid w:val="00565E01"/>
    <w:rsid w:val="005674BB"/>
    <w:rsid w:val="00572B8A"/>
    <w:rsid w:val="00582AEF"/>
    <w:rsid w:val="00585D7D"/>
    <w:rsid w:val="00586839"/>
    <w:rsid w:val="00587A14"/>
    <w:rsid w:val="005A1DD3"/>
    <w:rsid w:val="005A3AA2"/>
    <w:rsid w:val="005A65DF"/>
    <w:rsid w:val="005B3595"/>
    <w:rsid w:val="005C388F"/>
    <w:rsid w:val="005D47D8"/>
    <w:rsid w:val="005E6BF1"/>
    <w:rsid w:val="005F18DE"/>
    <w:rsid w:val="005F5520"/>
    <w:rsid w:val="0060180B"/>
    <w:rsid w:val="00607A59"/>
    <w:rsid w:val="00631E7A"/>
    <w:rsid w:val="00636F20"/>
    <w:rsid w:val="0064398C"/>
    <w:rsid w:val="00644CD7"/>
    <w:rsid w:val="00647AB1"/>
    <w:rsid w:val="00654A9F"/>
    <w:rsid w:val="00667C25"/>
    <w:rsid w:val="00692D32"/>
    <w:rsid w:val="00696C82"/>
    <w:rsid w:val="006A06C5"/>
    <w:rsid w:val="006A1CF7"/>
    <w:rsid w:val="006B3E1C"/>
    <w:rsid w:val="006C367E"/>
    <w:rsid w:val="006D438F"/>
    <w:rsid w:val="006D6C7C"/>
    <w:rsid w:val="006E2672"/>
    <w:rsid w:val="0070354C"/>
    <w:rsid w:val="0070610E"/>
    <w:rsid w:val="007068AC"/>
    <w:rsid w:val="00722BB3"/>
    <w:rsid w:val="00740BFF"/>
    <w:rsid w:val="00740E65"/>
    <w:rsid w:val="007464CC"/>
    <w:rsid w:val="00753072"/>
    <w:rsid w:val="007546B0"/>
    <w:rsid w:val="007671B7"/>
    <w:rsid w:val="00774E3F"/>
    <w:rsid w:val="00776F48"/>
    <w:rsid w:val="00780CBF"/>
    <w:rsid w:val="00781B95"/>
    <w:rsid w:val="00782C1F"/>
    <w:rsid w:val="007A1658"/>
    <w:rsid w:val="007A21E8"/>
    <w:rsid w:val="007A62BD"/>
    <w:rsid w:val="007B564B"/>
    <w:rsid w:val="007B769B"/>
    <w:rsid w:val="007C06E7"/>
    <w:rsid w:val="007C70CE"/>
    <w:rsid w:val="007E29D6"/>
    <w:rsid w:val="007F2164"/>
    <w:rsid w:val="00800A72"/>
    <w:rsid w:val="00804ACD"/>
    <w:rsid w:val="0080543D"/>
    <w:rsid w:val="00814AFF"/>
    <w:rsid w:val="00817CE2"/>
    <w:rsid w:val="00821BF5"/>
    <w:rsid w:val="00831C7B"/>
    <w:rsid w:val="00832D9C"/>
    <w:rsid w:val="00836E00"/>
    <w:rsid w:val="00846CC5"/>
    <w:rsid w:val="00850622"/>
    <w:rsid w:val="0086535B"/>
    <w:rsid w:val="00870DFA"/>
    <w:rsid w:val="00871EBE"/>
    <w:rsid w:val="00873949"/>
    <w:rsid w:val="00875629"/>
    <w:rsid w:val="00877499"/>
    <w:rsid w:val="00892732"/>
    <w:rsid w:val="00893202"/>
    <w:rsid w:val="0089599B"/>
    <w:rsid w:val="008A127E"/>
    <w:rsid w:val="008A4FF5"/>
    <w:rsid w:val="008B2FA9"/>
    <w:rsid w:val="008B7C44"/>
    <w:rsid w:val="008C2D7B"/>
    <w:rsid w:val="008C31BC"/>
    <w:rsid w:val="008C637F"/>
    <w:rsid w:val="008D57C7"/>
    <w:rsid w:val="008D62C9"/>
    <w:rsid w:val="008D75C3"/>
    <w:rsid w:val="008E0B76"/>
    <w:rsid w:val="008E26D5"/>
    <w:rsid w:val="008F4E37"/>
    <w:rsid w:val="008F7BE3"/>
    <w:rsid w:val="008F7D27"/>
    <w:rsid w:val="00902AA2"/>
    <w:rsid w:val="009254A6"/>
    <w:rsid w:val="0093089E"/>
    <w:rsid w:val="00933974"/>
    <w:rsid w:val="00936127"/>
    <w:rsid w:val="00944570"/>
    <w:rsid w:val="00945DCB"/>
    <w:rsid w:val="00952952"/>
    <w:rsid w:val="00963BD2"/>
    <w:rsid w:val="009652E5"/>
    <w:rsid w:val="00973F7A"/>
    <w:rsid w:val="0097671D"/>
    <w:rsid w:val="00977673"/>
    <w:rsid w:val="00987F54"/>
    <w:rsid w:val="00991B38"/>
    <w:rsid w:val="00996305"/>
    <w:rsid w:val="0099674D"/>
    <w:rsid w:val="009A10D9"/>
    <w:rsid w:val="009B173A"/>
    <w:rsid w:val="009B1B3C"/>
    <w:rsid w:val="009C1A86"/>
    <w:rsid w:val="009C748F"/>
    <w:rsid w:val="009E4D45"/>
    <w:rsid w:val="00A24A5C"/>
    <w:rsid w:val="00A317E0"/>
    <w:rsid w:val="00A42424"/>
    <w:rsid w:val="00A43176"/>
    <w:rsid w:val="00A45873"/>
    <w:rsid w:val="00A52583"/>
    <w:rsid w:val="00A56219"/>
    <w:rsid w:val="00A61866"/>
    <w:rsid w:val="00A77176"/>
    <w:rsid w:val="00A92B83"/>
    <w:rsid w:val="00A94925"/>
    <w:rsid w:val="00A957CF"/>
    <w:rsid w:val="00AA3DA6"/>
    <w:rsid w:val="00AA7C87"/>
    <w:rsid w:val="00AB56B9"/>
    <w:rsid w:val="00AD66E6"/>
    <w:rsid w:val="00AE4B39"/>
    <w:rsid w:val="00AE6B8D"/>
    <w:rsid w:val="00AF7BEB"/>
    <w:rsid w:val="00B06E43"/>
    <w:rsid w:val="00B2584A"/>
    <w:rsid w:val="00B41362"/>
    <w:rsid w:val="00B418C9"/>
    <w:rsid w:val="00B43A9E"/>
    <w:rsid w:val="00B44537"/>
    <w:rsid w:val="00B50862"/>
    <w:rsid w:val="00B5466C"/>
    <w:rsid w:val="00B66F77"/>
    <w:rsid w:val="00B72328"/>
    <w:rsid w:val="00B74039"/>
    <w:rsid w:val="00B87E26"/>
    <w:rsid w:val="00B9767A"/>
    <w:rsid w:val="00BA78D1"/>
    <w:rsid w:val="00BC0A13"/>
    <w:rsid w:val="00BC2B54"/>
    <w:rsid w:val="00BC4AC5"/>
    <w:rsid w:val="00BC5183"/>
    <w:rsid w:val="00BC651E"/>
    <w:rsid w:val="00BC66D1"/>
    <w:rsid w:val="00BD19D3"/>
    <w:rsid w:val="00BE0380"/>
    <w:rsid w:val="00BE47B4"/>
    <w:rsid w:val="00BF1399"/>
    <w:rsid w:val="00BF32BD"/>
    <w:rsid w:val="00BF364E"/>
    <w:rsid w:val="00C12358"/>
    <w:rsid w:val="00C17FD0"/>
    <w:rsid w:val="00C232C8"/>
    <w:rsid w:val="00C23BC2"/>
    <w:rsid w:val="00C32C14"/>
    <w:rsid w:val="00C40982"/>
    <w:rsid w:val="00C468B7"/>
    <w:rsid w:val="00C67C97"/>
    <w:rsid w:val="00C70CE6"/>
    <w:rsid w:val="00C758F7"/>
    <w:rsid w:val="00C816DD"/>
    <w:rsid w:val="00C95163"/>
    <w:rsid w:val="00CA73FA"/>
    <w:rsid w:val="00CB584C"/>
    <w:rsid w:val="00CC0155"/>
    <w:rsid w:val="00CC06DE"/>
    <w:rsid w:val="00CC2CF3"/>
    <w:rsid w:val="00CC3B91"/>
    <w:rsid w:val="00CE590D"/>
    <w:rsid w:val="00CF47AA"/>
    <w:rsid w:val="00CF5C76"/>
    <w:rsid w:val="00D00FFE"/>
    <w:rsid w:val="00D06EA9"/>
    <w:rsid w:val="00D13A1C"/>
    <w:rsid w:val="00D21B47"/>
    <w:rsid w:val="00D224FF"/>
    <w:rsid w:val="00D27DB2"/>
    <w:rsid w:val="00D30692"/>
    <w:rsid w:val="00D3078D"/>
    <w:rsid w:val="00D30E82"/>
    <w:rsid w:val="00D47AC2"/>
    <w:rsid w:val="00D56369"/>
    <w:rsid w:val="00D6298B"/>
    <w:rsid w:val="00D70EBE"/>
    <w:rsid w:val="00D73718"/>
    <w:rsid w:val="00D7763D"/>
    <w:rsid w:val="00D8332A"/>
    <w:rsid w:val="00D844F8"/>
    <w:rsid w:val="00D97A1D"/>
    <w:rsid w:val="00DB09B7"/>
    <w:rsid w:val="00DB2D6E"/>
    <w:rsid w:val="00DB2DE0"/>
    <w:rsid w:val="00DB41D0"/>
    <w:rsid w:val="00DD28F7"/>
    <w:rsid w:val="00DD5379"/>
    <w:rsid w:val="00DF073C"/>
    <w:rsid w:val="00DF0B3F"/>
    <w:rsid w:val="00E0146C"/>
    <w:rsid w:val="00E02244"/>
    <w:rsid w:val="00E05AD1"/>
    <w:rsid w:val="00E11D98"/>
    <w:rsid w:val="00E15CD1"/>
    <w:rsid w:val="00E17AB8"/>
    <w:rsid w:val="00E22045"/>
    <w:rsid w:val="00E248CD"/>
    <w:rsid w:val="00E36483"/>
    <w:rsid w:val="00E379C6"/>
    <w:rsid w:val="00E47315"/>
    <w:rsid w:val="00E53874"/>
    <w:rsid w:val="00E56BD4"/>
    <w:rsid w:val="00E57D1E"/>
    <w:rsid w:val="00E72ABC"/>
    <w:rsid w:val="00E74DBC"/>
    <w:rsid w:val="00E76E5A"/>
    <w:rsid w:val="00E85451"/>
    <w:rsid w:val="00E9308F"/>
    <w:rsid w:val="00EC182D"/>
    <w:rsid w:val="00EC6C26"/>
    <w:rsid w:val="00EC7DF8"/>
    <w:rsid w:val="00ED2873"/>
    <w:rsid w:val="00ED3B24"/>
    <w:rsid w:val="00ED6F99"/>
    <w:rsid w:val="00ED7497"/>
    <w:rsid w:val="00EE45C7"/>
    <w:rsid w:val="00EE790B"/>
    <w:rsid w:val="00EF4A4C"/>
    <w:rsid w:val="00EF78B0"/>
    <w:rsid w:val="00EF79FA"/>
    <w:rsid w:val="00F03D32"/>
    <w:rsid w:val="00F06ABE"/>
    <w:rsid w:val="00F270F8"/>
    <w:rsid w:val="00F27576"/>
    <w:rsid w:val="00F36312"/>
    <w:rsid w:val="00F5082C"/>
    <w:rsid w:val="00F52CCB"/>
    <w:rsid w:val="00F52CD3"/>
    <w:rsid w:val="00F52E99"/>
    <w:rsid w:val="00F5569D"/>
    <w:rsid w:val="00F60DCB"/>
    <w:rsid w:val="00F7242F"/>
    <w:rsid w:val="00F73321"/>
    <w:rsid w:val="00F80AAA"/>
    <w:rsid w:val="00F875E7"/>
    <w:rsid w:val="00F93BBA"/>
    <w:rsid w:val="00F93C31"/>
    <w:rsid w:val="00F95280"/>
    <w:rsid w:val="00FA662A"/>
    <w:rsid w:val="00FB0E0C"/>
    <w:rsid w:val="00FB1229"/>
    <w:rsid w:val="00FC15A0"/>
    <w:rsid w:val="00FC3EB0"/>
    <w:rsid w:val="00FC44CE"/>
    <w:rsid w:val="00FD2015"/>
    <w:rsid w:val="00FD52B1"/>
    <w:rsid w:val="00FF3A66"/>
    <w:rsid w:val="00FF6977"/>
    <w:rsid w:val="0116709E"/>
    <w:rsid w:val="012C3B35"/>
    <w:rsid w:val="01606883"/>
    <w:rsid w:val="018F70D0"/>
    <w:rsid w:val="01995177"/>
    <w:rsid w:val="020D29B1"/>
    <w:rsid w:val="021F7DAD"/>
    <w:rsid w:val="0224444B"/>
    <w:rsid w:val="022D7429"/>
    <w:rsid w:val="02451328"/>
    <w:rsid w:val="027D25C0"/>
    <w:rsid w:val="02841565"/>
    <w:rsid w:val="029F4EB8"/>
    <w:rsid w:val="02B3222E"/>
    <w:rsid w:val="02BD79CE"/>
    <w:rsid w:val="02F63BA4"/>
    <w:rsid w:val="031D0871"/>
    <w:rsid w:val="03283281"/>
    <w:rsid w:val="03331487"/>
    <w:rsid w:val="034A64CB"/>
    <w:rsid w:val="039714E5"/>
    <w:rsid w:val="03A52548"/>
    <w:rsid w:val="03B96744"/>
    <w:rsid w:val="03BE392F"/>
    <w:rsid w:val="03BE63B3"/>
    <w:rsid w:val="03E13A1E"/>
    <w:rsid w:val="03E33FFA"/>
    <w:rsid w:val="03E86FF4"/>
    <w:rsid w:val="04156ACE"/>
    <w:rsid w:val="042A5AFC"/>
    <w:rsid w:val="042D612C"/>
    <w:rsid w:val="043D6DF1"/>
    <w:rsid w:val="043F2279"/>
    <w:rsid w:val="044865A2"/>
    <w:rsid w:val="045D6844"/>
    <w:rsid w:val="0469222C"/>
    <w:rsid w:val="04773EC8"/>
    <w:rsid w:val="048D46D7"/>
    <w:rsid w:val="04A01243"/>
    <w:rsid w:val="04BA7E8B"/>
    <w:rsid w:val="04C27070"/>
    <w:rsid w:val="04CB6CCD"/>
    <w:rsid w:val="04E23C80"/>
    <w:rsid w:val="04FD6D0A"/>
    <w:rsid w:val="050423CB"/>
    <w:rsid w:val="050751FC"/>
    <w:rsid w:val="05166806"/>
    <w:rsid w:val="0529508C"/>
    <w:rsid w:val="052B2E2C"/>
    <w:rsid w:val="053A30CA"/>
    <w:rsid w:val="053B5375"/>
    <w:rsid w:val="056A08FC"/>
    <w:rsid w:val="056E15C8"/>
    <w:rsid w:val="057D25F0"/>
    <w:rsid w:val="05936339"/>
    <w:rsid w:val="05D76F02"/>
    <w:rsid w:val="061816F7"/>
    <w:rsid w:val="062F7E7F"/>
    <w:rsid w:val="063F1112"/>
    <w:rsid w:val="0650016B"/>
    <w:rsid w:val="06695ADA"/>
    <w:rsid w:val="067F52AB"/>
    <w:rsid w:val="06E17425"/>
    <w:rsid w:val="06E81491"/>
    <w:rsid w:val="06E86ECD"/>
    <w:rsid w:val="07081502"/>
    <w:rsid w:val="07184161"/>
    <w:rsid w:val="072046E3"/>
    <w:rsid w:val="07373C8C"/>
    <w:rsid w:val="074234A9"/>
    <w:rsid w:val="0747552D"/>
    <w:rsid w:val="074A0178"/>
    <w:rsid w:val="07592C30"/>
    <w:rsid w:val="07791E20"/>
    <w:rsid w:val="078177D5"/>
    <w:rsid w:val="07924879"/>
    <w:rsid w:val="079C0E64"/>
    <w:rsid w:val="07D60F62"/>
    <w:rsid w:val="083245C7"/>
    <w:rsid w:val="08620B2F"/>
    <w:rsid w:val="08621901"/>
    <w:rsid w:val="088D239E"/>
    <w:rsid w:val="08911C02"/>
    <w:rsid w:val="08913549"/>
    <w:rsid w:val="08B53A61"/>
    <w:rsid w:val="08D10A42"/>
    <w:rsid w:val="08E76FD5"/>
    <w:rsid w:val="08FD20E7"/>
    <w:rsid w:val="09046399"/>
    <w:rsid w:val="09101BCD"/>
    <w:rsid w:val="09315C91"/>
    <w:rsid w:val="09510BFE"/>
    <w:rsid w:val="097E368B"/>
    <w:rsid w:val="098057D7"/>
    <w:rsid w:val="09816EE6"/>
    <w:rsid w:val="0989536D"/>
    <w:rsid w:val="09A34824"/>
    <w:rsid w:val="09B6722C"/>
    <w:rsid w:val="09B85302"/>
    <w:rsid w:val="09B94936"/>
    <w:rsid w:val="09BD07B1"/>
    <w:rsid w:val="09D26DBF"/>
    <w:rsid w:val="09F65854"/>
    <w:rsid w:val="0A07422F"/>
    <w:rsid w:val="0A1B49C1"/>
    <w:rsid w:val="0A3D0590"/>
    <w:rsid w:val="0A6621FB"/>
    <w:rsid w:val="0A7416D8"/>
    <w:rsid w:val="0A8945EB"/>
    <w:rsid w:val="0AAE4810"/>
    <w:rsid w:val="0AE5106C"/>
    <w:rsid w:val="0BAC1F4C"/>
    <w:rsid w:val="0BBE4F63"/>
    <w:rsid w:val="0BDA530A"/>
    <w:rsid w:val="0C0247C0"/>
    <w:rsid w:val="0C113C66"/>
    <w:rsid w:val="0C353302"/>
    <w:rsid w:val="0C496297"/>
    <w:rsid w:val="0C631371"/>
    <w:rsid w:val="0C660E5E"/>
    <w:rsid w:val="0C9A109E"/>
    <w:rsid w:val="0CA74D09"/>
    <w:rsid w:val="0CA9483B"/>
    <w:rsid w:val="0CC51217"/>
    <w:rsid w:val="0CFC13B1"/>
    <w:rsid w:val="0D0A01F7"/>
    <w:rsid w:val="0D0B0879"/>
    <w:rsid w:val="0D122EA5"/>
    <w:rsid w:val="0D1F1C9D"/>
    <w:rsid w:val="0D484223"/>
    <w:rsid w:val="0D6879C3"/>
    <w:rsid w:val="0D735BCC"/>
    <w:rsid w:val="0D7C2119"/>
    <w:rsid w:val="0D920730"/>
    <w:rsid w:val="0DE33D9A"/>
    <w:rsid w:val="0DEE3065"/>
    <w:rsid w:val="0E022677"/>
    <w:rsid w:val="0E064CB1"/>
    <w:rsid w:val="0E15511E"/>
    <w:rsid w:val="0E172295"/>
    <w:rsid w:val="0E4706D1"/>
    <w:rsid w:val="0E4B6575"/>
    <w:rsid w:val="0E5C2643"/>
    <w:rsid w:val="0E6537C4"/>
    <w:rsid w:val="0E701E1B"/>
    <w:rsid w:val="0E750CB0"/>
    <w:rsid w:val="0E835693"/>
    <w:rsid w:val="0E8E6882"/>
    <w:rsid w:val="0EA941CC"/>
    <w:rsid w:val="0EE50D43"/>
    <w:rsid w:val="0EF9351B"/>
    <w:rsid w:val="0F0377AE"/>
    <w:rsid w:val="0F0E6EE3"/>
    <w:rsid w:val="0F1F100A"/>
    <w:rsid w:val="0F2739BF"/>
    <w:rsid w:val="0F3C777C"/>
    <w:rsid w:val="0F706416"/>
    <w:rsid w:val="0F96313B"/>
    <w:rsid w:val="0FA64EF2"/>
    <w:rsid w:val="0FC87246"/>
    <w:rsid w:val="0FCD5779"/>
    <w:rsid w:val="0FD03A0D"/>
    <w:rsid w:val="0FD84E7B"/>
    <w:rsid w:val="0FEB241A"/>
    <w:rsid w:val="10381F40"/>
    <w:rsid w:val="104869BA"/>
    <w:rsid w:val="107F6DB2"/>
    <w:rsid w:val="10F47168"/>
    <w:rsid w:val="110264F1"/>
    <w:rsid w:val="1104198D"/>
    <w:rsid w:val="11112ECF"/>
    <w:rsid w:val="115434FF"/>
    <w:rsid w:val="115D3896"/>
    <w:rsid w:val="11B62E53"/>
    <w:rsid w:val="11E02D51"/>
    <w:rsid w:val="12103D4D"/>
    <w:rsid w:val="12345EA5"/>
    <w:rsid w:val="124027F2"/>
    <w:rsid w:val="125A673E"/>
    <w:rsid w:val="12616494"/>
    <w:rsid w:val="12775E6D"/>
    <w:rsid w:val="12A01322"/>
    <w:rsid w:val="12AB0828"/>
    <w:rsid w:val="12E05DF5"/>
    <w:rsid w:val="133616DD"/>
    <w:rsid w:val="13582BF6"/>
    <w:rsid w:val="13583E3E"/>
    <w:rsid w:val="138356B4"/>
    <w:rsid w:val="13884680"/>
    <w:rsid w:val="13996DA4"/>
    <w:rsid w:val="13A56966"/>
    <w:rsid w:val="13B56A40"/>
    <w:rsid w:val="13D309B3"/>
    <w:rsid w:val="13EC3F05"/>
    <w:rsid w:val="14077D57"/>
    <w:rsid w:val="14342819"/>
    <w:rsid w:val="14965811"/>
    <w:rsid w:val="14CA1D51"/>
    <w:rsid w:val="14D92610"/>
    <w:rsid w:val="15001500"/>
    <w:rsid w:val="154A25D7"/>
    <w:rsid w:val="15525604"/>
    <w:rsid w:val="156139BB"/>
    <w:rsid w:val="156E5828"/>
    <w:rsid w:val="158E152B"/>
    <w:rsid w:val="15B36E57"/>
    <w:rsid w:val="15B43A33"/>
    <w:rsid w:val="15C02CFA"/>
    <w:rsid w:val="15D02588"/>
    <w:rsid w:val="163004AD"/>
    <w:rsid w:val="164356BB"/>
    <w:rsid w:val="166B16B9"/>
    <w:rsid w:val="166F777C"/>
    <w:rsid w:val="169C21B8"/>
    <w:rsid w:val="169C6B59"/>
    <w:rsid w:val="16BB60A4"/>
    <w:rsid w:val="16D604C4"/>
    <w:rsid w:val="173A5387"/>
    <w:rsid w:val="17725C57"/>
    <w:rsid w:val="17755246"/>
    <w:rsid w:val="17800AEC"/>
    <w:rsid w:val="17EA4D9B"/>
    <w:rsid w:val="17EE6F27"/>
    <w:rsid w:val="17FB0995"/>
    <w:rsid w:val="18245E40"/>
    <w:rsid w:val="185205FD"/>
    <w:rsid w:val="186B461D"/>
    <w:rsid w:val="188432D4"/>
    <w:rsid w:val="188B4950"/>
    <w:rsid w:val="188F1475"/>
    <w:rsid w:val="18B167E8"/>
    <w:rsid w:val="18C7387D"/>
    <w:rsid w:val="18C76564"/>
    <w:rsid w:val="18D67A53"/>
    <w:rsid w:val="19087A11"/>
    <w:rsid w:val="191B7534"/>
    <w:rsid w:val="19434886"/>
    <w:rsid w:val="196E2C37"/>
    <w:rsid w:val="1974690A"/>
    <w:rsid w:val="1977008B"/>
    <w:rsid w:val="19D9134F"/>
    <w:rsid w:val="1A510684"/>
    <w:rsid w:val="1A6171B2"/>
    <w:rsid w:val="1AA65F2A"/>
    <w:rsid w:val="1AA666F2"/>
    <w:rsid w:val="1ADC340E"/>
    <w:rsid w:val="1AED2C78"/>
    <w:rsid w:val="1AEF15D5"/>
    <w:rsid w:val="1AF234F5"/>
    <w:rsid w:val="1B1F6B22"/>
    <w:rsid w:val="1B343FD0"/>
    <w:rsid w:val="1B356551"/>
    <w:rsid w:val="1B377F92"/>
    <w:rsid w:val="1B3E4ABA"/>
    <w:rsid w:val="1B974FA9"/>
    <w:rsid w:val="1B9D2D2C"/>
    <w:rsid w:val="1BAB13EA"/>
    <w:rsid w:val="1BC03BCF"/>
    <w:rsid w:val="1BE02644"/>
    <w:rsid w:val="1BF27CE6"/>
    <w:rsid w:val="1BF57F17"/>
    <w:rsid w:val="1BFD0D2F"/>
    <w:rsid w:val="1C13053F"/>
    <w:rsid w:val="1C162BF5"/>
    <w:rsid w:val="1C212DFA"/>
    <w:rsid w:val="1C3065A1"/>
    <w:rsid w:val="1C32514E"/>
    <w:rsid w:val="1C4D43BD"/>
    <w:rsid w:val="1C8449C2"/>
    <w:rsid w:val="1C8676F7"/>
    <w:rsid w:val="1C8B5EF5"/>
    <w:rsid w:val="1C9815F2"/>
    <w:rsid w:val="1C9B7764"/>
    <w:rsid w:val="1C9C37E6"/>
    <w:rsid w:val="1CA3081A"/>
    <w:rsid w:val="1CA434F1"/>
    <w:rsid w:val="1CB81673"/>
    <w:rsid w:val="1CEB7EC5"/>
    <w:rsid w:val="1CEC2C28"/>
    <w:rsid w:val="1D0A50BD"/>
    <w:rsid w:val="1D2145C8"/>
    <w:rsid w:val="1D2A3DAB"/>
    <w:rsid w:val="1D46542E"/>
    <w:rsid w:val="1D476B47"/>
    <w:rsid w:val="1D6359BB"/>
    <w:rsid w:val="1D664936"/>
    <w:rsid w:val="1D71729C"/>
    <w:rsid w:val="1D981331"/>
    <w:rsid w:val="1D9A07EC"/>
    <w:rsid w:val="1DAB3C89"/>
    <w:rsid w:val="1DC06E93"/>
    <w:rsid w:val="1DCC77C2"/>
    <w:rsid w:val="1DCF4890"/>
    <w:rsid w:val="1DFB57EB"/>
    <w:rsid w:val="1E0062C5"/>
    <w:rsid w:val="1E4F15C4"/>
    <w:rsid w:val="1E665E93"/>
    <w:rsid w:val="1E685A19"/>
    <w:rsid w:val="1E6D0B8E"/>
    <w:rsid w:val="1E8A1B7B"/>
    <w:rsid w:val="1EA63957"/>
    <w:rsid w:val="1ED05FDD"/>
    <w:rsid w:val="1EDA4565"/>
    <w:rsid w:val="1F010654"/>
    <w:rsid w:val="1F0115E6"/>
    <w:rsid w:val="1F1A7E37"/>
    <w:rsid w:val="1F203F1B"/>
    <w:rsid w:val="1F307155"/>
    <w:rsid w:val="1F8B73B9"/>
    <w:rsid w:val="1FC0508F"/>
    <w:rsid w:val="1FD17519"/>
    <w:rsid w:val="1FDE37FF"/>
    <w:rsid w:val="1FE87CF6"/>
    <w:rsid w:val="20142293"/>
    <w:rsid w:val="202875D1"/>
    <w:rsid w:val="203B6405"/>
    <w:rsid w:val="204042C4"/>
    <w:rsid w:val="204434A6"/>
    <w:rsid w:val="204446D1"/>
    <w:rsid w:val="205B4952"/>
    <w:rsid w:val="20817860"/>
    <w:rsid w:val="208E2CB0"/>
    <w:rsid w:val="20C7192F"/>
    <w:rsid w:val="20F3606E"/>
    <w:rsid w:val="210F6734"/>
    <w:rsid w:val="213009EF"/>
    <w:rsid w:val="213D75BE"/>
    <w:rsid w:val="213F3B84"/>
    <w:rsid w:val="21515FB7"/>
    <w:rsid w:val="217A33A1"/>
    <w:rsid w:val="21872636"/>
    <w:rsid w:val="218F2648"/>
    <w:rsid w:val="21AB5C9B"/>
    <w:rsid w:val="21B427AB"/>
    <w:rsid w:val="21BD46E0"/>
    <w:rsid w:val="223E06B8"/>
    <w:rsid w:val="22450870"/>
    <w:rsid w:val="225771FA"/>
    <w:rsid w:val="227C0C68"/>
    <w:rsid w:val="227D1F07"/>
    <w:rsid w:val="22AE5DFE"/>
    <w:rsid w:val="22D629E6"/>
    <w:rsid w:val="23025E80"/>
    <w:rsid w:val="234B0C8F"/>
    <w:rsid w:val="235C31B0"/>
    <w:rsid w:val="23BD065D"/>
    <w:rsid w:val="23C16FD2"/>
    <w:rsid w:val="23EC3CEC"/>
    <w:rsid w:val="241F3B66"/>
    <w:rsid w:val="242C445B"/>
    <w:rsid w:val="248B6BF0"/>
    <w:rsid w:val="24975A35"/>
    <w:rsid w:val="24A451C8"/>
    <w:rsid w:val="24B0777F"/>
    <w:rsid w:val="24B80E3D"/>
    <w:rsid w:val="24BA3A6C"/>
    <w:rsid w:val="24C14262"/>
    <w:rsid w:val="24DB11B1"/>
    <w:rsid w:val="24DB1DC1"/>
    <w:rsid w:val="25096E33"/>
    <w:rsid w:val="254579AD"/>
    <w:rsid w:val="25550995"/>
    <w:rsid w:val="256516E0"/>
    <w:rsid w:val="25916749"/>
    <w:rsid w:val="25D66D8C"/>
    <w:rsid w:val="25E5097B"/>
    <w:rsid w:val="25ED1CE2"/>
    <w:rsid w:val="25F62192"/>
    <w:rsid w:val="260366CA"/>
    <w:rsid w:val="26190B1E"/>
    <w:rsid w:val="261954E5"/>
    <w:rsid w:val="26B25A04"/>
    <w:rsid w:val="26B32686"/>
    <w:rsid w:val="26D06848"/>
    <w:rsid w:val="26D428FE"/>
    <w:rsid w:val="26E86A48"/>
    <w:rsid w:val="26F62F37"/>
    <w:rsid w:val="27101EDB"/>
    <w:rsid w:val="271140F0"/>
    <w:rsid w:val="27450F96"/>
    <w:rsid w:val="27A03254"/>
    <w:rsid w:val="27A230C5"/>
    <w:rsid w:val="27A851CF"/>
    <w:rsid w:val="27AE6EE3"/>
    <w:rsid w:val="27F6755B"/>
    <w:rsid w:val="282706B2"/>
    <w:rsid w:val="2835156C"/>
    <w:rsid w:val="285E7742"/>
    <w:rsid w:val="285F589C"/>
    <w:rsid w:val="2860075F"/>
    <w:rsid w:val="288E7537"/>
    <w:rsid w:val="28D51CE9"/>
    <w:rsid w:val="28E0382C"/>
    <w:rsid w:val="28FB2940"/>
    <w:rsid w:val="29317598"/>
    <w:rsid w:val="2935387C"/>
    <w:rsid w:val="29923BE6"/>
    <w:rsid w:val="29D70027"/>
    <w:rsid w:val="29E259F5"/>
    <w:rsid w:val="29E4565C"/>
    <w:rsid w:val="2A1A4D2E"/>
    <w:rsid w:val="2A217644"/>
    <w:rsid w:val="2A301070"/>
    <w:rsid w:val="2A39777A"/>
    <w:rsid w:val="2A5522DC"/>
    <w:rsid w:val="2A6C22A4"/>
    <w:rsid w:val="2A6D7AE4"/>
    <w:rsid w:val="2A81126C"/>
    <w:rsid w:val="2A9A509F"/>
    <w:rsid w:val="2ABE75C5"/>
    <w:rsid w:val="2AC54EDF"/>
    <w:rsid w:val="2ADE1592"/>
    <w:rsid w:val="2AE72478"/>
    <w:rsid w:val="2AFE6BB2"/>
    <w:rsid w:val="2AFF547A"/>
    <w:rsid w:val="2B0F5BE3"/>
    <w:rsid w:val="2B170CA9"/>
    <w:rsid w:val="2B194010"/>
    <w:rsid w:val="2B1A0A86"/>
    <w:rsid w:val="2B1C2720"/>
    <w:rsid w:val="2B766889"/>
    <w:rsid w:val="2BB62C14"/>
    <w:rsid w:val="2BB82208"/>
    <w:rsid w:val="2BC1544C"/>
    <w:rsid w:val="2BF83122"/>
    <w:rsid w:val="2C3A5674"/>
    <w:rsid w:val="2C4D4422"/>
    <w:rsid w:val="2C61592A"/>
    <w:rsid w:val="2CF23348"/>
    <w:rsid w:val="2D0212AF"/>
    <w:rsid w:val="2D0721CE"/>
    <w:rsid w:val="2D2D0FB8"/>
    <w:rsid w:val="2D5369A4"/>
    <w:rsid w:val="2D553E12"/>
    <w:rsid w:val="2D563294"/>
    <w:rsid w:val="2D572DE8"/>
    <w:rsid w:val="2D7657B0"/>
    <w:rsid w:val="2DA92533"/>
    <w:rsid w:val="2DC542FD"/>
    <w:rsid w:val="2DD56488"/>
    <w:rsid w:val="2E027319"/>
    <w:rsid w:val="2E101745"/>
    <w:rsid w:val="2E111E14"/>
    <w:rsid w:val="2E2331DE"/>
    <w:rsid w:val="2E740C9C"/>
    <w:rsid w:val="2E912614"/>
    <w:rsid w:val="2EB82B9B"/>
    <w:rsid w:val="2EDB211E"/>
    <w:rsid w:val="2F6A44D2"/>
    <w:rsid w:val="2FAF734F"/>
    <w:rsid w:val="2FB74538"/>
    <w:rsid w:val="2FED4672"/>
    <w:rsid w:val="2FF16930"/>
    <w:rsid w:val="30255652"/>
    <w:rsid w:val="302A5959"/>
    <w:rsid w:val="30406B53"/>
    <w:rsid w:val="305B0C4B"/>
    <w:rsid w:val="306F34C7"/>
    <w:rsid w:val="309D1D10"/>
    <w:rsid w:val="30EE2583"/>
    <w:rsid w:val="31024AE6"/>
    <w:rsid w:val="311E08F7"/>
    <w:rsid w:val="313F60CD"/>
    <w:rsid w:val="314426FA"/>
    <w:rsid w:val="31460D3D"/>
    <w:rsid w:val="316C164E"/>
    <w:rsid w:val="31AC33EA"/>
    <w:rsid w:val="31B469D0"/>
    <w:rsid w:val="31C43902"/>
    <w:rsid w:val="31D64F96"/>
    <w:rsid w:val="31EC680B"/>
    <w:rsid w:val="32017181"/>
    <w:rsid w:val="3202578C"/>
    <w:rsid w:val="32253DAE"/>
    <w:rsid w:val="326D3B31"/>
    <w:rsid w:val="327021FA"/>
    <w:rsid w:val="32950BFF"/>
    <w:rsid w:val="329C1DF0"/>
    <w:rsid w:val="329E2BA3"/>
    <w:rsid w:val="32AE7A75"/>
    <w:rsid w:val="32E032B1"/>
    <w:rsid w:val="32EF11A3"/>
    <w:rsid w:val="32EF2028"/>
    <w:rsid w:val="33011C41"/>
    <w:rsid w:val="33285B10"/>
    <w:rsid w:val="333C6A3D"/>
    <w:rsid w:val="33473E4B"/>
    <w:rsid w:val="33644CFD"/>
    <w:rsid w:val="33774568"/>
    <w:rsid w:val="33863895"/>
    <w:rsid w:val="338A614E"/>
    <w:rsid w:val="33995D75"/>
    <w:rsid w:val="33A0028D"/>
    <w:rsid w:val="33A570FA"/>
    <w:rsid w:val="33A92FDC"/>
    <w:rsid w:val="33D32C1C"/>
    <w:rsid w:val="33D71173"/>
    <w:rsid w:val="33D92429"/>
    <w:rsid w:val="343B3818"/>
    <w:rsid w:val="343C1893"/>
    <w:rsid w:val="34463464"/>
    <w:rsid w:val="344C2F1A"/>
    <w:rsid w:val="350D2045"/>
    <w:rsid w:val="358526AE"/>
    <w:rsid w:val="35B54B22"/>
    <w:rsid w:val="35D933C1"/>
    <w:rsid w:val="35DF0F8E"/>
    <w:rsid w:val="35E83CBD"/>
    <w:rsid w:val="35EF293B"/>
    <w:rsid w:val="35F13A2A"/>
    <w:rsid w:val="360453EB"/>
    <w:rsid w:val="36194B9D"/>
    <w:rsid w:val="362C0965"/>
    <w:rsid w:val="363B44C3"/>
    <w:rsid w:val="36495F37"/>
    <w:rsid w:val="36523501"/>
    <w:rsid w:val="366A6E58"/>
    <w:rsid w:val="36D21BF2"/>
    <w:rsid w:val="36D76E89"/>
    <w:rsid w:val="37366041"/>
    <w:rsid w:val="373D0F4E"/>
    <w:rsid w:val="37625DAE"/>
    <w:rsid w:val="377717B0"/>
    <w:rsid w:val="379D7A74"/>
    <w:rsid w:val="37A03DDA"/>
    <w:rsid w:val="37DC389E"/>
    <w:rsid w:val="37E41DF1"/>
    <w:rsid w:val="37FC364E"/>
    <w:rsid w:val="38034ADE"/>
    <w:rsid w:val="38463090"/>
    <w:rsid w:val="388101BA"/>
    <w:rsid w:val="3882116E"/>
    <w:rsid w:val="388234B9"/>
    <w:rsid w:val="38973473"/>
    <w:rsid w:val="38A56CC9"/>
    <w:rsid w:val="38C05F24"/>
    <w:rsid w:val="38D750B8"/>
    <w:rsid w:val="38E023B5"/>
    <w:rsid w:val="38F2240C"/>
    <w:rsid w:val="39171CC0"/>
    <w:rsid w:val="392E3DF9"/>
    <w:rsid w:val="393C5A35"/>
    <w:rsid w:val="393F39C1"/>
    <w:rsid w:val="3941283A"/>
    <w:rsid w:val="395212E1"/>
    <w:rsid w:val="39916114"/>
    <w:rsid w:val="39976574"/>
    <w:rsid w:val="39A165F9"/>
    <w:rsid w:val="39B705A1"/>
    <w:rsid w:val="39B72706"/>
    <w:rsid w:val="39BD10ED"/>
    <w:rsid w:val="39C84E5A"/>
    <w:rsid w:val="39FA0921"/>
    <w:rsid w:val="3A3457E8"/>
    <w:rsid w:val="3A3F0320"/>
    <w:rsid w:val="3A536E24"/>
    <w:rsid w:val="3A565A98"/>
    <w:rsid w:val="3A810ECA"/>
    <w:rsid w:val="3A871F8A"/>
    <w:rsid w:val="3A8860A3"/>
    <w:rsid w:val="3AA31206"/>
    <w:rsid w:val="3AA569A2"/>
    <w:rsid w:val="3AB57780"/>
    <w:rsid w:val="3AC65AD2"/>
    <w:rsid w:val="3ACF5A26"/>
    <w:rsid w:val="3AF13CEA"/>
    <w:rsid w:val="3B1D2249"/>
    <w:rsid w:val="3B3575B2"/>
    <w:rsid w:val="3B474280"/>
    <w:rsid w:val="3B4764C1"/>
    <w:rsid w:val="3B54731C"/>
    <w:rsid w:val="3B67428D"/>
    <w:rsid w:val="3B6C26E3"/>
    <w:rsid w:val="3B713350"/>
    <w:rsid w:val="3B7A26BE"/>
    <w:rsid w:val="3B877BE0"/>
    <w:rsid w:val="3BE767A5"/>
    <w:rsid w:val="3BEE32A9"/>
    <w:rsid w:val="3C04251D"/>
    <w:rsid w:val="3C1701DB"/>
    <w:rsid w:val="3C1C6C83"/>
    <w:rsid w:val="3C210E36"/>
    <w:rsid w:val="3C2E25AC"/>
    <w:rsid w:val="3C33699A"/>
    <w:rsid w:val="3C41291B"/>
    <w:rsid w:val="3C447C27"/>
    <w:rsid w:val="3C4E3440"/>
    <w:rsid w:val="3C956A36"/>
    <w:rsid w:val="3CEB0D7E"/>
    <w:rsid w:val="3D5377A3"/>
    <w:rsid w:val="3D803391"/>
    <w:rsid w:val="3D841CF7"/>
    <w:rsid w:val="3DC1372B"/>
    <w:rsid w:val="3E107E13"/>
    <w:rsid w:val="3E17629B"/>
    <w:rsid w:val="3E225ED0"/>
    <w:rsid w:val="3E29108F"/>
    <w:rsid w:val="3E763568"/>
    <w:rsid w:val="3E96389F"/>
    <w:rsid w:val="3EB341AB"/>
    <w:rsid w:val="3EC20226"/>
    <w:rsid w:val="3EC451E1"/>
    <w:rsid w:val="3EC47F80"/>
    <w:rsid w:val="3ED60E5B"/>
    <w:rsid w:val="3EE55F7A"/>
    <w:rsid w:val="3F1E63B0"/>
    <w:rsid w:val="3F2226EC"/>
    <w:rsid w:val="3F375A43"/>
    <w:rsid w:val="3F601C75"/>
    <w:rsid w:val="3F6966EB"/>
    <w:rsid w:val="3F741838"/>
    <w:rsid w:val="3FAC6CE4"/>
    <w:rsid w:val="3FD8570F"/>
    <w:rsid w:val="3FDA48AC"/>
    <w:rsid w:val="402A3DD6"/>
    <w:rsid w:val="402E363B"/>
    <w:rsid w:val="403A7A13"/>
    <w:rsid w:val="40592053"/>
    <w:rsid w:val="407D7CA9"/>
    <w:rsid w:val="40883F9A"/>
    <w:rsid w:val="40A6403B"/>
    <w:rsid w:val="40C31767"/>
    <w:rsid w:val="40D11C13"/>
    <w:rsid w:val="40D14228"/>
    <w:rsid w:val="40E32648"/>
    <w:rsid w:val="40EC063C"/>
    <w:rsid w:val="41314E40"/>
    <w:rsid w:val="413F338F"/>
    <w:rsid w:val="415232F7"/>
    <w:rsid w:val="415D3A83"/>
    <w:rsid w:val="41A50FA5"/>
    <w:rsid w:val="41A73354"/>
    <w:rsid w:val="41CC07BC"/>
    <w:rsid w:val="41DD5AAF"/>
    <w:rsid w:val="420569A4"/>
    <w:rsid w:val="4246080B"/>
    <w:rsid w:val="42CE24FD"/>
    <w:rsid w:val="42E92B95"/>
    <w:rsid w:val="42F302DD"/>
    <w:rsid w:val="43260C43"/>
    <w:rsid w:val="434E171F"/>
    <w:rsid w:val="43504540"/>
    <w:rsid w:val="438034F8"/>
    <w:rsid w:val="4388321A"/>
    <w:rsid w:val="439B5C7B"/>
    <w:rsid w:val="43B5750E"/>
    <w:rsid w:val="441A31FF"/>
    <w:rsid w:val="44402840"/>
    <w:rsid w:val="446A3759"/>
    <w:rsid w:val="446B4961"/>
    <w:rsid w:val="447368ED"/>
    <w:rsid w:val="449428DA"/>
    <w:rsid w:val="44E80A6A"/>
    <w:rsid w:val="45132E7E"/>
    <w:rsid w:val="454315E6"/>
    <w:rsid w:val="45B725A0"/>
    <w:rsid w:val="462E25CA"/>
    <w:rsid w:val="46303A17"/>
    <w:rsid w:val="465A58CC"/>
    <w:rsid w:val="46D637ED"/>
    <w:rsid w:val="46DC7C09"/>
    <w:rsid w:val="46DD3F38"/>
    <w:rsid w:val="46F16DC9"/>
    <w:rsid w:val="46F16F1D"/>
    <w:rsid w:val="46FD2CBF"/>
    <w:rsid w:val="470C3A03"/>
    <w:rsid w:val="472910BD"/>
    <w:rsid w:val="47553E8E"/>
    <w:rsid w:val="475E7D72"/>
    <w:rsid w:val="477C293C"/>
    <w:rsid w:val="47CA2F97"/>
    <w:rsid w:val="47D84675"/>
    <w:rsid w:val="47E17B3A"/>
    <w:rsid w:val="481379C4"/>
    <w:rsid w:val="481947FE"/>
    <w:rsid w:val="483B043E"/>
    <w:rsid w:val="486B0826"/>
    <w:rsid w:val="486B1D8E"/>
    <w:rsid w:val="488F7475"/>
    <w:rsid w:val="489F67EF"/>
    <w:rsid w:val="48A93D74"/>
    <w:rsid w:val="48D139F6"/>
    <w:rsid w:val="48F56DD6"/>
    <w:rsid w:val="490B12E2"/>
    <w:rsid w:val="4918506D"/>
    <w:rsid w:val="491916C6"/>
    <w:rsid w:val="492207E7"/>
    <w:rsid w:val="49537F7C"/>
    <w:rsid w:val="49573AC8"/>
    <w:rsid w:val="4987572C"/>
    <w:rsid w:val="49AA7971"/>
    <w:rsid w:val="49FE240E"/>
    <w:rsid w:val="4A141151"/>
    <w:rsid w:val="4A316318"/>
    <w:rsid w:val="4A643B84"/>
    <w:rsid w:val="4A777A6A"/>
    <w:rsid w:val="4AC9062D"/>
    <w:rsid w:val="4AE52C42"/>
    <w:rsid w:val="4AF2187D"/>
    <w:rsid w:val="4AFC3953"/>
    <w:rsid w:val="4B0D4BB5"/>
    <w:rsid w:val="4B1E385E"/>
    <w:rsid w:val="4B452741"/>
    <w:rsid w:val="4B6870F9"/>
    <w:rsid w:val="4B6C2969"/>
    <w:rsid w:val="4B885BCA"/>
    <w:rsid w:val="4BA83F51"/>
    <w:rsid w:val="4BCF6DCB"/>
    <w:rsid w:val="4BD06B38"/>
    <w:rsid w:val="4BDF321A"/>
    <w:rsid w:val="4BFC5F72"/>
    <w:rsid w:val="4C0065CE"/>
    <w:rsid w:val="4C18241E"/>
    <w:rsid w:val="4C227943"/>
    <w:rsid w:val="4C472142"/>
    <w:rsid w:val="4C5F22C4"/>
    <w:rsid w:val="4CB933F8"/>
    <w:rsid w:val="4CCF015E"/>
    <w:rsid w:val="4CDE51FA"/>
    <w:rsid w:val="4CEA5FEB"/>
    <w:rsid w:val="4CFF7023"/>
    <w:rsid w:val="4D565C2E"/>
    <w:rsid w:val="4DC86CD0"/>
    <w:rsid w:val="4DD62C1F"/>
    <w:rsid w:val="4DF1310A"/>
    <w:rsid w:val="4DF46D27"/>
    <w:rsid w:val="4E367509"/>
    <w:rsid w:val="4E5211BA"/>
    <w:rsid w:val="4E696A36"/>
    <w:rsid w:val="4E90713C"/>
    <w:rsid w:val="4E9D1D1E"/>
    <w:rsid w:val="4EC336C4"/>
    <w:rsid w:val="4EFC6C1E"/>
    <w:rsid w:val="4F0E0B1D"/>
    <w:rsid w:val="4FBD41CA"/>
    <w:rsid w:val="4FD246D2"/>
    <w:rsid w:val="4FE94C5D"/>
    <w:rsid w:val="50077D56"/>
    <w:rsid w:val="50131451"/>
    <w:rsid w:val="50517CEB"/>
    <w:rsid w:val="50831BFE"/>
    <w:rsid w:val="50A05B3E"/>
    <w:rsid w:val="50B52FE4"/>
    <w:rsid w:val="50BF2E54"/>
    <w:rsid w:val="511729B0"/>
    <w:rsid w:val="5124051D"/>
    <w:rsid w:val="51390BE4"/>
    <w:rsid w:val="51C804DE"/>
    <w:rsid w:val="51CF0D4C"/>
    <w:rsid w:val="51E33826"/>
    <w:rsid w:val="51E71C22"/>
    <w:rsid w:val="520C6B50"/>
    <w:rsid w:val="522E62F3"/>
    <w:rsid w:val="524F2349"/>
    <w:rsid w:val="527B0731"/>
    <w:rsid w:val="52993FA0"/>
    <w:rsid w:val="52A305CA"/>
    <w:rsid w:val="52A33960"/>
    <w:rsid w:val="52B476CE"/>
    <w:rsid w:val="52DC153D"/>
    <w:rsid w:val="52F47A95"/>
    <w:rsid w:val="531645CA"/>
    <w:rsid w:val="531F2A96"/>
    <w:rsid w:val="53262EC9"/>
    <w:rsid w:val="535D7D17"/>
    <w:rsid w:val="53734149"/>
    <w:rsid w:val="539179C0"/>
    <w:rsid w:val="53932760"/>
    <w:rsid w:val="539873E7"/>
    <w:rsid w:val="53B46D0C"/>
    <w:rsid w:val="54087353"/>
    <w:rsid w:val="542244E6"/>
    <w:rsid w:val="54375044"/>
    <w:rsid w:val="544232E7"/>
    <w:rsid w:val="54456709"/>
    <w:rsid w:val="54655A40"/>
    <w:rsid w:val="549661B6"/>
    <w:rsid w:val="54D24E79"/>
    <w:rsid w:val="5503429F"/>
    <w:rsid w:val="551027C6"/>
    <w:rsid w:val="552F7315"/>
    <w:rsid w:val="554B0FDD"/>
    <w:rsid w:val="55631D2D"/>
    <w:rsid w:val="55841BB9"/>
    <w:rsid w:val="55A97874"/>
    <w:rsid w:val="55BB1E97"/>
    <w:rsid w:val="55C8709D"/>
    <w:rsid w:val="55FA2FFC"/>
    <w:rsid w:val="560509A3"/>
    <w:rsid w:val="56236C6E"/>
    <w:rsid w:val="56250237"/>
    <w:rsid w:val="56275690"/>
    <w:rsid w:val="564569EB"/>
    <w:rsid w:val="56AB5944"/>
    <w:rsid w:val="56D97044"/>
    <w:rsid w:val="56F645A2"/>
    <w:rsid w:val="57214861"/>
    <w:rsid w:val="572B4616"/>
    <w:rsid w:val="57541EAD"/>
    <w:rsid w:val="576948EF"/>
    <w:rsid w:val="576E6441"/>
    <w:rsid w:val="577068B4"/>
    <w:rsid w:val="577465D8"/>
    <w:rsid w:val="57AE5029"/>
    <w:rsid w:val="57C23486"/>
    <w:rsid w:val="57CB3E57"/>
    <w:rsid w:val="57D123D3"/>
    <w:rsid w:val="57D91936"/>
    <w:rsid w:val="58117CC1"/>
    <w:rsid w:val="582C3384"/>
    <w:rsid w:val="58624A55"/>
    <w:rsid w:val="59004C6C"/>
    <w:rsid w:val="59121251"/>
    <w:rsid w:val="59216A89"/>
    <w:rsid w:val="597B05BF"/>
    <w:rsid w:val="59A143C2"/>
    <w:rsid w:val="59A175DF"/>
    <w:rsid w:val="59B819C2"/>
    <w:rsid w:val="59C7668D"/>
    <w:rsid w:val="59FC4729"/>
    <w:rsid w:val="5A0B75E4"/>
    <w:rsid w:val="5A575BFF"/>
    <w:rsid w:val="5A5A288E"/>
    <w:rsid w:val="5A7476F4"/>
    <w:rsid w:val="5A77586F"/>
    <w:rsid w:val="5A986458"/>
    <w:rsid w:val="5AA12CBD"/>
    <w:rsid w:val="5ACA65CD"/>
    <w:rsid w:val="5ACC7A53"/>
    <w:rsid w:val="5AE163EE"/>
    <w:rsid w:val="5AE51758"/>
    <w:rsid w:val="5AEB78B5"/>
    <w:rsid w:val="5B581F93"/>
    <w:rsid w:val="5B6B529B"/>
    <w:rsid w:val="5B797C0D"/>
    <w:rsid w:val="5BAF64A8"/>
    <w:rsid w:val="5BB250E2"/>
    <w:rsid w:val="5BB3320D"/>
    <w:rsid w:val="5BC31A45"/>
    <w:rsid w:val="5BC772C9"/>
    <w:rsid w:val="5C465FA2"/>
    <w:rsid w:val="5C544090"/>
    <w:rsid w:val="5C726BB6"/>
    <w:rsid w:val="5C7322D1"/>
    <w:rsid w:val="5CE12597"/>
    <w:rsid w:val="5CEF4070"/>
    <w:rsid w:val="5CFC28A8"/>
    <w:rsid w:val="5D193822"/>
    <w:rsid w:val="5D246FFC"/>
    <w:rsid w:val="5D36426B"/>
    <w:rsid w:val="5D525CC5"/>
    <w:rsid w:val="5D993751"/>
    <w:rsid w:val="5DDA696A"/>
    <w:rsid w:val="5E410FFD"/>
    <w:rsid w:val="5E4D16D7"/>
    <w:rsid w:val="5E544606"/>
    <w:rsid w:val="5E71274B"/>
    <w:rsid w:val="5E801A92"/>
    <w:rsid w:val="5E8E05EA"/>
    <w:rsid w:val="5EFB61FA"/>
    <w:rsid w:val="5F2C7D02"/>
    <w:rsid w:val="5F71694E"/>
    <w:rsid w:val="5F7663E9"/>
    <w:rsid w:val="5F8E012C"/>
    <w:rsid w:val="5F9C73B1"/>
    <w:rsid w:val="5FB656F9"/>
    <w:rsid w:val="5FBC2CFA"/>
    <w:rsid w:val="5FC53466"/>
    <w:rsid w:val="5FCB3F5C"/>
    <w:rsid w:val="5FD13015"/>
    <w:rsid w:val="60190EE3"/>
    <w:rsid w:val="601D48F2"/>
    <w:rsid w:val="601E31F8"/>
    <w:rsid w:val="602832C7"/>
    <w:rsid w:val="603D1F50"/>
    <w:rsid w:val="603F673E"/>
    <w:rsid w:val="605467C6"/>
    <w:rsid w:val="60D605A1"/>
    <w:rsid w:val="612A1EFB"/>
    <w:rsid w:val="61464F6C"/>
    <w:rsid w:val="61515A7F"/>
    <w:rsid w:val="61633E93"/>
    <w:rsid w:val="618679EC"/>
    <w:rsid w:val="6188126D"/>
    <w:rsid w:val="61A4558D"/>
    <w:rsid w:val="61C32B70"/>
    <w:rsid w:val="61E045CD"/>
    <w:rsid w:val="61EC09B2"/>
    <w:rsid w:val="61F17680"/>
    <w:rsid w:val="62016875"/>
    <w:rsid w:val="6207673A"/>
    <w:rsid w:val="628B7263"/>
    <w:rsid w:val="62902D58"/>
    <w:rsid w:val="62AE0894"/>
    <w:rsid w:val="62AE4BDA"/>
    <w:rsid w:val="62C97640"/>
    <w:rsid w:val="62D27C48"/>
    <w:rsid w:val="6307315E"/>
    <w:rsid w:val="63184211"/>
    <w:rsid w:val="631B5AD9"/>
    <w:rsid w:val="635C575B"/>
    <w:rsid w:val="636863CF"/>
    <w:rsid w:val="63752C12"/>
    <w:rsid w:val="638C1080"/>
    <w:rsid w:val="63B413CF"/>
    <w:rsid w:val="63FF6C27"/>
    <w:rsid w:val="6405263C"/>
    <w:rsid w:val="642454D9"/>
    <w:rsid w:val="6464336B"/>
    <w:rsid w:val="646E4229"/>
    <w:rsid w:val="651043FD"/>
    <w:rsid w:val="653C5193"/>
    <w:rsid w:val="655C7828"/>
    <w:rsid w:val="6578242A"/>
    <w:rsid w:val="65A1045D"/>
    <w:rsid w:val="65C76D88"/>
    <w:rsid w:val="65CB1350"/>
    <w:rsid w:val="66330E7B"/>
    <w:rsid w:val="66351622"/>
    <w:rsid w:val="663D74F9"/>
    <w:rsid w:val="665A2304"/>
    <w:rsid w:val="669C6349"/>
    <w:rsid w:val="66A80AC6"/>
    <w:rsid w:val="66F33E27"/>
    <w:rsid w:val="67144976"/>
    <w:rsid w:val="67202357"/>
    <w:rsid w:val="675E58BD"/>
    <w:rsid w:val="67603F26"/>
    <w:rsid w:val="67700F1A"/>
    <w:rsid w:val="6771561C"/>
    <w:rsid w:val="677C3B8C"/>
    <w:rsid w:val="67CA15C2"/>
    <w:rsid w:val="67D3264E"/>
    <w:rsid w:val="67F46896"/>
    <w:rsid w:val="68024DD3"/>
    <w:rsid w:val="680F332B"/>
    <w:rsid w:val="6832253F"/>
    <w:rsid w:val="685C3C4D"/>
    <w:rsid w:val="687102AD"/>
    <w:rsid w:val="68724B40"/>
    <w:rsid w:val="68902798"/>
    <w:rsid w:val="68D300C1"/>
    <w:rsid w:val="68FF5265"/>
    <w:rsid w:val="690C7142"/>
    <w:rsid w:val="6917232C"/>
    <w:rsid w:val="69412846"/>
    <w:rsid w:val="695907E9"/>
    <w:rsid w:val="6964290E"/>
    <w:rsid w:val="69782CC6"/>
    <w:rsid w:val="698304CD"/>
    <w:rsid w:val="69932BAE"/>
    <w:rsid w:val="69A16FDB"/>
    <w:rsid w:val="69BA6060"/>
    <w:rsid w:val="69D02D8F"/>
    <w:rsid w:val="69E24178"/>
    <w:rsid w:val="6A223F21"/>
    <w:rsid w:val="6A30118C"/>
    <w:rsid w:val="6A3F7D1E"/>
    <w:rsid w:val="6A4771F0"/>
    <w:rsid w:val="6A641277"/>
    <w:rsid w:val="6A985E45"/>
    <w:rsid w:val="6AAD0001"/>
    <w:rsid w:val="6ACC3B62"/>
    <w:rsid w:val="6AE30427"/>
    <w:rsid w:val="6AF20AA9"/>
    <w:rsid w:val="6B1B05C6"/>
    <w:rsid w:val="6B35684E"/>
    <w:rsid w:val="6B666EA2"/>
    <w:rsid w:val="6B6C1D6A"/>
    <w:rsid w:val="6B706DFD"/>
    <w:rsid w:val="6B735145"/>
    <w:rsid w:val="6B76701F"/>
    <w:rsid w:val="6BB64940"/>
    <w:rsid w:val="6BBA5ABD"/>
    <w:rsid w:val="6BBE17A3"/>
    <w:rsid w:val="6BC04151"/>
    <w:rsid w:val="6BDF70C3"/>
    <w:rsid w:val="6BFF6B53"/>
    <w:rsid w:val="6C161EDD"/>
    <w:rsid w:val="6C17534B"/>
    <w:rsid w:val="6C52384A"/>
    <w:rsid w:val="6C5F577B"/>
    <w:rsid w:val="6C5F6B13"/>
    <w:rsid w:val="6C831486"/>
    <w:rsid w:val="6C8C7141"/>
    <w:rsid w:val="6C903E5F"/>
    <w:rsid w:val="6C92595F"/>
    <w:rsid w:val="6CA31D11"/>
    <w:rsid w:val="6CBA08F4"/>
    <w:rsid w:val="6CE513BE"/>
    <w:rsid w:val="6CE844A7"/>
    <w:rsid w:val="6CEE595E"/>
    <w:rsid w:val="6CF82160"/>
    <w:rsid w:val="6D094BFA"/>
    <w:rsid w:val="6D1A65B3"/>
    <w:rsid w:val="6D1D7324"/>
    <w:rsid w:val="6D283EB3"/>
    <w:rsid w:val="6D476F5C"/>
    <w:rsid w:val="6D4D0358"/>
    <w:rsid w:val="6D524D35"/>
    <w:rsid w:val="6D631E8B"/>
    <w:rsid w:val="6D8E7F7A"/>
    <w:rsid w:val="6DA45721"/>
    <w:rsid w:val="6DAF0198"/>
    <w:rsid w:val="6DEF5724"/>
    <w:rsid w:val="6E2D7396"/>
    <w:rsid w:val="6E655D8F"/>
    <w:rsid w:val="6E8D22A5"/>
    <w:rsid w:val="6E977E1E"/>
    <w:rsid w:val="6E9A083E"/>
    <w:rsid w:val="6EA63EC8"/>
    <w:rsid w:val="6ED77819"/>
    <w:rsid w:val="6F1013D6"/>
    <w:rsid w:val="6F1830F3"/>
    <w:rsid w:val="6F2C4E6B"/>
    <w:rsid w:val="6F7502BE"/>
    <w:rsid w:val="6F8256B0"/>
    <w:rsid w:val="6F8E346E"/>
    <w:rsid w:val="6F922D77"/>
    <w:rsid w:val="6F926BE3"/>
    <w:rsid w:val="6FA85985"/>
    <w:rsid w:val="6FEA2DEF"/>
    <w:rsid w:val="6FF6627E"/>
    <w:rsid w:val="70117A67"/>
    <w:rsid w:val="701E085A"/>
    <w:rsid w:val="70231C9D"/>
    <w:rsid w:val="70411BFE"/>
    <w:rsid w:val="706347E4"/>
    <w:rsid w:val="708C386D"/>
    <w:rsid w:val="7093353E"/>
    <w:rsid w:val="70A25D2A"/>
    <w:rsid w:val="70A34627"/>
    <w:rsid w:val="70C571C4"/>
    <w:rsid w:val="70D7682C"/>
    <w:rsid w:val="70EC15F1"/>
    <w:rsid w:val="70F606D1"/>
    <w:rsid w:val="710C3141"/>
    <w:rsid w:val="71104E62"/>
    <w:rsid w:val="713927A1"/>
    <w:rsid w:val="71426CAF"/>
    <w:rsid w:val="719525E5"/>
    <w:rsid w:val="71AF7537"/>
    <w:rsid w:val="71C43EDF"/>
    <w:rsid w:val="71D12B7B"/>
    <w:rsid w:val="72047D57"/>
    <w:rsid w:val="72563FB1"/>
    <w:rsid w:val="725E06F6"/>
    <w:rsid w:val="726E28BC"/>
    <w:rsid w:val="729701F7"/>
    <w:rsid w:val="72A21D21"/>
    <w:rsid w:val="72C13435"/>
    <w:rsid w:val="72C76B03"/>
    <w:rsid w:val="7332304C"/>
    <w:rsid w:val="73460DCF"/>
    <w:rsid w:val="736F51CC"/>
    <w:rsid w:val="73765DF7"/>
    <w:rsid w:val="739C093C"/>
    <w:rsid w:val="739D0315"/>
    <w:rsid w:val="73CE4F10"/>
    <w:rsid w:val="73DE0BF4"/>
    <w:rsid w:val="73E560ED"/>
    <w:rsid w:val="73EF72A5"/>
    <w:rsid w:val="740166CA"/>
    <w:rsid w:val="741606DE"/>
    <w:rsid w:val="746B4618"/>
    <w:rsid w:val="748E187D"/>
    <w:rsid w:val="74F727ED"/>
    <w:rsid w:val="75226050"/>
    <w:rsid w:val="75395A4F"/>
    <w:rsid w:val="7544748B"/>
    <w:rsid w:val="75A62599"/>
    <w:rsid w:val="75C718AC"/>
    <w:rsid w:val="75E5168E"/>
    <w:rsid w:val="75E65018"/>
    <w:rsid w:val="75FD7923"/>
    <w:rsid w:val="764536B8"/>
    <w:rsid w:val="764C1E95"/>
    <w:rsid w:val="765340BE"/>
    <w:rsid w:val="76600B0B"/>
    <w:rsid w:val="766A09BA"/>
    <w:rsid w:val="76881AEC"/>
    <w:rsid w:val="76EC025F"/>
    <w:rsid w:val="770C01D1"/>
    <w:rsid w:val="77104195"/>
    <w:rsid w:val="771F6372"/>
    <w:rsid w:val="773A5F05"/>
    <w:rsid w:val="77532B5B"/>
    <w:rsid w:val="77A72B49"/>
    <w:rsid w:val="77B523B3"/>
    <w:rsid w:val="77BA48A1"/>
    <w:rsid w:val="77E1405B"/>
    <w:rsid w:val="77EA45C3"/>
    <w:rsid w:val="77F3515D"/>
    <w:rsid w:val="77F537AF"/>
    <w:rsid w:val="78427D95"/>
    <w:rsid w:val="78CE3373"/>
    <w:rsid w:val="78EA06B1"/>
    <w:rsid w:val="79303653"/>
    <w:rsid w:val="79332894"/>
    <w:rsid w:val="79432FDA"/>
    <w:rsid w:val="794E031B"/>
    <w:rsid w:val="796340FE"/>
    <w:rsid w:val="79E11483"/>
    <w:rsid w:val="79F651E3"/>
    <w:rsid w:val="7A3C521D"/>
    <w:rsid w:val="7A4A0DFD"/>
    <w:rsid w:val="7A552236"/>
    <w:rsid w:val="7A651D46"/>
    <w:rsid w:val="7A735659"/>
    <w:rsid w:val="7A7E0068"/>
    <w:rsid w:val="7AC17447"/>
    <w:rsid w:val="7ACF04E2"/>
    <w:rsid w:val="7AD70C9B"/>
    <w:rsid w:val="7ADA5B3C"/>
    <w:rsid w:val="7B2D0809"/>
    <w:rsid w:val="7B385A22"/>
    <w:rsid w:val="7B392B8B"/>
    <w:rsid w:val="7B4531F1"/>
    <w:rsid w:val="7B4D07FD"/>
    <w:rsid w:val="7B9137D5"/>
    <w:rsid w:val="7BAB3DF5"/>
    <w:rsid w:val="7BC40083"/>
    <w:rsid w:val="7BD26364"/>
    <w:rsid w:val="7BDB29F1"/>
    <w:rsid w:val="7BE723A4"/>
    <w:rsid w:val="7C0D0778"/>
    <w:rsid w:val="7C294E28"/>
    <w:rsid w:val="7C2F53CB"/>
    <w:rsid w:val="7C3A3603"/>
    <w:rsid w:val="7C461D0D"/>
    <w:rsid w:val="7C463856"/>
    <w:rsid w:val="7C485C63"/>
    <w:rsid w:val="7CA834CE"/>
    <w:rsid w:val="7CAF42C2"/>
    <w:rsid w:val="7CB9036C"/>
    <w:rsid w:val="7D047631"/>
    <w:rsid w:val="7D3475DB"/>
    <w:rsid w:val="7D771F95"/>
    <w:rsid w:val="7D814029"/>
    <w:rsid w:val="7D92098C"/>
    <w:rsid w:val="7D942460"/>
    <w:rsid w:val="7DDD5D1F"/>
    <w:rsid w:val="7E0B3754"/>
    <w:rsid w:val="7E3C4D54"/>
    <w:rsid w:val="7E563F68"/>
    <w:rsid w:val="7E6B2E55"/>
    <w:rsid w:val="7E783FAE"/>
    <w:rsid w:val="7E997257"/>
    <w:rsid w:val="7EC40A24"/>
    <w:rsid w:val="7EF57705"/>
    <w:rsid w:val="7F243AC5"/>
    <w:rsid w:val="7F5D4A77"/>
    <w:rsid w:val="7F5F072D"/>
    <w:rsid w:val="7F711C25"/>
    <w:rsid w:val="7F8D69DE"/>
    <w:rsid w:val="7FC050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qFormat="1" w:unhideWhenUsed="0" w:uiPriority="0" w:semiHidden="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autoRedefine/>
    <w:qFormat/>
    <w:uiPriority w:val="0"/>
    <w:pPr>
      <w:keepNext/>
      <w:jc w:val="center"/>
      <w:outlineLvl w:val="0"/>
    </w:pPr>
    <w:rPr>
      <w:rFonts w:eastAsia="黑体"/>
      <w:b/>
      <w:sz w:val="32"/>
      <w:szCs w:val="20"/>
    </w:rPr>
  </w:style>
  <w:style w:type="paragraph" w:styleId="4">
    <w:name w:val="heading 2"/>
    <w:basedOn w:val="1"/>
    <w:next w:val="1"/>
    <w:link w:val="64"/>
    <w:autoRedefine/>
    <w:qFormat/>
    <w:uiPriority w:val="0"/>
    <w:pPr>
      <w:keepNext/>
      <w:outlineLvl w:val="1"/>
    </w:pPr>
    <w:rPr>
      <w:rFonts w:ascii="仿宋_GB2312"/>
      <w:b/>
      <w:sz w:val="28"/>
      <w:szCs w:val="32"/>
    </w:rPr>
  </w:style>
  <w:style w:type="paragraph" w:styleId="5">
    <w:name w:val="heading 3"/>
    <w:basedOn w:val="1"/>
    <w:next w:val="1"/>
    <w:link w:val="153"/>
    <w:autoRedefine/>
    <w:qFormat/>
    <w:uiPriority w:val="0"/>
    <w:pPr>
      <w:keepNext/>
      <w:keepLines/>
      <w:spacing w:line="540" w:lineRule="atLeast"/>
      <w:outlineLvl w:val="2"/>
    </w:pPr>
    <w:rPr>
      <w:rFonts w:eastAsia="黑体"/>
      <w:b/>
      <w:sz w:val="28"/>
      <w:szCs w:val="20"/>
    </w:rPr>
  </w:style>
  <w:style w:type="paragraph" w:styleId="6">
    <w:name w:val="heading 4"/>
    <w:basedOn w:val="1"/>
    <w:next w:val="1"/>
    <w:link w:val="150"/>
    <w:autoRedefine/>
    <w:qFormat/>
    <w:uiPriority w:val="0"/>
    <w:pPr>
      <w:keepNext/>
      <w:keepLines/>
      <w:spacing w:line="540" w:lineRule="atLeast"/>
      <w:outlineLvl w:val="3"/>
    </w:pPr>
    <w:rPr>
      <w:sz w:val="28"/>
      <w:szCs w:val="28"/>
    </w:rPr>
  </w:style>
  <w:style w:type="paragraph" w:styleId="7">
    <w:name w:val="heading 5"/>
    <w:basedOn w:val="1"/>
    <w:next w:val="1"/>
    <w:link w:val="133"/>
    <w:autoRedefine/>
    <w:qFormat/>
    <w:uiPriority w:val="0"/>
    <w:pPr>
      <w:keepNext/>
      <w:keepLines/>
      <w:spacing w:before="280" w:after="290" w:line="372" w:lineRule="auto"/>
      <w:outlineLvl w:val="4"/>
    </w:pPr>
    <w:rPr>
      <w:b/>
      <w:bCs/>
      <w:kern w:val="0"/>
      <w:sz w:val="28"/>
      <w:szCs w:val="28"/>
    </w:rPr>
  </w:style>
  <w:style w:type="paragraph" w:styleId="8">
    <w:name w:val="heading 6"/>
    <w:basedOn w:val="1"/>
    <w:next w:val="9"/>
    <w:link w:val="174"/>
    <w:autoRedefine/>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9"/>
    <w:link w:val="72"/>
    <w:autoRedefine/>
    <w:qFormat/>
    <w:uiPriority w:val="0"/>
    <w:pPr>
      <w:keepNext/>
      <w:keepLines/>
      <w:spacing w:before="240" w:after="64" w:line="317" w:lineRule="auto"/>
      <w:outlineLvl w:val="6"/>
    </w:pPr>
    <w:rPr>
      <w:b/>
      <w:sz w:val="24"/>
      <w:szCs w:val="20"/>
    </w:rPr>
  </w:style>
  <w:style w:type="paragraph" w:styleId="11">
    <w:name w:val="heading 8"/>
    <w:basedOn w:val="1"/>
    <w:next w:val="9"/>
    <w:link w:val="177"/>
    <w:autoRedefine/>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9"/>
    <w:link w:val="164"/>
    <w:autoRedefine/>
    <w:qFormat/>
    <w:uiPriority w:val="0"/>
    <w:pPr>
      <w:keepNext/>
      <w:keepLines/>
      <w:spacing w:before="240" w:after="64" w:line="317" w:lineRule="auto"/>
      <w:outlineLvl w:val="8"/>
    </w:pPr>
    <w:rPr>
      <w:rFonts w:ascii="Arial" w:hAnsi="Arial" w:eastAsia="黑体"/>
      <w:szCs w:val="20"/>
    </w:rPr>
  </w:style>
  <w:style w:type="character" w:default="1" w:styleId="54">
    <w:name w:val="Default Paragraph Font"/>
    <w:autoRedefine/>
    <w:semiHidden/>
    <w:unhideWhenUsed/>
    <w:qFormat/>
    <w:uiPriority w:val="1"/>
  </w:style>
  <w:style w:type="table" w:default="1" w:styleId="52">
    <w:name w:val="Normal Table"/>
    <w:autoRedefine/>
    <w:semiHidden/>
    <w:unhideWhenUsed/>
    <w:qFormat/>
    <w:uiPriority w:val="99"/>
    <w:tblPr>
      <w:tblCellMar>
        <w:top w:w="0" w:type="dxa"/>
        <w:left w:w="108" w:type="dxa"/>
        <w:bottom w:w="0" w:type="dxa"/>
        <w:right w:w="108" w:type="dxa"/>
      </w:tblCellMar>
    </w:tblPr>
  </w:style>
  <w:style w:type="paragraph" w:styleId="3">
    <w:name w:val="macro"/>
    <w:link w:val="120"/>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9">
    <w:name w:val="Normal Indent"/>
    <w:basedOn w:val="1"/>
    <w:next w:val="1"/>
    <w:link w:val="107"/>
    <w:autoRedefine/>
    <w:qFormat/>
    <w:uiPriority w:val="0"/>
    <w:pPr>
      <w:adjustRightInd w:val="0"/>
      <w:spacing w:line="312" w:lineRule="atLeast"/>
      <w:ind w:firstLine="420"/>
      <w:textAlignment w:val="baseline"/>
    </w:pPr>
    <w:rPr>
      <w:rFonts w:ascii="仿宋_GB2312"/>
      <w:b/>
      <w:kern w:val="0"/>
      <w:szCs w:val="32"/>
    </w:rPr>
  </w:style>
  <w:style w:type="paragraph" w:styleId="13">
    <w:name w:val="toc 7"/>
    <w:basedOn w:val="1"/>
    <w:next w:val="1"/>
    <w:autoRedefine/>
    <w:qFormat/>
    <w:uiPriority w:val="0"/>
    <w:pPr>
      <w:autoSpaceDE w:val="0"/>
      <w:autoSpaceDN w:val="0"/>
      <w:adjustRightInd w:val="0"/>
      <w:ind w:left="2520" w:leftChars="1200"/>
      <w:jc w:val="left"/>
    </w:pPr>
    <w:rPr>
      <w:kern w:val="0"/>
      <w:sz w:val="20"/>
      <w:szCs w:val="20"/>
    </w:rPr>
  </w:style>
  <w:style w:type="paragraph" w:styleId="14">
    <w:name w:val="List Number"/>
    <w:basedOn w:val="1"/>
    <w:autoRedefine/>
    <w:qFormat/>
    <w:uiPriority w:val="0"/>
    <w:pPr>
      <w:tabs>
        <w:tab w:val="left" w:pos="360"/>
      </w:tabs>
      <w:ind w:left="360" w:hanging="360" w:hangingChars="200"/>
    </w:pPr>
  </w:style>
  <w:style w:type="paragraph" w:styleId="15">
    <w:name w:val="caption"/>
    <w:basedOn w:val="1"/>
    <w:next w:val="1"/>
    <w:autoRedefine/>
    <w:qFormat/>
    <w:uiPriority w:val="0"/>
    <w:pPr>
      <w:autoSpaceDE w:val="0"/>
      <w:autoSpaceDN w:val="0"/>
      <w:adjustRightInd w:val="0"/>
      <w:jc w:val="left"/>
    </w:pPr>
    <w:rPr>
      <w:rFonts w:ascii="Arial" w:hAnsi="Arial" w:eastAsia="黑体" w:cs="Arial"/>
      <w:kern w:val="0"/>
      <w:sz w:val="20"/>
      <w:szCs w:val="20"/>
    </w:rPr>
  </w:style>
  <w:style w:type="paragraph" w:styleId="16">
    <w:name w:val="List Bullet"/>
    <w:basedOn w:val="1"/>
    <w:autoRedefine/>
    <w:qFormat/>
    <w:uiPriority w:val="0"/>
    <w:pPr>
      <w:tabs>
        <w:tab w:val="left" w:pos="360"/>
      </w:tabs>
    </w:pPr>
    <w:rPr>
      <w:rFonts w:ascii="Calibri" w:hAnsi="Calibri"/>
      <w:szCs w:val="22"/>
    </w:rPr>
  </w:style>
  <w:style w:type="paragraph" w:styleId="17">
    <w:name w:val="Document Map"/>
    <w:basedOn w:val="1"/>
    <w:link w:val="132"/>
    <w:autoRedefine/>
    <w:qFormat/>
    <w:uiPriority w:val="0"/>
    <w:pPr>
      <w:shd w:val="clear" w:color="auto" w:fill="000080"/>
    </w:pPr>
  </w:style>
  <w:style w:type="paragraph" w:styleId="18">
    <w:name w:val="annotation text"/>
    <w:basedOn w:val="1"/>
    <w:link w:val="93"/>
    <w:autoRedefine/>
    <w:qFormat/>
    <w:uiPriority w:val="0"/>
    <w:pPr>
      <w:jc w:val="left"/>
    </w:pPr>
  </w:style>
  <w:style w:type="paragraph" w:styleId="19">
    <w:name w:val="Salutation"/>
    <w:basedOn w:val="1"/>
    <w:next w:val="1"/>
    <w:link w:val="81"/>
    <w:autoRedefine/>
    <w:qFormat/>
    <w:uiPriority w:val="0"/>
    <w:pPr>
      <w:tabs>
        <w:tab w:val="left" w:pos="840"/>
      </w:tabs>
      <w:autoSpaceDE w:val="0"/>
      <w:autoSpaceDN w:val="0"/>
      <w:adjustRightInd w:val="0"/>
      <w:jc w:val="left"/>
    </w:pPr>
    <w:rPr>
      <w:rFonts w:ascii="仿宋_GB2312" w:eastAsia="仿宋_GB2312"/>
      <w:b/>
      <w:kern w:val="0"/>
      <w:sz w:val="24"/>
      <w:szCs w:val="32"/>
    </w:rPr>
  </w:style>
  <w:style w:type="paragraph" w:styleId="20">
    <w:name w:val="Body Text 3"/>
    <w:basedOn w:val="1"/>
    <w:link w:val="97"/>
    <w:autoRedefine/>
    <w:qFormat/>
    <w:uiPriority w:val="0"/>
    <w:pPr>
      <w:autoSpaceDE w:val="0"/>
      <w:autoSpaceDN w:val="0"/>
      <w:adjustRightInd w:val="0"/>
      <w:jc w:val="center"/>
    </w:pPr>
  </w:style>
  <w:style w:type="paragraph" w:styleId="21">
    <w:name w:val="Body Text"/>
    <w:basedOn w:val="1"/>
    <w:next w:val="1"/>
    <w:link w:val="165"/>
    <w:autoRedefine/>
    <w:qFormat/>
    <w:uiPriority w:val="0"/>
    <w:pPr>
      <w:spacing w:after="120"/>
    </w:pPr>
    <w:rPr>
      <w:rFonts w:ascii="仿宋_GB2312"/>
      <w:b/>
    </w:rPr>
  </w:style>
  <w:style w:type="paragraph" w:styleId="22">
    <w:name w:val="Body Text Indent"/>
    <w:basedOn w:val="1"/>
    <w:link w:val="145"/>
    <w:autoRedefine/>
    <w:qFormat/>
    <w:uiPriority w:val="0"/>
    <w:pPr>
      <w:ind w:left="480" w:hanging="480" w:hangingChars="200"/>
    </w:pPr>
    <w:rPr>
      <w:sz w:val="24"/>
    </w:rPr>
  </w:style>
  <w:style w:type="paragraph" w:styleId="23">
    <w:name w:val="List Number 3"/>
    <w:basedOn w:val="1"/>
    <w:autoRedefine/>
    <w:qFormat/>
    <w:uiPriority w:val="0"/>
    <w:pPr>
      <w:tabs>
        <w:tab w:val="left" w:pos="1200"/>
      </w:tabs>
      <w:ind w:left="1200" w:leftChars="400" w:hanging="360" w:hangingChars="200"/>
    </w:pPr>
  </w:style>
  <w:style w:type="paragraph" w:styleId="24">
    <w:name w:val="Block Text"/>
    <w:basedOn w:val="1"/>
    <w:autoRedefine/>
    <w:qFormat/>
    <w:uiPriority w:val="0"/>
    <w:pPr>
      <w:spacing w:line="520" w:lineRule="exact"/>
      <w:ind w:left="540" w:leftChars="257" w:right="-514"/>
    </w:pPr>
    <w:rPr>
      <w:rFonts w:ascii="宋体" w:hAnsi="宋体"/>
      <w:sz w:val="24"/>
    </w:rPr>
  </w:style>
  <w:style w:type="paragraph" w:styleId="25">
    <w:name w:val="List Bullet 2"/>
    <w:basedOn w:val="1"/>
    <w:autoRedefine/>
    <w:qFormat/>
    <w:uiPriority w:val="0"/>
    <w:pPr>
      <w:tabs>
        <w:tab w:val="left" w:pos="780"/>
      </w:tabs>
      <w:spacing w:line="360" w:lineRule="auto"/>
      <w:ind w:left="780" w:leftChars="200" w:hanging="360" w:hangingChars="200"/>
    </w:pPr>
  </w:style>
  <w:style w:type="paragraph" w:styleId="26">
    <w:name w:val="toc 5"/>
    <w:basedOn w:val="1"/>
    <w:next w:val="1"/>
    <w:autoRedefine/>
    <w:qFormat/>
    <w:uiPriority w:val="0"/>
    <w:pPr>
      <w:autoSpaceDE w:val="0"/>
      <w:autoSpaceDN w:val="0"/>
      <w:adjustRightInd w:val="0"/>
      <w:ind w:left="1680" w:leftChars="800"/>
      <w:jc w:val="left"/>
    </w:pPr>
    <w:rPr>
      <w:kern w:val="0"/>
      <w:sz w:val="20"/>
      <w:szCs w:val="20"/>
    </w:rPr>
  </w:style>
  <w:style w:type="paragraph" w:styleId="27">
    <w:name w:val="toc 3"/>
    <w:basedOn w:val="1"/>
    <w:next w:val="1"/>
    <w:autoRedefine/>
    <w:qFormat/>
    <w:uiPriority w:val="0"/>
    <w:pPr>
      <w:ind w:left="840" w:leftChars="400"/>
    </w:pPr>
  </w:style>
  <w:style w:type="paragraph" w:styleId="28">
    <w:name w:val="Plain Text"/>
    <w:basedOn w:val="1"/>
    <w:link w:val="193"/>
    <w:autoRedefine/>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29">
    <w:name w:val="List Number 4"/>
    <w:basedOn w:val="1"/>
    <w:autoRedefine/>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0">
    <w:name w:val="toc 8"/>
    <w:basedOn w:val="1"/>
    <w:next w:val="1"/>
    <w:autoRedefine/>
    <w:qFormat/>
    <w:uiPriority w:val="0"/>
    <w:pPr>
      <w:autoSpaceDE w:val="0"/>
      <w:autoSpaceDN w:val="0"/>
      <w:adjustRightInd w:val="0"/>
      <w:ind w:left="2940" w:leftChars="1400"/>
      <w:jc w:val="left"/>
    </w:pPr>
    <w:rPr>
      <w:kern w:val="0"/>
      <w:sz w:val="20"/>
      <w:szCs w:val="20"/>
    </w:rPr>
  </w:style>
  <w:style w:type="paragraph" w:styleId="31">
    <w:name w:val="Date"/>
    <w:basedOn w:val="1"/>
    <w:next w:val="1"/>
    <w:link w:val="134"/>
    <w:autoRedefine/>
    <w:qFormat/>
    <w:uiPriority w:val="0"/>
    <w:pPr>
      <w:ind w:left="100" w:leftChars="2500"/>
    </w:pPr>
  </w:style>
  <w:style w:type="paragraph" w:styleId="32">
    <w:name w:val="Body Text Indent 2"/>
    <w:basedOn w:val="1"/>
    <w:link w:val="179"/>
    <w:autoRedefine/>
    <w:qFormat/>
    <w:uiPriority w:val="0"/>
    <w:pPr>
      <w:spacing w:line="500" w:lineRule="exact"/>
      <w:ind w:firstLine="511" w:firstLineChars="213"/>
    </w:pPr>
    <w:rPr>
      <w:sz w:val="24"/>
    </w:rPr>
  </w:style>
  <w:style w:type="paragraph" w:styleId="33">
    <w:name w:val="Balloon Text"/>
    <w:basedOn w:val="1"/>
    <w:link w:val="152"/>
    <w:autoRedefine/>
    <w:qFormat/>
    <w:uiPriority w:val="0"/>
    <w:rPr>
      <w:sz w:val="18"/>
      <w:szCs w:val="18"/>
    </w:rPr>
  </w:style>
  <w:style w:type="paragraph" w:styleId="34">
    <w:name w:val="footer"/>
    <w:basedOn w:val="1"/>
    <w:link w:val="122"/>
    <w:autoRedefine/>
    <w:qFormat/>
    <w:uiPriority w:val="0"/>
    <w:pPr>
      <w:tabs>
        <w:tab w:val="center" w:pos="4153"/>
        <w:tab w:val="right" w:pos="8306"/>
      </w:tabs>
      <w:snapToGrid w:val="0"/>
      <w:jc w:val="left"/>
    </w:pPr>
    <w:rPr>
      <w:sz w:val="18"/>
      <w:szCs w:val="18"/>
    </w:rPr>
  </w:style>
  <w:style w:type="paragraph" w:styleId="35">
    <w:name w:val="header"/>
    <w:basedOn w:val="1"/>
    <w:link w:val="136"/>
    <w:autoRedefine/>
    <w:qFormat/>
    <w:uiPriority w:val="0"/>
    <w:pPr>
      <w:pBdr>
        <w:bottom w:val="single" w:color="auto" w:sz="6" w:space="1"/>
      </w:pBdr>
      <w:tabs>
        <w:tab w:val="center" w:pos="4153"/>
        <w:tab w:val="right" w:pos="8306"/>
      </w:tabs>
      <w:snapToGrid w:val="0"/>
      <w:jc w:val="center"/>
    </w:pPr>
    <w:rPr>
      <w:sz w:val="18"/>
      <w:szCs w:val="18"/>
    </w:rPr>
  </w:style>
  <w:style w:type="paragraph" w:styleId="36">
    <w:name w:val="Signature"/>
    <w:basedOn w:val="1"/>
    <w:link w:val="155"/>
    <w:autoRedefine/>
    <w:qFormat/>
    <w:uiPriority w:val="0"/>
    <w:pPr>
      <w:autoSpaceDE w:val="0"/>
      <w:autoSpaceDN w:val="0"/>
      <w:adjustRightInd w:val="0"/>
      <w:spacing w:after="600" w:line="312" w:lineRule="atLeast"/>
      <w:jc w:val="center"/>
      <w:textAlignment w:val="baseline"/>
    </w:pPr>
    <w:rPr>
      <w:rFonts w:ascii="仿宋_GB2312" w:eastAsia="仿宋_GB2312"/>
      <w:b/>
      <w:kern w:val="0"/>
      <w:sz w:val="24"/>
      <w:szCs w:val="32"/>
    </w:rPr>
  </w:style>
  <w:style w:type="paragraph" w:styleId="37">
    <w:name w:val="toc 1"/>
    <w:basedOn w:val="1"/>
    <w:next w:val="1"/>
    <w:autoRedefine/>
    <w:qFormat/>
    <w:uiPriority w:val="0"/>
  </w:style>
  <w:style w:type="paragraph" w:styleId="38">
    <w:name w:val="toc 4"/>
    <w:basedOn w:val="1"/>
    <w:next w:val="1"/>
    <w:autoRedefine/>
    <w:qFormat/>
    <w:uiPriority w:val="0"/>
    <w:pPr>
      <w:autoSpaceDE w:val="0"/>
      <w:autoSpaceDN w:val="0"/>
      <w:adjustRightInd w:val="0"/>
      <w:ind w:left="1260" w:leftChars="600"/>
      <w:jc w:val="left"/>
    </w:pPr>
    <w:rPr>
      <w:kern w:val="0"/>
      <w:sz w:val="20"/>
      <w:szCs w:val="20"/>
    </w:rPr>
  </w:style>
  <w:style w:type="paragraph" w:styleId="39">
    <w:name w:val="Subtitle"/>
    <w:basedOn w:val="1"/>
    <w:next w:val="1"/>
    <w:link w:val="135"/>
    <w:autoRedefine/>
    <w:qFormat/>
    <w:uiPriority w:val="0"/>
    <w:pPr>
      <w:spacing w:before="240" w:after="60" w:line="312" w:lineRule="auto"/>
      <w:jc w:val="center"/>
      <w:outlineLvl w:val="1"/>
    </w:pPr>
    <w:rPr>
      <w:rFonts w:ascii="Cambria" w:hAnsi="Cambria"/>
      <w:b/>
      <w:bCs/>
      <w:kern w:val="28"/>
      <w:sz w:val="32"/>
      <w:szCs w:val="32"/>
    </w:rPr>
  </w:style>
  <w:style w:type="paragraph" w:styleId="40">
    <w:name w:val="List Number 5"/>
    <w:basedOn w:val="1"/>
    <w:autoRedefine/>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1">
    <w:name w:val="List"/>
    <w:basedOn w:val="1"/>
    <w:autoRedefine/>
    <w:qFormat/>
    <w:uiPriority w:val="0"/>
    <w:pPr>
      <w:ind w:left="200" w:hanging="200" w:hangingChars="200"/>
    </w:pPr>
  </w:style>
  <w:style w:type="paragraph" w:styleId="42">
    <w:name w:val="toc 6"/>
    <w:basedOn w:val="1"/>
    <w:next w:val="1"/>
    <w:autoRedefine/>
    <w:qFormat/>
    <w:uiPriority w:val="0"/>
    <w:pPr>
      <w:autoSpaceDE w:val="0"/>
      <w:autoSpaceDN w:val="0"/>
      <w:adjustRightInd w:val="0"/>
      <w:ind w:left="2100" w:leftChars="1000"/>
      <w:jc w:val="left"/>
    </w:pPr>
    <w:rPr>
      <w:kern w:val="0"/>
      <w:sz w:val="20"/>
      <w:szCs w:val="20"/>
    </w:rPr>
  </w:style>
  <w:style w:type="paragraph" w:styleId="43">
    <w:name w:val="Body Text Indent 3"/>
    <w:basedOn w:val="1"/>
    <w:link w:val="147"/>
    <w:autoRedefine/>
    <w:qFormat/>
    <w:uiPriority w:val="0"/>
    <w:pPr>
      <w:spacing w:line="500" w:lineRule="exact"/>
      <w:ind w:left="511" w:hanging="511" w:hangingChars="213"/>
    </w:pPr>
    <w:rPr>
      <w:sz w:val="24"/>
    </w:rPr>
  </w:style>
  <w:style w:type="paragraph" w:styleId="44">
    <w:name w:val="toc 2"/>
    <w:basedOn w:val="1"/>
    <w:next w:val="1"/>
    <w:autoRedefine/>
    <w:qFormat/>
    <w:uiPriority w:val="0"/>
    <w:pPr>
      <w:ind w:left="420" w:leftChars="200"/>
    </w:pPr>
  </w:style>
  <w:style w:type="paragraph" w:styleId="45">
    <w:name w:val="toc 9"/>
    <w:basedOn w:val="1"/>
    <w:next w:val="1"/>
    <w:autoRedefine/>
    <w:qFormat/>
    <w:uiPriority w:val="0"/>
    <w:pPr>
      <w:autoSpaceDE w:val="0"/>
      <w:autoSpaceDN w:val="0"/>
      <w:adjustRightInd w:val="0"/>
      <w:ind w:left="3360" w:leftChars="1600"/>
      <w:jc w:val="left"/>
    </w:pPr>
    <w:rPr>
      <w:kern w:val="0"/>
      <w:sz w:val="20"/>
      <w:szCs w:val="20"/>
    </w:rPr>
  </w:style>
  <w:style w:type="paragraph" w:styleId="46">
    <w:name w:val="Body Text 2"/>
    <w:basedOn w:val="1"/>
    <w:link w:val="199"/>
    <w:autoRedefine/>
    <w:qFormat/>
    <w:uiPriority w:val="0"/>
    <w:pPr>
      <w:autoSpaceDE w:val="0"/>
      <w:autoSpaceDN w:val="0"/>
      <w:adjustRightInd w:val="0"/>
      <w:spacing w:after="120" w:line="480" w:lineRule="auto"/>
      <w:jc w:val="left"/>
    </w:pPr>
  </w:style>
  <w:style w:type="paragraph" w:styleId="47">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8">
    <w:name w:val="Title"/>
    <w:basedOn w:val="1"/>
    <w:next w:val="1"/>
    <w:link w:val="113"/>
    <w:autoRedefine/>
    <w:qFormat/>
    <w:uiPriority w:val="0"/>
    <w:pPr>
      <w:spacing w:before="240" w:after="60"/>
      <w:jc w:val="center"/>
      <w:outlineLvl w:val="0"/>
    </w:pPr>
    <w:rPr>
      <w:rFonts w:ascii="Cambria" w:hAnsi="Cambria"/>
      <w:b/>
      <w:bCs/>
      <w:sz w:val="32"/>
      <w:szCs w:val="32"/>
    </w:rPr>
  </w:style>
  <w:style w:type="paragraph" w:styleId="49">
    <w:name w:val="annotation subject"/>
    <w:basedOn w:val="18"/>
    <w:next w:val="18"/>
    <w:link w:val="98"/>
    <w:autoRedefine/>
    <w:qFormat/>
    <w:uiPriority w:val="0"/>
    <w:rPr>
      <w:b/>
      <w:bCs/>
    </w:rPr>
  </w:style>
  <w:style w:type="paragraph" w:styleId="50">
    <w:name w:val="Body Text First Indent"/>
    <w:basedOn w:val="21"/>
    <w:link w:val="197"/>
    <w:autoRedefine/>
    <w:qFormat/>
    <w:uiPriority w:val="0"/>
    <w:pPr>
      <w:autoSpaceDE w:val="0"/>
      <w:autoSpaceDN w:val="0"/>
      <w:adjustRightInd w:val="0"/>
      <w:ind w:firstLine="420" w:firstLineChars="100"/>
      <w:jc w:val="left"/>
    </w:pPr>
    <w:rPr>
      <w:rFonts w:ascii="Times New Roman"/>
      <w:b w:val="0"/>
      <w:kern w:val="0"/>
      <w:sz w:val="20"/>
      <w:szCs w:val="20"/>
    </w:rPr>
  </w:style>
  <w:style w:type="paragraph" w:styleId="51">
    <w:name w:val="Body Text First Indent 2"/>
    <w:basedOn w:val="22"/>
    <w:autoRedefine/>
    <w:qFormat/>
    <w:uiPriority w:val="0"/>
    <w:pPr>
      <w:spacing w:after="120"/>
      <w:ind w:left="420" w:leftChars="200" w:firstLine="420"/>
    </w:pPr>
    <w:rPr>
      <w:rFonts w:cs="宋体"/>
      <w:sz w:val="21"/>
      <w:szCs w:val="21"/>
    </w:rPr>
  </w:style>
  <w:style w:type="table" w:styleId="53">
    <w:name w:val="Table Grid"/>
    <w:basedOn w:val="5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5">
    <w:name w:val="Strong"/>
    <w:basedOn w:val="54"/>
    <w:autoRedefine/>
    <w:qFormat/>
    <w:uiPriority w:val="0"/>
    <w:rPr>
      <w:rFonts w:ascii="仿宋_GB2312" w:eastAsia="仿宋_GB2312"/>
      <w:bCs/>
      <w:sz w:val="32"/>
      <w:szCs w:val="32"/>
    </w:rPr>
  </w:style>
  <w:style w:type="character" w:styleId="56">
    <w:name w:val="page number"/>
    <w:basedOn w:val="54"/>
    <w:autoRedefine/>
    <w:qFormat/>
    <w:uiPriority w:val="0"/>
  </w:style>
  <w:style w:type="character" w:styleId="57">
    <w:name w:val="FollowedHyperlink"/>
    <w:autoRedefine/>
    <w:qFormat/>
    <w:uiPriority w:val="0"/>
    <w:rPr>
      <w:rFonts w:ascii="仿宋_GB2312" w:eastAsia="仿宋_GB2312"/>
      <w:b/>
      <w:color w:val="800080"/>
      <w:sz w:val="32"/>
      <w:szCs w:val="32"/>
      <w:u w:val="none"/>
    </w:rPr>
  </w:style>
  <w:style w:type="character" w:styleId="58">
    <w:name w:val="Emphasis"/>
    <w:autoRedefine/>
    <w:qFormat/>
    <w:uiPriority w:val="0"/>
    <w:rPr>
      <w:i/>
      <w:iCs/>
    </w:rPr>
  </w:style>
  <w:style w:type="character" w:styleId="59">
    <w:name w:val="line number"/>
    <w:basedOn w:val="54"/>
    <w:autoRedefine/>
    <w:qFormat/>
    <w:uiPriority w:val="0"/>
  </w:style>
  <w:style w:type="character" w:styleId="60">
    <w:name w:val="Hyperlink"/>
    <w:autoRedefine/>
    <w:qFormat/>
    <w:uiPriority w:val="0"/>
    <w:rPr>
      <w:rFonts w:ascii="仿宋_GB2312" w:eastAsia="仿宋_GB2312"/>
      <w:b/>
      <w:color w:val="0000FF"/>
      <w:sz w:val="32"/>
      <w:szCs w:val="32"/>
      <w:u w:val="none"/>
    </w:rPr>
  </w:style>
  <w:style w:type="character" w:styleId="61">
    <w:name w:val="annotation reference"/>
    <w:autoRedefine/>
    <w:qFormat/>
    <w:uiPriority w:val="0"/>
    <w:rPr>
      <w:sz w:val="21"/>
      <w:szCs w:val="21"/>
    </w:rPr>
  </w:style>
  <w:style w:type="character" w:styleId="62">
    <w:name w:val="HTML Cite"/>
    <w:autoRedefine/>
    <w:qFormat/>
    <w:uiPriority w:val="0"/>
    <w:rPr>
      <w:color w:val="008000"/>
    </w:rPr>
  </w:style>
  <w:style w:type="character" w:customStyle="1" w:styleId="63">
    <w:name w:val="标题 1 Char"/>
    <w:link w:val="2"/>
    <w:autoRedefine/>
    <w:qFormat/>
    <w:uiPriority w:val="0"/>
    <w:rPr>
      <w:rFonts w:eastAsia="黑体"/>
      <w:b/>
      <w:kern w:val="2"/>
      <w:sz w:val="32"/>
      <w:lang w:val="en-US" w:eastAsia="zh-CN" w:bidi="ar-SA"/>
    </w:rPr>
  </w:style>
  <w:style w:type="character" w:customStyle="1" w:styleId="64">
    <w:name w:val="标题 2 Char"/>
    <w:link w:val="4"/>
    <w:autoRedefine/>
    <w:qFormat/>
    <w:uiPriority w:val="0"/>
    <w:rPr>
      <w:rFonts w:ascii="仿宋_GB2312" w:eastAsia="宋体"/>
      <w:b/>
      <w:kern w:val="2"/>
      <w:sz w:val="28"/>
      <w:szCs w:val="32"/>
      <w:lang w:val="en-US" w:eastAsia="zh-CN" w:bidi="ar-SA"/>
    </w:rPr>
  </w:style>
  <w:style w:type="paragraph" w:customStyle="1" w:styleId="65">
    <w:name w:val="BodyText1I"/>
    <w:basedOn w:val="66"/>
    <w:autoRedefine/>
    <w:qFormat/>
    <w:uiPriority w:val="0"/>
    <w:pPr>
      <w:ind w:firstLine="420" w:firstLineChars="100"/>
    </w:pPr>
  </w:style>
  <w:style w:type="paragraph" w:customStyle="1" w:styleId="66">
    <w:name w:val="BodyText"/>
    <w:basedOn w:val="1"/>
    <w:autoRedefine/>
    <w:qFormat/>
    <w:uiPriority w:val="0"/>
    <w:pPr>
      <w:spacing w:after="120"/>
    </w:pPr>
  </w:style>
  <w:style w:type="paragraph" w:customStyle="1" w:styleId="67">
    <w:name w:val="Char3 Char Char Char"/>
    <w:basedOn w:val="1"/>
    <w:autoRedefine/>
    <w:qFormat/>
    <w:uiPriority w:val="0"/>
  </w:style>
  <w:style w:type="character" w:customStyle="1" w:styleId="68">
    <w:name w:val="不明显参考1"/>
    <w:autoRedefine/>
    <w:qFormat/>
    <w:uiPriority w:val="0"/>
    <w:rPr>
      <w:smallCaps/>
      <w:color w:val="C0504D"/>
      <w:u w:val="single"/>
    </w:rPr>
  </w:style>
  <w:style w:type="character" w:customStyle="1" w:styleId="69">
    <w:name w:val="PI Char1"/>
    <w:autoRedefine/>
    <w:qFormat/>
    <w:uiPriority w:val="0"/>
    <w:rPr>
      <w:rFonts w:eastAsia="宋体"/>
      <w:kern w:val="2"/>
      <w:sz w:val="24"/>
      <w:szCs w:val="24"/>
      <w:lang w:val="en-US" w:eastAsia="zh-CN" w:bidi="ar-SA"/>
    </w:rPr>
  </w:style>
  <w:style w:type="character" w:customStyle="1" w:styleId="70">
    <w:name w:val="pt141"/>
    <w:autoRedefine/>
    <w:qFormat/>
    <w:uiPriority w:val="0"/>
    <w:rPr>
      <w:color w:val="330066"/>
      <w:spacing w:val="450"/>
      <w:sz w:val="22"/>
      <w:szCs w:val="22"/>
    </w:rPr>
  </w:style>
  <w:style w:type="character" w:customStyle="1" w:styleId="71">
    <w:name w:val="Char Char27"/>
    <w:autoRedefine/>
    <w:qFormat/>
    <w:uiPriority w:val="0"/>
    <w:rPr>
      <w:rFonts w:eastAsia="宋体"/>
      <w:kern w:val="2"/>
      <w:sz w:val="28"/>
      <w:lang w:val="en-US" w:eastAsia="zh-CN" w:bidi="ar-SA"/>
    </w:rPr>
  </w:style>
  <w:style w:type="character" w:customStyle="1" w:styleId="72">
    <w:name w:val="标题 7 Char"/>
    <w:link w:val="10"/>
    <w:autoRedefine/>
    <w:qFormat/>
    <w:uiPriority w:val="0"/>
    <w:rPr>
      <w:rFonts w:eastAsia="宋体"/>
      <w:b/>
      <w:kern w:val="2"/>
      <w:sz w:val="24"/>
      <w:lang w:val="en-US" w:eastAsia="zh-CN" w:bidi="ar-SA"/>
    </w:rPr>
  </w:style>
  <w:style w:type="character" w:customStyle="1" w:styleId="73">
    <w:name w:val="明显参考1"/>
    <w:autoRedefine/>
    <w:qFormat/>
    <w:uiPriority w:val="0"/>
    <w:rPr>
      <w:b/>
      <w:bCs/>
      <w:smallCaps/>
      <w:color w:val="C0504D"/>
      <w:spacing w:val="5"/>
      <w:u w:val="single"/>
    </w:rPr>
  </w:style>
  <w:style w:type="character" w:customStyle="1" w:styleId="74">
    <w:name w:val="书籍标题1"/>
    <w:autoRedefine/>
    <w:qFormat/>
    <w:uiPriority w:val="0"/>
    <w:rPr>
      <w:b/>
      <w:bCs/>
      <w:smallCaps/>
      <w:spacing w:val="5"/>
    </w:rPr>
  </w:style>
  <w:style w:type="character" w:customStyle="1" w:styleId="75">
    <w:name w:val="Char Char61"/>
    <w:autoRedefine/>
    <w:qFormat/>
    <w:uiPriority w:val="0"/>
    <w:rPr>
      <w:rFonts w:ascii="Times New Roman" w:hAnsi="Times New Roman" w:eastAsia="宋体" w:cs="Times New Roman"/>
      <w:szCs w:val="24"/>
    </w:rPr>
  </w:style>
  <w:style w:type="character" w:customStyle="1" w:styleId="76">
    <w:name w:val="Char Char24"/>
    <w:autoRedefine/>
    <w:qFormat/>
    <w:uiPriority w:val="0"/>
    <w:rPr>
      <w:rFonts w:eastAsia="宋体"/>
      <w:b/>
      <w:kern w:val="2"/>
      <w:sz w:val="28"/>
      <w:lang w:val="en-US" w:eastAsia="zh-CN" w:bidi="ar-SA"/>
    </w:rPr>
  </w:style>
  <w:style w:type="character" w:customStyle="1" w:styleId="77">
    <w:name w:val="Style4"/>
    <w:autoRedefine/>
    <w:qFormat/>
    <w:uiPriority w:val="0"/>
    <w:rPr>
      <w:rFonts w:ascii="Calibri" w:hAnsi="宋体" w:eastAsia="宋体" w:cs="Times New Roman"/>
      <w:szCs w:val="22"/>
      <w:lang w:eastAsia="zh-CN"/>
    </w:rPr>
  </w:style>
  <w:style w:type="character" w:customStyle="1" w:styleId="78">
    <w:name w:val="Style1"/>
    <w:autoRedefine/>
    <w:qFormat/>
    <w:uiPriority w:val="0"/>
    <w:rPr>
      <w:rFonts w:ascii="Calibri" w:hAnsi="宋体" w:eastAsia="宋体" w:cs="Times New Roman"/>
      <w:sz w:val="22"/>
      <w:szCs w:val="22"/>
      <w:lang w:eastAsia="zh-CN"/>
    </w:rPr>
  </w:style>
  <w:style w:type="character" w:customStyle="1" w:styleId="79">
    <w:name w:val="heading 1 Char1"/>
    <w:autoRedefine/>
    <w:qFormat/>
    <w:uiPriority w:val="0"/>
    <w:rPr>
      <w:rFonts w:eastAsia="宋体"/>
      <w:b/>
      <w:bCs/>
      <w:kern w:val="44"/>
      <w:sz w:val="44"/>
      <w:szCs w:val="44"/>
      <w:lang w:val="en-US" w:eastAsia="zh-CN" w:bidi="ar-SA"/>
    </w:rPr>
  </w:style>
  <w:style w:type="character" w:customStyle="1" w:styleId="80">
    <w:name w:val="Style5"/>
    <w:autoRedefine/>
    <w:qFormat/>
    <w:uiPriority w:val="0"/>
    <w:rPr>
      <w:rFonts w:ascii="Calibri" w:hAnsi="宋体" w:eastAsia="宋体" w:cs="Times New Roman"/>
      <w:sz w:val="22"/>
      <w:szCs w:val="22"/>
      <w:lang w:eastAsia="zh-CN"/>
    </w:rPr>
  </w:style>
  <w:style w:type="character" w:customStyle="1" w:styleId="81">
    <w:name w:val="称呼 Char"/>
    <w:link w:val="19"/>
    <w:autoRedefine/>
    <w:qFormat/>
    <w:uiPriority w:val="0"/>
    <w:rPr>
      <w:rFonts w:ascii="仿宋_GB2312" w:eastAsia="仿宋_GB2312"/>
      <w:b/>
      <w:sz w:val="24"/>
      <w:szCs w:val="32"/>
    </w:rPr>
  </w:style>
  <w:style w:type="character" w:customStyle="1" w:styleId="82">
    <w:name w:val="Ò³Ã¼ Char Char2"/>
    <w:autoRedefine/>
    <w:qFormat/>
    <w:uiPriority w:val="0"/>
    <w:rPr>
      <w:kern w:val="2"/>
      <w:sz w:val="18"/>
      <w:szCs w:val="18"/>
    </w:rPr>
  </w:style>
  <w:style w:type="character" w:customStyle="1" w:styleId="83">
    <w:name w:val="明显强调1"/>
    <w:autoRedefine/>
    <w:qFormat/>
    <w:uiPriority w:val="0"/>
    <w:rPr>
      <w:b/>
      <w:bCs/>
      <w:i/>
      <w:iCs/>
      <w:color w:val="4F81BD"/>
    </w:rPr>
  </w:style>
  <w:style w:type="character" w:customStyle="1" w:styleId="84">
    <w:name w:val="样式 标题 3 + 黑体 小四 Char Char"/>
    <w:link w:val="85"/>
    <w:autoRedefine/>
    <w:qFormat/>
    <w:uiPriority w:val="0"/>
    <w:rPr>
      <w:rFonts w:ascii="黑体" w:hAnsi="Arial" w:eastAsia="黑体"/>
      <w:bCs/>
      <w:sz w:val="24"/>
      <w:szCs w:val="24"/>
      <w:lang w:bidi="ar-SA"/>
    </w:rPr>
  </w:style>
  <w:style w:type="paragraph" w:customStyle="1" w:styleId="85">
    <w:name w:val="样式 标题 3 + 黑体 小四"/>
    <w:basedOn w:val="5"/>
    <w:link w:val="84"/>
    <w:autoRedefine/>
    <w:qFormat/>
    <w:uiPriority w:val="0"/>
    <w:pPr>
      <w:spacing w:before="260" w:after="260" w:line="413" w:lineRule="auto"/>
    </w:pPr>
    <w:rPr>
      <w:rFonts w:ascii="黑体" w:hAnsi="Arial"/>
      <w:b w:val="0"/>
      <w:bCs/>
      <w:kern w:val="0"/>
      <w:sz w:val="24"/>
      <w:szCs w:val="24"/>
    </w:rPr>
  </w:style>
  <w:style w:type="character" w:customStyle="1" w:styleId="86">
    <w:name w:val="heading 7 Char1"/>
    <w:autoRedefine/>
    <w:qFormat/>
    <w:uiPriority w:val="0"/>
    <w:rPr>
      <w:rFonts w:ascii="Arial" w:hAnsi="Arial" w:eastAsia="黑体"/>
      <w:sz w:val="21"/>
      <w:szCs w:val="21"/>
      <w:lang w:val="en-US" w:eastAsia="zh-CN" w:bidi="ar-SA"/>
    </w:rPr>
  </w:style>
  <w:style w:type="character" w:customStyle="1" w:styleId="87">
    <w:name w:val="Char Char1"/>
    <w:autoRedefine/>
    <w:qFormat/>
    <w:uiPriority w:val="0"/>
    <w:rPr>
      <w:rFonts w:eastAsia="宋体"/>
      <w:sz w:val="21"/>
      <w:lang w:val="en-US" w:eastAsia="zh-CN" w:bidi="ar-SA"/>
    </w:rPr>
  </w:style>
  <w:style w:type="character" w:customStyle="1" w:styleId="88">
    <w:name w:val="Char Char12"/>
    <w:autoRedefine/>
    <w:qFormat/>
    <w:uiPriority w:val="0"/>
    <w:rPr>
      <w:rFonts w:eastAsia="宋体"/>
      <w:kern w:val="2"/>
      <w:sz w:val="21"/>
      <w:szCs w:val="24"/>
      <w:lang w:val="en-US" w:eastAsia="zh-CN" w:bidi="ar-SA"/>
    </w:rPr>
  </w:style>
  <w:style w:type="character" w:customStyle="1" w:styleId="89">
    <w:name w:val="Char Char18"/>
    <w:autoRedefine/>
    <w:qFormat/>
    <w:uiPriority w:val="0"/>
    <w:rPr>
      <w:b/>
      <w:bCs/>
      <w:kern w:val="2"/>
      <w:sz w:val="32"/>
      <w:szCs w:val="32"/>
    </w:rPr>
  </w:style>
  <w:style w:type="character" w:customStyle="1" w:styleId="90">
    <w:name w:val="Char Char4"/>
    <w:autoRedefine/>
    <w:qFormat/>
    <w:uiPriority w:val="0"/>
    <w:rPr>
      <w:rFonts w:ascii="Cambria" w:hAnsi="Cambria" w:eastAsia="宋体"/>
      <w:b/>
      <w:bCs/>
      <w:sz w:val="32"/>
      <w:szCs w:val="32"/>
      <w:lang w:bidi="ar-SA"/>
    </w:rPr>
  </w:style>
  <w:style w:type="character" w:customStyle="1" w:styleId="91">
    <w:name w:val="PI Char"/>
    <w:autoRedefine/>
    <w:qFormat/>
    <w:uiPriority w:val="0"/>
    <w:rPr>
      <w:rFonts w:ascii="宋体" w:hAnsi="宋体"/>
      <w:sz w:val="24"/>
    </w:rPr>
  </w:style>
  <w:style w:type="character" w:customStyle="1" w:styleId="92">
    <w:name w:val="明显参考2"/>
    <w:autoRedefine/>
    <w:qFormat/>
    <w:uiPriority w:val="0"/>
    <w:rPr>
      <w:b/>
      <w:bCs/>
      <w:smallCaps/>
      <w:color w:val="C0504D"/>
      <w:spacing w:val="5"/>
      <w:u w:val="single"/>
    </w:rPr>
  </w:style>
  <w:style w:type="character" w:customStyle="1" w:styleId="93">
    <w:name w:val="批注文字 Char"/>
    <w:link w:val="18"/>
    <w:autoRedefine/>
    <w:qFormat/>
    <w:uiPriority w:val="0"/>
    <w:rPr>
      <w:rFonts w:eastAsia="宋体"/>
      <w:kern w:val="2"/>
      <w:sz w:val="21"/>
      <w:szCs w:val="24"/>
      <w:lang w:val="en-US" w:eastAsia="zh-CN" w:bidi="ar-SA"/>
    </w:rPr>
  </w:style>
  <w:style w:type="character" w:customStyle="1" w:styleId="94">
    <w:name w:val="Style2"/>
    <w:autoRedefine/>
    <w:qFormat/>
    <w:uiPriority w:val="0"/>
    <w:rPr>
      <w:rFonts w:ascii="Calibri" w:hAnsi="宋体" w:eastAsia="宋体" w:cs="Times New Roman"/>
      <w:sz w:val="22"/>
      <w:szCs w:val="22"/>
      <w:lang w:eastAsia="zh-CN"/>
    </w:rPr>
  </w:style>
  <w:style w:type="character" w:customStyle="1" w:styleId="95">
    <w:name w:val="Footer-Even Char1"/>
    <w:autoRedefine/>
    <w:qFormat/>
    <w:uiPriority w:val="0"/>
    <w:rPr>
      <w:rFonts w:eastAsia="宋体"/>
      <w:kern w:val="2"/>
      <w:sz w:val="18"/>
      <w:szCs w:val="18"/>
      <w:lang w:val="en-US" w:eastAsia="zh-CN" w:bidi="ar-SA"/>
    </w:rPr>
  </w:style>
  <w:style w:type="character" w:customStyle="1" w:styleId="96">
    <w:name w:val="heading 4 Char1"/>
    <w:autoRedefine/>
    <w:qFormat/>
    <w:uiPriority w:val="0"/>
    <w:rPr>
      <w:rFonts w:ascii="Cambria" w:hAnsi="Cambria" w:eastAsia="宋体"/>
      <w:b/>
      <w:bCs/>
      <w:kern w:val="2"/>
      <w:sz w:val="28"/>
      <w:szCs w:val="28"/>
      <w:lang w:val="en-US" w:eastAsia="zh-CN" w:bidi="ar-SA"/>
    </w:rPr>
  </w:style>
  <w:style w:type="character" w:customStyle="1" w:styleId="97">
    <w:name w:val="正文文本 3 Char"/>
    <w:basedOn w:val="54"/>
    <w:link w:val="20"/>
    <w:autoRedefine/>
    <w:qFormat/>
    <w:uiPriority w:val="0"/>
  </w:style>
  <w:style w:type="character" w:customStyle="1" w:styleId="98">
    <w:name w:val="批注主题 Char"/>
    <w:link w:val="49"/>
    <w:autoRedefine/>
    <w:qFormat/>
    <w:uiPriority w:val="0"/>
    <w:rPr>
      <w:rFonts w:eastAsia="宋体"/>
      <w:b/>
      <w:bCs/>
      <w:kern w:val="2"/>
      <w:sz w:val="21"/>
      <w:szCs w:val="24"/>
      <w:lang w:val="en-US" w:eastAsia="zh-CN" w:bidi="ar-SA"/>
    </w:rPr>
  </w:style>
  <w:style w:type="character" w:customStyle="1" w:styleId="99">
    <w:name w:val="不明显参考11"/>
    <w:autoRedefine/>
    <w:qFormat/>
    <w:uiPriority w:val="0"/>
    <w:rPr>
      <w:smallCaps/>
      <w:color w:val="C0504D"/>
      <w:u w:val="single"/>
    </w:rPr>
  </w:style>
  <w:style w:type="character" w:customStyle="1" w:styleId="100">
    <w:name w:val="Plain Text Char"/>
    <w:autoRedefine/>
    <w:qFormat/>
    <w:uiPriority w:val="0"/>
    <w:rPr>
      <w:rFonts w:ascii="宋体" w:hAnsi="Courier New" w:eastAsia="宋体" w:cs="Times New Roman"/>
      <w:sz w:val="21"/>
      <w:szCs w:val="21"/>
    </w:rPr>
  </w:style>
  <w:style w:type="character" w:customStyle="1" w:styleId="101">
    <w:name w:val="Char Char111"/>
    <w:autoRedefine/>
    <w:qFormat/>
    <w:uiPriority w:val="0"/>
    <w:rPr>
      <w:rFonts w:ascii="Times New Roman" w:hAnsi="Times New Roman" w:eastAsia="宋体" w:cs="Times New Roman"/>
      <w:sz w:val="18"/>
      <w:szCs w:val="18"/>
    </w:rPr>
  </w:style>
  <w:style w:type="character" w:customStyle="1" w:styleId="102">
    <w:name w:val="无间距字符"/>
    <w:link w:val="103"/>
    <w:autoRedefine/>
    <w:qFormat/>
    <w:uiPriority w:val="0"/>
    <w:rPr>
      <w:rFonts w:eastAsia="Times New Roman"/>
      <w:sz w:val="22"/>
      <w:szCs w:val="22"/>
      <w:lang w:val="en-US" w:eastAsia="zh-CN" w:bidi="ar-SA"/>
    </w:rPr>
  </w:style>
  <w:style w:type="paragraph" w:customStyle="1" w:styleId="103">
    <w:name w:val="无间距"/>
    <w:link w:val="102"/>
    <w:autoRedefine/>
    <w:qFormat/>
    <w:uiPriority w:val="0"/>
    <w:rPr>
      <w:rFonts w:ascii="Times New Roman" w:hAnsi="Times New Roman" w:eastAsia="Times New Roman" w:cs="Times New Roman"/>
      <w:sz w:val="22"/>
      <w:szCs w:val="22"/>
      <w:lang w:val="en-US" w:eastAsia="zh-CN" w:bidi="ar-SA"/>
    </w:rPr>
  </w:style>
  <w:style w:type="character" w:customStyle="1" w:styleId="104">
    <w:name w:val="heading 5 Char2"/>
    <w:autoRedefine/>
    <w:qFormat/>
    <w:uiPriority w:val="0"/>
    <w:rPr>
      <w:b/>
      <w:bCs/>
      <w:kern w:val="2"/>
      <w:sz w:val="28"/>
      <w:szCs w:val="28"/>
    </w:rPr>
  </w:style>
  <w:style w:type="character" w:customStyle="1" w:styleId="105">
    <w:name w:val="样式2 Char Char"/>
    <w:link w:val="106"/>
    <w:autoRedefine/>
    <w:qFormat/>
    <w:uiPriority w:val="0"/>
    <w:rPr>
      <w:rFonts w:ascii="宋体" w:hAnsi="宋体" w:eastAsia="宋体"/>
      <w:bCs/>
      <w:kern w:val="2"/>
      <w:sz w:val="28"/>
      <w:szCs w:val="28"/>
      <w:lang w:val="en-US" w:eastAsia="zh-CN" w:bidi="ar-SA"/>
    </w:rPr>
  </w:style>
  <w:style w:type="paragraph" w:customStyle="1" w:styleId="106">
    <w:name w:val="样式2"/>
    <w:basedOn w:val="4"/>
    <w:link w:val="105"/>
    <w:autoRedefine/>
    <w:qFormat/>
    <w:uiPriority w:val="0"/>
    <w:pPr>
      <w:keepLines/>
      <w:snapToGrid w:val="0"/>
      <w:spacing w:before="260" w:afterLines="50" w:line="480" w:lineRule="exact"/>
      <w:ind w:firstLine="556"/>
    </w:pPr>
    <w:rPr>
      <w:rFonts w:ascii="宋体" w:hAnsi="宋体"/>
      <w:b w:val="0"/>
      <w:bCs/>
      <w:szCs w:val="28"/>
    </w:rPr>
  </w:style>
  <w:style w:type="character" w:customStyle="1" w:styleId="107">
    <w:name w:val="正文缩进 Char"/>
    <w:link w:val="9"/>
    <w:autoRedefine/>
    <w:qFormat/>
    <w:uiPriority w:val="0"/>
    <w:rPr>
      <w:rFonts w:ascii="仿宋_GB2312" w:eastAsia="宋体"/>
      <w:b/>
      <w:sz w:val="21"/>
      <w:szCs w:val="32"/>
      <w:lang w:val="en-US" w:eastAsia="zh-CN" w:bidi="ar-SA"/>
    </w:rPr>
  </w:style>
  <w:style w:type="character" w:customStyle="1" w:styleId="108">
    <w:name w:val="heading 2 Char1"/>
    <w:autoRedefine/>
    <w:qFormat/>
    <w:uiPriority w:val="0"/>
    <w:rPr>
      <w:rFonts w:ascii="Cambria" w:hAnsi="Cambria" w:eastAsia="宋体"/>
      <w:b/>
      <w:bCs/>
      <w:kern w:val="2"/>
      <w:sz w:val="32"/>
      <w:szCs w:val="32"/>
      <w:lang w:val="en-US" w:eastAsia="zh-CN" w:bidi="ar-SA"/>
    </w:rPr>
  </w:style>
  <w:style w:type="character" w:customStyle="1" w:styleId="109">
    <w:name w:val="heading 3 Char1"/>
    <w:autoRedefine/>
    <w:qFormat/>
    <w:uiPriority w:val="0"/>
    <w:rPr>
      <w:rFonts w:eastAsia="宋体"/>
      <w:b/>
      <w:bCs/>
      <w:kern w:val="2"/>
      <w:sz w:val="32"/>
      <w:szCs w:val="32"/>
      <w:lang w:val="en-US" w:eastAsia="zh-CN" w:bidi="ar-SA"/>
    </w:rPr>
  </w:style>
  <w:style w:type="character" w:customStyle="1" w:styleId="110">
    <w:name w:val="Char Char15"/>
    <w:autoRedefine/>
    <w:qFormat/>
    <w:uiPriority w:val="0"/>
    <w:rPr>
      <w:rFonts w:ascii="Arial" w:hAnsi="Arial" w:eastAsia="黑体"/>
      <w:sz w:val="24"/>
      <w:szCs w:val="24"/>
    </w:rPr>
  </w:style>
  <w:style w:type="character" w:customStyle="1" w:styleId="111">
    <w:name w:val="heading 1 Char"/>
    <w:autoRedefine/>
    <w:qFormat/>
    <w:uiPriority w:val="0"/>
    <w:rPr>
      <w:rFonts w:ascii="Arial" w:hAnsi="Arial" w:eastAsia="黑体"/>
      <w:b/>
      <w:sz w:val="36"/>
      <w:szCs w:val="36"/>
    </w:rPr>
  </w:style>
  <w:style w:type="character" w:customStyle="1" w:styleId="112">
    <w:name w:val="ändrad Char"/>
    <w:autoRedefine/>
    <w:qFormat/>
    <w:uiPriority w:val="0"/>
    <w:rPr>
      <w:rFonts w:eastAsia="宋体"/>
      <w:kern w:val="2"/>
      <w:sz w:val="21"/>
      <w:szCs w:val="24"/>
      <w:lang w:val="en-US" w:eastAsia="zh-CN" w:bidi="ar-SA"/>
    </w:rPr>
  </w:style>
  <w:style w:type="character" w:customStyle="1" w:styleId="113">
    <w:name w:val="标题 Char"/>
    <w:link w:val="48"/>
    <w:autoRedefine/>
    <w:qFormat/>
    <w:uiPriority w:val="0"/>
    <w:rPr>
      <w:rFonts w:ascii="Cambria" w:hAnsi="Cambria" w:eastAsia="宋体"/>
      <w:b/>
      <w:bCs/>
      <w:kern w:val="2"/>
      <w:sz w:val="32"/>
      <w:szCs w:val="32"/>
      <w:lang w:val="en-US" w:eastAsia="zh-CN" w:bidi="ar-SA"/>
    </w:rPr>
  </w:style>
  <w:style w:type="character" w:customStyle="1" w:styleId="114">
    <w:name w:val="Char Char22"/>
    <w:autoRedefine/>
    <w:qFormat/>
    <w:uiPriority w:val="0"/>
    <w:rPr>
      <w:rFonts w:ascii="Arial" w:hAnsi="Arial" w:eastAsia="黑体"/>
      <w:b/>
      <w:bCs/>
      <w:kern w:val="44"/>
      <w:sz w:val="30"/>
      <w:szCs w:val="44"/>
      <w:lang w:val="en-US" w:eastAsia="zh-CN" w:bidi="ar-SA"/>
    </w:rPr>
  </w:style>
  <w:style w:type="character" w:customStyle="1" w:styleId="115">
    <w:name w:val="blue1"/>
    <w:basedOn w:val="54"/>
    <w:autoRedefine/>
    <w:qFormat/>
    <w:uiPriority w:val="0"/>
  </w:style>
  <w:style w:type="character" w:customStyle="1" w:styleId="116">
    <w:name w:val="样式 宋体"/>
    <w:autoRedefine/>
    <w:qFormat/>
    <w:uiPriority w:val="0"/>
    <w:rPr>
      <w:rFonts w:ascii="宋体" w:hAnsi="宋体" w:eastAsia="宋体"/>
      <w:sz w:val="24"/>
      <w:szCs w:val="24"/>
    </w:rPr>
  </w:style>
  <w:style w:type="character" w:customStyle="1" w:styleId="117">
    <w:name w:val="dandyren_title1"/>
    <w:autoRedefine/>
    <w:qFormat/>
    <w:uiPriority w:val="0"/>
    <w:rPr>
      <w:b/>
      <w:bCs/>
      <w:color w:val="FF6633"/>
      <w:sz w:val="18"/>
      <w:szCs w:val="18"/>
    </w:rPr>
  </w:style>
  <w:style w:type="character" w:customStyle="1" w:styleId="118">
    <w:name w:val="font21"/>
    <w:basedOn w:val="54"/>
    <w:autoRedefine/>
    <w:qFormat/>
    <w:uiPriority w:val="0"/>
    <w:rPr>
      <w:rFonts w:ascii="Wingdings 2" w:hAnsi="Wingdings 2" w:eastAsia="Wingdings 2" w:cs="Wingdings 2"/>
      <w:b/>
      <w:color w:val="000000"/>
      <w:sz w:val="20"/>
      <w:szCs w:val="20"/>
      <w:u w:val="none"/>
    </w:rPr>
  </w:style>
  <w:style w:type="character" w:customStyle="1" w:styleId="119">
    <w:name w:val="Ò³Ã¼ Char Char1"/>
    <w:autoRedefine/>
    <w:qFormat/>
    <w:uiPriority w:val="0"/>
    <w:rPr>
      <w:rFonts w:eastAsia="宋体"/>
      <w:kern w:val="2"/>
      <w:sz w:val="18"/>
      <w:szCs w:val="18"/>
      <w:lang w:val="en-US" w:eastAsia="zh-CN" w:bidi="ar-SA"/>
    </w:rPr>
  </w:style>
  <w:style w:type="character" w:customStyle="1" w:styleId="120">
    <w:name w:val="宏文本 Char"/>
    <w:link w:val="3"/>
    <w:autoRedefine/>
    <w:qFormat/>
    <w:uiPriority w:val="0"/>
    <w:rPr>
      <w:rFonts w:ascii="Courier New" w:hAnsi="Courier New" w:eastAsia="Times New Roman"/>
      <w:kern w:val="2"/>
      <w:sz w:val="24"/>
      <w:szCs w:val="24"/>
      <w:lang w:val="en-US" w:eastAsia="zh-CN" w:bidi="ar-SA"/>
    </w:rPr>
  </w:style>
  <w:style w:type="character" w:customStyle="1" w:styleId="121">
    <w:name w:val="Footer-Even Char"/>
    <w:autoRedefine/>
    <w:qFormat/>
    <w:uiPriority w:val="0"/>
    <w:rPr>
      <w:sz w:val="18"/>
      <w:szCs w:val="18"/>
    </w:rPr>
  </w:style>
  <w:style w:type="character" w:customStyle="1" w:styleId="122">
    <w:name w:val="页脚 Char"/>
    <w:link w:val="34"/>
    <w:autoRedefine/>
    <w:qFormat/>
    <w:uiPriority w:val="0"/>
    <w:rPr>
      <w:rFonts w:eastAsia="宋体"/>
      <w:kern w:val="2"/>
      <w:sz w:val="18"/>
      <w:szCs w:val="18"/>
      <w:lang w:val="en-US" w:eastAsia="zh-CN" w:bidi="ar-SA"/>
    </w:rPr>
  </w:style>
  <w:style w:type="character" w:customStyle="1" w:styleId="123">
    <w:name w:val="style111"/>
    <w:autoRedefine/>
    <w:qFormat/>
    <w:uiPriority w:val="0"/>
    <w:rPr>
      <w:sz w:val="27"/>
      <w:szCs w:val="27"/>
    </w:rPr>
  </w:style>
  <w:style w:type="character" w:customStyle="1" w:styleId="124">
    <w:name w:val="PI Char2"/>
    <w:autoRedefine/>
    <w:qFormat/>
    <w:uiPriority w:val="0"/>
    <w:rPr>
      <w:kern w:val="2"/>
      <w:sz w:val="24"/>
      <w:szCs w:val="24"/>
    </w:rPr>
  </w:style>
  <w:style w:type="character" w:customStyle="1" w:styleId="125">
    <w:name w:val="gray6"/>
    <w:basedOn w:val="54"/>
    <w:autoRedefine/>
    <w:qFormat/>
    <w:uiPriority w:val="0"/>
  </w:style>
  <w:style w:type="character" w:customStyle="1" w:styleId="126">
    <w:name w:val="Char Char Char1"/>
    <w:autoRedefine/>
    <w:qFormat/>
    <w:uiPriority w:val="0"/>
    <w:rPr>
      <w:rFonts w:ascii="宋体" w:hAnsi="Courier New"/>
      <w:sz w:val="21"/>
      <w:szCs w:val="21"/>
    </w:rPr>
  </w:style>
  <w:style w:type="character" w:customStyle="1" w:styleId="127">
    <w:name w:val="Char Char121"/>
    <w:autoRedefine/>
    <w:qFormat/>
    <w:uiPriority w:val="0"/>
    <w:rPr>
      <w:rFonts w:eastAsia="宋体"/>
      <w:kern w:val="2"/>
      <w:sz w:val="21"/>
      <w:szCs w:val="24"/>
      <w:lang w:val="en-US" w:eastAsia="zh-CN" w:bidi="ar-SA"/>
    </w:rPr>
  </w:style>
  <w:style w:type="character" w:customStyle="1" w:styleId="128">
    <w:name w:val="Char Char Char Char Char Char Char Char Char"/>
    <w:autoRedefine/>
    <w:qFormat/>
    <w:uiPriority w:val="0"/>
    <w:rPr>
      <w:rFonts w:ascii="宋体" w:hAnsi="Courier New" w:eastAsia="宋体"/>
      <w:sz w:val="21"/>
      <w:szCs w:val="21"/>
      <w:lang w:val="en-US" w:eastAsia="zh-CN" w:bidi="ar-SA"/>
    </w:rPr>
  </w:style>
  <w:style w:type="character" w:customStyle="1" w:styleId="129">
    <w:name w:val="heading 4 Char2"/>
    <w:autoRedefine/>
    <w:qFormat/>
    <w:uiPriority w:val="0"/>
    <w:rPr>
      <w:rFonts w:ascii="Cambria" w:hAnsi="Cambria"/>
      <w:b/>
      <w:bCs/>
      <w:kern w:val="2"/>
      <w:sz w:val="28"/>
      <w:szCs w:val="28"/>
    </w:rPr>
  </w:style>
  <w:style w:type="character" w:customStyle="1" w:styleId="130">
    <w:name w:val="heading 3 Char"/>
    <w:autoRedefine/>
    <w:qFormat/>
    <w:uiPriority w:val="0"/>
    <w:rPr>
      <w:rFonts w:ascii="Arial" w:hAnsi="Arial" w:eastAsia="黑体"/>
      <w:sz w:val="28"/>
      <w:szCs w:val="24"/>
    </w:rPr>
  </w:style>
  <w:style w:type="character" w:customStyle="1" w:styleId="131">
    <w:name w:val="Char Char16"/>
    <w:autoRedefine/>
    <w:qFormat/>
    <w:uiPriority w:val="0"/>
    <w:rPr>
      <w:b/>
      <w:bCs/>
      <w:kern w:val="2"/>
      <w:sz w:val="28"/>
      <w:szCs w:val="28"/>
    </w:rPr>
  </w:style>
  <w:style w:type="character" w:customStyle="1" w:styleId="132">
    <w:name w:val="文档结构图 Char"/>
    <w:link w:val="17"/>
    <w:autoRedefine/>
    <w:qFormat/>
    <w:uiPriority w:val="0"/>
    <w:rPr>
      <w:rFonts w:eastAsia="宋体"/>
      <w:kern w:val="2"/>
      <w:sz w:val="21"/>
      <w:szCs w:val="24"/>
      <w:lang w:val="en-US" w:eastAsia="zh-CN" w:bidi="ar-SA"/>
    </w:rPr>
  </w:style>
  <w:style w:type="character" w:customStyle="1" w:styleId="133">
    <w:name w:val="标题 5 Char"/>
    <w:link w:val="7"/>
    <w:autoRedefine/>
    <w:qFormat/>
    <w:uiPriority w:val="0"/>
    <w:rPr>
      <w:rFonts w:eastAsia="宋体"/>
      <w:b/>
      <w:bCs/>
      <w:sz w:val="28"/>
      <w:szCs w:val="28"/>
      <w:lang w:bidi="ar-SA"/>
    </w:rPr>
  </w:style>
  <w:style w:type="character" w:customStyle="1" w:styleId="134">
    <w:name w:val="日期 Char"/>
    <w:link w:val="31"/>
    <w:autoRedefine/>
    <w:qFormat/>
    <w:uiPriority w:val="0"/>
    <w:rPr>
      <w:rFonts w:eastAsia="宋体"/>
      <w:kern w:val="2"/>
      <w:sz w:val="21"/>
      <w:szCs w:val="24"/>
      <w:lang w:val="en-US" w:eastAsia="zh-CN" w:bidi="ar-SA"/>
    </w:rPr>
  </w:style>
  <w:style w:type="character" w:customStyle="1" w:styleId="135">
    <w:name w:val="副标题 Char"/>
    <w:link w:val="39"/>
    <w:autoRedefine/>
    <w:qFormat/>
    <w:uiPriority w:val="0"/>
    <w:rPr>
      <w:rFonts w:ascii="Cambria" w:hAnsi="Cambria" w:eastAsia="宋体"/>
      <w:b/>
      <w:bCs/>
      <w:kern w:val="28"/>
      <w:sz w:val="32"/>
      <w:szCs w:val="32"/>
      <w:lang w:val="en-US" w:eastAsia="zh-CN" w:bidi="ar-SA"/>
    </w:rPr>
  </w:style>
  <w:style w:type="character" w:customStyle="1" w:styleId="136">
    <w:name w:val="页眉 Char"/>
    <w:link w:val="35"/>
    <w:autoRedefine/>
    <w:qFormat/>
    <w:uiPriority w:val="0"/>
    <w:rPr>
      <w:rFonts w:eastAsia="宋体"/>
      <w:kern w:val="2"/>
      <w:sz w:val="18"/>
      <w:szCs w:val="18"/>
      <w:lang w:val="en-US" w:eastAsia="zh-CN" w:bidi="ar-SA"/>
    </w:rPr>
  </w:style>
  <w:style w:type="character" w:customStyle="1" w:styleId="137">
    <w:name w:val="style13"/>
    <w:basedOn w:val="54"/>
    <w:autoRedefine/>
    <w:qFormat/>
    <w:uiPriority w:val="0"/>
  </w:style>
  <w:style w:type="character" w:customStyle="1" w:styleId="138">
    <w:name w:val="textcolor1"/>
    <w:autoRedefine/>
    <w:qFormat/>
    <w:uiPriority w:val="0"/>
    <w:rPr>
      <w:rFonts w:ascii="仿宋_GB2312" w:eastAsia="仿宋_GB2312"/>
      <w:b/>
      <w:color w:val="FF6600"/>
      <w:sz w:val="32"/>
      <w:szCs w:val="32"/>
    </w:rPr>
  </w:style>
  <w:style w:type="character" w:customStyle="1" w:styleId="139">
    <w:name w:val="Table Text Char Char"/>
    <w:link w:val="140"/>
    <w:autoRedefine/>
    <w:qFormat/>
    <w:uiPriority w:val="0"/>
    <w:rPr>
      <w:sz w:val="21"/>
      <w:lang w:val="en-US" w:eastAsia="en-US" w:bidi="ar-SA"/>
    </w:rPr>
  </w:style>
  <w:style w:type="paragraph" w:customStyle="1" w:styleId="140">
    <w:name w:val="Table Text"/>
    <w:basedOn w:val="1"/>
    <w:link w:val="139"/>
    <w:autoRedefine/>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141">
    <w:name w:val="Ò³Ã¼ Char Char"/>
    <w:autoRedefine/>
    <w:qFormat/>
    <w:uiPriority w:val="0"/>
    <w:rPr>
      <w:sz w:val="18"/>
      <w:szCs w:val="18"/>
    </w:rPr>
  </w:style>
  <w:style w:type="character" w:customStyle="1" w:styleId="142">
    <w:name w:val="heading 2 Char2"/>
    <w:autoRedefine/>
    <w:qFormat/>
    <w:uiPriority w:val="0"/>
    <w:rPr>
      <w:rFonts w:ascii="Cambria" w:hAnsi="Cambria"/>
      <w:b/>
      <w:bCs/>
      <w:kern w:val="2"/>
      <w:sz w:val="32"/>
      <w:szCs w:val="32"/>
    </w:rPr>
  </w:style>
  <w:style w:type="character" w:customStyle="1" w:styleId="143">
    <w:name w:val="书籍标题11"/>
    <w:autoRedefine/>
    <w:qFormat/>
    <w:uiPriority w:val="0"/>
    <w:rPr>
      <w:b/>
      <w:bCs/>
      <w:smallCaps/>
      <w:spacing w:val="5"/>
    </w:rPr>
  </w:style>
  <w:style w:type="character" w:customStyle="1" w:styleId="144">
    <w:name w:val="Char Char21"/>
    <w:autoRedefine/>
    <w:qFormat/>
    <w:uiPriority w:val="0"/>
    <w:rPr>
      <w:rFonts w:ascii="Times New Roman" w:hAnsi="Times New Roman" w:eastAsia="宋体" w:cs="Times New Roman"/>
      <w:b/>
      <w:bCs/>
      <w:kern w:val="44"/>
      <w:sz w:val="44"/>
      <w:szCs w:val="44"/>
    </w:rPr>
  </w:style>
  <w:style w:type="character" w:customStyle="1" w:styleId="145">
    <w:name w:val="正文文本缩进 Char"/>
    <w:link w:val="22"/>
    <w:autoRedefine/>
    <w:qFormat/>
    <w:uiPriority w:val="0"/>
    <w:rPr>
      <w:rFonts w:eastAsia="宋体"/>
      <w:kern w:val="2"/>
      <w:sz w:val="24"/>
      <w:szCs w:val="24"/>
      <w:lang w:val="en-US" w:eastAsia="zh-CN" w:bidi="ar-SA"/>
    </w:rPr>
  </w:style>
  <w:style w:type="character" w:customStyle="1" w:styleId="146">
    <w:name w:val="不明显强调1"/>
    <w:autoRedefine/>
    <w:qFormat/>
    <w:uiPriority w:val="0"/>
    <w:rPr>
      <w:i/>
      <w:iCs/>
      <w:color w:val="808080"/>
    </w:rPr>
  </w:style>
  <w:style w:type="character" w:customStyle="1" w:styleId="147">
    <w:name w:val="正文文本缩进 3 Char"/>
    <w:link w:val="43"/>
    <w:autoRedefine/>
    <w:qFormat/>
    <w:uiPriority w:val="0"/>
    <w:rPr>
      <w:rFonts w:eastAsia="宋体"/>
      <w:kern w:val="2"/>
      <w:sz w:val="24"/>
      <w:szCs w:val="24"/>
      <w:lang w:val="en-US" w:eastAsia="zh-CN" w:bidi="ar-SA"/>
    </w:rPr>
  </w:style>
  <w:style w:type="character" w:customStyle="1" w:styleId="148">
    <w:name w:val="heading 5 Char"/>
    <w:autoRedefine/>
    <w:qFormat/>
    <w:uiPriority w:val="0"/>
    <w:rPr>
      <w:rFonts w:ascii="Arial" w:hAnsi="Arial" w:eastAsia="黑体"/>
      <w:sz w:val="21"/>
      <w:szCs w:val="21"/>
    </w:rPr>
  </w:style>
  <w:style w:type="character" w:customStyle="1" w:styleId="149">
    <w:name w:val="Style3"/>
    <w:autoRedefine/>
    <w:qFormat/>
    <w:uiPriority w:val="0"/>
    <w:rPr>
      <w:rFonts w:ascii="Calibri" w:hAnsi="宋体" w:eastAsia="宋体" w:cs="Times New Roman"/>
      <w:szCs w:val="22"/>
      <w:lang w:eastAsia="zh-CN"/>
    </w:rPr>
  </w:style>
  <w:style w:type="character" w:customStyle="1" w:styleId="150">
    <w:name w:val="标题 4 Char"/>
    <w:link w:val="6"/>
    <w:autoRedefine/>
    <w:qFormat/>
    <w:uiPriority w:val="0"/>
    <w:rPr>
      <w:rFonts w:eastAsia="宋体"/>
      <w:kern w:val="2"/>
      <w:sz w:val="28"/>
      <w:szCs w:val="28"/>
      <w:lang w:val="en-US" w:eastAsia="zh-CN" w:bidi="ar-SA"/>
    </w:rPr>
  </w:style>
  <w:style w:type="character" w:customStyle="1" w:styleId="151">
    <w:name w:val="Char Char241"/>
    <w:autoRedefine/>
    <w:qFormat/>
    <w:uiPriority w:val="0"/>
    <w:rPr>
      <w:rFonts w:eastAsia="宋体"/>
      <w:b/>
      <w:kern w:val="2"/>
      <w:sz w:val="28"/>
      <w:lang w:val="en-US" w:eastAsia="zh-CN" w:bidi="ar-SA"/>
    </w:rPr>
  </w:style>
  <w:style w:type="character" w:customStyle="1" w:styleId="152">
    <w:name w:val="批注框文本 Char"/>
    <w:link w:val="33"/>
    <w:autoRedefine/>
    <w:qFormat/>
    <w:uiPriority w:val="0"/>
    <w:rPr>
      <w:rFonts w:eastAsia="宋体"/>
      <w:kern w:val="2"/>
      <w:sz w:val="18"/>
      <w:szCs w:val="18"/>
      <w:lang w:val="en-US" w:eastAsia="zh-CN" w:bidi="ar-SA"/>
    </w:rPr>
  </w:style>
  <w:style w:type="character" w:customStyle="1" w:styleId="153">
    <w:name w:val="标题 3 Char"/>
    <w:link w:val="5"/>
    <w:autoRedefine/>
    <w:qFormat/>
    <w:uiPriority w:val="0"/>
    <w:rPr>
      <w:rFonts w:eastAsia="黑体"/>
      <w:b/>
      <w:kern w:val="2"/>
      <w:sz w:val="28"/>
      <w:lang w:val="en-US" w:eastAsia="zh-CN" w:bidi="ar-SA"/>
    </w:rPr>
  </w:style>
  <w:style w:type="character" w:customStyle="1" w:styleId="154">
    <w:name w:val="明显强调11"/>
    <w:autoRedefine/>
    <w:qFormat/>
    <w:uiPriority w:val="0"/>
    <w:rPr>
      <w:b/>
      <w:bCs/>
      <w:i/>
      <w:iCs/>
      <w:color w:val="4F81BD"/>
    </w:rPr>
  </w:style>
  <w:style w:type="character" w:customStyle="1" w:styleId="155">
    <w:name w:val="签名 Char"/>
    <w:link w:val="36"/>
    <w:autoRedefine/>
    <w:qFormat/>
    <w:uiPriority w:val="0"/>
    <w:rPr>
      <w:rFonts w:ascii="仿宋_GB2312" w:eastAsia="仿宋_GB2312"/>
      <w:b/>
      <w:sz w:val="24"/>
      <w:szCs w:val="32"/>
    </w:rPr>
  </w:style>
  <w:style w:type="character" w:customStyle="1" w:styleId="156">
    <w:name w:val="heading 3 Char2"/>
    <w:autoRedefine/>
    <w:qFormat/>
    <w:uiPriority w:val="0"/>
    <w:rPr>
      <w:b/>
      <w:bCs/>
      <w:kern w:val="2"/>
      <w:sz w:val="32"/>
      <w:szCs w:val="32"/>
    </w:rPr>
  </w:style>
  <w:style w:type="character" w:customStyle="1" w:styleId="157">
    <w:name w:val="style21"/>
    <w:autoRedefine/>
    <w:qFormat/>
    <w:uiPriority w:val="0"/>
    <w:rPr>
      <w:sz w:val="15"/>
      <w:szCs w:val="15"/>
    </w:rPr>
  </w:style>
  <w:style w:type="character" w:customStyle="1" w:styleId="158">
    <w:name w:val="Char Char271"/>
    <w:autoRedefine/>
    <w:qFormat/>
    <w:uiPriority w:val="0"/>
    <w:rPr>
      <w:rFonts w:eastAsia="宋体"/>
      <w:kern w:val="2"/>
      <w:sz w:val="28"/>
      <w:lang w:val="en-US" w:eastAsia="zh-CN" w:bidi="ar-SA"/>
    </w:rPr>
  </w:style>
  <w:style w:type="character" w:customStyle="1" w:styleId="159">
    <w:name w:val="表格 Char Char"/>
    <w:link w:val="160"/>
    <w:autoRedefine/>
    <w:qFormat/>
    <w:uiPriority w:val="0"/>
    <w:rPr>
      <w:rFonts w:ascii="宋体" w:hAnsi="宋体" w:eastAsia="宋体"/>
      <w:lang w:val="en-US" w:eastAsia="zh-CN" w:bidi="ar-SA"/>
    </w:rPr>
  </w:style>
  <w:style w:type="paragraph" w:customStyle="1" w:styleId="160">
    <w:name w:val="表格"/>
    <w:basedOn w:val="1"/>
    <w:link w:val="159"/>
    <w:autoRedefine/>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61">
    <w:name w:val="heading 6 Char1"/>
    <w:autoRedefine/>
    <w:qFormat/>
    <w:uiPriority w:val="0"/>
    <w:rPr>
      <w:rFonts w:ascii="Arial" w:hAnsi="Arial" w:eastAsia="黑体"/>
      <w:kern w:val="2"/>
      <w:sz w:val="24"/>
      <w:szCs w:val="24"/>
      <w:lang w:val="en-US" w:eastAsia="zh-CN" w:bidi="ar-SA"/>
    </w:rPr>
  </w:style>
  <w:style w:type="character" w:customStyle="1" w:styleId="162">
    <w:name w:val="Char Char211"/>
    <w:autoRedefine/>
    <w:qFormat/>
    <w:uiPriority w:val="0"/>
    <w:rPr>
      <w:rFonts w:ascii="Times New Roman" w:hAnsi="Times New Roman" w:eastAsia="宋体" w:cs="Times New Roman"/>
      <w:b/>
      <w:bCs/>
      <w:kern w:val="44"/>
      <w:sz w:val="44"/>
      <w:szCs w:val="44"/>
    </w:rPr>
  </w:style>
  <w:style w:type="character" w:customStyle="1" w:styleId="163">
    <w:name w:val="不明显强调11"/>
    <w:autoRedefine/>
    <w:qFormat/>
    <w:uiPriority w:val="0"/>
    <w:rPr>
      <w:i/>
      <w:iCs/>
      <w:color w:val="808080"/>
    </w:rPr>
  </w:style>
  <w:style w:type="character" w:customStyle="1" w:styleId="164">
    <w:name w:val="标题 9 Char"/>
    <w:link w:val="12"/>
    <w:autoRedefine/>
    <w:qFormat/>
    <w:uiPriority w:val="0"/>
    <w:rPr>
      <w:rFonts w:ascii="Arial" w:hAnsi="Arial" w:eastAsia="黑体"/>
      <w:kern w:val="2"/>
      <w:sz w:val="21"/>
      <w:lang w:val="en-US" w:eastAsia="zh-CN" w:bidi="ar-SA"/>
    </w:rPr>
  </w:style>
  <w:style w:type="character" w:customStyle="1" w:styleId="165">
    <w:name w:val="正文文本 Char"/>
    <w:link w:val="21"/>
    <w:autoRedefine/>
    <w:qFormat/>
    <w:uiPriority w:val="0"/>
    <w:rPr>
      <w:rFonts w:ascii="仿宋_GB2312" w:eastAsia="宋体"/>
      <w:b/>
      <w:kern w:val="2"/>
      <w:sz w:val="21"/>
      <w:szCs w:val="24"/>
      <w:lang w:val="en-US" w:eastAsia="zh-CN" w:bidi="ar-SA"/>
    </w:rPr>
  </w:style>
  <w:style w:type="character" w:customStyle="1" w:styleId="166">
    <w:name w:val="明显引用 Char"/>
    <w:link w:val="167"/>
    <w:autoRedefine/>
    <w:qFormat/>
    <w:uiPriority w:val="0"/>
    <w:rPr>
      <w:rFonts w:ascii="Calibri" w:hAnsi="Calibri" w:eastAsia="宋体"/>
      <w:b/>
      <w:bCs/>
      <w:i/>
      <w:iCs/>
      <w:color w:val="4F81BD"/>
      <w:lang w:val="en-US" w:eastAsia="zh-CN" w:bidi="ar-SA"/>
    </w:rPr>
  </w:style>
  <w:style w:type="paragraph" w:styleId="167">
    <w:name w:val="Intense Quote"/>
    <w:basedOn w:val="1"/>
    <w:next w:val="1"/>
    <w:link w:val="166"/>
    <w:autoRedefine/>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68">
    <w:name w:val="heading 5 Char1"/>
    <w:autoRedefine/>
    <w:qFormat/>
    <w:uiPriority w:val="0"/>
    <w:rPr>
      <w:rFonts w:eastAsia="宋体"/>
      <w:b/>
      <w:bCs/>
      <w:kern w:val="2"/>
      <w:sz w:val="28"/>
      <w:szCs w:val="28"/>
      <w:lang w:val="en-US" w:eastAsia="zh-CN" w:bidi="ar-SA"/>
    </w:rPr>
  </w:style>
  <w:style w:type="character" w:customStyle="1" w:styleId="169">
    <w:name w:val="Texte Char Char"/>
    <w:autoRedefine/>
    <w:qFormat/>
    <w:uiPriority w:val="0"/>
    <w:rPr>
      <w:rFonts w:ascii="宋体" w:hAnsi="Courier New" w:eastAsia="宋体"/>
      <w:sz w:val="21"/>
      <w:szCs w:val="21"/>
      <w:lang w:val="en-US" w:eastAsia="zh-CN" w:bidi="ar-SA"/>
    </w:rPr>
  </w:style>
  <w:style w:type="character" w:customStyle="1" w:styleId="170">
    <w:name w:val="正文1 Char Char"/>
    <w:link w:val="171"/>
    <w:autoRedefine/>
    <w:qFormat/>
    <w:uiPriority w:val="0"/>
    <w:rPr>
      <w:rFonts w:ascii="宋体" w:hAnsi="宋体" w:eastAsia="宋体" w:cs="宋体"/>
      <w:sz w:val="21"/>
      <w:lang w:val="en-US" w:eastAsia="zh-CN" w:bidi="ar-SA"/>
    </w:rPr>
  </w:style>
  <w:style w:type="paragraph" w:customStyle="1" w:styleId="171">
    <w:name w:val="正文1"/>
    <w:basedOn w:val="1"/>
    <w:link w:val="170"/>
    <w:autoRedefine/>
    <w:qFormat/>
    <w:uiPriority w:val="0"/>
    <w:pPr>
      <w:widowControl/>
      <w:spacing w:line="360" w:lineRule="auto"/>
      <w:ind w:left="360" w:firstLine="420"/>
      <w:jc w:val="left"/>
    </w:pPr>
    <w:rPr>
      <w:rFonts w:ascii="宋体" w:hAnsi="宋体" w:cs="宋体"/>
      <w:kern w:val="0"/>
      <w:szCs w:val="20"/>
    </w:rPr>
  </w:style>
  <w:style w:type="character" w:customStyle="1" w:styleId="172">
    <w:name w:val="heading 8 Char1"/>
    <w:autoRedefine/>
    <w:qFormat/>
    <w:uiPriority w:val="0"/>
    <w:rPr>
      <w:rFonts w:ascii="Arial" w:hAnsi="Arial" w:eastAsia="黑体"/>
      <w:sz w:val="24"/>
      <w:lang w:val="en-US" w:eastAsia="zh-CN" w:bidi="ar-SA"/>
    </w:rPr>
  </w:style>
  <w:style w:type="character" w:customStyle="1" w:styleId="173">
    <w:name w:val="heading 9 Char1"/>
    <w:autoRedefine/>
    <w:qFormat/>
    <w:uiPriority w:val="0"/>
    <w:rPr>
      <w:rFonts w:ascii="Arial" w:hAnsi="Arial" w:eastAsia="黑体"/>
      <w:sz w:val="21"/>
      <w:lang w:val="en-US" w:eastAsia="zh-CN" w:bidi="ar-SA"/>
    </w:rPr>
  </w:style>
  <w:style w:type="character" w:customStyle="1" w:styleId="174">
    <w:name w:val="标题 6 Char"/>
    <w:link w:val="8"/>
    <w:autoRedefine/>
    <w:qFormat/>
    <w:uiPriority w:val="0"/>
    <w:rPr>
      <w:rFonts w:ascii="Arial" w:hAnsi="Arial" w:eastAsia="黑体"/>
      <w:b/>
      <w:kern w:val="2"/>
      <w:sz w:val="24"/>
      <w:lang w:val="en-US" w:eastAsia="zh-CN" w:bidi="ar-SA"/>
    </w:rPr>
  </w:style>
  <w:style w:type="character" w:customStyle="1" w:styleId="175">
    <w:name w:val="ändrad Char1"/>
    <w:autoRedefine/>
    <w:qFormat/>
    <w:uiPriority w:val="0"/>
    <w:rPr>
      <w:rFonts w:ascii="仿宋_GB2312" w:eastAsia="宋体"/>
      <w:b/>
      <w:kern w:val="2"/>
      <w:sz w:val="21"/>
      <w:szCs w:val="24"/>
      <w:lang w:val="en-US" w:eastAsia="zh-CN" w:bidi="ar-SA"/>
    </w:rPr>
  </w:style>
  <w:style w:type="character" w:customStyle="1" w:styleId="176">
    <w:name w:val="Char Char41"/>
    <w:autoRedefine/>
    <w:qFormat/>
    <w:uiPriority w:val="0"/>
    <w:rPr>
      <w:rFonts w:ascii="Cambria" w:hAnsi="Cambria" w:eastAsia="宋体"/>
      <w:b/>
      <w:bCs/>
      <w:sz w:val="32"/>
      <w:szCs w:val="32"/>
      <w:lang w:bidi="ar-SA"/>
    </w:rPr>
  </w:style>
  <w:style w:type="character" w:customStyle="1" w:styleId="177">
    <w:name w:val="标题 8 Char"/>
    <w:link w:val="11"/>
    <w:autoRedefine/>
    <w:qFormat/>
    <w:uiPriority w:val="0"/>
    <w:rPr>
      <w:rFonts w:ascii="Arial" w:hAnsi="Arial" w:eastAsia="黑体"/>
      <w:kern w:val="2"/>
      <w:sz w:val="24"/>
      <w:lang w:val="en-US" w:eastAsia="zh-CN" w:bidi="ar-SA"/>
    </w:rPr>
  </w:style>
  <w:style w:type="character" w:customStyle="1" w:styleId="178">
    <w:name w:val="Char Char11"/>
    <w:autoRedefine/>
    <w:qFormat/>
    <w:uiPriority w:val="0"/>
    <w:rPr>
      <w:rFonts w:ascii="Times New Roman" w:hAnsi="Times New Roman" w:eastAsia="宋体" w:cs="Times New Roman"/>
      <w:sz w:val="18"/>
      <w:szCs w:val="18"/>
    </w:rPr>
  </w:style>
  <w:style w:type="character" w:customStyle="1" w:styleId="179">
    <w:name w:val="正文文本缩进 2 Char"/>
    <w:link w:val="32"/>
    <w:autoRedefine/>
    <w:qFormat/>
    <w:uiPriority w:val="0"/>
    <w:rPr>
      <w:rFonts w:eastAsia="宋体"/>
      <w:kern w:val="2"/>
      <w:sz w:val="24"/>
      <w:szCs w:val="24"/>
      <w:lang w:val="en-US" w:eastAsia="zh-CN" w:bidi="ar-SA"/>
    </w:rPr>
  </w:style>
  <w:style w:type="character" w:customStyle="1" w:styleId="180">
    <w:name w:val="Char Char6"/>
    <w:autoRedefine/>
    <w:qFormat/>
    <w:uiPriority w:val="0"/>
    <w:rPr>
      <w:rFonts w:ascii="Times New Roman" w:hAnsi="Times New Roman" w:eastAsia="宋体" w:cs="Times New Roman"/>
      <w:szCs w:val="24"/>
    </w:rPr>
  </w:style>
  <w:style w:type="character" w:customStyle="1" w:styleId="181">
    <w:name w:val="Char Char Char"/>
    <w:autoRedefine/>
    <w:qFormat/>
    <w:uiPriority w:val="0"/>
    <w:rPr>
      <w:rFonts w:ascii="宋体" w:hAnsi="Courier New" w:eastAsia="宋体"/>
      <w:b/>
      <w:sz w:val="21"/>
      <w:szCs w:val="21"/>
      <w:lang w:val="en-US" w:eastAsia="zh-CN" w:bidi="ar-SA"/>
    </w:rPr>
  </w:style>
  <w:style w:type="character" w:customStyle="1" w:styleId="182">
    <w:name w:val="heading 2 Char"/>
    <w:autoRedefine/>
    <w:qFormat/>
    <w:uiPriority w:val="0"/>
    <w:rPr>
      <w:rFonts w:ascii="Arial" w:hAnsi="Arial" w:eastAsia="黑体" w:cs="Times New Roman"/>
      <w:sz w:val="30"/>
      <w:szCs w:val="24"/>
    </w:rPr>
  </w:style>
  <w:style w:type="character" w:customStyle="1" w:styleId="183">
    <w:name w:val="Char Char2"/>
    <w:autoRedefine/>
    <w:qFormat/>
    <w:uiPriority w:val="0"/>
    <w:rPr>
      <w:rFonts w:ascii="Arial" w:hAnsi="Arial" w:eastAsia="黑体"/>
      <w:b/>
      <w:bCs/>
      <w:kern w:val="44"/>
      <w:sz w:val="30"/>
      <w:szCs w:val="44"/>
      <w:lang w:val="en-US" w:eastAsia="zh-CN" w:bidi="ar-SA"/>
    </w:rPr>
  </w:style>
  <w:style w:type="character" w:customStyle="1" w:styleId="184">
    <w:name w:val="Footer-Even Char2"/>
    <w:autoRedefine/>
    <w:qFormat/>
    <w:uiPriority w:val="0"/>
    <w:rPr>
      <w:kern w:val="2"/>
      <w:sz w:val="18"/>
      <w:szCs w:val="18"/>
    </w:rPr>
  </w:style>
  <w:style w:type="character" w:customStyle="1" w:styleId="185">
    <w:name w:val="Char Char17"/>
    <w:autoRedefine/>
    <w:qFormat/>
    <w:uiPriority w:val="0"/>
    <w:rPr>
      <w:rFonts w:ascii="Cambria" w:hAnsi="Cambria"/>
      <w:b/>
      <w:bCs/>
      <w:kern w:val="2"/>
      <w:sz w:val="28"/>
      <w:szCs w:val="28"/>
    </w:rPr>
  </w:style>
  <w:style w:type="character" w:customStyle="1" w:styleId="186">
    <w:name w:val="heading 4 Char"/>
    <w:autoRedefine/>
    <w:qFormat/>
    <w:uiPriority w:val="0"/>
    <w:rPr>
      <w:rFonts w:ascii="Arial" w:hAnsi="Arial" w:eastAsia="黑体" w:cs="Times New Roman"/>
      <w:sz w:val="21"/>
      <w:szCs w:val="21"/>
    </w:rPr>
  </w:style>
  <w:style w:type="character" w:customStyle="1" w:styleId="187">
    <w:name w:val="Char Char20"/>
    <w:autoRedefine/>
    <w:qFormat/>
    <w:uiPriority w:val="0"/>
    <w:rPr>
      <w:b/>
      <w:bCs/>
      <w:kern w:val="44"/>
      <w:sz w:val="44"/>
      <w:szCs w:val="44"/>
    </w:rPr>
  </w:style>
  <w:style w:type="character" w:customStyle="1" w:styleId="188">
    <w:name w:val="heading 1 Char2"/>
    <w:autoRedefine/>
    <w:qFormat/>
    <w:uiPriority w:val="0"/>
    <w:rPr>
      <w:b/>
      <w:bCs/>
      <w:kern w:val="44"/>
      <w:sz w:val="44"/>
      <w:szCs w:val="44"/>
    </w:rPr>
  </w:style>
  <w:style w:type="character" w:customStyle="1" w:styleId="189">
    <w:name w:val="font11"/>
    <w:autoRedefine/>
    <w:qFormat/>
    <w:uiPriority w:val="0"/>
    <w:rPr>
      <w:rFonts w:hint="eastAsia" w:ascii="宋体" w:hAnsi="宋体" w:eastAsia="宋体" w:cs="宋体"/>
      <w:b/>
      <w:color w:val="000000"/>
      <w:sz w:val="20"/>
      <w:szCs w:val="20"/>
      <w:u w:val="none"/>
    </w:rPr>
  </w:style>
  <w:style w:type="character" w:customStyle="1" w:styleId="190">
    <w:name w:val="表正文 Char2"/>
    <w:autoRedefine/>
    <w:qFormat/>
    <w:uiPriority w:val="0"/>
    <w:rPr>
      <w:rFonts w:ascii="Times New Roman" w:hAnsi="Times New Roman" w:eastAsia="宋体" w:cs="Times New Roman"/>
      <w:szCs w:val="24"/>
    </w:rPr>
  </w:style>
  <w:style w:type="character" w:customStyle="1" w:styleId="191">
    <w:name w:val="引用 Char"/>
    <w:link w:val="192"/>
    <w:autoRedefine/>
    <w:qFormat/>
    <w:uiPriority w:val="0"/>
    <w:rPr>
      <w:rFonts w:ascii="Calibri" w:hAnsi="Calibri" w:eastAsia="宋体"/>
      <w:i/>
      <w:iCs/>
      <w:color w:val="000000"/>
      <w:lang w:val="en-US" w:eastAsia="zh-CN" w:bidi="ar-SA"/>
    </w:rPr>
  </w:style>
  <w:style w:type="paragraph" w:styleId="192">
    <w:name w:val="Quote"/>
    <w:basedOn w:val="1"/>
    <w:next w:val="1"/>
    <w:link w:val="191"/>
    <w:autoRedefine/>
    <w:qFormat/>
    <w:uiPriority w:val="0"/>
    <w:rPr>
      <w:rFonts w:ascii="Calibri" w:hAnsi="Calibri"/>
      <w:i/>
      <w:iCs/>
      <w:color w:val="000000"/>
      <w:kern w:val="0"/>
      <w:sz w:val="20"/>
      <w:szCs w:val="20"/>
    </w:rPr>
  </w:style>
  <w:style w:type="character" w:customStyle="1" w:styleId="193">
    <w:name w:val="纯文本 Char"/>
    <w:link w:val="28"/>
    <w:autoRedefine/>
    <w:qFormat/>
    <w:uiPriority w:val="0"/>
    <w:rPr>
      <w:rFonts w:ascii="宋体" w:hAnsi="Courier New" w:eastAsia="宋体"/>
      <w:b/>
      <w:sz w:val="21"/>
      <w:szCs w:val="21"/>
      <w:lang w:val="en-US" w:eastAsia="zh-CN" w:bidi="ar-SA"/>
    </w:rPr>
  </w:style>
  <w:style w:type="character" w:customStyle="1" w:styleId="194">
    <w:name w:val="Char Char19"/>
    <w:autoRedefine/>
    <w:qFormat/>
    <w:uiPriority w:val="0"/>
    <w:rPr>
      <w:rFonts w:ascii="Cambria" w:hAnsi="Cambria"/>
      <w:b/>
      <w:bCs/>
      <w:kern w:val="2"/>
      <w:sz w:val="32"/>
      <w:szCs w:val="32"/>
    </w:rPr>
  </w:style>
  <w:style w:type="character" w:customStyle="1" w:styleId="195">
    <w:name w:val="style41"/>
    <w:autoRedefine/>
    <w:qFormat/>
    <w:uiPriority w:val="0"/>
    <w:rPr>
      <w:color w:val="auto"/>
    </w:rPr>
  </w:style>
  <w:style w:type="character" w:customStyle="1" w:styleId="196">
    <w:name w:val="Char Char201"/>
    <w:autoRedefine/>
    <w:qFormat/>
    <w:uiPriority w:val="0"/>
    <w:rPr>
      <w:rFonts w:ascii="Cambria" w:hAnsi="Cambria" w:eastAsia="宋体" w:cs="Times New Roman"/>
      <w:b/>
      <w:bCs/>
      <w:sz w:val="32"/>
      <w:szCs w:val="32"/>
    </w:rPr>
  </w:style>
  <w:style w:type="character" w:customStyle="1" w:styleId="197">
    <w:name w:val="正文首行缩进 Char"/>
    <w:link w:val="50"/>
    <w:autoRedefine/>
    <w:qFormat/>
    <w:uiPriority w:val="0"/>
    <w:rPr>
      <w:rFonts w:eastAsia="宋体"/>
      <w:lang w:val="en-US" w:eastAsia="zh-CN" w:bidi="ar-SA"/>
    </w:rPr>
  </w:style>
  <w:style w:type="character" w:customStyle="1" w:styleId="198">
    <w:name w:val="smalltxt1"/>
    <w:autoRedefine/>
    <w:qFormat/>
    <w:uiPriority w:val="0"/>
    <w:rPr>
      <w:rFonts w:hint="default" w:ascii="ˎ̥" w:hAnsi="ˎ̥"/>
      <w:sz w:val="24"/>
      <w:szCs w:val="24"/>
    </w:rPr>
  </w:style>
  <w:style w:type="character" w:customStyle="1" w:styleId="199">
    <w:name w:val="正文文本 2 Char"/>
    <w:basedOn w:val="54"/>
    <w:link w:val="46"/>
    <w:autoRedefine/>
    <w:qFormat/>
    <w:uiPriority w:val="0"/>
  </w:style>
  <w:style w:type="paragraph" w:customStyle="1" w:styleId="200">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01">
    <w:name w:val="Char Char Char Char"/>
    <w:basedOn w:val="1"/>
    <w:autoRedefine/>
    <w:qFormat/>
    <w:uiPriority w:val="0"/>
    <w:pPr>
      <w:autoSpaceDE w:val="0"/>
      <w:autoSpaceDN w:val="0"/>
      <w:adjustRightInd w:val="0"/>
      <w:jc w:val="left"/>
    </w:pPr>
    <w:rPr>
      <w:rFonts w:ascii="Tahoma" w:hAnsi="Tahoma"/>
      <w:kern w:val="0"/>
      <w:sz w:val="24"/>
      <w:szCs w:val="20"/>
    </w:rPr>
  </w:style>
  <w:style w:type="paragraph" w:customStyle="1" w:styleId="202">
    <w:name w:val="表内文字"/>
    <w:basedOn w:val="1"/>
    <w:autoRedefine/>
    <w:qFormat/>
    <w:uiPriority w:val="0"/>
    <w:pPr>
      <w:spacing w:line="240" w:lineRule="atLeast"/>
      <w:jc w:val="center"/>
    </w:pPr>
    <w:rPr>
      <w:rFonts w:ascii="Arial" w:hAnsi="Arial" w:cs="Arial"/>
      <w:b/>
      <w:bCs/>
    </w:rPr>
  </w:style>
  <w:style w:type="paragraph" w:customStyle="1" w:styleId="203">
    <w:name w:val="列项——（一级）"/>
    <w:autoRedefine/>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204">
    <w:name w:val="Char Char Char Char Char Char Char"/>
    <w:basedOn w:val="1"/>
    <w:autoRedefine/>
    <w:qFormat/>
    <w:uiPriority w:val="0"/>
    <w:rPr>
      <w:rFonts w:ascii="仿宋_GB2312" w:eastAsia="仿宋_GB2312"/>
      <w:b/>
      <w:sz w:val="32"/>
      <w:szCs w:val="32"/>
    </w:rPr>
  </w:style>
  <w:style w:type="paragraph" w:customStyle="1" w:styleId="205">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6">
    <w:name w:val="列出段落1"/>
    <w:basedOn w:val="1"/>
    <w:autoRedefine/>
    <w:qFormat/>
    <w:uiPriority w:val="0"/>
    <w:pPr>
      <w:ind w:firstLine="420" w:firstLineChars="200"/>
    </w:pPr>
    <w:rPr>
      <w:szCs w:val="20"/>
    </w:rPr>
  </w:style>
  <w:style w:type="paragraph" w:customStyle="1" w:styleId="207">
    <w:name w:val="一级条标题"/>
    <w:next w:val="1"/>
    <w:autoRedefine/>
    <w:qFormat/>
    <w:uiPriority w:val="0"/>
    <w:pPr>
      <w:tabs>
        <w:tab w:val="left" w:pos="3889"/>
      </w:tabs>
      <w:ind w:left="3889" w:hanging="420"/>
      <w:outlineLvl w:val="2"/>
    </w:pPr>
    <w:rPr>
      <w:rFonts w:ascii="Times New Roman" w:hAnsi="Times New Roman" w:eastAsia="黑体" w:cs="Times New Roman"/>
      <w:sz w:val="21"/>
      <w:lang w:val="en-US" w:eastAsia="zh-CN" w:bidi="ar-SA"/>
    </w:rPr>
  </w:style>
  <w:style w:type="paragraph" w:customStyle="1" w:styleId="208">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09">
    <w:name w:val="技术报告正文"/>
    <w:basedOn w:val="1"/>
    <w:autoRedefine/>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10">
    <w:name w:val="xl8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11">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1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3">
    <w:name w:val="NICMAN Body Text"/>
    <w:basedOn w:val="1"/>
    <w:next w:val="21"/>
    <w:autoRedefine/>
    <w:qFormat/>
    <w:uiPriority w:val="0"/>
    <w:pPr>
      <w:autoSpaceDE w:val="0"/>
      <w:autoSpaceDN w:val="0"/>
      <w:adjustRightInd w:val="0"/>
      <w:spacing w:after="120"/>
      <w:jc w:val="left"/>
    </w:pPr>
    <w:rPr>
      <w:kern w:val="0"/>
      <w:sz w:val="20"/>
      <w:szCs w:val="20"/>
    </w:rPr>
  </w:style>
  <w:style w:type="paragraph" w:customStyle="1" w:styleId="214">
    <w:name w:val="Char Char Char Char Char Char Char Char Char Char Char Char Char"/>
    <w:basedOn w:val="1"/>
    <w:autoRedefine/>
    <w:qFormat/>
    <w:uiPriority w:val="0"/>
    <w:rPr>
      <w:rFonts w:ascii="Tahoma" w:hAnsi="Tahoma"/>
      <w:sz w:val="24"/>
      <w:szCs w:val="20"/>
    </w:rPr>
  </w:style>
  <w:style w:type="paragraph" w:customStyle="1" w:styleId="215">
    <w:name w:val="xl8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16">
    <w:name w:val="正文缩进1"/>
    <w:basedOn w:val="1"/>
    <w:next w:val="22"/>
    <w:autoRedefine/>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17">
    <w:name w:val="Table Heading"/>
    <w:autoRedefine/>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218">
    <w:name w:val="Char Char Char Char1"/>
    <w:basedOn w:val="17"/>
    <w:autoRedefine/>
    <w:qFormat/>
    <w:uiPriority w:val="0"/>
    <w:rPr>
      <w:rFonts w:ascii="Tahoma" w:hAnsi="Tahoma"/>
      <w:sz w:val="24"/>
    </w:rPr>
  </w:style>
  <w:style w:type="paragraph" w:customStyle="1" w:styleId="219">
    <w:name w:val="正文 首行缩进:  2 字符 Char"/>
    <w:basedOn w:val="1"/>
    <w:autoRedefine/>
    <w:qFormat/>
    <w:uiPriority w:val="0"/>
    <w:pPr>
      <w:spacing w:line="360" w:lineRule="auto"/>
      <w:ind w:firstLine="480"/>
    </w:pPr>
    <w:rPr>
      <w:rFonts w:cs="宋体"/>
      <w:sz w:val="24"/>
      <w:szCs w:val="20"/>
    </w:rPr>
  </w:style>
  <w:style w:type="paragraph" w:customStyle="1" w:styleId="220">
    <w:name w:val="样式1"/>
    <w:basedOn w:val="1"/>
    <w:autoRedefine/>
    <w:qFormat/>
    <w:uiPriority w:val="0"/>
    <w:pPr>
      <w:autoSpaceDE w:val="0"/>
      <w:autoSpaceDN w:val="0"/>
      <w:adjustRightInd w:val="0"/>
      <w:spacing w:line="400" w:lineRule="exact"/>
    </w:pPr>
    <w:rPr>
      <w:rFonts w:ascii="宋体" w:cs="宋体"/>
      <w:kern w:val="0"/>
    </w:rPr>
  </w:style>
  <w:style w:type="paragraph" w:customStyle="1" w:styleId="22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2">
    <w:name w:val="小标题"/>
    <w:basedOn w:val="1"/>
    <w:autoRedefine/>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223">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24">
    <w:name w:val="Char Char Char Char Char Char Char Char Char Char"/>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225">
    <w:name w:val="样式"/>
    <w:basedOn w:val="1"/>
    <w:autoRedefine/>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226">
    <w:name w:val="二级条标题"/>
    <w:basedOn w:val="207"/>
    <w:next w:val="1"/>
    <w:autoRedefine/>
    <w:qFormat/>
    <w:uiPriority w:val="0"/>
    <w:pPr>
      <w:tabs>
        <w:tab w:val="left" w:pos="4309"/>
        <w:tab w:val="clear" w:pos="3889"/>
      </w:tabs>
      <w:ind w:left="4309"/>
      <w:outlineLvl w:val="3"/>
    </w:pPr>
  </w:style>
  <w:style w:type="paragraph" w:customStyle="1" w:styleId="227">
    <w:name w:val="正文－恩普"/>
    <w:basedOn w:val="9"/>
    <w:autoRedefine/>
    <w:qFormat/>
    <w:uiPriority w:val="0"/>
    <w:pPr>
      <w:adjustRightInd/>
      <w:spacing w:line="360" w:lineRule="auto"/>
      <w:ind w:firstLine="200" w:firstLineChars="200"/>
      <w:textAlignment w:val="auto"/>
    </w:pPr>
    <w:rPr>
      <w:kern w:val="2"/>
      <w:sz w:val="24"/>
      <w:szCs w:val="24"/>
    </w:rPr>
  </w:style>
  <w:style w:type="paragraph" w:customStyle="1" w:styleId="228">
    <w:name w:val="列表内容"/>
    <w:basedOn w:val="1"/>
    <w:next w:val="1"/>
    <w:autoRedefine/>
    <w:qFormat/>
    <w:uiPriority w:val="0"/>
    <w:pPr>
      <w:widowControl/>
      <w:autoSpaceDE w:val="0"/>
      <w:autoSpaceDN w:val="0"/>
      <w:adjustRightInd w:val="0"/>
      <w:ind w:firstLine="200"/>
      <w:jc w:val="left"/>
    </w:pPr>
    <w:rPr>
      <w:kern w:val="0"/>
      <w:sz w:val="18"/>
      <w:szCs w:val="20"/>
    </w:rPr>
  </w:style>
  <w:style w:type="paragraph" w:customStyle="1" w:styleId="229">
    <w:name w:val="正文（首行缩进）"/>
    <w:basedOn w:val="22"/>
    <w:autoRedefine/>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30">
    <w:name w:val="xl8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31">
    <w:name w:val="文字"/>
    <w:basedOn w:val="1"/>
    <w:autoRedefine/>
    <w:qFormat/>
    <w:uiPriority w:val="0"/>
    <w:pPr>
      <w:tabs>
        <w:tab w:val="left" w:pos="8520"/>
      </w:tabs>
      <w:spacing w:line="312" w:lineRule="auto"/>
      <w:ind w:right="-210" w:firstLine="556"/>
    </w:pPr>
    <w:rPr>
      <w:rFonts w:ascii="宋体"/>
      <w:sz w:val="28"/>
      <w:szCs w:val="20"/>
    </w:rPr>
  </w:style>
  <w:style w:type="paragraph" w:customStyle="1" w:styleId="232">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33">
    <w:name w:val="xl8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4">
    <w:name w:val="标准段落"/>
    <w:basedOn w:val="1"/>
    <w:autoRedefine/>
    <w:qFormat/>
    <w:uiPriority w:val="0"/>
    <w:pPr>
      <w:spacing w:after="120" w:line="360" w:lineRule="auto"/>
      <w:ind w:firstLine="420"/>
    </w:pPr>
    <w:rPr>
      <w:rFonts w:ascii="黑体" w:hAnsi="宋体" w:eastAsia="黑体"/>
      <w:b/>
      <w:spacing w:val="6"/>
      <w:szCs w:val="22"/>
    </w:rPr>
  </w:style>
  <w:style w:type="paragraph" w:customStyle="1" w:styleId="235">
    <w:name w:val="三级条标题"/>
    <w:basedOn w:val="226"/>
    <w:next w:val="1"/>
    <w:autoRedefine/>
    <w:qFormat/>
    <w:uiPriority w:val="0"/>
    <w:pPr>
      <w:tabs>
        <w:tab w:val="left" w:pos="4729"/>
        <w:tab w:val="clear" w:pos="4309"/>
      </w:tabs>
      <w:ind w:left="4729"/>
      <w:outlineLvl w:val="4"/>
    </w:pPr>
  </w:style>
  <w:style w:type="paragraph" w:customStyle="1" w:styleId="236">
    <w:name w:val="Test2"/>
    <w:basedOn w:val="4"/>
    <w:autoRedefine/>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37">
    <w:name w:val="默认段落字体 Para Char Char Char Char Char Char Char"/>
    <w:basedOn w:val="1"/>
    <w:autoRedefine/>
    <w:qFormat/>
    <w:uiPriority w:val="0"/>
  </w:style>
  <w:style w:type="paragraph" w:customStyle="1" w:styleId="238">
    <w:name w:val="标准小四"/>
    <w:basedOn w:val="1"/>
    <w:autoRedefine/>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39">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40">
    <w:name w:val="Char13"/>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41">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42">
    <w:name w:val="样式 样式 正文文本缩进 + 仿宋_GB2312 小四 首行缩进:  0 厘米 行距: 1.5 倍行距 + (中文) 仿宋_GB... Char Char"/>
    <w:basedOn w:val="1"/>
    <w:autoRedefine/>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43">
    <w:name w:val="列表段落"/>
    <w:basedOn w:val="1"/>
    <w:autoRedefine/>
    <w:qFormat/>
    <w:uiPriority w:val="0"/>
    <w:pPr>
      <w:ind w:firstLine="420" w:firstLineChars="200"/>
    </w:pPr>
    <w:rPr>
      <w:rFonts w:ascii="Calibri" w:hAnsi="Calibri"/>
      <w:szCs w:val="22"/>
    </w:rPr>
  </w:style>
  <w:style w:type="paragraph" w:customStyle="1" w:styleId="244">
    <w:name w:val="五级条标题"/>
    <w:basedOn w:val="245"/>
    <w:next w:val="1"/>
    <w:autoRedefine/>
    <w:qFormat/>
    <w:uiPriority w:val="0"/>
    <w:pPr>
      <w:tabs>
        <w:tab w:val="left" w:pos="5149"/>
        <w:tab w:val="left" w:pos="5569"/>
      </w:tabs>
      <w:ind w:left="5569"/>
      <w:outlineLvl w:val="6"/>
    </w:pPr>
  </w:style>
  <w:style w:type="paragraph" w:customStyle="1" w:styleId="245">
    <w:name w:val="四级条标题"/>
    <w:basedOn w:val="235"/>
    <w:next w:val="1"/>
    <w:autoRedefine/>
    <w:qFormat/>
    <w:uiPriority w:val="0"/>
    <w:pPr>
      <w:tabs>
        <w:tab w:val="left" w:pos="5149"/>
        <w:tab w:val="clear" w:pos="4729"/>
      </w:tabs>
      <w:ind w:left="5149"/>
      <w:outlineLvl w:val="5"/>
    </w:pPr>
  </w:style>
  <w:style w:type="paragraph" w:customStyle="1" w:styleId="246">
    <w:name w:val="正文-宋体四号"/>
    <w:basedOn w:val="1"/>
    <w:autoRedefine/>
    <w:qFormat/>
    <w:uiPriority w:val="0"/>
    <w:pPr>
      <w:spacing w:line="360" w:lineRule="auto"/>
      <w:ind w:firstLine="560" w:firstLineChars="200"/>
    </w:pPr>
    <w:rPr>
      <w:rFonts w:cs="宋体"/>
      <w:sz w:val="28"/>
      <w:szCs w:val="20"/>
    </w:rPr>
  </w:style>
  <w:style w:type="paragraph" w:customStyle="1" w:styleId="247">
    <w:name w:val="纯文本1"/>
    <w:basedOn w:val="1"/>
    <w:autoRedefine/>
    <w:qFormat/>
    <w:uiPriority w:val="0"/>
    <w:pPr>
      <w:adjustRightInd w:val="0"/>
      <w:textAlignment w:val="baseline"/>
    </w:pPr>
    <w:rPr>
      <w:rFonts w:ascii="宋体" w:hAnsi="Courier New" w:eastAsia="楷体_GB2312"/>
      <w:sz w:val="28"/>
      <w:szCs w:val="20"/>
    </w:rPr>
  </w:style>
  <w:style w:type="paragraph" w:customStyle="1" w:styleId="248">
    <w:name w:val="Char2"/>
    <w:basedOn w:val="1"/>
    <w:autoRedefine/>
    <w:qFormat/>
    <w:uiPriority w:val="0"/>
  </w:style>
  <w:style w:type="paragraph" w:customStyle="1" w:styleId="249">
    <w:name w:val="Char Char Char Char Char Char Char Char Char Char Char Char Char Char Char Char Char Char Char"/>
    <w:basedOn w:val="1"/>
    <w:autoRedefine/>
    <w:qFormat/>
    <w:uiPriority w:val="0"/>
    <w:rPr>
      <w:rFonts w:ascii="仿宋_GB2312" w:eastAsia="仿宋_GB2312"/>
      <w:b/>
      <w:sz w:val="32"/>
      <w:szCs w:val="32"/>
    </w:rPr>
  </w:style>
  <w:style w:type="paragraph" w:customStyle="1" w:styleId="250">
    <w:name w:val="样式5"/>
    <w:basedOn w:val="9"/>
    <w:autoRedefine/>
    <w:qFormat/>
    <w:uiPriority w:val="0"/>
    <w:pPr>
      <w:adjustRightInd/>
      <w:spacing w:line="360" w:lineRule="auto"/>
      <w:ind w:firstLine="200" w:firstLineChars="200"/>
      <w:textAlignment w:val="auto"/>
    </w:pPr>
    <w:rPr>
      <w:sz w:val="28"/>
      <w:szCs w:val="21"/>
    </w:rPr>
  </w:style>
  <w:style w:type="paragraph" w:customStyle="1" w:styleId="251">
    <w:name w:val="14"/>
    <w:basedOn w:val="1"/>
    <w:autoRedefine/>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252">
    <w:name w:val="Char Char Char Char Char Char Char Char Char Char Char Char Char1"/>
    <w:basedOn w:val="1"/>
    <w:autoRedefine/>
    <w:qFormat/>
    <w:uiPriority w:val="0"/>
  </w:style>
  <w:style w:type="paragraph" w:customStyle="1" w:styleId="253">
    <w:name w:val="样式 标题 1Level 1Level 11h1II+IHeading1H1-Heading 1Header 1..."/>
    <w:basedOn w:val="2"/>
    <w:autoRedefine/>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54">
    <w:name w:val="样式 标题 3 + 黑色 段前: 5 磅 段后: 5 磅 行距: 1.5 倍行距"/>
    <w:basedOn w:val="1"/>
    <w:autoRedefine/>
    <w:qFormat/>
    <w:uiPriority w:val="0"/>
    <w:pPr>
      <w:ind w:left="855" w:hanging="855"/>
    </w:pPr>
    <w:rPr>
      <w:sz w:val="24"/>
      <w:szCs w:val="20"/>
    </w:rPr>
  </w:style>
  <w:style w:type="paragraph" w:customStyle="1" w:styleId="255">
    <w:name w:val="button"/>
    <w:basedOn w:val="1"/>
    <w:autoRedefine/>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56">
    <w:name w:val="ÕýÎÄÊ×ÐÐËõ½ø"/>
    <w:basedOn w:val="1"/>
    <w:autoRedefine/>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57">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8">
    <w:name w:val="xl9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9">
    <w:name w:val="标书正文带编号"/>
    <w:basedOn w:val="1"/>
    <w:autoRedefine/>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60">
    <w:name w:val="表格文字（大）"/>
    <w:basedOn w:val="1"/>
    <w:autoRedefine/>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261">
    <w:name w:val="排列"/>
    <w:basedOn w:val="1"/>
    <w:autoRedefine/>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62">
    <w:name w:val="Char Char1 Char Char Char Char Char Char Char Char Char Char Char Char Char Char"/>
    <w:basedOn w:val="1"/>
    <w:autoRedefine/>
    <w:qFormat/>
    <w:uiPriority w:val="0"/>
    <w:pPr>
      <w:widowControl/>
      <w:autoSpaceDE w:val="0"/>
      <w:autoSpaceDN w:val="0"/>
      <w:adjustRightInd w:val="0"/>
      <w:spacing w:after="160" w:line="240" w:lineRule="exact"/>
      <w:jc w:val="left"/>
    </w:pPr>
    <w:rPr>
      <w:kern w:val="0"/>
      <w:sz w:val="20"/>
      <w:szCs w:val="20"/>
    </w:rPr>
  </w:style>
  <w:style w:type="paragraph" w:customStyle="1" w:styleId="263">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64">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5">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6">
    <w:name w:val="tabletext"/>
    <w:basedOn w:val="1"/>
    <w:autoRedefine/>
    <w:qFormat/>
    <w:uiPriority w:val="0"/>
    <w:pPr>
      <w:widowControl/>
      <w:spacing w:line="300" w:lineRule="atLeast"/>
      <w:jc w:val="left"/>
    </w:pPr>
    <w:rPr>
      <w:rFonts w:ascii="宋体" w:hAnsi="宋体" w:cs="宋体"/>
      <w:kern w:val="0"/>
      <w:sz w:val="18"/>
      <w:szCs w:val="18"/>
    </w:rPr>
  </w:style>
  <w:style w:type="paragraph" w:customStyle="1" w:styleId="267">
    <w:name w:val="1.1.1"/>
    <w:basedOn w:val="1"/>
    <w:autoRedefine/>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68">
    <w:name w:val="TOC 标题1"/>
    <w:basedOn w:val="2"/>
    <w:next w:val="1"/>
    <w:autoRedefine/>
    <w:unhideWhenUsed/>
    <w:qFormat/>
    <w:uiPriority w:val="39"/>
    <w:pPr>
      <w:widowControl/>
      <w:spacing w:before="480" w:line="276" w:lineRule="auto"/>
      <w:jc w:val="left"/>
      <w:outlineLvl w:val="9"/>
    </w:pPr>
    <w:rPr>
      <w:rFonts w:ascii="Cambria" w:hAnsi="Cambria" w:eastAsia="宋体"/>
      <w:color w:val="366091"/>
      <w:kern w:val="0"/>
      <w:sz w:val="28"/>
      <w:szCs w:val="28"/>
    </w:rPr>
  </w:style>
  <w:style w:type="paragraph" w:customStyle="1" w:styleId="269">
    <w:name w:val="xl55"/>
    <w:basedOn w:val="1"/>
    <w:autoRedefine/>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70">
    <w:name w:val="xl8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71">
    <w:name w:val="WW-正文文字缩进 2"/>
    <w:basedOn w:val="1"/>
    <w:autoRedefine/>
    <w:qFormat/>
    <w:uiPriority w:val="0"/>
    <w:pPr>
      <w:suppressAutoHyphens/>
      <w:autoSpaceDE w:val="0"/>
      <w:autoSpaceDN w:val="0"/>
      <w:adjustRightInd w:val="0"/>
      <w:ind w:firstLine="420"/>
      <w:jc w:val="left"/>
    </w:pPr>
    <w:rPr>
      <w:kern w:val="1"/>
      <w:sz w:val="20"/>
      <w:szCs w:val="20"/>
    </w:rPr>
  </w:style>
  <w:style w:type="paragraph" w:customStyle="1" w:styleId="272">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73">
    <w:name w:val="正文样式 首行缩进:  0.74 厘米"/>
    <w:basedOn w:val="1"/>
    <w:autoRedefine/>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74">
    <w:name w:val="简单回函地址"/>
    <w:basedOn w:val="1"/>
    <w:autoRedefine/>
    <w:qFormat/>
    <w:uiPriority w:val="0"/>
  </w:style>
  <w:style w:type="paragraph" w:customStyle="1" w:styleId="275">
    <w:name w:val="前言、引言标题"/>
    <w:next w:val="1"/>
    <w:autoRedefine/>
    <w:qFormat/>
    <w:uiPriority w:val="0"/>
    <w:pPr>
      <w:shd w:val="clear" w:color="FFFFFF" w:fill="FFFFFF"/>
      <w:tabs>
        <w:tab w:val="left" w:pos="3349"/>
      </w:tabs>
      <w:spacing w:before="640" w:after="560"/>
      <w:ind w:left="3349" w:hanging="720"/>
      <w:jc w:val="center"/>
      <w:outlineLvl w:val="0"/>
    </w:pPr>
    <w:rPr>
      <w:rFonts w:ascii="黑体" w:hAnsi="Times New Roman" w:eastAsia="黑体" w:cs="Times New Roman"/>
      <w:sz w:val="32"/>
      <w:lang w:val="en-US" w:eastAsia="zh-CN" w:bidi="ar-SA"/>
    </w:rPr>
  </w:style>
  <w:style w:type="paragraph" w:customStyle="1" w:styleId="276">
    <w:name w:val="正文_0"/>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77">
    <w:name w:val="部分1"/>
    <w:basedOn w:val="1"/>
    <w:autoRedefine/>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78">
    <w:name w:val="1 Char"/>
    <w:basedOn w:val="9"/>
    <w:autoRedefine/>
    <w:qFormat/>
    <w:uiPriority w:val="0"/>
    <w:pPr>
      <w:adjustRightInd/>
      <w:spacing w:line="360" w:lineRule="auto"/>
      <w:ind w:firstLine="200" w:firstLineChars="200"/>
      <w:textAlignment w:val="auto"/>
    </w:pPr>
    <w:rPr>
      <w:kern w:val="2"/>
    </w:rPr>
  </w:style>
  <w:style w:type="paragraph" w:customStyle="1" w:styleId="279">
    <w:name w:val="正文文本 21"/>
    <w:basedOn w:val="1"/>
    <w:autoRedefine/>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80">
    <w:name w:val="TOC 标题2"/>
    <w:basedOn w:val="2"/>
    <w:next w:val="1"/>
    <w:autoRedefine/>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81">
    <w:name w:val="Char Char"/>
    <w:basedOn w:val="1"/>
    <w:autoRedefine/>
    <w:qFormat/>
    <w:uiPriority w:val="0"/>
    <w:rPr>
      <w:rFonts w:ascii="仿宋_GB2312" w:eastAsia="仿宋_GB2312"/>
      <w:b/>
      <w:sz w:val="32"/>
      <w:szCs w:val="32"/>
    </w:rPr>
  </w:style>
  <w:style w:type="paragraph" w:customStyle="1" w:styleId="282">
    <w:name w:val="l正文"/>
    <w:basedOn w:val="1"/>
    <w:autoRedefine/>
    <w:qFormat/>
    <w:uiPriority w:val="0"/>
    <w:pPr>
      <w:spacing w:line="360" w:lineRule="auto"/>
      <w:ind w:firstLine="200" w:firstLineChars="200"/>
    </w:pPr>
    <w:rPr>
      <w:rFonts w:ascii="宋体" w:hAnsi="宋体"/>
      <w:sz w:val="24"/>
    </w:rPr>
  </w:style>
  <w:style w:type="paragraph" w:customStyle="1" w:styleId="283">
    <w:name w:val="xl7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84">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5">
    <w:name w:val="Item List in Table"/>
    <w:autoRedefin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286">
    <w:name w:val="Char Char Char Char Char Char Char Char Char Char Char Char Char Char Char Char Char Char Char1"/>
    <w:basedOn w:val="1"/>
    <w:autoRedefine/>
    <w:qFormat/>
    <w:uiPriority w:val="0"/>
    <w:rPr>
      <w:rFonts w:ascii="仿宋_GB2312" w:eastAsia="仿宋_GB2312"/>
      <w:b/>
      <w:sz w:val="32"/>
      <w:szCs w:val="32"/>
    </w:rPr>
  </w:style>
  <w:style w:type="paragraph" w:customStyle="1" w:styleId="287">
    <w:name w:val="xl29"/>
    <w:basedOn w:val="1"/>
    <w:autoRedefine/>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88">
    <w:name w:val="Char Char Char Char Char Char Char1"/>
    <w:basedOn w:val="1"/>
    <w:autoRedefine/>
    <w:qFormat/>
    <w:uiPriority w:val="0"/>
    <w:rPr>
      <w:rFonts w:ascii="仿宋_GB2312" w:eastAsia="仿宋_GB2312"/>
      <w:b/>
      <w:sz w:val="32"/>
      <w:szCs w:val="32"/>
    </w:rPr>
  </w:style>
  <w:style w:type="paragraph" w:customStyle="1" w:styleId="289">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0">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1">
    <w:name w:val="标题2"/>
    <w:basedOn w:val="4"/>
    <w:autoRedefine/>
    <w:qFormat/>
    <w:uiPriority w:val="0"/>
    <w:pPr>
      <w:tabs>
        <w:tab w:val="left" w:pos="709"/>
      </w:tabs>
    </w:pPr>
    <w:rPr>
      <w:rFonts w:ascii="宋体" w:hAnsi="宋体"/>
      <w:sz w:val="36"/>
      <w:szCs w:val="36"/>
    </w:rPr>
  </w:style>
  <w:style w:type="paragraph" w:customStyle="1" w:styleId="292">
    <w:name w:val="xl9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3">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94">
    <w:name w:val="Char1"/>
    <w:basedOn w:val="1"/>
    <w:autoRedefine/>
    <w:qFormat/>
    <w:uiPriority w:val="0"/>
    <w:rPr>
      <w:rFonts w:ascii="仿宋_GB2312" w:eastAsia="仿宋_GB2312"/>
      <w:b/>
      <w:sz w:val="32"/>
      <w:szCs w:val="32"/>
    </w:rPr>
  </w:style>
  <w:style w:type="paragraph" w:customStyle="1" w:styleId="295">
    <w:name w:val="正文字缩2字"/>
    <w:basedOn w:val="1"/>
    <w:autoRedefine/>
    <w:qFormat/>
    <w:uiPriority w:val="0"/>
    <w:pPr>
      <w:spacing w:before="60" w:after="60" w:line="360" w:lineRule="auto"/>
      <w:ind w:left="200" w:leftChars="200" w:firstLine="200" w:firstLineChars="200"/>
    </w:pPr>
    <w:rPr>
      <w:sz w:val="24"/>
    </w:rPr>
  </w:style>
  <w:style w:type="paragraph" w:customStyle="1" w:styleId="296">
    <w:name w:val="正文2"/>
    <w:basedOn w:val="1"/>
    <w:autoRedefine/>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97">
    <w:name w:val="保留正文"/>
    <w:basedOn w:val="21"/>
    <w:autoRedefine/>
    <w:qFormat/>
    <w:uiPriority w:val="0"/>
    <w:pPr>
      <w:keepNext/>
      <w:spacing w:after="160"/>
    </w:pPr>
    <w:rPr>
      <w:szCs w:val="20"/>
    </w:rPr>
  </w:style>
  <w:style w:type="paragraph" w:customStyle="1" w:styleId="298">
    <w:name w:val="xl76"/>
    <w:basedOn w:val="1"/>
    <w:autoRedefine/>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9">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300">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01">
    <w:name w:val="Char"/>
    <w:basedOn w:val="1"/>
    <w:autoRedefine/>
    <w:qFormat/>
    <w:uiPriority w:val="0"/>
    <w:rPr>
      <w:rFonts w:ascii="仿宋_GB2312" w:eastAsia="仿宋_GB2312"/>
      <w:b/>
      <w:sz w:val="32"/>
      <w:szCs w:val="32"/>
    </w:rPr>
  </w:style>
  <w:style w:type="paragraph" w:customStyle="1" w:styleId="302">
    <w:name w:val="Char21"/>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303">
    <w:name w:val="正文文字表格居中"/>
    <w:basedOn w:val="1"/>
    <w:next w:val="46"/>
    <w:autoRedefine/>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04">
    <w:name w:val="Table Contents"/>
    <w:basedOn w:val="1"/>
    <w:autoRedefine/>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05">
    <w:name w:val="Char1 Char Char Char Char Char Char"/>
    <w:basedOn w:val="1"/>
    <w:autoRedefine/>
    <w:qFormat/>
    <w:uiPriority w:val="0"/>
    <w:rPr>
      <w:rFonts w:ascii="宋体" w:hAnsi="宋体"/>
      <w:color w:val="000000"/>
      <w:sz w:val="24"/>
    </w:rPr>
  </w:style>
  <w:style w:type="paragraph" w:customStyle="1" w:styleId="306">
    <w:name w:val="此正文"/>
    <w:basedOn w:val="1"/>
    <w:autoRedefine/>
    <w:qFormat/>
    <w:uiPriority w:val="0"/>
    <w:pPr>
      <w:autoSpaceDE w:val="0"/>
      <w:autoSpaceDN w:val="0"/>
      <w:adjustRightInd w:val="0"/>
      <w:spacing w:line="360" w:lineRule="auto"/>
      <w:ind w:firstLine="200" w:firstLineChars="200"/>
      <w:jc w:val="left"/>
    </w:pPr>
    <w:rPr>
      <w:kern w:val="0"/>
      <w:sz w:val="24"/>
      <w:szCs w:val="20"/>
    </w:rPr>
  </w:style>
  <w:style w:type="paragraph" w:customStyle="1" w:styleId="307">
    <w:name w:val="Char11"/>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308">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309">
    <w:name w:val="a"/>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10">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11">
    <w:name w:val="xl83"/>
    <w:basedOn w:val="1"/>
    <w:autoRedefine/>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2">
    <w:name w:val="Char Char13"/>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13">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14">
    <w:name w:val="features1"/>
    <w:basedOn w:val="1"/>
    <w:autoRedefine/>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15">
    <w:name w:val="xl25"/>
    <w:basedOn w:val="1"/>
    <w:autoRedefine/>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16">
    <w:name w:val="章标题"/>
    <w:next w:val="1"/>
    <w:autoRedefine/>
    <w:qFormat/>
    <w:uiPriority w:val="0"/>
    <w:pPr>
      <w:tabs>
        <w:tab w:val="left" w:pos="3469"/>
      </w:tabs>
      <w:spacing w:beforeLines="50" w:afterLines="50"/>
      <w:ind w:left="3469" w:hanging="420"/>
      <w:jc w:val="both"/>
      <w:outlineLvl w:val="1"/>
    </w:pPr>
    <w:rPr>
      <w:rFonts w:ascii="黑体" w:hAnsi="Times New Roman" w:eastAsia="黑体" w:cs="Times New Roman"/>
      <w:sz w:val="21"/>
      <w:lang w:val="en-US" w:eastAsia="zh-CN" w:bidi="ar-SA"/>
    </w:rPr>
  </w:style>
  <w:style w:type="paragraph" w:customStyle="1" w:styleId="317">
    <w:name w:val="样式 标题 3 + 黑体 小四 非加粗"/>
    <w:basedOn w:val="5"/>
    <w:autoRedefine/>
    <w:qFormat/>
    <w:uiPriority w:val="0"/>
    <w:pPr>
      <w:spacing w:before="260" w:after="260" w:line="413" w:lineRule="auto"/>
    </w:pPr>
    <w:rPr>
      <w:rFonts w:ascii="黑体" w:hAnsi="黑体"/>
      <w:b w:val="0"/>
      <w:kern w:val="0"/>
      <w:sz w:val="24"/>
      <w:szCs w:val="32"/>
    </w:rPr>
  </w:style>
  <w:style w:type="paragraph" w:customStyle="1" w:styleId="318">
    <w:name w:val="正文_0_0"/>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19">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20">
    <w:name w:val="样式 左侧:  0.85 厘米 首行缩进:  0.85 厘米"/>
    <w:basedOn w:val="1"/>
    <w:autoRedefine/>
    <w:qFormat/>
    <w:uiPriority w:val="0"/>
    <w:pPr>
      <w:autoSpaceDE w:val="0"/>
      <w:autoSpaceDN w:val="0"/>
      <w:adjustRightInd w:val="0"/>
      <w:spacing w:line="360" w:lineRule="auto"/>
      <w:ind w:firstLine="482"/>
      <w:jc w:val="left"/>
    </w:pPr>
    <w:rPr>
      <w:rFonts w:cs="宋体"/>
      <w:kern w:val="0"/>
      <w:sz w:val="24"/>
      <w:szCs w:val="20"/>
    </w:rPr>
  </w:style>
  <w:style w:type="paragraph" w:customStyle="1" w:styleId="321">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22">
    <w:name w:val="VIT-Text"/>
    <w:basedOn w:val="1"/>
    <w:autoRedefine/>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23">
    <w:name w:val="文档正文"/>
    <w:basedOn w:val="1"/>
    <w:autoRedefine/>
    <w:qFormat/>
    <w:uiPriority w:val="0"/>
    <w:pPr>
      <w:adjustRightInd w:val="0"/>
      <w:spacing w:line="300" w:lineRule="auto"/>
      <w:ind w:firstLine="567"/>
      <w:textAlignment w:val="baseline"/>
    </w:pPr>
    <w:rPr>
      <w:kern w:val="0"/>
      <w:sz w:val="24"/>
      <w:szCs w:val="20"/>
    </w:rPr>
  </w:style>
  <w:style w:type="paragraph" w:customStyle="1" w:styleId="324">
    <w:name w:val="列出段落2"/>
    <w:basedOn w:val="1"/>
    <w:autoRedefine/>
    <w:qFormat/>
    <w:uiPriority w:val="0"/>
    <w:pPr>
      <w:ind w:firstLine="420" w:firstLineChars="200"/>
    </w:pPr>
  </w:style>
  <w:style w:type="paragraph" w:customStyle="1" w:styleId="325">
    <w:name w:val="标题五"/>
    <w:basedOn w:val="1"/>
    <w:autoRedefine/>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326">
    <w:name w:val="È±Ê¡ÎÄ±¾ Char"/>
    <w:basedOn w:val="1"/>
    <w:autoRedefine/>
    <w:qFormat/>
    <w:uiPriority w:val="0"/>
    <w:pPr>
      <w:widowControl/>
      <w:overflowPunct w:val="0"/>
      <w:autoSpaceDE w:val="0"/>
      <w:autoSpaceDN w:val="0"/>
      <w:adjustRightInd w:val="0"/>
      <w:textAlignment w:val="baseline"/>
    </w:pPr>
    <w:rPr>
      <w:szCs w:val="21"/>
      <w:lang w:val="zh-CN"/>
    </w:rPr>
  </w:style>
  <w:style w:type="paragraph" w:customStyle="1" w:styleId="327">
    <w:name w:val="p0"/>
    <w:basedOn w:val="1"/>
    <w:autoRedefine/>
    <w:qFormat/>
    <w:uiPriority w:val="0"/>
    <w:pPr>
      <w:widowControl/>
    </w:pPr>
    <w:rPr>
      <w:kern w:val="0"/>
      <w:szCs w:val="21"/>
    </w:rPr>
  </w:style>
  <w:style w:type="paragraph" w:customStyle="1" w:styleId="328">
    <w:name w:val="xl8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table" w:customStyle="1" w:styleId="329">
    <w:name w:val="TableGrid"/>
    <w:autoRedefine/>
    <w:qFormat/>
    <w:uiPriority w:val="0"/>
    <w:tblPr>
      <w:tblCellMar>
        <w:top w:w="0" w:type="dxa"/>
        <w:left w:w="0" w:type="dxa"/>
        <w:bottom w:w="0" w:type="dxa"/>
        <w:right w:w="0" w:type="dxa"/>
      </w:tblCellMar>
    </w:tblPr>
  </w:style>
  <w:style w:type="paragraph" w:styleId="330">
    <w:name w:val="List Paragraph"/>
    <w:basedOn w:val="1"/>
    <w:autoRedefine/>
    <w:qFormat/>
    <w:uiPriority w:val="99"/>
    <w:pPr>
      <w:ind w:firstLine="420" w:firstLineChars="200"/>
    </w:pPr>
  </w:style>
  <w:style w:type="paragraph" w:customStyle="1" w:styleId="331">
    <w:name w:val="正文段"/>
    <w:basedOn w:val="1"/>
    <w:autoRedefine/>
    <w:qFormat/>
    <w:uiPriority w:val="0"/>
    <w:pPr>
      <w:widowControl/>
      <w:snapToGrid w:val="0"/>
      <w:spacing w:afterLines="50"/>
      <w:ind w:firstLine="200" w:firstLineChars="200"/>
    </w:pPr>
    <w:rPr>
      <w:sz w:val="24"/>
      <w:szCs w:val="20"/>
    </w:rPr>
  </w:style>
  <w:style w:type="paragraph" w:customStyle="1" w:styleId="332">
    <w:name w:val="_Style 3"/>
    <w:basedOn w:val="1"/>
    <w:next w:val="1"/>
    <w:autoRedefine/>
    <w:qFormat/>
    <w:uiPriority w:val="34"/>
    <w:pPr>
      <w:spacing w:line="360" w:lineRule="auto"/>
      <w:ind w:firstLine="420" w:firstLineChars="200"/>
    </w:pPr>
  </w:style>
  <w:style w:type="paragraph" w:customStyle="1" w:styleId="333">
    <w:name w:val="_Style 2"/>
    <w:basedOn w:val="1"/>
    <w:next w:val="1"/>
    <w:autoRedefine/>
    <w:qFormat/>
    <w:uiPriority w:val="0"/>
    <w:pPr>
      <w:pBdr>
        <w:bottom w:val="single" w:color="auto" w:sz="6" w:space="1"/>
      </w:pBdr>
      <w:jc w:val="center"/>
    </w:pPr>
    <w:rPr>
      <w:rFonts w:ascii="Arial"/>
      <w:vanish/>
      <w:sz w:val="16"/>
    </w:rPr>
  </w:style>
  <w:style w:type="character" w:customStyle="1" w:styleId="334">
    <w:name w:val="font31"/>
    <w:basedOn w:val="54"/>
    <w:autoRedefine/>
    <w:qFormat/>
    <w:uiPriority w:val="0"/>
    <w:rPr>
      <w:rFonts w:hint="eastAsia" w:ascii="宋体" w:hAnsi="宋体" w:eastAsia="宋体" w:cs="宋体"/>
      <w:color w:val="000000"/>
      <w:sz w:val="24"/>
      <w:szCs w:val="24"/>
      <w:u w:val="single"/>
    </w:rPr>
  </w:style>
  <w:style w:type="paragraph" w:customStyle="1" w:styleId="335">
    <w:name w:val="表格文字"/>
    <w:basedOn w:val="1"/>
    <w:next w:val="21"/>
    <w:autoRedefine/>
    <w:qFormat/>
    <w:uiPriority w:val="0"/>
    <w:pPr>
      <w:adjustRightInd w:val="0"/>
      <w:spacing w:line="420" w:lineRule="atLeast"/>
      <w:jc w:val="left"/>
      <w:textAlignment w:val="baseline"/>
    </w:pPr>
    <w:rPr>
      <w:kern w:val="0"/>
    </w:rPr>
  </w:style>
  <w:style w:type="character" w:customStyle="1" w:styleId="336">
    <w:name w:val="font01"/>
    <w:basedOn w:val="54"/>
    <w:autoRedefine/>
    <w:qFormat/>
    <w:uiPriority w:val="0"/>
    <w:rPr>
      <w:rFonts w:ascii="Arial" w:hAnsi="Arial" w:cs="Arial"/>
      <w:color w:val="000000"/>
      <w:sz w:val="18"/>
      <w:szCs w:val="18"/>
      <w:u w:val="none"/>
    </w:rPr>
  </w:style>
  <w:style w:type="paragraph" w:customStyle="1" w:styleId="337">
    <w:name w:val="列出段落3"/>
    <w:basedOn w:val="1"/>
    <w:autoRedefine/>
    <w:qFormat/>
    <w:uiPriority w:val="34"/>
    <w:pPr>
      <w:adjustRightInd w:val="0"/>
      <w:snapToGrid w:val="0"/>
      <w:spacing w:after="200"/>
      <w:ind w:firstLine="420" w:firstLineChars="200"/>
    </w:pPr>
    <w:rPr>
      <w:rFonts w:ascii="Tahoma" w:hAnsi="Tahoma" w:eastAsia="微软雅黑"/>
      <w:sz w:val="22"/>
    </w:rPr>
  </w:style>
  <w:style w:type="paragraph" w:customStyle="1" w:styleId="338">
    <w:name w:val="标题3 附件1"/>
    <w:basedOn w:val="1"/>
    <w:autoRedefine/>
    <w:qFormat/>
    <w:uiPriority w:val="0"/>
    <w:pPr>
      <w:keepNext/>
      <w:keepLines/>
      <w:spacing w:before="340" w:after="330" w:line="360" w:lineRule="exact"/>
      <w:jc w:val="left"/>
      <w:outlineLvl w:val="2"/>
    </w:pPr>
    <w:rPr>
      <w:b/>
      <w:bCs/>
      <w:kern w:val="44"/>
      <w:szCs w:val="21"/>
    </w:rPr>
  </w:style>
  <w:style w:type="character" w:customStyle="1" w:styleId="339">
    <w:name w:val="font61"/>
    <w:basedOn w:val="54"/>
    <w:autoRedefine/>
    <w:qFormat/>
    <w:uiPriority w:val="0"/>
    <w:rPr>
      <w:rFonts w:hint="eastAsia" w:ascii="宋体" w:hAnsi="宋体" w:eastAsia="宋体" w:cs="宋体"/>
      <w:color w:val="000000"/>
      <w:sz w:val="20"/>
      <w:szCs w:val="20"/>
      <w:u w:val="none"/>
    </w:rPr>
  </w:style>
  <w:style w:type="character" w:customStyle="1" w:styleId="340">
    <w:name w:val="font81"/>
    <w:basedOn w:val="54"/>
    <w:autoRedefine/>
    <w:qFormat/>
    <w:uiPriority w:val="0"/>
    <w:rPr>
      <w:rFonts w:ascii="Calibri" w:hAnsi="Calibri" w:cs="Calibri"/>
      <w:color w:val="000000"/>
      <w:sz w:val="20"/>
      <w:szCs w:val="20"/>
      <w:u w:val="none"/>
    </w:rPr>
  </w:style>
  <w:style w:type="character" w:customStyle="1" w:styleId="341">
    <w:name w:val="font71"/>
    <w:basedOn w:val="54"/>
    <w:autoRedefine/>
    <w:qFormat/>
    <w:uiPriority w:val="0"/>
    <w:rPr>
      <w:rFonts w:hint="eastAsia" w:ascii="宋体" w:hAnsi="宋体" w:eastAsia="宋体" w:cs="宋体"/>
      <w:color w:val="000000"/>
      <w:sz w:val="22"/>
      <w:szCs w:val="22"/>
      <w:u w:val="none"/>
    </w:rPr>
  </w:style>
  <w:style w:type="paragraph" w:customStyle="1" w:styleId="342">
    <w:name w:val="Other|1"/>
    <w:basedOn w:val="1"/>
    <w:autoRedefine/>
    <w:qFormat/>
    <w:uiPriority w:val="0"/>
    <w:pPr>
      <w:spacing w:line="475" w:lineRule="auto"/>
      <w:ind w:firstLine="400"/>
    </w:pPr>
    <w:rPr>
      <w:rFonts w:ascii="宋体" w:hAnsi="宋体" w:cs="宋体"/>
      <w:sz w:val="18"/>
      <w:szCs w:val="18"/>
      <w:lang w:val="zh-TW" w:eastAsia="zh-TW" w:bidi="zh-TW"/>
    </w:rPr>
  </w:style>
  <w:style w:type="character" w:customStyle="1" w:styleId="343">
    <w:name w:val="NormalCharacter"/>
    <w:autoRedefine/>
    <w:qFormat/>
    <w:uiPriority w:val="0"/>
    <w:rPr>
      <w:kern w:val="2"/>
      <w:sz w:val="21"/>
      <w:szCs w:val="24"/>
      <w:lang w:val="en-US" w:eastAsia="zh-CN" w:bidi="ar-SA"/>
    </w:rPr>
  </w:style>
  <w:style w:type="paragraph" w:customStyle="1" w:styleId="344">
    <w:name w:val="Heading3"/>
    <w:basedOn w:val="1"/>
    <w:next w:val="1"/>
    <w:autoRedefine/>
    <w:qFormat/>
    <w:uiPriority w:val="0"/>
    <w:pPr>
      <w:keepNext/>
      <w:keepLines/>
      <w:spacing w:line="540" w:lineRule="atLeast"/>
    </w:pPr>
    <w:rPr>
      <w:rFonts w:eastAsia="黑体"/>
      <w:b/>
      <w:sz w:val="28"/>
      <w:szCs w:val="20"/>
    </w:rPr>
  </w:style>
  <w:style w:type="paragraph" w:customStyle="1" w:styleId="345">
    <w:name w:val="NormalIndent"/>
    <w:basedOn w:val="1"/>
    <w:next w:val="1"/>
    <w:autoRedefine/>
    <w:qFormat/>
    <w:uiPriority w:val="0"/>
    <w:pPr>
      <w:spacing w:line="312" w:lineRule="atLeast"/>
      <w:ind w:firstLine="420"/>
    </w:pPr>
    <w:rPr>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中国远东国际贸易总公司</Company>
  <Pages>59</Pages>
  <Words>5077</Words>
  <Characters>28939</Characters>
  <Lines>241</Lines>
  <Paragraphs>67</Paragraphs>
  <TotalTime>0</TotalTime>
  <ScaleCrop>false</ScaleCrop>
  <LinksUpToDate>false</LinksUpToDate>
  <CharactersWithSpaces>33949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2024-03-13T06:00:00Z</dcterms:created>
  <dc:creator>zyq</dc:creator>
  <cp:lastModifiedBy>历程招标</cp:lastModifiedBy>
  <cp:lastPrinted>2021-04-27T08:25:00Z</cp:lastPrinted>
  <dcterms:modified xsi:type="dcterms:W3CDTF">2024-04-25T03:00:33Z</dcterms:modified>
  <dc:title>招标文件目录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5F1FCC1E33264BF5917D4AF254DD4032</vt:lpwstr>
  </property>
</Properties>
</file>