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5580"/>
        </w:tabs>
        <w:spacing w:before="624" w:beforeLines="200"/>
        <w:jc w:val="left"/>
        <w:rPr>
          <w:rFonts w:hint="default" w:ascii="宋体" w:hAnsi="宋体" w:eastAsia="宋体" w:cs="宋体"/>
          <w:color w:val="auto"/>
          <w:sz w:val="72"/>
          <w:szCs w:val="72"/>
          <w:highlight w:val="none"/>
          <w:lang w:val="en-US"/>
        </w:rPr>
      </w:pPr>
      <w:r>
        <w:rPr>
          <w:rFonts w:hint="eastAsia" w:ascii="宋体" w:hAnsi="宋体" w:eastAsia="宋体" w:cs="宋体"/>
          <w:color w:val="auto"/>
          <w:sz w:val="72"/>
          <w:szCs w:val="72"/>
          <w:highlight w:val="none"/>
        </w:rPr>
        <w:drawing>
          <wp:anchor distT="0" distB="0" distL="114300" distR="114300" simplePos="0" relativeHeight="251659264" behindDoc="0" locked="0" layoutInCell="1" allowOverlap="1">
            <wp:simplePos x="0" y="0"/>
            <wp:positionH relativeFrom="column">
              <wp:posOffset>612140</wp:posOffset>
            </wp:positionH>
            <wp:positionV relativeFrom="paragraph">
              <wp:posOffset>63500</wp:posOffset>
            </wp:positionV>
            <wp:extent cx="4293235" cy="541655"/>
            <wp:effectExtent l="0" t="0" r="12065" b="1079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4"/>
                    <a:stretch>
                      <a:fillRect/>
                    </a:stretch>
                  </pic:blipFill>
                  <pic:spPr>
                    <a:xfrm>
                      <a:off x="0" y="0"/>
                      <a:ext cx="4293235" cy="541655"/>
                    </a:xfrm>
                    <a:prstGeom prst="rect">
                      <a:avLst/>
                    </a:prstGeom>
                    <a:noFill/>
                    <a:ln>
                      <a:noFill/>
                    </a:ln>
                  </pic:spPr>
                </pic:pic>
              </a:graphicData>
            </a:graphic>
          </wp:anchor>
        </w:drawing>
      </w:r>
      <w:r>
        <w:rPr>
          <w:rFonts w:hint="eastAsia" w:ascii="宋体" w:hAnsi="宋体" w:eastAsia="宋体" w:cs="宋体"/>
          <w:color w:val="auto"/>
          <w:sz w:val="72"/>
          <w:szCs w:val="72"/>
          <w:highlight w:val="non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color w:val="auto"/>
          <w:sz w:val="48"/>
          <w:szCs w:val="48"/>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781" w:beforeLines="250" w:line="700" w:lineRule="exact"/>
        <w:jc w:val="center"/>
        <w:textAlignment w:val="auto"/>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2024年度瑞安市供销合作社联合社农资应急储备项目（重）</w:t>
      </w:r>
    </w:p>
    <w:p>
      <w:pPr>
        <w:shd w:val="clear" w:color="auto" w:fill="auto"/>
        <w:spacing w:line="1120" w:lineRule="exact"/>
        <w:jc w:val="both"/>
        <w:rPr>
          <w:rFonts w:hint="eastAsia" w:ascii="宋体" w:hAnsi="宋体" w:eastAsia="宋体" w:cs="宋体"/>
          <w:b/>
          <w:bCs/>
          <w:color w:val="auto"/>
          <w:sz w:val="84"/>
          <w:szCs w:val="84"/>
          <w:highlight w:val="none"/>
        </w:rPr>
      </w:pPr>
    </w:p>
    <w:p>
      <w:pPr>
        <w:shd w:val="clear" w:color="auto" w:fill="auto"/>
        <w:spacing w:line="1120" w:lineRule="exact"/>
        <w:jc w:val="center"/>
        <w:rPr>
          <w:rFonts w:hint="eastAsia"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采</w:t>
      </w:r>
    </w:p>
    <w:p>
      <w:pPr>
        <w:shd w:val="clear" w:color="auto" w:fill="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购</w:t>
      </w:r>
    </w:p>
    <w:p>
      <w:pPr>
        <w:shd w:val="clear" w:color="auto" w:fill="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shd w:val="clear" w:color="auto" w:fill="auto"/>
        <w:jc w:val="center"/>
        <w:rPr>
          <w:rFonts w:hint="eastAsia" w:ascii="宋体" w:hAnsi="宋体" w:eastAsia="宋体" w:cs="宋体"/>
          <w:color w:val="auto"/>
          <w:sz w:val="72"/>
          <w:szCs w:val="72"/>
          <w:highlight w:val="none"/>
        </w:rPr>
      </w:pPr>
      <w:r>
        <w:rPr>
          <w:rFonts w:hint="eastAsia" w:ascii="宋体" w:hAnsi="宋体" w:eastAsia="宋体" w:cs="宋体"/>
          <w:b/>
          <w:bCs/>
          <w:color w:val="auto"/>
          <w:sz w:val="72"/>
          <w:szCs w:val="72"/>
          <w:highlight w:val="none"/>
        </w:rPr>
        <w:t>件</w:t>
      </w:r>
    </w:p>
    <w:p>
      <w:pPr>
        <w:shd w:val="clear" w:color="auto" w:fill="auto"/>
        <w:spacing w:line="400" w:lineRule="exact"/>
        <w:rPr>
          <w:rFonts w:hint="eastAsia" w:ascii="宋体" w:hAnsi="宋体" w:eastAsia="宋体" w:cs="宋体"/>
          <w:color w:val="auto"/>
          <w:sz w:val="28"/>
          <w:highlight w:val="none"/>
        </w:rPr>
      </w:pPr>
    </w:p>
    <w:p>
      <w:pPr>
        <w:pStyle w:val="11"/>
        <w:keepNext w:val="0"/>
        <w:keepLines w:val="0"/>
        <w:pageBreakBefore w:val="0"/>
        <w:widowControl w:val="0"/>
        <w:shd w:val="clear" w:color="auto" w:fill="auto"/>
        <w:tabs>
          <w:tab w:val="left" w:pos="1500"/>
          <w:tab w:val="clear" w:pos="4153"/>
          <w:tab w:val="clear" w:pos="8306"/>
        </w:tabs>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30"/>
          <w:szCs w:val="30"/>
          <w:highlight w:val="none"/>
        </w:rPr>
        <w:t xml:space="preserve">        项  目 编 号：</w:t>
      </w:r>
      <w:r>
        <w:rPr>
          <w:rFonts w:hint="eastAsia" w:ascii="宋体" w:hAnsi="宋体" w:cs="宋体"/>
          <w:color w:val="auto"/>
          <w:sz w:val="28"/>
          <w:szCs w:val="28"/>
          <w:highlight w:val="none"/>
          <w:lang w:eastAsia="zh-CN"/>
        </w:rPr>
        <w:t>RYCG20240116-</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  购 方 式：</w:t>
      </w:r>
      <w:r>
        <w:rPr>
          <w:rFonts w:hint="eastAsia" w:ascii="宋体" w:hAnsi="宋体" w:cs="宋体"/>
          <w:color w:val="auto"/>
          <w:sz w:val="30"/>
          <w:szCs w:val="30"/>
          <w:highlight w:val="none"/>
          <w:lang w:eastAsia="zh-CN"/>
        </w:rPr>
        <w:t>单一来源采购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采</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购</w:t>
      </w:r>
      <w:r>
        <w:rPr>
          <w:rFonts w:hint="eastAsia" w:ascii="宋体" w:hAnsi="宋体" w:eastAsia="宋体" w:cs="宋体"/>
          <w:color w:val="auto"/>
          <w:sz w:val="30"/>
          <w:szCs w:val="30"/>
          <w:highlight w:val="none"/>
        </w:rPr>
        <w:t xml:space="preserve">   人：</w:t>
      </w:r>
      <w:r>
        <w:rPr>
          <w:rFonts w:hint="eastAsia" w:ascii="宋体" w:hAnsi="宋体" w:cs="宋体"/>
          <w:color w:val="auto"/>
          <w:sz w:val="30"/>
          <w:szCs w:val="30"/>
          <w:highlight w:val="none"/>
          <w:lang w:eastAsia="zh-CN"/>
        </w:rPr>
        <w:t>瑞安市供销合作社联合社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采购代理机构：浙江瑞扬工程咨询招标代理股份有限公司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三</w:t>
      </w:r>
      <w:r>
        <w:rPr>
          <w:rFonts w:hint="eastAsia" w:ascii="宋体" w:hAnsi="宋体" w:eastAsia="宋体" w:cs="宋体"/>
          <w:color w:val="auto"/>
          <w:sz w:val="30"/>
          <w:szCs w:val="30"/>
          <w:highlight w:val="none"/>
        </w:rPr>
        <w:t>月</w:t>
      </w:r>
    </w:p>
    <w:p>
      <w:pPr>
        <w:widowControl/>
        <w:shd w:val="clear" w:color="auto" w:fill="auto"/>
        <w:jc w:val="left"/>
        <w:rPr>
          <w:rFonts w:hint="eastAsia" w:ascii="宋体" w:hAnsi="宋体" w:eastAsia="宋体" w:cs="宋体"/>
          <w:color w:val="auto"/>
          <w:highlight w:val="none"/>
        </w:rPr>
      </w:pPr>
    </w:p>
    <w:p>
      <w:pPr>
        <w:widowControl/>
        <w:shd w:val="clear" w:color="auto" w:fill="auto"/>
        <w:jc w:val="left"/>
        <w:rPr>
          <w:rFonts w:hint="eastAsia" w:ascii="宋体" w:hAnsi="宋体" w:eastAsia="宋体" w:cs="宋体"/>
          <w:color w:val="auto"/>
          <w:highlight w:val="none"/>
        </w:rPr>
        <w:sectPr>
          <w:headerReference r:id="rId5" w:type="first"/>
          <w:headerReference r:id="rId3" w:type="default"/>
          <w:footerReference r:id="rId6" w:type="default"/>
          <w:headerReference r:id="rId4" w:type="even"/>
          <w:pgSz w:w="11906" w:h="16838"/>
          <w:pgMar w:top="1134" w:right="1418" w:bottom="1020" w:left="1418" w:header="680" w:footer="680"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ascii="宋体" w:hAnsi="宋体" w:eastAsia="宋体" w:cs="Times New Roman"/>
          <w:b/>
          <w:bCs/>
          <w:kern w:val="2"/>
          <w:sz w:val="40"/>
          <w:szCs w:val="40"/>
          <w:lang w:val="en-US" w:eastAsia="zh-CN" w:bidi="ar-SA"/>
        </w:rPr>
        <w:id w:val="147479093"/>
        <w15:color w:val="DBDBDB"/>
        <w:docPartObj>
          <w:docPartGallery w:val="Table of Contents"/>
          <w:docPartUnique/>
        </w:docPartObj>
      </w:sdtPr>
      <w:sdtEndPr>
        <w:rPr>
          <w:rFonts w:ascii="宋体" w:hAnsi="宋体" w:eastAsia="宋体" w:cs="Times New Roman"/>
          <w:b/>
          <w:bCs/>
          <w:kern w:val="2"/>
          <w:sz w:val="40"/>
          <w:szCs w:val="4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b/>
              <w:bCs/>
              <w:sz w:val="40"/>
              <w:szCs w:val="40"/>
            </w:rPr>
          </w:pPr>
          <w:bookmarkStart w:id="0" w:name="_Toc440617839"/>
          <w:bookmarkStart w:id="1" w:name="_Toc474156082"/>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pPr>
            <w:pStyle w:val="13"/>
            <w:keepNext w:val="0"/>
            <w:keepLines w:val="0"/>
            <w:pageBreakBefore w:val="0"/>
            <w:tabs>
              <w:tab w:val="right" w:leader="dot" w:pos="9070"/>
              <w:tab w:val="clear" w:pos="945"/>
              <w:tab w:val="clear" w:pos="8948"/>
            </w:tabs>
            <w:kinsoku/>
            <w:wordWrap/>
            <w:overflowPunct/>
            <w:topLinePunct w:val="0"/>
            <w:autoSpaceDE/>
            <w:autoSpaceDN/>
            <w:bidi w:val="0"/>
            <w:adjustRightInd/>
            <w:snapToGrid/>
            <w:spacing w:line="480" w:lineRule="auto"/>
            <w:textAlignment w:val="auto"/>
          </w:pPr>
          <w:r>
            <w:fldChar w:fldCharType="begin"/>
          </w:r>
          <w:r>
            <w:instrText xml:space="preserve">TOC \o "1-3" \h \u </w:instrText>
          </w:r>
          <w:r>
            <w:fldChar w:fldCharType="separate"/>
          </w:r>
          <w:r>
            <w:fldChar w:fldCharType="begin"/>
          </w:r>
          <w:r>
            <w:instrText xml:space="preserve"> HYPERLINK \l _Toc26029 </w:instrText>
          </w:r>
          <w:r>
            <w:fldChar w:fldCharType="separate"/>
          </w:r>
          <w:r>
            <w:rPr>
              <w:rFonts w:hint="eastAsia" w:ascii="宋体" w:hAnsi="宋体" w:eastAsia="宋体" w:cs="宋体"/>
              <w:szCs w:val="40"/>
            </w:rPr>
            <w:t xml:space="preserve">第一部分 </w:t>
          </w:r>
          <w:r>
            <w:rPr>
              <w:rFonts w:hint="eastAsia" w:ascii="宋体" w:hAnsi="宋体" w:eastAsia="宋体" w:cs="宋体"/>
              <w:szCs w:val="40"/>
              <w:highlight w:val="none"/>
            </w:rPr>
            <w:t>单一来源采购邀请函</w:t>
          </w:r>
          <w:r>
            <w:tab/>
          </w:r>
          <w:r>
            <w:fldChar w:fldCharType="begin"/>
          </w:r>
          <w:r>
            <w:instrText xml:space="preserve"> PAGEREF _Toc26029 \h </w:instrText>
          </w:r>
          <w:r>
            <w:fldChar w:fldCharType="separate"/>
          </w:r>
          <w:r>
            <w:t>- 2 -</w:t>
          </w:r>
          <w:r>
            <w:fldChar w:fldCharType="end"/>
          </w:r>
          <w:r>
            <w:fldChar w:fldCharType="end"/>
          </w:r>
        </w:p>
        <w:p>
          <w:pPr>
            <w:pStyle w:val="13"/>
            <w:keepNext w:val="0"/>
            <w:keepLines w:val="0"/>
            <w:pageBreakBefore w:val="0"/>
            <w:tabs>
              <w:tab w:val="right" w:leader="dot" w:pos="9070"/>
              <w:tab w:val="clear" w:pos="945"/>
              <w:tab w:val="clear" w:pos="8948"/>
            </w:tabs>
            <w:kinsoku/>
            <w:wordWrap/>
            <w:overflowPunct/>
            <w:topLinePunct w:val="0"/>
            <w:autoSpaceDE/>
            <w:autoSpaceDN/>
            <w:bidi w:val="0"/>
            <w:adjustRightInd/>
            <w:snapToGrid/>
            <w:spacing w:line="480" w:lineRule="auto"/>
            <w:textAlignment w:val="auto"/>
          </w:pPr>
          <w:r>
            <w:fldChar w:fldCharType="begin"/>
          </w:r>
          <w:r>
            <w:instrText xml:space="preserve"> HYPERLINK \l _Toc12325 </w:instrText>
          </w:r>
          <w:r>
            <w:fldChar w:fldCharType="separate"/>
          </w:r>
          <w:r>
            <w:rPr>
              <w:rFonts w:hint="eastAsia" w:ascii="宋体" w:hAnsi="宋体" w:eastAsia="宋体" w:cs="宋体"/>
              <w:szCs w:val="36"/>
              <w:lang w:val="en-US" w:eastAsia="zh-CN"/>
            </w:rPr>
            <w:t xml:space="preserve">第二部分 </w:t>
          </w:r>
          <w:r>
            <w:rPr>
              <w:rFonts w:hint="eastAsia" w:ascii="宋体" w:hAnsi="宋体" w:cs="宋体"/>
              <w:szCs w:val="36"/>
              <w:highlight w:val="none"/>
              <w:lang w:eastAsia="zh-CN"/>
            </w:rPr>
            <w:t>商谈供应商须知</w:t>
          </w:r>
          <w:r>
            <w:tab/>
          </w:r>
          <w:r>
            <w:fldChar w:fldCharType="begin"/>
          </w:r>
          <w:r>
            <w:instrText xml:space="preserve"> PAGEREF _Toc12325 \h </w:instrText>
          </w:r>
          <w:r>
            <w:fldChar w:fldCharType="separate"/>
          </w:r>
          <w:r>
            <w:t>- 5 -</w:t>
          </w:r>
          <w:r>
            <w:fldChar w:fldCharType="end"/>
          </w:r>
          <w:r>
            <w:fldChar w:fldCharType="end"/>
          </w:r>
        </w:p>
        <w:p>
          <w:pPr>
            <w:pStyle w:val="13"/>
            <w:keepNext w:val="0"/>
            <w:keepLines w:val="0"/>
            <w:pageBreakBefore w:val="0"/>
            <w:tabs>
              <w:tab w:val="right" w:leader="dot" w:pos="9070"/>
              <w:tab w:val="clear" w:pos="945"/>
              <w:tab w:val="clear" w:pos="8948"/>
            </w:tabs>
            <w:kinsoku/>
            <w:wordWrap/>
            <w:overflowPunct/>
            <w:topLinePunct w:val="0"/>
            <w:autoSpaceDE/>
            <w:autoSpaceDN/>
            <w:bidi w:val="0"/>
            <w:adjustRightInd/>
            <w:snapToGrid/>
            <w:spacing w:line="480" w:lineRule="auto"/>
            <w:textAlignment w:val="auto"/>
          </w:pPr>
          <w:r>
            <w:fldChar w:fldCharType="begin"/>
          </w:r>
          <w:r>
            <w:instrText xml:space="preserve"> HYPERLINK \l _Toc26365 </w:instrText>
          </w:r>
          <w:r>
            <w:fldChar w:fldCharType="separate"/>
          </w:r>
          <w:r>
            <w:rPr>
              <w:rFonts w:hint="eastAsia" w:ascii="宋体" w:hAnsi="宋体" w:eastAsia="宋体" w:cs="宋体"/>
              <w:szCs w:val="40"/>
              <w:highlight w:val="none"/>
            </w:rPr>
            <w:t xml:space="preserve">第三部分  </w:t>
          </w:r>
          <w:r>
            <w:rPr>
              <w:rFonts w:hint="eastAsia" w:ascii="宋体" w:hAnsi="宋体" w:eastAsia="宋体" w:cs="宋体"/>
              <w:szCs w:val="40"/>
              <w:highlight w:val="none"/>
              <w:lang w:val="en-US" w:eastAsia="zh-CN"/>
            </w:rPr>
            <w:t>采购需求</w:t>
          </w:r>
          <w:r>
            <w:tab/>
          </w:r>
          <w:r>
            <w:fldChar w:fldCharType="begin"/>
          </w:r>
          <w:r>
            <w:instrText xml:space="preserve"> PAGEREF _Toc26365 \h </w:instrText>
          </w:r>
          <w:r>
            <w:fldChar w:fldCharType="separate"/>
          </w:r>
          <w:r>
            <w:t>18</w:t>
          </w:r>
          <w:r>
            <w:fldChar w:fldCharType="end"/>
          </w:r>
          <w:r>
            <w:fldChar w:fldCharType="end"/>
          </w:r>
        </w:p>
        <w:p>
          <w:pPr>
            <w:pStyle w:val="13"/>
            <w:keepNext w:val="0"/>
            <w:keepLines w:val="0"/>
            <w:pageBreakBefore w:val="0"/>
            <w:tabs>
              <w:tab w:val="right" w:leader="dot" w:pos="9070"/>
              <w:tab w:val="clear" w:pos="945"/>
              <w:tab w:val="clear" w:pos="8948"/>
            </w:tabs>
            <w:kinsoku/>
            <w:wordWrap/>
            <w:overflowPunct/>
            <w:topLinePunct w:val="0"/>
            <w:autoSpaceDE/>
            <w:autoSpaceDN/>
            <w:bidi w:val="0"/>
            <w:adjustRightInd/>
            <w:snapToGrid/>
            <w:spacing w:line="480" w:lineRule="auto"/>
            <w:textAlignment w:val="auto"/>
          </w:pPr>
          <w:r>
            <w:fldChar w:fldCharType="begin"/>
          </w:r>
          <w:r>
            <w:instrText xml:space="preserve"> HYPERLINK \l _Toc12277 </w:instrText>
          </w:r>
          <w:r>
            <w:fldChar w:fldCharType="separate"/>
          </w:r>
          <w:r>
            <w:rPr>
              <w:rFonts w:hint="eastAsia" w:ascii="宋体" w:hAnsi="宋体" w:eastAsia="宋体" w:cs="宋体"/>
              <w:kern w:val="44"/>
              <w:szCs w:val="32"/>
              <w:highlight w:val="none"/>
              <w:lang w:val="en-US" w:eastAsia="zh-CN" w:bidi="ar-SA"/>
            </w:rPr>
            <w:t>第四部分   评标办法</w:t>
          </w:r>
          <w:r>
            <w:tab/>
          </w:r>
          <w:r>
            <w:fldChar w:fldCharType="begin"/>
          </w:r>
          <w:r>
            <w:instrText xml:space="preserve"> PAGEREF _Toc12277 \h </w:instrText>
          </w:r>
          <w:r>
            <w:fldChar w:fldCharType="separate"/>
          </w:r>
          <w:r>
            <w:t>20</w:t>
          </w:r>
          <w:r>
            <w:fldChar w:fldCharType="end"/>
          </w:r>
          <w:r>
            <w:fldChar w:fldCharType="end"/>
          </w:r>
        </w:p>
        <w:p>
          <w:pPr>
            <w:pStyle w:val="13"/>
            <w:keepNext w:val="0"/>
            <w:keepLines w:val="0"/>
            <w:pageBreakBefore w:val="0"/>
            <w:tabs>
              <w:tab w:val="right" w:leader="dot" w:pos="9070"/>
              <w:tab w:val="clear" w:pos="945"/>
              <w:tab w:val="clear" w:pos="8948"/>
            </w:tabs>
            <w:kinsoku/>
            <w:wordWrap/>
            <w:overflowPunct/>
            <w:topLinePunct w:val="0"/>
            <w:autoSpaceDE/>
            <w:autoSpaceDN/>
            <w:bidi w:val="0"/>
            <w:adjustRightInd/>
            <w:snapToGrid/>
            <w:spacing w:line="480" w:lineRule="auto"/>
            <w:textAlignment w:val="auto"/>
          </w:pPr>
          <w:r>
            <w:fldChar w:fldCharType="begin"/>
          </w:r>
          <w:r>
            <w:instrText xml:space="preserve"> HYPERLINK \l _Toc12136 </w:instrText>
          </w:r>
          <w:r>
            <w:fldChar w:fldCharType="separate"/>
          </w:r>
          <w:r>
            <w:rPr>
              <w:rFonts w:hint="eastAsia" w:ascii="宋体" w:hAnsi="宋体" w:eastAsia="宋体" w:cs="宋体"/>
              <w:kern w:val="44"/>
              <w:szCs w:val="32"/>
              <w:highlight w:val="none"/>
              <w:lang w:val="en-US" w:eastAsia="zh-CN" w:bidi="ar-SA"/>
            </w:rPr>
            <w:t>第五部分  拟签订的合同文本</w:t>
          </w:r>
          <w:r>
            <w:tab/>
          </w:r>
          <w:r>
            <w:fldChar w:fldCharType="begin"/>
          </w:r>
          <w:r>
            <w:instrText xml:space="preserve"> PAGEREF _Toc12136 \h </w:instrText>
          </w:r>
          <w:r>
            <w:fldChar w:fldCharType="separate"/>
          </w:r>
          <w:r>
            <w:t>23</w:t>
          </w:r>
          <w:r>
            <w:fldChar w:fldCharType="end"/>
          </w:r>
          <w:r>
            <w:fldChar w:fldCharType="end"/>
          </w:r>
        </w:p>
        <w:p>
          <w:pPr>
            <w:pStyle w:val="13"/>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480" w:lineRule="auto"/>
            <w:textAlignment w:val="auto"/>
          </w:pPr>
          <w:r>
            <w:fldChar w:fldCharType="begin"/>
          </w:r>
          <w:r>
            <w:instrText xml:space="preserve"> HYPERLINK \l _Toc21271 </w:instrText>
          </w:r>
          <w: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六</w:t>
          </w:r>
          <w:r>
            <w:rPr>
              <w:rFonts w:hint="eastAsia" w:ascii="宋体" w:hAnsi="宋体" w:eastAsia="宋体" w:cs="宋体"/>
              <w:szCs w:val="36"/>
              <w:highlight w:val="none"/>
            </w:rPr>
            <w:t>部分  应提交的有关格式范例</w:t>
          </w:r>
          <w:r>
            <w:tab/>
          </w:r>
          <w:r>
            <w:fldChar w:fldCharType="begin"/>
          </w:r>
          <w:r>
            <w:instrText xml:space="preserve"> PAGEREF _Toc21271 \h </w:instrText>
          </w:r>
          <w:r>
            <w:fldChar w:fldCharType="separate"/>
          </w:r>
          <w:r>
            <w:t>- 26 -</w:t>
          </w:r>
          <w:r>
            <w:fldChar w:fldCharType="end"/>
          </w:r>
          <w:r>
            <w:fldChar w:fldCharType="end"/>
          </w:r>
        </w:p>
        <w:p>
          <w:pPr>
            <w:keepNext w:val="0"/>
            <w:keepLines w:val="0"/>
            <w:pageBreakBefore w:val="0"/>
            <w:kinsoku/>
            <w:wordWrap/>
            <w:overflowPunct/>
            <w:topLinePunct w:val="0"/>
            <w:autoSpaceDE/>
            <w:autoSpaceDN/>
            <w:bidi w:val="0"/>
            <w:adjustRightInd/>
            <w:snapToGrid/>
            <w:spacing w:line="480" w:lineRule="auto"/>
            <w:textAlignment w:val="auto"/>
          </w:pPr>
          <w:r>
            <w:fldChar w:fldCharType="end"/>
          </w:r>
        </w:p>
      </w:sdtContent>
    </w:sdt>
    <w:p>
      <w:pPr>
        <w:pStyle w:val="15"/>
        <w:shd w:val="clear" w:color="auto" w:fill="auto"/>
        <w:spacing w:before="0" w:after="0" w:line="480" w:lineRule="auto"/>
        <w:rPr>
          <w:rFonts w:hint="eastAsia" w:ascii="宋体" w:hAnsi="宋体" w:eastAsia="宋体" w:cs="宋体"/>
          <w:smallCaps w:val="0"/>
          <w:color w:val="auto"/>
          <w:szCs w:val="24"/>
          <w:highlight w:val="none"/>
        </w:rPr>
        <w:sectPr>
          <w:footerReference r:id="rId7" w:type="default"/>
          <w:pgSz w:w="11906" w:h="16838"/>
          <w:pgMar w:top="1247" w:right="1418" w:bottom="1134" w:left="1418" w:header="680" w:footer="680"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3"/>
        <w:keepNext w:val="0"/>
        <w:keepLines w:val="0"/>
        <w:pageBreakBefore/>
        <w:widowControl w:val="0"/>
        <w:numPr>
          <w:ilvl w:val="0"/>
          <w:numId w:val="1"/>
        </w:numPr>
        <w:shd w:val="clear" w:color="auto" w:fill="auto"/>
        <w:tabs>
          <w:tab w:val="left" w:pos="840"/>
        </w:tabs>
        <w:kinsoku/>
        <w:wordWrap/>
        <w:overflowPunct/>
        <w:topLinePunct w:val="0"/>
        <w:autoSpaceDE/>
        <w:autoSpaceDN/>
        <w:bidi w:val="0"/>
        <w:adjustRightInd/>
        <w:snapToGrid/>
        <w:spacing w:before="120" w:beforeLines="50" w:after="157" w:afterLines="50" w:line="240" w:lineRule="auto"/>
        <w:jc w:val="center"/>
        <w:textAlignment w:val="auto"/>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 xml:space="preserve"> </w:t>
      </w:r>
      <w:bookmarkStart w:id="2" w:name="_Toc24067"/>
      <w:bookmarkStart w:id="3" w:name="_Toc26029"/>
      <w:r>
        <w:rPr>
          <w:rFonts w:hint="eastAsia" w:ascii="宋体" w:hAnsi="宋体" w:eastAsia="宋体" w:cs="宋体"/>
          <w:color w:val="auto"/>
          <w:sz w:val="32"/>
          <w:szCs w:val="40"/>
          <w:highlight w:val="none"/>
        </w:rPr>
        <w:t>单一来源采购邀请函</w:t>
      </w:r>
      <w:bookmarkEnd w:id="2"/>
      <w:bookmarkEnd w:id="3"/>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发布时间：2024年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日</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Arial" w:hAnsi="Arial" w:cs="Arial"/>
          <w:b/>
          <w:bCs/>
          <w:color w:val="auto"/>
          <w:highlight w:val="none"/>
          <w:u w:val="single"/>
          <w:lang w:eastAsia="zh-CN"/>
        </w:rPr>
        <w:t>浙农现代农业（瑞安）有限公司</w:t>
      </w:r>
      <w:r>
        <w:rPr>
          <w:rFonts w:hint="eastAsia" w:ascii="宋体" w:hAnsi="宋体" w:eastAsia="宋体" w:cs="宋体"/>
          <w:color w:val="auto"/>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浙江瑞扬工程咨询招标代理股份有限公司受</w:t>
      </w:r>
      <w:r>
        <w:rPr>
          <w:rFonts w:hint="eastAsia" w:ascii="宋体" w:hAnsi="宋体" w:cs="宋体"/>
          <w:color w:val="auto"/>
          <w:szCs w:val="21"/>
          <w:highlight w:val="none"/>
          <w:lang w:eastAsia="zh-CN"/>
        </w:rPr>
        <w:t>瑞安市供销合作社联合社</w:t>
      </w:r>
      <w:r>
        <w:rPr>
          <w:rFonts w:hint="eastAsia" w:ascii="宋体" w:hAnsi="宋体" w:eastAsia="宋体" w:cs="宋体"/>
          <w:color w:val="auto"/>
          <w:szCs w:val="21"/>
          <w:highlight w:val="none"/>
        </w:rPr>
        <w:t>的委托，对</w:t>
      </w:r>
      <w:r>
        <w:rPr>
          <w:rFonts w:hint="eastAsia" w:ascii="宋体" w:hAnsi="宋体" w:cs="宋体"/>
          <w:color w:val="auto"/>
          <w:szCs w:val="21"/>
          <w:highlight w:val="none"/>
          <w:lang w:eastAsia="zh-CN"/>
        </w:rPr>
        <w:t>2024年度瑞安市供销合作社联合社农资应急储备项目（重）</w:t>
      </w:r>
      <w:r>
        <w:rPr>
          <w:rFonts w:hint="eastAsia" w:ascii="宋体" w:hAnsi="宋体" w:eastAsia="宋体" w:cs="宋体"/>
          <w:color w:val="auto"/>
          <w:szCs w:val="21"/>
          <w:highlight w:val="none"/>
        </w:rPr>
        <w:t>进行单一来源采购。你单位已作为本次采购商谈对象。现通知贵公司前来领取采购文件，并请按采购文件的要求认真准备好采购响应文件，按时前来商谈。现将有关事项通知如下：</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一、项目基本情况</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RYCG20240116-</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2024年度瑞安市供销合作社联合社农资应急储备项目（重）</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450000</w:t>
      </w:r>
      <w:r>
        <w:rPr>
          <w:rFonts w:hint="eastAsia" w:ascii="宋体" w:hAnsi="宋体" w:eastAsia="宋体" w:cs="宋体"/>
          <w:color w:val="auto"/>
          <w:szCs w:val="21"/>
          <w:highlight w:val="none"/>
          <w:lang w:val="en-US" w:eastAsia="zh-CN"/>
        </w:rPr>
        <w:t>元</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cs="宋体"/>
          <w:color w:val="auto"/>
          <w:szCs w:val="21"/>
          <w:highlight w:val="none"/>
          <w:lang w:val="en-US" w:eastAsia="zh-CN"/>
        </w:rPr>
        <w:t>450000</w:t>
      </w:r>
      <w:r>
        <w:rPr>
          <w:rFonts w:hint="eastAsia" w:ascii="宋体" w:hAnsi="宋体" w:eastAsia="宋体" w:cs="宋体"/>
          <w:color w:val="auto"/>
          <w:szCs w:val="21"/>
          <w:highlight w:val="none"/>
          <w:lang w:val="en-US" w:eastAsia="zh-CN"/>
        </w:rPr>
        <w:t>元</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采购需求：（包括但不限于标的的名称、数量、简要技术需求或服务要求等）</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2024年度瑞安市供销合作社联合社农资应急储备项目（重）</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数量：不限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450000</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简要规格描述或项目基本概况介绍、用途：农资应急储备（详见第三部分</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内容及要求）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合同履行期限：详见</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第三部分内容</w:t>
      </w:r>
      <w:r>
        <w:rPr>
          <w:rFonts w:hint="eastAsia" w:ascii="宋体" w:hAnsi="宋体" w:eastAsia="宋体" w:cs="宋体"/>
          <w:color w:val="auto"/>
          <w:szCs w:val="21"/>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本项目（否）接受联合体投标。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二、申请人的资格要求：</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未被信用中国网站（www.creditchina.gov.cn）列入失信被执行人、重大税收违法案件当事人名单，未被中国政府采购网（www.ccgp.gov.cn）列入政府采购严重违法失信行为记录名单。</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2.落实政府采购政策需满足的资格要求：本项目整体专门面向中小企业采购（残疾人福利性单位和监狱企业视同小微企业）。</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b/>
          <w:bCs/>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本项目的特定资格要求：</w:t>
      </w:r>
      <w:r>
        <w:rPr>
          <w:rFonts w:hint="eastAsia" w:ascii="宋体" w:hAnsi="宋体" w:eastAsia="宋体"/>
          <w:b/>
          <w:bCs/>
          <w:szCs w:val="21"/>
          <w:highlight w:val="none"/>
          <w:lang w:eastAsia="zh-CN"/>
        </w:rPr>
        <w:t>无。</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三、获取</w:t>
      </w:r>
      <w:r>
        <w:rPr>
          <w:rFonts w:hint="eastAsia" w:ascii="宋体" w:hAnsi="宋体" w:cs="宋体"/>
          <w:color w:val="auto"/>
          <w:szCs w:val="21"/>
          <w:highlight w:val="none"/>
          <w:lang w:eastAsia="zh-CN"/>
        </w:rPr>
        <w:t>采购文件</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，每天</w:t>
      </w:r>
      <w:r>
        <w:rPr>
          <w:rFonts w:hint="eastAsia" w:ascii="宋体" w:hAnsi="宋体" w:eastAsia="宋体" w:cs="宋体"/>
          <w:color w:val="auto"/>
          <w:szCs w:val="21"/>
          <w:highlight w:val="none"/>
        </w:rPr>
        <w:t>上午00:00至12:00，下午12:00至23:59（北京时间，线上获取法定节假日均可，线下获取文件法定节假日除外）</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地点（网址）：政府采购云平台（www.zcygov.cn）</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cs="宋体"/>
          <w:color w:val="auto"/>
          <w:szCs w:val="21"/>
          <w:highlight w:val="none"/>
          <w:lang w:eastAsia="zh-CN"/>
        </w:rPr>
        <w:t>商谈供应商</w:t>
      </w:r>
      <w:r>
        <w:rPr>
          <w:rFonts w:hint="eastAsia" w:ascii="宋体" w:hAnsi="宋体" w:eastAsia="宋体" w:cs="宋体"/>
          <w:color w:val="auto"/>
          <w:szCs w:val="21"/>
          <w:highlight w:val="none"/>
        </w:rPr>
        <w:t>登录政采云平台https://www.zcygov.cn/在线申请获取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（进入“项目采购”应用，在获取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菜单中选择项目，申请获取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r>
        <w:rPr>
          <w:rFonts w:hint="eastAsia" w:ascii="宋体" w:hAnsi="宋体" w:cs="宋体"/>
          <w:color w:val="auto"/>
          <w:szCs w:val="21"/>
          <w:highlight w:val="none"/>
          <w:lang w:eastAsia="zh-CN"/>
        </w:rPr>
        <w:t>提交采购响应文件</w:t>
      </w:r>
      <w:r>
        <w:rPr>
          <w:rFonts w:hint="eastAsia" w:ascii="宋体" w:hAnsi="宋体" w:eastAsia="宋体" w:cs="宋体"/>
          <w:color w:val="auto"/>
          <w:szCs w:val="21"/>
          <w:highlight w:val="none"/>
        </w:rPr>
        <w:t>截止时间、开标时间和地点</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提交采购响应文件</w:t>
      </w: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w:t>
      </w:r>
      <w:r>
        <w:rPr>
          <w:rFonts w:hint="eastAsia" w:ascii="宋体" w:hAnsi="宋体" w:eastAsia="宋体" w:cs="宋体"/>
          <w:color w:val="auto"/>
          <w:szCs w:val="21"/>
          <w:highlight w:val="none"/>
        </w:rPr>
        <w:t>时间）。</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投标地点（网址）：政府采购云平台（www.zcygov.cn）</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开标地点（网址）：政府采购云平台（www.zcygov.cn）</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、其他补充事宜</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浙江省财政厅关于进一步加大政府采购支持中小企业力度助力扎实稳住经济的通知》 （浙财采监（2022）8号</w:t>
      </w:r>
      <w:r>
        <w:rPr>
          <w:rFonts w:hint="default" w:ascii="宋体" w:hAnsi="宋体" w:eastAsia="宋体" w:cs="宋体"/>
          <w:color w:val="auto"/>
          <w:szCs w:val="21"/>
          <w:highlight w:val="none"/>
        </w:rPr>
        <w:t>已分别于2022年1月29日</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2022年2月1日</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2022年7月1日</w:t>
      </w:r>
      <w:r>
        <w:rPr>
          <w:rFonts w:hint="default" w:ascii="宋体" w:hAnsi="宋体" w:eastAsia="宋体" w:cs="宋体"/>
          <w:color w:val="auto"/>
          <w:szCs w:val="21"/>
          <w:highlight w:val="none"/>
        </w:rPr>
        <w:t>开始实施，此前有关规定与上述文件内容不一致的，按上述文件要求执行。</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w:t>
      </w:r>
      <w:r>
        <w:rPr>
          <w:rFonts w:hint="eastAsia" w:ascii="宋体" w:hAnsi="宋体" w:cs="宋体"/>
          <w:color w:val="auto"/>
          <w:szCs w:val="21"/>
          <w:highlight w:val="none"/>
          <w:lang w:eastAsia="zh-CN"/>
        </w:rPr>
        <w:t>商谈供应商</w:t>
      </w:r>
      <w:r>
        <w:rPr>
          <w:rFonts w:hint="eastAsia" w:ascii="宋体" w:hAnsi="宋体" w:eastAsia="宋体" w:cs="宋体"/>
          <w:color w:val="auto"/>
          <w:szCs w:val="21"/>
          <w:highlight w:val="none"/>
        </w:rPr>
        <w:t>在线提起询问，路径为：政采云-项目采购-询问质疑投诉-询问列表；鼓励</w:t>
      </w:r>
      <w:r>
        <w:rPr>
          <w:rFonts w:hint="eastAsia" w:ascii="宋体" w:hAnsi="宋体" w:cs="宋体"/>
          <w:color w:val="auto"/>
          <w:szCs w:val="21"/>
          <w:highlight w:val="none"/>
          <w:lang w:eastAsia="zh-CN"/>
        </w:rPr>
        <w:t>商谈供应商</w:t>
      </w:r>
      <w:r>
        <w:rPr>
          <w:rFonts w:hint="eastAsia" w:ascii="宋体" w:hAnsi="宋体" w:eastAsia="宋体" w:cs="宋体"/>
          <w:color w:val="auto"/>
          <w:szCs w:val="21"/>
          <w:highlight w:val="none"/>
        </w:rPr>
        <w:t>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其他事项：</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（1）需要落实的政府采购政策：包括节约资源、保护环境、支持创新、促进中小企业发展、扶持不发达地区和少数民族地区等。详见</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第二部分总则第3点。</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（2）电子招投标的说明：①本项目采用全流程电子化交易，依托“政府采购云平台（www.zcygov.cn）”进行招投标活动，不接受纸质</w:t>
      </w:r>
      <w:r>
        <w:rPr>
          <w:rFonts w:hint="eastAsia" w:ascii="宋体" w:hAnsi="宋体" w:cs="宋体"/>
          <w:color w:val="auto"/>
          <w:szCs w:val="21"/>
          <w:highlight w:val="none"/>
          <w:lang w:val="en-US" w:eastAsia="zh-CN"/>
        </w:rPr>
        <w:t>采购响应文件</w:t>
      </w:r>
      <w:r>
        <w:rPr>
          <w:rFonts w:hint="eastAsia" w:ascii="宋体" w:hAnsi="宋体" w:eastAsia="宋体" w:cs="宋体"/>
          <w:color w:val="auto"/>
          <w:szCs w:val="21"/>
          <w:highlight w:val="none"/>
          <w:lang w:val="en-US" w:eastAsia="zh-CN"/>
        </w:rPr>
        <w:t>；②</w:t>
      </w:r>
      <w:r>
        <w:rPr>
          <w:rFonts w:hint="eastAsia" w:ascii="宋体" w:hAnsi="宋体" w:cs="宋体"/>
          <w:color w:val="auto"/>
          <w:szCs w:val="21"/>
          <w:highlight w:val="none"/>
          <w:lang w:val="en-US" w:eastAsia="zh-CN"/>
        </w:rPr>
        <w:t>商谈供应商</w:t>
      </w:r>
      <w:r>
        <w:rPr>
          <w:rFonts w:hint="eastAsia" w:ascii="宋体" w:hAnsi="宋体" w:eastAsia="宋体" w:cs="宋体"/>
          <w:color w:val="auto"/>
          <w:szCs w:val="21"/>
          <w:highlight w:val="none"/>
          <w:lang w:val="en-US" w:eastAsia="zh-CN"/>
        </w:rPr>
        <w:t>须在投标前申领CA数字证书、下载政采云电子交易客户端。申领CA数字证书:申领流程详见“浙江政府采购网-下载专区-电子交易客户端-CA驱动和申领流程”；安装“政采云电子交易客户端”：前往“浙江政府采购网-下载专区-电子交易客户端”进行下载并安装；③电子投标具体操作流程详见浙江省“项目采购电子交易系统/不见面开评标”学习专题（网址https://edu.zcygov.cn/luban/e-biding）；④</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的获取：使用账号登录或者使用CA登录政采云平台；进入“项目采购”应用，在获取采购文件菜单中选择项目，获取</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。⑤若对项目采购电子交易系统操作有疑问，可登录政采云，点击右侧咨询小采，获取采小蜜智能服务管家帮助，或拨打政采云服务热线95763获取热线服务帮助。CA问题联系电话（人工）：汇信CA 400-888-4636；天谷CA 400-087-8198。注：</w:t>
      </w:r>
      <w:r>
        <w:rPr>
          <w:rFonts w:hint="eastAsia" w:ascii="宋体" w:hAnsi="宋体" w:cs="宋体"/>
          <w:color w:val="auto"/>
          <w:szCs w:val="21"/>
          <w:highlight w:val="none"/>
          <w:lang w:val="en-US" w:eastAsia="zh-CN"/>
        </w:rPr>
        <w:t>商谈供应商</w:t>
      </w:r>
      <w:r>
        <w:rPr>
          <w:rFonts w:hint="eastAsia" w:ascii="宋体" w:hAnsi="宋体" w:eastAsia="宋体" w:cs="宋体"/>
          <w:color w:val="auto"/>
          <w:szCs w:val="21"/>
          <w:highlight w:val="none"/>
          <w:lang w:val="en-US" w:eastAsia="zh-CN"/>
        </w:rPr>
        <w:t>在使用政采云投标客户端时，建议使用WIN7及以上操作系统。</w:t>
      </w:r>
      <w:r>
        <w:rPr>
          <w:rFonts w:hint="eastAsia" w:ascii="宋体" w:hAnsi="宋体" w:cs="宋体"/>
          <w:color w:val="auto"/>
          <w:szCs w:val="21"/>
          <w:highlight w:val="none"/>
          <w:lang w:val="en-US" w:eastAsia="zh-CN"/>
        </w:rPr>
        <w:t>商谈供应商</w:t>
      </w:r>
      <w:r>
        <w:rPr>
          <w:rFonts w:hint="eastAsia" w:ascii="宋体" w:hAnsi="宋体" w:eastAsia="宋体" w:cs="宋体"/>
          <w:color w:val="auto"/>
          <w:szCs w:val="21"/>
          <w:highlight w:val="none"/>
          <w:lang w:val="en-US" w:eastAsia="zh-CN"/>
        </w:rPr>
        <w:t>需自行准备好摄像头和耳麦，保持网络稳定通畅，并在</w:t>
      </w:r>
      <w:r>
        <w:rPr>
          <w:rFonts w:hint="eastAsia" w:ascii="宋体" w:hAnsi="宋体" w:cs="宋体"/>
          <w:color w:val="auto"/>
          <w:szCs w:val="21"/>
          <w:highlight w:val="none"/>
          <w:lang w:val="en-US" w:eastAsia="zh-CN"/>
        </w:rPr>
        <w:t>采购响应文件</w:t>
      </w:r>
      <w:r>
        <w:rPr>
          <w:rFonts w:hint="eastAsia" w:ascii="宋体" w:hAnsi="宋体" w:eastAsia="宋体" w:cs="宋体"/>
          <w:color w:val="auto"/>
          <w:szCs w:val="21"/>
          <w:highlight w:val="none"/>
          <w:lang w:val="en-US" w:eastAsia="zh-CN"/>
        </w:rPr>
        <w:t xml:space="preserve">开启时间前自测硬件能否正常使用，如因自身硬件或网络原因导致询标讲解失败，相关后果自行负责。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rPr>
        <w:t>、对本次采购提出询问、质疑、投诉，请按以下方式联系</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信息</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名</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称：</w:t>
      </w:r>
      <w:r>
        <w:rPr>
          <w:rFonts w:hint="eastAsia" w:ascii="宋体" w:hAnsi="宋体" w:cs="宋体"/>
          <w:color w:val="auto"/>
          <w:kern w:val="2"/>
          <w:szCs w:val="21"/>
          <w:highlight w:val="none"/>
          <w:lang w:eastAsia="zh-CN"/>
        </w:rPr>
        <w:t>瑞安市供销合作社联合社</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地    址：</w:t>
      </w:r>
      <w:r>
        <w:rPr>
          <w:rFonts w:hint="eastAsia" w:ascii="宋体" w:hAnsi="宋体" w:eastAsia="宋体" w:cs="宋体"/>
          <w:color w:val="auto"/>
          <w:sz w:val="21"/>
          <w:szCs w:val="21"/>
          <w:highlight w:val="none"/>
          <w:u w:val="none"/>
          <w:lang w:val="en-US" w:eastAsia="zh-CN"/>
        </w:rPr>
        <w:t>浙江省瑞安市安福路28号五楼</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传    真：</w:t>
      </w:r>
      <w:r>
        <w:rPr>
          <w:rFonts w:hint="eastAsia" w:ascii="宋体" w:hAnsi="宋体" w:eastAsia="宋体" w:cs="宋体"/>
          <w:color w:val="auto"/>
          <w:kern w:val="2"/>
          <w:szCs w:val="21"/>
          <w:highlight w:val="none"/>
          <w:lang w:val="en-US" w:eastAsia="zh-CN"/>
        </w:rPr>
        <w:t>/</w:t>
      </w:r>
      <w:r>
        <w:rPr>
          <w:rFonts w:hint="eastAsia" w:ascii="宋体" w:hAnsi="宋体" w:eastAsia="宋体" w:cs="宋体"/>
          <w:color w:val="auto"/>
          <w:kern w:val="2"/>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项目联系人（询问）：</w:t>
      </w:r>
      <w:r>
        <w:rPr>
          <w:rFonts w:hint="eastAsia" w:ascii="宋体" w:hAnsi="宋体" w:eastAsia="宋体" w:cs="宋体"/>
          <w:color w:val="auto"/>
          <w:sz w:val="21"/>
          <w:szCs w:val="21"/>
          <w:highlight w:val="none"/>
          <w:u w:val="none"/>
          <w:lang w:val="en-US" w:eastAsia="zh-CN"/>
        </w:rPr>
        <w:t>郑先生</w:t>
      </w:r>
      <w:r>
        <w:rPr>
          <w:rFonts w:hint="eastAsia" w:ascii="宋体" w:hAnsi="宋体" w:eastAsia="宋体" w:cs="宋体"/>
          <w:color w:val="auto"/>
          <w:sz w:val="21"/>
          <w:szCs w:val="21"/>
          <w:highlight w:val="none"/>
          <w:u w:val="none"/>
        </w:rPr>
        <w:t>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项目联系方式（询问）：</w:t>
      </w:r>
      <w:r>
        <w:rPr>
          <w:rFonts w:hint="eastAsia" w:ascii="宋体" w:hAnsi="宋体" w:eastAsia="宋体" w:cs="宋体"/>
          <w:color w:val="auto"/>
          <w:sz w:val="21"/>
          <w:szCs w:val="21"/>
          <w:highlight w:val="none"/>
          <w:u w:val="none"/>
          <w:lang w:val="en-US" w:eastAsia="zh-CN"/>
        </w:rPr>
        <w:t>15958721851</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质疑联系人：</w:t>
      </w:r>
      <w:r>
        <w:rPr>
          <w:rFonts w:hint="eastAsia" w:ascii="宋体" w:hAnsi="宋体" w:eastAsia="宋体" w:cs="宋体"/>
          <w:color w:val="auto"/>
          <w:sz w:val="21"/>
          <w:szCs w:val="21"/>
          <w:highlight w:val="none"/>
          <w:u w:val="none"/>
          <w:lang w:val="en-US" w:eastAsia="zh-CN"/>
        </w:rPr>
        <w:t>金先生</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质疑联系方式：</w:t>
      </w:r>
      <w:r>
        <w:rPr>
          <w:rFonts w:hint="eastAsia" w:ascii="宋体" w:hAnsi="宋体" w:eastAsia="宋体" w:cs="宋体"/>
          <w:color w:val="auto"/>
          <w:sz w:val="21"/>
          <w:szCs w:val="21"/>
          <w:highlight w:val="none"/>
          <w:u w:val="none"/>
        </w:rPr>
        <w:t>0577-65812829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称：浙江瑞扬工程咨询招标代理股份有限公司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址：瑞安市安福路28号三楼</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kern w:val="2"/>
          <w:szCs w:val="21"/>
          <w:highlight w:val="none"/>
          <w:lang w:val="en-US" w:eastAsia="zh-CN"/>
        </w:rPr>
        <w:t>0577-65802277</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 w:val="21"/>
          <w:szCs w:val="21"/>
          <w:highlight w:val="none"/>
          <w:u w:val="none"/>
          <w:lang w:val="en-US" w:eastAsia="zh-CN"/>
        </w:rPr>
        <w:t>陈韩婷</w:t>
      </w:r>
      <w:r>
        <w:rPr>
          <w:rFonts w:hint="eastAsia" w:ascii="宋体" w:hAnsi="宋体" w:eastAsia="宋体" w:cs="宋体"/>
          <w:color w:val="auto"/>
          <w:sz w:val="21"/>
          <w:szCs w:val="21"/>
          <w:highlight w:val="none"/>
          <w:u w:val="none"/>
        </w:rPr>
        <w:t> </w:t>
      </w:r>
      <w:r>
        <w:rPr>
          <w:rFonts w:hint="eastAsia" w:ascii="宋体" w:hAnsi="宋体" w:eastAsia="宋体" w:cs="宋体"/>
          <w:color w:val="auto"/>
          <w:szCs w:val="21"/>
          <w:highlight w:val="none"/>
          <w:lang w:val="en-US"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项目联系方式（询问）：</w:t>
      </w:r>
      <w:r>
        <w:rPr>
          <w:rFonts w:hint="eastAsia" w:ascii="宋体" w:hAnsi="宋体" w:eastAsia="宋体" w:cs="宋体"/>
          <w:color w:val="auto"/>
          <w:sz w:val="21"/>
          <w:szCs w:val="21"/>
          <w:highlight w:val="none"/>
          <w:u w:val="none"/>
          <w:lang w:eastAsia="zh-CN"/>
        </w:rPr>
        <w:t>18268819293</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质疑联系人：</w:t>
      </w:r>
      <w:r>
        <w:rPr>
          <w:rFonts w:hint="eastAsia" w:ascii="宋体" w:hAnsi="宋体" w:eastAsia="宋体" w:cs="宋体"/>
          <w:color w:val="auto"/>
          <w:kern w:val="2"/>
          <w:szCs w:val="21"/>
          <w:highlight w:val="none"/>
          <w:lang w:val="en-US" w:eastAsia="zh-CN"/>
        </w:rPr>
        <w:t>徐纯璇</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质疑联系方式：0577-65802277</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color w:val="auto"/>
          <w:szCs w:val="21"/>
          <w:highlight w:val="none"/>
        </w:rPr>
        <w:t>瑞安市财政局政府采购监管科</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16"/>
          <w:highlight w:val="none"/>
        </w:rPr>
      </w:pPr>
      <w:r>
        <w:rPr>
          <w:rFonts w:hint="eastAsia" w:ascii="宋体" w:hAnsi="宋体" w:eastAsia="宋体" w:cs="宋体"/>
          <w:color w:val="auto"/>
          <w:szCs w:val="21"/>
          <w:highlight w:val="none"/>
        </w:rPr>
        <w:t xml:space="preserve">地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址：瑞安市万松东路379号瑞安财税大楼1505室</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cs="宋体"/>
          <w:color w:val="auto"/>
          <w:szCs w:val="21"/>
          <w:highlight w:val="none"/>
        </w:rPr>
        <w:t>0577-65822153</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cs="宋体"/>
          <w:color w:val="auto"/>
          <w:szCs w:val="21"/>
          <w:highlight w:val="none"/>
        </w:rPr>
        <w:t>蔡先生</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监督投诉电话：0577-65827567</w:t>
      </w:r>
    </w:p>
    <w:bookmarkEnd w:id="0"/>
    <w:bookmarkEnd w:id="1"/>
    <w:p>
      <w:pPr>
        <w:pStyle w:val="3"/>
        <w:keepNext w:val="0"/>
        <w:keepLines w:val="0"/>
        <w:pageBreakBefore/>
        <w:numPr>
          <w:ilvl w:val="0"/>
          <w:numId w:val="1"/>
        </w:numPr>
        <w:shd w:val="clear" w:color="auto" w:fill="auto"/>
        <w:tabs>
          <w:tab w:val="left" w:pos="840"/>
        </w:tabs>
        <w:spacing w:before="120" w:beforeLines="50" w:after="0" w:line="400" w:lineRule="exact"/>
        <w:ind w:left="0" w:leftChars="0" w:firstLine="0" w:firstLineChars="0"/>
        <w:jc w:val="center"/>
        <w:rPr>
          <w:rFonts w:hint="eastAsia" w:ascii="宋体" w:hAnsi="宋体" w:eastAsia="宋体" w:cs="宋体"/>
          <w:color w:val="auto"/>
          <w:sz w:val="28"/>
          <w:szCs w:val="36"/>
          <w:highlight w:val="none"/>
          <w:lang w:val="en-US" w:eastAsia="zh-CN"/>
        </w:rPr>
      </w:pPr>
      <w:bookmarkStart w:id="4" w:name="_Toc474156083"/>
      <w:r>
        <w:rPr>
          <w:rFonts w:hint="eastAsia" w:ascii="宋体" w:hAnsi="宋体" w:eastAsia="宋体" w:cs="宋体"/>
          <w:color w:val="auto"/>
          <w:sz w:val="28"/>
          <w:szCs w:val="36"/>
          <w:highlight w:val="none"/>
        </w:rPr>
        <w:t xml:space="preserve"> </w:t>
      </w:r>
      <w:bookmarkEnd w:id="4"/>
      <w:bookmarkStart w:id="5" w:name="_Toc29382"/>
      <w:bookmarkStart w:id="6" w:name="_Toc12325"/>
      <w:r>
        <w:rPr>
          <w:rFonts w:hint="eastAsia" w:ascii="宋体" w:hAnsi="宋体" w:cs="宋体"/>
          <w:color w:val="auto"/>
          <w:sz w:val="28"/>
          <w:szCs w:val="36"/>
          <w:highlight w:val="none"/>
          <w:lang w:eastAsia="zh-CN"/>
        </w:rPr>
        <w:t>商谈供应商须知</w:t>
      </w:r>
      <w:bookmarkEnd w:id="5"/>
      <w:bookmarkEnd w:id="6"/>
    </w:p>
    <w:p>
      <w:pPr>
        <w:numPr>
          <w:ilvl w:val="0"/>
          <w:numId w:val="0"/>
        </w:numPr>
        <w:shd w:val="clear" w:color="auto" w:fill="auto"/>
        <w:ind w:leftChars="0"/>
        <w:jc w:val="center"/>
        <w:rPr>
          <w:rFonts w:hint="eastAsia"/>
          <w:color w:val="auto"/>
          <w:highlight w:val="none"/>
          <w:lang w:val="en-US" w:eastAsia="zh-CN"/>
        </w:rPr>
      </w:pPr>
      <w:r>
        <w:rPr>
          <w:rFonts w:hint="eastAsia"/>
          <w:color w:val="auto"/>
          <w:highlight w:val="none"/>
          <w:lang w:val="en-US" w:eastAsia="zh-CN"/>
        </w:rPr>
        <w:t>商谈供应商须知前附表</w:t>
      </w:r>
    </w:p>
    <w:tbl>
      <w:tblPr>
        <w:tblStyle w:val="20"/>
        <w:tblW w:w="95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637"/>
        <w:gridCol w:w="7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6" w:hRule="atLeast"/>
          <w:jc w:val="center"/>
        </w:trPr>
        <w:tc>
          <w:tcPr>
            <w:tcW w:w="645" w:type="dxa"/>
            <w:noWrap w:val="0"/>
            <w:vAlign w:val="center"/>
          </w:tcPr>
          <w:p>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1637" w:type="dxa"/>
            <w:noWrap w:val="0"/>
            <w:vAlign w:val="center"/>
          </w:tcPr>
          <w:p>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262" w:type="dxa"/>
            <w:noWrap w:val="0"/>
            <w:vAlign w:val="center"/>
          </w:tcPr>
          <w:p>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8"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262" w:type="dxa"/>
            <w:noWrap w:val="0"/>
            <w:vAlign w:val="center"/>
          </w:tcPr>
          <w:p>
            <w:pPr>
              <w:keepNext w:val="0"/>
              <w:keepLines w:val="0"/>
              <w:pageBreakBefore w:val="0"/>
              <w:shd w:val="clear" w:color="auto" w:fill="auto"/>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2024年度瑞安市供销合作社联合社农资应急储备项目（重）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7262" w:type="dxa"/>
            <w:noWrap w:val="0"/>
            <w:vAlign w:val="center"/>
          </w:tcPr>
          <w:p>
            <w:pPr>
              <w:keepNext w:val="0"/>
              <w:keepLines w:val="0"/>
              <w:pageBreakBefore w:val="0"/>
              <w:shd w:val="clear" w:color="auto" w:fill="auto"/>
              <w:kinsoku/>
              <w:wordWrap/>
              <w:overflowPunct/>
              <w:topLinePunct w:val="0"/>
              <w:autoSpaceDE/>
              <w:autoSpaceDN/>
              <w:bidi w:val="0"/>
              <w:spacing w:line="360" w:lineRule="exact"/>
              <w:textAlignment w:val="auto"/>
              <w:rPr>
                <w:rFonts w:hint="default" w:ascii="宋体" w:hAnsi="宋体" w:eastAsia="宋体" w:cs="宋体"/>
                <w:color w:val="auto"/>
                <w:sz w:val="18"/>
                <w:szCs w:val="18"/>
                <w:highlight w:val="none"/>
                <w:lang w:val="en-US"/>
              </w:rPr>
            </w:pPr>
            <w:r>
              <w:rPr>
                <w:rFonts w:hint="eastAsia" w:ascii="宋体" w:hAnsi="宋体" w:cs="宋体"/>
                <w:color w:val="auto"/>
                <w:szCs w:val="21"/>
                <w:highlight w:val="none"/>
                <w:lang w:eastAsia="zh-CN"/>
              </w:rPr>
              <w:t>RYCG20240116-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采购方式</w:t>
            </w:r>
          </w:p>
        </w:tc>
        <w:tc>
          <w:tcPr>
            <w:tcW w:w="7262" w:type="dxa"/>
            <w:noWrap w:val="0"/>
            <w:vAlign w:val="center"/>
          </w:tcPr>
          <w:p>
            <w:pPr>
              <w:shd w:val="clear" w:color="auto" w:fill="auto"/>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单一来源采购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金额</w:t>
            </w:r>
            <w:r>
              <w:rPr>
                <w:rFonts w:hint="eastAsia" w:ascii="宋体" w:hAnsi="宋体" w:cs="宋体"/>
                <w:color w:val="auto"/>
                <w:szCs w:val="21"/>
                <w:highlight w:val="none"/>
              </w:rPr>
              <w:t>及最高限价</w:t>
            </w:r>
          </w:p>
        </w:tc>
        <w:tc>
          <w:tcPr>
            <w:tcW w:w="7262" w:type="dxa"/>
            <w:noWrap w:val="0"/>
            <w:vAlign w:val="center"/>
          </w:tcPr>
          <w:p>
            <w:pPr>
              <w:shd w:val="clear" w:color="auto" w:fill="auto"/>
              <w:spacing w:line="360" w:lineRule="auto"/>
              <w:jc w:val="left"/>
              <w:rPr>
                <w:rFonts w:hint="default" w:ascii="宋体" w:hAnsi="宋体" w:cs="宋体"/>
                <w:color w:val="auto"/>
                <w:szCs w:val="21"/>
                <w:highlight w:val="none"/>
                <w:lang w:val="en-US"/>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450000</w:t>
            </w:r>
            <w:r>
              <w:rPr>
                <w:rFonts w:hint="eastAsia" w:ascii="宋体" w:hAnsi="宋体" w:cs="宋体"/>
                <w:i w:val="0"/>
                <w:iCs w:val="0"/>
                <w:color w:val="auto"/>
                <w:szCs w:val="21"/>
                <w:highlight w:val="none"/>
                <w:lang w:val="en-US" w:eastAsia="zh-CN"/>
              </w:rPr>
              <w:t>元</w:t>
            </w:r>
          </w:p>
          <w:p>
            <w:pPr>
              <w:pStyle w:val="6"/>
              <w:shd w:val="clear" w:color="auto" w:fill="auto"/>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 w:val="21"/>
                <w:szCs w:val="21"/>
                <w:highlight w:val="none"/>
              </w:rPr>
              <w:t>最高限价：</w:t>
            </w:r>
            <w:r>
              <w:rPr>
                <w:rFonts w:hint="eastAsia" w:ascii="宋体" w:hAnsi="宋体" w:cs="宋体"/>
                <w:color w:val="auto"/>
                <w:szCs w:val="21"/>
                <w:highlight w:val="none"/>
                <w:lang w:val="en-US" w:eastAsia="zh-CN"/>
              </w:rPr>
              <w:t>450000</w:t>
            </w:r>
            <w:r>
              <w:rPr>
                <w:rFonts w:hint="eastAsia" w:ascii="宋体" w:hAnsi="宋体" w:cs="宋体"/>
                <w:i w:val="0"/>
                <w:iCs w:val="0"/>
                <w:color w:val="auto"/>
                <w:szCs w:val="21"/>
                <w:highlight w:val="none"/>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是否专门面向</w:t>
            </w:r>
          </w:p>
          <w:p>
            <w:pPr>
              <w:shd w:val="clear" w:color="auto" w:fill="auto"/>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中小企业采购</w:t>
            </w:r>
          </w:p>
        </w:tc>
        <w:tc>
          <w:tcPr>
            <w:tcW w:w="7262" w:type="dxa"/>
            <w:noWrap w:val="0"/>
            <w:vAlign w:val="top"/>
          </w:tcPr>
          <w:p>
            <w:pPr>
              <w:widowControl/>
              <w:shd w:val="clear" w:color="auto" w:fill="auto"/>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highlight w:val="none"/>
              </w:rPr>
              <w:t>根据《政府采购促进中小企业发展管理办法》（财库</w:t>
            </w:r>
            <w:r>
              <w:rPr>
                <w:rFonts w:ascii="Arial" w:hAnsi="Arial" w:cs="Arial"/>
                <w:color w:val="auto"/>
                <w:highlight w:val="none"/>
              </w:rPr>
              <w:t>[2020]46</w:t>
            </w:r>
            <w:r>
              <w:rPr>
                <w:rFonts w:hint="eastAsia" w:ascii="宋体" w:hAnsi="宋体" w:cs="宋体"/>
                <w:color w:val="auto"/>
                <w:highlight w:val="none"/>
              </w:rPr>
              <w:t>号）规定，本项目属于</w:t>
            </w:r>
          </w:p>
          <w:p>
            <w:pPr>
              <w:widowControl/>
              <w:shd w:val="clear" w:color="auto" w:fill="auto"/>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4"/>
                <w:sz w:val="31"/>
                <w:szCs w:val="21"/>
                <w:highlight w:val="none"/>
                <w:lang w:eastAsia="zh-CN"/>
              </w:rPr>
              <w:instrText xml:space="preserve">,</w:instrText>
            </w:r>
            <w:r>
              <w:rPr>
                <w:rFonts w:hint="eastAsia" w:ascii="宋体" w:hAnsi="宋体" w:cs="宋体"/>
                <w:color w:val="auto"/>
                <w:position w:val="0"/>
                <w:sz w:val="21"/>
                <w:szCs w:val="21"/>
                <w:highlight w:val="none"/>
                <w:lang w:eastAsia="zh-CN"/>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highlight w:val="none"/>
              </w:rPr>
              <w:t>预留份额专门面向中小企业采购</w:t>
            </w:r>
          </w:p>
          <w:p>
            <w:pPr>
              <w:widowControl/>
              <w:shd w:val="clear" w:color="auto" w:fill="auto"/>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highlight w:val="none"/>
              </w:rPr>
              <w:t>部分预留份额项目面向中小企业采购</w:t>
            </w:r>
          </w:p>
          <w:p>
            <w:pPr>
              <w:widowControl/>
              <w:shd w:val="clear" w:color="auto" w:fill="auto"/>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highlight w:val="none"/>
              </w:rPr>
              <w:t>未预留份额专门面向中小企业采购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项目属性</w:t>
            </w:r>
          </w:p>
        </w:tc>
        <w:tc>
          <w:tcPr>
            <w:tcW w:w="7262" w:type="dxa"/>
            <w:noWrap w:val="0"/>
            <w:vAlign w:val="center"/>
          </w:tcPr>
          <w:p>
            <w:pPr>
              <w:shd w:val="clear" w:color="auto" w:fill="auto"/>
              <w:spacing w:line="360" w:lineRule="auto"/>
              <w:rPr>
                <w:rFonts w:hint="eastAsia" w:ascii="宋体" w:hAnsi="宋体" w:eastAsia="宋体" w:cs="宋体"/>
                <w:color w:val="auto"/>
                <w:kern w:val="0"/>
                <w:sz w:val="21"/>
                <w:szCs w:val="21"/>
                <w:highlight w:val="none"/>
              </w:rPr>
            </w:pPr>
            <w:r>
              <w:rPr>
                <w:rFonts w:hint="eastAsia" w:ascii="Wingdings" w:hAnsi="Wingdings" w:eastAsia="仿宋_GB2312" w:cs="Arial"/>
                <w:color w:val="auto"/>
                <w:kern w:val="0"/>
                <w:sz w:val="24"/>
                <w:szCs w:val="24"/>
                <w:highlight w:val="none"/>
                <w:lang w:val="en-US" w:eastAsia="zh-CN" w:bidi="ar-SA"/>
              </w:rPr>
              <w:sym w:font="Wingdings" w:char="00A8"/>
            </w:r>
            <w:r>
              <w:rPr>
                <w:rFonts w:hint="eastAsia" w:ascii="宋体" w:hAnsi="宋体" w:eastAsia="宋体" w:cs="宋体"/>
                <w:color w:val="auto"/>
                <w:kern w:val="0"/>
                <w:sz w:val="21"/>
                <w:szCs w:val="21"/>
                <w:highlight w:val="none"/>
              </w:rPr>
              <w:t>A货物类，单一产品或核心产品为：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hd w:val="clear" w:color="auto" w:fill="auto"/>
              <w:spacing w:line="360" w:lineRule="auto"/>
              <w:rPr>
                <w:rFonts w:hint="eastAsia" w:ascii="宋体" w:hAnsi="宋体" w:cs="宋体"/>
                <w:color w:val="auto"/>
                <w:szCs w:val="21"/>
                <w:highlight w:val="none"/>
              </w:rPr>
            </w:pPr>
            <w:r>
              <w:rPr>
                <w:rFonts w:hint="eastAsia" w:ascii="Wingdings" w:hAnsi="Wingdings" w:eastAsia="仿宋_GB2312" w:cs="Arial"/>
                <w:color w:val="auto"/>
                <w:kern w:val="0"/>
                <w:sz w:val="24"/>
                <w:szCs w:val="24"/>
                <w:highlight w:val="none"/>
                <w:lang w:val="en-US" w:eastAsia="zh-CN" w:bidi="ar-SA"/>
              </w:rPr>
              <w:sym w:font="Wingdings" w:char="00FE"/>
            </w:r>
            <w:r>
              <w:rPr>
                <w:rFonts w:hint="eastAsia" w:ascii="宋体" w:hAnsi="宋体" w:eastAsia="宋体" w:cs="宋体"/>
                <w:color w:val="auto"/>
                <w:kern w:val="0"/>
                <w:sz w:val="21"/>
                <w:szCs w:val="21"/>
                <w:highlight w:val="none"/>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35"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采购标的及其对应的中小企业划分标准所属行业</w:t>
            </w:r>
          </w:p>
        </w:tc>
        <w:tc>
          <w:tcPr>
            <w:tcW w:w="7262" w:type="dxa"/>
            <w:noWrap w:val="0"/>
            <w:vAlign w:val="center"/>
          </w:tcPr>
          <w:p>
            <w:pPr>
              <w:shd w:val="clear" w:color="auto" w:fill="auto"/>
              <w:spacing w:line="360" w:lineRule="auto"/>
              <w:rPr>
                <w:rFonts w:hint="eastAsia"/>
                <w:color w:val="auto"/>
                <w:highlight w:val="none"/>
                <w:lang w:val="en-US" w:eastAsia="zh-CN"/>
              </w:rPr>
            </w:pPr>
            <w:r>
              <w:rPr>
                <w:rFonts w:hint="eastAsia"/>
                <w:color w:val="auto"/>
                <w:highlight w:val="none"/>
                <w:lang w:val="en-US" w:eastAsia="zh-CN"/>
              </w:rPr>
              <w:t>（1）标的：</w:t>
            </w:r>
            <w:r>
              <w:rPr>
                <w:rFonts w:hint="eastAsia"/>
                <w:color w:val="auto"/>
                <w:highlight w:val="none"/>
                <w:u w:val="single"/>
                <w:lang w:val="en-US" w:eastAsia="zh-CN"/>
              </w:rPr>
              <w:t>2024年度瑞安市供销合作社联合社农资应急储备项目（重）</w:t>
            </w:r>
            <w:r>
              <w:rPr>
                <w:rFonts w:hint="eastAsia"/>
                <w:color w:val="auto"/>
                <w:highlight w:val="none"/>
                <w:lang w:val="en-US" w:eastAsia="zh-CN"/>
              </w:rPr>
              <w:t>；属于</w:t>
            </w:r>
            <w:r>
              <w:rPr>
                <w:rFonts w:hint="eastAsia" w:ascii="宋体" w:hAnsi="宋体" w:eastAsia="宋体" w:cs="宋体"/>
                <w:b/>
                <w:bCs/>
                <w:color w:val="auto"/>
                <w:szCs w:val="21"/>
                <w:highlight w:val="none"/>
                <w:u w:val="single"/>
                <w:lang w:val="en-US" w:eastAsia="zh-CN"/>
              </w:rPr>
              <w:t>仓储业</w:t>
            </w:r>
            <w:r>
              <w:rPr>
                <w:rFonts w:hint="eastAsia"/>
                <w:color w:val="auto"/>
                <w:highlight w:val="none"/>
                <w:lang w:val="en-US" w:eastAsia="zh-CN"/>
              </w:rPr>
              <w:t>。</w:t>
            </w:r>
          </w:p>
          <w:p>
            <w:pPr>
              <w:pStyle w:val="9"/>
              <w:shd w:val="clear" w:color="auto" w:fill="auto"/>
              <w:spacing w:line="360" w:lineRule="auto"/>
              <w:ind w:left="0" w:leftChars="0" w:right="105" w:rightChars="50" w:firstLine="0" w:firstLineChars="0"/>
              <w:rPr>
                <w:rFonts w:hint="eastAsia" w:ascii="宋体" w:hAnsi="宋体" w:eastAsia="宋体" w:cs="宋体"/>
                <w:color w:val="auto"/>
                <w:szCs w:val="21"/>
                <w:highlight w:val="none"/>
                <w:lang w:eastAsia="zh-CN"/>
              </w:rPr>
            </w:pPr>
            <w:r>
              <w:rPr>
                <w:rFonts w:hint="eastAsia"/>
                <w:color w:val="auto"/>
                <w:sz w:val="21"/>
                <w:szCs w:val="21"/>
                <w:highlight w:val="none"/>
                <w:lang w:eastAsia="zh-CN"/>
              </w:rPr>
              <w:t>注：</w:t>
            </w:r>
            <w:r>
              <w:rPr>
                <w:rFonts w:hint="eastAsia"/>
                <w:color w:val="auto"/>
                <w:sz w:val="21"/>
                <w:szCs w:val="21"/>
                <w:highlight w:val="none"/>
              </w:rPr>
              <w:t>中小企业的划分标准依据《关于印发中小企业划型标准规定的通知》（工信部联企业〔2011〕300号）文件执行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w:t>
            </w:r>
          </w:p>
          <w:p>
            <w:pPr>
              <w:shd w:val="clear" w:color="auto" w:fill="auto"/>
              <w:adjustRightInd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采购进口产品</w:t>
            </w:r>
          </w:p>
        </w:tc>
        <w:tc>
          <w:tcPr>
            <w:tcW w:w="7262" w:type="dxa"/>
            <w:noWrap w:val="0"/>
            <w:vAlign w:val="center"/>
          </w:tcPr>
          <w:p>
            <w:pPr>
              <w:shd w:val="clear" w:color="auto" w:fill="auto"/>
              <w:spacing w:line="360" w:lineRule="auto"/>
              <w:rPr>
                <w:rFonts w:hint="eastAsia" w:ascii="宋体" w:hAnsi="宋体" w:eastAsia="宋体" w:cs="宋体"/>
                <w:color w:val="auto"/>
                <w:kern w:val="0"/>
                <w:sz w:val="21"/>
                <w:szCs w:val="21"/>
                <w:highlight w:val="none"/>
              </w:rPr>
            </w:pPr>
            <w:r>
              <w:rPr>
                <w:rFonts w:ascii="仿宋_GB2312" w:hAnsi="仿宋" w:eastAsia="仿宋_GB2312" w:cs="Arial"/>
                <w:color w:val="auto"/>
                <w:kern w:val="0"/>
                <w:sz w:val="24"/>
                <w:highlight w:val="none"/>
              </w:rPr>
              <w:sym w:font="Wingdings" w:char="00FE"/>
            </w:r>
            <w:r>
              <w:rPr>
                <w:rFonts w:hint="eastAsia" w:ascii="宋体" w:hAnsi="宋体" w:eastAsia="宋体" w:cs="宋体"/>
                <w:color w:val="auto"/>
                <w:kern w:val="0"/>
                <w:sz w:val="21"/>
                <w:szCs w:val="21"/>
                <w:highlight w:val="none"/>
              </w:rPr>
              <w:t>本项目不允许采购进口产品。</w:t>
            </w:r>
          </w:p>
          <w:p>
            <w:pPr>
              <w:shd w:val="clear" w:color="auto" w:fill="auto"/>
              <w:spacing w:line="360" w:lineRule="auto"/>
              <w:jc w:val="left"/>
              <w:rPr>
                <w:rFonts w:hint="eastAsia" w:ascii="宋体" w:hAnsi="宋体" w:cs="宋体"/>
                <w:color w:val="auto"/>
                <w:kern w:val="2"/>
                <w:sz w:val="21"/>
                <w:szCs w:val="21"/>
                <w:highlight w:val="none"/>
                <w:lang w:val="en-US" w:eastAsia="zh-CN" w:bidi="ar-SA"/>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kern w:val="0"/>
                <w:sz w:val="21"/>
                <w:szCs w:val="21"/>
                <w:highlight w:val="none"/>
              </w:rPr>
              <w:t>可以采购进口产品，优先采购向我国企业转让技术、与我国企业签订消化吸收再创新方案的供应商的进口产品；如果因信息不对称等原因，仍有满足需求的国内产品要求参与采购竞争的，采购人及其委托的采购代理机构不</w:t>
            </w:r>
            <w:r>
              <w:rPr>
                <w:rFonts w:hint="eastAsia" w:ascii="宋体" w:hAnsi="宋体" w:eastAsia="宋体" w:cs="宋体"/>
                <w:color w:val="auto"/>
                <w:kern w:val="0"/>
                <w:sz w:val="21"/>
                <w:szCs w:val="21"/>
                <w:highlight w:val="none"/>
                <w:lang w:eastAsia="zh-CN"/>
              </w:rPr>
              <w:t>会</w:t>
            </w:r>
            <w:r>
              <w:rPr>
                <w:rFonts w:hint="eastAsia" w:ascii="宋体" w:hAnsi="宋体" w:eastAsia="宋体" w:cs="宋体"/>
                <w:color w:val="auto"/>
                <w:kern w:val="0"/>
                <w:sz w:val="21"/>
                <w:szCs w:val="21"/>
                <w:highlight w:val="none"/>
              </w:rPr>
              <w:t>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right="105"/>
              <w:jc w:val="center"/>
              <w:textAlignment w:val="auto"/>
              <w:rPr>
                <w:rFonts w:hint="eastAsia" w:ascii="宋体" w:hAnsi="宋体" w:eastAsia="宋体" w:cs="宋体"/>
                <w:color w:val="auto"/>
                <w:szCs w:val="21"/>
                <w:highlight w:val="none"/>
              </w:rPr>
            </w:pPr>
          </w:p>
        </w:tc>
        <w:tc>
          <w:tcPr>
            <w:tcW w:w="1637" w:type="dxa"/>
            <w:noWrap w:val="0"/>
            <w:vAlign w:val="center"/>
          </w:tcPr>
          <w:p>
            <w:pPr>
              <w:shd w:val="clear" w:color="auto" w:fill="auto"/>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是否允许分包</w:t>
            </w:r>
          </w:p>
        </w:tc>
        <w:tc>
          <w:tcPr>
            <w:tcW w:w="7262" w:type="dxa"/>
            <w:noWrap w:val="0"/>
            <w:vAlign w:val="center"/>
          </w:tcPr>
          <w:p>
            <w:pPr>
              <w:shd w:val="clear" w:color="auto" w:fill="auto"/>
              <w:spacing w:line="360" w:lineRule="auto"/>
              <w:jc w:val="left"/>
              <w:rPr>
                <w:rFonts w:hint="eastAsia" w:ascii="宋体" w:hAnsi="宋体" w:eastAsia="宋体" w:cs="宋体"/>
                <w:color w:val="auto"/>
                <w:kern w:val="0"/>
                <w:sz w:val="21"/>
                <w:szCs w:val="21"/>
                <w:highlight w:val="none"/>
              </w:rPr>
            </w:pPr>
            <w:r>
              <w:rPr>
                <w:rFonts w:ascii="仿宋_GB2312" w:hAnsi="仿宋"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lang w:val="en-US" w:eastAsia="zh-CN"/>
              </w:rPr>
              <w:t xml:space="preserve"> </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eastAsia="zh-CN"/>
              </w:rPr>
              <w:t>允许</w:t>
            </w:r>
            <w:r>
              <w:rPr>
                <w:rFonts w:hint="eastAsia" w:ascii="宋体" w:hAnsi="宋体" w:eastAsia="宋体" w:cs="宋体"/>
                <w:color w:val="auto"/>
                <w:sz w:val="21"/>
                <w:szCs w:val="21"/>
                <w:highlight w:val="none"/>
              </w:rPr>
              <w:t>分包。</w:t>
            </w:r>
          </w:p>
          <w:p>
            <w:pPr>
              <w:shd w:val="clear" w:color="auto" w:fill="auto"/>
              <w:spacing w:line="360" w:lineRule="auto"/>
              <w:jc w:val="left"/>
              <w:rPr>
                <w:rFonts w:hint="default" w:ascii="宋体" w:hAnsi="宋体" w:eastAsia="宋体" w:cs="宋体"/>
                <w:color w:val="auto"/>
                <w:szCs w:val="21"/>
                <w:highlight w:val="none"/>
                <w:lang w:val="en-US" w:eastAsia="zh-CN"/>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允许</w:t>
            </w:r>
            <w:r>
              <w:rPr>
                <w:rFonts w:hint="eastAsia" w:ascii="宋体" w:hAnsi="宋体" w:eastAsia="宋体" w:cs="宋体"/>
                <w:color w:val="auto"/>
                <w:kern w:val="0"/>
                <w:sz w:val="21"/>
                <w:szCs w:val="21"/>
                <w:highlight w:val="none"/>
              </w:rPr>
              <w:t>将非主体、非关键性的工作分包。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0"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w:t>
            </w:r>
          </w:p>
          <w:p>
            <w:pPr>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联合体投标</w:t>
            </w:r>
          </w:p>
        </w:tc>
        <w:tc>
          <w:tcPr>
            <w:tcW w:w="7262" w:type="dxa"/>
            <w:noWrap w:val="0"/>
            <w:vAlign w:val="center"/>
          </w:tcPr>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不接受</w:t>
            </w:r>
          </w:p>
          <w:p>
            <w:pPr>
              <w:spacing w:line="360" w:lineRule="auto"/>
              <w:jc w:val="left"/>
              <w:rPr>
                <w:rFonts w:hint="eastAsia" w:ascii="宋体" w:hAnsi="宋体" w:eastAsia="宋体" w:cs="宋体"/>
                <w:color w:val="auto"/>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投标样品</w:t>
            </w:r>
          </w:p>
        </w:tc>
        <w:tc>
          <w:tcPr>
            <w:tcW w:w="7262"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eq \o\ac(</w:instrText>
            </w:r>
            <w:r>
              <w:rPr>
                <w:rFonts w:hint="eastAsia" w:ascii="宋体" w:hAnsi="宋体" w:eastAsia="宋体" w:cs="宋体"/>
                <w:color w:val="auto"/>
                <w:position w:val="-2"/>
                <w:sz w:val="24"/>
                <w:szCs w:val="21"/>
                <w:highlight w:val="none"/>
              </w:rPr>
              <w:instrText xml:space="preserve">□</w:instrText>
            </w:r>
            <w:r>
              <w:rPr>
                <w:rFonts w:hint="eastAsia" w:ascii="宋体" w:hAnsi="宋体" w:eastAsia="宋体" w:cs="宋体"/>
                <w:color w:val="auto"/>
                <w:sz w:val="18"/>
                <w:szCs w:val="21"/>
                <w:highlight w:val="none"/>
              </w:rPr>
              <w:instrText xml:space="preserve">,√)</w:instrText>
            </w:r>
            <w:r>
              <w:rPr>
                <w:rFonts w:hint="eastAsia" w:ascii="宋体" w:hAnsi="宋体" w:eastAsia="宋体" w:cs="宋体"/>
                <w:color w:val="auto"/>
                <w:sz w:val="18"/>
                <w:szCs w:val="21"/>
                <w:highlight w:val="none"/>
              </w:rPr>
              <w:fldChar w:fldCharType="end"/>
            </w:r>
            <w:r>
              <w:rPr>
                <w:rFonts w:hint="eastAsia" w:ascii="宋体" w:hAnsi="宋体" w:eastAsia="宋体" w:cs="宋体"/>
                <w:color w:val="auto"/>
                <w:sz w:val="18"/>
                <w:szCs w:val="21"/>
                <w:highlight w:val="none"/>
              </w:rPr>
              <w:t xml:space="preserve"> </w:t>
            </w:r>
            <w:r>
              <w:rPr>
                <w:rFonts w:hint="eastAsia" w:ascii="宋体" w:hAnsi="宋体" w:eastAsia="宋体" w:cs="宋体"/>
                <w:bCs/>
                <w:color w:val="auto"/>
                <w:szCs w:val="21"/>
                <w:highlight w:val="none"/>
              </w:rPr>
              <w:t>不需要</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eq \o\ac(□)</w:instrTex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 xml:space="preserve"> 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投标保证金</w:t>
            </w:r>
          </w:p>
        </w:tc>
        <w:tc>
          <w:tcPr>
            <w:tcW w:w="7262"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645" w:type="dxa"/>
            <w:noWrap w:val="0"/>
            <w:vAlign w:val="center"/>
          </w:tcPr>
          <w:p>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是否需要缴纳</w:t>
            </w:r>
          </w:p>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262"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不需要</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4"/>
                <w:sz w:val="31"/>
                <w:szCs w:val="21"/>
                <w:highlight w:val="none"/>
                <w:lang w:eastAsia="zh-CN"/>
              </w:rPr>
              <w:instrText xml:space="preserve">,</w:instrText>
            </w:r>
            <w:r>
              <w:rPr>
                <w:rFonts w:hint="eastAsia" w:ascii="宋体" w:hAnsi="宋体" w:cs="宋体"/>
                <w:color w:val="auto"/>
                <w:position w:val="0"/>
                <w:sz w:val="21"/>
                <w:szCs w:val="21"/>
                <w:highlight w:val="none"/>
                <w:lang w:eastAsia="zh-CN"/>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需要</w:t>
            </w:r>
            <w:r>
              <w:rPr>
                <w:rFonts w:hint="eastAsia" w:ascii="宋体" w:hAnsi="宋体" w:cs="宋体"/>
                <w:color w:val="auto"/>
                <w:szCs w:val="21"/>
                <w:highlight w:val="none"/>
                <w:lang w:val="en-US" w:eastAsia="zh-CN"/>
              </w:rPr>
              <w:t>,</w:t>
            </w:r>
            <w:r>
              <w:rPr>
                <w:rFonts w:hint="eastAsia" w:ascii="宋体" w:hAnsi="宋体" w:cs="Arial"/>
                <w:b w:val="0"/>
                <w:bCs/>
                <w:color w:val="auto"/>
                <w:szCs w:val="21"/>
                <w:highlight w:val="none"/>
              </w:rPr>
              <w:t>在合同签订后7个工作日内，</w:t>
            </w:r>
            <w:r>
              <w:rPr>
                <w:rFonts w:hint="eastAsia" w:ascii="宋体" w:hAnsi="宋体" w:cs="Arial"/>
                <w:b w:val="0"/>
                <w:bCs/>
                <w:color w:val="auto"/>
                <w:szCs w:val="21"/>
                <w:highlight w:val="none"/>
                <w:lang w:eastAsia="zh-CN"/>
              </w:rPr>
              <w:t>成交供应商应</w:t>
            </w:r>
            <w:r>
              <w:rPr>
                <w:rFonts w:hint="eastAsia" w:ascii="宋体" w:hAnsi="宋体" w:cs="Arial"/>
                <w:b w:val="0"/>
                <w:bCs/>
                <w:color w:val="auto"/>
                <w:szCs w:val="21"/>
                <w:highlight w:val="none"/>
              </w:rPr>
              <w:t>以银行转账/</w:t>
            </w:r>
            <w:r>
              <w:rPr>
                <w:rFonts w:hint="eastAsia" w:ascii="宋体" w:hAnsi="宋体" w:cs="Arial"/>
                <w:b w:val="0"/>
                <w:bCs/>
                <w:color w:val="auto"/>
                <w:szCs w:val="21"/>
                <w:highlight w:val="none"/>
                <w:lang w:eastAsia="zh-CN"/>
              </w:rPr>
              <w:t>转账</w:t>
            </w:r>
            <w:r>
              <w:rPr>
                <w:rFonts w:hint="eastAsia" w:ascii="宋体" w:hAnsi="宋体" w:cs="Arial"/>
                <w:b w:val="0"/>
                <w:bCs/>
                <w:color w:val="auto"/>
                <w:szCs w:val="21"/>
                <w:highlight w:val="none"/>
              </w:rPr>
              <w:t>支票/银行汇票/银行、保险</w:t>
            </w:r>
            <w:r>
              <w:rPr>
                <w:rFonts w:hint="eastAsia" w:ascii="宋体" w:hAnsi="宋体" w:cs="Arial"/>
                <w:b w:val="0"/>
                <w:bCs/>
                <w:color w:val="auto"/>
                <w:szCs w:val="21"/>
                <w:highlight w:val="none"/>
                <w:lang w:eastAsia="zh-CN"/>
              </w:rPr>
              <w:t>机构</w:t>
            </w:r>
            <w:r>
              <w:rPr>
                <w:rFonts w:hint="eastAsia" w:ascii="宋体" w:hAnsi="宋体" w:cs="Arial"/>
                <w:b w:val="0"/>
                <w:bCs/>
                <w:color w:val="auto"/>
                <w:szCs w:val="21"/>
                <w:highlight w:val="none"/>
              </w:rPr>
              <w:t>出具的保函</w:t>
            </w:r>
            <w:r>
              <w:rPr>
                <w:rFonts w:hint="eastAsia" w:ascii="宋体" w:hAnsi="宋体" w:cs="Arial"/>
                <w:b w:val="0"/>
                <w:bCs/>
                <w:color w:val="auto"/>
                <w:szCs w:val="21"/>
                <w:highlight w:val="none"/>
                <w:lang w:eastAsia="zh-CN"/>
              </w:rPr>
              <w:t>等非现金方式</w:t>
            </w:r>
            <w:r>
              <w:rPr>
                <w:rFonts w:hint="eastAsia" w:ascii="宋体" w:hAnsi="宋体" w:cs="Arial"/>
                <w:b w:val="0"/>
                <w:bCs/>
                <w:color w:val="auto"/>
                <w:szCs w:val="21"/>
                <w:highlight w:val="none"/>
              </w:rPr>
              <w:t>向</w:t>
            </w:r>
            <w:r>
              <w:rPr>
                <w:rFonts w:hint="eastAsia" w:ascii="宋体" w:hAnsi="宋体" w:cs="Arial"/>
                <w:b w:val="0"/>
                <w:bCs/>
                <w:color w:val="auto"/>
                <w:szCs w:val="21"/>
                <w:highlight w:val="none"/>
                <w:lang w:eastAsia="zh-CN"/>
              </w:rPr>
              <w:t>采购人</w:t>
            </w:r>
            <w:r>
              <w:rPr>
                <w:rFonts w:hint="eastAsia" w:ascii="宋体" w:hAnsi="宋体" w:cs="Arial"/>
                <w:b w:val="0"/>
                <w:bCs/>
                <w:color w:val="auto"/>
                <w:szCs w:val="21"/>
                <w:highlight w:val="none"/>
              </w:rPr>
              <w:t>提供</w:t>
            </w:r>
            <w:r>
              <w:rPr>
                <w:rFonts w:hint="eastAsia" w:ascii="宋体" w:hAnsi="宋体" w:cs="Arial"/>
                <w:b w:val="0"/>
                <w:bCs/>
                <w:color w:val="auto"/>
                <w:szCs w:val="21"/>
                <w:highlight w:val="none"/>
                <w:lang w:val="en-US" w:eastAsia="zh-CN"/>
              </w:rPr>
              <w:t>合同价款的</w:t>
            </w:r>
            <w:r>
              <w:rPr>
                <w:rFonts w:hint="eastAsia" w:ascii="宋体" w:hAnsi="宋体" w:cs="Arial"/>
                <w:b w:val="0"/>
                <w:bCs/>
                <w:color w:val="auto"/>
                <w:szCs w:val="21"/>
                <w:highlight w:val="none"/>
              </w:rPr>
              <w:t>1%的履约担保。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6"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预付款</w:t>
            </w:r>
          </w:p>
        </w:tc>
        <w:tc>
          <w:tcPr>
            <w:tcW w:w="726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在合同签订且具备实施条件后7个工作日内，采购方支付合同价款的40%作为预付款（供应商明确表示无需预付款或者主动要求降低预付款比例的，采购单位可不适用前述规定）。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投标有效期</w:t>
            </w:r>
          </w:p>
        </w:tc>
        <w:tc>
          <w:tcPr>
            <w:tcW w:w="7262"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提交</w:t>
            </w:r>
            <w:r>
              <w:rPr>
                <w:rFonts w:hint="eastAsia" w:ascii="宋体" w:hAnsi="宋体" w:cs="宋体"/>
                <w:color w:val="auto"/>
                <w:szCs w:val="21"/>
                <w:highlight w:val="none"/>
                <w:lang w:val="en-US" w:eastAsia="zh-CN"/>
              </w:rPr>
              <w:t>采购响应文件</w:t>
            </w:r>
            <w:r>
              <w:rPr>
                <w:rFonts w:hint="eastAsia" w:ascii="宋体" w:hAnsi="宋体" w:cs="宋体"/>
                <w:color w:val="auto"/>
                <w:szCs w:val="21"/>
                <w:highlight w:val="none"/>
              </w:rPr>
              <w:t>截止之日起</w:t>
            </w:r>
            <w:r>
              <w:rPr>
                <w:rFonts w:hint="eastAsia" w:ascii="宋体" w:hAnsi="宋体" w:cs="宋体"/>
                <w:color w:val="auto"/>
                <w:szCs w:val="21"/>
                <w:highlight w:val="none"/>
                <w:u w:val="single"/>
                <w:lang w:val="en-US" w:eastAsia="zh-CN"/>
              </w:rPr>
              <w:t>90</w:t>
            </w:r>
            <w:r>
              <w:rPr>
                <w:rFonts w:hint="eastAsia" w:ascii="Arial" w:hAnsi="Arial" w:cs="Arial"/>
                <w:color w:val="auto"/>
                <w:szCs w:val="21"/>
                <w:highlight w:val="none"/>
                <w:u w:val="none"/>
                <w:lang w:eastAsia="zh-CN"/>
              </w:rPr>
              <w:t>日</w:t>
            </w:r>
            <w:r>
              <w:rPr>
                <w:rFonts w:hint="eastAsia" w:ascii="宋体" w:hAnsi="宋体" w:cs="宋体"/>
                <w:color w:val="auto"/>
                <w:szCs w:val="21"/>
                <w:highlight w:val="none"/>
              </w:rPr>
              <w:t>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开标前答疑会或现场考察</w:t>
            </w:r>
          </w:p>
        </w:tc>
        <w:tc>
          <w:tcPr>
            <w:tcW w:w="7262" w:type="dxa"/>
            <w:noWrap w:val="0"/>
            <w:vAlign w:val="center"/>
          </w:tcPr>
          <w:p>
            <w:pPr>
              <w:spacing w:line="360" w:lineRule="auto"/>
              <w:rPr>
                <w:rFonts w:hint="eastAsia" w:ascii="宋体" w:hAnsi="宋体" w:eastAsia="宋体" w:cs="宋体"/>
                <w:color w:val="auto"/>
                <w:sz w:val="21"/>
                <w:szCs w:val="21"/>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宋体" w:hAnsi="宋体" w:eastAsia="宋体" w:cs="宋体"/>
                <w:color w:val="auto"/>
                <w:sz w:val="21"/>
                <w:szCs w:val="21"/>
                <w:highlight w:val="none"/>
              </w:rPr>
              <w:t>不组织。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29"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bookmarkStart w:id="823" w:name="_GoBack" w:colFirst="1" w:colLast="2"/>
          </w:p>
        </w:tc>
        <w:tc>
          <w:tcPr>
            <w:tcW w:w="1637"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cs="宋体"/>
                <w:b w:val="0"/>
                <w:bCs/>
                <w:color w:val="auto"/>
                <w:sz w:val="21"/>
                <w:szCs w:val="21"/>
                <w:highlight w:val="none"/>
              </w:rPr>
              <w:t>节能产品、环境标志产品</w:t>
            </w:r>
          </w:p>
        </w:tc>
        <w:tc>
          <w:tcPr>
            <w:tcW w:w="7262" w:type="dxa"/>
            <w:noWrap w:val="0"/>
            <w:vAlign w:val="center"/>
          </w:tcPr>
          <w:p>
            <w:pPr>
              <w:snapToGrid w:val="0"/>
              <w:spacing w:line="360" w:lineRule="auto"/>
              <w:ind w:firstLine="420" w:firstLineChars="200"/>
              <w:rPr>
                <w:rFonts w:hint="eastAsia"/>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属于强制采购节能产品的，必须提供节能产品认证证书。</w:t>
            </w:r>
          </w:p>
          <w:p>
            <w:pPr>
              <w:pStyle w:val="4"/>
              <w:ind w:left="0" w:leftChars="0" w:firstLine="420" w:firstLineChars="200"/>
              <w:rPr>
                <w:rFonts w:hint="eastAsia" w:ascii="宋体" w:hAnsi="宋体" w:eastAsia="宋体" w:cs="宋体"/>
                <w:color w:val="auto"/>
                <w:szCs w:val="21"/>
                <w:highlight w:val="none"/>
              </w:rPr>
            </w:pPr>
            <w:r>
              <w:rPr>
                <w:rFonts w:hint="eastAsia"/>
                <w:color w:val="auto"/>
                <w:highlight w:val="none"/>
                <w:lang w:val="en-US" w:eastAsia="zh-CN"/>
              </w:rPr>
              <w:t>产品清单：</w:t>
            </w:r>
            <w:r>
              <w:rPr>
                <w:rFonts w:hint="eastAsia"/>
                <w:color w:val="auto"/>
                <w:highlight w:val="none"/>
                <w:u w:val="single"/>
                <w:lang w:val="en-US" w:eastAsia="zh-CN"/>
              </w:rPr>
              <w:t>/</w:t>
            </w:r>
            <w:r>
              <w:rPr>
                <w:rFonts w:hint="eastAsia"/>
                <w:color w:val="auto"/>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napToGrid w:val="0"/>
              <w:spacing w:line="240" w:lineRule="auto"/>
              <w:jc w:val="center"/>
              <w:rPr>
                <w:rFonts w:hint="eastAsia" w:ascii="宋体" w:hAnsi="宋体" w:eastAsia="宋体" w:cs="宋体"/>
                <w:color w:val="auto"/>
                <w:szCs w:val="21"/>
                <w:highlight w:val="none"/>
              </w:rPr>
            </w:pPr>
            <w:r>
              <w:rPr>
                <w:rFonts w:hint="eastAsia" w:ascii="宋体" w:hAnsi="宋体" w:cs="宋体"/>
                <w:bCs/>
                <w:color w:val="auto"/>
                <w:szCs w:val="21"/>
                <w:highlight w:val="none"/>
              </w:rPr>
              <w:t>提交</w:t>
            </w:r>
            <w:r>
              <w:rPr>
                <w:rFonts w:hint="eastAsia" w:ascii="宋体" w:hAnsi="宋体" w:cs="宋体"/>
                <w:color w:val="auto"/>
                <w:szCs w:val="21"/>
                <w:highlight w:val="none"/>
                <w:lang w:val="en-US" w:eastAsia="zh-CN"/>
              </w:rPr>
              <w:t>采购响应文件</w:t>
            </w:r>
            <w:r>
              <w:rPr>
                <w:rFonts w:hint="eastAsia" w:ascii="宋体" w:hAnsi="宋体" w:cs="宋体"/>
                <w:bCs/>
                <w:color w:val="auto"/>
                <w:szCs w:val="21"/>
                <w:highlight w:val="none"/>
              </w:rPr>
              <w:t>截止时间及开标时间</w:t>
            </w:r>
          </w:p>
        </w:tc>
        <w:tc>
          <w:tcPr>
            <w:tcW w:w="7262"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日</w:t>
            </w:r>
            <w:r>
              <w:rPr>
                <w:rFonts w:hint="eastAsia" w:ascii="宋体" w:hAnsi="宋体" w:eastAsia="宋体" w:cs="宋体"/>
                <w:bCs/>
                <w:color w:val="auto"/>
                <w:szCs w:val="21"/>
                <w:highlight w:val="none"/>
                <w:lang w:val="en-US" w:eastAsia="zh-CN"/>
              </w:rPr>
              <w:t>09</w:t>
            </w:r>
            <w:r>
              <w:rPr>
                <w:rFonts w:hint="eastAsia" w:ascii="宋体" w:hAnsi="宋体" w:eastAsia="宋体" w:cs="宋体"/>
                <w:bCs/>
                <w:color w:val="auto"/>
                <w:szCs w:val="21"/>
                <w:highlight w:val="none"/>
              </w:rPr>
              <w:t>时</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rPr>
              <w:t>分（北京时间）</w:t>
            </w:r>
          </w:p>
        </w:tc>
      </w:tr>
      <w:bookmarkEnd w:id="82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7"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262" w:type="dxa"/>
            <w:noWrap w:val="0"/>
            <w:vAlign w:val="center"/>
          </w:tcPr>
          <w:p>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的解释权属于招标采购单位。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noWrap w:val="0"/>
            <w:vAlign w:val="center"/>
          </w:tcPr>
          <w:p>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特别说明</w:t>
            </w:r>
          </w:p>
        </w:tc>
        <w:tc>
          <w:tcPr>
            <w:tcW w:w="7262"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strike w:val="0"/>
                <w:dstrike w:val="0"/>
                <w:color w:val="auto"/>
                <w:szCs w:val="21"/>
                <w:highlight w:val="none"/>
                <w:lang w:eastAsia="zh-CN"/>
              </w:rPr>
              <w:t>成交供应商</w:t>
            </w:r>
            <w:r>
              <w:rPr>
                <w:rFonts w:hint="eastAsia" w:ascii="宋体" w:hAnsi="宋体" w:eastAsia="宋体" w:cs="宋体"/>
                <w:b/>
                <w:bCs/>
                <w:strike w:val="0"/>
                <w:dstrike w:val="0"/>
                <w:color w:val="auto"/>
                <w:szCs w:val="21"/>
                <w:highlight w:val="none"/>
              </w:rPr>
              <w:t>在领取</w:t>
            </w:r>
            <w:r>
              <w:rPr>
                <w:rFonts w:hint="eastAsia" w:ascii="宋体" w:hAnsi="宋体" w:eastAsia="宋体" w:cs="宋体"/>
                <w:b/>
                <w:bCs/>
                <w:strike w:val="0"/>
                <w:dstrike w:val="0"/>
                <w:color w:val="auto"/>
                <w:szCs w:val="21"/>
                <w:highlight w:val="none"/>
                <w:lang w:eastAsia="zh-CN"/>
              </w:rPr>
              <w:t>成交通知书</w:t>
            </w:r>
            <w:r>
              <w:rPr>
                <w:rFonts w:hint="eastAsia" w:ascii="宋体" w:hAnsi="宋体" w:eastAsia="宋体" w:cs="宋体"/>
                <w:b/>
                <w:bCs/>
                <w:strike w:val="0"/>
                <w:dstrike w:val="0"/>
                <w:color w:val="auto"/>
                <w:szCs w:val="21"/>
                <w:highlight w:val="none"/>
              </w:rPr>
              <w:t>时提供全套纸质</w:t>
            </w:r>
            <w:r>
              <w:rPr>
                <w:rFonts w:hint="eastAsia" w:ascii="宋体" w:hAnsi="宋体" w:eastAsia="宋体" w:cs="宋体"/>
                <w:b/>
                <w:bCs/>
                <w:strike w:val="0"/>
                <w:dstrike w:val="0"/>
                <w:color w:val="auto"/>
                <w:szCs w:val="21"/>
                <w:highlight w:val="none"/>
                <w:lang w:val="en-US" w:eastAsia="zh-CN"/>
              </w:rPr>
              <w:t>采购响应文件</w:t>
            </w:r>
            <w:r>
              <w:rPr>
                <w:rFonts w:hint="eastAsia" w:ascii="宋体" w:hAnsi="宋体" w:eastAsia="宋体" w:cs="宋体"/>
                <w:b/>
                <w:bCs/>
                <w:strike w:val="0"/>
                <w:dstrike w:val="0"/>
                <w:color w:val="auto"/>
                <w:szCs w:val="21"/>
                <w:highlight w:val="none"/>
              </w:rPr>
              <w:t>一正</w:t>
            </w:r>
            <w:r>
              <w:rPr>
                <w:rFonts w:hint="eastAsia" w:ascii="宋体" w:hAnsi="宋体" w:eastAsia="宋体" w:cs="宋体"/>
                <w:b/>
                <w:bCs/>
                <w:strike w:val="0"/>
                <w:dstrike w:val="0"/>
                <w:color w:val="auto"/>
                <w:szCs w:val="21"/>
                <w:highlight w:val="none"/>
                <w:lang w:val="en-US" w:eastAsia="zh-CN"/>
              </w:rPr>
              <w:t>二</w:t>
            </w:r>
            <w:r>
              <w:rPr>
                <w:rFonts w:hint="eastAsia" w:ascii="宋体" w:hAnsi="宋体" w:eastAsia="宋体" w:cs="宋体"/>
                <w:b/>
                <w:bCs/>
                <w:strike w:val="0"/>
                <w:dstrike w:val="0"/>
                <w:color w:val="auto"/>
                <w:szCs w:val="21"/>
                <w:highlight w:val="none"/>
              </w:rPr>
              <w:t>副。</w:t>
            </w:r>
          </w:p>
        </w:tc>
      </w:tr>
    </w:tbl>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color w:val="auto"/>
          <w:sz w:val="24"/>
          <w:szCs w:val="24"/>
          <w:highlight w:val="none"/>
        </w:rPr>
      </w:pPr>
      <w:bookmarkStart w:id="7" w:name="_Toc474156085"/>
      <w:r>
        <w:rPr>
          <w:rFonts w:hint="eastAsia" w:ascii="宋体" w:hAnsi="宋体" w:eastAsia="宋体" w:cs="宋体"/>
          <w:b/>
          <w:bCs w:val="0"/>
          <w:color w:val="auto"/>
          <w:sz w:val="32"/>
          <w:szCs w:val="32"/>
          <w:highlight w:val="none"/>
          <w:lang w:val="en-US" w:eastAsia="zh-CN"/>
        </w:rPr>
        <w:br w:type="page"/>
      </w:r>
      <w:bookmarkStart w:id="8" w:name="_Toc7816"/>
      <w:bookmarkStart w:id="9" w:name="_Toc21917"/>
      <w:bookmarkStart w:id="10" w:name="_Toc4086"/>
      <w:bookmarkStart w:id="11" w:name="_Toc9097"/>
      <w:bookmarkStart w:id="12" w:name="_Toc26215"/>
      <w:r>
        <w:rPr>
          <w:rFonts w:hint="eastAsia" w:ascii="宋体" w:hAnsi="宋体" w:eastAsia="宋体" w:cs="宋体"/>
          <w:b/>
          <w:bCs w:val="0"/>
          <w:color w:val="auto"/>
          <w:sz w:val="28"/>
          <w:szCs w:val="28"/>
          <w:highlight w:val="none"/>
          <w:lang w:val="en-US" w:eastAsia="zh-CN"/>
        </w:rPr>
        <w:t>一、</w:t>
      </w:r>
      <w:r>
        <w:rPr>
          <w:rFonts w:hint="eastAsia" w:ascii="宋体" w:hAnsi="宋体" w:eastAsia="宋体" w:cs="宋体"/>
          <w:b/>
          <w:bCs w:val="0"/>
          <w:color w:val="auto"/>
          <w:sz w:val="28"/>
          <w:szCs w:val="28"/>
          <w:highlight w:val="none"/>
        </w:rPr>
        <w:t>总则</w:t>
      </w:r>
      <w:bookmarkEnd w:id="7"/>
      <w:bookmarkEnd w:id="8"/>
      <w:bookmarkEnd w:id="9"/>
      <w:bookmarkEnd w:id="10"/>
      <w:bookmarkEnd w:id="11"/>
      <w:bookmarkEnd w:id="12"/>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3" w:name="_Toc31863"/>
      <w:bookmarkStart w:id="14" w:name="_Toc16273"/>
      <w:bookmarkStart w:id="15" w:name="_Toc30616"/>
      <w:bookmarkStart w:id="16" w:name="_Toc17834"/>
      <w:bookmarkStart w:id="17" w:name="_Toc20052"/>
      <w:bookmarkStart w:id="18" w:name="_Toc5418"/>
      <w:bookmarkStart w:id="19" w:name="_Toc20528"/>
      <w:bookmarkStart w:id="20" w:name="_Toc9681"/>
      <w:bookmarkStart w:id="21" w:name="_Toc29976"/>
      <w:bookmarkStart w:id="22" w:name="_Toc23804"/>
      <w:bookmarkStart w:id="23" w:name="_Toc459125026"/>
      <w:bookmarkStart w:id="24" w:name="_Toc14011"/>
      <w:bookmarkStart w:id="25" w:name="_Toc454832216"/>
      <w:bookmarkStart w:id="26" w:name="_Toc474156093"/>
      <w:bookmarkStart w:id="27" w:name="_Toc416183460"/>
      <w:bookmarkStart w:id="28" w:name="_Toc442273881"/>
      <w:bookmarkStart w:id="29" w:name="_Toc397591320"/>
      <w:bookmarkStart w:id="30" w:name="_Toc353443071"/>
      <w:bookmarkStart w:id="31" w:name="_Toc416183606"/>
      <w:r>
        <w:rPr>
          <w:rFonts w:hint="eastAsia" w:ascii="宋体" w:hAnsi="宋体" w:eastAsia="宋体" w:cs="宋体"/>
          <w:b/>
          <w:color w:val="auto"/>
          <w:sz w:val="24"/>
          <w:szCs w:val="24"/>
          <w:highlight w:val="none"/>
        </w:rPr>
        <w:t>适用范围</w:t>
      </w:r>
      <w:bookmarkEnd w:id="13"/>
      <w:bookmarkEnd w:id="14"/>
      <w:bookmarkEnd w:id="15"/>
      <w:bookmarkEnd w:id="16"/>
      <w:bookmarkEnd w:id="17"/>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适用于该项目的招标、投标、开标、资格审查及信用信息查询、评标、定标、合同、验收等行为（法律、法规另有规定的，从其规定）。</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32" w:name="_Toc4654"/>
      <w:bookmarkStart w:id="33" w:name="_Toc18802"/>
      <w:bookmarkStart w:id="34" w:name="_Toc15270"/>
      <w:bookmarkStart w:id="35" w:name="_Toc955"/>
      <w:bookmarkStart w:id="36" w:name="_Toc13359"/>
      <w:r>
        <w:rPr>
          <w:rFonts w:hint="eastAsia" w:ascii="宋体" w:hAnsi="宋体" w:eastAsia="宋体" w:cs="宋体"/>
          <w:b/>
          <w:color w:val="auto"/>
          <w:sz w:val="24"/>
          <w:szCs w:val="24"/>
          <w:highlight w:val="none"/>
        </w:rPr>
        <w:t>定义</w:t>
      </w:r>
      <w:bookmarkEnd w:id="32"/>
      <w:bookmarkEnd w:id="33"/>
      <w:bookmarkEnd w:id="34"/>
      <w:bookmarkEnd w:id="35"/>
      <w:bookmarkEnd w:id="3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w:t>
      </w:r>
      <w:r>
        <w:rPr>
          <w:rFonts w:hint="eastAsia" w:ascii="宋体" w:hAnsi="宋体" w:cs="宋体"/>
          <w:color w:val="auto"/>
          <w:sz w:val="21"/>
          <w:szCs w:val="21"/>
          <w:highlight w:val="none"/>
          <w:lang w:eastAsia="zh-CN"/>
        </w:rPr>
        <w:t>采购公告</w:t>
      </w:r>
      <w:r>
        <w:rPr>
          <w:rFonts w:hint="eastAsia" w:ascii="宋体" w:hAnsi="宋体" w:eastAsia="宋体" w:cs="宋体"/>
          <w:color w:val="auto"/>
          <w:sz w:val="21"/>
          <w:szCs w:val="21"/>
          <w:highlight w:val="none"/>
        </w:rPr>
        <w:t>中载明的本项目的采购人。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cs="宋体"/>
          <w:color w:val="auto"/>
          <w:sz w:val="21"/>
          <w:szCs w:val="21"/>
          <w:highlight w:val="none"/>
          <w:lang w:eastAsia="zh-CN"/>
        </w:rPr>
        <w:t>采购公告</w:t>
      </w:r>
      <w:r>
        <w:rPr>
          <w:rFonts w:hint="eastAsia" w:ascii="宋体" w:hAnsi="宋体" w:eastAsia="宋体" w:cs="宋体"/>
          <w:color w:val="auto"/>
          <w:sz w:val="21"/>
          <w:szCs w:val="21"/>
          <w:highlight w:val="none"/>
        </w:rPr>
        <w:t>中载明的本项目的采购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2"/>
          <w:highlight w:val="none"/>
          <w:lang w:val="en-US" w:eastAsia="zh-CN" w:bidi="ar-SA"/>
        </w:rPr>
        <w:t>“招标采购单位”系指</w:t>
      </w:r>
      <w:r>
        <w:rPr>
          <w:rFonts w:hint="eastAsia" w:ascii="宋体" w:hAnsi="宋体" w:eastAsia="宋体" w:cs="宋体"/>
          <w:color w:val="auto"/>
          <w:sz w:val="21"/>
          <w:szCs w:val="21"/>
          <w:highlight w:val="none"/>
        </w:rPr>
        <w:t>组织本次招标的采购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val="en-US" w:eastAsia="zh-CN"/>
        </w:rPr>
        <w:t>采购人</w:t>
      </w:r>
      <w:r>
        <w:rPr>
          <w:rFonts w:hint="eastAsia" w:ascii="宋体" w:hAnsi="宋体"/>
          <w:color w:val="auto"/>
          <w:kern w:val="0"/>
          <w:sz w:val="21"/>
          <w:szCs w:val="22"/>
          <w:highlight w:val="none"/>
          <w:lang w:val="en-US" w:eastAsia="zh-CN" w:bidi="ar-SA"/>
        </w:rPr>
        <w:t>。</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”系指是指响应招标、参加投标竞争的法人、其他组织或者自然人。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成交供应商</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指在本次招标中中标的</w:t>
      </w:r>
      <w:r>
        <w:rPr>
          <w:rFonts w:hint="eastAsia" w:ascii="宋体" w:hAnsi="宋体" w:cs="宋体"/>
          <w:color w:val="auto"/>
          <w:highlight w:val="none"/>
          <w:lang w:eastAsia="zh-CN"/>
        </w:rPr>
        <w:t>商谈供应商</w:t>
      </w:r>
      <w:r>
        <w:rPr>
          <w:rFonts w:hint="eastAsia" w:ascii="宋体" w:hAnsi="宋体" w:eastAsia="宋体" w:cs="宋体"/>
          <w:color w:val="auto"/>
          <w:highlight w:val="none"/>
        </w:rPr>
        <w:t>。</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商谈小组</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指《中华人民共和国政府采购法》组建的专门负责采购评审工作的临时性机构。</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“负责人”系指法人企业的法定负责人，或其他组织为法律、行政法规规定代表单位行使职权的主要负责人，或自然人本人。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公章”系指单位法定名称章。</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“电子交易平台”是指本项目政府采购活动所依托的政府采购云平台（https://www.zcygov.cn/）。</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系指实质性要求条款，“★”系产品采购项目中单一产品或核心产品，“</w:t>
      </w:r>
      <w:r>
        <w:rPr>
          <w:rFonts w:ascii="Wingdings" w:hAnsi="Wingdings" w:eastAsia="仿宋_GB2312" w:cs="Arial"/>
          <w:color w:val="auto"/>
          <w:kern w:val="0"/>
          <w:sz w:val="24"/>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系指适用本项目的要求，“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系指不适用本项目的要求。</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必须对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中以“▲”标识的有关技术和商务条款做出实质性响应，否则其投标无效。</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37" w:name="_Toc16783"/>
      <w:bookmarkStart w:id="38" w:name="_Toc12468"/>
      <w:bookmarkStart w:id="39" w:name="_Toc18321"/>
      <w:bookmarkStart w:id="40" w:name="_Toc17354"/>
      <w:bookmarkStart w:id="41" w:name="_Toc4131"/>
      <w:r>
        <w:rPr>
          <w:rFonts w:hint="eastAsia" w:ascii="宋体" w:hAnsi="宋体" w:eastAsia="宋体" w:cs="宋体"/>
          <w:b/>
          <w:color w:val="auto"/>
          <w:sz w:val="24"/>
          <w:szCs w:val="24"/>
          <w:highlight w:val="none"/>
        </w:rPr>
        <w:t>采购项目需要落实的政府采购政策</w:t>
      </w:r>
      <w:bookmarkEnd w:id="37"/>
      <w:bookmarkEnd w:id="38"/>
      <w:bookmarkEnd w:id="39"/>
      <w:bookmarkEnd w:id="40"/>
      <w:bookmarkEnd w:id="41"/>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已经在采购活动开始前向财政部门提出申请并获得财政部门审核同意，且在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商谈供应商须知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中明确规定可以采购进口产品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支持绿色发展</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定的认证机构出具的、处于有效期之内的节能产品、环境标志产品认证证书，对获得证书的产品实施政府优先采购或强制采购。</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须按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要求提供相关产品认证证书。</w:t>
      </w:r>
      <w:r>
        <w:rPr>
          <w:rFonts w:hint="eastAsia" w:ascii="宋体" w:hAnsi="宋体" w:eastAsia="宋体" w:cs="宋体"/>
          <w:b w:val="0"/>
          <w:bCs w:val="0"/>
          <w:color w:val="auto"/>
          <w:sz w:val="21"/>
          <w:szCs w:val="21"/>
          <w:highlight w:val="none"/>
        </w:rPr>
        <w:t>采购人拟采购的产品属于政府强制采购的节能产品品目清单范围的，</w:t>
      </w:r>
      <w:r>
        <w:rPr>
          <w:rFonts w:hint="eastAsia" w:ascii="宋体" w:hAnsi="宋体" w:cs="宋体"/>
          <w:b w:val="0"/>
          <w:bCs w:val="0"/>
          <w:color w:val="auto"/>
          <w:sz w:val="21"/>
          <w:szCs w:val="21"/>
          <w:highlight w:val="none"/>
          <w:lang w:eastAsia="zh-CN"/>
        </w:rPr>
        <w:t>商谈供应商</w:t>
      </w:r>
      <w:r>
        <w:rPr>
          <w:rFonts w:hint="eastAsia" w:ascii="宋体" w:hAnsi="宋体" w:eastAsia="宋体" w:cs="宋体"/>
          <w:b w:val="0"/>
          <w:bCs w:val="0"/>
          <w:color w:val="auto"/>
          <w:sz w:val="21"/>
          <w:szCs w:val="21"/>
          <w:highlight w:val="none"/>
        </w:rPr>
        <w:t>未按</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要求提供国家确定的认证机构出具的、处于有效期之内的节能产品认证证书的，</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投标无效。</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纳入政府采购管理的修缮、装修类项目采购建材的，鼓励采购单位将绿色建材性能、指标</w:t>
      </w:r>
      <w:r>
        <w:rPr>
          <w:rFonts w:hint="eastAsia" w:ascii="宋体" w:hAnsi="宋体" w:eastAsia="宋体" w:cs="宋体"/>
          <w:color w:val="auto"/>
          <w:sz w:val="21"/>
          <w:szCs w:val="21"/>
          <w:highlight w:val="none"/>
          <w:lang w:val="en-US" w:eastAsia="zh-CN"/>
        </w:rPr>
        <w:t xml:space="preserve">       </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等作为实质性条件纳入采购文件和合同，具体性能指标要求参考相关绿色建材政府采购需求标准。</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为助力打好污染防治攻坚战，推广使用绿色包装，政府采购货物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服务项目中涉及商品包</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支持中小企业发展</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w:t>
      </w:r>
      <w:r>
        <w:rPr>
          <w:rFonts w:hint="eastAsia" w:ascii="宋体" w:hAnsi="宋体" w:eastAsia="宋体" w:cs="宋体"/>
          <w:color w:val="auto"/>
          <w:sz w:val="21"/>
          <w:szCs w:val="21"/>
          <w:highlight w:val="none"/>
          <w:lang w:val="en-US" w:eastAsia="zh-CN"/>
        </w:rPr>
        <w:t xml:space="preserve"> </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定的中型企业、小型企业和微型企业，但与大企业的负责人为同一人，或者与大企业存在直接控股、管理关系的除外。</w:t>
      </w:r>
    </w:p>
    <w:p>
      <w:pPr>
        <w:shd w:val="clear" w:color="auto" w:fill="auto"/>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在政府采购活动中，</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提供的货物、工程或者服务符合下列情形的，享受中小企业扶持政策</w:t>
      </w:r>
      <w:r>
        <w:rPr>
          <w:rFonts w:hint="eastAsia" w:ascii="宋体" w:hAnsi="宋体" w:eastAsia="宋体" w:cs="宋体"/>
          <w:color w:val="auto"/>
          <w:kern w:val="0"/>
          <w:sz w:val="21"/>
          <w:szCs w:val="21"/>
          <w:highlight w:val="none"/>
          <w:lang w:eastAsia="zh-CN"/>
        </w:rPr>
        <w:t>。</w:t>
      </w:r>
    </w:p>
    <w:p>
      <w:pPr>
        <w:pageBreakBefore w:val="0"/>
        <w:numPr>
          <w:ilvl w:val="3"/>
          <w:numId w:val="3"/>
        </w:numPr>
        <w:shd w:val="clear" w:color="auto" w:fill="auto"/>
        <w:tabs>
          <w:tab w:val="left" w:pos="840"/>
          <w:tab w:val="clear" w:pos="108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在货物采购项目中，货物由中小企业制造，即货物由中小企业生产且使用该中小企业商号</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或者注册商标；</w:t>
      </w:r>
    </w:p>
    <w:p>
      <w:pPr>
        <w:pageBreakBefore w:val="0"/>
        <w:numPr>
          <w:ilvl w:val="3"/>
          <w:numId w:val="3"/>
        </w:numPr>
        <w:shd w:val="clear" w:color="auto" w:fill="auto"/>
        <w:tabs>
          <w:tab w:val="left" w:pos="840"/>
          <w:tab w:val="clear" w:pos="108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在服务采购项目中，服务由中小企业承接，即提供服务的人员为中小企业依照《中华人民</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共和国劳动合同法》订立劳动合同的从业人员。</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提供的货物既有中小企业制造货物，也有大型企业制造货物的，不享受中小企业扶持政策。</w:t>
      </w:r>
    </w:p>
    <w:p>
      <w:pPr>
        <w:widowControl/>
        <w:shd w:val="clear" w:color="auto" w:fill="auto"/>
        <w:spacing w:line="360" w:lineRule="auto"/>
        <w:ind w:firstLine="840" w:firstLineChars="4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w:t>
      </w:r>
    </w:p>
    <w:p>
      <w:pPr>
        <w:widowControl/>
        <w:shd w:val="clear" w:color="auto" w:fill="auto"/>
        <w:spacing w:line="360" w:lineRule="auto"/>
        <w:ind w:firstLine="840" w:firstLineChars="4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中，联合体各方均为小微企业的，联合体视同小微企业。</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对于未预留份额专门面向中小企业的政府采购货物或服务项目，以及预留份额政府采购货</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物或服务项目中的非预留部分标项，对小型和微型企业的投标报价给予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提供《残疾人福利性单位声明函》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的残疾人福利性单位视同小型、微</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型企业；</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符合《关于政府采购支持监狱企业发展有关问题的通知》（财库[2014]68号）规定的监狱</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企业并提供由省级以上监狱管理局、戒毒管理局（含新疆生产建设兵团）出具的属于监狱企业证明文件的，视同为小型、微型企业。</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监狱企业、残疾人福利性单位视同小型、微型企业的，享受价格扣除。监狱企业、残疾人</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福利性单位属于小型、微型企业的，不重复享受政策。</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可享受中小企业扶持政策的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应按照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格式要求提供《中小企业声明函》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中小企业享受扶持政策获得政府采购合同的，小微企业不得将合同分包给大中型企业，中</w:t>
      </w:r>
      <w:r>
        <w:rPr>
          <w:rFonts w:hint="eastAsia" w:ascii="宋体" w:hAnsi="宋体" w:eastAsia="宋体" w:cs="宋体"/>
          <w:color w:val="auto"/>
          <w:sz w:val="21"/>
          <w:szCs w:val="21"/>
          <w:highlight w:val="none"/>
          <w:lang w:val="en-US" w:eastAsia="zh-CN"/>
        </w:rPr>
        <w:t xml:space="preserve">  </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型企业不得将合同分包给大型企业。</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支持创新发展</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对省级以上主管部门认定的首台套产品，自纳入《省推广应用指导目录》起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年内，以及</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产品核心技术高于国内领先水平，并具有明晰自主知识产权的“制造精品”产品，自认定之日起2年内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视同已具备相应销售业绩，参加政府采购活动时业绩分值为满分。</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w:t>
      </w:r>
    </w:p>
    <w:p>
      <w:pPr>
        <w:shd w:val="clear" w:color="auto" w:fill="auto"/>
        <w:spacing w:line="360" w:lineRule="auto"/>
        <w:ind w:left="840" w:leftChars="4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支持中小企业信用融资</w:t>
      </w:r>
    </w:p>
    <w:p>
      <w:pPr>
        <w:shd w:val="clear" w:color="auto" w:fill="auto"/>
        <w:autoSpaceDE w:val="0"/>
        <w:autoSpaceDN w:val="0"/>
        <w:spacing w:line="360" w:lineRule="auto"/>
        <w:ind w:left="840" w:leftChars="4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为支持和促进中小企业发展，进一步发挥政府采购政策功能，温州市财政局出台了《温州</w:t>
      </w:r>
    </w:p>
    <w:p>
      <w:pPr>
        <w:shd w:val="clear" w:color="auto" w:fill="auto"/>
        <w:autoSpaceDE w:val="0"/>
        <w:autoSpaceDN w:val="0"/>
        <w:spacing w:line="360" w:lineRule="auto"/>
        <w:ind w:left="840" w:leftChars="4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市财政局关于温州市政府采购支持中小企业信用融资的通知》（温财采〔2020〕3号），</w:t>
      </w:r>
    </w:p>
    <w:p>
      <w:pPr>
        <w:shd w:val="clear" w:color="auto" w:fill="auto"/>
        <w:autoSpaceDE w:val="0"/>
        <w:autoSpaceDN w:val="0"/>
        <w:spacing w:line="360" w:lineRule="auto"/>
        <w:ind w:left="840" w:leftChars="4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供应商若有融资意向，可直接登录http://jinrong.zcygov.cn，查看信用融资政策文件</w:t>
      </w:r>
    </w:p>
    <w:p>
      <w:pPr>
        <w:shd w:val="clear" w:color="auto" w:fill="auto"/>
        <w:autoSpaceDE w:val="0"/>
        <w:autoSpaceDN w:val="0"/>
        <w:spacing w:line="360" w:lineRule="auto"/>
        <w:ind w:left="840" w:leftChars="400" w:firstLine="0" w:firstLineChars="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及各相关银行服务方案，也可直接向各银行咨询相关业务。</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42" w:name="_Toc29823"/>
      <w:bookmarkStart w:id="43" w:name="_Toc12489"/>
      <w:bookmarkStart w:id="44" w:name="_Toc18058"/>
      <w:bookmarkStart w:id="45" w:name="_Toc20110"/>
      <w:bookmarkStart w:id="46" w:name="_Toc25026"/>
      <w:r>
        <w:rPr>
          <w:rFonts w:hint="eastAsia" w:ascii="宋体" w:hAnsi="宋体" w:eastAsia="宋体" w:cs="宋体"/>
          <w:b/>
          <w:color w:val="auto"/>
          <w:sz w:val="24"/>
          <w:szCs w:val="24"/>
          <w:highlight w:val="none"/>
        </w:rPr>
        <w:t>询问、质疑、投诉</w:t>
      </w:r>
      <w:bookmarkEnd w:id="42"/>
      <w:bookmarkEnd w:id="43"/>
      <w:bookmarkEnd w:id="44"/>
      <w:bookmarkEnd w:id="45"/>
      <w:bookmarkEnd w:id="46"/>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供应商询问</w:t>
      </w:r>
    </w:p>
    <w:p>
      <w:pPr>
        <w:shd w:val="clear" w:color="auto" w:fill="auto"/>
        <w:autoSpaceDE w:val="0"/>
        <w:autoSpaceDN w:val="0"/>
        <w:spacing w:line="360" w:lineRule="auto"/>
        <w:ind w:left="840" w:leftChars="400" w:firstLine="0" w:firstLineChars="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供应商质疑</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提出质疑的供应商应当是参与所质疑项目采购活动的供应商。</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供应商认为</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、采购过程和中标结果使自己的权益受到损害的，可以在知道或者应</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供应商在法定质疑期内必须一次性提出针对</w:t>
      </w:r>
      <w:r>
        <w:rPr>
          <w:rFonts w:hint="eastAsia" w:ascii="宋体" w:hAnsi="宋体" w:eastAsia="宋体" w:cs="宋体"/>
          <w:b/>
          <w:bCs/>
          <w:color w:val="auto"/>
          <w:sz w:val="21"/>
          <w:szCs w:val="21"/>
          <w:highlight w:val="none"/>
        </w:rPr>
        <w:t>同一采购程序环节的质疑。</w:t>
      </w:r>
    </w:p>
    <w:p>
      <w:pPr>
        <w:pageBreakBefore w:val="0"/>
        <w:numPr>
          <w:ilvl w:val="3"/>
          <w:numId w:val="3"/>
        </w:numPr>
        <w:shd w:val="clear" w:color="auto" w:fill="auto"/>
        <w:tabs>
          <w:tab w:val="left" w:pos="840"/>
          <w:tab w:val="clear" w:pos="108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对</w:t>
      </w:r>
      <w:r>
        <w:rPr>
          <w:rFonts w:hint="eastAsia" w:ascii="宋体" w:hAnsi="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提出质疑的，质疑期限为供应商获得</w:t>
      </w:r>
      <w:r>
        <w:rPr>
          <w:rFonts w:hint="eastAsia" w:ascii="宋体" w:hAnsi="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之日或者</w:t>
      </w:r>
      <w:r>
        <w:rPr>
          <w:rFonts w:hint="eastAsia" w:ascii="宋体" w:hAnsi="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公告期限届满</w:t>
      </w:r>
      <w:r>
        <w:rPr>
          <w:rFonts w:hint="eastAsia" w:ascii="宋体" w:hAnsi="宋体" w:eastAsia="宋体" w:cs="宋体"/>
          <w:snapToGrid/>
          <w:color w:val="auto"/>
          <w:kern w:val="2"/>
          <w:sz w:val="21"/>
          <w:szCs w:val="21"/>
          <w:highlight w:val="none"/>
          <w:lang w:val="en-US" w:eastAsia="zh-CN"/>
        </w:rPr>
        <w:t xml:space="preserve"> </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360" w:lineRule="auto"/>
        <w:ind w:leftChars="0" w:firstLine="840" w:firstLineChars="4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之日起计算</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color w:val="auto"/>
          <w:sz w:val="21"/>
          <w:szCs w:val="21"/>
          <w:highlight w:val="none"/>
        </w:rPr>
        <w:t>公告期限届满后获取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的，以公告期限届满之日为准</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w:t>
      </w:r>
    </w:p>
    <w:p>
      <w:pPr>
        <w:pageBreakBefore w:val="0"/>
        <w:numPr>
          <w:ilvl w:val="3"/>
          <w:numId w:val="3"/>
        </w:numPr>
        <w:shd w:val="clear" w:color="auto" w:fill="auto"/>
        <w:tabs>
          <w:tab w:val="left" w:pos="840"/>
          <w:tab w:val="clear" w:pos="108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对采购过程提出质疑的，质疑期限为各采购程序环节结束之日起计算。</w:t>
      </w:r>
    </w:p>
    <w:p>
      <w:pPr>
        <w:pageBreakBefore w:val="0"/>
        <w:numPr>
          <w:ilvl w:val="3"/>
          <w:numId w:val="3"/>
        </w:numPr>
        <w:shd w:val="clear" w:color="auto" w:fill="auto"/>
        <w:tabs>
          <w:tab w:val="left" w:pos="840"/>
          <w:tab w:val="clear" w:pos="108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对采购结果提出质疑的，质疑期限自采购结果公告期限届满之日起计算。</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供应商提出质疑应当提交质疑函和必要的证明材料。</w:t>
      </w:r>
    </w:p>
    <w:p>
      <w:pPr>
        <w:pStyle w:val="24"/>
        <w:shd w:val="clear" w:color="auto" w:fill="auto"/>
        <w:snapToGrid w:val="0"/>
        <w:spacing w:before="0" w:beforeAutospacing="0" w:after="0" w:afterAutospacing="0" w:line="360" w:lineRule="auto"/>
        <w:ind w:left="840" w:leftChars="40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24"/>
        <w:keepNext w:val="0"/>
        <w:keepLines w:val="0"/>
        <w:pageBreakBefore w:val="0"/>
        <w:widowControl/>
        <w:shd w:val="clear" w:color="auto" w:fill="auto"/>
        <w:kinsoku/>
        <w:wordWrap/>
        <w:overflowPunct/>
        <w:topLinePunct w:val="0"/>
        <w:autoSpaceDE/>
        <w:autoSpaceDN/>
        <w:bidi w:val="0"/>
        <w:adjustRightInd/>
        <w:snapToGrid w:val="0"/>
        <w:spacing w:after="0" w:afterAutospacing="0" w:line="360" w:lineRule="auto"/>
        <w:ind w:firstLine="819" w:firstLineChars="39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个工作日内作出答复，并以书</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面形式通知质疑供应商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但答复的内容不得涉及商业秘密。</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质疑事项可能影响采购结果的，采购人应当暂停签订合同，已经签订合同的，应当中止履</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行合同。</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个工作日内向同级政府采购监督管理部门提出投诉。</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供应商投诉的事项不得超出已质疑事项的范围，基于质疑答复内容提出的投诉事项除外。</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供应商投诉应当有明确的请求和必要的证明材料。</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以联合体形式参加政府采购活动的，其投诉应当由组成联合体的所有供应商共同提出。</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投诉人</w:t>
      </w:r>
      <w:r>
        <w:rPr>
          <w:rFonts w:hint="eastAsia" w:ascii="宋体" w:hAnsi="宋体" w:eastAsia="宋体" w:cs="宋体"/>
          <w:color w:val="auto"/>
          <w:sz w:val="21"/>
          <w:szCs w:val="21"/>
          <w:highlight w:val="none"/>
        </w:rPr>
        <w:t>投诉时，应当提交投诉书和必要的证明材料，并按照被投诉采购人、采购代理机构</w:t>
      </w:r>
    </w:p>
    <w:p>
      <w:pPr>
        <w:pageBreakBefore w:val="0"/>
        <w:numPr>
          <w:ilvl w:val="0"/>
          <w:numId w:val="0"/>
        </w:numPr>
        <w:shd w:val="clear" w:color="auto" w:fill="auto"/>
        <w:tabs>
          <w:tab w:val="left" w:pos="840"/>
        </w:tabs>
        <w:kinsoku/>
        <w:wordWrap/>
        <w:overflowPunct/>
        <w:topLinePunct w:val="0"/>
        <w:autoSpaceDE/>
        <w:autoSpaceDN/>
        <w:bidi w:val="0"/>
        <w:adjustRightInd/>
        <w:snapToGrid w:val="0"/>
        <w:spacing w:line="400" w:lineRule="exact"/>
        <w:ind w:left="840" w:leftChars="40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和与投诉事项有关的供应商数量提供投诉书的副本。投诉人为自然人的，应当由本人签字；投诉人为法人或者其他组织的，应当由法定代表人、主要负责人，或者其授权代表签字或者盖章，并加盖公章。</w:t>
      </w:r>
    </w:p>
    <w:p>
      <w:pPr>
        <w:pStyle w:val="24"/>
        <w:shd w:val="clear" w:color="auto" w:fill="auto"/>
        <w:snapToGrid w:val="0"/>
        <w:spacing w:after="240" w:afterAutospacing="0" w:line="360" w:lineRule="auto"/>
        <w:ind w:firstLine="819" w:firstLineChars="39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47" w:name="_Toc8306"/>
      <w:bookmarkStart w:id="48" w:name="_Toc22179"/>
      <w:bookmarkStart w:id="49" w:name="_Toc32627"/>
      <w:bookmarkStart w:id="50" w:name="_Toc15023"/>
      <w:bookmarkStart w:id="51" w:name="_Toc17346"/>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eastAsia="zh-CN"/>
        </w:rPr>
        <w:t>采购文件</w:t>
      </w:r>
      <w:r>
        <w:rPr>
          <w:rFonts w:hint="eastAsia" w:ascii="宋体" w:hAnsi="宋体" w:eastAsia="宋体" w:cs="宋体"/>
          <w:b/>
          <w:color w:val="auto"/>
          <w:sz w:val="28"/>
          <w:szCs w:val="28"/>
          <w:highlight w:val="none"/>
        </w:rPr>
        <w:t>的构成、澄清、修改</w:t>
      </w:r>
      <w:bookmarkEnd w:id="47"/>
      <w:bookmarkEnd w:id="48"/>
      <w:bookmarkEnd w:id="49"/>
      <w:bookmarkEnd w:id="50"/>
      <w:bookmarkEnd w:id="51"/>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52" w:name="_Toc348"/>
      <w:bookmarkStart w:id="53" w:name="_Toc17632"/>
      <w:bookmarkStart w:id="54" w:name="_Toc18159"/>
      <w:bookmarkStart w:id="55" w:name="_Toc11127"/>
      <w:bookmarkStart w:id="56" w:name="_Toc16216"/>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的构成</w:t>
      </w:r>
      <w:bookmarkEnd w:id="52"/>
      <w:bookmarkEnd w:id="53"/>
      <w:bookmarkEnd w:id="54"/>
      <w:bookmarkEnd w:id="55"/>
      <w:bookmarkEnd w:id="5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包括下列文件及附件：</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采购公告</w:t>
      </w:r>
      <w:r>
        <w:rPr>
          <w:rFonts w:hint="eastAsia" w:ascii="宋体" w:hAnsi="宋体" w:eastAsia="宋体" w:cs="宋体"/>
          <w:color w:val="auto"/>
          <w:sz w:val="21"/>
          <w:szCs w:val="21"/>
          <w:highlight w:val="none"/>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商谈供应商须知</w:t>
      </w:r>
      <w:r>
        <w:rPr>
          <w:rFonts w:hint="eastAsia" w:ascii="宋体" w:hAnsi="宋体" w:eastAsia="宋体" w:cs="宋体"/>
          <w:color w:val="auto"/>
          <w:sz w:val="21"/>
          <w:szCs w:val="21"/>
          <w:highlight w:val="none"/>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拟签订的合同文本；</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应提交的有关格式范例。</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w:t>
      </w:r>
      <w:r>
        <w:rPr>
          <w:rFonts w:hint="eastAsia" w:ascii="宋体" w:hAnsi="宋体" w:eastAsia="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的组成部分</w:t>
      </w:r>
      <w:r>
        <w:rPr>
          <w:rFonts w:hint="eastAsia" w:ascii="宋体" w:hAnsi="宋体" w:eastAsia="宋体" w:cs="宋体"/>
          <w:color w:val="auto"/>
          <w:sz w:val="21"/>
          <w:szCs w:val="21"/>
          <w:highlight w:val="none"/>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57" w:name="_Toc29210"/>
      <w:bookmarkStart w:id="58" w:name="_Toc21061"/>
      <w:bookmarkStart w:id="59" w:name="_Toc3551"/>
      <w:bookmarkStart w:id="60" w:name="_Toc17052"/>
      <w:bookmarkStart w:id="61" w:name="_Toc9518"/>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的澄清、修改</w:t>
      </w:r>
      <w:bookmarkEnd w:id="57"/>
      <w:bookmarkEnd w:id="58"/>
      <w:bookmarkEnd w:id="59"/>
      <w:bookmarkEnd w:id="60"/>
      <w:bookmarkEnd w:id="61"/>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商谈供应商</w:t>
      </w:r>
      <w:r>
        <w:rPr>
          <w:rFonts w:hint="eastAsia" w:ascii="宋体" w:hAnsi="宋体" w:eastAsia="宋体" w:cs="宋体"/>
          <w:color w:val="auto"/>
          <w:sz w:val="21"/>
          <w:szCs w:val="21"/>
          <w:highlight w:val="none"/>
        </w:rPr>
        <w:t>，若有问题需要</w:t>
      </w:r>
      <w:r>
        <w:rPr>
          <w:rFonts w:hint="eastAsia" w:ascii="宋体" w:hAnsi="宋体" w:eastAsia="宋体" w:cs="宋体"/>
          <w:color w:val="auto"/>
          <w:sz w:val="21"/>
          <w:szCs w:val="21"/>
          <w:highlight w:val="none"/>
          <w:lang w:val="en-US" w:eastAsia="zh-CN"/>
        </w:rPr>
        <w:t>采购人或采购代理机构</w:t>
      </w:r>
      <w:r>
        <w:rPr>
          <w:rFonts w:hint="eastAsia" w:ascii="宋体" w:hAnsi="宋体" w:eastAsia="宋体" w:cs="宋体"/>
          <w:color w:val="auto"/>
          <w:sz w:val="21"/>
          <w:szCs w:val="21"/>
          <w:highlight w:val="none"/>
        </w:rPr>
        <w:t>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机构可以对已发出的</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进行必要的澄清或者修改，但不得改变采购标的和资格条件。</w:t>
      </w:r>
      <w:r>
        <w:rPr>
          <w:rFonts w:hint="eastAsia" w:ascii="宋体" w:hAnsi="宋体" w:eastAsia="宋体" w:cs="宋体"/>
          <w:color w:val="auto"/>
          <w:sz w:val="21"/>
          <w:szCs w:val="21"/>
          <w:highlight w:val="none"/>
          <w:lang w:val="en-US" w:eastAsia="zh-CN"/>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进行澄清或修改的，将同时通过电子交易平台通知已获取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商谈供应商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澄清或者修改的内容为</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的答复、澄清、修改、补充通知就同一内容的表述不一致时，以最后发出的更正（澄清）公告为准。</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澄清或者修改的内容可能影响</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编制的，采购人或者采购代理机构构应当在投标截止时间前，以更正（澄清）公告形式通知所有获取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，并对其具有约束力。</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应及时关注浙江政府采购网上该项目的公告信息</w:t>
      </w:r>
      <w:r>
        <w:rPr>
          <w:rFonts w:hint="eastAsia" w:ascii="宋体" w:hAnsi="宋体" w:eastAsia="宋体" w:cs="宋体"/>
          <w:color w:val="auto"/>
          <w:sz w:val="21"/>
          <w:szCs w:val="21"/>
          <w:highlight w:val="none"/>
          <w:lang w:eastAsia="zh-CN"/>
        </w:rPr>
        <w:t>。</w:t>
      </w: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62" w:name="_Toc17073"/>
      <w:bookmarkStart w:id="63" w:name="_Toc3387"/>
      <w:bookmarkStart w:id="64" w:name="_Toc1008"/>
      <w:bookmarkStart w:id="65" w:name="_Toc22061"/>
      <w:bookmarkStart w:id="66" w:name="_Toc19850"/>
      <w:r>
        <w:rPr>
          <w:rFonts w:hint="eastAsia" w:ascii="宋体" w:hAnsi="宋体" w:eastAsia="宋体" w:cs="宋体"/>
          <w:b/>
          <w:color w:val="auto"/>
          <w:sz w:val="28"/>
          <w:szCs w:val="28"/>
          <w:highlight w:val="none"/>
        </w:rPr>
        <w:t>三、投标</w:t>
      </w:r>
      <w:bookmarkEnd w:id="62"/>
      <w:bookmarkEnd w:id="63"/>
      <w:bookmarkEnd w:id="64"/>
      <w:bookmarkEnd w:id="65"/>
      <w:bookmarkEnd w:id="66"/>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67" w:name="_Toc30253"/>
      <w:bookmarkStart w:id="68" w:name="_Toc4905"/>
      <w:bookmarkStart w:id="69" w:name="_Toc21504"/>
      <w:bookmarkStart w:id="70" w:name="_Toc3020"/>
      <w:bookmarkStart w:id="71" w:name="_Toc23529"/>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的获取</w:t>
      </w:r>
      <w:bookmarkEnd w:id="67"/>
      <w:bookmarkEnd w:id="68"/>
      <w:bookmarkEnd w:id="69"/>
      <w:bookmarkEnd w:id="70"/>
      <w:bookmarkEnd w:id="71"/>
    </w:p>
    <w:p>
      <w:pPr>
        <w:shd w:val="clear" w:color="auto" w:fill="auto"/>
        <w:spacing w:line="360" w:lineRule="auto"/>
        <w:ind w:firstLine="840" w:firstLineChars="4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cs="宋体"/>
          <w:snapToGrid w:val="0"/>
          <w:color w:val="auto"/>
          <w:kern w:val="28"/>
          <w:sz w:val="21"/>
          <w:szCs w:val="21"/>
          <w:highlight w:val="none"/>
          <w:lang w:eastAsia="zh-CN"/>
        </w:rPr>
        <w:t>采购公告</w:t>
      </w:r>
      <w:r>
        <w:rPr>
          <w:rFonts w:hint="eastAsia" w:ascii="宋体" w:hAnsi="宋体" w:eastAsia="宋体" w:cs="宋体"/>
          <w:snapToGrid w:val="0"/>
          <w:color w:val="auto"/>
          <w:kern w:val="28"/>
          <w:sz w:val="21"/>
          <w:szCs w:val="21"/>
          <w:highlight w:val="none"/>
        </w:rPr>
        <w:t>中获取</w:t>
      </w:r>
      <w:r>
        <w:rPr>
          <w:rFonts w:hint="eastAsia" w:ascii="宋体" w:hAnsi="宋体" w:cs="宋体"/>
          <w:snapToGrid w:val="0"/>
          <w:color w:val="auto"/>
          <w:kern w:val="28"/>
          <w:sz w:val="21"/>
          <w:szCs w:val="21"/>
          <w:highlight w:val="none"/>
          <w:lang w:eastAsia="zh-CN"/>
        </w:rPr>
        <w:t>采购文件</w:t>
      </w:r>
      <w:r>
        <w:rPr>
          <w:rFonts w:hint="eastAsia" w:ascii="宋体" w:hAnsi="宋体" w:eastAsia="宋体" w:cs="宋体"/>
          <w:snapToGrid w:val="0"/>
          <w:color w:val="auto"/>
          <w:kern w:val="28"/>
          <w:sz w:val="21"/>
          <w:szCs w:val="21"/>
          <w:highlight w:val="none"/>
        </w:rPr>
        <w:t>的时间期限、地点、方式及</w:t>
      </w:r>
      <w:r>
        <w:rPr>
          <w:rFonts w:hint="eastAsia" w:ascii="宋体" w:hAnsi="宋体" w:cs="宋体"/>
          <w:snapToGrid w:val="0"/>
          <w:color w:val="auto"/>
          <w:kern w:val="28"/>
          <w:sz w:val="21"/>
          <w:szCs w:val="21"/>
          <w:highlight w:val="none"/>
          <w:lang w:eastAsia="zh-CN"/>
        </w:rPr>
        <w:t>采购文件</w:t>
      </w:r>
      <w:r>
        <w:rPr>
          <w:rFonts w:hint="eastAsia" w:ascii="宋体" w:hAnsi="宋体" w:eastAsia="宋体" w:cs="宋体"/>
          <w:snapToGrid w:val="0"/>
          <w:color w:val="auto"/>
          <w:kern w:val="28"/>
          <w:sz w:val="21"/>
          <w:szCs w:val="21"/>
          <w:highlight w:val="none"/>
        </w:rPr>
        <w:t>售价。</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72" w:name="_Toc20016"/>
      <w:bookmarkStart w:id="73" w:name="_Toc13104"/>
      <w:bookmarkStart w:id="74" w:name="_Toc18703"/>
      <w:bookmarkStart w:id="75" w:name="_Toc31417"/>
      <w:bookmarkStart w:id="76" w:name="_Toc4512"/>
      <w:r>
        <w:rPr>
          <w:rFonts w:hint="eastAsia" w:ascii="宋体" w:hAnsi="宋体" w:eastAsia="宋体" w:cs="宋体"/>
          <w:b/>
          <w:color w:val="auto"/>
          <w:sz w:val="24"/>
          <w:szCs w:val="24"/>
          <w:highlight w:val="none"/>
        </w:rPr>
        <w:t>开标前答疑会或现场考察</w:t>
      </w:r>
      <w:bookmarkEnd w:id="72"/>
      <w:bookmarkEnd w:id="73"/>
      <w:bookmarkEnd w:id="74"/>
      <w:bookmarkEnd w:id="75"/>
      <w:bookmarkEnd w:id="76"/>
    </w:p>
    <w:p>
      <w:pPr>
        <w:pStyle w:val="10"/>
        <w:shd w:val="clear" w:color="auto" w:fill="auto"/>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采购人组织商谈供应商现场考察或者召开开标前答疑会的，商谈供应商按第</w:t>
      </w:r>
      <w:r>
        <w:rPr>
          <w:rFonts w:hint="eastAsia"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部分商谈供应商须知前附表的规定参加现场考察或者开标前答疑会。</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77" w:name="_Toc13557"/>
      <w:bookmarkStart w:id="78" w:name="_Toc18524"/>
      <w:bookmarkStart w:id="79" w:name="_Toc11256"/>
      <w:bookmarkStart w:id="80" w:name="_Toc31763"/>
      <w:bookmarkStart w:id="81" w:name="_Toc10352"/>
      <w:r>
        <w:rPr>
          <w:rFonts w:hint="eastAsia" w:ascii="宋体" w:hAnsi="宋体" w:eastAsia="宋体" w:cs="宋体"/>
          <w:b/>
          <w:color w:val="auto"/>
          <w:sz w:val="24"/>
          <w:szCs w:val="24"/>
          <w:highlight w:val="none"/>
        </w:rPr>
        <w:t>投标保证金</w:t>
      </w:r>
      <w:bookmarkEnd w:id="77"/>
      <w:bookmarkEnd w:id="78"/>
      <w:bookmarkEnd w:id="79"/>
      <w:bookmarkEnd w:id="80"/>
      <w:bookmarkEnd w:id="81"/>
    </w:p>
    <w:p>
      <w:pPr>
        <w:pStyle w:val="5"/>
        <w:shd w:val="clear" w:color="auto" w:fill="auto"/>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82" w:name="_Toc17714"/>
      <w:bookmarkStart w:id="83" w:name="_Toc29389"/>
      <w:bookmarkStart w:id="84" w:name="_Toc10132"/>
      <w:bookmarkStart w:id="85" w:name="_Toc1944"/>
      <w:bookmarkStart w:id="86" w:name="_Toc27858"/>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的语言</w:t>
      </w:r>
      <w:bookmarkEnd w:id="82"/>
      <w:bookmarkEnd w:id="83"/>
      <w:bookmarkEnd w:id="84"/>
      <w:bookmarkEnd w:id="85"/>
      <w:bookmarkEnd w:id="8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及商谈供应商与采购有关的来往通知、函件和文件均应使用中文。</w:t>
      </w:r>
      <w:r>
        <w:rPr>
          <w:rFonts w:hint="eastAsia" w:ascii="宋体" w:hAnsi="宋体" w:cs="宋体"/>
          <w:color w:val="auto"/>
          <w:szCs w:val="21"/>
          <w:highlight w:val="none"/>
          <w:lang w:val="en-US" w:eastAsia="zh-CN"/>
        </w:rPr>
        <w:t>除签名、盖章、专用名称等特殊情形外，以中文汉语以外的文字表述的采购响应文件视同未提供。商谈供应商提交的支持文件和印刷的文献可以用另一种语言，但相应内容应附有中文翻译文本，在解释采购响应文件时以中文翻译文本为准。</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lang w:val="en-US" w:eastAsia="zh-CN"/>
        </w:rPr>
        <w:t>除采购文件另有规定外，采购响应文件所使用的计量单位，均应使用中华人民共和国法定计量单位。</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87" w:name="_Toc9737"/>
      <w:bookmarkStart w:id="88" w:name="_Toc10853"/>
      <w:bookmarkStart w:id="89" w:name="_Toc2527"/>
      <w:bookmarkStart w:id="90" w:name="_Toc25198"/>
      <w:bookmarkStart w:id="91" w:name="_Toc13092"/>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的组成</w:t>
      </w:r>
      <w:bookmarkEnd w:id="87"/>
      <w:bookmarkEnd w:id="88"/>
      <w:bookmarkEnd w:id="89"/>
      <w:bookmarkEnd w:id="90"/>
      <w:bookmarkEnd w:id="91"/>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具有独立承担民事责任能力的证明材料；</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lang w:eastAsia="zh-CN"/>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商务技术</w:t>
      </w:r>
      <w:r>
        <w:rPr>
          <w:rFonts w:hint="eastAsia" w:ascii="宋体" w:hAnsi="宋体" w:eastAsia="宋体" w:cs="宋体"/>
          <w:b/>
          <w:bCs/>
          <w:color w:val="auto"/>
          <w:sz w:val="21"/>
          <w:szCs w:val="21"/>
          <w:highlight w:val="none"/>
          <w:lang w:val="zh-CN"/>
        </w:rPr>
        <w:t>文件：</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rPr>
        <w:t>函；</w:t>
      </w:r>
      <w:r>
        <w:rPr>
          <w:rFonts w:hint="eastAsia" w:ascii="宋体" w:hAnsi="宋体" w:eastAsia="宋体" w:cs="宋体"/>
          <w:color w:val="auto"/>
          <w:sz w:val="21"/>
          <w:szCs w:val="21"/>
          <w:highlight w:val="none"/>
          <w:lang w:val="zh-CN"/>
        </w:rPr>
        <w:t xml:space="preserve"> </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详细内容见第六部分</w:t>
      </w:r>
      <w:r>
        <w:rPr>
          <w:rFonts w:hint="eastAsia" w:ascii="宋体" w:hAnsi="宋体" w:eastAsia="宋体" w:cs="宋体"/>
          <w:color w:val="auto"/>
          <w:sz w:val="21"/>
          <w:szCs w:val="21"/>
          <w:highlight w:val="none"/>
          <w:lang w:eastAsia="zh-CN"/>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政府采购供应商廉洁自律承诺书；</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default"/>
          <w:lang w:val="en-US"/>
        </w:rPr>
      </w:pPr>
      <w:r>
        <w:rPr>
          <w:rFonts w:hint="eastAsia" w:ascii="宋体" w:hAnsi="宋体" w:eastAsia="宋体" w:cs="宋体"/>
          <w:color w:val="auto"/>
          <w:sz w:val="21"/>
          <w:szCs w:val="21"/>
          <w:highlight w:val="none"/>
        </w:rPr>
        <w:t>开标一览表（报价表）</w:t>
      </w:r>
      <w:r>
        <w:rPr>
          <w:rFonts w:hint="eastAsia" w:ascii="宋体" w:hAnsi="宋体" w:eastAsia="宋体" w:cs="宋体"/>
          <w:color w:val="auto"/>
          <w:sz w:val="21"/>
          <w:szCs w:val="21"/>
          <w:highlight w:val="none"/>
          <w:lang w:eastAsia="zh-CN"/>
        </w:rPr>
        <w:t>。</w:t>
      </w:r>
    </w:p>
    <w:p>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line="400" w:lineRule="exact"/>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投标分项报价表。</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92" w:name="_Toc3615"/>
      <w:bookmarkStart w:id="93" w:name="_Toc27927"/>
      <w:bookmarkStart w:id="94" w:name="_Toc22772"/>
      <w:bookmarkStart w:id="95" w:name="_Toc20524"/>
      <w:bookmarkStart w:id="96" w:name="_Toc23544"/>
      <w:r>
        <w:rPr>
          <w:rFonts w:hint="eastAsia" w:ascii="宋体" w:hAnsi="宋体" w:eastAsia="宋体" w:cs="宋体"/>
          <w:b/>
          <w:color w:val="auto"/>
          <w:sz w:val="24"/>
          <w:szCs w:val="24"/>
          <w:highlight w:val="none"/>
        </w:rPr>
        <w:t>采购响应文件的编制</w:t>
      </w:r>
      <w:bookmarkEnd w:id="92"/>
      <w:bookmarkEnd w:id="93"/>
      <w:bookmarkEnd w:id="94"/>
      <w:bookmarkEnd w:id="95"/>
      <w:bookmarkEnd w:id="9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cs="宋体"/>
          <w:color w:val="auto"/>
          <w:kern w:val="0"/>
          <w:sz w:val="21"/>
          <w:szCs w:val="21"/>
          <w:highlight w:val="none"/>
          <w:lang w:val="en-US" w:eastAsia="zh-CN"/>
        </w:rPr>
        <w:t>采购响应文件</w:t>
      </w:r>
      <w:r>
        <w:rPr>
          <w:rFonts w:hint="eastAsia" w:ascii="宋体" w:hAnsi="宋体" w:eastAsia="宋体" w:cs="宋体"/>
          <w:color w:val="auto"/>
          <w:kern w:val="0"/>
          <w:sz w:val="21"/>
          <w:szCs w:val="21"/>
          <w:highlight w:val="none"/>
          <w:lang w:val="zh-CN"/>
        </w:rPr>
        <w:t>分为资格文件、商务技术文件、报价文件三部分。商谈供应商在编制</w:t>
      </w:r>
      <w:r>
        <w:rPr>
          <w:rFonts w:hint="eastAsia" w:ascii="宋体" w:hAnsi="宋体" w:cs="宋体"/>
          <w:color w:val="auto"/>
          <w:kern w:val="0"/>
          <w:sz w:val="21"/>
          <w:szCs w:val="21"/>
          <w:highlight w:val="none"/>
          <w:lang w:val="zh-CN"/>
        </w:rPr>
        <w:t>采购响应文件</w:t>
      </w:r>
      <w:r>
        <w:rPr>
          <w:rFonts w:hint="eastAsia" w:ascii="宋体" w:hAnsi="宋体" w:eastAsia="宋体" w:cs="宋体"/>
          <w:color w:val="auto"/>
          <w:kern w:val="0"/>
          <w:sz w:val="21"/>
          <w:szCs w:val="21"/>
          <w:highlight w:val="none"/>
          <w:lang w:val="zh-CN"/>
        </w:rPr>
        <w:t>时请按照</w:t>
      </w:r>
      <w:r>
        <w:rPr>
          <w:rFonts w:hint="eastAsia" w:ascii="宋体" w:hAnsi="宋体" w:cs="宋体"/>
          <w:color w:val="auto"/>
          <w:kern w:val="0"/>
          <w:sz w:val="21"/>
          <w:szCs w:val="21"/>
          <w:highlight w:val="none"/>
          <w:lang w:val="zh-CN"/>
        </w:rPr>
        <w:t>采购文件</w:t>
      </w:r>
      <w:r>
        <w:rPr>
          <w:rFonts w:hint="eastAsia" w:ascii="宋体" w:hAnsi="宋体" w:eastAsia="宋体" w:cs="宋体"/>
          <w:color w:val="auto"/>
          <w:kern w:val="0"/>
          <w:sz w:val="21"/>
          <w:szCs w:val="21"/>
          <w:highlight w:val="none"/>
          <w:lang w:val="zh-CN"/>
        </w:rPr>
        <w:t>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val="zh-CN"/>
        </w:rPr>
        <w:t>部分规定的格式进行，</w:t>
      </w:r>
      <w:r>
        <w:rPr>
          <w:rFonts w:hint="eastAsia" w:ascii="宋体" w:hAnsi="宋体" w:eastAsia="宋体" w:cs="宋体"/>
          <w:b/>
          <w:bCs/>
          <w:color w:val="auto"/>
          <w:kern w:val="0"/>
          <w:sz w:val="21"/>
          <w:szCs w:val="21"/>
          <w:highlight w:val="none"/>
          <w:lang w:val="zh-CN"/>
        </w:rPr>
        <w:t>混乱的编排导致</w:t>
      </w:r>
      <w:r>
        <w:rPr>
          <w:rFonts w:hint="eastAsia" w:ascii="宋体" w:hAnsi="宋体" w:cs="宋体"/>
          <w:b/>
          <w:bCs/>
          <w:color w:val="auto"/>
          <w:kern w:val="0"/>
          <w:sz w:val="21"/>
          <w:szCs w:val="21"/>
          <w:highlight w:val="none"/>
          <w:lang w:val="zh-CN"/>
        </w:rPr>
        <w:t>采购响应文件</w:t>
      </w:r>
      <w:r>
        <w:rPr>
          <w:rFonts w:hint="eastAsia" w:ascii="宋体" w:hAnsi="宋体" w:eastAsia="宋体" w:cs="宋体"/>
          <w:b/>
          <w:bCs/>
          <w:color w:val="auto"/>
          <w:kern w:val="0"/>
          <w:sz w:val="21"/>
          <w:szCs w:val="21"/>
          <w:highlight w:val="none"/>
          <w:lang w:val="zh-CN"/>
        </w:rPr>
        <w:t>被误读或</w:t>
      </w:r>
      <w:r>
        <w:rPr>
          <w:rFonts w:hint="eastAsia" w:ascii="宋体" w:hAnsi="宋体" w:cs="宋体"/>
          <w:b/>
          <w:bCs/>
          <w:color w:val="auto"/>
          <w:kern w:val="0"/>
          <w:sz w:val="21"/>
          <w:szCs w:val="21"/>
          <w:highlight w:val="none"/>
          <w:lang w:val="zh-CN"/>
        </w:rPr>
        <w:t>商谈小组</w:t>
      </w:r>
      <w:r>
        <w:rPr>
          <w:rFonts w:hint="eastAsia" w:ascii="宋体" w:hAnsi="宋体" w:eastAsia="宋体" w:cs="宋体"/>
          <w:b/>
          <w:bCs/>
          <w:color w:val="auto"/>
          <w:kern w:val="0"/>
          <w:sz w:val="21"/>
          <w:szCs w:val="21"/>
          <w:highlight w:val="none"/>
          <w:lang w:val="zh-CN"/>
        </w:rPr>
        <w:t>查找不到有效文件是商谈供应商的风险。</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商谈供应商进行电子投标应安装客户端软件—“政采云电子交易客户端”，并按照</w:t>
      </w:r>
      <w:r>
        <w:rPr>
          <w:rFonts w:hint="eastAsia" w:ascii="宋体" w:hAnsi="宋体" w:cs="宋体"/>
          <w:color w:val="auto"/>
          <w:kern w:val="0"/>
          <w:sz w:val="21"/>
          <w:szCs w:val="21"/>
          <w:highlight w:val="none"/>
          <w:lang w:val="zh-CN"/>
        </w:rPr>
        <w:t>采购文件</w:t>
      </w:r>
      <w:r>
        <w:rPr>
          <w:rFonts w:hint="eastAsia" w:ascii="宋体" w:hAnsi="宋体" w:eastAsia="宋体" w:cs="宋体"/>
          <w:color w:val="auto"/>
          <w:kern w:val="0"/>
          <w:sz w:val="21"/>
          <w:szCs w:val="21"/>
          <w:highlight w:val="none"/>
          <w:lang w:val="zh-CN"/>
        </w:rPr>
        <w:t>和电子交易平台的要求编制并加密</w:t>
      </w:r>
      <w:r>
        <w:rPr>
          <w:rFonts w:hint="eastAsia" w:ascii="宋体" w:hAnsi="宋体" w:cs="宋体"/>
          <w:color w:val="auto"/>
          <w:kern w:val="0"/>
          <w:sz w:val="21"/>
          <w:szCs w:val="21"/>
          <w:highlight w:val="none"/>
          <w:lang w:val="zh-CN"/>
        </w:rPr>
        <w:t>采购响应文件</w:t>
      </w:r>
      <w:r>
        <w:rPr>
          <w:rFonts w:hint="eastAsia" w:ascii="宋体" w:hAnsi="宋体" w:eastAsia="宋体" w:cs="宋体"/>
          <w:color w:val="auto"/>
          <w:kern w:val="0"/>
          <w:sz w:val="21"/>
          <w:szCs w:val="21"/>
          <w:highlight w:val="none"/>
          <w:lang w:val="zh-CN"/>
        </w:rPr>
        <w:t>。商谈供应商未按规定加密的</w:t>
      </w:r>
      <w:r>
        <w:rPr>
          <w:rFonts w:hint="eastAsia" w:ascii="宋体" w:hAnsi="宋体" w:cs="宋体"/>
          <w:color w:val="auto"/>
          <w:kern w:val="0"/>
          <w:sz w:val="21"/>
          <w:szCs w:val="21"/>
          <w:highlight w:val="none"/>
          <w:lang w:val="zh-CN"/>
        </w:rPr>
        <w:t>采购响应文件</w:t>
      </w:r>
      <w:r>
        <w:rPr>
          <w:rFonts w:hint="eastAsia" w:ascii="宋体" w:hAnsi="宋体" w:eastAsia="宋体" w:cs="宋体"/>
          <w:color w:val="auto"/>
          <w:kern w:val="0"/>
          <w:sz w:val="21"/>
          <w:szCs w:val="21"/>
          <w:highlight w:val="none"/>
          <w:lang w:val="zh-CN"/>
        </w:rPr>
        <w:t>，电子交易平台将拒收并提示。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97" w:name="_Toc8309"/>
      <w:bookmarkStart w:id="98" w:name="_Toc11943"/>
      <w:bookmarkStart w:id="99" w:name="_Toc17304"/>
      <w:bookmarkStart w:id="100" w:name="_Toc16510"/>
      <w:bookmarkStart w:id="101" w:name="_Toc2964"/>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的签署、盖章</w:t>
      </w:r>
      <w:bookmarkEnd w:id="97"/>
      <w:bookmarkEnd w:id="98"/>
      <w:bookmarkEnd w:id="99"/>
      <w:bookmarkEnd w:id="100"/>
      <w:bookmarkEnd w:id="101"/>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格式要求进行签署、盖章。</w:t>
      </w:r>
      <w:r>
        <w:rPr>
          <w:rFonts w:hint="eastAsia" w:ascii="宋体" w:hAnsi="宋体" w:eastAsia="宋体" w:cs="宋体"/>
          <w:b w:val="0"/>
          <w:bCs/>
          <w:color w:val="auto"/>
          <w:sz w:val="21"/>
          <w:szCs w:val="21"/>
          <w:highlight w:val="none"/>
        </w:rPr>
        <w:t>商谈供应商的</w:t>
      </w:r>
      <w:r>
        <w:rPr>
          <w:rFonts w:hint="eastAsia" w:ascii="宋体" w:hAnsi="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未按照</w:t>
      </w:r>
      <w:r>
        <w:rPr>
          <w:rFonts w:hint="eastAsia" w:ascii="宋体" w:hAnsi="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要求签署、盖章的，其投标无效</w:t>
      </w:r>
      <w:r>
        <w:rPr>
          <w:rFonts w:hint="eastAsia" w:ascii="宋体" w:hAnsi="宋体" w:eastAsia="宋体" w:cs="宋体"/>
          <w:bCs/>
          <w:color w:val="auto"/>
          <w:sz w:val="21"/>
          <w:szCs w:val="21"/>
          <w:highlight w:val="none"/>
        </w:rPr>
        <w:t>。</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为确保网上操作合法、有效和安全，商谈供应商应当在投标截止时间前完成在“政府采购云平台”的身份认证，确保在电子投标过程中能够对相关数据电文进行加密和使用电子签名。</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签署、盖章的要求适用于电子签名。</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02" w:name="_Toc32026"/>
      <w:bookmarkStart w:id="103" w:name="_Toc17213"/>
      <w:bookmarkStart w:id="104" w:name="_Toc23946"/>
      <w:bookmarkStart w:id="105" w:name="_Toc10197"/>
      <w:bookmarkStart w:id="106" w:name="_Toc26157"/>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的提交、补充、修改、撤回</w:t>
      </w:r>
      <w:bookmarkEnd w:id="102"/>
      <w:bookmarkEnd w:id="103"/>
      <w:bookmarkEnd w:id="104"/>
      <w:bookmarkEnd w:id="105"/>
      <w:bookmarkEnd w:id="10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w:t>
      </w:r>
      <w:r>
        <w:rPr>
          <w:rFonts w:hint="eastAsia" w:ascii="宋体" w:hAnsi="宋体" w:eastAsia="宋体" w:cs="宋体"/>
          <w:color w:val="auto"/>
          <w:sz w:val="21"/>
          <w:szCs w:val="21"/>
          <w:highlight w:val="none"/>
        </w:rPr>
        <w:t>应当在投标截止时间前完成</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的传输递交，并可以补充、修改或者撤回</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。补充或者修改</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的，应当先行撤回原文件，补充、修改后重新传输递交。投标截止时间前未完成传输的，视为撤回</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。投标截止时间后递交的</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，电子交易平台将拒收。</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电子交易平台收到</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，将妥善保存并即时向供应商发出确认回执通知。在投标截止时间前，除供应商补充、修改或者撤回</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外，任何单位和个人不得解密或提取</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与商谈供应商以前在投标截止期方面的全部权利、责任和义务，将适用于延长至新的投标截止期。</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商谈供应商应承担其参加投标所涉及的一切费用，不管投标结果如何，采购人对这些费用不负任何责任。</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07" w:name="_Toc19919"/>
      <w:bookmarkStart w:id="108" w:name="_Toc12733"/>
      <w:bookmarkStart w:id="109" w:name="_Toc26841"/>
      <w:bookmarkStart w:id="110" w:name="_Toc5061"/>
      <w:bookmarkStart w:id="111" w:name="_Toc8969"/>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的无效处理</w:t>
      </w:r>
      <w:bookmarkEnd w:id="107"/>
      <w:bookmarkEnd w:id="108"/>
      <w:bookmarkEnd w:id="109"/>
      <w:bookmarkEnd w:id="110"/>
      <w:bookmarkEnd w:id="111"/>
    </w:p>
    <w:p>
      <w:pPr>
        <w:shd w:val="clear" w:color="auto" w:fill="auto"/>
        <w:spacing w:line="360" w:lineRule="auto"/>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属于</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lang w:eastAsia="zh-CN"/>
        </w:rPr>
        <w:t>无效标</w:t>
      </w:r>
      <w:r>
        <w:rPr>
          <w:rFonts w:hint="eastAsia" w:ascii="宋体" w:hAnsi="宋体" w:eastAsia="宋体" w:cs="宋体"/>
          <w:color w:val="auto"/>
          <w:sz w:val="21"/>
          <w:szCs w:val="21"/>
          <w:highlight w:val="none"/>
        </w:rPr>
        <w:t>规定的情形的，投标无效</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12" w:name="_Toc18141"/>
      <w:bookmarkStart w:id="113" w:name="_Toc13213"/>
      <w:bookmarkStart w:id="114" w:name="_Toc8610"/>
      <w:bookmarkStart w:id="115" w:name="_Toc16174"/>
      <w:bookmarkStart w:id="116" w:name="_Toc11181"/>
      <w:r>
        <w:rPr>
          <w:rFonts w:hint="eastAsia" w:ascii="宋体" w:hAnsi="宋体" w:eastAsia="宋体" w:cs="宋体"/>
          <w:b/>
          <w:color w:val="auto"/>
          <w:sz w:val="24"/>
          <w:szCs w:val="24"/>
          <w:highlight w:val="none"/>
        </w:rPr>
        <w:t>投标有效期</w:t>
      </w:r>
      <w:bookmarkEnd w:id="112"/>
      <w:bookmarkEnd w:id="113"/>
      <w:bookmarkEnd w:id="114"/>
      <w:bookmarkEnd w:id="115"/>
      <w:bookmarkEnd w:id="11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投标有效期为从</w:t>
      </w:r>
      <w:r>
        <w:rPr>
          <w:rFonts w:hint="eastAsia" w:ascii="宋体" w:hAnsi="宋体" w:cs="宋体"/>
          <w:color w:val="auto"/>
          <w:sz w:val="21"/>
          <w:szCs w:val="21"/>
          <w:highlight w:val="none"/>
          <w:lang w:eastAsia="zh-CN"/>
        </w:rPr>
        <w:t>提交采购响应文件</w:t>
      </w:r>
      <w:r>
        <w:rPr>
          <w:rFonts w:hint="eastAsia" w:ascii="宋体" w:hAnsi="宋体" w:eastAsia="宋体" w:cs="宋体"/>
          <w:color w:val="auto"/>
          <w:sz w:val="21"/>
          <w:szCs w:val="21"/>
          <w:highlight w:val="none"/>
        </w:rPr>
        <w:t>的截止之日起90天。</w:t>
      </w:r>
      <w:r>
        <w:rPr>
          <w:rFonts w:hint="eastAsia" w:ascii="宋体" w:hAnsi="宋体" w:eastAsia="宋体" w:cs="宋体"/>
          <w:b w:val="0"/>
          <w:bCs w:val="0"/>
          <w:color w:val="auto"/>
          <w:sz w:val="21"/>
          <w:szCs w:val="21"/>
          <w:highlight w:val="none"/>
        </w:rPr>
        <w:t>商谈供应商的</w:t>
      </w:r>
      <w:r>
        <w:rPr>
          <w:rFonts w:hint="eastAsia" w:ascii="宋体" w:hAnsi="宋体" w:cs="宋体"/>
          <w:b w:val="0"/>
          <w:bCs w:val="0"/>
          <w:color w:val="auto"/>
          <w:sz w:val="21"/>
          <w:szCs w:val="21"/>
          <w:highlight w:val="none"/>
          <w:lang w:eastAsia="zh-CN"/>
        </w:rPr>
        <w:t>采购响应文件</w:t>
      </w:r>
      <w:r>
        <w:rPr>
          <w:rFonts w:hint="eastAsia" w:ascii="宋体" w:hAnsi="宋体" w:eastAsia="宋体" w:cs="宋体"/>
          <w:b w:val="0"/>
          <w:bCs w:val="0"/>
          <w:color w:val="auto"/>
          <w:sz w:val="21"/>
          <w:szCs w:val="21"/>
          <w:highlight w:val="none"/>
        </w:rPr>
        <w:t>中承诺的投标有效期少于</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中载明的投标有效期的，投标无效。</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合格投递后，自投标截止日期起，在投标有效期内有效。</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可以以书面形式通知商谈供应商延长投标有效期。</w:t>
      </w:r>
      <w:r>
        <w:rPr>
          <w:rFonts w:hint="eastAsia" w:ascii="宋体" w:hAnsi="宋体" w:eastAsia="宋体" w:cs="宋体"/>
          <w:b/>
          <w:bCs/>
          <w:color w:val="auto"/>
          <w:sz w:val="21"/>
          <w:szCs w:val="21"/>
          <w:highlight w:val="none"/>
        </w:rPr>
        <w:t>▲商谈供应商同意延长的，不得要求或被允许修改其</w:t>
      </w:r>
      <w:r>
        <w:rPr>
          <w:rFonts w:hint="eastAsia" w:ascii="宋体" w:hAnsi="宋体" w:cs="宋体"/>
          <w:b/>
          <w:bCs/>
          <w:color w:val="auto"/>
          <w:sz w:val="21"/>
          <w:szCs w:val="21"/>
          <w:highlight w:val="none"/>
          <w:lang w:eastAsia="zh-CN"/>
        </w:rPr>
        <w:t>采购响应文件</w:t>
      </w:r>
      <w:r>
        <w:rPr>
          <w:rFonts w:hint="eastAsia" w:ascii="宋体" w:hAnsi="宋体" w:eastAsia="宋体" w:cs="宋体"/>
          <w:b/>
          <w:bCs/>
          <w:color w:val="auto"/>
          <w:sz w:val="21"/>
          <w:szCs w:val="21"/>
          <w:highlight w:val="none"/>
        </w:rPr>
        <w:t>，商谈供应商拒绝延长的，其投标无效。</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本政府采购项目不允许转包。</w:t>
      </w:r>
    </w:p>
    <w:p>
      <w:pPr>
        <w:pStyle w:val="25"/>
        <w:numPr>
          <w:ilvl w:val="0"/>
          <w:numId w:val="0"/>
        </w:numPr>
        <w:shd w:val="clear" w:color="auto" w:fill="auto"/>
        <w:spacing w:before="0"/>
        <w:rPr>
          <w:rFonts w:hint="eastAsia" w:ascii="宋体" w:hAnsi="宋体" w:cs="宋体"/>
          <w:i w:val="0"/>
          <w:iCs w:val="0"/>
          <w:color w:val="auto"/>
          <w:sz w:val="20"/>
          <w:szCs w:val="20"/>
          <w:highlight w:val="none"/>
          <w:lang w:val="en-US" w:eastAsia="zh-CN"/>
        </w:rPr>
      </w:pP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17" w:name="_Toc6968"/>
      <w:bookmarkStart w:id="118" w:name="_Toc12156"/>
      <w:bookmarkStart w:id="119" w:name="_Toc28701"/>
      <w:bookmarkStart w:id="120" w:name="_Toc30244"/>
      <w:bookmarkStart w:id="121" w:name="_Toc9349"/>
      <w:r>
        <w:rPr>
          <w:rFonts w:hint="eastAsia" w:ascii="宋体" w:hAnsi="宋体" w:eastAsia="宋体" w:cs="宋体"/>
          <w:b/>
          <w:color w:val="auto"/>
          <w:sz w:val="28"/>
          <w:szCs w:val="28"/>
          <w:highlight w:val="none"/>
        </w:rPr>
        <w:t>四、开标、资格审查与信用信息查询</w:t>
      </w:r>
      <w:bookmarkEnd w:id="117"/>
      <w:bookmarkEnd w:id="118"/>
      <w:bookmarkEnd w:id="119"/>
      <w:bookmarkEnd w:id="120"/>
      <w:bookmarkEnd w:id="121"/>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22" w:name="_Toc4968"/>
      <w:bookmarkStart w:id="123" w:name="_Toc14990"/>
      <w:bookmarkStart w:id="124" w:name="_Toc21145"/>
      <w:bookmarkStart w:id="125" w:name="_Toc18121"/>
      <w:bookmarkStart w:id="126" w:name="_Toc20579"/>
      <w:r>
        <w:rPr>
          <w:rFonts w:hint="eastAsia" w:ascii="宋体" w:hAnsi="宋体" w:eastAsia="宋体" w:cs="宋体"/>
          <w:b/>
          <w:color w:val="auto"/>
          <w:sz w:val="24"/>
          <w:szCs w:val="24"/>
          <w:highlight w:val="none"/>
        </w:rPr>
        <w:t>开标</w:t>
      </w:r>
      <w:bookmarkEnd w:id="122"/>
      <w:bookmarkEnd w:id="123"/>
      <w:bookmarkEnd w:id="124"/>
      <w:bookmarkEnd w:id="125"/>
      <w:bookmarkEnd w:id="126"/>
      <w:r>
        <w:rPr>
          <w:rFonts w:hint="eastAsia" w:ascii="宋体" w:hAnsi="宋体" w:eastAsia="宋体" w:cs="宋体"/>
          <w:b/>
          <w:color w:val="auto"/>
          <w:sz w:val="24"/>
          <w:szCs w:val="24"/>
          <w:highlight w:val="none"/>
        </w:rPr>
        <w:t xml:space="preserve"> </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规定的时间通过电子交易平台组织开标，商谈供应商应当准时在线参加。</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开标时，电子交易平台按开标时间自动提取所有</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依托电子交易平台发起开始解密指令，商谈供应商按照平台提示和</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eastAsia="zh-CN"/>
        </w:rPr>
        <w:t>时间内</w:t>
      </w:r>
      <w:r>
        <w:rPr>
          <w:rFonts w:hint="eastAsia" w:ascii="宋体" w:hAnsi="宋体" w:eastAsia="宋体" w:cs="宋体"/>
          <w:color w:val="auto"/>
          <w:sz w:val="21"/>
          <w:szCs w:val="21"/>
          <w:highlight w:val="none"/>
        </w:rPr>
        <w:t>完成在线解密。</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未按时解密，视为</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撤回。</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olor w:val="auto"/>
          <w:sz w:val="21"/>
          <w:szCs w:val="21"/>
          <w:highlight w:val="none"/>
          <w:lang w:eastAsia="zh-CN"/>
        </w:rPr>
      </w:pPr>
      <w:r>
        <w:rPr>
          <w:rFonts w:hint="eastAsia"/>
          <w:b/>
          <w:color w:val="auto"/>
          <w:sz w:val="21"/>
          <w:szCs w:val="21"/>
          <w:highlight w:val="none"/>
        </w:rPr>
        <w:t>政府采购活动现场确认声明书</w:t>
      </w:r>
      <w:r>
        <w:rPr>
          <w:rFonts w:hint="eastAsia"/>
          <w:b/>
          <w:color w:val="auto"/>
          <w:sz w:val="21"/>
          <w:szCs w:val="21"/>
          <w:highlight w:val="none"/>
          <w:lang w:eastAsia="zh-CN"/>
        </w:rPr>
        <w:t>：</w:t>
      </w:r>
      <w:r>
        <w:rPr>
          <w:rFonts w:hint="eastAsia"/>
          <w:color w:val="auto"/>
          <w:sz w:val="21"/>
          <w:szCs w:val="21"/>
          <w:highlight w:val="none"/>
        </w:rPr>
        <w:t>开启</w:t>
      </w:r>
      <w:r>
        <w:rPr>
          <w:rFonts w:hint="eastAsia"/>
          <w:color w:val="auto"/>
          <w:sz w:val="21"/>
          <w:szCs w:val="21"/>
          <w:highlight w:val="none"/>
          <w:lang w:eastAsia="zh-CN"/>
        </w:rPr>
        <w:t>采购响应文件</w:t>
      </w:r>
      <w:r>
        <w:rPr>
          <w:rFonts w:hint="eastAsia"/>
          <w:color w:val="auto"/>
          <w:sz w:val="21"/>
          <w:szCs w:val="21"/>
          <w:highlight w:val="none"/>
        </w:rPr>
        <w:t>后，采购</w:t>
      </w:r>
      <w:r>
        <w:rPr>
          <w:rFonts w:hint="eastAsia"/>
          <w:color w:val="auto"/>
          <w:sz w:val="21"/>
          <w:szCs w:val="21"/>
          <w:highlight w:val="none"/>
          <w:lang w:val="en-US" w:eastAsia="zh-CN"/>
        </w:rPr>
        <w:t>代理</w:t>
      </w:r>
      <w:r>
        <w:rPr>
          <w:rFonts w:hint="eastAsia"/>
          <w:color w:val="auto"/>
          <w:sz w:val="21"/>
          <w:szCs w:val="21"/>
          <w:highlight w:val="none"/>
        </w:rPr>
        <w:t>机构通过电子交易平台发出询标函，商谈供应商在规定的时间内真实完整填写《政府采购活动现场确认声明书》（按附件</w:t>
      </w:r>
      <w:r>
        <w:rPr>
          <w:rFonts w:hint="eastAsia"/>
          <w:color w:val="auto"/>
          <w:sz w:val="21"/>
          <w:szCs w:val="21"/>
          <w:highlight w:val="none"/>
          <w:lang w:val="en-US" w:eastAsia="zh-CN"/>
        </w:rPr>
        <w:t>3</w:t>
      </w:r>
      <w:r>
        <w:rPr>
          <w:rFonts w:hint="eastAsia"/>
          <w:color w:val="auto"/>
          <w:sz w:val="21"/>
          <w:szCs w:val="21"/>
          <w:highlight w:val="none"/>
        </w:rPr>
        <w:t>格式），通过电子交易平台提交《政府采购活动现场确认声明书》并电子签章。</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27" w:name="_Toc22658"/>
      <w:bookmarkStart w:id="128" w:name="_Toc31265"/>
      <w:bookmarkStart w:id="129" w:name="_Toc9146"/>
      <w:bookmarkStart w:id="130" w:name="_Toc27065"/>
      <w:bookmarkStart w:id="131" w:name="_Toc23948"/>
      <w:r>
        <w:rPr>
          <w:rFonts w:hint="eastAsia" w:ascii="宋体" w:hAnsi="宋体" w:eastAsia="宋体" w:cs="宋体"/>
          <w:b/>
          <w:color w:val="auto"/>
          <w:sz w:val="24"/>
          <w:szCs w:val="24"/>
          <w:highlight w:val="none"/>
        </w:rPr>
        <w:t>资格审查</w:t>
      </w:r>
      <w:bookmarkEnd w:id="127"/>
      <w:bookmarkEnd w:id="128"/>
      <w:bookmarkEnd w:id="129"/>
      <w:bookmarkEnd w:id="130"/>
      <w:bookmarkEnd w:id="131"/>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将依据法律法规和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对商谈供应商的资格进行审查。</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商谈供应商未按照</w:t>
      </w:r>
      <w:r>
        <w:rPr>
          <w:rFonts w:hint="eastAsia" w:ascii="宋体" w:hAnsi="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要求提供与</w:t>
      </w:r>
      <w:r>
        <w:rPr>
          <w:rFonts w:hint="eastAsia" w:ascii="宋体" w:hAnsi="宋体" w:eastAsia="宋体" w:cs="宋体"/>
          <w:b/>
          <w:bCs/>
          <w:color w:val="auto"/>
          <w:sz w:val="21"/>
          <w:szCs w:val="21"/>
          <w:highlight w:val="none"/>
        </w:rPr>
        <w:t>资格条件相应的</w:t>
      </w:r>
      <w:r>
        <w:rPr>
          <w:rFonts w:hint="eastAsia" w:ascii="宋体" w:hAnsi="宋体" w:eastAsia="宋体" w:cs="宋体"/>
          <w:b/>
          <w:bCs/>
          <w:color w:val="auto"/>
          <w:kern w:val="0"/>
          <w:sz w:val="21"/>
          <w:szCs w:val="21"/>
          <w:highlight w:val="none"/>
        </w:rPr>
        <w:t>有效资格证明材料的，视为</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不具备</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中规定的资格要求，其投标无效。</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对未通过资格审查的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单位负责人（指法定代表人或者法律、行政法规规定代表单位行使职权的主要负责人）为同一人或者存在直接控股、管理关系的不同</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不得分别参加同一合同项下的采购活动。</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为本项目提供过整体设计、规范编制或者项目管理、监理、检测等服务的</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，不得再参加该采购项目的其他采购活动。</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以联合体形式参加政府采购活动的，联合体各方不得再单独参加或者与其他</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另外组成联合体参加同一合同项下的政府采购活动。</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32" w:name="_Toc493"/>
      <w:bookmarkStart w:id="133" w:name="_Toc30140"/>
      <w:bookmarkStart w:id="134" w:name="_Toc28212"/>
      <w:bookmarkStart w:id="135" w:name="_Toc10937"/>
      <w:bookmarkStart w:id="136" w:name="_Toc18421"/>
      <w:r>
        <w:rPr>
          <w:rFonts w:hint="eastAsia" w:ascii="宋体" w:hAnsi="宋体" w:eastAsia="宋体" w:cs="宋体"/>
          <w:b/>
          <w:color w:val="auto"/>
          <w:sz w:val="24"/>
          <w:szCs w:val="24"/>
          <w:highlight w:val="none"/>
        </w:rPr>
        <w:t>信用信息查询</w:t>
      </w:r>
      <w:bookmarkEnd w:id="132"/>
      <w:bookmarkEnd w:id="133"/>
      <w:bookmarkEnd w:id="134"/>
      <w:bookmarkEnd w:id="135"/>
      <w:bookmarkEnd w:id="136"/>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信用信息查询渠道及截止时间：</w:t>
      </w:r>
      <w:r>
        <w:rPr>
          <w:rFonts w:hint="eastAsia" w:ascii="宋体" w:hAnsi="宋体" w:eastAsia="宋体" w:cs="宋体"/>
          <w:color w:val="auto"/>
          <w:kern w:val="0"/>
          <w:sz w:val="21"/>
          <w:szCs w:val="21"/>
          <w:highlight w:val="none"/>
          <w:lang w:val="en-US" w:eastAsia="zh-CN"/>
        </w:rPr>
        <w:t>采购人或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在资格审查时</w:t>
      </w:r>
      <w:r>
        <w:rPr>
          <w:rFonts w:hint="eastAsia" w:ascii="宋体" w:hAnsi="宋体" w:eastAsia="宋体" w:cs="宋体"/>
          <w:color w:val="auto"/>
          <w:kern w:val="0"/>
          <w:sz w:val="21"/>
          <w:szCs w:val="21"/>
          <w:highlight w:val="none"/>
        </w:rPr>
        <w:t>通过“信用中国”网站(www.creditchina.gov.cn)、中国政府采购网(www.ccgp.gov.cn)渠道查询</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lang w:eastAsia="zh-CN"/>
        </w:rPr>
        <w:t>接收资格审查时</w:t>
      </w:r>
      <w:r>
        <w:rPr>
          <w:rFonts w:hint="eastAsia" w:ascii="宋体" w:hAnsi="宋体" w:eastAsia="宋体" w:cs="宋体"/>
          <w:color w:val="auto"/>
          <w:kern w:val="0"/>
          <w:sz w:val="21"/>
          <w:szCs w:val="21"/>
          <w:highlight w:val="none"/>
        </w:rPr>
        <w:t>的信用记录。</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的信用记录、查询结果经确认后将与采购文件一起存档。</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将被拒绝参与政府采购活动。</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pPr>
        <w:pStyle w:val="25"/>
        <w:shd w:val="clear" w:color="auto" w:fill="auto"/>
        <w:spacing w:before="0"/>
        <w:ind w:firstLine="0" w:firstLineChars="0"/>
        <w:rPr>
          <w:rFonts w:hint="eastAsia" w:ascii="宋体" w:hAnsi="宋体" w:eastAsia="宋体" w:cs="宋体"/>
          <w:color w:val="auto"/>
          <w:kern w:val="0"/>
          <w:sz w:val="21"/>
          <w:szCs w:val="21"/>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37" w:name="_Toc1074"/>
      <w:bookmarkStart w:id="138" w:name="_Toc11736"/>
      <w:bookmarkStart w:id="139" w:name="_Toc30648"/>
      <w:bookmarkStart w:id="140" w:name="_Toc4372"/>
      <w:bookmarkStart w:id="141" w:name="_Toc18040"/>
      <w:r>
        <w:rPr>
          <w:rFonts w:hint="eastAsia" w:ascii="宋体" w:hAnsi="宋体" w:eastAsia="宋体" w:cs="宋体"/>
          <w:b/>
          <w:color w:val="auto"/>
          <w:sz w:val="28"/>
          <w:szCs w:val="28"/>
          <w:highlight w:val="none"/>
        </w:rPr>
        <w:t>五、评标</w:t>
      </w:r>
      <w:bookmarkEnd w:id="137"/>
      <w:bookmarkEnd w:id="138"/>
      <w:bookmarkEnd w:id="139"/>
      <w:bookmarkEnd w:id="140"/>
      <w:bookmarkEnd w:id="141"/>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lang w:val="en-US" w:eastAsia="zh-CN"/>
        </w:rPr>
      </w:pPr>
      <w:bookmarkStart w:id="142" w:name="_Toc22104"/>
      <w:bookmarkStart w:id="143" w:name="_Toc30568"/>
      <w:bookmarkStart w:id="144" w:name="_Toc91899903"/>
      <w:r>
        <w:rPr>
          <w:rFonts w:hint="eastAsia" w:ascii="宋体" w:hAnsi="宋体" w:cs="宋体"/>
          <w:b/>
          <w:color w:val="auto"/>
          <w:sz w:val="24"/>
          <w:szCs w:val="24"/>
          <w:highlight w:val="none"/>
          <w:lang w:val="en-US" w:eastAsia="zh-CN"/>
        </w:rPr>
        <w:t>商谈小组</w:t>
      </w:r>
      <w:bookmarkEnd w:id="142"/>
      <w:bookmarkEnd w:id="143"/>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cs="宋体"/>
          <w:b w:val="0"/>
          <w:bCs/>
          <w:color w:val="auto"/>
          <w:sz w:val="21"/>
          <w:szCs w:val="21"/>
          <w:highlight w:val="none"/>
          <w:lang w:val="en-US" w:eastAsia="zh-CN"/>
        </w:rPr>
        <w:t>商谈小组</w:t>
      </w:r>
      <w:r>
        <w:rPr>
          <w:rFonts w:hint="eastAsia" w:ascii="宋体" w:hAnsi="宋体" w:eastAsia="宋体" w:cs="宋体"/>
          <w:b w:val="0"/>
          <w:bCs/>
          <w:color w:val="auto"/>
          <w:sz w:val="21"/>
          <w:szCs w:val="21"/>
          <w:highlight w:val="none"/>
          <w:lang w:val="en-US" w:eastAsia="zh-CN"/>
        </w:rPr>
        <w:t>组成：</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 xml:space="preserve">由采购人代表和评审专家组成，成员人数为 </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人以上单数，其中评审专家不得少于成员总数的三分之二。</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负责具体评标事务，并独立履行下列职责：</w:t>
      </w:r>
    </w:p>
    <w:p>
      <w:pPr>
        <w:shd w:val="clear" w:color="auto" w:fill="auto"/>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rPr>
        <w:t>）审查、评价</w:t>
      </w:r>
      <w:r>
        <w:rPr>
          <w:rFonts w:hint="eastAsia" w:ascii="宋体" w:hAnsi="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是否符合</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的商务、技术等实质性要求；</w:t>
      </w:r>
    </w:p>
    <w:p>
      <w:pPr>
        <w:shd w:val="clear" w:color="auto" w:fill="auto"/>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）要求</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有关事项作出澄清或者说明；</w:t>
      </w:r>
    </w:p>
    <w:p>
      <w:pPr>
        <w:shd w:val="clear" w:color="auto" w:fill="auto"/>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进行评价；</w:t>
      </w:r>
    </w:p>
    <w:p>
      <w:pPr>
        <w:shd w:val="clear" w:color="auto" w:fill="auto"/>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rPr>
        <w:t>）确定</w:t>
      </w: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候选人名单，以及根据采购人委托直接确定</w:t>
      </w:r>
      <w:r>
        <w:rPr>
          <w:rFonts w:hint="eastAsia" w:ascii="宋体" w:hAnsi="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w:t>
      </w:r>
    </w:p>
    <w:p>
      <w:pPr>
        <w:shd w:val="clear" w:color="auto" w:fill="auto"/>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）向采购人、采购代理机构或者有关部门报告评标中发现的违法行为。</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评标纪律：</w:t>
      </w:r>
    </w:p>
    <w:p>
      <w:pPr>
        <w:numPr>
          <w:ilvl w:val="0"/>
          <w:numId w:val="4"/>
        </w:numPr>
        <w:shd w:val="clear" w:color="auto" w:fill="auto"/>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成员要严格遵守评审工作纪律、保密、回避等相关规定，依法独立履行评审职</w:t>
      </w:r>
    </w:p>
    <w:p>
      <w:pPr>
        <w:numPr>
          <w:ilvl w:val="0"/>
          <w:numId w:val="0"/>
        </w:numPr>
        <w:shd w:val="clear" w:color="auto" w:fill="auto"/>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责，客观、公正、审慎参与评审工作。</w:t>
      </w:r>
    </w:p>
    <w:p>
      <w:pPr>
        <w:shd w:val="clear" w:color="auto" w:fill="auto"/>
        <w:spacing w:line="360" w:lineRule="auto"/>
        <w:ind w:left="420" w:leftChars="20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（2）与</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其他成员存在利害关系的，要主动回避，自觉签订《政府采购评审人员廉洁自律承诺书》。</w:t>
      </w:r>
    </w:p>
    <w:p>
      <w:pPr>
        <w:shd w:val="clear" w:color="auto" w:fill="auto"/>
        <w:spacing w:line="360" w:lineRule="auto"/>
        <w:ind w:left="420" w:leftChars="20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成员不得私下接触联系</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，不得接受或参加</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或与投标有关的单位、组织或个人的有碍公务的宴请、娱乐活动等，不得以任何形式弄虚作假。</w:t>
      </w:r>
    </w:p>
    <w:p>
      <w:pPr>
        <w:shd w:val="clear" w:color="auto" w:fill="auto"/>
        <w:spacing w:line="360" w:lineRule="auto"/>
        <w:ind w:left="420" w:leftChars="20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shd w:val="clear" w:color="auto" w:fill="auto"/>
        <w:spacing w:line="360" w:lineRule="auto"/>
        <w:ind w:left="420" w:leftChars="20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成员不得将自身意见强加给其他</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成员，或私下相互串通压制其他</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成员的意见。</w:t>
      </w:r>
    </w:p>
    <w:p>
      <w:pPr>
        <w:shd w:val="clear" w:color="auto" w:fill="auto"/>
        <w:spacing w:line="360" w:lineRule="auto"/>
        <w:ind w:left="420" w:leftChars="20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成员不得征询采购人对</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的倾向性意向，不得接受任何单位、个人明示或暗示提出的倾向或排斥特定</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的要求。</w:t>
      </w:r>
    </w:p>
    <w:p>
      <w:pPr>
        <w:shd w:val="clear" w:color="auto" w:fill="auto"/>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（7）严格遵守政府采购评审工作纪律，不得向外泄露评审情况及涉及</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商业秘密的信息。</w:t>
      </w:r>
    </w:p>
    <w:p>
      <w:pPr>
        <w:shd w:val="clear" w:color="auto" w:fill="auto"/>
        <w:spacing w:line="360" w:lineRule="auto"/>
        <w:ind w:left="630" w:leftChars="200" w:hanging="210" w:hanging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（8）评标结束后，各评标人员应将全部资料整理上交招标采购单位，严禁将评标过程中的任何资料带出评标现场向</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或其他单位提供。</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商谈小组</w:t>
      </w:r>
      <w:r>
        <w:rPr>
          <w:rFonts w:hint="eastAsia" w:ascii="宋体" w:hAnsi="宋体" w:eastAsia="宋体" w:cs="宋体"/>
          <w:color w:val="auto"/>
          <w:sz w:val="21"/>
          <w:szCs w:val="21"/>
          <w:highlight w:val="none"/>
        </w:rPr>
        <w:t>将根据</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和有关规定，履行评标工作职责，并按照评标方法，全面衡量商谈供应商对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的响应情况。对实质上响应</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，按照评审</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rPr>
        <w:t>详见</w:t>
      </w:r>
      <w:r>
        <w:rPr>
          <w:rFonts w:hint="eastAsia" w:ascii="宋体" w:hAnsi="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部分评标办法。</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t>保密义务：</w:t>
      </w:r>
      <w:r>
        <w:rPr>
          <w:rFonts w:hint="eastAsia" w:ascii="宋体" w:hAnsi="宋体" w:eastAsia="宋体" w:cs="宋体"/>
          <w:color w:val="auto"/>
          <w:sz w:val="21"/>
          <w:szCs w:val="21"/>
          <w:highlight w:val="none"/>
        </w:rPr>
        <w:t>参与采购活动的所有各方，对在参与投标过程中获悉的国家、商业和技术秘密以及其它依法应当保密的内容，均负有保密义务，违者应对由此造成的后果承担全部法律责任。</w:t>
      </w:r>
    </w:p>
    <w:p>
      <w:pPr>
        <w:shd w:val="clear" w:color="auto" w:fill="auto"/>
        <w:spacing w:line="360" w:lineRule="auto"/>
        <w:ind w:firstLine="420" w:firstLineChars="200"/>
        <w:rPr>
          <w:rFonts w:hint="eastAsia" w:ascii="宋体" w:hAnsi="宋体" w:eastAsia="宋体" w:cs="宋体"/>
          <w:bCs w:val="0"/>
          <w:color w:val="auto"/>
          <w:sz w:val="21"/>
          <w:szCs w:val="21"/>
          <w:highlight w:val="none"/>
          <w:lang w:val="en-US" w:eastAsia="zh-CN"/>
        </w:rPr>
      </w:pP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45" w:name="_Toc26673"/>
      <w:bookmarkStart w:id="146" w:name="_Toc8736"/>
      <w:bookmarkStart w:id="147" w:name="_Toc32610"/>
      <w:bookmarkStart w:id="148" w:name="_Toc18661"/>
      <w:bookmarkStart w:id="149" w:name="_Toc28195"/>
      <w:r>
        <w:rPr>
          <w:rFonts w:hint="eastAsia" w:ascii="宋体" w:hAnsi="宋体" w:eastAsia="宋体" w:cs="宋体"/>
          <w:b/>
          <w:color w:val="auto"/>
          <w:sz w:val="28"/>
          <w:szCs w:val="28"/>
          <w:highlight w:val="none"/>
        </w:rPr>
        <w:t>六、定 标</w:t>
      </w:r>
      <w:bookmarkEnd w:id="145"/>
      <w:bookmarkEnd w:id="146"/>
      <w:bookmarkEnd w:id="147"/>
      <w:bookmarkEnd w:id="148"/>
      <w:bookmarkEnd w:id="149"/>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50" w:name="_Toc23823"/>
      <w:bookmarkStart w:id="151" w:name="_Toc12442"/>
      <w:bookmarkStart w:id="152" w:name="_Toc24125"/>
      <w:bookmarkStart w:id="153" w:name="_Toc6821"/>
      <w:bookmarkStart w:id="154" w:name="_Toc128"/>
      <w:r>
        <w:rPr>
          <w:rFonts w:hint="eastAsia" w:ascii="宋体" w:hAnsi="宋体" w:eastAsia="宋体" w:cs="宋体"/>
          <w:b/>
          <w:color w:val="auto"/>
          <w:sz w:val="24"/>
          <w:szCs w:val="24"/>
          <w:highlight w:val="none"/>
        </w:rPr>
        <w:t>确定</w:t>
      </w:r>
      <w:bookmarkEnd w:id="150"/>
      <w:bookmarkEnd w:id="151"/>
      <w:bookmarkEnd w:id="152"/>
      <w:r>
        <w:rPr>
          <w:rFonts w:hint="eastAsia" w:ascii="宋体" w:hAnsi="宋体" w:cs="宋体"/>
          <w:b/>
          <w:color w:val="auto"/>
          <w:sz w:val="24"/>
          <w:szCs w:val="24"/>
          <w:highlight w:val="none"/>
          <w:lang w:eastAsia="zh-CN"/>
        </w:rPr>
        <w:t>成交供应商</w:t>
      </w:r>
      <w:bookmarkEnd w:id="153"/>
      <w:bookmarkEnd w:id="154"/>
    </w:p>
    <w:p>
      <w:pPr>
        <w:pStyle w:val="25"/>
        <w:shd w:val="clear" w:color="auto" w:fill="auto"/>
        <w:snapToGrid w:val="0"/>
        <w:spacing w:before="0"/>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采购人将自收到评审报告之日起5个工作日内通过电子交易平台在评审报告推荐的中标候</w:t>
      </w:r>
    </w:p>
    <w:p>
      <w:pPr>
        <w:pStyle w:val="25"/>
        <w:shd w:val="clear" w:color="auto" w:fill="auto"/>
        <w:snapToGrid w:val="0"/>
        <w:spacing w:before="0"/>
        <w:ind w:firstLine="840" w:firstLineChars="4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选人中按顺序确定</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55" w:name="_Toc10938"/>
      <w:bookmarkStart w:id="156" w:name="_Toc27423"/>
      <w:bookmarkStart w:id="157" w:name="_Toc20788"/>
      <w:bookmarkStart w:id="158" w:name="_Toc19064"/>
      <w:bookmarkStart w:id="159" w:name="_Toc27692"/>
      <w:r>
        <w:rPr>
          <w:rFonts w:hint="eastAsia" w:ascii="宋体" w:hAnsi="宋体" w:cs="宋体"/>
          <w:b/>
          <w:color w:val="auto"/>
          <w:sz w:val="24"/>
          <w:szCs w:val="24"/>
          <w:highlight w:val="none"/>
          <w:lang w:eastAsia="zh-CN"/>
        </w:rPr>
        <w:t>成交通知书</w:t>
      </w:r>
      <w:r>
        <w:rPr>
          <w:rFonts w:hint="eastAsia" w:ascii="宋体" w:hAnsi="宋体" w:eastAsia="宋体" w:cs="宋体"/>
          <w:b/>
          <w:color w:val="auto"/>
          <w:sz w:val="24"/>
          <w:szCs w:val="24"/>
          <w:highlight w:val="none"/>
        </w:rPr>
        <w:t>与中标结果公告</w:t>
      </w:r>
      <w:bookmarkEnd w:id="155"/>
      <w:bookmarkEnd w:id="156"/>
      <w:bookmarkEnd w:id="157"/>
      <w:bookmarkEnd w:id="158"/>
      <w:bookmarkEnd w:id="159"/>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发出</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lang w:val="en-US" w:eastAsia="zh-CN"/>
        </w:rPr>
        <w:t>也</w:t>
      </w:r>
      <w:r>
        <w:rPr>
          <w:rFonts w:hint="eastAsia" w:ascii="宋体" w:hAnsi="宋体" w:eastAsia="宋体" w:cs="宋体"/>
          <w:color w:val="auto"/>
          <w:sz w:val="21"/>
          <w:szCs w:val="21"/>
          <w:highlight w:val="none"/>
        </w:rPr>
        <w:t>可以以纸质形式</w:t>
      </w:r>
      <w:r>
        <w:rPr>
          <w:rFonts w:hint="eastAsia" w:ascii="宋体" w:hAnsi="宋体" w:eastAsia="宋体" w:cs="宋体"/>
          <w:color w:val="auto"/>
          <w:sz w:val="21"/>
          <w:szCs w:val="21"/>
          <w:highlight w:val="none"/>
          <w:lang w:val="en-US" w:eastAsia="zh-CN"/>
        </w:rPr>
        <w:t>发出</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名称、地址和中标金额，主要中标标的的名称、规格型号、数量、单价、服务要求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中标公告期限</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评审专家名单</w:t>
      </w:r>
      <w:r>
        <w:rPr>
          <w:rFonts w:hint="eastAsia" w:ascii="宋体" w:hAnsi="宋体" w:eastAsia="宋体" w:cs="宋体"/>
          <w:color w:val="auto"/>
          <w:sz w:val="21"/>
          <w:szCs w:val="21"/>
          <w:highlight w:val="none"/>
          <w:lang w:val="en-US" w:eastAsia="zh-CN"/>
        </w:rPr>
        <w:t>等。</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采购结果</w:t>
      </w:r>
      <w:r>
        <w:rPr>
          <w:rFonts w:hint="eastAsia" w:ascii="宋体" w:hAnsi="宋体" w:eastAsia="宋体" w:cs="宋体"/>
          <w:color w:val="auto"/>
          <w:sz w:val="21"/>
          <w:szCs w:val="21"/>
          <w:highlight w:val="none"/>
        </w:rPr>
        <w:t>公告期限为1个工作日。</w:t>
      </w: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60" w:name="_Toc8886"/>
      <w:bookmarkStart w:id="161" w:name="_Toc27683"/>
      <w:bookmarkStart w:id="162" w:name="_Toc15800"/>
      <w:bookmarkStart w:id="163" w:name="_Toc10326"/>
      <w:bookmarkStart w:id="164" w:name="_Toc28046"/>
      <w:r>
        <w:rPr>
          <w:rFonts w:hint="eastAsia" w:ascii="宋体" w:hAnsi="宋体" w:eastAsia="宋体" w:cs="宋体"/>
          <w:b/>
          <w:color w:val="auto"/>
          <w:sz w:val="28"/>
          <w:szCs w:val="28"/>
          <w:highlight w:val="none"/>
        </w:rPr>
        <w:t>七、合同授予</w:t>
      </w:r>
      <w:bookmarkEnd w:id="160"/>
      <w:bookmarkEnd w:id="161"/>
      <w:bookmarkEnd w:id="162"/>
      <w:bookmarkEnd w:id="163"/>
      <w:bookmarkEnd w:id="164"/>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65" w:name="_Toc30528"/>
      <w:bookmarkStart w:id="166" w:name="_Toc12346"/>
      <w:bookmarkStart w:id="167" w:name="_Toc6592"/>
      <w:bookmarkStart w:id="168" w:name="_Toc21070"/>
      <w:bookmarkStart w:id="169" w:name="_Toc22056"/>
      <w:r>
        <w:rPr>
          <w:rFonts w:hint="eastAsia" w:ascii="宋体" w:hAnsi="宋体" w:eastAsia="宋体" w:cs="宋体"/>
          <w:b/>
          <w:color w:val="auto"/>
          <w:sz w:val="24"/>
          <w:szCs w:val="24"/>
          <w:highlight w:val="none"/>
        </w:rPr>
        <w:t>合同主要条款详见第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部分拟签订的合同文本。</w:t>
      </w:r>
      <w:bookmarkEnd w:id="165"/>
      <w:bookmarkEnd w:id="166"/>
      <w:bookmarkEnd w:id="167"/>
      <w:bookmarkEnd w:id="168"/>
      <w:bookmarkEnd w:id="169"/>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70" w:name="_Toc3098"/>
      <w:bookmarkStart w:id="171" w:name="_Toc27551"/>
      <w:bookmarkStart w:id="172" w:name="_Toc22660"/>
      <w:bookmarkStart w:id="173" w:name="_Toc3024"/>
      <w:bookmarkStart w:id="174" w:name="_Toc26702"/>
      <w:r>
        <w:rPr>
          <w:rFonts w:hint="eastAsia" w:ascii="宋体" w:hAnsi="宋体" w:eastAsia="宋体" w:cs="宋体"/>
          <w:b/>
          <w:color w:val="auto"/>
          <w:sz w:val="24"/>
          <w:szCs w:val="24"/>
          <w:highlight w:val="none"/>
        </w:rPr>
        <w:t>合同的签订</w:t>
      </w:r>
      <w:bookmarkEnd w:id="170"/>
      <w:bookmarkEnd w:id="171"/>
      <w:bookmarkEnd w:id="172"/>
      <w:bookmarkEnd w:id="173"/>
      <w:bookmarkEnd w:id="174"/>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采购人与</w:t>
      </w:r>
      <w:r>
        <w:rPr>
          <w:rFonts w:hint="eastAsia" w:ascii="宋体" w:hAnsi="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应当通过电子交易平台在</w:t>
      </w:r>
      <w:r>
        <w:rPr>
          <w:rFonts w:hint="eastAsia" w:ascii="宋体" w:hAnsi="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lang w:eastAsia="zh-CN"/>
        </w:rPr>
        <w:t>和</w:t>
      </w:r>
      <w:r>
        <w:rPr>
          <w:rFonts w:hint="eastAsia" w:ascii="宋体" w:hAnsi="宋体" w:cs="宋体"/>
          <w:color w:val="auto"/>
          <w:kern w:val="0"/>
          <w:sz w:val="21"/>
          <w:szCs w:val="21"/>
          <w:highlight w:val="none"/>
          <w:lang w:eastAsia="zh-CN"/>
        </w:rPr>
        <w:t>成交供应商采购响应文件</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确定的事项签订政府采购合同，并在合同签订之日起2个工作日内依法发布合同公告。</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zh-CN"/>
        </w:rPr>
        <w:t>成交供应商</w:t>
      </w:r>
      <w:r>
        <w:rPr>
          <w:rFonts w:hint="eastAsia" w:ascii="宋体" w:hAnsi="宋体" w:eastAsia="宋体" w:cs="宋体"/>
          <w:color w:val="auto"/>
          <w:kern w:val="0"/>
          <w:sz w:val="21"/>
          <w:szCs w:val="21"/>
          <w:highlight w:val="none"/>
          <w:lang w:val="zh-CN"/>
        </w:rPr>
        <w:t>按规定的日期、时间、地点，由法定代表人或其授权代表与采购人代表签订合同。如</w:t>
      </w:r>
      <w:r>
        <w:rPr>
          <w:rFonts w:hint="eastAsia" w:ascii="宋体" w:hAnsi="宋体" w:cs="宋体"/>
          <w:color w:val="auto"/>
          <w:kern w:val="0"/>
          <w:sz w:val="21"/>
          <w:szCs w:val="21"/>
          <w:highlight w:val="none"/>
          <w:lang w:val="zh-CN"/>
        </w:rPr>
        <w:t>成交供应商</w:t>
      </w:r>
      <w:r>
        <w:rPr>
          <w:rFonts w:hint="eastAsia" w:ascii="宋体" w:hAnsi="宋体" w:eastAsia="宋体" w:cs="宋体"/>
          <w:color w:val="auto"/>
          <w:kern w:val="0"/>
          <w:sz w:val="21"/>
          <w:szCs w:val="21"/>
          <w:highlight w:val="none"/>
          <w:lang w:val="zh-CN"/>
        </w:rPr>
        <w:t>为联合体的，由联合体成员各方法定代表人或其授权代表与采购人代表签订合同。</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，也可以重新开展政府采购活动。</w:t>
      </w:r>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鼓励有条件的</w:t>
      </w:r>
      <w:r>
        <w:rPr>
          <w:rFonts w:hint="eastAsia" w:ascii="宋体" w:hAnsi="宋体" w:eastAsia="宋体" w:cs="宋体"/>
          <w:color w:val="auto"/>
          <w:sz w:val="21"/>
          <w:szCs w:val="21"/>
          <w:highlight w:val="none"/>
        </w:rPr>
        <w:t>采购人与</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通过政府采购电子交易平台在线签订</w:t>
      </w:r>
      <w:r>
        <w:rPr>
          <w:rFonts w:hint="eastAsia" w:ascii="宋体" w:hAnsi="宋体" w:eastAsia="宋体" w:cs="宋体"/>
          <w:color w:val="auto"/>
          <w:sz w:val="21"/>
          <w:szCs w:val="21"/>
          <w:highlight w:val="none"/>
          <w:lang w:val="en-US" w:eastAsia="zh-CN"/>
        </w:rPr>
        <w:t>政府采购合同</w:t>
      </w:r>
      <w:r>
        <w:rPr>
          <w:rFonts w:hint="eastAsia" w:ascii="宋体" w:hAnsi="宋体" w:eastAsia="宋体" w:cs="宋体"/>
          <w:color w:val="auto"/>
          <w:sz w:val="21"/>
          <w:szCs w:val="21"/>
          <w:highlight w:val="none"/>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lang w:eastAsia="zh-CN"/>
        </w:rPr>
      </w:pPr>
      <w:bookmarkStart w:id="175" w:name="_Toc9229"/>
      <w:bookmarkStart w:id="176" w:name="_Toc25072"/>
      <w:bookmarkStart w:id="177" w:name="_Toc152"/>
      <w:bookmarkStart w:id="178" w:name="_Toc29304"/>
      <w:bookmarkStart w:id="179" w:name="_Toc22384"/>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和预付款</w:t>
      </w:r>
      <w:bookmarkEnd w:id="175"/>
      <w:bookmarkEnd w:id="176"/>
      <w:bookmarkEnd w:id="177"/>
      <w:bookmarkEnd w:id="178"/>
      <w:bookmarkEnd w:id="179"/>
    </w:p>
    <w:p>
      <w:pPr>
        <w:pageBreakBefore w:val="0"/>
        <w:numPr>
          <w:ilvl w:val="1"/>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kern w:val="2"/>
          <w:sz w:val="21"/>
          <w:szCs w:val="21"/>
          <w:highlight w:val="none"/>
        </w:rPr>
        <w:t>拟签订的合同文本要求</w:t>
      </w:r>
      <w:r>
        <w:rPr>
          <w:rFonts w:hint="eastAsia" w:ascii="宋体" w:hAnsi="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提交履约保证金的，</w:t>
      </w:r>
      <w:r>
        <w:rPr>
          <w:rFonts w:hint="eastAsia" w:ascii="宋体" w:hAnsi="宋体" w:eastAsia="宋体" w:cs="宋体"/>
          <w:color w:val="auto"/>
          <w:sz w:val="21"/>
          <w:szCs w:val="21"/>
          <w:highlight w:val="none"/>
        </w:rPr>
        <w:t>履约保证金的数额不得超过政府采购合同金额的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供应商应当以支票、汇票、本票或者金融机构</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保险机构</w:t>
      </w:r>
      <w:r>
        <w:rPr>
          <w:rFonts w:hint="eastAsia" w:ascii="宋体" w:hAnsi="宋体" w:eastAsia="宋体" w:cs="宋体"/>
          <w:color w:val="auto"/>
          <w:kern w:val="2"/>
          <w:sz w:val="21"/>
          <w:szCs w:val="21"/>
          <w:highlight w:val="none"/>
        </w:rPr>
        <w:t>出具的保函等非现金形式提交</w:t>
      </w:r>
      <w:r>
        <w:rPr>
          <w:rFonts w:hint="eastAsia" w:ascii="宋体" w:hAnsi="宋体" w:eastAsia="宋体" w:cs="宋体"/>
          <w:color w:val="auto"/>
          <w:sz w:val="21"/>
          <w:szCs w:val="21"/>
          <w:highlight w:val="none"/>
        </w:rPr>
        <w:t>。鼓励和支持供应商以银行、保险公司出具的保函形式提供履约保证金。</w:t>
      </w:r>
      <w:r>
        <w:rPr>
          <w:rFonts w:hint="eastAsia" w:ascii="宋体" w:hAnsi="宋体" w:eastAsia="宋体" w:cs="宋体"/>
          <w:b w:val="0"/>
          <w:color w:val="auto"/>
          <w:sz w:val="21"/>
          <w:szCs w:val="21"/>
          <w:highlight w:val="none"/>
        </w:rPr>
        <w:t>采购人不得拒收履约保</w:t>
      </w:r>
      <w:r>
        <w:rPr>
          <w:rFonts w:hint="eastAsia" w:ascii="宋体" w:hAnsi="宋体" w:eastAsia="宋体" w:cs="宋体"/>
          <w:b w:val="0"/>
          <w:color w:val="auto"/>
          <w:sz w:val="21"/>
          <w:szCs w:val="21"/>
          <w:highlight w:val="none"/>
          <w:lang w:val="en-US" w:eastAsia="zh-CN"/>
        </w:rPr>
        <w:t>函。</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w:t>
      </w:r>
      <w:r>
        <w:rPr>
          <w:rFonts w:hint="eastAsia" w:ascii="宋体" w:hAnsi="宋体" w:eastAsia="宋体" w:cs="宋体"/>
          <w:b w:val="0"/>
          <w:bCs w:val="0"/>
          <w:snapToGrid/>
          <w:color w:val="auto"/>
          <w:kern w:val="2"/>
          <w:sz w:val="21"/>
          <w:szCs w:val="21"/>
          <w:highlight w:val="none"/>
          <w:lang w:val="en-US"/>
        </w:rPr>
        <w:t>可</w:t>
      </w:r>
      <w:r>
        <w:rPr>
          <w:rFonts w:hint="eastAsia" w:ascii="宋体" w:hAnsi="宋体" w:eastAsia="宋体" w:cs="宋体"/>
          <w:b w:val="0"/>
          <w:bCs w:val="0"/>
          <w:snapToGrid/>
          <w:color w:val="auto"/>
          <w:kern w:val="2"/>
          <w:sz w:val="21"/>
          <w:szCs w:val="21"/>
          <w:highlight w:val="none"/>
          <w:lang w:val="en-US" w:eastAsia="zh-CN"/>
        </w:rPr>
        <w:t>以</w:t>
      </w:r>
      <w:r>
        <w:rPr>
          <w:rFonts w:hint="eastAsia" w:ascii="宋体" w:hAnsi="宋体" w:eastAsia="宋体" w:cs="宋体"/>
          <w:b w:val="0"/>
          <w:bCs w:val="0"/>
          <w:snapToGrid/>
          <w:color w:val="auto"/>
          <w:kern w:val="2"/>
          <w:sz w:val="21"/>
          <w:szCs w:val="21"/>
          <w:highlight w:val="none"/>
        </w:rPr>
        <w:t>登录政采云平台-</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金融服务</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我的项目</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已备案合同</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以保函形式提供：</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①供应商在合同列表选择需要投保的合同，点击[保函推荐]。②在弹框里查看推荐的保函</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产品，供应商自行选择保函产品，点击[立即申请]。③在弹框里填写保函申请信息。具体</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步骤：选择产品—填写供应商信息—选择中标项目—确认信息—等待保险/保函受理—确认</w:t>
      </w:r>
    </w:p>
    <w:p>
      <w:pPr>
        <w:pStyle w:val="6"/>
        <w:shd w:val="clear" w:color="auto" w:fill="auto"/>
        <w:spacing w:line="360" w:lineRule="auto"/>
        <w:ind w:firstLine="420" w:firstLineChars="200"/>
        <w:jc w:val="left"/>
        <w:rPr>
          <w:rFonts w:hint="eastAsia" w:ascii="宋体" w:hAnsi="宋体" w:eastAsia="宋体" w:cs="宋体"/>
          <w:b/>
          <w:bCs/>
          <w:snapToGrid w:val="0"/>
          <w:color w:val="auto"/>
          <w:kern w:val="28"/>
          <w:sz w:val="21"/>
          <w:szCs w:val="21"/>
          <w:highlight w:val="none"/>
          <w:lang w:val="en-US" w:eastAsia="zh-CN"/>
        </w:rPr>
      </w:pPr>
      <w:r>
        <w:rPr>
          <w:rFonts w:hint="eastAsia" w:ascii="宋体" w:hAnsi="宋体" w:eastAsia="宋体" w:cs="宋体"/>
          <w:b w:val="0"/>
          <w:bCs w:val="0"/>
          <w:snapToGrid/>
          <w:color w:val="auto"/>
          <w:kern w:val="2"/>
          <w:sz w:val="21"/>
          <w:szCs w:val="21"/>
          <w:highlight w:val="none"/>
        </w:rPr>
        <w:t>保单—支付保费—成功出单。政采云金融专线400-903-9583。</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lang w:val="en-US" w:eastAsia="zh-CN"/>
        </w:rPr>
        <w:t>预付款</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采购单位应当在政府采购合同中约定预付款，对中小企业合同预付款比例原则上不低于合</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同金额的40％，不高于合同金额的70%；项目分年安排预算的，每年预付款比例不低于项</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目年度计划支付资金额的40％，不高于合同金额的70%；采购项目实施以人工投入为主的，</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可适当降低预付款比例，但不得低于20%。对供应商为大型企业的项目或者以人工投入为</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主且实行按月定期结算支付款项的项目，预付款可低于上述比例或者不约定预付款。在签</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订合同时，供应商明确表示无需预付款或者主动要求降低预付款比例的，采购单位可不适</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用前述规定。采购单位根据项目特点、供应商诚信等因素，可以要求供应商提交银行、保</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险公司等金融机构出具的预付款保函或其他担保措施。政府采购预付款应在合同生效以及</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具备实施条件后</w:t>
      </w:r>
      <w:r>
        <w:rPr>
          <w:rFonts w:hint="eastAsia" w:ascii="宋体" w:hAnsi="宋体" w:eastAsia="宋体" w:cs="宋体"/>
          <w:b w:val="0"/>
          <w:bCs w:val="0"/>
          <w:snapToGrid/>
          <w:color w:val="auto"/>
          <w:kern w:val="2"/>
          <w:sz w:val="21"/>
          <w:szCs w:val="21"/>
          <w:highlight w:val="none"/>
          <w:lang w:val="en-US" w:eastAsia="zh-CN"/>
        </w:rPr>
        <w:t>7</w:t>
      </w:r>
      <w:r>
        <w:rPr>
          <w:rFonts w:hint="eastAsia" w:ascii="宋体" w:hAnsi="宋体" w:eastAsia="宋体" w:cs="宋体"/>
          <w:b w:val="0"/>
          <w:bCs w:val="0"/>
          <w:snapToGrid/>
          <w:color w:val="auto"/>
          <w:kern w:val="2"/>
          <w:sz w:val="21"/>
          <w:szCs w:val="21"/>
          <w:highlight w:val="none"/>
        </w:rPr>
        <w:t>个工作日内支付。政府采购工程以及与工程建设有关的货物、服务，采</w:t>
      </w:r>
    </w:p>
    <w:p>
      <w:pPr>
        <w:pStyle w:val="6"/>
        <w:shd w:val="clear" w:color="auto" w:fill="auto"/>
        <w:spacing w:line="360" w:lineRule="auto"/>
        <w:ind w:firstLine="420" w:firstLineChars="200"/>
        <w:jc w:val="left"/>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用招标方式采购的，预付款从其相关规定。</w:t>
      </w:r>
    </w:p>
    <w:p>
      <w:pPr>
        <w:pStyle w:val="6"/>
        <w:shd w:val="clear" w:color="auto" w:fill="auto"/>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也可以</w:t>
      </w:r>
      <w:r>
        <w:rPr>
          <w:rFonts w:hint="eastAsia" w:ascii="宋体" w:hAnsi="宋体" w:eastAsia="宋体" w:cs="宋体"/>
          <w:b w:val="0"/>
          <w:bCs w:val="0"/>
          <w:snapToGrid/>
          <w:color w:val="auto"/>
          <w:kern w:val="2"/>
          <w:sz w:val="21"/>
          <w:szCs w:val="21"/>
          <w:highlight w:val="none"/>
        </w:rPr>
        <w:t>登录政采云前台大厅选择金融服务-</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保函保险服务</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出具预付款保函，具体步骤：选择产品—填写供应商信息—选择中标项目—确认信息—等待保险/保函受理—确认保单—支付保费—成功出单。政采云金融专线400-903-9583。</w:t>
      </w:r>
      <w:r>
        <w:rPr>
          <w:rFonts w:hint="eastAsia" w:ascii="宋体" w:hAnsi="宋体" w:eastAsia="宋体" w:cs="宋体"/>
          <w:b w:val="0"/>
          <w:bCs w:val="0"/>
          <w:snapToGrid w:val="0"/>
          <w:color w:val="auto"/>
          <w:kern w:val="28"/>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80" w:name="_Toc4306"/>
      <w:bookmarkStart w:id="181" w:name="_Toc13335"/>
      <w:bookmarkStart w:id="182" w:name="_Toc32756"/>
      <w:bookmarkStart w:id="183" w:name="_Toc20034"/>
      <w:bookmarkStart w:id="184" w:name="_Toc15609"/>
      <w:r>
        <w:rPr>
          <w:rFonts w:hint="eastAsia" w:ascii="宋体" w:hAnsi="宋体" w:eastAsia="宋体" w:cs="宋体"/>
          <w:b/>
          <w:color w:val="auto"/>
          <w:sz w:val="28"/>
          <w:szCs w:val="28"/>
          <w:highlight w:val="none"/>
        </w:rPr>
        <w:t>八、电子交易活动的中止</w:t>
      </w:r>
      <w:bookmarkEnd w:id="180"/>
      <w:bookmarkEnd w:id="181"/>
      <w:bookmarkEnd w:id="182"/>
      <w:bookmarkEnd w:id="183"/>
      <w:bookmarkEnd w:id="184"/>
    </w:p>
    <w:p>
      <w:pPr>
        <w:pageBreakBefore w:val="0"/>
        <w:numPr>
          <w:ilvl w:val="0"/>
          <w:numId w:val="3"/>
        </w:numPr>
        <w:shd w:val="clear" w:color="auto" w:fill="auto"/>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电子交易平台发生故障而无法登录访问的； </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电子交易平台应用或数据库出现错误，不能进行正常操作的；</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电子交易平台发现严重安全漏洞，有潜在泄密危险的；</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病毒发作导致不能进行正常操作的； </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其他无法保证电子交易的公平、公正和安全的情况。</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bCs w:val="0"/>
          <w:color w:val="auto"/>
          <w:sz w:val="21"/>
          <w:szCs w:val="21"/>
          <w:highlight w:val="none"/>
        </w:rPr>
      </w:pPr>
      <w:bookmarkStart w:id="185" w:name="_Toc3012"/>
      <w:bookmarkStart w:id="186" w:name="_Toc26560"/>
      <w:bookmarkStart w:id="187" w:name="_Toc10484"/>
      <w:bookmarkStart w:id="188" w:name="_Toc22255"/>
      <w:bookmarkStart w:id="189" w:name="_Toc18558"/>
      <w:r>
        <w:rPr>
          <w:rFonts w:hint="eastAsia" w:ascii="宋体" w:hAnsi="宋体" w:eastAsia="宋体" w:cs="宋体"/>
          <w:b/>
          <w:bCs w:val="0"/>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85"/>
      <w:bookmarkEnd w:id="186"/>
      <w:bookmarkEnd w:id="187"/>
      <w:bookmarkEnd w:id="188"/>
      <w:bookmarkEnd w:id="189"/>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90" w:name="_Toc10604"/>
      <w:bookmarkStart w:id="191" w:name="_Toc11505"/>
      <w:bookmarkStart w:id="192" w:name="_Toc9374"/>
      <w:bookmarkStart w:id="193" w:name="_Toc18136"/>
      <w:bookmarkStart w:id="194" w:name="_Toc12995"/>
      <w:r>
        <w:rPr>
          <w:rFonts w:hint="eastAsia" w:ascii="宋体" w:hAnsi="宋体" w:eastAsia="宋体" w:cs="宋体"/>
          <w:b/>
          <w:color w:val="auto"/>
          <w:sz w:val="28"/>
          <w:szCs w:val="28"/>
          <w:highlight w:val="none"/>
        </w:rPr>
        <w:t>九、验收</w:t>
      </w:r>
      <w:bookmarkEnd w:id="190"/>
      <w:bookmarkEnd w:id="191"/>
      <w:bookmarkEnd w:id="192"/>
      <w:bookmarkEnd w:id="193"/>
      <w:bookmarkEnd w:id="194"/>
    </w:p>
    <w:bookmarkEnd w:id="144"/>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default" w:ascii="宋体" w:hAnsi="宋体" w:eastAsia="宋体" w:cs="宋体"/>
          <w:b/>
          <w:color w:val="auto"/>
          <w:sz w:val="24"/>
          <w:szCs w:val="24"/>
          <w:highlight w:val="none"/>
          <w:lang w:val="en-US" w:eastAsia="zh-CN"/>
        </w:rPr>
      </w:pPr>
      <w:bookmarkStart w:id="195" w:name="_Toc19604"/>
      <w:bookmarkStart w:id="196" w:name="_Toc23138"/>
      <w:bookmarkStart w:id="197" w:name="_Toc29978"/>
      <w:bookmarkStart w:id="198" w:name="_Toc31872"/>
      <w:bookmarkStart w:id="199" w:name="_Toc18919"/>
      <w:r>
        <w:rPr>
          <w:rFonts w:hint="default" w:ascii="宋体" w:hAnsi="宋体" w:eastAsia="宋体" w:cs="宋体"/>
          <w:b/>
          <w:color w:val="auto"/>
          <w:sz w:val="24"/>
          <w:szCs w:val="24"/>
          <w:highlight w:val="none"/>
          <w:lang w:val="en-US" w:eastAsia="zh-CN"/>
        </w:rPr>
        <w:t>验收</w:t>
      </w:r>
      <w:bookmarkEnd w:id="195"/>
      <w:bookmarkEnd w:id="196"/>
      <w:bookmarkEnd w:id="197"/>
      <w:bookmarkEnd w:id="198"/>
      <w:bookmarkEnd w:id="199"/>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bookmarkStart w:id="200" w:name="_Toc7100"/>
      <w:bookmarkStart w:id="201" w:name="_Toc1190"/>
      <w:bookmarkStart w:id="202" w:name="_Toc31015"/>
      <w:r>
        <w:rPr>
          <w:rFonts w:hint="eastAsia" w:ascii="宋体" w:hAnsi="宋体" w:eastAsia="宋体" w:cs="宋体"/>
          <w:color w:val="auto"/>
          <w:kern w:val="0"/>
          <w:sz w:val="21"/>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采购人可以邀请参加本项目商谈供应商或者第三方机构参与验收。参与验收的商谈供应商或者第三方机构的意见作为验收书的参考资料一并存档。</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hint="eastAsia" w:ascii="宋体" w:hAnsi="宋体" w:eastAsia="宋体" w:cs="宋体"/>
          <w:color w:val="auto"/>
          <w:kern w:val="0"/>
          <w:sz w:val="21"/>
          <w:szCs w:val="21"/>
          <w:highlight w:val="none"/>
          <w:lang w:val="en-US" w:eastAsia="zh-CN"/>
        </w:rPr>
        <w:t>门。</w:t>
      </w:r>
    </w:p>
    <w:p>
      <w:pPr>
        <w:pageBreakBefore w:val="0"/>
        <w:numPr>
          <w:ilvl w:val="1"/>
          <w:numId w:val="3"/>
        </w:numPr>
        <w:shd w:val="clear" w:color="auto" w:fill="auto"/>
        <w:kinsoku/>
        <w:wordWrap/>
        <w:overflowPunct/>
        <w:topLinePunct w:val="0"/>
        <w:autoSpaceDE/>
        <w:autoSpaceDN/>
        <w:bidi w:val="0"/>
        <w:adjustRightInd/>
        <w:snapToGrid w:val="0"/>
        <w:spacing w:line="360" w:lineRule="auto"/>
        <w:textAlignment w:val="auto"/>
        <w:rPr>
          <w:rFonts w:hint="default"/>
          <w:color w:val="auto"/>
          <w:highlight w:val="none"/>
          <w:lang w:val="en-US"/>
        </w:rPr>
      </w:pPr>
      <w:r>
        <w:rPr>
          <w:rFonts w:hint="eastAsia" w:cs="宋体"/>
          <w:b/>
          <w:bCs/>
          <w:color w:val="auto"/>
          <w:highlight w:val="none"/>
          <w:lang w:val="en-US" w:eastAsia="zh-CN"/>
        </w:rPr>
        <w:t>政府采购履约验收书（参考模板）详见附件4</w:t>
      </w:r>
      <w:bookmarkEnd w:id="200"/>
      <w:bookmarkEnd w:id="201"/>
      <w:bookmarkEnd w:id="202"/>
      <w:r>
        <w:rPr>
          <w:rFonts w:hint="eastAsia" w:cs="宋体"/>
          <w:b/>
          <w:bCs/>
          <w:color w:val="auto"/>
          <w:highlight w:val="none"/>
          <w:lang w:val="en-US" w:eastAsia="zh-CN"/>
        </w:rPr>
        <w:t>。</w:t>
      </w:r>
    </w:p>
    <w:p>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lang w:eastAsia="zh-CN"/>
        </w:rPr>
      </w:pPr>
      <w:bookmarkStart w:id="203" w:name="_Toc8247"/>
      <w:bookmarkStart w:id="204" w:name="_Toc11347"/>
      <w:bookmarkStart w:id="205" w:name="_Toc22933"/>
      <w:bookmarkStart w:id="206" w:name="_Toc31319"/>
      <w:bookmarkStart w:id="207" w:name="_Toc19795"/>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代理服务费</w:t>
      </w:r>
      <w:bookmarkEnd w:id="203"/>
      <w:bookmarkEnd w:id="204"/>
      <w:bookmarkEnd w:id="205"/>
      <w:bookmarkEnd w:id="206"/>
      <w:bookmarkEnd w:id="207"/>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208" w:name="_Toc7054"/>
      <w:bookmarkStart w:id="209" w:name="_Toc24399"/>
      <w:bookmarkStart w:id="210" w:name="_Toc29416"/>
      <w:bookmarkStart w:id="211" w:name="_Toc573"/>
      <w:bookmarkStart w:id="212" w:name="_Toc18551"/>
      <w:r>
        <w:rPr>
          <w:rFonts w:hint="eastAsia" w:ascii="宋体" w:hAnsi="宋体" w:eastAsia="宋体" w:cs="宋体"/>
          <w:b/>
          <w:color w:val="auto"/>
          <w:sz w:val="24"/>
          <w:szCs w:val="24"/>
          <w:highlight w:val="none"/>
        </w:rPr>
        <w:t>代理服务费</w:t>
      </w:r>
      <w:bookmarkEnd w:id="208"/>
      <w:bookmarkEnd w:id="209"/>
      <w:bookmarkEnd w:id="210"/>
      <w:bookmarkEnd w:id="211"/>
      <w:bookmarkEnd w:id="212"/>
    </w:p>
    <w:p>
      <w:pPr>
        <w:pageBreakBefore w:val="0"/>
        <w:numPr>
          <w:ilvl w:val="1"/>
          <w:numId w:val="3"/>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sectPr>
          <w:headerReference r:id="rId9" w:type="first"/>
          <w:footerReference r:id="rId12" w:type="first"/>
          <w:headerReference r:id="rId8" w:type="default"/>
          <w:footerReference r:id="rId10" w:type="default"/>
          <w:footerReference r:id="rId11" w:type="even"/>
          <w:pgSz w:w="11906" w:h="16838"/>
          <w:pgMar w:top="680" w:right="1418" w:bottom="468"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宋体" w:hAnsi="宋体" w:eastAsia="宋体" w:cs="宋体"/>
          <w:color w:val="auto"/>
          <w:sz w:val="21"/>
          <w:szCs w:val="21"/>
          <w:highlight w:val="none"/>
          <w:lang w:val="en-US" w:eastAsia="zh-CN"/>
        </w:rPr>
        <w:t>经采购人和采购代理机构双方协商，本次采购代理服务费由成交供应商支付，采购代理服务费按中标金额根据发改办价格（2003）857号文件及国家计委印发的《招标代理服务收费管理暂行办法》计价格【2002】1980号文件的收费标准，不足捌仟元按捌仟元收取。采购代理服务费不在报价中单列，请供应商在报价时予以考虑。</w:t>
      </w:r>
    </w:p>
    <w:p>
      <w:pPr>
        <w:pStyle w:val="3"/>
        <w:keepNext w:val="0"/>
        <w:keepLines w:val="0"/>
        <w:pageBreakBefore/>
        <w:shd w:val="clear" w:color="auto" w:fill="auto"/>
        <w:tabs>
          <w:tab w:val="left" w:pos="840"/>
        </w:tabs>
        <w:spacing w:before="120" w:beforeLines="50" w:after="0" w:line="400" w:lineRule="exact"/>
        <w:jc w:val="center"/>
        <w:rPr>
          <w:rFonts w:hint="default" w:ascii="宋体" w:hAnsi="宋体" w:eastAsia="宋体" w:cs="宋体"/>
          <w:color w:val="auto"/>
          <w:sz w:val="32"/>
          <w:szCs w:val="40"/>
          <w:highlight w:val="none"/>
          <w:lang w:val="en-US" w:eastAsia="zh-CN"/>
        </w:rPr>
      </w:pPr>
      <w:bookmarkStart w:id="213" w:name="_Toc26365"/>
      <w:bookmarkStart w:id="214" w:name="_Toc1558"/>
      <w:r>
        <w:rPr>
          <w:rFonts w:hint="eastAsia" w:ascii="宋体" w:hAnsi="宋体" w:eastAsia="宋体" w:cs="宋体"/>
          <w:color w:val="auto"/>
          <w:sz w:val="32"/>
          <w:szCs w:val="40"/>
          <w:highlight w:val="none"/>
        </w:rPr>
        <w:t xml:space="preserve">第三部分  </w:t>
      </w:r>
      <w:bookmarkEnd w:id="18"/>
      <w:bookmarkEnd w:id="19"/>
      <w:bookmarkEnd w:id="20"/>
      <w:bookmarkEnd w:id="21"/>
      <w:r>
        <w:rPr>
          <w:rFonts w:hint="eastAsia" w:ascii="宋体" w:hAnsi="宋体" w:eastAsia="宋体" w:cs="宋体"/>
          <w:color w:val="auto"/>
          <w:sz w:val="32"/>
          <w:szCs w:val="40"/>
          <w:highlight w:val="none"/>
          <w:lang w:val="en-US" w:eastAsia="zh-CN"/>
        </w:rPr>
        <w:t>采购需求</w:t>
      </w:r>
      <w:bookmarkEnd w:id="213"/>
      <w:bookmarkEnd w:id="214"/>
    </w:p>
    <w:bookmarkEnd w:id="22"/>
    <w:bookmarkEnd w:id="23"/>
    <w:bookmarkEnd w:id="24"/>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ascii="Arial" w:hAnsi="Arial" w:cs="Arial"/>
          <w:b/>
          <w:color w:val="auto"/>
          <w:sz w:val="24"/>
          <w:szCs w:val="24"/>
          <w:highlight w:val="none"/>
        </w:rPr>
      </w:pPr>
      <w:bookmarkStart w:id="215" w:name="_Toc13422"/>
      <w:bookmarkStart w:id="216" w:name="_Toc30782"/>
      <w:bookmarkStart w:id="217" w:name="_Toc4808"/>
      <w:bookmarkStart w:id="218" w:name="_Toc360612898"/>
      <w:bookmarkStart w:id="219" w:name="_Hlk522626211"/>
    </w:p>
    <w:bookmarkEnd w:id="215"/>
    <w:bookmarkEnd w:id="216"/>
    <w:bookmarkEnd w:id="217"/>
    <w:p>
      <w:pPr>
        <w:pStyle w:val="26"/>
        <w:keepNext w:val="0"/>
        <w:keepLines w:val="0"/>
        <w:pageBreakBefore w:val="0"/>
        <w:widowControl w:val="0"/>
        <w:numPr>
          <w:ilvl w:val="0"/>
          <w:numId w:val="5"/>
        </w:numPr>
        <w:shd w:val="clear" w:color="auto" w:fill="auto"/>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ascii="Arial" w:hAnsi="Arial" w:eastAsia="宋体" w:cs="Arial"/>
          <w:b/>
          <w:color w:val="auto"/>
          <w:sz w:val="24"/>
          <w:szCs w:val="24"/>
          <w:highlight w:val="none"/>
        </w:rPr>
      </w:pPr>
      <w:bookmarkStart w:id="220" w:name="_Toc1268"/>
      <w:bookmarkStart w:id="221" w:name="_Toc9501"/>
      <w:bookmarkStart w:id="222" w:name="_Toc22194"/>
      <w:bookmarkStart w:id="223" w:name="_Toc3427"/>
      <w:bookmarkStart w:id="224" w:name="_Toc13693"/>
      <w:bookmarkStart w:id="225" w:name="_Toc15112"/>
      <w:bookmarkStart w:id="226" w:name="_Toc9149"/>
      <w:bookmarkStart w:id="227" w:name="_Toc14578"/>
      <w:bookmarkStart w:id="228" w:name="_Toc16183"/>
      <w:bookmarkStart w:id="229" w:name="_Toc482111283"/>
      <w:bookmarkStart w:id="230" w:name="_Toc928"/>
      <w:bookmarkStart w:id="231" w:name="_Toc23282"/>
      <w:bookmarkStart w:id="232" w:name="_Toc7411"/>
      <w:bookmarkStart w:id="233" w:name="_Toc25602"/>
      <w:bookmarkStart w:id="234" w:name="_Toc13962"/>
      <w:r>
        <w:rPr>
          <w:rFonts w:hint="eastAsia" w:ascii="Arial" w:hAnsi="Arial" w:eastAsia="宋体" w:cs="Arial"/>
          <w:b/>
          <w:color w:val="auto"/>
          <w:sz w:val="24"/>
          <w:szCs w:val="24"/>
          <w:highlight w:val="none"/>
        </w:rPr>
        <w:t>概述</w:t>
      </w:r>
      <w:bookmarkEnd w:id="220"/>
      <w:bookmarkEnd w:id="221"/>
      <w:bookmarkEnd w:id="222"/>
      <w:bookmarkEnd w:id="223"/>
      <w:bookmarkEnd w:id="224"/>
      <w:bookmarkEnd w:id="225"/>
      <w:bookmarkEnd w:id="226"/>
      <w:bookmarkEnd w:id="227"/>
      <w:bookmarkEnd w:id="228"/>
      <w:bookmarkEnd w:id="229"/>
      <w:bookmarkEnd w:id="230"/>
    </w:p>
    <w:p>
      <w:pPr>
        <w:numPr>
          <w:ilvl w:val="0"/>
          <w:numId w:val="6"/>
        </w:numPr>
        <w:snapToGrid w:val="0"/>
        <w:spacing w:line="360" w:lineRule="auto"/>
        <w:ind w:left="0" w:leftChars="0" w:firstLine="0" w:firstLineChars="0"/>
        <w:rPr>
          <w:rFonts w:hint="eastAsia" w:ascii="宋体" w:hAnsi="宋体" w:eastAsia="宋体" w:cs="Times New Roman"/>
          <w:b w:val="0"/>
          <w:bCs/>
          <w:color w:val="000000"/>
          <w:szCs w:val="21"/>
          <w:highlight w:val="none"/>
        </w:rPr>
      </w:pPr>
      <w:r>
        <w:rPr>
          <w:rFonts w:hint="eastAsia" w:ascii="宋体" w:hAnsi="宋体" w:cs="Times New Roman"/>
          <w:b w:val="0"/>
          <w:bCs/>
          <w:color w:val="000000"/>
          <w:szCs w:val="21"/>
          <w:highlight w:val="none"/>
          <w:lang w:eastAsia="zh-CN"/>
        </w:rPr>
        <w:t>商谈供应商</w:t>
      </w:r>
      <w:r>
        <w:rPr>
          <w:rFonts w:hint="eastAsia" w:ascii="宋体" w:hAnsi="宋体" w:eastAsia="宋体" w:cs="Times New Roman"/>
          <w:b w:val="0"/>
          <w:bCs/>
          <w:color w:val="000000"/>
          <w:szCs w:val="21"/>
          <w:highlight w:val="none"/>
        </w:rPr>
        <w:t>必须完成招标内容和合同规定义务，不允许只对部分内容进行报价。</w:t>
      </w:r>
    </w:p>
    <w:p>
      <w:pPr>
        <w:numPr>
          <w:ilvl w:val="0"/>
          <w:numId w:val="6"/>
        </w:numPr>
        <w:snapToGrid w:val="0"/>
        <w:spacing w:line="360" w:lineRule="auto"/>
        <w:ind w:left="0" w:leftChars="0" w:firstLine="0" w:firstLineChars="0"/>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本次采购设一个标项，</w:t>
      </w:r>
      <w:r>
        <w:rPr>
          <w:rFonts w:hint="eastAsia" w:ascii="宋体" w:hAnsi="宋体" w:cs="Times New Roman"/>
          <w:b w:val="0"/>
          <w:bCs/>
          <w:color w:val="000000"/>
          <w:szCs w:val="21"/>
          <w:highlight w:val="none"/>
          <w:lang w:eastAsia="zh-CN"/>
        </w:rPr>
        <w:t>商谈供应商</w:t>
      </w:r>
      <w:r>
        <w:rPr>
          <w:rFonts w:hint="eastAsia" w:ascii="宋体" w:hAnsi="宋体" w:eastAsia="宋体" w:cs="Times New Roman"/>
          <w:b w:val="0"/>
          <w:bCs/>
          <w:color w:val="000000"/>
          <w:szCs w:val="21"/>
          <w:highlight w:val="none"/>
        </w:rPr>
        <w:t>必须对全部采购内容进行投标，不允许只对其中部分内容进行投标，谢绝联合投标。</w:t>
      </w:r>
    </w:p>
    <w:p>
      <w:pPr>
        <w:numPr>
          <w:ilvl w:val="0"/>
          <w:numId w:val="6"/>
        </w:numPr>
        <w:snapToGrid w:val="0"/>
        <w:spacing w:line="360" w:lineRule="auto"/>
        <w:ind w:left="0" w:leftChars="0" w:firstLine="0" w:firstLineChars="0"/>
        <w:rPr>
          <w:rFonts w:hint="eastAsia" w:ascii="宋体" w:hAnsi="宋体" w:eastAsia="宋体" w:cs="Times New Roman"/>
          <w:b/>
          <w:bCs w:val="0"/>
          <w:color w:val="000000"/>
          <w:szCs w:val="21"/>
          <w:highlight w:val="none"/>
        </w:rPr>
      </w:pPr>
      <w:r>
        <w:rPr>
          <w:rFonts w:hint="eastAsia" w:ascii="宋体" w:hAnsi="宋体" w:eastAsia="宋体" w:cs="Times New Roman"/>
          <w:b/>
          <w:bCs w:val="0"/>
          <w:color w:val="000000"/>
          <w:szCs w:val="21"/>
          <w:highlight w:val="none"/>
        </w:rPr>
        <w:t>现场踏勘：商谈供应商于投标截止时间前自行到现场进行踏勘 ，以获取本次投标所需的现场资料及数据，</w:t>
      </w:r>
      <w:r>
        <w:rPr>
          <w:rFonts w:hint="eastAsia" w:ascii="宋体" w:hAnsi="宋体" w:cs="Times New Roman"/>
          <w:b/>
          <w:bCs w:val="0"/>
          <w:color w:val="000000"/>
          <w:szCs w:val="21"/>
          <w:highlight w:val="none"/>
          <w:lang w:eastAsia="zh-CN"/>
        </w:rPr>
        <w:t>商谈供应商</w:t>
      </w:r>
      <w:r>
        <w:rPr>
          <w:rFonts w:hint="eastAsia" w:ascii="宋体" w:hAnsi="宋体" w:eastAsia="宋体" w:cs="Times New Roman"/>
          <w:b/>
          <w:bCs w:val="0"/>
          <w:color w:val="000000"/>
          <w:szCs w:val="21"/>
          <w:highlight w:val="none"/>
        </w:rPr>
        <w:t>若未到现场踏勘，引起的一切后果均由其自行负责，由此造成投标价的偏差均不予调整。现场踏勘费用自理。</w:t>
      </w:r>
    </w:p>
    <w:p>
      <w:pPr>
        <w:numPr>
          <w:ilvl w:val="0"/>
          <w:numId w:val="6"/>
        </w:numPr>
        <w:snapToGrid w:val="0"/>
        <w:spacing w:line="360" w:lineRule="auto"/>
        <w:ind w:left="0" w:leftChars="0" w:firstLine="0" w:firstLineChars="0"/>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本次采购的服务所涉及的产品标准、规范、验收标准、应符合国家有关条例及规范。如有新的标准应采纳新标准。</w:t>
      </w:r>
    </w:p>
    <w:bookmarkEnd w:id="231"/>
    <w:bookmarkEnd w:id="232"/>
    <w:bookmarkEnd w:id="233"/>
    <w:bookmarkEnd w:id="234"/>
    <w:p>
      <w:pPr>
        <w:pStyle w:val="26"/>
        <w:keepNext w:val="0"/>
        <w:keepLines w:val="0"/>
        <w:pageBreakBefore w:val="0"/>
        <w:widowControl w:val="0"/>
        <w:numPr>
          <w:ilvl w:val="0"/>
          <w:numId w:val="5"/>
        </w:numPr>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color w:val="auto"/>
          <w:highlight w:val="none"/>
        </w:rPr>
      </w:pPr>
      <w:bookmarkStart w:id="235" w:name="_Toc549"/>
      <w:bookmarkStart w:id="236" w:name="_Toc24734"/>
      <w:bookmarkStart w:id="237" w:name="_Toc20930"/>
      <w:bookmarkStart w:id="238" w:name="_Toc600"/>
      <w:bookmarkStart w:id="239" w:name="_Toc21314"/>
      <w:r>
        <w:rPr>
          <w:rFonts w:hint="eastAsia" w:ascii="宋体" w:hAnsi="宋体" w:eastAsia="宋体" w:cs="Times New Roman"/>
          <w:b/>
          <w:color w:val="auto"/>
          <w:sz w:val="24"/>
          <w:szCs w:val="24"/>
          <w:highlight w:val="none"/>
        </w:rPr>
        <w:t>采购内容及技术要求</w:t>
      </w:r>
      <w:bookmarkEnd w:id="235"/>
      <w:bookmarkEnd w:id="236"/>
      <w:bookmarkEnd w:id="237"/>
      <w:bookmarkEnd w:id="238"/>
      <w:bookmarkEnd w:id="239"/>
    </w:p>
    <w:bookmarkEnd w:id="218"/>
    <w:bookmarkEnd w:id="219"/>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eastAsia"/>
          <w:color w:val="auto"/>
          <w:highlight w:val="none"/>
        </w:rPr>
      </w:pPr>
      <w:bookmarkStart w:id="240" w:name="_Toc28784"/>
      <w:bookmarkStart w:id="241" w:name="_Toc454832207"/>
      <w:bookmarkStart w:id="242" w:name="_Toc474156092"/>
      <w:r>
        <w:rPr>
          <w:rFonts w:hint="eastAsia"/>
          <w:b/>
          <w:bCs/>
          <w:color w:val="auto"/>
          <w:highlight w:val="none"/>
        </w:rPr>
        <w:t>项目名称：</w:t>
      </w:r>
      <w:r>
        <w:rPr>
          <w:rFonts w:hint="eastAsia"/>
          <w:color w:val="auto"/>
          <w:highlight w:val="none"/>
          <w:lang w:eastAsia="zh-CN"/>
        </w:rPr>
        <w:t>2024年度瑞安市供销合作社联合社农资应急储备项目（重）</w:t>
      </w:r>
      <w:r>
        <w:rPr>
          <w:rFonts w:hint="eastAsia"/>
          <w:color w:val="auto"/>
          <w:highlight w:val="none"/>
        </w:rPr>
        <w:t>。</w:t>
      </w:r>
    </w:p>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eastAsia"/>
          <w:color w:val="auto"/>
          <w:highlight w:val="none"/>
          <w:lang w:eastAsia="zh-CN"/>
        </w:rPr>
      </w:pPr>
      <w:r>
        <w:rPr>
          <w:rFonts w:hint="eastAsia"/>
          <w:b/>
          <w:bCs/>
          <w:color w:val="auto"/>
          <w:highlight w:val="none"/>
        </w:rPr>
        <w:t>服务区域</w:t>
      </w:r>
      <w:r>
        <w:rPr>
          <w:rFonts w:hint="eastAsia"/>
          <w:b/>
          <w:bCs/>
          <w:color w:val="auto"/>
          <w:highlight w:val="none"/>
          <w:lang w:eastAsia="zh-CN"/>
        </w:rPr>
        <w:t>：</w:t>
      </w:r>
      <w:r>
        <w:rPr>
          <w:rFonts w:hint="eastAsia"/>
          <w:color w:val="auto"/>
          <w:highlight w:val="none"/>
          <w:lang w:eastAsia="zh-CN"/>
        </w:rPr>
        <w:t>温州市区域范围。</w:t>
      </w:r>
    </w:p>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eastAsia" w:ascii="宋体" w:hAnsi="宋体" w:eastAsia="宋体" w:cs="宋体"/>
          <w:color w:val="auto"/>
          <w:highlight w:val="none"/>
        </w:rPr>
      </w:pPr>
      <w:r>
        <w:rPr>
          <w:rFonts w:hint="eastAsia"/>
          <w:b/>
          <w:bCs/>
          <w:color w:val="auto"/>
          <w:highlight w:val="none"/>
        </w:rPr>
        <w:t>服务时间：</w:t>
      </w:r>
      <w:r>
        <w:rPr>
          <w:rFonts w:hint="eastAsia"/>
          <w:color w:val="auto"/>
          <w:highlight w:val="none"/>
          <w:lang w:eastAsia="zh-CN"/>
        </w:rPr>
        <w:t>202</w:t>
      </w:r>
      <w:r>
        <w:rPr>
          <w:rFonts w:hint="eastAsia"/>
          <w:color w:val="auto"/>
          <w:highlight w:val="none"/>
          <w:lang w:val="en-US" w:eastAsia="zh-CN"/>
        </w:rPr>
        <w:t>4</w:t>
      </w:r>
      <w:r>
        <w:rPr>
          <w:rFonts w:hint="eastAsia"/>
          <w:color w:val="auto"/>
          <w:highlight w:val="none"/>
          <w:lang w:eastAsia="zh-CN"/>
        </w:rPr>
        <w:t>年4月至202</w:t>
      </w:r>
      <w:r>
        <w:rPr>
          <w:rFonts w:hint="eastAsia"/>
          <w:color w:val="auto"/>
          <w:highlight w:val="none"/>
          <w:lang w:val="en-US" w:eastAsia="zh-CN"/>
        </w:rPr>
        <w:t>4</w:t>
      </w:r>
      <w:r>
        <w:rPr>
          <w:rFonts w:hint="eastAsia"/>
          <w:color w:val="auto"/>
          <w:highlight w:val="none"/>
          <w:lang w:eastAsia="zh-CN"/>
        </w:rPr>
        <w:t>年9月（以采购人需求为准）</w:t>
      </w:r>
      <w:r>
        <w:rPr>
          <w:rFonts w:hint="eastAsia"/>
          <w:color w:val="auto"/>
          <w:highlight w:val="none"/>
        </w:rPr>
        <w:t>。</w:t>
      </w:r>
    </w:p>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eastAsia"/>
          <w:color w:val="auto"/>
          <w:highlight w:val="none"/>
          <w:lang w:val="en-US" w:eastAsia="zh-CN"/>
        </w:rPr>
      </w:pPr>
      <w:r>
        <w:rPr>
          <w:rFonts w:hint="eastAsia"/>
          <w:b/>
          <w:bCs/>
          <w:color w:val="auto"/>
          <w:highlight w:val="none"/>
          <w:lang w:val="en-US" w:eastAsia="zh-CN"/>
        </w:rPr>
        <w:t>储备任务：</w:t>
      </w:r>
      <w:r>
        <w:rPr>
          <w:rFonts w:hint="eastAsia"/>
          <w:color w:val="auto"/>
          <w:highlight w:val="none"/>
          <w:lang w:val="en-US" w:eastAsia="zh-CN"/>
        </w:rPr>
        <w:t>化肥1800吨，其中尿素800吨，有机肥、复合肥1000吨（配方肥达到70%以上）。</w:t>
      </w:r>
    </w:p>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eastAsia"/>
          <w:color w:val="auto"/>
          <w:highlight w:val="none"/>
          <w:lang w:val="en-US" w:eastAsia="zh-CN"/>
        </w:rPr>
      </w:pPr>
      <w:r>
        <w:rPr>
          <w:rFonts w:hint="eastAsia"/>
          <w:b/>
          <w:bCs/>
          <w:color w:val="auto"/>
          <w:highlight w:val="none"/>
          <w:lang w:val="en-US" w:eastAsia="zh-CN"/>
        </w:rPr>
        <w:t>储备要求：</w:t>
      </w:r>
      <w:r>
        <w:rPr>
          <w:rFonts w:hint="eastAsia"/>
          <w:color w:val="auto"/>
          <w:highlight w:val="none"/>
          <w:lang w:val="en-US" w:eastAsia="zh-CN"/>
        </w:rPr>
        <w:t>常年储备，定期轮换，确保化肥质量。</w:t>
      </w:r>
    </w:p>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default"/>
          <w:b/>
          <w:bCs/>
          <w:color w:val="auto"/>
          <w:highlight w:val="none"/>
          <w:lang w:val="en-US" w:eastAsia="zh-CN"/>
        </w:rPr>
      </w:pPr>
      <w:r>
        <w:rPr>
          <w:rFonts w:hint="eastAsia"/>
          <w:b/>
          <w:bCs/>
          <w:color w:val="auto"/>
          <w:highlight w:val="none"/>
        </w:rPr>
        <w:t>农资储备服务要求</w:t>
      </w:r>
      <w:r>
        <w:rPr>
          <w:rFonts w:hint="eastAsia"/>
          <w:b/>
          <w:bCs/>
          <w:color w:val="auto"/>
          <w:highlight w:val="none"/>
          <w:lang w:val="en-US" w:eastAsia="zh-CN"/>
        </w:rPr>
        <w:t>:</w:t>
      </w:r>
    </w:p>
    <w:p>
      <w:pPr>
        <w:pStyle w:val="38"/>
        <w:keepNext w:val="0"/>
        <w:keepLines w:val="0"/>
        <w:pageBreakBefore w:val="0"/>
        <w:widowControl w:val="0"/>
        <w:numPr>
          <w:ilvl w:val="0"/>
          <w:numId w:val="8"/>
        </w:numPr>
        <w:kinsoku/>
        <w:wordWrap/>
        <w:overflowPunct/>
        <w:topLinePunct w:val="0"/>
        <w:autoSpaceDE/>
        <w:autoSpaceDN/>
        <w:bidi w:val="0"/>
        <w:snapToGrid/>
        <w:spacing w:line="360" w:lineRule="auto"/>
        <w:ind w:left="5" w:leftChars="0" w:firstLine="415"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做好农资储备方案，有足够能力完成本次农资储备任务。</w:t>
      </w:r>
    </w:p>
    <w:p>
      <w:pPr>
        <w:pStyle w:val="38"/>
        <w:keepNext w:val="0"/>
        <w:keepLines w:val="0"/>
        <w:pageBreakBefore w:val="0"/>
        <w:widowControl w:val="0"/>
        <w:numPr>
          <w:ilvl w:val="0"/>
          <w:numId w:val="8"/>
        </w:numPr>
        <w:kinsoku/>
        <w:wordWrap/>
        <w:overflowPunct/>
        <w:topLinePunct w:val="0"/>
        <w:autoSpaceDE/>
        <w:autoSpaceDN/>
        <w:bidi w:val="0"/>
        <w:snapToGrid/>
        <w:spacing w:line="360" w:lineRule="auto"/>
        <w:ind w:left="5" w:leftChars="0" w:firstLine="415"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切实保障化肥入库储备工作，及时轮换，确保化肥质量，做好农资定期轮换方案，定期检查本次储备的农资产品质量，及时销售轮换下来的农资产品，不压货，不变质。</w:t>
      </w:r>
    </w:p>
    <w:p>
      <w:pPr>
        <w:pStyle w:val="38"/>
        <w:keepNext w:val="0"/>
        <w:keepLines w:val="0"/>
        <w:pageBreakBefore w:val="0"/>
        <w:widowControl w:val="0"/>
        <w:numPr>
          <w:ilvl w:val="0"/>
          <w:numId w:val="8"/>
        </w:numPr>
        <w:kinsoku/>
        <w:wordWrap/>
        <w:overflowPunct/>
        <w:topLinePunct w:val="0"/>
        <w:autoSpaceDE/>
        <w:autoSpaceDN/>
        <w:bidi w:val="0"/>
        <w:snapToGrid/>
        <w:spacing w:line="360" w:lineRule="auto"/>
        <w:ind w:left="5" w:leftChars="0" w:firstLine="415"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制定应急预案，保证在各种情况下，确保化肥应急正常到位：切实考虑瑞安本地气候、交通、仓储业耕作习惯，制定应急预案，确保在恶劣天气、交通不便、市面农资产品流通不足等极端情况下采购人能及时取用农资储备产品。</w:t>
      </w:r>
    </w:p>
    <w:p>
      <w:pPr>
        <w:pStyle w:val="38"/>
        <w:keepNext w:val="0"/>
        <w:keepLines w:val="0"/>
        <w:pageBreakBefore w:val="0"/>
        <w:widowControl w:val="0"/>
        <w:numPr>
          <w:ilvl w:val="0"/>
          <w:numId w:val="8"/>
        </w:numPr>
        <w:kinsoku/>
        <w:wordWrap/>
        <w:overflowPunct/>
        <w:topLinePunct w:val="0"/>
        <w:autoSpaceDE/>
        <w:autoSpaceDN/>
        <w:bidi w:val="0"/>
        <w:snapToGrid/>
        <w:spacing w:line="360" w:lineRule="auto"/>
        <w:ind w:left="5" w:leftChars="0" w:firstLine="415"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接受瑞安市供销合作社联合社定期检查。</w:t>
      </w:r>
    </w:p>
    <w:p>
      <w:pPr>
        <w:pStyle w:val="38"/>
        <w:keepNext w:val="0"/>
        <w:keepLines w:val="0"/>
        <w:pageBreakBefore w:val="0"/>
        <w:widowControl w:val="0"/>
        <w:numPr>
          <w:ilvl w:val="0"/>
          <w:numId w:val="8"/>
        </w:numPr>
        <w:kinsoku/>
        <w:wordWrap/>
        <w:overflowPunct/>
        <w:topLinePunct w:val="0"/>
        <w:autoSpaceDE/>
        <w:autoSpaceDN/>
        <w:bidi w:val="0"/>
        <w:snapToGrid/>
        <w:spacing w:line="360" w:lineRule="auto"/>
        <w:ind w:left="5" w:leftChars="0" w:firstLine="415" w:firstLineChars="0"/>
        <w:rPr>
          <w:rFonts w:hint="eastAsia" w:eastAsia="宋体"/>
          <w:color w:val="auto"/>
          <w:highlight w:val="none"/>
          <w:lang w:val="en-US" w:eastAsia="zh-CN"/>
        </w:rPr>
      </w:pPr>
      <w:r>
        <w:rPr>
          <w:rFonts w:hint="eastAsia" w:ascii="宋体" w:hAnsi="宋体" w:cs="宋体"/>
          <w:color w:val="auto"/>
          <w:kern w:val="0"/>
          <w:sz w:val="22"/>
          <w:szCs w:val="22"/>
          <w:highlight w:val="none"/>
        </w:rPr>
        <w:t>仓储</w:t>
      </w:r>
      <w:r>
        <w:rPr>
          <w:rFonts w:hint="eastAsia" w:ascii="宋体" w:hAnsi="宋体" w:cs="宋体"/>
          <w:color w:val="auto"/>
          <w:kern w:val="0"/>
          <w:sz w:val="22"/>
          <w:szCs w:val="22"/>
          <w:highlight w:val="none"/>
          <w:lang w:val="en-US" w:eastAsia="zh-CN"/>
        </w:rPr>
        <w:t>场地</w:t>
      </w:r>
      <w:r>
        <w:rPr>
          <w:rFonts w:hint="eastAsia" w:hAnsi="宋体" w:cs="宋体"/>
          <w:color w:val="auto"/>
          <w:kern w:val="0"/>
          <w:sz w:val="22"/>
          <w:szCs w:val="22"/>
          <w:highlight w:val="none"/>
          <w:lang w:val="en-US" w:eastAsia="zh-CN"/>
        </w:rPr>
        <w:t>要求：在</w:t>
      </w:r>
      <w:r>
        <w:rPr>
          <w:rFonts w:hint="eastAsia"/>
          <w:color w:val="auto"/>
          <w:highlight w:val="none"/>
          <w:lang w:eastAsia="zh-CN"/>
        </w:rPr>
        <w:t>温州市区域范围</w:t>
      </w:r>
      <w:r>
        <w:rPr>
          <w:rFonts w:hint="eastAsia"/>
          <w:color w:val="auto"/>
          <w:highlight w:val="none"/>
          <w:lang w:val="en-US" w:eastAsia="zh-CN"/>
        </w:rPr>
        <w:t>内具备能够保障贮备任务的仓储场地，可为</w:t>
      </w:r>
      <w:r>
        <w:rPr>
          <w:rFonts w:hint="eastAsia" w:ascii="宋体" w:hAnsi="宋体" w:eastAsia="宋体" w:cs="宋体"/>
          <w:b w:val="0"/>
          <w:bCs w:val="0"/>
          <w:color w:val="auto"/>
          <w:sz w:val="21"/>
          <w:szCs w:val="21"/>
          <w:highlight w:val="none"/>
          <w:lang w:eastAsia="zh-CN"/>
        </w:rPr>
        <w:t>自有场地或租赁场地，且面积至少达到1200㎡。（拥有自有场地的，需提供产权证明；拥有租赁场地的，需提供租赁协议和租赁场地的产权证明）</w:t>
      </w:r>
      <w:r>
        <w:rPr>
          <w:rFonts w:hint="eastAsia" w:ascii="Arial" w:hAnsi="宋体" w:cs="Arial"/>
          <w:color w:val="auto"/>
          <w:highlight w:val="none"/>
        </w:rPr>
        <w:t xml:space="preserve"> </w:t>
      </w:r>
    </w:p>
    <w:p>
      <w:pPr>
        <w:keepNext w:val="0"/>
        <w:keepLines w:val="0"/>
        <w:pageBreakBefore w:val="0"/>
        <w:widowControl w:val="0"/>
        <w:numPr>
          <w:ilvl w:val="0"/>
          <w:numId w:val="7"/>
        </w:numPr>
        <w:kinsoku/>
        <w:wordWrap/>
        <w:overflowPunct/>
        <w:topLinePunct w:val="0"/>
        <w:autoSpaceDE/>
        <w:autoSpaceDN/>
        <w:bidi w:val="0"/>
        <w:snapToGrid/>
        <w:spacing w:line="360" w:lineRule="auto"/>
        <w:ind w:left="0" w:leftChars="0" w:firstLine="420" w:firstLineChars="0"/>
        <w:rPr>
          <w:rFonts w:hint="eastAsia" w:eastAsia="宋体"/>
          <w:b/>
          <w:bCs/>
          <w:color w:val="auto"/>
          <w:highlight w:val="none"/>
          <w:lang w:eastAsia="zh-CN"/>
        </w:rPr>
      </w:pPr>
      <w:r>
        <w:rPr>
          <w:rFonts w:hint="eastAsia"/>
          <w:b/>
          <w:bCs/>
          <w:color w:val="auto"/>
          <w:highlight w:val="none"/>
          <w:lang w:val="en-US" w:eastAsia="zh-CN"/>
        </w:rPr>
        <w:t>报价</w:t>
      </w:r>
      <w:r>
        <w:rPr>
          <w:rFonts w:hint="eastAsia"/>
          <w:b/>
          <w:bCs/>
          <w:color w:val="auto"/>
          <w:highlight w:val="none"/>
        </w:rPr>
        <w:t>要求</w:t>
      </w:r>
      <w:r>
        <w:rPr>
          <w:rFonts w:hint="eastAsia"/>
          <w:b/>
          <w:bCs/>
          <w:color w:val="auto"/>
          <w:highlight w:val="none"/>
          <w:lang w:eastAsia="zh-CN"/>
        </w:rPr>
        <w:t>：</w:t>
      </w:r>
    </w:p>
    <w:p>
      <w:pPr>
        <w:keepNext w:val="0"/>
        <w:keepLines w:val="0"/>
        <w:pageBreakBefore w:val="0"/>
        <w:widowControl w:val="0"/>
        <w:numPr>
          <w:ilvl w:val="0"/>
          <w:numId w:val="9"/>
        </w:numPr>
        <w:tabs>
          <w:tab w:val="left" w:pos="0"/>
        </w:tabs>
        <w:kinsoku/>
        <w:wordWrap/>
        <w:overflowPunct/>
        <w:topLinePunct w:val="0"/>
        <w:autoSpaceDE/>
        <w:autoSpaceDN/>
        <w:bidi w:val="0"/>
        <w:snapToGrid/>
        <w:spacing w:line="360" w:lineRule="auto"/>
        <w:ind w:left="5" w:leftChars="0" w:firstLine="415" w:firstLineChars="0"/>
        <w:rPr>
          <w:rFonts w:ascii="Arial" w:hAnsi="Arial" w:cs="Arial"/>
          <w:b/>
          <w:bCs/>
          <w:color w:val="auto"/>
          <w:szCs w:val="21"/>
          <w:highlight w:val="none"/>
        </w:rPr>
      </w:pPr>
      <w:bookmarkStart w:id="243" w:name="_Toc14937301"/>
      <w:bookmarkStart w:id="244" w:name="_Toc14794659"/>
      <w:bookmarkStart w:id="245" w:name="_Toc17975079"/>
      <w:bookmarkStart w:id="246" w:name="_Toc25227851"/>
      <w:bookmarkStart w:id="247" w:name="_Toc8137078"/>
      <w:bookmarkStart w:id="248" w:name="_Toc22909737"/>
      <w:bookmarkStart w:id="249" w:name="_Toc24566486"/>
      <w:bookmarkStart w:id="250" w:name="_Toc25241346"/>
      <w:bookmarkStart w:id="251" w:name="_Toc22808744"/>
      <w:bookmarkStart w:id="252" w:name="_Toc5624965"/>
      <w:bookmarkStart w:id="253" w:name="_Toc5287496"/>
      <w:bookmarkStart w:id="254" w:name="_Toc8307827"/>
      <w:bookmarkStart w:id="255" w:name="_Toc17993010"/>
      <w:r>
        <w:rPr>
          <w:rFonts w:hint="eastAsia" w:ascii="宋体" w:hAnsi="宋体"/>
          <w:bCs/>
          <w:color w:val="auto"/>
          <w:szCs w:val="21"/>
          <w:highlight w:val="none"/>
          <w:lang w:eastAsia="zh-CN"/>
        </w:rPr>
        <w:t>供应商</w:t>
      </w:r>
      <w:r>
        <w:rPr>
          <w:rFonts w:hint="eastAsia" w:ascii="宋体" w:hAnsi="宋体"/>
          <w:bCs/>
          <w:color w:val="auto"/>
          <w:szCs w:val="21"/>
          <w:highlight w:val="none"/>
        </w:rPr>
        <w:t>的报价应为承包完成本次采购需完成全部工作所发生的所有费用，并承担一切风险责任。包括本次项目实施所需的采购、</w:t>
      </w:r>
      <w:r>
        <w:rPr>
          <w:rFonts w:hint="eastAsia" w:ascii="宋体" w:hAnsi="宋体"/>
          <w:bCs/>
          <w:color w:val="auto"/>
          <w:szCs w:val="21"/>
          <w:highlight w:val="none"/>
          <w:lang w:val="en-US" w:eastAsia="zh-CN"/>
        </w:rPr>
        <w:t>人员</w:t>
      </w:r>
      <w:r>
        <w:rPr>
          <w:rFonts w:hint="eastAsia" w:ascii="宋体" w:hAnsi="宋体"/>
          <w:bCs/>
          <w:color w:val="auto"/>
          <w:szCs w:val="21"/>
          <w:highlight w:val="none"/>
        </w:rPr>
        <w:t>、轮换、保险、利润和税金、政策性文件规定费用及合同包含的所有风险、责任等所有费用等一切费用。供应商应结合本项目特点，市场行情及</w:t>
      </w:r>
      <w:r>
        <w:rPr>
          <w:rFonts w:hint="eastAsia" w:ascii="宋体" w:hAnsi="宋体"/>
          <w:bCs/>
          <w:color w:val="auto"/>
          <w:szCs w:val="21"/>
          <w:highlight w:val="none"/>
          <w:lang w:eastAsia="zh-CN"/>
        </w:rPr>
        <w:t>供应商</w:t>
      </w:r>
      <w:r>
        <w:rPr>
          <w:rFonts w:hint="eastAsia" w:ascii="宋体" w:hAnsi="宋体"/>
          <w:bCs/>
          <w:color w:val="auto"/>
          <w:szCs w:val="21"/>
          <w:highlight w:val="none"/>
        </w:rPr>
        <w:t>自身的技术，管理水平，竞争能力，确定最终报价。</w:t>
      </w:r>
    </w:p>
    <w:bookmarkEnd w:id="243"/>
    <w:bookmarkEnd w:id="244"/>
    <w:bookmarkEnd w:id="245"/>
    <w:bookmarkEnd w:id="246"/>
    <w:bookmarkEnd w:id="247"/>
    <w:bookmarkEnd w:id="248"/>
    <w:bookmarkEnd w:id="249"/>
    <w:bookmarkEnd w:id="250"/>
    <w:bookmarkEnd w:id="251"/>
    <w:bookmarkEnd w:id="252"/>
    <w:bookmarkEnd w:id="253"/>
    <w:bookmarkEnd w:id="254"/>
    <w:bookmarkEnd w:id="255"/>
    <w:p>
      <w:pPr>
        <w:keepNext w:val="0"/>
        <w:keepLines w:val="0"/>
        <w:pageBreakBefore w:val="0"/>
        <w:widowControl w:val="0"/>
        <w:numPr>
          <w:ilvl w:val="0"/>
          <w:numId w:val="9"/>
        </w:numPr>
        <w:tabs>
          <w:tab w:val="left" w:pos="0"/>
        </w:tabs>
        <w:kinsoku/>
        <w:wordWrap/>
        <w:overflowPunct/>
        <w:topLinePunct w:val="0"/>
        <w:autoSpaceDE/>
        <w:autoSpaceDN/>
        <w:bidi w:val="0"/>
        <w:snapToGrid/>
        <w:spacing w:line="360" w:lineRule="auto"/>
        <w:ind w:left="5" w:leftChars="0" w:firstLine="415" w:firstLineChars="0"/>
        <w:rPr>
          <w:rFonts w:hint="eastAsia" w:ascii="宋体" w:hAnsi="宋体" w:cs="宋体"/>
          <w:b w:val="0"/>
          <w:bCs w:val="0"/>
          <w:color w:val="auto"/>
          <w:szCs w:val="21"/>
          <w:highlight w:val="none"/>
          <w:lang w:val="en-US" w:eastAsia="zh-CN"/>
        </w:rPr>
      </w:pPr>
      <w:bookmarkStart w:id="256" w:name="_Toc12928"/>
      <w:bookmarkStart w:id="257" w:name="_Toc496078336"/>
      <w:bookmarkStart w:id="258" w:name="_Toc24455"/>
      <w:bookmarkStart w:id="259" w:name="_Toc9647"/>
      <w:bookmarkStart w:id="260" w:name="_Toc10212"/>
      <w:bookmarkStart w:id="261" w:name="_Toc1250"/>
      <w:bookmarkStart w:id="262" w:name="_Toc8137080"/>
      <w:bookmarkStart w:id="263" w:name="_Toc22909739"/>
      <w:bookmarkStart w:id="264" w:name="_Toc37146124"/>
      <w:bookmarkStart w:id="265" w:name="_Toc18411"/>
      <w:bookmarkStart w:id="266" w:name="_Toc5624967"/>
      <w:bookmarkStart w:id="267" w:name="_Toc496166829"/>
      <w:bookmarkStart w:id="268" w:name="_Toc510529065"/>
      <w:bookmarkStart w:id="269" w:name="_Toc521678977"/>
      <w:bookmarkStart w:id="270" w:name="_Toc44256596"/>
      <w:bookmarkStart w:id="271" w:name="_Toc8307829"/>
      <w:bookmarkStart w:id="272" w:name="_Toc14794661"/>
      <w:bookmarkStart w:id="273" w:name="_Toc14937304"/>
      <w:bookmarkStart w:id="274" w:name="_Toc5287498"/>
      <w:bookmarkStart w:id="275" w:name="_Toc26588"/>
      <w:bookmarkStart w:id="276" w:name="_Toc521679028"/>
      <w:bookmarkStart w:id="277" w:name="_Toc41642974"/>
      <w:bookmarkStart w:id="278" w:name="_Toc24566488"/>
      <w:bookmarkStart w:id="279" w:name="_Toc17975082"/>
      <w:bookmarkStart w:id="280" w:name="_Toc22808746"/>
      <w:bookmarkStart w:id="281" w:name="_Toc44229567"/>
      <w:bookmarkStart w:id="282" w:name="_Toc25227853"/>
      <w:bookmarkStart w:id="283" w:name="_Toc17993013"/>
      <w:bookmarkStart w:id="284" w:name="_Toc521679147"/>
      <w:bookmarkStart w:id="285" w:name="_Toc496163886"/>
      <w:bookmarkStart w:id="286" w:name="_Toc25241348"/>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val="en-US" w:eastAsia="zh-CN"/>
        </w:rPr>
        <w:t>450000</w:t>
      </w:r>
      <w:r>
        <w:rPr>
          <w:rFonts w:hint="eastAsia" w:ascii="宋体" w:hAnsi="宋体" w:cs="宋体"/>
          <w:b/>
          <w:bCs/>
          <w:color w:val="auto"/>
          <w:szCs w:val="21"/>
          <w:highlight w:val="none"/>
        </w:rPr>
        <w:t>元，报价超过最高限价的，其</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按无效标处理。</w:t>
      </w:r>
    </w:p>
    <w:p>
      <w:pPr>
        <w:numPr>
          <w:ilvl w:val="0"/>
          <w:numId w:val="7"/>
        </w:numPr>
        <w:bidi w:val="0"/>
        <w:spacing w:line="360" w:lineRule="auto"/>
        <w:ind w:left="0" w:leftChars="0" w:firstLine="420" w:firstLineChars="0"/>
        <w:rPr>
          <w:b/>
          <w:bCs/>
          <w:color w:val="auto"/>
          <w:highlight w:val="none"/>
        </w:rPr>
      </w:pPr>
      <w:r>
        <w:rPr>
          <w:rFonts w:hint="eastAsia"/>
          <w:b/>
          <w:bCs/>
          <w:color w:val="auto"/>
          <w:highlight w:val="none"/>
        </w:rPr>
        <w:t>付款方式</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hint="eastAsia"/>
          <w:b/>
          <w:bCs/>
          <w:color w:val="auto"/>
          <w:highlight w:val="none"/>
          <w:lang w:eastAsia="zh-CN"/>
        </w:rPr>
        <w:t>：</w:t>
      </w:r>
    </w:p>
    <w:p>
      <w:pPr>
        <w:numPr>
          <w:ilvl w:val="0"/>
          <w:numId w:val="10"/>
        </w:numPr>
        <w:autoSpaceDE w:val="0"/>
        <w:autoSpaceDN w:val="0"/>
        <w:adjustRightInd w:val="0"/>
        <w:spacing w:line="360" w:lineRule="auto"/>
        <w:ind w:left="0" w:leftChars="0" w:right="-2" w:firstLine="420" w:firstLineChars="200"/>
        <w:textAlignment w:val="bottom"/>
        <w:rPr>
          <w:rFonts w:ascii="宋体" w:hAnsi="宋体" w:cs="宋体"/>
          <w:b w:val="0"/>
          <w:bCs/>
          <w:color w:val="auto"/>
          <w:szCs w:val="21"/>
          <w:highlight w:val="none"/>
        </w:rPr>
      </w:pPr>
      <w:r>
        <w:rPr>
          <w:rFonts w:hint="eastAsia" w:ascii="宋体" w:hAnsi="宋体" w:cs="Arial"/>
          <w:b w:val="0"/>
          <w:bCs/>
          <w:color w:val="auto"/>
          <w:szCs w:val="21"/>
          <w:highlight w:val="none"/>
        </w:rPr>
        <w:t>在合同签订后7个工作日内，</w:t>
      </w:r>
      <w:r>
        <w:rPr>
          <w:rFonts w:hint="eastAsia" w:ascii="宋体" w:hAnsi="宋体" w:cs="Arial"/>
          <w:b w:val="0"/>
          <w:bCs/>
          <w:color w:val="auto"/>
          <w:szCs w:val="21"/>
          <w:highlight w:val="none"/>
          <w:lang w:eastAsia="zh-CN"/>
        </w:rPr>
        <w:t>成交供应商应</w:t>
      </w:r>
      <w:r>
        <w:rPr>
          <w:rFonts w:hint="eastAsia" w:ascii="宋体" w:hAnsi="宋体" w:cs="Arial"/>
          <w:b w:val="0"/>
          <w:bCs/>
          <w:color w:val="auto"/>
          <w:szCs w:val="21"/>
          <w:highlight w:val="none"/>
        </w:rPr>
        <w:t>以银行转账/</w:t>
      </w:r>
      <w:r>
        <w:rPr>
          <w:rFonts w:hint="eastAsia" w:ascii="宋体" w:hAnsi="宋体" w:cs="Arial"/>
          <w:b w:val="0"/>
          <w:bCs/>
          <w:color w:val="auto"/>
          <w:szCs w:val="21"/>
          <w:highlight w:val="none"/>
          <w:lang w:eastAsia="zh-CN"/>
        </w:rPr>
        <w:t>转账</w:t>
      </w:r>
      <w:r>
        <w:rPr>
          <w:rFonts w:hint="eastAsia" w:ascii="宋体" w:hAnsi="宋体" w:cs="Arial"/>
          <w:b w:val="0"/>
          <w:bCs/>
          <w:color w:val="auto"/>
          <w:szCs w:val="21"/>
          <w:highlight w:val="none"/>
        </w:rPr>
        <w:t>支票/银行汇票/银行、保险</w:t>
      </w:r>
      <w:r>
        <w:rPr>
          <w:rFonts w:hint="eastAsia" w:ascii="宋体" w:hAnsi="宋体" w:cs="Arial"/>
          <w:b w:val="0"/>
          <w:bCs/>
          <w:color w:val="auto"/>
          <w:szCs w:val="21"/>
          <w:highlight w:val="none"/>
          <w:lang w:eastAsia="zh-CN"/>
        </w:rPr>
        <w:t>机构</w:t>
      </w:r>
      <w:r>
        <w:rPr>
          <w:rFonts w:hint="eastAsia" w:ascii="宋体" w:hAnsi="宋体" w:cs="Arial"/>
          <w:b w:val="0"/>
          <w:bCs/>
          <w:color w:val="auto"/>
          <w:szCs w:val="21"/>
          <w:highlight w:val="none"/>
        </w:rPr>
        <w:t>出具的保函</w:t>
      </w:r>
      <w:r>
        <w:rPr>
          <w:rFonts w:hint="eastAsia" w:ascii="宋体" w:hAnsi="宋体" w:cs="Arial"/>
          <w:b w:val="0"/>
          <w:bCs/>
          <w:color w:val="auto"/>
          <w:szCs w:val="21"/>
          <w:highlight w:val="none"/>
          <w:lang w:eastAsia="zh-CN"/>
        </w:rPr>
        <w:t>等非现金方式</w:t>
      </w:r>
      <w:r>
        <w:rPr>
          <w:rFonts w:hint="eastAsia" w:ascii="宋体" w:hAnsi="宋体" w:cs="Arial"/>
          <w:b w:val="0"/>
          <w:bCs/>
          <w:color w:val="auto"/>
          <w:szCs w:val="21"/>
          <w:highlight w:val="none"/>
        </w:rPr>
        <w:t>向</w:t>
      </w:r>
      <w:r>
        <w:rPr>
          <w:rFonts w:hint="eastAsia" w:ascii="宋体" w:hAnsi="宋体" w:cs="Arial"/>
          <w:b w:val="0"/>
          <w:bCs/>
          <w:color w:val="auto"/>
          <w:szCs w:val="21"/>
          <w:highlight w:val="none"/>
          <w:lang w:eastAsia="zh-CN"/>
        </w:rPr>
        <w:t>采购人</w:t>
      </w:r>
      <w:r>
        <w:rPr>
          <w:rFonts w:hint="eastAsia" w:ascii="宋体" w:hAnsi="宋体" w:cs="Arial"/>
          <w:b w:val="0"/>
          <w:bCs/>
          <w:color w:val="auto"/>
          <w:szCs w:val="21"/>
          <w:highlight w:val="none"/>
        </w:rPr>
        <w:t>提供</w:t>
      </w:r>
      <w:r>
        <w:rPr>
          <w:rFonts w:hint="eastAsia" w:ascii="宋体" w:hAnsi="宋体" w:cs="Arial"/>
          <w:b w:val="0"/>
          <w:bCs/>
          <w:color w:val="auto"/>
          <w:szCs w:val="21"/>
          <w:highlight w:val="none"/>
          <w:lang w:val="en-US" w:eastAsia="zh-CN"/>
        </w:rPr>
        <w:t>合同价款的</w:t>
      </w:r>
      <w:r>
        <w:rPr>
          <w:rFonts w:hint="eastAsia" w:ascii="宋体" w:hAnsi="宋体" w:cs="Arial"/>
          <w:b w:val="0"/>
          <w:bCs/>
          <w:color w:val="auto"/>
          <w:szCs w:val="21"/>
          <w:highlight w:val="none"/>
        </w:rPr>
        <w:t>1%的履约担保。</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cs="宋体"/>
          <w:color w:val="auto"/>
          <w:szCs w:val="21"/>
          <w:highlight w:val="none"/>
        </w:rPr>
        <w:t>采用银行转账、转帐支票、银行汇票形式提交的，应满足以下几个条件：</w:t>
      </w:r>
    </w:p>
    <w:p>
      <w:pPr>
        <w:spacing w:line="360" w:lineRule="auto"/>
        <w:ind w:firstLine="210" w:firstLineChars="100"/>
        <w:rPr>
          <w:rFonts w:ascii="宋体" w:hAnsi="宋体"/>
          <w:color w:val="auto"/>
          <w:szCs w:val="21"/>
          <w:highlight w:val="none"/>
          <w:lang w:val="zh-CN"/>
        </w:rPr>
      </w:pPr>
      <w:r>
        <w:rPr>
          <w:rFonts w:hint="eastAsia" w:ascii="宋体" w:hAnsi="宋体"/>
          <w:color w:val="auto"/>
          <w:szCs w:val="21"/>
          <w:highlight w:val="none"/>
          <w:lang w:val="zh-CN"/>
        </w:rPr>
        <w:t>①应当从成交供应商基本户转出；</w:t>
      </w:r>
    </w:p>
    <w:p>
      <w:pPr>
        <w:spacing w:line="360" w:lineRule="auto"/>
        <w:ind w:firstLine="210" w:firstLineChars="100"/>
        <w:rPr>
          <w:rFonts w:ascii="宋体" w:hAnsi="宋体" w:cs="宋体"/>
          <w:color w:val="auto"/>
          <w:szCs w:val="21"/>
          <w:highlight w:val="none"/>
        </w:rPr>
      </w:pPr>
      <w:r>
        <w:rPr>
          <w:rFonts w:hint="eastAsia" w:ascii="宋体" w:hAnsi="宋体"/>
          <w:color w:val="auto"/>
          <w:szCs w:val="21"/>
          <w:highlight w:val="none"/>
          <w:lang w:val="zh-CN"/>
        </w:rPr>
        <w:t>②</w:t>
      </w:r>
      <w:r>
        <w:rPr>
          <w:rFonts w:hint="eastAsia" w:ascii="宋体" w:hAnsi="宋体" w:cs="宋体"/>
          <w:color w:val="auto"/>
          <w:szCs w:val="21"/>
          <w:highlight w:val="none"/>
        </w:rPr>
        <w:t>履约担保的退还时间：待</w:t>
      </w:r>
      <w:r>
        <w:rPr>
          <w:rFonts w:hint="eastAsia" w:ascii="宋体" w:hAnsi="宋体" w:cs="宋体"/>
          <w:b/>
          <w:bCs/>
          <w:color w:val="auto"/>
          <w:szCs w:val="21"/>
          <w:highlight w:val="none"/>
          <w:u w:val="single"/>
          <w:lang w:val="en-US" w:eastAsia="zh-CN"/>
        </w:rPr>
        <w:t>合同履约完毕7日内</w:t>
      </w:r>
      <w:r>
        <w:rPr>
          <w:rFonts w:hint="eastAsia" w:ascii="宋体" w:hAnsi="宋体" w:cs="宋体"/>
          <w:color w:val="auto"/>
          <w:szCs w:val="21"/>
          <w:highlight w:val="none"/>
        </w:rPr>
        <w:t>予以无息退还。</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cs="宋体"/>
          <w:color w:val="auto"/>
          <w:szCs w:val="21"/>
          <w:highlight w:val="none"/>
        </w:rPr>
        <w:t>采用保函形式提交履约担保的，应满足以下几个条件：</w:t>
      </w:r>
    </w:p>
    <w:p>
      <w:pPr>
        <w:spacing w:line="360" w:lineRule="auto"/>
        <w:ind w:left="210" w:leftChars="100" w:firstLine="0" w:firstLineChars="0"/>
        <w:rPr>
          <w:rFonts w:ascii="宋体" w:hAnsi="宋体" w:cs="宋体"/>
          <w:color w:val="auto"/>
          <w:szCs w:val="21"/>
          <w:highlight w:val="none"/>
        </w:rPr>
      </w:pPr>
      <w:r>
        <w:rPr>
          <w:rFonts w:hint="eastAsia" w:ascii="宋体" w:hAnsi="宋体" w:cs="宋体"/>
          <w:color w:val="auto"/>
          <w:szCs w:val="21"/>
          <w:highlight w:val="none"/>
        </w:rPr>
        <w:t>①为见索即付保函：即在</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没有实施合同或者未履行合同义务时，采购人不需要出具任何证明和理由，只要看到</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违约，就可对保函进行收兑。</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②保函期限：自合同生效之日起至</w:t>
      </w:r>
      <w:r>
        <w:rPr>
          <w:rFonts w:hint="eastAsia" w:ascii="宋体" w:hAnsi="宋体" w:cs="宋体"/>
          <w:b/>
          <w:bCs/>
          <w:color w:val="auto"/>
          <w:szCs w:val="21"/>
          <w:highlight w:val="none"/>
          <w:u w:val="single"/>
          <w:lang w:val="en-US" w:eastAsia="zh-CN"/>
        </w:rPr>
        <w:t>合同履约完毕</w:t>
      </w:r>
      <w:r>
        <w:rPr>
          <w:rFonts w:hint="eastAsia" w:ascii="宋体" w:hAnsi="宋体" w:cs="宋体"/>
          <w:color w:val="auto"/>
          <w:szCs w:val="21"/>
          <w:highlight w:val="none"/>
        </w:rPr>
        <w:t>之日止。</w:t>
      </w:r>
    </w:p>
    <w:p>
      <w:pPr>
        <w:spacing w:line="360" w:lineRule="auto"/>
        <w:ind w:left="210" w:leftChars="100" w:firstLine="0" w:firstLineChars="0"/>
        <w:rPr>
          <w:rFonts w:ascii="宋体" w:hAnsi="宋体" w:cs="宋体"/>
          <w:color w:val="auto"/>
          <w:szCs w:val="21"/>
          <w:highlight w:val="none"/>
        </w:rPr>
      </w:pPr>
      <w:r>
        <w:rPr>
          <w:rFonts w:hint="eastAsia" w:ascii="宋体" w:hAnsi="宋体" w:cs="宋体"/>
          <w:color w:val="auto"/>
          <w:szCs w:val="21"/>
          <w:highlight w:val="none"/>
        </w:rPr>
        <w:t>③如果由于服务期延误或保函出具机构要求分期出具保函的，则在前一份保函有效期满之日1个月前必须重新出具相同内容的保函。</w:t>
      </w:r>
    </w:p>
    <w:p>
      <w:pPr>
        <w:widowControl w:val="0"/>
        <w:numPr>
          <w:ilvl w:val="0"/>
          <w:numId w:val="10"/>
        </w:numPr>
        <w:spacing w:line="360" w:lineRule="auto"/>
        <w:ind w:left="0" w:leftChars="0" w:firstLine="400" w:firstLineChars="0"/>
        <w:rPr>
          <w:rFonts w:hint="eastAsia"/>
          <w:color w:val="auto"/>
          <w:highlight w:val="none"/>
          <w:lang w:eastAsia="zh-CN"/>
        </w:rPr>
      </w:pPr>
      <w:r>
        <w:rPr>
          <w:rFonts w:hint="eastAsia" w:ascii="宋体" w:hAnsi="宋体" w:eastAsia="宋体" w:cs="宋体"/>
          <w:color w:val="auto"/>
          <w:highlight w:val="none"/>
        </w:rPr>
        <w:t>预付款支付比例或金额：在合同签订且具备实施条件后7个工作日内</w:t>
      </w:r>
      <w:r>
        <w:rPr>
          <w:rFonts w:hint="eastAsia"/>
          <w:color w:val="auto"/>
          <w:highlight w:val="none"/>
        </w:rPr>
        <w:t>，采购</w:t>
      </w:r>
      <w:r>
        <w:rPr>
          <w:rFonts w:hint="eastAsia"/>
          <w:color w:val="auto"/>
          <w:highlight w:val="none"/>
          <w:lang w:eastAsia="zh-CN"/>
        </w:rPr>
        <w:t>人</w:t>
      </w:r>
      <w:r>
        <w:rPr>
          <w:rFonts w:hint="eastAsia"/>
          <w:color w:val="auto"/>
          <w:highlight w:val="none"/>
        </w:rPr>
        <w:t>支付</w:t>
      </w:r>
      <w:r>
        <w:rPr>
          <w:rFonts w:hint="eastAsia"/>
          <w:color w:val="auto"/>
          <w:highlight w:val="none"/>
          <w:lang w:eastAsia="zh-CN"/>
        </w:rPr>
        <w:t>合同价款</w:t>
      </w:r>
      <w:r>
        <w:rPr>
          <w:rFonts w:hint="eastAsia"/>
          <w:color w:val="auto"/>
          <w:highlight w:val="none"/>
        </w:rPr>
        <w:t>的40%作为预付款（供应商明确表示无需预付款或者主动要求降低预付款比例的，采购单位可不适用前述规定）</w:t>
      </w:r>
      <w:r>
        <w:rPr>
          <w:rFonts w:hint="eastAsia"/>
          <w:color w:val="auto"/>
          <w:highlight w:val="none"/>
          <w:lang w:eastAsia="zh-CN"/>
        </w:rPr>
        <w:t>。</w:t>
      </w:r>
    </w:p>
    <w:p>
      <w:pPr>
        <w:widowControl w:val="0"/>
        <w:numPr>
          <w:ilvl w:val="0"/>
          <w:numId w:val="10"/>
        </w:numPr>
        <w:spacing w:line="360" w:lineRule="auto"/>
        <w:ind w:left="0" w:leftChars="0" w:firstLine="400" w:firstLineChars="0"/>
        <w:rPr>
          <w:rFonts w:hint="eastAsia"/>
          <w:color w:val="auto"/>
          <w:highlight w:val="none"/>
        </w:rPr>
      </w:pPr>
      <w:r>
        <w:rPr>
          <w:rFonts w:hint="eastAsia"/>
          <w:color w:val="auto"/>
          <w:highlight w:val="none"/>
          <w:lang w:eastAsia="zh-CN"/>
        </w:rPr>
        <w:t>成交供应商按合同规定时间将所有货物运到采购人指定地点完成一年储备任务后支付全部合同金额，并扣回预付款。</w:t>
      </w:r>
      <w:r>
        <w:rPr>
          <w:rFonts w:hint="eastAsia"/>
          <w:color w:val="auto"/>
          <w:highlight w:val="none"/>
        </w:rPr>
        <w:t>（对于满足合同支付约定条件的，</w:t>
      </w:r>
      <w:r>
        <w:rPr>
          <w:rFonts w:hint="eastAsia"/>
          <w:color w:val="auto"/>
          <w:highlight w:val="none"/>
          <w:lang w:eastAsia="zh-CN"/>
        </w:rPr>
        <w:t>成交供应商</w:t>
      </w:r>
      <w:r>
        <w:rPr>
          <w:rFonts w:hint="eastAsia"/>
          <w:color w:val="auto"/>
          <w:highlight w:val="none"/>
        </w:rPr>
        <w:t>必须开具合同金额100%的正式税务发票。根据《浙江省财政厅关于进一步发挥政府采购政策功能全力推进经济稳进提质的通知》浙财采监〔2022〕3号。对于满足合同约定支付条件的，采购人自收到发票后7个工作日内将资金支付到合同约定的供应商账户。</w:t>
      </w:r>
      <w:r>
        <w:rPr>
          <w:rFonts w:hint="eastAsia"/>
          <w:color w:val="auto"/>
          <w:highlight w:val="none"/>
          <w:lang w:eastAsia="zh-CN"/>
        </w:rPr>
        <w:t>采购</w:t>
      </w:r>
      <w:r>
        <w:rPr>
          <w:rFonts w:hint="eastAsia" w:ascii="宋体" w:hAnsi="宋体" w:eastAsia="宋体" w:cs="Times New Roman"/>
          <w:b w:val="0"/>
          <w:bCs w:val="0"/>
          <w:color w:val="auto"/>
          <w:highlight w:val="none"/>
          <w:lang w:val="en-US" w:eastAsia="zh-CN"/>
        </w:rPr>
        <w:t>人未及时支付合同价款或未及时退还履约担保的，应当支付逾期利息。</w:t>
      </w:r>
      <w:r>
        <w:rPr>
          <w:rFonts w:hint="eastAsia"/>
          <w:color w:val="auto"/>
          <w:highlight w:val="none"/>
          <w:lang w:eastAsia="zh-CN"/>
        </w:rPr>
        <w:t>）</w:t>
      </w:r>
    </w:p>
    <w:p>
      <w:pPr>
        <w:pStyle w:val="3"/>
        <w:keepNext w:val="0"/>
        <w:keepLines w:val="0"/>
        <w:pageBreakBefore/>
        <w:shd w:val="clear" w:color="auto" w:fill="auto"/>
        <w:tabs>
          <w:tab w:val="left" w:pos="840"/>
        </w:tabs>
        <w:spacing w:before="156" w:beforeLines="50" w:after="156" w:afterLines="50" w:line="400" w:lineRule="exact"/>
        <w:jc w:val="center"/>
        <w:rPr>
          <w:rFonts w:hint="eastAsia" w:ascii="宋体" w:hAnsi="宋体" w:eastAsia="宋体" w:cs="宋体"/>
          <w:b/>
          <w:color w:val="auto"/>
          <w:sz w:val="21"/>
          <w:szCs w:val="21"/>
          <w:highlight w:val="none"/>
        </w:rPr>
      </w:pPr>
      <w:bookmarkStart w:id="287" w:name="_Toc12277"/>
      <w:r>
        <w:rPr>
          <w:rFonts w:hint="eastAsia" w:ascii="宋体" w:hAnsi="宋体" w:eastAsia="宋体" w:cs="宋体"/>
          <w:b/>
          <w:color w:val="auto"/>
          <w:kern w:val="44"/>
          <w:sz w:val="32"/>
          <w:szCs w:val="32"/>
          <w:highlight w:val="none"/>
          <w:lang w:val="en-US" w:eastAsia="zh-CN" w:bidi="ar-SA"/>
        </w:rPr>
        <w:t xml:space="preserve">第四部分   </w:t>
      </w:r>
      <w:bookmarkStart w:id="288" w:name="_Toc184312115"/>
      <w:bookmarkEnd w:id="288"/>
      <w:bookmarkStart w:id="289" w:name="_Toc184312075"/>
      <w:bookmarkEnd w:id="289"/>
      <w:bookmarkStart w:id="290" w:name="_Toc184312122"/>
      <w:bookmarkEnd w:id="290"/>
      <w:bookmarkStart w:id="291" w:name="_Toc184313287"/>
      <w:bookmarkEnd w:id="291"/>
      <w:bookmarkStart w:id="292" w:name="_Toc184312104"/>
      <w:bookmarkEnd w:id="292"/>
      <w:bookmarkStart w:id="293" w:name="_Toc184313261"/>
      <w:bookmarkEnd w:id="293"/>
      <w:bookmarkStart w:id="294" w:name="_Toc184312106"/>
      <w:bookmarkEnd w:id="294"/>
      <w:bookmarkStart w:id="295" w:name="_Toc184310338"/>
      <w:bookmarkEnd w:id="295"/>
      <w:bookmarkStart w:id="296" w:name="_Toc184312134"/>
      <w:bookmarkEnd w:id="296"/>
      <w:bookmarkStart w:id="297" w:name="_Toc184313275"/>
      <w:bookmarkEnd w:id="297"/>
      <w:bookmarkStart w:id="298" w:name="_Toc184314472"/>
      <w:bookmarkEnd w:id="298"/>
      <w:bookmarkStart w:id="299" w:name="_Toc184308043"/>
      <w:bookmarkEnd w:id="299"/>
      <w:bookmarkStart w:id="300" w:name="_Toc184313251"/>
      <w:bookmarkEnd w:id="300"/>
      <w:bookmarkStart w:id="301" w:name="_Toc184310317"/>
      <w:bookmarkEnd w:id="301"/>
      <w:bookmarkStart w:id="302" w:name="_Toc184312080"/>
      <w:bookmarkEnd w:id="302"/>
      <w:bookmarkStart w:id="303" w:name="_Toc184313266"/>
      <w:bookmarkEnd w:id="303"/>
      <w:bookmarkStart w:id="304" w:name="_Toc184312105"/>
      <w:bookmarkEnd w:id="304"/>
      <w:bookmarkStart w:id="305" w:name="_Toc184312139"/>
      <w:bookmarkEnd w:id="305"/>
      <w:bookmarkStart w:id="306" w:name="_Toc184313259"/>
      <w:bookmarkEnd w:id="306"/>
      <w:bookmarkStart w:id="307" w:name="_Toc184308049"/>
      <w:bookmarkEnd w:id="307"/>
      <w:bookmarkStart w:id="308" w:name="_Toc184308105"/>
      <w:bookmarkEnd w:id="308"/>
      <w:bookmarkStart w:id="309" w:name="_Toc184308102"/>
      <w:bookmarkEnd w:id="309"/>
      <w:bookmarkStart w:id="310" w:name="_Toc184308073"/>
      <w:bookmarkEnd w:id="310"/>
      <w:bookmarkStart w:id="311" w:name="_Toc184308057"/>
      <w:bookmarkEnd w:id="311"/>
      <w:bookmarkStart w:id="312" w:name="_Toc184314431"/>
      <w:bookmarkEnd w:id="312"/>
      <w:bookmarkStart w:id="313" w:name="_Toc184312119"/>
      <w:bookmarkEnd w:id="313"/>
      <w:bookmarkStart w:id="314" w:name="_Toc184308100"/>
      <w:bookmarkEnd w:id="314"/>
      <w:bookmarkStart w:id="315" w:name="_Toc184314454"/>
      <w:bookmarkEnd w:id="315"/>
      <w:bookmarkStart w:id="316" w:name="_Toc184308042"/>
      <w:bookmarkEnd w:id="316"/>
      <w:bookmarkStart w:id="317" w:name="_Toc184314453"/>
      <w:bookmarkEnd w:id="317"/>
      <w:bookmarkStart w:id="318" w:name="_Toc184314410"/>
      <w:bookmarkEnd w:id="318"/>
      <w:bookmarkStart w:id="319" w:name="_Toc184310335"/>
      <w:bookmarkEnd w:id="319"/>
      <w:bookmarkStart w:id="320" w:name="_Toc184313246"/>
      <w:bookmarkEnd w:id="320"/>
      <w:bookmarkStart w:id="321" w:name="_Toc184314412"/>
      <w:bookmarkEnd w:id="321"/>
      <w:bookmarkStart w:id="322" w:name="_Toc184310278"/>
      <w:bookmarkEnd w:id="322"/>
      <w:bookmarkStart w:id="323" w:name="_Toc184314455"/>
      <w:bookmarkEnd w:id="323"/>
      <w:bookmarkStart w:id="324" w:name="_Toc184308047"/>
      <w:bookmarkEnd w:id="324"/>
      <w:bookmarkStart w:id="325" w:name="_Toc184310313"/>
      <w:bookmarkEnd w:id="325"/>
      <w:bookmarkStart w:id="326" w:name="_Toc184308072"/>
      <w:bookmarkEnd w:id="326"/>
      <w:bookmarkStart w:id="327" w:name="_Toc184310342"/>
      <w:bookmarkEnd w:id="327"/>
      <w:bookmarkStart w:id="328" w:name="_Toc184314416"/>
      <w:bookmarkEnd w:id="328"/>
      <w:bookmarkStart w:id="329" w:name="_Toc184314456"/>
      <w:bookmarkEnd w:id="329"/>
      <w:bookmarkStart w:id="330" w:name="_Toc184313270"/>
      <w:bookmarkEnd w:id="330"/>
      <w:bookmarkStart w:id="331" w:name="_Toc184313282"/>
      <w:bookmarkEnd w:id="331"/>
      <w:bookmarkStart w:id="332" w:name="_Toc184314420"/>
      <w:bookmarkEnd w:id="332"/>
      <w:bookmarkStart w:id="333" w:name="_Toc184310316"/>
      <w:bookmarkEnd w:id="333"/>
      <w:bookmarkStart w:id="334" w:name="_Toc184308044"/>
      <w:bookmarkEnd w:id="334"/>
      <w:bookmarkStart w:id="335" w:name="_Toc184310294"/>
      <w:bookmarkEnd w:id="335"/>
      <w:bookmarkStart w:id="336" w:name="_Toc184313288"/>
      <w:bookmarkEnd w:id="336"/>
      <w:bookmarkStart w:id="337" w:name="_Toc184310275"/>
      <w:bookmarkEnd w:id="337"/>
      <w:bookmarkStart w:id="338" w:name="_Toc184312094"/>
      <w:bookmarkEnd w:id="338"/>
      <w:bookmarkStart w:id="339" w:name="_Toc184308091"/>
      <w:bookmarkEnd w:id="339"/>
      <w:bookmarkStart w:id="340" w:name="_Toc184308077"/>
      <w:bookmarkEnd w:id="340"/>
      <w:bookmarkStart w:id="341" w:name="_Toc184314443"/>
      <w:bookmarkEnd w:id="341"/>
      <w:bookmarkStart w:id="342" w:name="_Toc184308089"/>
      <w:bookmarkEnd w:id="342"/>
      <w:bookmarkStart w:id="343" w:name="_Toc184310331"/>
      <w:bookmarkEnd w:id="343"/>
      <w:bookmarkStart w:id="344" w:name="_Toc184310337"/>
      <w:bookmarkEnd w:id="344"/>
      <w:bookmarkStart w:id="345" w:name="_Toc184312089"/>
      <w:bookmarkEnd w:id="345"/>
      <w:bookmarkStart w:id="346" w:name="_Toc184314463"/>
      <w:bookmarkEnd w:id="346"/>
      <w:bookmarkStart w:id="347" w:name="_Toc184312099"/>
      <w:bookmarkEnd w:id="347"/>
      <w:bookmarkStart w:id="348" w:name="_Toc184308097"/>
      <w:bookmarkEnd w:id="348"/>
      <w:bookmarkStart w:id="349" w:name="_Toc184313286"/>
      <w:bookmarkEnd w:id="349"/>
      <w:bookmarkStart w:id="350" w:name="_Toc184312126"/>
      <w:bookmarkEnd w:id="350"/>
      <w:bookmarkStart w:id="351" w:name="_Toc184313260"/>
      <w:bookmarkEnd w:id="351"/>
      <w:bookmarkStart w:id="352" w:name="_Toc184308103"/>
      <w:bookmarkEnd w:id="352"/>
      <w:bookmarkStart w:id="353" w:name="_Toc184310311"/>
      <w:bookmarkEnd w:id="353"/>
      <w:bookmarkStart w:id="354" w:name="_Toc184310280"/>
      <w:bookmarkEnd w:id="354"/>
      <w:bookmarkStart w:id="355" w:name="_Toc184310289"/>
      <w:bookmarkEnd w:id="355"/>
      <w:bookmarkStart w:id="356" w:name="_Toc184314434"/>
      <w:bookmarkEnd w:id="356"/>
      <w:bookmarkStart w:id="357" w:name="_Toc184313281"/>
      <w:bookmarkEnd w:id="357"/>
      <w:bookmarkStart w:id="358" w:name="_Toc184314429"/>
      <w:bookmarkEnd w:id="358"/>
      <w:bookmarkStart w:id="359" w:name="_Toc184310329"/>
      <w:bookmarkEnd w:id="359"/>
      <w:bookmarkStart w:id="360" w:name="_Toc184314415"/>
      <w:bookmarkEnd w:id="360"/>
      <w:bookmarkStart w:id="361" w:name="_Toc184308104"/>
      <w:bookmarkEnd w:id="361"/>
      <w:bookmarkStart w:id="362" w:name="_Toc184314449"/>
      <w:bookmarkEnd w:id="362"/>
      <w:bookmarkStart w:id="363" w:name="_Toc184313269"/>
      <w:bookmarkEnd w:id="363"/>
      <w:bookmarkStart w:id="364" w:name="_Toc184314423"/>
      <w:bookmarkEnd w:id="364"/>
      <w:bookmarkStart w:id="365" w:name="_Toc184312133"/>
      <w:bookmarkEnd w:id="365"/>
      <w:bookmarkStart w:id="366" w:name="_Toc184313289"/>
      <w:bookmarkEnd w:id="366"/>
      <w:bookmarkStart w:id="367" w:name="_Toc184314442"/>
      <w:bookmarkEnd w:id="367"/>
      <w:bookmarkStart w:id="368" w:name="_Toc184312116"/>
      <w:bookmarkEnd w:id="368"/>
      <w:bookmarkStart w:id="369" w:name="_Toc184308090"/>
      <w:bookmarkEnd w:id="369"/>
      <w:bookmarkStart w:id="370" w:name="_Toc184313274"/>
      <w:bookmarkEnd w:id="370"/>
      <w:bookmarkStart w:id="371" w:name="_Toc184308108"/>
      <w:bookmarkEnd w:id="371"/>
      <w:bookmarkStart w:id="372" w:name="_Toc184310314"/>
      <w:bookmarkEnd w:id="372"/>
      <w:bookmarkStart w:id="373" w:name="_Toc184312130"/>
      <w:bookmarkEnd w:id="373"/>
      <w:bookmarkStart w:id="374" w:name="_Toc184313258"/>
      <w:bookmarkEnd w:id="374"/>
      <w:bookmarkStart w:id="375" w:name="_Toc184312112"/>
      <w:bookmarkEnd w:id="375"/>
      <w:bookmarkStart w:id="376" w:name="_Toc184312091"/>
      <w:bookmarkEnd w:id="376"/>
      <w:bookmarkStart w:id="377" w:name="_Toc184308069"/>
      <w:bookmarkEnd w:id="377"/>
      <w:bookmarkStart w:id="378" w:name="_Toc184313242"/>
      <w:bookmarkEnd w:id="378"/>
      <w:bookmarkStart w:id="379" w:name="_Toc184308058"/>
      <w:bookmarkEnd w:id="379"/>
      <w:bookmarkStart w:id="380" w:name="_Toc184308062"/>
      <w:bookmarkEnd w:id="380"/>
      <w:bookmarkStart w:id="381" w:name="_Toc184314451"/>
      <w:bookmarkEnd w:id="381"/>
      <w:bookmarkStart w:id="382" w:name="_Toc184310309"/>
      <w:bookmarkEnd w:id="382"/>
      <w:bookmarkStart w:id="383" w:name="_Toc184308075"/>
      <w:bookmarkEnd w:id="383"/>
      <w:bookmarkStart w:id="384" w:name="_Toc184312103"/>
      <w:bookmarkEnd w:id="384"/>
      <w:bookmarkStart w:id="385" w:name="_Toc184308085"/>
      <w:bookmarkEnd w:id="385"/>
      <w:bookmarkStart w:id="386" w:name="_Toc184310325"/>
      <w:bookmarkEnd w:id="386"/>
      <w:bookmarkStart w:id="387" w:name="_Toc184310272"/>
      <w:bookmarkEnd w:id="387"/>
      <w:bookmarkStart w:id="388" w:name="_Toc184312118"/>
      <w:bookmarkEnd w:id="388"/>
      <w:bookmarkStart w:id="389" w:name="_Toc184314479"/>
      <w:bookmarkEnd w:id="389"/>
      <w:bookmarkStart w:id="390" w:name="_Toc184310285"/>
      <w:bookmarkEnd w:id="390"/>
      <w:bookmarkStart w:id="391" w:name="_Toc184312109"/>
      <w:bookmarkEnd w:id="391"/>
      <w:bookmarkStart w:id="392" w:name="_Toc184308067"/>
      <w:bookmarkEnd w:id="392"/>
      <w:bookmarkStart w:id="393" w:name="_Toc184314467"/>
      <w:bookmarkEnd w:id="393"/>
      <w:bookmarkStart w:id="394" w:name="_Toc184312100"/>
      <w:bookmarkEnd w:id="394"/>
      <w:bookmarkStart w:id="395" w:name="_Toc184308096"/>
      <w:bookmarkEnd w:id="395"/>
      <w:bookmarkStart w:id="396" w:name="_Toc184308052"/>
      <w:bookmarkEnd w:id="396"/>
      <w:bookmarkStart w:id="397" w:name="_Toc184310339"/>
      <w:bookmarkEnd w:id="397"/>
      <w:bookmarkStart w:id="398" w:name="_Toc184312093"/>
      <w:bookmarkEnd w:id="398"/>
      <w:bookmarkStart w:id="399" w:name="_Toc184314462"/>
      <w:bookmarkEnd w:id="399"/>
      <w:bookmarkStart w:id="400" w:name="_Toc184314446"/>
      <w:bookmarkEnd w:id="400"/>
      <w:bookmarkStart w:id="401" w:name="_Toc184308101"/>
      <w:bookmarkEnd w:id="401"/>
      <w:bookmarkStart w:id="402" w:name="_Toc184313248"/>
      <w:bookmarkEnd w:id="402"/>
      <w:bookmarkStart w:id="403" w:name="_Toc184313273"/>
      <w:bookmarkEnd w:id="403"/>
      <w:bookmarkStart w:id="404" w:name="_Toc184310322"/>
      <w:bookmarkEnd w:id="404"/>
      <w:bookmarkStart w:id="405" w:name="_Toc184314470"/>
      <w:bookmarkEnd w:id="405"/>
      <w:bookmarkStart w:id="406" w:name="_Toc184313310"/>
      <w:bookmarkEnd w:id="406"/>
      <w:bookmarkStart w:id="407" w:name="_Toc184314432"/>
      <w:bookmarkEnd w:id="407"/>
      <w:bookmarkStart w:id="408" w:name="_Toc184313309"/>
      <w:bookmarkEnd w:id="408"/>
      <w:bookmarkStart w:id="409" w:name="_Toc184314471"/>
      <w:bookmarkEnd w:id="409"/>
      <w:bookmarkStart w:id="410" w:name="_Toc184308070"/>
      <w:bookmarkEnd w:id="410"/>
      <w:bookmarkStart w:id="411" w:name="_Toc184308082"/>
      <w:bookmarkEnd w:id="411"/>
      <w:bookmarkStart w:id="412" w:name="_Toc184308098"/>
      <w:bookmarkEnd w:id="412"/>
      <w:bookmarkStart w:id="413" w:name="_Toc184313297"/>
      <w:bookmarkEnd w:id="413"/>
      <w:bookmarkStart w:id="414" w:name="_Toc184314441"/>
      <w:bookmarkEnd w:id="414"/>
      <w:bookmarkStart w:id="415" w:name="_Toc184312084"/>
      <w:bookmarkEnd w:id="415"/>
      <w:bookmarkStart w:id="416" w:name="_Toc184312074"/>
      <w:bookmarkEnd w:id="416"/>
      <w:bookmarkStart w:id="417" w:name="_Toc184313239"/>
      <w:bookmarkEnd w:id="417"/>
      <w:bookmarkStart w:id="418" w:name="_Toc184314468"/>
      <w:bookmarkEnd w:id="418"/>
      <w:bookmarkStart w:id="419" w:name="_Toc184310332"/>
      <w:bookmarkEnd w:id="419"/>
      <w:bookmarkStart w:id="420" w:name="_Toc184314448"/>
      <w:bookmarkEnd w:id="420"/>
      <w:bookmarkStart w:id="421" w:name="_Toc184313264"/>
      <w:bookmarkEnd w:id="421"/>
      <w:bookmarkStart w:id="422" w:name="_Toc184312077"/>
      <w:bookmarkEnd w:id="422"/>
      <w:bookmarkStart w:id="423" w:name="_Toc184310293"/>
      <w:bookmarkEnd w:id="423"/>
      <w:bookmarkStart w:id="424" w:name="_Toc184313308"/>
      <w:bookmarkEnd w:id="424"/>
      <w:bookmarkStart w:id="425" w:name="_Toc184314475"/>
      <w:bookmarkEnd w:id="425"/>
      <w:bookmarkStart w:id="426" w:name="_Toc184313252"/>
      <w:bookmarkEnd w:id="426"/>
      <w:bookmarkStart w:id="427" w:name="_Toc184314425"/>
      <w:bookmarkEnd w:id="427"/>
      <w:bookmarkStart w:id="428" w:name="_Toc184308107"/>
      <w:bookmarkEnd w:id="428"/>
      <w:bookmarkStart w:id="429" w:name="_Toc184313250"/>
      <w:bookmarkEnd w:id="429"/>
      <w:bookmarkStart w:id="430" w:name="_Toc184310299"/>
      <w:bookmarkEnd w:id="430"/>
      <w:bookmarkStart w:id="431" w:name="_Toc184314433"/>
      <w:bookmarkEnd w:id="431"/>
      <w:bookmarkStart w:id="432" w:name="_Toc184314439"/>
      <w:bookmarkEnd w:id="432"/>
      <w:bookmarkStart w:id="433" w:name="_Toc184310310"/>
      <w:bookmarkEnd w:id="433"/>
      <w:bookmarkStart w:id="434" w:name="_Toc184310306"/>
      <w:bookmarkEnd w:id="434"/>
      <w:bookmarkStart w:id="435" w:name="_Toc184310273"/>
      <w:bookmarkEnd w:id="435"/>
      <w:bookmarkStart w:id="436" w:name="_Toc184308086"/>
      <w:bookmarkEnd w:id="436"/>
      <w:bookmarkStart w:id="437" w:name="_Toc184308094"/>
      <w:bookmarkEnd w:id="437"/>
      <w:bookmarkStart w:id="438" w:name="_Toc184312070"/>
      <w:bookmarkEnd w:id="438"/>
      <w:bookmarkStart w:id="439" w:name="_Toc184310326"/>
      <w:bookmarkEnd w:id="439"/>
      <w:bookmarkStart w:id="440" w:name="_Toc184310307"/>
      <w:bookmarkEnd w:id="440"/>
      <w:bookmarkStart w:id="441" w:name="_Toc184312068"/>
      <w:bookmarkEnd w:id="441"/>
      <w:bookmarkStart w:id="442" w:name="_Toc184312090"/>
      <w:bookmarkEnd w:id="442"/>
      <w:bookmarkStart w:id="443" w:name="_Toc184308056"/>
      <w:bookmarkEnd w:id="443"/>
      <w:bookmarkStart w:id="444" w:name="_Toc184308071"/>
      <w:bookmarkEnd w:id="444"/>
      <w:bookmarkStart w:id="445" w:name="_Toc184308093"/>
      <w:bookmarkEnd w:id="445"/>
      <w:bookmarkStart w:id="446" w:name="_Toc184314444"/>
      <w:bookmarkEnd w:id="446"/>
      <w:bookmarkStart w:id="447" w:name="_Toc184313254"/>
      <w:bookmarkEnd w:id="447"/>
      <w:bookmarkStart w:id="448" w:name="_Toc184310324"/>
      <w:bookmarkEnd w:id="448"/>
      <w:bookmarkStart w:id="449" w:name="_Toc184314478"/>
      <w:bookmarkEnd w:id="449"/>
      <w:bookmarkStart w:id="450" w:name="_Toc184312125"/>
      <w:bookmarkEnd w:id="450"/>
      <w:bookmarkStart w:id="451" w:name="_Toc184313299"/>
      <w:bookmarkEnd w:id="451"/>
      <w:bookmarkStart w:id="452" w:name="_Toc184313283"/>
      <w:bookmarkEnd w:id="452"/>
      <w:bookmarkStart w:id="453" w:name="_Toc184308079"/>
      <w:bookmarkEnd w:id="453"/>
      <w:bookmarkStart w:id="454" w:name="_Toc184313300"/>
      <w:bookmarkEnd w:id="454"/>
      <w:bookmarkStart w:id="455" w:name="_Toc184310320"/>
      <w:bookmarkEnd w:id="455"/>
      <w:bookmarkStart w:id="456" w:name="_Toc184308092"/>
      <w:bookmarkEnd w:id="456"/>
      <w:bookmarkStart w:id="457" w:name="_Toc184313249"/>
      <w:bookmarkEnd w:id="457"/>
      <w:bookmarkStart w:id="458" w:name="_Toc184308039"/>
      <w:bookmarkEnd w:id="458"/>
      <w:bookmarkStart w:id="459" w:name="_Toc184313279"/>
      <w:bookmarkEnd w:id="459"/>
      <w:bookmarkStart w:id="460" w:name="_Toc184312124"/>
      <w:bookmarkEnd w:id="460"/>
      <w:bookmarkStart w:id="461" w:name="_Toc184314459"/>
      <w:bookmarkEnd w:id="461"/>
      <w:bookmarkStart w:id="462" w:name="_Toc184312069"/>
      <w:bookmarkEnd w:id="462"/>
      <w:bookmarkStart w:id="463" w:name="_Toc184310283"/>
      <w:bookmarkEnd w:id="463"/>
      <w:bookmarkStart w:id="464" w:name="_Toc184308036"/>
      <w:bookmarkEnd w:id="464"/>
      <w:bookmarkStart w:id="465" w:name="_Toc184308046"/>
      <w:bookmarkEnd w:id="465"/>
      <w:bookmarkStart w:id="466" w:name="_Toc184310318"/>
      <w:bookmarkEnd w:id="466"/>
      <w:bookmarkStart w:id="467" w:name="_Toc184313284"/>
      <w:bookmarkEnd w:id="467"/>
      <w:bookmarkStart w:id="468" w:name="_Toc184310321"/>
      <w:bookmarkEnd w:id="468"/>
      <w:bookmarkStart w:id="469" w:name="_Toc184314476"/>
      <w:bookmarkEnd w:id="469"/>
      <w:bookmarkStart w:id="470" w:name="_Toc184310334"/>
      <w:bookmarkEnd w:id="470"/>
      <w:bookmarkStart w:id="471" w:name="_Toc184310319"/>
      <w:bookmarkEnd w:id="471"/>
      <w:bookmarkStart w:id="472" w:name="_Toc184312135"/>
      <w:bookmarkEnd w:id="472"/>
      <w:bookmarkStart w:id="473" w:name="_Toc184314450"/>
      <w:bookmarkEnd w:id="473"/>
      <w:bookmarkStart w:id="474" w:name="_Toc184308060"/>
      <w:bookmarkEnd w:id="474"/>
      <w:bookmarkStart w:id="475" w:name="_Toc184310291"/>
      <w:bookmarkEnd w:id="475"/>
      <w:bookmarkStart w:id="476" w:name="_Toc184314460"/>
      <w:bookmarkEnd w:id="476"/>
      <w:bookmarkStart w:id="477" w:name="_Toc184313295"/>
      <w:bookmarkEnd w:id="477"/>
      <w:bookmarkStart w:id="478" w:name="_Toc184310292"/>
      <w:bookmarkEnd w:id="478"/>
      <w:bookmarkStart w:id="479" w:name="_Toc184310343"/>
      <w:bookmarkEnd w:id="479"/>
      <w:bookmarkStart w:id="480" w:name="_Toc184312073"/>
      <w:bookmarkEnd w:id="480"/>
      <w:bookmarkStart w:id="481" w:name="_Toc184308084"/>
      <w:bookmarkEnd w:id="481"/>
      <w:bookmarkStart w:id="482" w:name="_Toc184308051"/>
      <w:bookmarkEnd w:id="482"/>
      <w:bookmarkStart w:id="483" w:name="_Toc184312138"/>
      <w:bookmarkEnd w:id="483"/>
      <w:bookmarkStart w:id="484" w:name="_Toc184313285"/>
      <w:bookmarkEnd w:id="484"/>
      <w:bookmarkStart w:id="485" w:name="_Toc184313301"/>
      <w:bookmarkEnd w:id="485"/>
      <w:bookmarkStart w:id="486" w:name="_Toc184310298"/>
      <w:bookmarkEnd w:id="486"/>
      <w:bookmarkStart w:id="487" w:name="_Toc184310336"/>
      <w:bookmarkEnd w:id="487"/>
      <w:bookmarkStart w:id="488" w:name="_Toc184310276"/>
      <w:bookmarkEnd w:id="488"/>
      <w:bookmarkStart w:id="489" w:name="_Toc184314417"/>
      <w:bookmarkEnd w:id="489"/>
      <w:bookmarkStart w:id="490" w:name="_Toc184313304"/>
      <w:bookmarkEnd w:id="490"/>
      <w:bookmarkStart w:id="491" w:name="_Toc184313280"/>
      <w:bookmarkEnd w:id="491"/>
      <w:bookmarkStart w:id="492" w:name="_Toc184314418"/>
      <w:bookmarkEnd w:id="492"/>
      <w:bookmarkStart w:id="493" w:name="_Toc184312083"/>
      <w:bookmarkEnd w:id="493"/>
      <w:bookmarkStart w:id="494" w:name="_Toc184314428"/>
      <w:bookmarkEnd w:id="494"/>
      <w:bookmarkStart w:id="495" w:name="_Toc184313290"/>
      <w:bookmarkEnd w:id="495"/>
      <w:bookmarkStart w:id="496" w:name="_Toc184312110"/>
      <w:bookmarkEnd w:id="496"/>
      <w:bookmarkStart w:id="497" w:name="_Toc184312096"/>
      <w:bookmarkEnd w:id="497"/>
      <w:bookmarkStart w:id="498" w:name="_Toc184312113"/>
      <w:bookmarkEnd w:id="498"/>
      <w:bookmarkStart w:id="499" w:name="_Toc184308048"/>
      <w:bookmarkEnd w:id="499"/>
      <w:bookmarkStart w:id="500" w:name="_Toc184308041"/>
      <w:bookmarkEnd w:id="500"/>
      <w:bookmarkStart w:id="501" w:name="_Toc184313277"/>
      <w:bookmarkEnd w:id="501"/>
      <w:bookmarkStart w:id="502" w:name="_Toc184308037"/>
      <w:bookmarkEnd w:id="502"/>
      <w:bookmarkStart w:id="503" w:name="_Toc184314424"/>
      <w:bookmarkEnd w:id="503"/>
      <w:bookmarkStart w:id="504" w:name="_Toc184310274"/>
      <w:bookmarkEnd w:id="504"/>
      <w:bookmarkStart w:id="505" w:name="_Toc184308065"/>
      <w:bookmarkEnd w:id="505"/>
      <w:bookmarkStart w:id="506" w:name="_Toc184314414"/>
      <w:bookmarkEnd w:id="506"/>
      <w:bookmarkStart w:id="507" w:name="_Toc184312123"/>
      <w:bookmarkEnd w:id="507"/>
      <w:bookmarkStart w:id="508" w:name="_Toc184314465"/>
      <w:bookmarkEnd w:id="508"/>
      <w:bookmarkStart w:id="509" w:name="_Toc184310288"/>
      <w:bookmarkEnd w:id="509"/>
      <w:bookmarkStart w:id="510" w:name="_Toc184308045"/>
      <w:bookmarkEnd w:id="510"/>
      <w:bookmarkStart w:id="511" w:name="_Toc184314447"/>
      <w:bookmarkEnd w:id="511"/>
      <w:bookmarkStart w:id="512" w:name="_Toc184314473"/>
      <w:bookmarkEnd w:id="512"/>
      <w:bookmarkStart w:id="513" w:name="_Toc184313253"/>
      <w:bookmarkEnd w:id="513"/>
      <w:bookmarkStart w:id="514" w:name="_Toc184308055"/>
      <w:bookmarkEnd w:id="514"/>
      <w:bookmarkStart w:id="515" w:name="_Toc184312098"/>
      <w:bookmarkEnd w:id="515"/>
      <w:bookmarkStart w:id="516" w:name="_Toc184310315"/>
      <w:bookmarkEnd w:id="516"/>
      <w:bookmarkStart w:id="517" w:name="_Toc184310328"/>
      <w:bookmarkEnd w:id="517"/>
      <w:bookmarkStart w:id="518" w:name="_Toc184314461"/>
      <w:bookmarkEnd w:id="518"/>
      <w:bookmarkStart w:id="519" w:name="_Toc184314436"/>
      <w:bookmarkEnd w:id="519"/>
      <w:bookmarkStart w:id="520" w:name="_Toc184308080"/>
      <w:bookmarkEnd w:id="520"/>
      <w:bookmarkStart w:id="521" w:name="_Toc184312095"/>
      <w:bookmarkEnd w:id="521"/>
      <w:bookmarkStart w:id="522" w:name="_Toc184313291"/>
      <w:bookmarkEnd w:id="522"/>
      <w:bookmarkStart w:id="523" w:name="_Toc184308087"/>
      <w:bookmarkEnd w:id="523"/>
      <w:bookmarkStart w:id="524" w:name="_Toc184314458"/>
      <w:bookmarkEnd w:id="524"/>
      <w:bookmarkStart w:id="525" w:name="_Toc184308054"/>
      <w:bookmarkEnd w:id="525"/>
      <w:bookmarkStart w:id="526" w:name="_Toc184312128"/>
      <w:bookmarkEnd w:id="526"/>
      <w:bookmarkStart w:id="527" w:name="_Toc184310340"/>
      <w:bookmarkEnd w:id="527"/>
      <w:bookmarkStart w:id="528" w:name="_Toc184312117"/>
      <w:bookmarkEnd w:id="528"/>
      <w:bookmarkStart w:id="529" w:name="_Toc184313278"/>
      <w:bookmarkEnd w:id="529"/>
      <w:bookmarkStart w:id="530" w:name="_Toc184314438"/>
      <w:bookmarkEnd w:id="530"/>
      <w:bookmarkStart w:id="531" w:name="_Toc184313305"/>
      <w:bookmarkEnd w:id="531"/>
      <w:bookmarkStart w:id="532" w:name="_Toc184312067"/>
      <w:bookmarkEnd w:id="532"/>
      <w:bookmarkStart w:id="533" w:name="_Toc184312132"/>
      <w:bookmarkEnd w:id="533"/>
      <w:bookmarkStart w:id="534" w:name="_Toc184308038"/>
      <w:bookmarkEnd w:id="534"/>
      <w:bookmarkStart w:id="535" w:name="_Toc184312137"/>
      <w:bookmarkEnd w:id="535"/>
      <w:bookmarkStart w:id="536" w:name="_Toc184312107"/>
      <w:bookmarkEnd w:id="536"/>
      <w:bookmarkStart w:id="537" w:name="_Toc184314480"/>
      <w:bookmarkEnd w:id="537"/>
      <w:bookmarkStart w:id="538" w:name="_Toc184312082"/>
      <w:bookmarkEnd w:id="538"/>
      <w:bookmarkStart w:id="539" w:name="_Toc184308106"/>
      <w:bookmarkEnd w:id="539"/>
      <w:bookmarkStart w:id="540" w:name="_Toc184308050"/>
      <w:bookmarkEnd w:id="540"/>
      <w:bookmarkStart w:id="541" w:name="_Toc184310333"/>
      <w:bookmarkEnd w:id="541"/>
      <w:bookmarkStart w:id="542" w:name="_Toc184314421"/>
      <w:bookmarkEnd w:id="542"/>
      <w:bookmarkStart w:id="543" w:name="_Toc184308095"/>
      <w:bookmarkEnd w:id="543"/>
      <w:bookmarkStart w:id="544" w:name="_Toc184310305"/>
      <w:bookmarkEnd w:id="544"/>
      <w:bookmarkStart w:id="545" w:name="_Toc184314477"/>
      <w:bookmarkEnd w:id="545"/>
      <w:bookmarkStart w:id="546" w:name="_Toc184312086"/>
      <w:bookmarkEnd w:id="546"/>
      <w:bookmarkStart w:id="547" w:name="_Toc184313302"/>
      <w:bookmarkEnd w:id="547"/>
      <w:bookmarkStart w:id="548" w:name="_Toc184312097"/>
      <w:bookmarkEnd w:id="548"/>
      <w:bookmarkStart w:id="549" w:name="_Toc184308081"/>
      <w:bookmarkEnd w:id="549"/>
      <w:bookmarkStart w:id="550" w:name="_Toc184313296"/>
      <w:bookmarkEnd w:id="550"/>
      <w:bookmarkStart w:id="551" w:name="_Toc184308053"/>
      <w:bookmarkEnd w:id="551"/>
      <w:bookmarkStart w:id="552" w:name="_Toc184312101"/>
      <w:bookmarkEnd w:id="552"/>
      <w:bookmarkStart w:id="553" w:name="_Toc184312079"/>
      <w:bookmarkEnd w:id="553"/>
      <w:bookmarkStart w:id="554" w:name="_Toc184314411"/>
      <w:bookmarkEnd w:id="554"/>
      <w:bookmarkStart w:id="555" w:name="_Toc184308064"/>
      <w:bookmarkEnd w:id="555"/>
      <w:bookmarkStart w:id="556" w:name="_Toc184312085"/>
      <w:bookmarkEnd w:id="556"/>
      <w:bookmarkStart w:id="557" w:name="_Toc184310297"/>
      <w:bookmarkEnd w:id="557"/>
      <w:bookmarkStart w:id="558" w:name="_Toc184310286"/>
      <w:bookmarkEnd w:id="558"/>
      <w:bookmarkStart w:id="559" w:name="_Toc184312108"/>
      <w:bookmarkEnd w:id="559"/>
      <w:bookmarkStart w:id="560" w:name="_Toc184313267"/>
      <w:bookmarkEnd w:id="560"/>
      <w:bookmarkStart w:id="561" w:name="_Toc184312078"/>
      <w:bookmarkEnd w:id="561"/>
      <w:bookmarkStart w:id="562" w:name="_Toc184314422"/>
      <w:bookmarkEnd w:id="562"/>
      <w:bookmarkStart w:id="563" w:name="_Toc184313293"/>
      <w:bookmarkEnd w:id="563"/>
      <w:bookmarkStart w:id="564" w:name="_Toc184308076"/>
      <w:bookmarkEnd w:id="564"/>
      <w:bookmarkStart w:id="565" w:name="_Toc184314457"/>
      <w:bookmarkEnd w:id="565"/>
      <w:bookmarkStart w:id="566" w:name="_Toc184313243"/>
      <w:bookmarkEnd w:id="566"/>
      <w:bookmarkStart w:id="567" w:name="_Toc184308078"/>
      <w:bookmarkEnd w:id="567"/>
      <w:bookmarkStart w:id="568" w:name="_Toc184313294"/>
      <w:bookmarkEnd w:id="568"/>
      <w:bookmarkStart w:id="569" w:name="_Toc184314482"/>
      <w:bookmarkEnd w:id="569"/>
      <w:bookmarkStart w:id="570" w:name="_Toc184308059"/>
      <w:bookmarkEnd w:id="570"/>
      <w:bookmarkStart w:id="571" w:name="_Toc184308040"/>
      <w:bookmarkEnd w:id="571"/>
      <w:bookmarkStart w:id="572" w:name="_Toc184310300"/>
      <w:bookmarkEnd w:id="572"/>
      <w:bookmarkStart w:id="573" w:name="_Toc184314419"/>
      <w:bookmarkEnd w:id="573"/>
      <w:bookmarkStart w:id="574" w:name="_Toc184310312"/>
      <w:bookmarkEnd w:id="574"/>
      <w:bookmarkStart w:id="575" w:name="_Toc184312127"/>
      <w:bookmarkEnd w:id="575"/>
      <w:bookmarkStart w:id="576" w:name="_Toc184310308"/>
      <w:bookmarkEnd w:id="576"/>
      <w:bookmarkStart w:id="577" w:name="_Toc184312102"/>
      <w:bookmarkEnd w:id="577"/>
      <w:bookmarkStart w:id="578" w:name="_Toc184310290"/>
      <w:bookmarkEnd w:id="578"/>
      <w:bookmarkStart w:id="579" w:name="_Toc184313238"/>
      <w:bookmarkEnd w:id="579"/>
      <w:bookmarkStart w:id="580" w:name="_Toc184310344"/>
      <w:bookmarkEnd w:id="580"/>
      <w:bookmarkStart w:id="581" w:name="_Toc184314445"/>
      <w:bookmarkEnd w:id="581"/>
      <w:bookmarkStart w:id="582" w:name="_Toc184308088"/>
      <w:bookmarkEnd w:id="582"/>
      <w:bookmarkStart w:id="583" w:name="_Toc184313255"/>
      <w:bookmarkEnd w:id="583"/>
      <w:bookmarkStart w:id="584" w:name="_Toc184312071"/>
      <w:bookmarkEnd w:id="584"/>
      <w:bookmarkStart w:id="585" w:name="_Toc184310341"/>
      <w:bookmarkEnd w:id="585"/>
      <w:bookmarkStart w:id="586" w:name="_Toc184310304"/>
      <w:bookmarkEnd w:id="586"/>
      <w:bookmarkStart w:id="587" w:name="_Toc184310296"/>
      <w:bookmarkEnd w:id="587"/>
      <w:bookmarkStart w:id="588" w:name="_Toc184313247"/>
      <w:bookmarkEnd w:id="588"/>
      <w:bookmarkStart w:id="589" w:name="_Toc184310301"/>
      <w:bookmarkEnd w:id="589"/>
      <w:bookmarkStart w:id="590" w:name="_Toc184310279"/>
      <w:bookmarkEnd w:id="590"/>
      <w:bookmarkStart w:id="591" w:name="_Toc184314481"/>
      <w:bookmarkEnd w:id="591"/>
      <w:bookmarkStart w:id="592" w:name="_Toc184312072"/>
      <w:bookmarkEnd w:id="592"/>
      <w:bookmarkStart w:id="593" w:name="_Toc184313271"/>
      <w:bookmarkEnd w:id="593"/>
      <w:bookmarkStart w:id="594" w:name="_Toc184312087"/>
      <w:bookmarkEnd w:id="594"/>
      <w:bookmarkStart w:id="595" w:name="_Toc184314427"/>
      <w:bookmarkEnd w:id="595"/>
      <w:bookmarkStart w:id="596" w:name="_Toc184314464"/>
      <w:bookmarkEnd w:id="596"/>
      <w:bookmarkStart w:id="597" w:name="_Toc184310287"/>
      <w:bookmarkEnd w:id="597"/>
      <w:bookmarkStart w:id="598" w:name="_Toc184314413"/>
      <w:bookmarkEnd w:id="598"/>
      <w:bookmarkStart w:id="599" w:name="_Toc184314452"/>
      <w:bookmarkEnd w:id="599"/>
      <w:bookmarkStart w:id="600" w:name="_Toc184308066"/>
      <w:bookmarkEnd w:id="600"/>
      <w:bookmarkStart w:id="601" w:name="_Toc184313276"/>
      <w:bookmarkEnd w:id="601"/>
      <w:bookmarkStart w:id="602" w:name="_Toc184312120"/>
      <w:bookmarkEnd w:id="602"/>
      <w:bookmarkStart w:id="603" w:name="_Toc184313262"/>
      <w:bookmarkEnd w:id="603"/>
      <w:bookmarkStart w:id="604" w:name="_Toc184313306"/>
      <w:bookmarkEnd w:id="604"/>
      <w:bookmarkStart w:id="605" w:name="_Toc184313256"/>
      <w:bookmarkEnd w:id="605"/>
      <w:bookmarkStart w:id="606" w:name="_Toc184312092"/>
      <w:bookmarkEnd w:id="606"/>
      <w:bookmarkStart w:id="607" w:name="_Toc184310277"/>
      <w:bookmarkEnd w:id="607"/>
      <w:bookmarkStart w:id="608" w:name="_Toc184308074"/>
      <w:bookmarkEnd w:id="608"/>
      <w:bookmarkStart w:id="609" w:name="_Toc184310284"/>
      <w:bookmarkEnd w:id="609"/>
      <w:bookmarkStart w:id="610" w:name="_Toc184310323"/>
      <w:bookmarkEnd w:id="610"/>
      <w:bookmarkStart w:id="611" w:name="_Toc184312088"/>
      <w:bookmarkEnd w:id="611"/>
      <w:bookmarkStart w:id="612" w:name="_Toc184313268"/>
      <w:bookmarkEnd w:id="612"/>
      <w:bookmarkStart w:id="613" w:name="_Toc184310295"/>
      <w:bookmarkEnd w:id="613"/>
      <w:bookmarkStart w:id="614" w:name="_Toc184308068"/>
      <w:bookmarkEnd w:id="614"/>
      <w:bookmarkStart w:id="615" w:name="_Toc184313298"/>
      <w:bookmarkEnd w:id="615"/>
      <w:bookmarkStart w:id="616" w:name="_Toc184312121"/>
      <w:bookmarkEnd w:id="616"/>
      <w:bookmarkStart w:id="617" w:name="_Toc184312081"/>
      <w:bookmarkEnd w:id="617"/>
      <w:bookmarkStart w:id="618" w:name="_Toc184313307"/>
      <w:bookmarkEnd w:id="618"/>
      <w:bookmarkStart w:id="619" w:name="_Toc184313244"/>
      <w:bookmarkEnd w:id="619"/>
      <w:bookmarkStart w:id="620" w:name="_Toc184310302"/>
      <w:bookmarkEnd w:id="620"/>
      <w:bookmarkStart w:id="621" w:name="_Toc184310282"/>
      <w:bookmarkEnd w:id="621"/>
      <w:bookmarkStart w:id="622" w:name="_Toc184313241"/>
      <w:bookmarkEnd w:id="622"/>
      <w:bookmarkStart w:id="623" w:name="_Toc184314440"/>
      <w:bookmarkEnd w:id="623"/>
      <w:bookmarkStart w:id="624" w:name="_Toc184308099"/>
      <w:bookmarkEnd w:id="624"/>
      <w:bookmarkStart w:id="625" w:name="_Toc184312114"/>
      <w:bookmarkEnd w:id="625"/>
      <w:bookmarkStart w:id="626" w:name="_Toc184314437"/>
      <w:bookmarkEnd w:id="626"/>
      <w:bookmarkStart w:id="627" w:name="_Toc184312136"/>
      <w:bookmarkEnd w:id="627"/>
      <w:bookmarkStart w:id="628" w:name="_Toc184310327"/>
      <w:bookmarkEnd w:id="628"/>
      <w:bookmarkStart w:id="629" w:name="_Toc184310281"/>
      <w:bookmarkEnd w:id="629"/>
      <w:bookmarkStart w:id="630" w:name="_Toc184314474"/>
      <w:bookmarkEnd w:id="630"/>
      <w:bookmarkStart w:id="631" w:name="_Toc184313303"/>
      <w:bookmarkEnd w:id="631"/>
      <w:bookmarkStart w:id="632" w:name="_Toc184314430"/>
      <w:bookmarkEnd w:id="632"/>
      <w:bookmarkStart w:id="633" w:name="_Toc184313240"/>
      <w:bookmarkEnd w:id="633"/>
      <w:bookmarkStart w:id="634" w:name="_Toc184312131"/>
      <w:bookmarkEnd w:id="634"/>
      <w:bookmarkStart w:id="635" w:name="_Toc184308083"/>
      <w:bookmarkEnd w:id="635"/>
      <w:bookmarkStart w:id="636" w:name="_Toc184314426"/>
      <w:bookmarkEnd w:id="636"/>
      <w:bookmarkStart w:id="637" w:name="_Toc184313272"/>
      <w:bookmarkEnd w:id="637"/>
      <w:bookmarkStart w:id="638" w:name="_Toc184312111"/>
      <w:bookmarkEnd w:id="638"/>
      <w:bookmarkStart w:id="639" w:name="_Toc184313263"/>
      <w:bookmarkEnd w:id="639"/>
      <w:bookmarkStart w:id="640" w:name="_Toc184313245"/>
      <w:bookmarkEnd w:id="640"/>
      <w:bookmarkStart w:id="641" w:name="_Toc184313292"/>
      <w:bookmarkEnd w:id="641"/>
      <w:bookmarkStart w:id="642" w:name="_Toc184313265"/>
      <w:bookmarkEnd w:id="642"/>
      <w:bookmarkStart w:id="643" w:name="_Toc184314435"/>
      <w:bookmarkEnd w:id="643"/>
      <w:bookmarkStart w:id="644" w:name="_Toc184308063"/>
      <w:bookmarkEnd w:id="644"/>
      <w:bookmarkStart w:id="645" w:name="_Toc184312076"/>
      <w:bookmarkEnd w:id="645"/>
      <w:bookmarkStart w:id="646" w:name="_Toc184310303"/>
      <w:bookmarkEnd w:id="646"/>
      <w:bookmarkStart w:id="647" w:name="_Toc184313257"/>
      <w:bookmarkEnd w:id="647"/>
      <w:bookmarkStart w:id="648" w:name="_Toc184310330"/>
      <w:bookmarkEnd w:id="648"/>
      <w:bookmarkStart w:id="649" w:name="_Toc184314469"/>
      <w:bookmarkEnd w:id="649"/>
      <w:bookmarkStart w:id="650" w:name="_Toc184312129"/>
      <w:bookmarkEnd w:id="650"/>
      <w:bookmarkStart w:id="651" w:name="_Toc184314466"/>
      <w:bookmarkEnd w:id="651"/>
      <w:bookmarkStart w:id="652" w:name="_Toc184308061"/>
      <w:bookmarkEnd w:id="652"/>
      <w:r>
        <w:rPr>
          <w:rFonts w:hint="eastAsia" w:ascii="宋体" w:hAnsi="宋体" w:eastAsia="宋体" w:cs="宋体"/>
          <w:b/>
          <w:color w:val="auto"/>
          <w:kern w:val="44"/>
          <w:sz w:val="32"/>
          <w:szCs w:val="32"/>
          <w:highlight w:val="none"/>
          <w:lang w:val="en-US" w:eastAsia="zh-CN" w:bidi="ar-SA"/>
        </w:rPr>
        <w:t>评标办法</w:t>
      </w:r>
      <w:bookmarkEnd w:id="240"/>
      <w:bookmarkEnd w:id="287"/>
    </w:p>
    <w:p>
      <w:pPr>
        <w:shd w:val="clear" w:color="auto" w:fill="auto"/>
        <w:spacing w:line="360" w:lineRule="auto"/>
        <w:outlineLvl w:val="0"/>
        <w:rPr>
          <w:rFonts w:hint="eastAsia" w:ascii="宋体" w:hAnsi="宋体" w:eastAsia="宋体" w:cs="宋体"/>
          <w:b/>
          <w:color w:val="auto"/>
          <w:sz w:val="28"/>
          <w:szCs w:val="28"/>
          <w:highlight w:val="none"/>
        </w:rPr>
      </w:pPr>
      <w:bookmarkStart w:id="653" w:name="_Toc23909"/>
      <w:bookmarkStart w:id="654" w:name="_Toc1569"/>
      <w:bookmarkStart w:id="655" w:name="_Toc7854"/>
      <w:bookmarkStart w:id="656" w:name="_Toc27513"/>
      <w:bookmarkStart w:id="657" w:name="_Toc30193"/>
      <w:r>
        <w:rPr>
          <w:rFonts w:hint="eastAsia" w:ascii="宋体" w:hAnsi="宋体" w:cs="宋体"/>
          <w:b/>
          <w:color w:val="auto"/>
          <w:sz w:val="28"/>
          <w:szCs w:val="28"/>
          <w:highlight w:val="none"/>
          <w:lang w:val="en-US" w:eastAsia="zh-CN"/>
        </w:rPr>
        <w:t>一</w:t>
      </w:r>
      <w:r>
        <w:rPr>
          <w:rFonts w:hint="eastAsia" w:ascii="宋体" w:hAnsi="宋体" w:eastAsia="宋体" w:cs="宋体"/>
          <w:b/>
          <w:color w:val="auto"/>
          <w:sz w:val="28"/>
          <w:szCs w:val="28"/>
          <w:highlight w:val="none"/>
        </w:rPr>
        <w:t>、评标程序</w:t>
      </w:r>
      <w:bookmarkEnd w:id="653"/>
      <w:bookmarkEnd w:id="654"/>
      <w:bookmarkEnd w:id="655"/>
      <w:bookmarkEnd w:id="656"/>
      <w:bookmarkEnd w:id="657"/>
    </w:p>
    <w:p>
      <w:pPr>
        <w:shd w:val="clear" w:color="auto" w:fill="auto"/>
        <w:spacing w:line="360" w:lineRule="auto"/>
        <w:ind w:firstLine="413" w:firstLineChars="196"/>
        <w:rPr>
          <w:rFonts w:hint="eastAsia"/>
          <w:color w:val="auto"/>
          <w:highlight w:val="none"/>
        </w:rPr>
      </w:pPr>
      <w:r>
        <w:rPr>
          <w:rFonts w:hint="eastAsia" w:ascii="宋体" w:hAnsi="宋体" w:eastAsia="宋体" w:cs="宋体"/>
          <w:b/>
          <w:bCs w:val="0"/>
          <w:color w:val="auto"/>
          <w:kern w:val="0"/>
          <w:sz w:val="21"/>
          <w:szCs w:val="20"/>
          <w:highlight w:val="none"/>
          <w:lang w:val="en-US" w:eastAsia="zh-CN"/>
        </w:rPr>
        <w:t>1.</w:t>
      </w:r>
      <w:r>
        <w:rPr>
          <w:rFonts w:hint="eastAsia"/>
          <w:b/>
          <w:bCs w:val="0"/>
          <w:color w:val="auto"/>
          <w:highlight w:val="none"/>
        </w:rPr>
        <w:t>资格性检查。</w:t>
      </w:r>
      <w:r>
        <w:rPr>
          <w:rFonts w:hint="eastAsia"/>
          <w:color w:val="auto"/>
          <w:highlight w:val="none"/>
        </w:rPr>
        <w:t>依据法律法规和采购文件的规定，对</w:t>
      </w:r>
      <w:r>
        <w:rPr>
          <w:rFonts w:hint="eastAsia" w:ascii="宋体" w:hAnsi="宋体" w:cs="宋体"/>
          <w:color w:val="auto"/>
          <w:kern w:val="0"/>
          <w:sz w:val="21"/>
          <w:szCs w:val="20"/>
          <w:highlight w:val="none"/>
          <w:lang w:val="en-US" w:eastAsia="zh-CN"/>
        </w:rPr>
        <w:t>商谈供应商</w:t>
      </w:r>
      <w:r>
        <w:rPr>
          <w:rFonts w:hint="eastAsia" w:ascii="宋体" w:hAnsi="宋体" w:eastAsia="宋体" w:cs="宋体"/>
          <w:color w:val="auto"/>
          <w:kern w:val="0"/>
          <w:sz w:val="21"/>
          <w:szCs w:val="20"/>
          <w:highlight w:val="none"/>
        </w:rPr>
        <w:t>的</w:t>
      </w:r>
      <w:r>
        <w:rPr>
          <w:rFonts w:hint="eastAsia" w:ascii="宋体" w:hAnsi="宋体" w:cs="宋体"/>
          <w:color w:val="auto"/>
          <w:kern w:val="0"/>
          <w:sz w:val="21"/>
          <w:szCs w:val="20"/>
          <w:highlight w:val="none"/>
          <w:lang w:eastAsia="zh-CN"/>
        </w:rPr>
        <w:t>采购响应文件</w:t>
      </w:r>
      <w:r>
        <w:rPr>
          <w:rFonts w:hint="eastAsia"/>
          <w:color w:val="auto"/>
          <w:highlight w:val="none"/>
        </w:rPr>
        <w:t>中的资格证明文件等进行审查。</w:t>
      </w:r>
    </w:p>
    <w:p>
      <w:pPr>
        <w:shd w:val="clear" w:color="auto" w:fill="auto"/>
        <w:spacing w:line="360" w:lineRule="auto"/>
        <w:ind w:firstLine="413" w:firstLineChars="196"/>
        <w:rPr>
          <w:rFonts w:hint="eastAsia" w:ascii="宋体" w:hAnsi="宋体" w:eastAsia="宋体" w:cs="宋体"/>
          <w:color w:val="auto"/>
          <w:kern w:val="0"/>
          <w:sz w:val="21"/>
          <w:szCs w:val="20"/>
          <w:highlight w:val="none"/>
        </w:rPr>
      </w:pPr>
      <w:r>
        <w:rPr>
          <w:rFonts w:hint="eastAsia"/>
          <w:b/>
          <w:bCs/>
          <w:color w:val="auto"/>
          <w:highlight w:val="none"/>
          <w:lang w:val="en-US" w:eastAsia="zh-CN"/>
        </w:rPr>
        <w:t>2.</w:t>
      </w:r>
      <w:r>
        <w:rPr>
          <w:rFonts w:hint="eastAsia" w:ascii="宋体" w:hAnsi="宋体" w:eastAsia="宋体" w:cs="宋体"/>
          <w:b/>
          <w:bCs/>
          <w:color w:val="auto"/>
          <w:kern w:val="0"/>
          <w:sz w:val="21"/>
          <w:szCs w:val="20"/>
          <w:highlight w:val="none"/>
        </w:rPr>
        <w:t>符合性审查。</w:t>
      </w:r>
      <w:r>
        <w:rPr>
          <w:rFonts w:hint="eastAsia"/>
          <w:color w:val="auto"/>
          <w:highlight w:val="none"/>
        </w:rPr>
        <w:t>依据采购文件的规定，从</w:t>
      </w:r>
      <w:r>
        <w:rPr>
          <w:rFonts w:hint="eastAsia"/>
          <w:color w:val="auto"/>
          <w:highlight w:val="none"/>
          <w:lang w:val="en-US" w:eastAsia="zh-CN"/>
        </w:rPr>
        <w:t>采购</w:t>
      </w:r>
      <w:r>
        <w:rPr>
          <w:rFonts w:hint="eastAsia"/>
          <w:color w:val="auto"/>
          <w:highlight w:val="none"/>
        </w:rPr>
        <w:t>响应文件的有效性、完整性和对采购文件的响应程度进行审查。实质性内容和格式严重不符合有关规定或不响应采购文件要求的，经商谈小组认定作无效投标处理，不再进入后续商谈。</w:t>
      </w:r>
    </w:p>
    <w:p>
      <w:pPr>
        <w:shd w:val="clear" w:color="auto" w:fill="auto"/>
        <w:spacing w:line="360" w:lineRule="auto"/>
        <w:ind w:firstLine="413" w:firstLineChars="196"/>
        <w:rPr>
          <w:rFonts w:hint="eastAsia" w:ascii="Times New Roman" w:hAnsi="Times New Roman" w:eastAsia="宋体" w:cs="Times New Roman"/>
          <w:color w:val="auto"/>
          <w:highlight w:val="none"/>
        </w:rPr>
      </w:pPr>
      <w:r>
        <w:rPr>
          <w:rFonts w:hint="eastAsia" w:ascii="宋体" w:hAnsi="宋体" w:cs="宋体"/>
          <w:b/>
          <w:bCs w:val="0"/>
          <w:color w:val="auto"/>
          <w:kern w:val="0"/>
          <w:sz w:val="21"/>
          <w:szCs w:val="20"/>
          <w:highlight w:val="none"/>
          <w:lang w:val="en-US" w:eastAsia="zh-CN"/>
        </w:rPr>
        <w:t>3</w:t>
      </w:r>
      <w:r>
        <w:rPr>
          <w:rFonts w:hint="eastAsia" w:ascii="宋体" w:hAnsi="宋体" w:eastAsia="宋体" w:cs="宋体"/>
          <w:b/>
          <w:bCs w:val="0"/>
          <w:color w:val="auto"/>
          <w:kern w:val="0"/>
          <w:sz w:val="21"/>
          <w:szCs w:val="20"/>
          <w:highlight w:val="none"/>
        </w:rPr>
        <w:t xml:space="preserve"> </w:t>
      </w:r>
      <w:r>
        <w:rPr>
          <w:rFonts w:hint="eastAsia" w:ascii="宋体" w:hAnsi="宋体" w:eastAsia="宋体" w:cs="宋体"/>
          <w:b/>
          <w:bCs w:val="0"/>
          <w:color w:val="auto"/>
          <w:kern w:val="0"/>
          <w:sz w:val="21"/>
          <w:szCs w:val="20"/>
          <w:highlight w:val="none"/>
          <w:lang w:val="en-US" w:eastAsia="zh-CN"/>
        </w:rPr>
        <w:t>.</w:t>
      </w:r>
      <w:r>
        <w:rPr>
          <w:rFonts w:hint="eastAsia"/>
          <w:b/>
          <w:bCs w:val="0"/>
          <w:color w:val="auto"/>
          <w:highlight w:val="none"/>
        </w:rPr>
        <w:t>在线商谈</w:t>
      </w:r>
      <w:r>
        <w:rPr>
          <w:rFonts w:hint="eastAsia"/>
          <w:b/>
          <w:bCs w:val="0"/>
          <w:color w:val="auto"/>
          <w:highlight w:val="none"/>
          <w:lang w:eastAsia="zh-CN"/>
        </w:rPr>
        <w:t>。</w:t>
      </w:r>
      <w:r>
        <w:rPr>
          <w:rFonts w:hint="eastAsia"/>
          <w:color w:val="auto"/>
          <w:highlight w:val="none"/>
        </w:rPr>
        <w:t>商谈小组所有成员集中与单一供应商进行在线商谈，商谈的内容可能涉及服务（货物或工程）要求、价格、售后服务、合同草案，采购人的权利和义务、履约期限和方式、资金支付要求、验收标准等。</w:t>
      </w:r>
      <w:r>
        <w:rPr>
          <w:rFonts w:hint="eastAsia"/>
          <w:color w:val="auto"/>
          <w:highlight w:val="none"/>
          <w:lang w:val="en-US" w:eastAsia="zh-CN"/>
        </w:rPr>
        <w:t>商谈</w:t>
      </w:r>
      <w:r>
        <w:rPr>
          <w:rFonts w:hint="eastAsia"/>
          <w:color w:val="auto"/>
          <w:highlight w:val="none"/>
        </w:rPr>
        <w:t>供</w:t>
      </w:r>
      <w:r>
        <w:rPr>
          <w:rFonts w:hint="eastAsia" w:ascii="Times New Roman" w:hAnsi="Times New Roman" w:eastAsia="宋体" w:cs="Times New Roman"/>
          <w:color w:val="auto"/>
          <w:highlight w:val="none"/>
        </w:rPr>
        <w:t>应商所作的重要答复均应补充以书面形式（或通过“政府采购云平台”在线答复），作为响应文件的一部分，</w:t>
      </w:r>
      <w:r>
        <w:rPr>
          <w:rFonts w:hint="eastAsia" w:ascii="Times New Roman" w:hAnsi="Times New Roman" w:eastAsia="宋体" w:cs="Times New Roman"/>
          <w:color w:val="auto"/>
          <w:highlight w:val="none"/>
          <w:lang w:val="en-US" w:eastAsia="zh-CN"/>
        </w:rPr>
        <w:t>商谈</w:t>
      </w:r>
      <w:r>
        <w:rPr>
          <w:rFonts w:hint="eastAsia" w:ascii="Times New Roman" w:hAnsi="Times New Roman" w:eastAsia="宋体" w:cs="Times New Roman"/>
          <w:color w:val="auto"/>
          <w:highlight w:val="none"/>
        </w:rPr>
        <w:t>对供应商有约束力。</w:t>
      </w:r>
    </w:p>
    <w:p>
      <w:pPr>
        <w:shd w:val="clear" w:color="auto" w:fill="auto"/>
        <w:spacing w:line="360" w:lineRule="auto"/>
        <w:ind w:firstLine="411" w:firstLineChars="196"/>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为了更好地实现采购目标，商谈小组可以修改单一来源采购文件，对采购需求、合同草案作出实质性变动，并以书面形式（或通过“政府采购云平台”在线答复）通知参加的供应商。供应商收到修改采购文件的通知后，可以决定是否继续参加采购活动。供应商应当按照采购文件的变动情况和商谈小组的要求重新提交响应文件</w:t>
      </w:r>
      <w:r>
        <w:rPr>
          <w:rFonts w:hint="eastAsia" w:ascii="Times New Roman" w:hAnsi="Times New Roman" w:eastAsia="宋体" w:cs="Times New Roman"/>
          <w:color w:val="auto"/>
          <w:highlight w:val="none"/>
          <w:lang w:eastAsia="zh-CN"/>
        </w:rPr>
        <w:t>。</w:t>
      </w:r>
    </w:p>
    <w:p>
      <w:pPr>
        <w:shd w:val="clear" w:color="auto" w:fill="auto"/>
        <w:spacing w:line="360" w:lineRule="auto"/>
        <w:ind w:firstLine="411" w:firstLineChars="196"/>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b/>
          <w:bCs w:val="0"/>
          <w:color w:val="auto"/>
          <w:highlight w:val="none"/>
          <w:lang w:val="en-US" w:eastAsia="zh-CN"/>
        </w:rPr>
        <w:t>商谈结束后，商谈小组将根据商谈结果（最后报价是否高于政府采购预算金额，供应商是否提出采购人无法接受的条款等），向采购人提出是否成交的意见，供采购人决定是否成交，并出具协商情况记录。</w:t>
      </w:r>
    </w:p>
    <w:p>
      <w:pPr>
        <w:numPr>
          <w:ilvl w:val="0"/>
          <w:numId w:val="0"/>
        </w:numPr>
        <w:shd w:val="clear" w:color="auto" w:fill="auto"/>
        <w:spacing w:line="360" w:lineRule="auto"/>
        <w:ind w:left="420" w:leftChars="0"/>
        <w:rPr>
          <w:rFonts w:hint="eastAsia" w:ascii="Times New Roman" w:hAnsi="Times New Roman" w:eastAsia="宋体" w:cs="Times New Roman"/>
          <w:b w:val="0"/>
          <w:bCs/>
          <w:color w:val="auto"/>
          <w:highlight w:val="none"/>
        </w:rPr>
      </w:pPr>
      <w:r>
        <w:rPr>
          <w:rFonts w:hint="eastAsia" w:ascii="Times New Roman" w:hAnsi="Times New Roman" w:eastAsia="宋体" w:cs="Times New Roman"/>
          <w:b/>
          <w:bCs w:val="0"/>
          <w:color w:val="auto"/>
          <w:highlight w:val="none"/>
          <w:lang w:val="en-US" w:eastAsia="zh-CN"/>
        </w:rPr>
        <w:t>5.</w:t>
      </w:r>
      <w:r>
        <w:rPr>
          <w:rFonts w:hint="eastAsia" w:ascii="Times New Roman" w:hAnsi="Times New Roman" w:eastAsia="宋体" w:cs="Times New Roman"/>
          <w:b/>
          <w:bCs w:val="0"/>
          <w:color w:val="auto"/>
          <w:highlight w:val="none"/>
        </w:rPr>
        <w:t>最后报价。</w:t>
      </w:r>
      <w:r>
        <w:rPr>
          <w:rFonts w:hint="eastAsia" w:ascii="Times New Roman" w:hAnsi="Times New Roman" w:eastAsia="宋体" w:cs="Times New Roman"/>
          <w:b w:val="0"/>
          <w:bCs/>
          <w:color w:val="auto"/>
          <w:highlight w:val="none"/>
          <w:lang w:val="en-US" w:eastAsia="zh-CN"/>
        </w:rPr>
        <w:t>商谈</w:t>
      </w:r>
      <w:r>
        <w:rPr>
          <w:rFonts w:hint="eastAsia" w:ascii="Times New Roman" w:hAnsi="Times New Roman" w:eastAsia="宋体" w:cs="Times New Roman"/>
          <w:b w:val="0"/>
          <w:bCs/>
          <w:color w:val="auto"/>
          <w:highlight w:val="none"/>
        </w:rPr>
        <w:t>供应商在规定时间内最后报价。</w:t>
      </w:r>
    </w:p>
    <w:p>
      <w:pPr>
        <w:numPr>
          <w:ilvl w:val="0"/>
          <w:numId w:val="0"/>
        </w:numPr>
        <w:shd w:val="clear" w:color="auto" w:fill="auto"/>
        <w:spacing w:line="360" w:lineRule="auto"/>
        <w:ind w:left="420" w:leftChars="0"/>
        <w:rPr>
          <w:rFonts w:hint="eastAsia" w:ascii="Times New Roman" w:hAnsi="Times New Roman" w:eastAsia="宋体" w:cs="Times New Roman"/>
          <w:b/>
          <w:bCs w:val="0"/>
          <w:color w:val="auto"/>
          <w:highlight w:val="none"/>
        </w:rPr>
      </w:pPr>
      <w:r>
        <w:rPr>
          <w:rFonts w:hint="eastAsia" w:ascii="Times New Roman" w:hAnsi="Times New Roman" w:eastAsia="宋体" w:cs="Times New Roman"/>
          <w:b/>
          <w:bCs w:val="0"/>
          <w:color w:val="auto"/>
          <w:highlight w:val="none"/>
          <w:lang w:val="en-US" w:eastAsia="zh-CN"/>
        </w:rPr>
        <w:t>6.</w:t>
      </w:r>
      <w:r>
        <w:rPr>
          <w:rFonts w:hint="eastAsia" w:ascii="Times New Roman" w:hAnsi="Times New Roman" w:eastAsia="宋体" w:cs="Times New Roman"/>
          <w:b/>
          <w:bCs w:val="0"/>
          <w:color w:val="auto"/>
          <w:highlight w:val="none"/>
        </w:rPr>
        <w:t>推荐。</w:t>
      </w:r>
      <w:r>
        <w:rPr>
          <w:rFonts w:hint="eastAsia" w:ascii="Times New Roman" w:hAnsi="Times New Roman" w:eastAsia="宋体" w:cs="Times New Roman"/>
          <w:b/>
          <w:bCs w:val="0"/>
          <w:color w:val="auto"/>
          <w:highlight w:val="none"/>
          <w:lang w:val="en-US" w:eastAsia="zh-CN"/>
        </w:rPr>
        <w:t>推荐</w:t>
      </w:r>
      <w:r>
        <w:rPr>
          <w:rFonts w:hint="eastAsia" w:ascii="Times New Roman" w:hAnsi="Times New Roman" w:eastAsia="宋体" w:cs="Times New Roman"/>
          <w:b/>
          <w:bCs w:val="0"/>
          <w:color w:val="auto"/>
          <w:highlight w:val="none"/>
          <w:lang w:eastAsia="zh-CN"/>
        </w:rPr>
        <w:t>采购响应文件</w:t>
      </w:r>
      <w:r>
        <w:rPr>
          <w:rFonts w:hint="eastAsia" w:ascii="Times New Roman" w:hAnsi="Times New Roman" w:eastAsia="宋体" w:cs="Times New Roman"/>
          <w:b/>
          <w:bCs w:val="0"/>
          <w:color w:val="auto"/>
          <w:highlight w:val="none"/>
        </w:rPr>
        <w:t>满足</w:t>
      </w:r>
      <w:r>
        <w:rPr>
          <w:rFonts w:hint="eastAsia" w:ascii="Times New Roman" w:hAnsi="Times New Roman" w:eastAsia="宋体" w:cs="Times New Roman"/>
          <w:b/>
          <w:bCs w:val="0"/>
          <w:color w:val="auto"/>
          <w:highlight w:val="none"/>
          <w:lang w:eastAsia="zh-CN"/>
        </w:rPr>
        <w:t>采购文件</w:t>
      </w:r>
      <w:r>
        <w:rPr>
          <w:rFonts w:hint="eastAsia" w:ascii="Times New Roman" w:hAnsi="Times New Roman" w:eastAsia="宋体" w:cs="Times New Roman"/>
          <w:b/>
          <w:bCs w:val="0"/>
          <w:color w:val="auto"/>
          <w:highlight w:val="none"/>
        </w:rPr>
        <w:t>全部实质性要求的</w:t>
      </w:r>
      <w:r>
        <w:rPr>
          <w:rFonts w:hint="eastAsia" w:ascii="Times New Roman" w:hAnsi="Times New Roman" w:eastAsia="宋体" w:cs="Times New Roman"/>
          <w:b/>
          <w:bCs w:val="0"/>
          <w:color w:val="auto"/>
          <w:highlight w:val="none"/>
          <w:lang w:val="en-US" w:eastAsia="zh-CN"/>
        </w:rPr>
        <w:t>商谈供应商</w:t>
      </w:r>
      <w:r>
        <w:rPr>
          <w:rFonts w:hint="eastAsia" w:ascii="Times New Roman" w:hAnsi="Times New Roman" w:eastAsia="宋体" w:cs="Times New Roman"/>
          <w:b/>
          <w:bCs w:val="0"/>
          <w:color w:val="auto"/>
          <w:highlight w:val="none"/>
        </w:rPr>
        <w:t>为</w:t>
      </w:r>
      <w:r>
        <w:rPr>
          <w:rFonts w:hint="eastAsia" w:ascii="Times New Roman" w:hAnsi="Times New Roman" w:eastAsia="宋体" w:cs="Times New Roman"/>
          <w:b/>
          <w:bCs w:val="0"/>
          <w:color w:val="auto"/>
          <w:highlight w:val="none"/>
          <w:lang w:val="en-US" w:eastAsia="zh-CN"/>
        </w:rPr>
        <w:t>成交</w:t>
      </w:r>
      <w:r>
        <w:rPr>
          <w:rFonts w:hint="eastAsia" w:ascii="Times New Roman" w:hAnsi="Times New Roman" w:eastAsia="宋体" w:cs="Times New Roman"/>
          <w:b/>
          <w:bCs w:val="0"/>
          <w:color w:val="auto"/>
          <w:highlight w:val="none"/>
        </w:rPr>
        <w:t>候选人。</w:t>
      </w:r>
    </w:p>
    <w:p>
      <w:pPr>
        <w:shd w:val="clear" w:color="auto" w:fill="auto"/>
        <w:spacing w:line="360" w:lineRule="auto"/>
        <w:ind w:firstLine="413" w:firstLineChars="196"/>
        <w:rPr>
          <w:rFonts w:hint="eastAsia"/>
          <w:lang w:val="en-US" w:eastAsia="zh-CN"/>
        </w:rPr>
      </w:pPr>
      <w:r>
        <w:rPr>
          <w:rFonts w:hint="eastAsia" w:ascii="Times New Roman" w:hAnsi="Times New Roman" w:eastAsia="宋体" w:cs="Times New Roman"/>
          <w:b/>
          <w:bCs w:val="0"/>
          <w:color w:val="auto"/>
          <w:highlight w:val="none"/>
          <w:lang w:val="en-US" w:eastAsia="zh-CN"/>
        </w:rPr>
        <w:t>7..</w:t>
      </w:r>
      <w:r>
        <w:rPr>
          <w:rFonts w:hint="eastAsia" w:ascii="Times New Roman" w:hAnsi="Times New Roman" w:eastAsia="宋体" w:cs="Times New Roman"/>
          <w:b/>
          <w:bCs w:val="0"/>
          <w:color w:val="auto"/>
          <w:highlight w:val="none"/>
        </w:rPr>
        <w:t>编写评标报告。</w:t>
      </w:r>
      <w:r>
        <w:rPr>
          <w:rFonts w:hint="eastAsia" w:ascii="Times New Roman" w:hAnsi="Times New Roman" w:eastAsia="宋体" w:cs="Times New Roman"/>
          <w:b w:val="0"/>
          <w:bCs/>
          <w:color w:val="auto"/>
          <w:highlight w:val="none"/>
          <w:lang w:eastAsia="zh-CN"/>
        </w:rPr>
        <w:t>商谈小组</w:t>
      </w:r>
      <w:r>
        <w:rPr>
          <w:rFonts w:hint="eastAsia" w:ascii="Times New Roman" w:hAnsi="Times New Roman" w:eastAsia="宋体" w:cs="Times New Roman"/>
          <w:b w:val="0"/>
          <w:bCs/>
          <w:color w:val="auto"/>
          <w:highlight w:val="none"/>
        </w:rPr>
        <w:t>根据全体成员签字的原始评标记录和评标结果</w:t>
      </w:r>
      <w:r>
        <w:rPr>
          <w:rFonts w:hint="eastAsia" w:ascii="Times New Roman" w:hAnsi="Times New Roman" w:eastAsia="宋体" w:cs="Times New Roman"/>
          <w:b w:val="0"/>
          <w:bCs/>
          <w:color w:val="auto"/>
          <w:highlight w:val="none"/>
          <w:lang w:eastAsia="zh-CN"/>
        </w:rPr>
        <w:t>，</w:t>
      </w:r>
      <w:r>
        <w:rPr>
          <w:rFonts w:hint="eastAsia" w:ascii="Times New Roman" w:hAnsi="Times New Roman" w:eastAsia="宋体" w:cs="Times New Roman"/>
          <w:b w:val="0"/>
          <w:bCs/>
          <w:color w:val="auto"/>
          <w:highlight w:val="none"/>
        </w:rPr>
        <w:t>编写评标报告。</w:t>
      </w:r>
      <w:r>
        <w:rPr>
          <w:rFonts w:hint="eastAsia" w:ascii="Times New Roman" w:hAnsi="Times New Roman" w:eastAsia="宋体" w:cs="Times New Roman"/>
          <w:b w:val="0"/>
          <w:bCs/>
          <w:color w:val="auto"/>
          <w:highlight w:val="none"/>
          <w:lang w:eastAsia="zh-CN"/>
        </w:rPr>
        <w:t>商谈小组</w:t>
      </w:r>
      <w:r>
        <w:rPr>
          <w:rFonts w:hint="eastAsia" w:ascii="Times New Roman" w:hAnsi="Times New Roman" w:eastAsia="宋体" w:cs="Times New Roman"/>
          <w:b w:val="0"/>
          <w:bCs/>
          <w:color w:val="auto"/>
          <w:highlight w:val="none"/>
        </w:rPr>
        <w:t>成员对需要共同认定的事项存在争议的，应当按照少数服从多数的原则作出结论。持不同意见的</w:t>
      </w:r>
      <w:r>
        <w:rPr>
          <w:rFonts w:hint="eastAsia" w:ascii="Times New Roman" w:hAnsi="Times New Roman" w:eastAsia="宋体" w:cs="Times New Roman"/>
          <w:b w:val="0"/>
          <w:bCs/>
          <w:color w:val="auto"/>
          <w:highlight w:val="none"/>
          <w:lang w:eastAsia="zh-CN"/>
        </w:rPr>
        <w:t>商谈小组</w:t>
      </w:r>
      <w:r>
        <w:rPr>
          <w:rFonts w:hint="eastAsia" w:ascii="Times New Roman" w:hAnsi="Times New Roman" w:eastAsia="宋体" w:cs="Times New Roman"/>
          <w:b w:val="0"/>
          <w:bCs/>
          <w:color w:val="auto"/>
          <w:highlight w:val="none"/>
        </w:rPr>
        <w:t>成员应当在评标报告上签署不同意见及理由，否则视为同意评标报告。</w:t>
      </w:r>
    </w:p>
    <w:p>
      <w:pPr>
        <w:shd w:val="clear" w:color="auto" w:fill="auto"/>
        <w:spacing w:line="360" w:lineRule="auto"/>
        <w:ind w:firstLine="413" w:firstLineChars="196"/>
        <w:rPr>
          <w:rFonts w:hint="eastAsia" w:ascii="Times New Roman" w:hAnsi="Times New Roman" w:eastAsia="宋体" w:cs="Times New Roman"/>
          <w:b w:val="0"/>
          <w:bCs/>
          <w:color w:val="auto"/>
          <w:highlight w:val="none"/>
        </w:rPr>
      </w:pPr>
      <w:r>
        <w:rPr>
          <w:rFonts w:hint="eastAsia" w:ascii="Times New Roman" w:hAnsi="Times New Roman" w:eastAsia="宋体" w:cs="Times New Roman"/>
          <w:b/>
          <w:bCs w:val="0"/>
          <w:color w:val="auto"/>
          <w:highlight w:val="none"/>
          <w:lang w:val="en-US" w:eastAsia="zh-CN"/>
        </w:rPr>
        <w:t>8.商谈要求及原则。</w:t>
      </w:r>
      <w:r>
        <w:rPr>
          <w:rFonts w:hint="eastAsia" w:ascii="Times New Roman" w:hAnsi="Times New Roman" w:eastAsia="宋体" w:cs="Times New Roman"/>
          <w:b w:val="0"/>
          <w:bCs/>
          <w:color w:val="auto"/>
          <w:highlight w:val="none"/>
        </w:rPr>
        <w:t>在商谈期间，供应商企图影响采购人或商谈小组的任何活动，都将导致商谈被拒绝，并由其承担相应的法律责任。商谈的原则是，在保证采购项目质量和双方商定的合理价格的基础上进行采购；采购人有决定是否成交的权利，供应商不得以任何理由对此决定做出异议。</w:t>
      </w:r>
    </w:p>
    <w:p>
      <w:pPr>
        <w:shd w:val="clear" w:color="auto" w:fill="auto"/>
        <w:spacing w:line="360" w:lineRule="auto"/>
        <w:rPr>
          <w:rFonts w:hint="eastAsia" w:ascii="宋体" w:hAnsi="宋体" w:eastAsia="宋体" w:cs="宋体"/>
          <w:b/>
          <w:color w:val="auto"/>
          <w:kern w:val="0"/>
          <w:sz w:val="21"/>
          <w:szCs w:val="20"/>
          <w:highlight w:val="none"/>
        </w:rPr>
      </w:pPr>
      <w:r>
        <w:rPr>
          <w:rFonts w:hint="eastAsia" w:ascii="宋体" w:hAnsi="宋体" w:cs="宋体"/>
          <w:b/>
          <w:color w:val="auto"/>
          <w:kern w:val="0"/>
          <w:sz w:val="21"/>
          <w:szCs w:val="20"/>
          <w:highlight w:val="none"/>
          <w:lang w:val="en-US" w:eastAsia="zh-CN"/>
        </w:rPr>
        <w:t>二、</w:t>
      </w:r>
      <w:r>
        <w:rPr>
          <w:rFonts w:hint="eastAsia" w:ascii="宋体" w:hAnsi="宋体" w:eastAsia="宋体" w:cs="宋体"/>
          <w:b/>
          <w:color w:val="auto"/>
          <w:kern w:val="0"/>
          <w:sz w:val="21"/>
          <w:szCs w:val="20"/>
          <w:highlight w:val="none"/>
        </w:rPr>
        <w:t>报价评审。</w:t>
      </w:r>
    </w:p>
    <w:p>
      <w:pPr>
        <w:pStyle w:val="25"/>
        <w:shd w:val="clear" w:color="auto" w:fill="auto"/>
        <w:spacing w:before="0"/>
        <w:ind w:firstLine="445" w:firstLineChars="212"/>
        <w:rPr>
          <w:rFonts w:hint="eastAsia" w:ascii="宋体" w:hAnsi="宋体" w:eastAsia="宋体" w:cs="宋体"/>
          <w:color w:val="auto"/>
          <w:kern w:val="0"/>
          <w:sz w:val="21"/>
          <w:szCs w:val="20"/>
          <w:highlight w:val="none"/>
        </w:rPr>
      </w:pPr>
      <w:r>
        <w:rPr>
          <w:rFonts w:hint="eastAsia" w:ascii="宋体" w:hAnsi="宋体" w:cs="宋体"/>
          <w:color w:val="auto"/>
          <w:kern w:val="0"/>
          <w:sz w:val="21"/>
          <w:szCs w:val="20"/>
          <w:highlight w:val="none"/>
          <w:lang w:val="en-US" w:eastAsia="zh-CN"/>
        </w:rPr>
        <w:t>1.1</w:t>
      </w:r>
      <w:r>
        <w:rPr>
          <w:rFonts w:hint="eastAsia" w:ascii="宋体" w:hAnsi="宋体" w:cs="宋体"/>
          <w:color w:val="auto"/>
          <w:kern w:val="0"/>
          <w:sz w:val="21"/>
          <w:szCs w:val="20"/>
          <w:highlight w:val="none"/>
          <w:lang w:eastAsia="zh-CN"/>
        </w:rPr>
        <w:t>采购响应文件</w:t>
      </w:r>
      <w:r>
        <w:rPr>
          <w:rFonts w:hint="eastAsia" w:ascii="宋体" w:hAnsi="宋体" w:eastAsia="宋体" w:cs="宋体"/>
          <w:color w:val="auto"/>
          <w:kern w:val="0"/>
          <w:sz w:val="21"/>
          <w:szCs w:val="20"/>
          <w:highlight w:val="none"/>
        </w:rPr>
        <w:t>报价出现前后不一致的，按照下列规定修正：</w:t>
      </w:r>
    </w:p>
    <w:p>
      <w:pPr>
        <w:pStyle w:val="25"/>
        <w:shd w:val="clear" w:color="auto" w:fill="auto"/>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1</w:t>
      </w:r>
      <w:r>
        <w:rPr>
          <w:rFonts w:hint="eastAsia" w:ascii="宋体" w:hAnsi="宋体" w:cs="宋体"/>
          <w:color w:val="auto"/>
          <w:kern w:val="0"/>
          <w:sz w:val="21"/>
          <w:szCs w:val="16"/>
          <w:highlight w:val="none"/>
          <w:lang w:eastAsia="zh-CN"/>
        </w:rPr>
        <w:t>）采购响应文件</w:t>
      </w:r>
      <w:r>
        <w:rPr>
          <w:rFonts w:hint="eastAsia" w:ascii="宋体" w:hAnsi="宋体" w:eastAsia="宋体" w:cs="宋体"/>
          <w:color w:val="auto"/>
          <w:kern w:val="0"/>
          <w:sz w:val="21"/>
          <w:szCs w:val="16"/>
          <w:highlight w:val="none"/>
        </w:rPr>
        <w:t>中开标一览表(报价表)内容与</w:t>
      </w:r>
      <w:r>
        <w:rPr>
          <w:rFonts w:hint="eastAsia" w:ascii="宋体" w:hAnsi="宋体" w:cs="宋体"/>
          <w:color w:val="auto"/>
          <w:kern w:val="0"/>
          <w:sz w:val="21"/>
          <w:szCs w:val="16"/>
          <w:highlight w:val="none"/>
          <w:lang w:eastAsia="zh-CN"/>
        </w:rPr>
        <w:t>采购响应文件</w:t>
      </w:r>
      <w:r>
        <w:rPr>
          <w:rFonts w:hint="eastAsia" w:ascii="宋体" w:hAnsi="宋体" w:eastAsia="宋体" w:cs="宋体"/>
          <w:color w:val="auto"/>
          <w:kern w:val="0"/>
          <w:sz w:val="21"/>
          <w:szCs w:val="16"/>
          <w:highlight w:val="none"/>
        </w:rPr>
        <w:t>中相应内容不一致的，以开标一览表(报价表)为准;</w:t>
      </w:r>
    </w:p>
    <w:p>
      <w:pPr>
        <w:pStyle w:val="25"/>
        <w:shd w:val="clear" w:color="auto" w:fill="auto"/>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2</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大写金额和小写金额不一致的，以大写金额为准;</w:t>
      </w:r>
    </w:p>
    <w:p>
      <w:pPr>
        <w:pStyle w:val="25"/>
        <w:shd w:val="clear" w:color="auto" w:fill="auto"/>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单价金额小数点或者百分比有明显错位的，以开标一览表的总价为准，并修改单价;</w:t>
      </w:r>
    </w:p>
    <w:p>
      <w:pPr>
        <w:pStyle w:val="25"/>
        <w:shd w:val="clear" w:color="auto" w:fill="auto"/>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4</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总价金额与按单价汇总金额不一致的，以单价金额计算结果为准。</w:t>
      </w:r>
    </w:p>
    <w:p>
      <w:pPr>
        <w:pStyle w:val="25"/>
        <w:shd w:val="clear" w:color="auto" w:fill="auto"/>
        <w:spacing w:before="0"/>
        <w:ind w:firstLine="445" w:firstLineChars="212"/>
        <w:rPr>
          <w:rFonts w:hint="eastAsia" w:ascii="宋体" w:hAnsi="宋体" w:eastAsia="宋体" w:cs="宋体"/>
          <w:color w:val="auto"/>
          <w:kern w:val="0"/>
          <w:sz w:val="21"/>
          <w:szCs w:val="16"/>
          <w:highlight w:val="none"/>
          <w:lang w:eastAsia="zh-CN"/>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5</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同时出现两种以上不一致的，按照</w:t>
      </w:r>
      <w:r>
        <w:rPr>
          <w:rFonts w:hint="eastAsia" w:ascii="宋体" w:hAnsi="宋体" w:cs="宋体"/>
          <w:color w:val="auto"/>
          <w:kern w:val="0"/>
          <w:sz w:val="21"/>
          <w:szCs w:val="16"/>
          <w:highlight w:val="none"/>
          <w:lang w:val="en-US" w:eastAsia="zh-CN"/>
        </w:rPr>
        <w:t>前款规定</w:t>
      </w:r>
      <w:r>
        <w:rPr>
          <w:rFonts w:hint="eastAsia" w:ascii="宋体" w:hAnsi="宋体" w:eastAsia="宋体" w:cs="宋体"/>
          <w:color w:val="auto"/>
          <w:kern w:val="0"/>
          <w:sz w:val="21"/>
          <w:szCs w:val="16"/>
          <w:highlight w:val="none"/>
        </w:rPr>
        <w:t>的顺序修正。修正后的报价按照财政部第87号令《政府采购货物和服务招标投标管理办法》第五十一条第二款的规定经</w:t>
      </w:r>
      <w:r>
        <w:rPr>
          <w:rFonts w:hint="eastAsia" w:ascii="宋体" w:hAnsi="宋体" w:cs="宋体"/>
          <w:color w:val="auto"/>
          <w:kern w:val="0"/>
          <w:sz w:val="21"/>
          <w:szCs w:val="16"/>
          <w:highlight w:val="none"/>
          <w:lang w:val="en-US" w:eastAsia="zh-CN"/>
        </w:rPr>
        <w:t>商谈供应商</w:t>
      </w:r>
      <w:r>
        <w:rPr>
          <w:rFonts w:hint="eastAsia" w:ascii="宋体" w:hAnsi="宋体" w:eastAsia="宋体" w:cs="宋体"/>
          <w:color w:val="auto"/>
          <w:kern w:val="0"/>
          <w:sz w:val="21"/>
          <w:szCs w:val="16"/>
          <w:highlight w:val="none"/>
        </w:rPr>
        <w:t>确认后产生约束力。</w:t>
      </w:r>
    </w:p>
    <w:p>
      <w:pPr>
        <w:pStyle w:val="25"/>
        <w:shd w:val="clear" w:color="auto" w:fill="auto"/>
        <w:spacing w:before="0"/>
        <w:ind w:firstLine="445" w:firstLineChars="212"/>
        <w:rPr>
          <w:rFonts w:hint="eastAsia" w:ascii="宋体" w:hAnsi="宋体" w:eastAsia="宋体" w:cs="宋体"/>
          <w:color w:val="auto"/>
          <w:kern w:val="0"/>
          <w:sz w:val="21"/>
          <w:szCs w:val="20"/>
          <w:highlight w:val="none"/>
        </w:rPr>
      </w:pPr>
      <w:r>
        <w:rPr>
          <w:rFonts w:hint="eastAsia" w:ascii="宋体" w:hAnsi="宋体" w:cs="宋体"/>
          <w:color w:val="auto"/>
          <w:kern w:val="0"/>
          <w:sz w:val="21"/>
          <w:szCs w:val="20"/>
          <w:highlight w:val="none"/>
          <w:lang w:val="en-US" w:eastAsia="zh-CN"/>
        </w:rPr>
        <w:t>1.2</w:t>
      </w:r>
      <w:r>
        <w:rPr>
          <w:rFonts w:hint="eastAsia" w:ascii="宋体" w:hAnsi="宋体" w:cs="宋体"/>
          <w:b w:val="0"/>
          <w:bCs w:val="0"/>
          <w:color w:val="auto"/>
          <w:kern w:val="0"/>
          <w:sz w:val="21"/>
          <w:szCs w:val="20"/>
          <w:highlight w:val="none"/>
          <w:lang w:eastAsia="zh-CN"/>
        </w:rPr>
        <w:t>采购响应文件</w:t>
      </w:r>
      <w:r>
        <w:rPr>
          <w:rFonts w:hint="eastAsia" w:ascii="宋体" w:hAnsi="宋体" w:eastAsia="宋体" w:cs="宋体"/>
          <w:b w:val="0"/>
          <w:bCs w:val="0"/>
          <w:color w:val="auto"/>
          <w:kern w:val="0"/>
          <w:sz w:val="21"/>
          <w:szCs w:val="20"/>
          <w:highlight w:val="none"/>
        </w:rPr>
        <w:t>出现不是唯一的、有选择性投标报价的，投标无效。</w:t>
      </w:r>
    </w:p>
    <w:p>
      <w:pPr>
        <w:pStyle w:val="25"/>
        <w:shd w:val="clear" w:color="auto" w:fill="auto"/>
        <w:spacing w:before="0"/>
        <w:ind w:firstLine="445" w:firstLineChars="212"/>
        <w:rPr>
          <w:rFonts w:hint="eastAsia" w:ascii="宋体" w:hAnsi="宋体" w:eastAsia="宋体" w:cs="宋体"/>
          <w:b w:val="0"/>
          <w:bCs w:val="0"/>
          <w:color w:val="auto"/>
          <w:kern w:val="0"/>
          <w:sz w:val="21"/>
          <w:szCs w:val="20"/>
          <w:highlight w:val="none"/>
        </w:rPr>
      </w:pPr>
      <w:r>
        <w:rPr>
          <w:rFonts w:hint="eastAsia" w:ascii="宋体" w:hAnsi="宋体" w:cs="宋体"/>
          <w:color w:val="auto"/>
          <w:kern w:val="0"/>
          <w:sz w:val="21"/>
          <w:szCs w:val="20"/>
          <w:highlight w:val="none"/>
          <w:lang w:val="en-US" w:eastAsia="zh-CN"/>
        </w:rPr>
        <w:t>1</w:t>
      </w:r>
      <w:r>
        <w:rPr>
          <w:rFonts w:hint="eastAsia" w:ascii="宋体" w:hAnsi="宋体" w:eastAsia="宋体" w:cs="宋体"/>
          <w:color w:val="auto"/>
          <w:kern w:val="0"/>
          <w:sz w:val="21"/>
          <w:szCs w:val="20"/>
          <w:highlight w:val="none"/>
        </w:rPr>
        <w:t>.3</w:t>
      </w:r>
      <w:r>
        <w:rPr>
          <w:rFonts w:hint="eastAsia" w:ascii="宋体" w:hAnsi="宋体" w:eastAsia="宋体" w:cs="宋体"/>
          <w:b w:val="0"/>
          <w:bCs w:val="0"/>
          <w:color w:val="auto"/>
          <w:kern w:val="0"/>
          <w:sz w:val="21"/>
          <w:szCs w:val="20"/>
          <w:highlight w:val="none"/>
        </w:rPr>
        <w:t>投标报价超过</w:t>
      </w:r>
      <w:r>
        <w:rPr>
          <w:rFonts w:hint="eastAsia" w:ascii="宋体" w:hAnsi="宋体" w:cs="宋体"/>
          <w:b w:val="0"/>
          <w:bCs w:val="0"/>
          <w:color w:val="auto"/>
          <w:kern w:val="0"/>
          <w:sz w:val="21"/>
          <w:szCs w:val="20"/>
          <w:highlight w:val="none"/>
          <w:lang w:eastAsia="zh-CN"/>
        </w:rPr>
        <w:t>采购文件</w:t>
      </w:r>
      <w:r>
        <w:rPr>
          <w:rFonts w:hint="eastAsia" w:ascii="宋体" w:hAnsi="宋体" w:eastAsia="宋体" w:cs="宋体"/>
          <w:b w:val="0"/>
          <w:bCs w:val="0"/>
          <w:color w:val="auto"/>
          <w:kern w:val="0"/>
          <w:sz w:val="21"/>
          <w:szCs w:val="20"/>
          <w:highlight w:val="none"/>
        </w:rPr>
        <w:t>中规定的预算金额或者最高限价的，投标无效。</w:t>
      </w:r>
    </w:p>
    <w:p>
      <w:pPr>
        <w:pStyle w:val="25"/>
        <w:shd w:val="clear" w:color="auto" w:fill="auto"/>
        <w:spacing w:before="0"/>
        <w:ind w:firstLine="445" w:firstLineChars="212"/>
        <w:rPr>
          <w:rFonts w:hint="eastAsia" w:ascii="宋体" w:hAnsi="宋体" w:eastAsia="宋体" w:cs="宋体"/>
          <w:b/>
          <w:bCs/>
          <w:color w:val="auto"/>
          <w:kern w:val="0"/>
          <w:sz w:val="21"/>
          <w:szCs w:val="16"/>
          <w:highlight w:val="none"/>
        </w:rPr>
      </w:pPr>
      <w:r>
        <w:rPr>
          <w:rFonts w:hint="eastAsia" w:ascii="宋体" w:hAnsi="宋体" w:cs="宋体"/>
          <w:color w:val="auto"/>
          <w:kern w:val="0"/>
          <w:sz w:val="21"/>
          <w:szCs w:val="16"/>
          <w:highlight w:val="none"/>
          <w:lang w:val="en-US" w:eastAsia="zh-CN"/>
        </w:rPr>
        <w:t>1</w:t>
      </w:r>
      <w:r>
        <w:rPr>
          <w:rFonts w:hint="eastAsia" w:ascii="宋体" w:hAnsi="宋体" w:eastAsia="宋体" w:cs="宋体"/>
          <w:color w:val="auto"/>
          <w:kern w:val="0"/>
          <w:sz w:val="21"/>
          <w:szCs w:val="16"/>
          <w:highlight w:val="none"/>
        </w:rPr>
        <w:t>.4</w:t>
      </w:r>
      <w:r>
        <w:rPr>
          <w:rFonts w:hint="eastAsia" w:ascii="宋体" w:hAnsi="宋体" w:cs="宋体"/>
          <w:color w:val="auto"/>
          <w:kern w:val="0"/>
          <w:sz w:val="21"/>
          <w:szCs w:val="16"/>
          <w:highlight w:val="none"/>
          <w:lang w:eastAsia="zh-CN"/>
        </w:rPr>
        <w:t>商谈小组</w:t>
      </w:r>
      <w:r>
        <w:rPr>
          <w:rFonts w:hint="eastAsia" w:ascii="宋体" w:hAnsi="宋体" w:eastAsia="宋体" w:cs="宋体"/>
          <w:color w:val="auto"/>
          <w:kern w:val="0"/>
          <w:sz w:val="21"/>
          <w:szCs w:val="16"/>
          <w:highlight w:val="none"/>
        </w:rPr>
        <w:t>认为</w:t>
      </w:r>
      <w:r>
        <w:rPr>
          <w:rFonts w:hint="eastAsia" w:ascii="宋体" w:hAnsi="宋体" w:cs="宋体"/>
          <w:color w:val="auto"/>
          <w:kern w:val="0"/>
          <w:sz w:val="21"/>
          <w:szCs w:val="16"/>
          <w:highlight w:val="none"/>
          <w:lang w:eastAsia="zh-CN"/>
        </w:rPr>
        <w:t>商谈供应商</w:t>
      </w:r>
      <w:r>
        <w:rPr>
          <w:rFonts w:hint="eastAsia" w:ascii="宋体" w:hAnsi="宋体" w:eastAsia="宋体" w:cs="宋体"/>
          <w:color w:val="auto"/>
          <w:kern w:val="0"/>
          <w:sz w:val="21"/>
          <w:szCs w:val="16"/>
          <w:highlight w:val="none"/>
        </w:rPr>
        <w:t>的报价有可能影响产品质量或者不能诚信履约的，应当要求其在合理的时间内提供书面说明，必要时提交相关证明材料;</w:t>
      </w:r>
      <w:r>
        <w:rPr>
          <w:rFonts w:hint="eastAsia" w:ascii="宋体" w:hAnsi="宋体" w:cs="宋体"/>
          <w:b w:val="0"/>
          <w:bCs w:val="0"/>
          <w:color w:val="auto"/>
          <w:kern w:val="0"/>
          <w:sz w:val="21"/>
          <w:szCs w:val="16"/>
          <w:highlight w:val="none"/>
          <w:lang w:eastAsia="zh-CN"/>
        </w:rPr>
        <w:t>商谈供应商</w:t>
      </w:r>
      <w:r>
        <w:rPr>
          <w:rFonts w:hint="eastAsia" w:ascii="宋体" w:hAnsi="宋体" w:eastAsia="宋体" w:cs="宋体"/>
          <w:b w:val="0"/>
          <w:bCs w:val="0"/>
          <w:color w:val="auto"/>
          <w:kern w:val="0"/>
          <w:sz w:val="21"/>
          <w:szCs w:val="16"/>
          <w:highlight w:val="none"/>
        </w:rPr>
        <w:t>不能证明其报价合理性的，</w:t>
      </w:r>
      <w:r>
        <w:rPr>
          <w:rFonts w:hint="eastAsia" w:ascii="宋体" w:hAnsi="宋体" w:cs="宋体"/>
          <w:b w:val="0"/>
          <w:bCs w:val="0"/>
          <w:color w:val="auto"/>
          <w:kern w:val="0"/>
          <w:sz w:val="21"/>
          <w:szCs w:val="16"/>
          <w:highlight w:val="none"/>
          <w:lang w:eastAsia="zh-CN"/>
        </w:rPr>
        <w:t>商谈小组</w:t>
      </w:r>
      <w:r>
        <w:rPr>
          <w:rFonts w:hint="eastAsia" w:ascii="宋体" w:hAnsi="宋体" w:eastAsia="宋体" w:cs="宋体"/>
          <w:b w:val="0"/>
          <w:bCs w:val="0"/>
          <w:color w:val="auto"/>
          <w:kern w:val="0"/>
          <w:sz w:val="21"/>
          <w:szCs w:val="16"/>
          <w:highlight w:val="none"/>
        </w:rPr>
        <w:t>应当将其作为无效投标处理。</w:t>
      </w:r>
    </w:p>
    <w:p>
      <w:pPr>
        <w:pStyle w:val="25"/>
        <w:shd w:val="clear" w:color="auto" w:fill="auto"/>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val="en-US" w:eastAsia="zh-CN"/>
        </w:rPr>
        <w:t>1</w:t>
      </w:r>
      <w:r>
        <w:rPr>
          <w:rFonts w:hint="eastAsia" w:ascii="宋体" w:hAnsi="宋体" w:eastAsia="宋体" w:cs="宋体"/>
          <w:color w:val="auto"/>
          <w:kern w:val="0"/>
          <w:sz w:val="21"/>
          <w:szCs w:val="16"/>
          <w:highlight w:val="none"/>
        </w:rPr>
        <w:t>.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 w:val="21"/>
          <w:szCs w:val="16"/>
          <w:highlight w:val="none"/>
          <w:lang w:val="en-US" w:eastAsia="zh-CN"/>
        </w:rPr>
        <w:t>4%</w:t>
      </w:r>
      <w:r>
        <w:rPr>
          <w:rFonts w:hint="eastAsia" w:ascii="宋体" w:hAnsi="宋体" w:eastAsia="宋体" w:cs="宋体"/>
          <w:color w:val="auto"/>
          <w:kern w:val="0"/>
          <w:sz w:val="21"/>
          <w:szCs w:val="16"/>
          <w:highlight w:val="none"/>
        </w:rPr>
        <w:t>的扣除，用扣除后的价格参加评审。组成联合体或者接受分包的小微企业与联合体内其他企业、分包企业之间存在直接控股、管理关系的，不享受价格扣除优惠政策。</w:t>
      </w:r>
    </w:p>
    <w:p>
      <w:pPr>
        <w:shd w:val="clear" w:color="auto" w:fill="auto"/>
        <w:spacing w:line="360" w:lineRule="auto"/>
        <w:rPr>
          <w:rFonts w:hint="eastAsia" w:ascii="宋体" w:hAnsi="宋体" w:eastAsia="宋体" w:cs="宋体"/>
          <w:b/>
          <w:color w:val="auto"/>
          <w:kern w:val="0"/>
          <w:sz w:val="21"/>
          <w:szCs w:val="20"/>
          <w:highlight w:val="none"/>
        </w:rPr>
      </w:pPr>
      <w:bookmarkStart w:id="658" w:name="_Toc4739"/>
      <w:bookmarkStart w:id="659" w:name="_Toc29927"/>
      <w:bookmarkStart w:id="660" w:name="_Toc7388"/>
      <w:r>
        <w:rPr>
          <w:rFonts w:hint="eastAsia" w:ascii="宋体" w:hAnsi="宋体" w:eastAsia="宋体" w:cs="宋体"/>
          <w:b/>
          <w:color w:val="auto"/>
          <w:kern w:val="0"/>
          <w:sz w:val="21"/>
          <w:szCs w:val="20"/>
          <w:highlight w:val="none"/>
          <w:lang w:val="en-US" w:eastAsia="zh-CN"/>
        </w:rPr>
        <w:t>三</w:t>
      </w:r>
      <w:r>
        <w:rPr>
          <w:rFonts w:hint="eastAsia" w:ascii="宋体" w:hAnsi="宋体" w:eastAsia="宋体" w:cs="宋体"/>
          <w:b/>
          <w:color w:val="auto"/>
          <w:kern w:val="0"/>
          <w:sz w:val="21"/>
          <w:szCs w:val="20"/>
          <w:highlight w:val="none"/>
        </w:rPr>
        <w:t>、评标中的其他事项</w:t>
      </w:r>
      <w:bookmarkEnd w:id="658"/>
      <w:bookmarkEnd w:id="659"/>
      <w:bookmarkEnd w:id="660"/>
    </w:p>
    <w:p>
      <w:pPr>
        <w:pStyle w:val="25"/>
        <w:shd w:val="clear" w:color="auto" w:fill="auto"/>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cs="宋体"/>
          <w:b/>
          <w:color w:val="auto"/>
          <w:kern w:val="0"/>
          <w:sz w:val="21"/>
          <w:szCs w:val="21"/>
          <w:highlight w:val="none"/>
          <w:lang w:val="en-US" w:eastAsia="zh-CN"/>
        </w:rPr>
        <w:t>.商谈供应商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中含义不明确、同类问题表述不一致或者有明显文字和计算错误的内容需要商谈供应商作出必要的澄清、说明或者补正的，</w:t>
      </w:r>
      <w:r>
        <w:rPr>
          <w:rFonts w:hint="eastAsia" w:ascii="宋体" w:hAnsi="宋体" w:cs="宋体"/>
          <w:color w:val="auto"/>
          <w:kern w:val="0"/>
          <w:sz w:val="21"/>
          <w:szCs w:val="21"/>
          <w:highlight w:val="none"/>
          <w:lang w:eastAsia="zh-CN"/>
        </w:rPr>
        <w:t>商谈小组</w:t>
      </w:r>
      <w:r>
        <w:rPr>
          <w:rFonts w:hint="eastAsia" w:ascii="宋体" w:hAnsi="宋体" w:eastAsia="宋体" w:cs="宋体"/>
          <w:color w:val="auto"/>
          <w:kern w:val="0"/>
          <w:sz w:val="21"/>
          <w:szCs w:val="21"/>
          <w:highlight w:val="none"/>
        </w:rPr>
        <w:t>和商谈供应商通过电子交易平台交换数据电文，商谈供应商提交使用电子签名的相关数据电文或通过平台上传加盖公章的扫描件。给予商谈供应商提交澄清、说明或补正的时间不得少于半小时，商谈供应商已经明确表示澄清说明或补正完毕的除外。商谈供应商的澄清、说明或者补正不得超出</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的范围或者改变</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的实质性内容。</w:t>
      </w:r>
    </w:p>
    <w:p>
      <w:pPr>
        <w:pStyle w:val="6"/>
        <w:shd w:val="clear" w:color="auto" w:fill="auto"/>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2</w:t>
      </w:r>
      <w:r>
        <w:rPr>
          <w:rFonts w:hint="eastAsia" w:ascii="宋体" w:hAnsi="宋体" w:eastAsia="宋体" w:cs="宋体"/>
          <w:b/>
          <w:color w:val="auto"/>
          <w:kern w:val="0"/>
          <w:highlight w:val="none"/>
          <w:lang w:val="en-US" w:eastAsia="zh-CN"/>
        </w:rPr>
        <w:t>.</w:t>
      </w:r>
      <w:r>
        <w:rPr>
          <w:rFonts w:hint="eastAsia" w:ascii="宋体" w:hAnsi="宋体" w:eastAsia="宋体" w:cs="宋体"/>
          <w:b/>
          <w:color w:val="auto"/>
          <w:kern w:val="0"/>
          <w:highlight w:val="none"/>
        </w:rPr>
        <w:t>投标无效。</w:t>
      </w:r>
      <w:r>
        <w:rPr>
          <w:rFonts w:hint="eastAsia" w:ascii="宋体" w:hAnsi="宋体" w:eastAsia="宋体" w:cs="宋体"/>
          <w:b/>
          <w:bCs/>
          <w:color w:val="auto"/>
          <w:kern w:val="0"/>
          <w:sz w:val="24"/>
          <w:highlight w:val="none"/>
        </w:rPr>
        <w:t>▲</w:t>
      </w:r>
      <w:r>
        <w:rPr>
          <w:rFonts w:hint="eastAsia" w:ascii="宋体" w:hAnsi="宋体" w:eastAsia="宋体" w:cs="宋体"/>
          <w:b/>
          <w:bCs/>
          <w:color w:val="auto"/>
          <w:szCs w:val="21"/>
          <w:highlight w:val="none"/>
        </w:rPr>
        <w:t>有下列情况之一的，投标无效：</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不具备</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中规定的资格要求的（商谈供应商未提供有效的资格文件的，视为商谈供应商不具备</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pPr>
        <w:shd w:val="clear" w:color="auto" w:fill="auto"/>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）若</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lang w:eastAsia="zh-CN"/>
        </w:rPr>
        <w:t>为授权代表签署的而未提供有效的法定代表人授权书的；</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含有采购人不能接受的附加条件的；</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中承诺的投标有效期少于</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中载明的投标有效期的；</w:t>
      </w:r>
    </w:p>
    <w:p>
      <w:pPr>
        <w:shd w:val="clear" w:color="auto" w:fill="auto"/>
        <w:snapToGrid w:val="0"/>
        <w:spacing w:line="360" w:lineRule="auto"/>
        <w:ind w:firstLine="105" w:firstLineChars="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出现不是唯一的、有选择性投标报价的;</w:t>
      </w:r>
    </w:p>
    <w:p>
      <w:pPr>
        <w:shd w:val="clear" w:color="auto" w:fill="auto"/>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pPr>
        <w:shd w:val="clear" w:color="auto" w:fill="auto"/>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对根据修正原则修正后的报价不确认的；</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提供虚假材料投标的；</w:t>
      </w:r>
    </w:p>
    <w:p>
      <w:pPr>
        <w:shd w:val="clear" w:color="auto" w:fill="auto"/>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仅提交备份</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，没有在电子交易平台传输递交</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的，投标无效；</w:t>
      </w:r>
    </w:p>
    <w:p>
      <w:pPr>
        <w:shd w:val="clear" w:color="auto" w:fill="auto"/>
        <w:spacing w:line="360" w:lineRule="auto"/>
        <w:ind w:firstLine="420" w:firstLineChars="200"/>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12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cs="宋体"/>
          <w:b w:val="0"/>
          <w:bCs w:val="0"/>
          <w:color w:val="auto"/>
          <w:kern w:val="0"/>
          <w:sz w:val="21"/>
          <w:szCs w:val="21"/>
          <w:highlight w:val="none"/>
          <w:lang w:val="en-US" w:eastAsia="zh-CN"/>
        </w:rPr>
        <w:t>采购响应文件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pPr>
        <w:shd w:val="clear" w:color="auto" w:fill="auto"/>
        <w:spacing w:line="360" w:lineRule="auto"/>
        <w:ind w:firstLine="422" w:firstLineChars="200"/>
        <w:rPr>
          <w:rFonts w:hint="eastAsia" w:ascii="宋体" w:hAnsi="宋体" w:eastAsia="宋体" w:cs="宋体"/>
          <w:color w:val="auto"/>
          <w:highlight w:val="none"/>
        </w:rPr>
      </w:pPr>
      <w:r>
        <w:rPr>
          <w:rFonts w:hint="eastAsia" w:ascii="宋体" w:hAnsi="宋体" w:cs="宋体"/>
          <w:b/>
          <w:color w:val="auto"/>
          <w:highlight w:val="none"/>
          <w:lang w:val="en-US" w:eastAsia="zh-CN"/>
        </w:rPr>
        <w:t>3</w:t>
      </w:r>
      <w:r>
        <w:rPr>
          <w:rFonts w:hint="eastAsia" w:ascii="宋体" w:hAnsi="宋体" w:eastAsia="宋体" w:cs="宋体"/>
          <w:b/>
          <w:color w:val="auto"/>
          <w:highlight w:val="none"/>
        </w:rPr>
        <w:t>.废标。</w:t>
      </w:r>
      <w:r>
        <w:rPr>
          <w:rFonts w:hint="eastAsia" w:ascii="宋体" w:hAnsi="宋体" w:eastAsia="宋体" w:cs="宋体"/>
          <w:color w:val="auto"/>
          <w:highlight w:val="none"/>
        </w:rPr>
        <w:t>在采购中，出现下列情形之一的，应予废标：</w:t>
      </w:r>
    </w:p>
    <w:p>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出现影响采购公正的违法、违规行为的；</w:t>
      </w:r>
    </w:p>
    <w:p>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的报价均超过了采购预算，采购人不能支付的；</w:t>
      </w:r>
    </w:p>
    <w:p>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因重大变故，采购任务取消的。</w:t>
      </w:r>
    </w:p>
    <w:p>
      <w:pPr>
        <w:pStyle w:val="6"/>
        <w:shd w:val="clear" w:color="auto" w:fill="auto"/>
        <w:snapToGrid w:val="0"/>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应当将废标理由通知商谈供应商。</w:t>
      </w:r>
    </w:p>
    <w:p>
      <w:pPr>
        <w:shd w:val="clear" w:color="auto" w:fill="auto"/>
        <w:spacing w:line="360" w:lineRule="auto"/>
        <w:ind w:firstLine="422" w:firstLineChars="200"/>
        <w:rPr>
          <w:rFonts w:hint="eastAsia" w:ascii="宋体" w:hAnsi="宋体" w:eastAsia="宋体" w:cs="宋体"/>
          <w:color w:val="auto"/>
          <w:highlight w:val="none"/>
        </w:rPr>
      </w:pPr>
      <w:r>
        <w:rPr>
          <w:rFonts w:hint="eastAsia" w:ascii="宋体" w:hAnsi="宋体" w:cs="宋体"/>
          <w:b/>
          <w:color w:val="auto"/>
          <w:highlight w:val="none"/>
          <w:lang w:val="en-US" w:eastAsia="zh-CN"/>
        </w:rPr>
        <w:t>4</w:t>
      </w:r>
      <w:r>
        <w:rPr>
          <w:rFonts w:hint="eastAsia" w:ascii="宋体" w:hAnsi="宋体" w:eastAsia="宋体" w:cs="宋体"/>
          <w:b/>
          <w:color w:val="auto"/>
          <w:highlight w:val="none"/>
        </w:rPr>
        <w:t>.修改</w:t>
      </w:r>
      <w:r>
        <w:rPr>
          <w:rFonts w:hint="eastAsia" w:ascii="宋体" w:hAnsi="宋体" w:cs="宋体"/>
          <w:b/>
          <w:color w:val="auto"/>
          <w:highlight w:val="none"/>
          <w:lang w:eastAsia="zh-CN"/>
        </w:rPr>
        <w:t>采购文件</w:t>
      </w:r>
      <w:r>
        <w:rPr>
          <w:rFonts w:hint="eastAsia" w:ascii="宋体" w:hAnsi="宋体" w:eastAsia="宋体" w:cs="宋体"/>
          <w:b/>
          <w:color w:val="auto"/>
          <w:highlight w:val="none"/>
        </w:rPr>
        <w:t>，重新组织采购活动。</w:t>
      </w:r>
      <w:r>
        <w:rPr>
          <w:rFonts w:hint="eastAsia" w:ascii="宋体" w:hAnsi="宋体" w:cs="宋体"/>
          <w:color w:val="auto"/>
          <w:highlight w:val="none"/>
          <w:lang w:eastAsia="zh-CN"/>
        </w:rPr>
        <w:t>商谈小组</w:t>
      </w:r>
      <w:r>
        <w:rPr>
          <w:rFonts w:hint="eastAsia" w:ascii="宋体" w:hAnsi="宋体" w:eastAsia="宋体" w:cs="宋体"/>
          <w:color w:val="auto"/>
          <w:highlight w:val="none"/>
        </w:rPr>
        <w:t>发现</w:t>
      </w:r>
      <w:r>
        <w:rPr>
          <w:rFonts w:hint="eastAsia" w:ascii="宋体" w:hAnsi="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cs="宋体"/>
          <w:color w:val="auto"/>
          <w:highlight w:val="none"/>
          <w:lang w:eastAsia="zh-CN"/>
        </w:rPr>
        <w:t>采购文件</w:t>
      </w:r>
      <w:r>
        <w:rPr>
          <w:rFonts w:hint="eastAsia" w:ascii="宋体" w:hAnsi="宋体" w:eastAsia="宋体" w:cs="宋体"/>
          <w:color w:val="auto"/>
          <w:highlight w:val="none"/>
        </w:rPr>
        <w:t>，重新组织采购活动。</w:t>
      </w:r>
    </w:p>
    <w:p>
      <w:pPr>
        <w:shd w:val="clear" w:color="auto" w:fill="auto"/>
        <w:spacing w:line="360" w:lineRule="auto"/>
        <w:ind w:firstLine="422" w:firstLineChars="200"/>
        <w:rPr>
          <w:rFonts w:hint="eastAsia" w:ascii="宋体" w:hAnsi="宋体" w:eastAsia="宋体" w:cs="宋体"/>
          <w:color w:val="auto"/>
          <w:highlight w:val="none"/>
        </w:rPr>
      </w:pPr>
      <w:r>
        <w:rPr>
          <w:rFonts w:hint="eastAsia" w:ascii="宋体" w:hAnsi="宋体" w:cs="宋体"/>
          <w:b/>
          <w:color w:val="auto"/>
          <w:kern w:val="0"/>
          <w:highlight w:val="none"/>
          <w:lang w:val="en-US" w:eastAsia="zh-CN"/>
        </w:rPr>
        <w:t>5</w:t>
      </w:r>
      <w:r>
        <w:rPr>
          <w:rFonts w:hint="eastAsia" w:ascii="宋体" w:hAnsi="宋体" w:eastAsia="宋体" w:cs="宋体"/>
          <w:b/>
          <w:color w:val="auto"/>
          <w:kern w:val="0"/>
          <w:highlight w:val="none"/>
        </w:rPr>
        <w:t>.重新开展采购。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的，终止本次政府采购活动，重新开展政府采购活动。</w:t>
      </w:r>
    </w:p>
    <w:p>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已确定中标或者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但尚未签订政府采购合同的，中标或者成交结果无效，从合格的中标或者成交候选人中另行确定中标或者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；没有合格的中标或者成交候选人的，重新开展政府采购活动。</w:t>
      </w:r>
    </w:p>
    <w:p>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政府采购合同已签订但尚未履行的，撤销合同，从合格的中标或者成交候选人中另行确定中标或者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；没有合格的中标或者成交候选人的，重新开展政府采购活动。</w:t>
      </w:r>
    </w:p>
    <w:p>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政府采购合同已经履行，给采购人、供应商造成损失的，由责任人承担赔偿责任。</w:t>
      </w:r>
    </w:p>
    <w:p>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款</w:t>
      </w:r>
      <w:r>
        <w:rPr>
          <w:rFonts w:hint="eastAsia" w:ascii="宋体" w:hAnsi="宋体" w:eastAsia="宋体" w:cs="宋体"/>
          <w:color w:val="auto"/>
          <w:highlight w:val="none"/>
        </w:rPr>
        <w:t>规定处理。</w:t>
      </w:r>
    </w:p>
    <w:p>
      <w:pPr>
        <w:pStyle w:val="3"/>
        <w:keepNext w:val="0"/>
        <w:keepLines w:val="0"/>
        <w:pageBreakBefore/>
        <w:shd w:val="clear" w:color="auto" w:fill="auto"/>
        <w:tabs>
          <w:tab w:val="left" w:pos="840"/>
        </w:tabs>
        <w:spacing w:before="156" w:beforeLines="50" w:after="156" w:afterLines="50" w:line="400" w:lineRule="exact"/>
        <w:jc w:val="center"/>
        <w:rPr>
          <w:rFonts w:hint="eastAsia" w:ascii="宋体" w:hAnsi="宋体" w:eastAsia="宋体" w:cs="宋体"/>
          <w:b/>
          <w:color w:val="auto"/>
          <w:kern w:val="44"/>
          <w:sz w:val="32"/>
          <w:szCs w:val="32"/>
          <w:highlight w:val="none"/>
          <w:lang w:val="en-US" w:eastAsia="zh-CN" w:bidi="ar-SA"/>
        </w:rPr>
      </w:pPr>
      <w:bookmarkStart w:id="661" w:name="_Toc12136"/>
      <w:bookmarkStart w:id="662" w:name="_Toc19280"/>
      <w:r>
        <w:rPr>
          <w:rFonts w:hint="eastAsia" w:ascii="宋体" w:hAnsi="宋体" w:eastAsia="宋体" w:cs="宋体"/>
          <w:b/>
          <w:color w:val="auto"/>
          <w:kern w:val="44"/>
          <w:sz w:val="32"/>
          <w:szCs w:val="32"/>
          <w:highlight w:val="none"/>
          <w:lang w:val="en-US" w:eastAsia="zh-CN" w:bidi="ar-SA"/>
        </w:rPr>
        <w:t xml:space="preserve">第五部分  </w:t>
      </w:r>
      <w:bookmarkEnd w:id="241"/>
      <w:bookmarkEnd w:id="242"/>
      <w:r>
        <w:rPr>
          <w:rFonts w:hint="eastAsia" w:ascii="宋体" w:hAnsi="宋体" w:eastAsia="宋体" w:cs="宋体"/>
          <w:b/>
          <w:color w:val="auto"/>
          <w:kern w:val="44"/>
          <w:sz w:val="32"/>
          <w:szCs w:val="32"/>
          <w:highlight w:val="none"/>
          <w:lang w:val="en-US" w:eastAsia="zh-CN" w:bidi="ar-SA"/>
        </w:rPr>
        <w:t>拟签订的合同文本</w:t>
      </w:r>
      <w:bookmarkEnd w:id="661"/>
      <w:bookmarkEnd w:id="662"/>
    </w:p>
    <w:p>
      <w:pPr>
        <w:spacing w:line="360" w:lineRule="auto"/>
        <w:rPr>
          <w:rFonts w:hint="eastAsia" w:ascii="宋体" w:hAnsi="宋体"/>
          <w:color w:val="auto"/>
          <w:szCs w:val="21"/>
          <w:highlight w:val="none"/>
        </w:rPr>
      </w:pPr>
      <w:bookmarkStart w:id="663" w:name="_Toc16178"/>
      <w:r>
        <w:rPr>
          <w:rFonts w:hint="eastAsia" w:ascii="宋体" w:hAnsi="宋体"/>
          <w:color w:val="auto"/>
          <w:szCs w:val="21"/>
          <w:highlight w:val="none"/>
        </w:rPr>
        <w:t>发包方：                      （以下简称甲方）</w:t>
      </w:r>
    </w:p>
    <w:p>
      <w:pPr>
        <w:spacing w:line="360" w:lineRule="auto"/>
        <w:rPr>
          <w:rFonts w:hint="eastAsia" w:ascii="宋体" w:hAnsi="宋体"/>
          <w:color w:val="auto"/>
          <w:szCs w:val="21"/>
          <w:highlight w:val="none"/>
        </w:rPr>
      </w:pPr>
      <w:r>
        <w:rPr>
          <w:rFonts w:hint="eastAsia" w:ascii="宋体" w:hAnsi="宋体"/>
          <w:color w:val="auto"/>
          <w:szCs w:val="21"/>
          <w:highlight w:val="none"/>
        </w:rPr>
        <w:t>承包方：                      （以下简称乙方）</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根据《</w:t>
      </w:r>
      <w:r>
        <w:rPr>
          <w:rFonts w:hint="eastAsia" w:ascii="宋体" w:hAnsi="宋体"/>
          <w:color w:val="auto"/>
          <w:szCs w:val="21"/>
          <w:highlight w:val="none"/>
          <w:lang w:eastAsia="zh-CN"/>
        </w:rPr>
        <w:t>2024年度瑞安市供销合作社联合社农资应急储备项目</w:t>
      </w:r>
      <w:r>
        <w:rPr>
          <w:rFonts w:hint="eastAsia" w:ascii="宋体" w:hAnsi="宋体"/>
          <w:color w:val="auto"/>
          <w:szCs w:val="21"/>
          <w:highlight w:val="none"/>
        </w:rPr>
        <w:t>》的中标通知书，甲方将</w:t>
      </w:r>
      <w:r>
        <w:rPr>
          <w:rFonts w:hint="eastAsia" w:ascii="Arial" w:hAnsi="Arial" w:cs="Arial"/>
          <w:color w:val="auto"/>
          <w:szCs w:val="21"/>
          <w:highlight w:val="none"/>
          <w:lang w:eastAsia="zh-CN"/>
        </w:rPr>
        <w:t>2024年度瑞安市供销合作社联合社农资应急储备项目</w:t>
      </w:r>
      <w:r>
        <w:rPr>
          <w:rFonts w:hint="eastAsia" w:ascii="宋体" w:hAnsi="宋体"/>
          <w:color w:val="auto"/>
          <w:szCs w:val="21"/>
          <w:highlight w:val="none"/>
        </w:rPr>
        <w:t>承包给乙方，为了明确甲、乙双方的权利和义</w:t>
      </w:r>
      <w:r>
        <w:rPr>
          <w:rFonts w:hint="eastAsia" w:ascii="宋体" w:hAnsi="宋体"/>
          <w:color w:val="auto"/>
          <w:szCs w:val="21"/>
          <w:highlight w:val="none"/>
          <w:lang w:eastAsia="zh-CN"/>
        </w:rPr>
        <w:t>务</w:t>
      </w:r>
      <w:r>
        <w:rPr>
          <w:rFonts w:hint="eastAsia" w:ascii="宋体" w:hAnsi="宋体"/>
          <w:color w:val="auto"/>
          <w:szCs w:val="21"/>
          <w:highlight w:val="none"/>
        </w:rPr>
        <w:t>，履行各自的职责，高效优质地完成服务内容，按照《中华人民共和国合同法》的有关规定，经甲乙双方在平等、自愿的基础上共同协商一致，现签订合同。</w:t>
      </w:r>
    </w:p>
    <w:p>
      <w:pPr>
        <w:widowControl w:val="0"/>
        <w:numPr>
          <w:ilvl w:val="0"/>
          <w:numId w:val="11"/>
        </w:numPr>
        <w:spacing w:line="360" w:lineRule="auto"/>
        <w:jc w:val="both"/>
        <w:rPr>
          <w:rFonts w:hint="eastAsia" w:ascii="宋体" w:hAnsi="宋体"/>
          <w:b/>
          <w:bCs/>
          <w:color w:val="auto"/>
          <w:szCs w:val="21"/>
          <w:highlight w:val="none"/>
        </w:rPr>
      </w:pPr>
      <w:r>
        <w:rPr>
          <w:rFonts w:hint="eastAsia" w:ascii="宋体" w:hAnsi="宋体"/>
          <w:b/>
          <w:bCs/>
          <w:color w:val="auto"/>
          <w:szCs w:val="21"/>
          <w:highlight w:val="none"/>
        </w:rPr>
        <w:t xml:space="preserve"> 合同名称</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2024年度瑞安市供销合作社联合社农资应急储备项目</w:t>
      </w:r>
      <w:r>
        <w:rPr>
          <w:rFonts w:hint="eastAsia" w:ascii="宋体" w:hAnsi="宋体"/>
          <w:color w:val="auto"/>
          <w:szCs w:val="21"/>
          <w:highlight w:val="none"/>
        </w:rPr>
        <w:t>合同</w:t>
      </w:r>
    </w:p>
    <w:p>
      <w:pPr>
        <w:widowControl w:val="0"/>
        <w:numPr>
          <w:ilvl w:val="0"/>
          <w:numId w:val="11"/>
        </w:numPr>
        <w:spacing w:line="360" w:lineRule="auto"/>
        <w:jc w:val="both"/>
        <w:rPr>
          <w:rFonts w:hint="eastAsia" w:ascii="宋体" w:hAnsi="宋体"/>
          <w:b/>
          <w:bCs/>
          <w:color w:val="auto"/>
          <w:szCs w:val="21"/>
          <w:highlight w:val="none"/>
        </w:rPr>
      </w:pPr>
      <w:r>
        <w:rPr>
          <w:rFonts w:hint="eastAsia" w:ascii="宋体" w:hAnsi="宋体"/>
          <w:b/>
          <w:bCs/>
          <w:color w:val="auto"/>
          <w:szCs w:val="21"/>
          <w:highlight w:val="none"/>
        </w:rPr>
        <w:t xml:space="preserve"> 承包内容</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见</w:t>
      </w:r>
      <w:r>
        <w:rPr>
          <w:rFonts w:hint="eastAsia" w:ascii="宋体" w:hAnsi="宋体"/>
          <w:color w:val="auto"/>
          <w:szCs w:val="21"/>
          <w:highlight w:val="none"/>
          <w:lang w:val="en-US" w:eastAsia="zh-CN"/>
        </w:rPr>
        <w:t>招标文件</w:t>
      </w:r>
      <w:r>
        <w:rPr>
          <w:rFonts w:hint="eastAsia" w:ascii="宋体" w:hAnsi="宋体"/>
          <w:color w:val="auto"/>
          <w:szCs w:val="21"/>
          <w:highlight w:val="none"/>
        </w:rPr>
        <w:t>第三部分内容。</w:t>
      </w:r>
    </w:p>
    <w:p>
      <w:pPr>
        <w:widowControl w:val="0"/>
        <w:numPr>
          <w:ilvl w:val="0"/>
          <w:numId w:val="11"/>
        </w:numPr>
        <w:spacing w:line="360" w:lineRule="auto"/>
        <w:jc w:val="both"/>
        <w:rPr>
          <w:rFonts w:hint="eastAsia" w:ascii="宋体" w:hAnsi="宋体"/>
          <w:b/>
          <w:bCs/>
          <w:color w:val="auto"/>
          <w:szCs w:val="21"/>
          <w:highlight w:val="none"/>
        </w:rPr>
      </w:pPr>
      <w:r>
        <w:rPr>
          <w:rFonts w:hint="eastAsia" w:ascii="宋体" w:hAnsi="宋体"/>
          <w:b/>
          <w:bCs/>
          <w:color w:val="auto"/>
          <w:szCs w:val="21"/>
          <w:highlight w:val="none"/>
        </w:rPr>
        <w:t xml:space="preserve"> </w:t>
      </w:r>
      <w:r>
        <w:rPr>
          <w:rFonts w:hint="eastAsia" w:ascii="宋体" w:hAnsi="宋体"/>
          <w:b/>
          <w:bCs/>
          <w:color w:val="auto"/>
          <w:highlight w:val="none"/>
          <w:lang w:eastAsia="zh-CN"/>
        </w:rPr>
        <w:t>服务</w:t>
      </w:r>
      <w:r>
        <w:rPr>
          <w:rFonts w:hint="eastAsia" w:ascii="宋体" w:hAnsi="宋体"/>
          <w:b/>
          <w:bCs/>
          <w:color w:val="auto"/>
          <w:highlight w:val="none"/>
        </w:rPr>
        <w:t>时间</w:t>
      </w:r>
    </w:p>
    <w:p>
      <w:pPr>
        <w:snapToGri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highlight w:val="none"/>
          <w:lang w:eastAsia="zh-CN"/>
        </w:rPr>
        <w:t>服务</w:t>
      </w:r>
      <w:r>
        <w:rPr>
          <w:rFonts w:hint="eastAsia" w:ascii="宋体" w:hAnsi="宋体"/>
          <w:color w:val="auto"/>
          <w:highlight w:val="none"/>
        </w:rPr>
        <w:t>时间：</w:t>
      </w:r>
      <w:r>
        <w:rPr>
          <w:rFonts w:hint="eastAsia" w:ascii="Arial" w:hAnsi="Arial" w:cs="Arial"/>
          <w:color w:val="auto"/>
          <w:highlight w:val="none"/>
          <w:lang w:val="en-US" w:eastAsia="zh-CN"/>
        </w:rPr>
        <w:t>2024年</w:t>
      </w:r>
      <w:r>
        <w:rPr>
          <w:rFonts w:hint="eastAsia" w:ascii="Arial" w:hAnsi="Arial" w:cs="Arial"/>
          <w:color w:val="auto"/>
          <w:highlight w:val="none"/>
          <w:u w:val="single"/>
          <w:lang w:val="en-US" w:eastAsia="zh-CN"/>
        </w:rPr>
        <w:t xml:space="preserve">   </w:t>
      </w:r>
      <w:r>
        <w:rPr>
          <w:rFonts w:hint="eastAsia" w:ascii="Arial" w:hAnsi="Arial" w:cs="Arial"/>
          <w:color w:val="auto"/>
          <w:highlight w:val="none"/>
          <w:lang w:val="en-US" w:eastAsia="zh-CN"/>
        </w:rPr>
        <w:t>月</w:t>
      </w:r>
      <w:r>
        <w:rPr>
          <w:rFonts w:hint="eastAsia" w:ascii="Arial" w:hAnsi="Arial" w:cs="Arial"/>
          <w:color w:val="auto"/>
          <w:highlight w:val="none"/>
          <w:u w:val="single"/>
          <w:lang w:val="en-US" w:eastAsia="zh-CN"/>
        </w:rPr>
        <w:t xml:space="preserve">    </w:t>
      </w:r>
      <w:r>
        <w:rPr>
          <w:rFonts w:hint="eastAsia" w:ascii="Arial" w:hAnsi="Arial" w:cs="Arial"/>
          <w:color w:val="auto"/>
          <w:highlight w:val="none"/>
          <w:lang w:val="en-US" w:eastAsia="zh-CN"/>
        </w:rPr>
        <w:t>日至2024年</w:t>
      </w:r>
      <w:r>
        <w:rPr>
          <w:rFonts w:hint="eastAsia" w:ascii="Arial" w:hAnsi="Arial" w:cs="Arial"/>
          <w:color w:val="auto"/>
          <w:highlight w:val="none"/>
          <w:u w:val="single"/>
          <w:lang w:val="en-US" w:eastAsia="zh-CN"/>
        </w:rPr>
        <w:t xml:space="preserve">   </w:t>
      </w:r>
      <w:r>
        <w:rPr>
          <w:rFonts w:hint="eastAsia" w:ascii="Arial" w:hAnsi="Arial" w:cs="Arial"/>
          <w:color w:val="auto"/>
          <w:highlight w:val="none"/>
          <w:lang w:val="en-US" w:eastAsia="zh-CN"/>
        </w:rPr>
        <w:t>月</w:t>
      </w:r>
      <w:r>
        <w:rPr>
          <w:rFonts w:hint="eastAsia" w:ascii="Arial" w:hAnsi="Arial" w:cs="Arial"/>
          <w:color w:val="auto"/>
          <w:highlight w:val="none"/>
          <w:u w:val="single"/>
          <w:lang w:val="en-US" w:eastAsia="zh-CN"/>
        </w:rPr>
        <w:t xml:space="preserve">    </w:t>
      </w:r>
      <w:r>
        <w:rPr>
          <w:rFonts w:hint="eastAsia" w:ascii="Arial" w:hAnsi="Arial" w:cs="Arial"/>
          <w:color w:val="auto"/>
          <w:highlight w:val="none"/>
          <w:lang w:val="en-US" w:eastAsia="zh-CN"/>
        </w:rPr>
        <w:t>日（以甲方需求为准）</w:t>
      </w:r>
      <w:r>
        <w:rPr>
          <w:rFonts w:hint="eastAsia" w:ascii="宋体" w:hAnsi="宋体"/>
          <w:color w:val="auto"/>
          <w:highlight w:val="none"/>
        </w:rPr>
        <w:t>。若</w:t>
      </w:r>
      <w:r>
        <w:rPr>
          <w:rFonts w:hint="eastAsia" w:ascii="宋体" w:hAnsi="宋体"/>
          <w:color w:val="auto"/>
          <w:highlight w:val="none"/>
          <w:lang w:eastAsia="zh-CN"/>
        </w:rPr>
        <w:t>乙</w:t>
      </w:r>
      <w:r>
        <w:rPr>
          <w:rFonts w:hint="eastAsia" w:ascii="宋体" w:hAnsi="宋体"/>
          <w:color w:val="auto"/>
          <w:highlight w:val="none"/>
        </w:rPr>
        <w:t>方有违约行为，</w:t>
      </w:r>
      <w:r>
        <w:rPr>
          <w:rFonts w:hint="eastAsia" w:ascii="宋体" w:hAnsi="宋体"/>
          <w:color w:val="auto"/>
          <w:highlight w:val="none"/>
          <w:lang w:eastAsia="zh-CN"/>
        </w:rPr>
        <w:t>甲方</w:t>
      </w:r>
      <w:r>
        <w:rPr>
          <w:rFonts w:hint="eastAsia" w:ascii="宋体" w:hAnsi="宋体"/>
          <w:color w:val="auto"/>
          <w:highlight w:val="none"/>
        </w:rPr>
        <w:t>有权单方面解除合同。</w:t>
      </w:r>
    </w:p>
    <w:p>
      <w:pPr>
        <w:widowControl w:val="0"/>
        <w:numPr>
          <w:ilvl w:val="0"/>
          <w:numId w:val="11"/>
        </w:numPr>
        <w:spacing w:line="360" w:lineRule="auto"/>
        <w:jc w:val="both"/>
        <w:rPr>
          <w:rFonts w:hint="eastAsia" w:ascii="宋体" w:hAnsi="宋体"/>
          <w:b/>
          <w:bCs/>
          <w:color w:val="auto"/>
          <w:szCs w:val="21"/>
          <w:highlight w:val="none"/>
        </w:rPr>
      </w:pPr>
      <w:r>
        <w:rPr>
          <w:rFonts w:hint="eastAsia" w:ascii="宋体" w:hAnsi="宋体"/>
          <w:b/>
          <w:bCs/>
          <w:color w:val="auto"/>
          <w:highlight w:val="none"/>
        </w:rPr>
        <w:t>农资储备化肥清单</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31"/>
        <w:gridCol w:w="2821"/>
        <w:gridCol w:w="125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序号</w:t>
            </w:r>
          </w:p>
        </w:tc>
        <w:tc>
          <w:tcPr>
            <w:tcW w:w="2531" w:type="dxa"/>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名称</w:t>
            </w:r>
          </w:p>
        </w:tc>
        <w:tc>
          <w:tcPr>
            <w:tcW w:w="2821" w:type="dxa"/>
            <w:noWrap w:val="0"/>
            <w:vAlign w:val="center"/>
          </w:tcPr>
          <w:p>
            <w:pPr>
              <w:snapToGrid w:val="0"/>
              <w:spacing w:line="360" w:lineRule="auto"/>
              <w:ind w:firstLine="210" w:firstLineChars="100"/>
              <w:jc w:val="center"/>
              <w:rPr>
                <w:rFonts w:hint="eastAsia" w:ascii="宋体" w:hAnsi="宋体"/>
                <w:color w:val="auto"/>
                <w:highlight w:val="none"/>
              </w:rPr>
            </w:pPr>
            <w:r>
              <w:rPr>
                <w:rFonts w:hint="eastAsia" w:ascii="宋体" w:hAnsi="宋体"/>
                <w:color w:val="auto"/>
                <w:highlight w:val="none"/>
              </w:rPr>
              <w:t>规格型号</w:t>
            </w:r>
          </w:p>
        </w:tc>
        <w:tc>
          <w:tcPr>
            <w:tcW w:w="1254" w:type="dxa"/>
            <w:noWrap w:val="0"/>
            <w:vAlign w:val="center"/>
          </w:tcPr>
          <w:p>
            <w:pPr>
              <w:snapToGrid w:val="0"/>
              <w:spacing w:line="360" w:lineRule="auto"/>
              <w:jc w:val="center"/>
              <w:rPr>
                <w:rFonts w:hint="eastAsia" w:ascii="宋体" w:hAnsi="宋体"/>
                <w:color w:val="auto"/>
                <w:highlight w:val="none"/>
              </w:rPr>
            </w:pPr>
            <w:r>
              <w:rPr>
                <w:rFonts w:hint="eastAsia" w:ascii="宋体" w:hAnsi="宋体"/>
                <w:color w:val="auto"/>
                <w:highlight w:val="none"/>
              </w:rPr>
              <w:t>数量</w:t>
            </w:r>
          </w:p>
        </w:tc>
        <w:tc>
          <w:tcPr>
            <w:tcW w:w="1605" w:type="dxa"/>
            <w:noWrap w:val="0"/>
            <w:vAlign w:val="center"/>
          </w:tcPr>
          <w:p>
            <w:pPr>
              <w:snapToGrid w:val="0"/>
              <w:spacing w:line="360" w:lineRule="auto"/>
              <w:ind w:firstLine="210" w:firstLineChars="100"/>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noWrap w:val="0"/>
            <w:vAlign w:val="center"/>
          </w:tcPr>
          <w:p>
            <w:pPr>
              <w:snapToGrid w:val="0"/>
              <w:spacing w:line="360" w:lineRule="auto"/>
              <w:ind w:firstLine="210" w:firstLineChars="100"/>
              <w:jc w:val="center"/>
              <w:rPr>
                <w:rFonts w:ascii="宋体" w:hAnsi="宋体"/>
                <w:color w:val="auto"/>
                <w:highlight w:val="none"/>
              </w:rPr>
            </w:pPr>
          </w:p>
        </w:tc>
        <w:tc>
          <w:tcPr>
            <w:tcW w:w="2531" w:type="dxa"/>
            <w:noWrap w:val="0"/>
            <w:vAlign w:val="center"/>
          </w:tcPr>
          <w:p>
            <w:pPr>
              <w:snapToGrid w:val="0"/>
              <w:spacing w:line="360" w:lineRule="auto"/>
              <w:ind w:firstLine="210" w:firstLineChars="100"/>
              <w:jc w:val="center"/>
              <w:rPr>
                <w:rFonts w:ascii="宋体" w:hAnsi="宋体"/>
                <w:color w:val="auto"/>
                <w:highlight w:val="none"/>
              </w:rPr>
            </w:pPr>
          </w:p>
        </w:tc>
        <w:tc>
          <w:tcPr>
            <w:tcW w:w="2821" w:type="dxa"/>
            <w:noWrap w:val="0"/>
            <w:vAlign w:val="center"/>
          </w:tcPr>
          <w:p>
            <w:pPr>
              <w:snapToGrid w:val="0"/>
              <w:spacing w:line="360" w:lineRule="auto"/>
              <w:ind w:firstLine="210" w:firstLineChars="100"/>
              <w:jc w:val="center"/>
              <w:rPr>
                <w:rFonts w:ascii="宋体" w:hAnsi="宋体"/>
                <w:color w:val="auto"/>
                <w:highlight w:val="none"/>
              </w:rPr>
            </w:pPr>
          </w:p>
        </w:tc>
        <w:tc>
          <w:tcPr>
            <w:tcW w:w="1254" w:type="dxa"/>
            <w:noWrap w:val="0"/>
            <w:vAlign w:val="center"/>
          </w:tcPr>
          <w:p>
            <w:pPr>
              <w:snapToGrid w:val="0"/>
              <w:spacing w:line="360" w:lineRule="auto"/>
              <w:ind w:firstLine="210" w:firstLineChars="100"/>
              <w:jc w:val="center"/>
              <w:rPr>
                <w:rFonts w:ascii="宋体" w:hAnsi="宋体"/>
                <w:color w:val="auto"/>
                <w:highlight w:val="none"/>
              </w:rPr>
            </w:pPr>
          </w:p>
        </w:tc>
        <w:tc>
          <w:tcPr>
            <w:tcW w:w="1605" w:type="dxa"/>
            <w:noWrap w:val="0"/>
            <w:vAlign w:val="center"/>
          </w:tcPr>
          <w:p>
            <w:pPr>
              <w:snapToGrid w:val="0"/>
              <w:spacing w:line="360" w:lineRule="auto"/>
              <w:ind w:firstLine="210" w:firstLineChars="1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noWrap w:val="0"/>
            <w:vAlign w:val="center"/>
          </w:tcPr>
          <w:p>
            <w:pPr>
              <w:snapToGrid w:val="0"/>
              <w:spacing w:line="360" w:lineRule="auto"/>
              <w:ind w:firstLine="210" w:firstLineChars="100"/>
              <w:jc w:val="center"/>
              <w:rPr>
                <w:rFonts w:ascii="宋体" w:hAnsi="宋体"/>
                <w:color w:val="auto"/>
                <w:highlight w:val="none"/>
              </w:rPr>
            </w:pPr>
          </w:p>
        </w:tc>
        <w:tc>
          <w:tcPr>
            <w:tcW w:w="2531" w:type="dxa"/>
            <w:noWrap w:val="0"/>
            <w:vAlign w:val="center"/>
          </w:tcPr>
          <w:p>
            <w:pPr>
              <w:snapToGrid w:val="0"/>
              <w:spacing w:line="360" w:lineRule="auto"/>
              <w:ind w:firstLine="210" w:firstLineChars="100"/>
              <w:jc w:val="center"/>
              <w:rPr>
                <w:rFonts w:ascii="宋体" w:hAnsi="宋体"/>
                <w:color w:val="auto"/>
                <w:highlight w:val="none"/>
              </w:rPr>
            </w:pPr>
          </w:p>
        </w:tc>
        <w:tc>
          <w:tcPr>
            <w:tcW w:w="2821" w:type="dxa"/>
            <w:noWrap w:val="0"/>
            <w:vAlign w:val="center"/>
          </w:tcPr>
          <w:p>
            <w:pPr>
              <w:snapToGrid w:val="0"/>
              <w:spacing w:line="360" w:lineRule="auto"/>
              <w:ind w:firstLine="210" w:firstLineChars="100"/>
              <w:jc w:val="center"/>
              <w:rPr>
                <w:rFonts w:ascii="宋体" w:hAnsi="宋体"/>
                <w:color w:val="auto"/>
                <w:highlight w:val="none"/>
              </w:rPr>
            </w:pPr>
          </w:p>
        </w:tc>
        <w:tc>
          <w:tcPr>
            <w:tcW w:w="1254" w:type="dxa"/>
            <w:noWrap w:val="0"/>
            <w:vAlign w:val="center"/>
          </w:tcPr>
          <w:p>
            <w:pPr>
              <w:snapToGrid w:val="0"/>
              <w:spacing w:line="360" w:lineRule="auto"/>
              <w:ind w:firstLine="210" w:firstLineChars="100"/>
              <w:jc w:val="center"/>
              <w:rPr>
                <w:rFonts w:ascii="宋体" w:hAnsi="宋体"/>
                <w:color w:val="auto"/>
                <w:highlight w:val="none"/>
              </w:rPr>
            </w:pPr>
          </w:p>
        </w:tc>
        <w:tc>
          <w:tcPr>
            <w:tcW w:w="1605" w:type="dxa"/>
            <w:noWrap w:val="0"/>
            <w:vAlign w:val="center"/>
          </w:tcPr>
          <w:p>
            <w:pPr>
              <w:snapToGrid w:val="0"/>
              <w:spacing w:line="360" w:lineRule="auto"/>
              <w:ind w:firstLine="210" w:firstLineChars="1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noWrap w:val="0"/>
            <w:vAlign w:val="center"/>
          </w:tcPr>
          <w:p>
            <w:pPr>
              <w:snapToGrid w:val="0"/>
              <w:spacing w:line="360" w:lineRule="auto"/>
              <w:ind w:firstLine="210" w:firstLineChars="100"/>
              <w:jc w:val="center"/>
              <w:rPr>
                <w:rFonts w:ascii="宋体" w:hAnsi="宋体"/>
                <w:color w:val="auto"/>
                <w:highlight w:val="none"/>
              </w:rPr>
            </w:pPr>
          </w:p>
        </w:tc>
        <w:tc>
          <w:tcPr>
            <w:tcW w:w="2531" w:type="dxa"/>
            <w:noWrap w:val="0"/>
            <w:vAlign w:val="center"/>
          </w:tcPr>
          <w:p>
            <w:pPr>
              <w:snapToGrid w:val="0"/>
              <w:spacing w:line="360" w:lineRule="auto"/>
              <w:ind w:firstLine="210" w:firstLineChars="100"/>
              <w:jc w:val="center"/>
              <w:rPr>
                <w:rFonts w:ascii="宋体" w:hAnsi="宋体"/>
                <w:color w:val="auto"/>
                <w:highlight w:val="none"/>
              </w:rPr>
            </w:pPr>
          </w:p>
        </w:tc>
        <w:tc>
          <w:tcPr>
            <w:tcW w:w="2821" w:type="dxa"/>
            <w:noWrap w:val="0"/>
            <w:vAlign w:val="center"/>
          </w:tcPr>
          <w:p>
            <w:pPr>
              <w:snapToGrid w:val="0"/>
              <w:spacing w:line="360" w:lineRule="auto"/>
              <w:ind w:firstLine="210" w:firstLineChars="100"/>
              <w:jc w:val="center"/>
              <w:rPr>
                <w:rFonts w:ascii="宋体" w:hAnsi="宋体"/>
                <w:color w:val="auto"/>
                <w:highlight w:val="none"/>
              </w:rPr>
            </w:pPr>
          </w:p>
        </w:tc>
        <w:tc>
          <w:tcPr>
            <w:tcW w:w="1254" w:type="dxa"/>
            <w:noWrap w:val="0"/>
            <w:vAlign w:val="center"/>
          </w:tcPr>
          <w:p>
            <w:pPr>
              <w:snapToGrid w:val="0"/>
              <w:spacing w:line="360" w:lineRule="auto"/>
              <w:ind w:firstLine="210" w:firstLineChars="100"/>
              <w:jc w:val="center"/>
              <w:rPr>
                <w:rFonts w:ascii="宋体" w:hAnsi="宋体"/>
                <w:color w:val="auto"/>
                <w:highlight w:val="none"/>
              </w:rPr>
            </w:pPr>
          </w:p>
        </w:tc>
        <w:tc>
          <w:tcPr>
            <w:tcW w:w="1605" w:type="dxa"/>
            <w:noWrap w:val="0"/>
            <w:vAlign w:val="center"/>
          </w:tcPr>
          <w:p>
            <w:pPr>
              <w:snapToGrid w:val="0"/>
              <w:spacing w:line="360" w:lineRule="auto"/>
              <w:ind w:firstLine="210" w:firstLineChars="1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noWrap w:val="0"/>
            <w:vAlign w:val="center"/>
          </w:tcPr>
          <w:p>
            <w:pPr>
              <w:snapToGrid w:val="0"/>
              <w:spacing w:line="360" w:lineRule="auto"/>
              <w:ind w:firstLine="210" w:firstLineChars="100"/>
              <w:jc w:val="center"/>
              <w:rPr>
                <w:rFonts w:ascii="宋体" w:hAnsi="宋体"/>
                <w:color w:val="auto"/>
                <w:highlight w:val="none"/>
              </w:rPr>
            </w:pPr>
          </w:p>
        </w:tc>
        <w:tc>
          <w:tcPr>
            <w:tcW w:w="2531" w:type="dxa"/>
            <w:noWrap w:val="0"/>
            <w:vAlign w:val="center"/>
          </w:tcPr>
          <w:p>
            <w:pPr>
              <w:snapToGrid w:val="0"/>
              <w:spacing w:line="360" w:lineRule="auto"/>
              <w:ind w:firstLine="210" w:firstLineChars="100"/>
              <w:jc w:val="center"/>
              <w:rPr>
                <w:rFonts w:ascii="宋体" w:hAnsi="宋体"/>
                <w:color w:val="auto"/>
                <w:highlight w:val="none"/>
              </w:rPr>
            </w:pPr>
          </w:p>
        </w:tc>
        <w:tc>
          <w:tcPr>
            <w:tcW w:w="2821" w:type="dxa"/>
            <w:noWrap w:val="0"/>
            <w:vAlign w:val="center"/>
          </w:tcPr>
          <w:p>
            <w:pPr>
              <w:snapToGrid w:val="0"/>
              <w:spacing w:line="360" w:lineRule="auto"/>
              <w:ind w:firstLine="210" w:firstLineChars="100"/>
              <w:jc w:val="center"/>
              <w:rPr>
                <w:rFonts w:ascii="宋体" w:hAnsi="宋体"/>
                <w:color w:val="auto"/>
                <w:highlight w:val="none"/>
              </w:rPr>
            </w:pPr>
          </w:p>
        </w:tc>
        <w:tc>
          <w:tcPr>
            <w:tcW w:w="1254" w:type="dxa"/>
            <w:noWrap w:val="0"/>
            <w:vAlign w:val="center"/>
          </w:tcPr>
          <w:p>
            <w:pPr>
              <w:snapToGrid w:val="0"/>
              <w:spacing w:line="360" w:lineRule="auto"/>
              <w:ind w:firstLine="210" w:firstLineChars="100"/>
              <w:jc w:val="center"/>
              <w:rPr>
                <w:rFonts w:ascii="宋体" w:hAnsi="宋体"/>
                <w:color w:val="auto"/>
                <w:highlight w:val="none"/>
              </w:rPr>
            </w:pPr>
          </w:p>
        </w:tc>
        <w:tc>
          <w:tcPr>
            <w:tcW w:w="1605" w:type="dxa"/>
            <w:noWrap w:val="0"/>
            <w:vAlign w:val="center"/>
          </w:tcPr>
          <w:p>
            <w:pPr>
              <w:snapToGrid w:val="0"/>
              <w:spacing w:line="360" w:lineRule="auto"/>
              <w:ind w:firstLine="210" w:firstLineChars="100"/>
              <w:jc w:val="center"/>
              <w:rPr>
                <w:rFonts w:ascii="宋体" w:hAnsi="宋体"/>
                <w:color w:val="auto"/>
                <w:highlight w:val="none"/>
              </w:rPr>
            </w:pPr>
          </w:p>
        </w:tc>
      </w:tr>
    </w:tbl>
    <w:p>
      <w:pPr>
        <w:snapToGrid w:val="0"/>
        <w:spacing w:line="360" w:lineRule="auto"/>
        <w:ind w:firstLine="211" w:firstLineChars="100"/>
        <w:rPr>
          <w:rFonts w:hint="eastAsia" w:ascii="宋体" w:hAnsi="宋体"/>
          <w:b/>
          <w:bCs/>
          <w:color w:val="auto"/>
          <w:highlight w:val="none"/>
        </w:rPr>
      </w:pPr>
    </w:p>
    <w:p>
      <w:pPr>
        <w:snapToGrid w:val="0"/>
        <w:spacing w:line="360" w:lineRule="auto"/>
        <w:ind w:firstLine="211" w:firstLineChars="100"/>
        <w:rPr>
          <w:rFonts w:hint="eastAsia" w:ascii="宋体" w:hAnsi="宋体"/>
          <w:color w:val="auto"/>
          <w:highlight w:val="none"/>
        </w:rPr>
      </w:pPr>
      <w:r>
        <w:rPr>
          <w:rFonts w:hint="eastAsia" w:ascii="宋体" w:hAnsi="宋体"/>
          <w:b/>
          <w:bCs/>
          <w:color w:val="auto"/>
          <w:highlight w:val="none"/>
        </w:rPr>
        <w:t>合同总计（人民币</w:t>
      </w:r>
      <w:r>
        <w:rPr>
          <w:rFonts w:hint="eastAsia" w:ascii="宋体" w:hAnsi="宋体"/>
          <w:b/>
          <w:bCs/>
          <w:color w:val="auto"/>
          <w:highlight w:val="none"/>
          <w:lang w:val="en-US" w:eastAsia="zh-CN"/>
        </w:rPr>
        <w:t>元</w:t>
      </w:r>
      <w:r>
        <w:rPr>
          <w:rFonts w:hint="eastAsia" w:ascii="宋体" w:hAnsi="宋体"/>
          <w:b/>
          <w:bCs/>
          <w:color w:val="auto"/>
          <w:highlight w:val="none"/>
        </w:rPr>
        <w:t xml:space="preserve">）: </w:t>
      </w:r>
      <w:r>
        <w:rPr>
          <w:rFonts w:hint="eastAsia" w:ascii="宋体" w:hAnsi="宋体"/>
          <w:b/>
          <w:bCs/>
          <w:color w:val="auto"/>
          <w:highlight w:val="none"/>
          <w:u w:val="single"/>
        </w:rPr>
        <w:t xml:space="preserve">           </w:t>
      </w:r>
      <w:r>
        <w:rPr>
          <w:rFonts w:hint="eastAsia" w:ascii="宋体" w:hAnsi="宋体"/>
          <w:b/>
          <w:bCs/>
          <w:color w:val="auto"/>
          <w:highlight w:val="none"/>
        </w:rPr>
        <w:t>大写:</w:t>
      </w:r>
      <w:r>
        <w:rPr>
          <w:rFonts w:hint="eastAsia" w:ascii="宋体" w:hAnsi="宋体"/>
          <w:b/>
          <w:bCs/>
          <w:color w:val="auto"/>
          <w:highlight w:val="none"/>
          <w:u w:val="single"/>
        </w:rPr>
        <w:t xml:space="preserve">            </w:t>
      </w:r>
      <w:r>
        <w:rPr>
          <w:rFonts w:hint="eastAsia" w:ascii="宋体" w:hAnsi="宋体"/>
          <w:b/>
          <w:bCs/>
          <w:color w:val="auto"/>
          <w:highlight w:val="none"/>
        </w:rPr>
        <w:t xml:space="preserve"> </w:t>
      </w:r>
    </w:p>
    <w:p>
      <w:pPr>
        <w:snapToGrid w:val="0"/>
        <w:spacing w:line="360" w:lineRule="auto"/>
        <w:ind w:firstLine="210" w:firstLineChars="100"/>
        <w:rPr>
          <w:rFonts w:hint="eastAsia" w:ascii="Arial" w:hAnsi="Arial" w:cs="Arial"/>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注：本合同价格已包括完成本项目各项服务（包括仓储保管费用、化肥轮换费用、正常损耗费用、贴息费用以及其他所需费用）可能发生的全部费用及</w:t>
      </w:r>
      <w:r>
        <w:rPr>
          <w:rFonts w:hint="eastAsia" w:ascii="宋体" w:hAnsi="宋体"/>
          <w:color w:val="auto"/>
          <w:highlight w:val="none"/>
          <w:lang w:eastAsia="zh-CN"/>
        </w:rPr>
        <w:t>乙方</w:t>
      </w:r>
      <w:r>
        <w:rPr>
          <w:rFonts w:hint="eastAsia" w:ascii="宋体" w:hAnsi="宋体"/>
          <w:color w:val="auto"/>
          <w:highlight w:val="none"/>
        </w:rPr>
        <w:t>的利润和应交纳的税金等（包括人员工资、《</w:t>
      </w:r>
      <w:r>
        <w:rPr>
          <w:rFonts w:hint="eastAsia" w:ascii="宋体" w:hAnsi="宋体"/>
          <w:color w:val="auto"/>
          <w:highlight w:val="none"/>
          <w:lang w:eastAsia="zh-CN"/>
        </w:rPr>
        <w:t>民法典</w:t>
      </w:r>
      <w:r>
        <w:rPr>
          <w:rFonts w:hint="eastAsia" w:ascii="宋体" w:hAnsi="宋体"/>
          <w:color w:val="auto"/>
          <w:highlight w:val="none"/>
        </w:rPr>
        <w:t>》规定的各种社会保险费、福利、服装、节假日的加班费，生活用水用电费等）</w:t>
      </w:r>
      <w:r>
        <w:rPr>
          <w:rFonts w:ascii="Arial" w:hAnsi="Arial" w:cs="Arial"/>
          <w:color w:val="auto"/>
          <w:highlight w:val="none"/>
        </w:rPr>
        <w:t>。</w:t>
      </w:r>
    </w:p>
    <w:p>
      <w:pPr>
        <w:widowControl w:val="0"/>
        <w:numPr>
          <w:ilvl w:val="0"/>
          <w:numId w:val="11"/>
        </w:numPr>
        <w:spacing w:line="360" w:lineRule="auto"/>
        <w:jc w:val="both"/>
        <w:rPr>
          <w:rFonts w:hint="eastAsia" w:ascii="宋体" w:hAnsi="宋体"/>
          <w:b/>
          <w:bCs/>
          <w:color w:val="auto"/>
          <w:highlight w:val="none"/>
          <w:lang w:val="en-US" w:eastAsia="zh-CN"/>
        </w:rPr>
      </w:pPr>
      <w:r>
        <w:rPr>
          <w:rFonts w:hint="eastAsia" w:ascii="宋体" w:hAnsi="宋体"/>
          <w:b/>
          <w:bCs/>
          <w:color w:val="auto"/>
          <w:highlight w:val="none"/>
          <w:lang w:val="en-US" w:eastAsia="zh-CN"/>
        </w:rPr>
        <w:t>储备任务</w:t>
      </w:r>
    </w:p>
    <w:p>
      <w:pPr>
        <w:widowControl w:val="0"/>
        <w:numPr>
          <w:ilvl w:val="0"/>
          <w:numId w:val="0"/>
        </w:numPr>
        <w:spacing w:line="360" w:lineRule="auto"/>
        <w:ind w:leftChars="0" w:firstLine="420" w:firstLineChars="200"/>
        <w:jc w:val="both"/>
        <w:rPr>
          <w:rFonts w:hint="eastAsia" w:ascii="宋体" w:hAnsi="宋体"/>
          <w:color w:val="auto"/>
          <w:highlight w:val="none"/>
          <w:lang w:val="en-US" w:eastAsia="zh-CN"/>
        </w:rPr>
      </w:pPr>
      <w:r>
        <w:rPr>
          <w:rFonts w:hint="eastAsia" w:ascii="宋体" w:hAnsi="宋体"/>
          <w:color w:val="auto"/>
          <w:highlight w:val="none"/>
          <w:lang w:val="en-US" w:eastAsia="zh-CN"/>
        </w:rPr>
        <w:t>化肥1800吨，其中尿素800吨，有机肥、复合肥1000吨</w:t>
      </w:r>
      <w:r>
        <w:rPr>
          <w:rFonts w:hint="eastAsia"/>
          <w:color w:val="auto"/>
          <w:highlight w:val="none"/>
          <w:lang w:val="en-US" w:eastAsia="zh-CN"/>
        </w:rPr>
        <w:t>（配方肥达到70%以上）</w:t>
      </w:r>
      <w:r>
        <w:rPr>
          <w:rFonts w:hint="eastAsia" w:ascii="宋体" w:hAnsi="宋体"/>
          <w:color w:val="auto"/>
          <w:highlight w:val="none"/>
          <w:lang w:val="en-US" w:eastAsia="zh-CN"/>
        </w:rPr>
        <w:t>。常年储备，定期轮换，确保化肥质量。</w:t>
      </w:r>
    </w:p>
    <w:p>
      <w:pPr>
        <w:widowControl w:val="0"/>
        <w:numPr>
          <w:ilvl w:val="0"/>
          <w:numId w:val="11"/>
        </w:numPr>
        <w:spacing w:line="360" w:lineRule="auto"/>
        <w:jc w:val="both"/>
        <w:rPr>
          <w:rFonts w:hint="eastAsia" w:ascii="宋体" w:hAnsi="宋体"/>
          <w:b/>
          <w:bCs/>
          <w:color w:val="auto"/>
          <w:highlight w:val="none"/>
        </w:rPr>
      </w:pPr>
      <w:r>
        <w:rPr>
          <w:rFonts w:hint="eastAsia" w:ascii="宋体" w:hAnsi="宋体"/>
          <w:b/>
          <w:bCs/>
          <w:color w:val="auto"/>
          <w:highlight w:val="none"/>
        </w:rPr>
        <w:t>相关要求</w:t>
      </w:r>
    </w:p>
    <w:p>
      <w:pPr>
        <w:snapToGrid w:val="0"/>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1、做好农资储备方案，有足够能力完成本次农资储备任务。</w:t>
      </w:r>
    </w:p>
    <w:p>
      <w:pPr>
        <w:snapToGrid w:val="0"/>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2、切实保障化肥入库储备工作，及时轮换，确保化肥质量，做好农资定期轮换方案，定期检查本次储备的农资产品质量，及时销售轮换下来的农资产品，不压货，不变质。</w:t>
      </w:r>
    </w:p>
    <w:p>
      <w:pPr>
        <w:snapToGrid w:val="0"/>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制定应急预案，保证在各种情况下，确保化肥应急正常到位：切实考虑瑞安本地气候、交通、仓储业耕作习惯，制定应急预案，确保在恶劣天气、交通不便、市面农资产品流通不足等极端情况下甲方能及时取用农资储备产品。</w:t>
      </w:r>
    </w:p>
    <w:p>
      <w:pPr>
        <w:snapToGrid w:val="0"/>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4、接受甲方定期检查。</w:t>
      </w:r>
    </w:p>
    <w:p>
      <w:pPr>
        <w:snapToGrid w:val="0"/>
        <w:spacing w:line="360" w:lineRule="auto"/>
        <w:ind w:firstLine="420" w:firstLineChars="200"/>
        <w:rPr>
          <w:rFonts w:hint="eastAsia"/>
          <w:color w:val="auto"/>
          <w:highlight w:val="none"/>
          <w:lang w:val="en-US" w:eastAsia="zh-CN"/>
        </w:rPr>
      </w:pPr>
      <w:r>
        <w:rPr>
          <w:rFonts w:hint="eastAsia" w:ascii="宋体" w:hAnsi="宋体"/>
          <w:color w:val="auto"/>
          <w:highlight w:val="none"/>
          <w:lang w:val="en-US" w:eastAsia="zh-CN"/>
        </w:rPr>
        <w:t>5、</w:t>
      </w:r>
      <w:r>
        <w:rPr>
          <w:rFonts w:hint="eastAsia" w:ascii="宋体" w:hAnsi="宋体" w:cs="宋体"/>
          <w:color w:val="auto"/>
          <w:kern w:val="0"/>
          <w:sz w:val="22"/>
          <w:szCs w:val="22"/>
          <w:highlight w:val="none"/>
        </w:rPr>
        <w:t>仓储</w:t>
      </w:r>
      <w:r>
        <w:rPr>
          <w:rFonts w:hint="eastAsia" w:ascii="宋体" w:hAnsi="宋体" w:cs="宋体"/>
          <w:color w:val="auto"/>
          <w:kern w:val="0"/>
          <w:sz w:val="22"/>
          <w:szCs w:val="22"/>
          <w:highlight w:val="none"/>
          <w:lang w:val="en-US" w:eastAsia="zh-CN"/>
        </w:rPr>
        <w:t>场地</w:t>
      </w:r>
      <w:r>
        <w:rPr>
          <w:rFonts w:hint="eastAsia" w:hAnsi="宋体" w:cs="宋体"/>
          <w:color w:val="auto"/>
          <w:kern w:val="0"/>
          <w:sz w:val="22"/>
          <w:szCs w:val="22"/>
          <w:highlight w:val="none"/>
          <w:lang w:val="en-US" w:eastAsia="zh-CN"/>
        </w:rPr>
        <w:t>要求：在</w:t>
      </w:r>
      <w:r>
        <w:rPr>
          <w:rFonts w:hint="eastAsia"/>
          <w:color w:val="auto"/>
          <w:highlight w:val="none"/>
          <w:lang w:eastAsia="zh-CN"/>
        </w:rPr>
        <w:t>温州市区域范围</w:t>
      </w:r>
      <w:r>
        <w:rPr>
          <w:rFonts w:hint="eastAsia"/>
          <w:color w:val="auto"/>
          <w:highlight w:val="none"/>
          <w:lang w:val="en-US" w:eastAsia="zh-CN"/>
        </w:rPr>
        <w:t>内具备能够保障贮备任务的仓储场地，可为</w:t>
      </w:r>
      <w:r>
        <w:rPr>
          <w:rFonts w:hint="eastAsia" w:ascii="宋体" w:hAnsi="宋体" w:eastAsia="宋体" w:cs="宋体"/>
          <w:b w:val="0"/>
          <w:bCs w:val="0"/>
          <w:color w:val="auto"/>
          <w:sz w:val="21"/>
          <w:szCs w:val="21"/>
          <w:highlight w:val="none"/>
          <w:lang w:eastAsia="zh-CN"/>
        </w:rPr>
        <w:t>自有场地或租赁场地，且面积至少达到1200㎡。</w:t>
      </w:r>
    </w:p>
    <w:p>
      <w:pPr>
        <w:widowControl w:val="0"/>
        <w:numPr>
          <w:ilvl w:val="0"/>
          <w:numId w:val="11"/>
        </w:numPr>
        <w:spacing w:line="360" w:lineRule="auto"/>
        <w:jc w:val="both"/>
        <w:rPr>
          <w:rFonts w:hint="eastAsia" w:ascii="宋体" w:hAnsi="宋体"/>
          <w:b/>
          <w:bCs/>
          <w:color w:val="auto"/>
          <w:highlight w:val="none"/>
        </w:rPr>
      </w:pPr>
      <w:r>
        <w:rPr>
          <w:rFonts w:hint="eastAsia" w:ascii="宋体" w:hAnsi="宋体"/>
          <w:b/>
          <w:bCs/>
          <w:color w:val="auto"/>
          <w:highlight w:val="none"/>
        </w:rPr>
        <w:t>履约保证金</w:t>
      </w:r>
    </w:p>
    <w:p>
      <w:pPr>
        <w:autoSpaceDE w:val="0"/>
        <w:autoSpaceDN w:val="0"/>
        <w:adjustRightInd w:val="0"/>
        <w:spacing w:line="360" w:lineRule="auto"/>
        <w:ind w:right="-2" w:firstLine="420" w:firstLineChars="200"/>
        <w:textAlignment w:val="bottom"/>
        <w:rPr>
          <w:rFonts w:ascii="宋体" w:hAnsi="宋体" w:cs="宋体"/>
          <w:b w:val="0"/>
          <w:bCs/>
          <w:color w:val="auto"/>
          <w:szCs w:val="21"/>
          <w:highlight w:val="none"/>
        </w:rPr>
      </w:pPr>
      <w:r>
        <w:rPr>
          <w:rFonts w:hint="eastAsia" w:ascii="宋体" w:hAnsi="宋体" w:eastAsia="宋体" w:cs="宋体"/>
          <w:color w:val="auto"/>
          <w:highlight w:val="none"/>
        </w:rPr>
        <w:t>在合同签订后7个工作日内</w:t>
      </w:r>
      <w:r>
        <w:rPr>
          <w:rFonts w:hint="eastAsia" w:ascii="宋体" w:hAnsi="宋体" w:cs="Arial"/>
          <w:b w:val="0"/>
          <w:bCs/>
          <w:color w:val="auto"/>
          <w:szCs w:val="21"/>
          <w:highlight w:val="none"/>
        </w:rPr>
        <w:t>，</w:t>
      </w:r>
      <w:r>
        <w:rPr>
          <w:rFonts w:hint="eastAsia" w:ascii="宋体" w:hAnsi="宋体" w:cs="Arial"/>
          <w:b w:val="0"/>
          <w:bCs/>
          <w:color w:val="auto"/>
          <w:szCs w:val="21"/>
          <w:highlight w:val="none"/>
          <w:lang w:eastAsia="zh-CN"/>
        </w:rPr>
        <w:t>乙方</w:t>
      </w:r>
      <w:r>
        <w:rPr>
          <w:rFonts w:hint="eastAsia" w:ascii="宋体" w:hAnsi="宋体" w:cs="Arial"/>
          <w:b w:val="0"/>
          <w:bCs/>
          <w:color w:val="auto"/>
          <w:szCs w:val="21"/>
          <w:highlight w:val="none"/>
        </w:rPr>
        <w:t>应以银行转账/转账支票/银行汇票/银行、保险机构出具的保函等非现金方式向</w:t>
      </w:r>
      <w:r>
        <w:rPr>
          <w:rFonts w:hint="eastAsia" w:ascii="宋体" w:hAnsi="宋体" w:cs="Arial"/>
          <w:b w:val="0"/>
          <w:bCs/>
          <w:color w:val="auto"/>
          <w:szCs w:val="21"/>
          <w:highlight w:val="none"/>
          <w:lang w:eastAsia="zh-CN"/>
        </w:rPr>
        <w:t>甲方</w:t>
      </w:r>
      <w:r>
        <w:rPr>
          <w:rFonts w:hint="eastAsia" w:ascii="宋体" w:hAnsi="宋体" w:cs="Arial"/>
          <w:b w:val="0"/>
          <w:bCs/>
          <w:color w:val="auto"/>
          <w:szCs w:val="21"/>
          <w:highlight w:val="none"/>
        </w:rPr>
        <w:t>提供合同价款的1%的履约担保。</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cs="宋体"/>
          <w:color w:val="auto"/>
          <w:szCs w:val="21"/>
          <w:highlight w:val="none"/>
        </w:rPr>
        <w:t>采用银行转账、转帐支票、银行汇票形式提交的，应满足以下几个条件：</w:t>
      </w:r>
    </w:p>
    <w:p>
      <w:pPr>
        <w:spacing w:line="360" w:lineRule="auto"/>
        <w:ind w:firstLine="210" w:firstLineChars="100"/>
        <w:rPr>
          <w:rFonts w:ascii="宋体" w:hAnsi="宋体"/>
          <w:color w:val="auto"/>
          <w:szCs w:val="21"/>
          <w:highlight w:val="none"/>
          <w:lang w:val="zh-CN"/>
        </w:rPr>
      </w:pPr>
      <w:r>
        <w:rPr>
          <w:rFonts w:hint="eastAsia" w:ascii="宋体" w:hAnsi="宋体"/>
          <w:color w:val="auto"/>
          <w:szCs w:val="21"/>
          <w:highlight w:val="none"/>
          <w:lang w:val="zh-CN"/>
        </w:rPr>
        <w:t>①应当从乙方基本户转出；</w:t>
      </w:r>
    </w:p>
    <w:p>
      <w:pPr>
        <w:spacing w:line="360" w:lineRule="auto"/>
        <w:ind w:firstLine="210" w:firstLineChars="100"/>
        <w:rPr>
          <w:rFonts w:ascii="宋体" w:hAnsi="宋体" w:cs="宋体"/>
          <w:color w:val="auto"/>
          <w:szCs w:val="21"/>
          <w:highlight w:val="none"/>
        </w:rPr>
      </w:pPr>
      <w:r>
        <w:rPr>
          <w:rFonts w:hint="eastAsia" w:ascii="宋体" w:hAnsi="宋体"/>
          <w:color w:val="auto"/>
          <w:szCs w:val="21"/>
          <w:highlight w:val="none"/>
          <w:lang w:val="zh-CN"/>
        </w:rPr>
        <w:t>②</w:t>
      </w:r>
      <w:r>
        <w:rPr>
          <w:rFonts w:hint="eastAsia" w:ascii="宋体" w:hAnsi="宋体" w:cs="宋体"/>
          <w:color w:val="auto"/>
          <w:szCs w:val="21"/>
          <w:highlight w:val="none"/>
        </w:rPr>
        <w:t>履约担保的退还时间：待</w:t>
      </w:r>
      <w:r>
        <w:rPr>
          <w:rFonts w:hint="eastAsia" w:ascii="宋体" w:hAnsi="宋体" w:cs="宋体"/>
          <w:b/>
          <w:bCs/>
          <w:color w:val="auto"/>
          <w:szCs w:val="21"/>
          <w:highlight w:val="none"/>
          <w:u w:val="single"/>
          <w:lang w:val="en-US" w:eastAsia="zh-CN"/>
        </w:rPr>
        <w:t>合同履约完毕7日内</w:t>
      </w:r>
      <w:r>
        <w:rPr>
          <w:rFonts w:hint="eastAsia" w:ascii="宋体" w:hAnsi="宋体" w:cs="宋体"/>
          <w:color w:val="auto"/>
          <w:szCs w:val="21"/>
          <w:highlight w:val="none"/>
        </w:rPr>
        <w:t>予以无息退还。</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cs="宋体"/>
          <w:color w:val="auto"/>
          <w:szCs w:val="21"/>
          <w:highlight w:val="none"/>
        </w:rPr>
        <w:t>采用保函形式提交履约担保的，应满足以下几个条件：</w:t>
      </w:r>
    </w:p>
    <w:p>
      <w:pPr>
        <w:spacing w:line="360" w:lineRule="auto"/>
        <w:ind w:left="210" w:leftChars="100" w:firstLine="0" w:firstLineChars="0"/>
        <w:rPr>
          <w:rFonts w:ascii="宋体" w:hAnsi="宋体" w:cs="宋体"/>
          <w:color w:val="auto"/>
          <w:szCs w:val="21"/>
          <w:highlight w:val="none"/>
        </w:rPr>
      </w:pPr>
      <w:r>
        <w:rPr>
          <w:rFonts w:hint="eastAsia" w:ascii="宋体" w:hAnsi="宋体" w:cs="宋体"/>
          <w:color w:val="auto"/>
          <w:szCs w:val="21"/>
          <w:highlight w:val="none"/>
        </w:rPr>
        <w:t>①为见索即付保函：即在</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没有实施合同或者未履行合同义务时，</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不需要出具任何证明和理由，只要看到</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违约，就可对保函进行收兑。</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②保函期限：自合同生效之日起至</w:t>
      </w:r>
      <w:r>
        <w:rPr>
          <w:rFonts w:hint="eastAsia" w:ascii="宋体" w:hAnsi="宋体" w:cs="宋体"/>
          <w:b/>
          <w:bCs/>
          <w:color w:val="auto"/>
          <w:szCs w:val="21"/>
          <w:highlight w:val="none"/>
          <w:u w:val="single"/>
          <w:lang w:val="en-US" w:eastAsia="zh-CN"/>
        </w:rPr>
        <w:t>合同履约完毕</w:t>
      </w:r>
      <w:r>
        <w:rPr>
          <w:rFonts w:hint="eastAsia" w:ascii="宋体" w:hAnsi="宋体" w:cs="宋体"/>
          <w:color w:val="auto"/>
          <w:szCs w:val="21"/>
          <w:highlight w:val="none"/>
        </w:rPr>
        <w:t>之日止。</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210" w:firstLineChars="100"/>
        <w:jc w:val="both"/>
        <w:textAlignment w:val="auto"/>
        <w:rPr>
          <w:rFonts w:hint="eastAsia" w:ascii="Times New Roman"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③如果由于服务期延误或保函出具机构要求分期出具保函的，则在前一份保函有效期满之日1个月前必须重新出具相同内容的保函。</w:t>
      </w:r>
    </w:p>
    <w:p>
      <w:pPr>
        <w:widowControl w:val="0"/>
        <w:numPr>
          <w:ilvl w:val="0"/>
          <w:numId w:val="11"/>
        </w:numPr>
        <w:spacing w:line="360" w:lineRule="auto"/>
        <w:jc w:val="both"/>
        <w:rPr>
          <w:rFonts w:hint="eastAsia" w:ascii="宋体" w:hAnsi="宋体"/>
          <w:b/>
          <w:bCs/>
          <w:color w:val="auto"/>
          <w:highlight w:val="none"/>
        </w:rPr>
      </w:pPr>
      <w:r>
        <w:rPr>
          <w:rFonts w:hint="eastAsia" w:ascii="宋体" w:hAnsi="宋体"/>
          <w:b/>
          <w:bCs/>
          <w:color w:val="auto"/>
          <w:highlight w:val="none"/>
          <w:lang w:val="en-US" w:eastAsia="zh-CN"/>
        </w:rPr>
        <w:t>付款</w:t>
      </w:r>
      <w:r>
        <w:rPr>
          <w:rFonts w:hint="eastAsia" w:ascii="宋体" w:hAnsi="宋体"/>
          <w:b/>
          <w:bCs/>
          <w:color w:val="auto"/>
          <w:highlight w:val="none"/>
          <w:lang w:eastAsia="zh-CN"/>
        </w:rPr>
        <w:t>方式</w:t>
      </w:r>
    </w:p>
    <w:p>
      <w:pPr>
        <w:widowControl w:val="0"/>
        <w:spacing w:line="360" w:lineRule="auto"/>
        <w:rPr>
          <w:rFonts w:hint="eastAsia"/>
          <w:color w:val="auto"/>
          <w:highlight w:val="none"/>
          <w:lang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预付款支付比例或金额：在合同签订且具备实施条件后7个工作日内</w:t>
      </w:r>
      <w:r>
        <w:rPr>
          <w:rFonts w:hint="eastAsia"/>
          <w:color w:val="auto"/>
          <w:highlight w:val="none"/>
        </w:rPr>
        <w:t>，</w:t>
      </w:r>
      <w:r>
        <w:rPr>
          <w:rFonts w:hint="eastAsia"/>
          <w:color w:val="auto"/>
          <w:highlight w:val="none"/>
          <w:lang w:eastAsia="zh-CN"/>
        </w:rPr>
        <w:t>甲方</w:t>
      </w:r>
      <w:r>
        <w:rPr>
          <w:rFonts w:hint="eastAsia"/>
          <w:color w:val="auto"/>
          <w:highlight w:val="none"/>
        </w:rPr>
        <w:t>支付</w:t>
      </w:r>
      <w:r>
        <w:rPr>
          <w:rFonts w:hint="eastAsia"/>
          <w:color w:val="auto"/>
          <w:highlight w:val="none"/>
          <w:lang w:eastAsia="zh-CN"/>
        </w:rPr>
        <w:t>合同价款</w:t>
      </w:r>
      <w:r>
        <w:rPr>
          <w:rFonts w:hint="eastAsia"/>
          <w:color w:val="auto"/>
          <w:highlight w:val="none"/>
        </w:rPr>
        <w:t>的40%作为预付款（在签订合同时，</w:t>
      </w:r>
      <w:r>
        <w:rPr>
          <w:rFonts w:hint="eastAsia"/>
          <w:color w:val="auto"/>
          <w:highlight w:val="none"/>
          <w:lang w:eastAsia="zh-CN"/>
        </w:rPr>
        <w:t>乙方</w:t>
      </w:r>
      <w:r>
        <w:rPr>
          <w:rFonts w:hint="eastAsia"/>
          <w:color w:val="auto"/>
          <w:highlight w:val="none"/>
        </w:rPr>
        <w:t>明确表示无需预付款或者主动要求降低预付款比例的，</w:t>
      </w:r>
      <w:r>
        <w:rPr>
          <w:rFonts w:hint="eastAsia"/>
          <w:color w:val="auto"/>
          <w:highlight w:val="none"/>
          <w:lang w:eastAsia="zh-CN"/>
        </w:rPr>
        <w:t>甲方</w:t>
      </w:r>
      <w:r>
        <w:rPr>
          <w:rFonts w:hint="eastAsia"/>
          <w:color w:val="auto"/>
          <w:highlight w:val="none"/>
        </w:rPr>
        <w:t>可不适用前述规定）</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val="en-US" w:eastAsia="zh-CN"/>
        </w:rPr>
      </w:pPr>
      <w:r>
        <w:rPr>
          <w:rFonts w:hint="eastAsia"/>
          <w:color w:val="auto"/>
          <w:highlight w:val="none"/>
          <w:lang w:eastAsia="zh-CN"/>
        </w:rPr>
        <w:t>乙方按合同规定时间将所有货物运到甲方指定地点完成一年储备任务后支付全部合同金额，并扣回预付款。</w:t>
      </w:r>
      <w:r>
        <w:rPr>
          <w:rFonts w:hint="eastAsia"/>
          <w:color w:val="auto"/>
          <w:highlight w:val="none"/>
        </w:rPr>
        <w:t>（对于满足合同支付约定条件的，</w:t>
      </w:r>
      <w:r>
        <w:rPr>
          <w:rFonts w:hint="eastAsia"/>
          <w:color w:val="auto"/>
          <w:highlight w:val="none"/>
          <w:lang w:eastAsia="zh-CN"/>
        </w:rPr>
        <w:t>乙方</w:t>
      </w:r>
      <w:r>
        <w:rPr>
          <w:rFonts w:hint="eastAsia"/>
          <w:color w:val="auto"/>
          <w:highlight w:val="none"/>
        </w:rPr>
        <w:t>必须开具合同金额100%的正式税务发票。根据《浙江省财政厅关于进一步发挥政府采购政策功能全力推进经济稳进提质的通知》浙财采监〔2022〕3号。对于满足合同约定支付条件的，</w:t>
      </w:r>
      <w:r>
        <w:rPr>
          <w:rFonts w:hint="eastAsia"/>
          <w:color w:val="auto"/>
          <w:highlight w:val="none"/>
          <w:lang w:eastAsia="zh-CN"/>
        </w:rPr>
        <w:t>甲方</w:t>
      </w:r>
      <w:r>
        <w:rPr>
          <w:rFonts w:hint="eastAsia"/>
          <w:color w:val="auto"/>
          <w:highlight w:val="none"/>
        </w:rPr>
        <w:t>自收到发票后7个工作日内将资金支付到合同约定的</w:t>
      </w:r>
      <w:r>
        <w:rPr>
          <w:rFonts w:hint="eastAsia"/>
          <w:color w:val="auto"/>
          <w:highlight w:val="none"/>
          <w:lang w:eastAsia="zh-CN"/>
        </w:rPr>
        <w:t>乙方</w:t>
      </w:r>
      <w:r>
        <w:rPr>
          <w:rFonts w:hint="eastAsia"/>
          <w:color w:val="auto"/>
          <w:highlight w:val="none"/>
        </w:rPr>
        <w:t>账户。</w:t>
      </w:r>
      <w:r>
        <w:rPr>
          <w:rFonts w:hint="eastAsia" w:ascii="宋体" w:hAnsi="宋体" w:eastAsia="宋体" w:cs="Times New Roman"/>
          <w:b w:val="0"/>
          <w:bCs w:val="0"/>
          <w:color w:val="auto"/>
          <w:highlight w:val="none"/>
          <w:lang w:val="en-US" w:eastAsia="zh-CN"/>
        </w:rPr>
        <w:t>甲方未及时支付合同价款或未及时退还履约担保的，应当支付逾期利息。</w:t>
      </w:r>
      <w:r>
        <w:rPr>
          <w:rFonts w:hint="eastAsia"/>
          <w:color w:val="auto"/>
          <w:highlight w:val="none"/>
          <w:lang w:eastAsia="zh-CN"/>
        </w:rPr>
        <w:t>）</w:t>
      </w:r>
    </w:p>
    <w:p>
      <w:pPr>
        <w:widowControl w:val="0"/>
        <w:numPr>
          <w:ilvl w:val="0"/>
          <w:numId w:val="11"/>
        </w:numPr>
        <w:spacing w:line="360" w:lineRule="auto"/>
        <w:jc w:val="both"/>
        <w:rPr>
          <w:rFonts w:hint="eastAsia"/>
          <w:b/>
          <w:color w:val="auto"/>
          <w:highlight w:val="none"/>
        </w:rPr>
      </w:pPr>
      <w:r>
        <w:rPr>
          <w:rFonts w:hint="eastAsia" w:ascii="宋体" w:hAnsi="宋体"/>
          <w:b/>
          <w:bCs/>
          <w:color w:val="auto"/>
          <w:highlight w:val="none"/>
        </w:rPr>
        <w:t>合同组成</w:t>
      </w:r>
    </w:p>
    <w:p>
      <w:pPr>
        <w:spacing w:line="360" w:lineRule="auto"/>
        <w:ind w:firstLine="435"/>
        <w:rPr>
          <w:rFonts w:hint="eastAsia"/>
          <w:color w:val="auto"/>
          <w:highlight w:val="none"/>
        </w:rPr>
      </w:pPr>
      <w:r>
        <w:rPr>
          <w:rFonts w:hint="eastAsia"/>
          <w:color w:val="auto"/>
          <w:highlight w:val="none"/>
        </w:rPr>
        <w:t>合同由《</w:t>
      </w:r>
      <w:r>
        <w:rPr>
          <w:rFonts w:hint="eastAsia"/>
          <w:color w:val="auto"/>
          <w:highlight w:val="none"/>
          <w:lang w:eastAsia="zh-CN"/>
        </w:rPr>
        <w:t>招标</w:t>
      </w:r>
      <w:r>
        <w:rPr>
          <w:rFonts w:hint="eastAsia"/>
          <w:color w:val="auto"/>
          <w:highlight w:val="none"/>
        </w:rPr>
        <w:t>文件》 、《</w:t>
      </w:r>
      <w:r>
        <w:rPr>
          <w:rFonts w:hint="eastAsia"/>
          <w:color w:val="auto"/>
          <w:highlight w:val="none"/>
          <w:lang w:eastAsia="zh-CN"/>
        </w:rPr>
        <w:t>投标文件</w:t>
      </w:r>
      <w:r>
        <w:rPr>
          <w:rFonts w:hint="eastAsia"/>
          <w:color w:val="auto"/>
          <w:highlight w:val="none"/>
        </w:rPr>
        <w:t>》及附件为本合同的有效组成部分。</w:t>
      </w:r>
    </w:p>
    <w:p>
      <w:pPr>
        <w:widowControl w:val="0"/>
        <w:numPr>
          <w:ilvl w:val="0"/>
          <w:numId w:val="11"/>
        </w:numPr>
        <w:spacing w:line="360" w:lineRule="auto"/>
        <w:jc w:val="both"/>
        <w:rPr>
          <w:rFonts w:hint="eastAsia" w:ascii="宋体" w:hAnsi="宋体"/>
          <w:color w:val="auto"/>
          <w:highlight w:val="none"/>
        </w:rPr>
      </w:pPr>
      <w:r>
        <w:rPr>
          <w:rFonts w:hint="eastAsia" w:ascii="宋体" w:hAnsi="宋体"/>
          <w:b/>
          <w:bCs/>
          <w:color w:val="auto"/>
          <w:highlight w:val="none"/>
        </w:rPr>
        <w:t>违约责任</w:t>
      </w:r>
    </w:p>
    <w:p>
      <w:pPr>
        <w:widowControl w:val="0"/>
        <w:numPr>
          <w:ilvl w:val="0"/>
          <w:numId w:val="12"/>
        </w:numPr>
        <w:spacing w:line="360" w:lineRule="auto"/>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乙方违反甲方具体要求及《招标文件》规定的行为均属违约行为。甲方根据上述规定条款，视乙方违反规定的情节轻重，做出批评教育、警告、扣罚处理（在合同价款中违约金扣罚视情况 1000-20000元不等），情节严重者，甲方有权单方面解除合同，由乙方承担一切经济损失和法律责任。因乙方违约造成甲方损失的，甲方从乙方合同价款中扣除。</w:t>
      </w:r>
    </w:p>
    <w:p>
      <w:pPr>
        <w:widowControl w:val="0"/>
        <w:numPr>
          <w:ilvl w:val="0"/>
          <w:numId w:val="12"/>
        </w:numPr>
        <w:spacing w:line="360" w:lineRule="auto"/>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在甲方随机检查时，除甲方事先同意情况外储备数量达不到要求的每次在合同价款中扣除违约金10000元。</w:t>
      </w:r>
    </w:p>
    <w:p>
      <w:pPr>
        <w:widowControl w:val="0"/>
        <w:spacing w:line="360" w:lineRule="auto"/>
        <w:jc w:val="both"/>
        <w:rPr>
          <w:rFonts w:hint="eastAsia" w:ascii="宋体" w:hAnsi="宋体"/>
          <w:color w:val="auto"/>
          <w:highlight w:val="none"/>
        </w:rPr>
      </w:pPr>
      <w:r>
        <w:rPr>
          <w:rFonts w:hint="eastAsia" w:ascii="宋体" w:hAnsi="宋体"/>
          <w:color w:val="auto"/>
          <w:highlight w:val="none"/>
        </w:rPr>
        <w:t>（二）乙方因机械，工具或技术，劳动等跟不上管理需要影响工作，未达到质量标准，甲方有权单方面终止合同。</w:t>
      </w:r>
    </w:p>
    <w:p>
      <w:pPr>
        <w:widowControl w:val="0"/>
        <w:numPr>
          <w:ilvl w:val="0"/>
          <w:numId w:val="0"/>
        </w:numPr>
        <w:spacing w:line="360" w:lineRule="auto"/>
        <w:ind w:leftChars="0"/>
        <w:jc w:val="both"/>
        <w:rPr>
          <w:rFonts w:hint="eastAsia" w:ascii="宋体" w:hAnsi="宋体"/>
          <w:b/>
          <w:bCs/>
          <w:color w:val="auto"/>
          <w:highlight w:val="none"/>
        </w:rPr>
      </w:pPr>
      <w:r>
        <w:rPr>
          <w:rFonts w:hint="eastAsia" w:ascii="宋体" w:hAnsi="宋体"/>
          <w:b/>
          <w:bCs/>
          <w:color w:val="auto"/>
          <w:highlight w:val="none"/>
          <w:lang w:val="en-US" w:eastAsia="zh-CN"/>
        </w:rPr>
        <w:t xml:space="preserve">第十一条 </w:t>
      </w:r>
      <w:r>
        <w:rPr>
          <w:rFonts w:hint="eastAsia" w:ascii="宋体" w:hAnsi="宋体"/>
          <w:b/>
          <w:bCs/>
          <w:color w:val="auto"/>
          <w:highlight w:val="none"/>
        </w:rPr>
        <w:t>争议的解决</w:t>
      </w:r>
    </w:p>
    <w:p>
      <w:pPr>
        <w:spacing w:line="360" w:lineRule="auto"/>
        <w:ind w:firstLine="420" w:firstLineChars="200"/>
        <w:rPr>
          <w:rFonts w:hint="eastAsia"/>
          <w:color w:val="auto"/>
          <w:highlight w:val="none"/>
        </w:rPr>
      </w:pPr>
      <w:r>
        <w:rPr>
          <w:rFonts w:hint="eastAsia"/>
          <w:color w:val="auto"/>
          <w:highlight w:val="none"/>
        </w:rPr>
        <w:t>合同未尽事宜，应双方友好协商解决。协商不一致，任何一方均可提起仲裁或诉讼，仲裁或诉讼按合同履行地原则。</w:t>
      </w:r>
    </w:p>
    <w:p>
      <w:pPr>
        <w:widowControl w:val="0"/>
        <w:numPr>
          <w:ilvl w:val="0"/>
          <w:numId w:val="0"/>
        </w:numPr>
        <w:spacing w:line="360" w:lineRule="auto"/>
        <w:ind w:leftChars="0"/>
        <w:jc w:val="both"/>
        <w:rPr>
          <w:rFonts w:hint="eastAsia" w:ascii="宋体" w:hAnsi="宋体"/>
          <w:color w:val="auto"/>
          <w:highlight w:val="none"/>
        </w:rPr>
      </w:pPr>
      <w:r>
        <w:rPr>
          <w:rFonts w:hint="eastAsia" w:ascii="宋体" w:hAnsi="宋体"/>
          <w:b/>
          <w:bCs/>
          <w:color w:val="auto"/>
          <w:highlight w:val="none"/>
          <w:lang w:val="en-US" w:eastAsia="zh-CN"/>
        </w:rPr>
        <w:t xml:space="preserve">第十二条 </w:t>
      </w:r>
      <w:r>
        <w:rPr>
          <w:rFonts w:hint="eastAsia" w:ascii="宋体" w:hAnsi="宋体"/>
          <w:b/>
          <w:bCs/>
          <w:color w:val="auto"/>
          <w:highlight w:val="none"/>
        </w:rPr>
        <w:t>合同生效及终止</w:t>
      </w:r>
    </w:p>
    <w:p>
      <w:pPr>
        <w:widowControl w:val="0"/>
        <w:spacing w:line="360" w:lineRule="auto"/>
        <w:jc w:val="both"/>
        <w:rPr>
          <w:rFonts w:hint="eastAsia"/>
          <w:color w:val="auto"/>
          <w:highlight w:val="none"/>
        </w:rPr>
      </w:pPr>
      <w:r>
        <w:rPr>
          <w:rFonts w:hint="eastAsia"/>
          <w:color w:val="auto"/>
          <w:highlight w:val="none"/>
        </w:rPr>
        <w:t>（一）合同生效：本合同自甲乙双方法定代表人签字，盖章之日起生效。</w:t>
      </w:r>
    </w:p>
    <w:p>
      <w:pPr>
        <w:widowControl w:val="0"/>
        <w:spacing w:line="360" w:lineRule="auto"/>
        <w:jc w:val="both"/>
        <w:rPr>
          <w:rFonts w:hint="eastAsia"/>
          <w:color w:val="auto"/>
          <w:highlight w:val="none"/>
        </w:rPr>
      </w:pPr>
      <w:r>
        <w:rPr>
          <w:rFonts w:hint="eastAsia"/>
          <w:color w:val="auto"/>
          <w:highlight w:val="none"/>
        </w:rPr>
        <w:t>（二）合同终止：本合同出现以下情况时终止。</w:t>
      </w:r>
    </w:p>
    <w:p>
      <w:pPr>
        <w:widowControl w:val="0"/>
        <w:numPr>
          <w:ilvl w:val="0"/>
          <w:numId w:val="13"/>
        </w:numPr>
        <w:spacing w:line="360" w:lineRule="auto"/>
        <w:jc w:val="both"/>
        <w:rPr>
          <w:rFonts w:hint="eastAsia"/>
          <w:color w:val="auto"/>
          <w:highlight w:val="none"/>
        </w:rPr>
      </w:pPr>
      <w:r>
        <w:rPr>
          <w:rFonts w:hint="eastAsia"/>
          <w:color w:val="auto"/>
          <w:highlight w:val="none"/>
        </w:rPr>
        <w:t>期限届满时自行终止。</w:t>
      </w:r>
    </w:p>
    <w:p>
      <w:pPr>
        <w:widowControl w:val="0"/>
        <w:numPr>
          <w:ilvl w:val="0"/>
          <w:numId w:val="13"/>
        </w:numPr>
        <w:spacing w:line="360" w:lineRule="auto"/>
        <w:jc w:val="both"/>
        <w:rPr>
          <w:rFonts w:hint="eastAsia"/>
          <w:color w:val="auto"/>
          <w:highlight w:val="none"/>
        </w:rPr>
      </w:pPr>
      <w:r>
        <w:rPr>
          <w:rFonts w:hint="eastAsia"/>
          <w:color w:val="auto"/>
          <w:highlight w:val="none"/>
        </w:rPr>
        <w:t>有以下行为之一的：</w:t>
      </w:r>
    </w:p>
    <w:p>
      <w:pPr>
        <w:widowControl w:val="0"/>
        <w:numPr>
          <w:ilvl w:val="0"/>
          <w:numId w:val="14"/>
        </w:numPr>
        <w:spacing w:line="360" w:lineRule="auto"/>
        <w:jc w:val="both"/>
        <w:rPr>
          <w:rFonts w:hint="eastAsia"/>
          <w:color w:val="auto"/>
          <w:highlight w:val="none"/>
        </w:rPr>
      </w:pPr>
      <w:r>
        <w:rPr>
          <w:rFonts w:hint="eastAsia"/>
          <w:color w:val="auto"/>
          <w:highlight w:val="none"/>
        </w:rPr>
        <w:t>违反管理规定，造成重大伤亡或重大损失。</w:t>
      </w:r>
    </w:p>
    <w:p>
      <w:pPr>
        <w:widowControl w:val="0"/>
        <w:numPr>
          <w:ilvl w:val="0"/>
          <w:numId w:val="14"/>
        </w:numPr>
        <w:spacing w:line="360" w:lineRule="auto"/>
        <w:jc w:val="both"/>
        <w:rPr>
          <w:rFonts w:hint="eastAsia"/>
          <w:color w:val="auto"/>
          <w:highlight w:val="none"/>
        </w:rPr>
      </w:pPr>
      <w:r>
        <w:rPr>
          <w:rFonts w:hint="eastAsia"/>
          <w:color w:val="auto"/>
          <w:highlight w:val="none"/>
        </w:rPr>
        <w:t>因管理不善造成恶劣影响。</w:t>
      </w:r>
    </w:p>
    <w:p>
      <w:pPr>
        <w:widowControl w:val="0"/>
        <w:numPr>
          <w:ilvl w:val="0"/>
          <w:numId w:val="14"/>
        </w:numPr>
        <w:spacing w:line="360" w:lineRule="auto"/>
        <w:jc w:val="both"/>
        <w:rPr>
          <w:rFonts w:hint="eastAsia"/>
          <w:color w:val="auto"/>
          <w:highlight w:val="none"/>
        </w:rPr>
      </w:pPr>
      <w:r>
        <w:rPr>
          <w:rFonts w:hint="eastAsia"/>
          <w:color w:val="auto"/>
          <w:highlight w:val="none"/>
        </w:rPr>
        <w:t>擅自将合同转包给第三者。</w:t>
      </w:r>
    </w:p>
    <w:p>
      <w:pPr>
        <w:widowControl w:val="0"/>
        <w:numPr>
          <w:ilvl w:val="0"/>
          <w:numId w:val="14"/>
        </w:numPr>
        <w:spacing w:line="360" w:lineRule="auto"/>
        <w:jc w:val="both"/>
        <w:rPr>
          <w:rFonts w:hint="eastAsia"/>
          <w:color w:val="auto"/>
          <w:highlight w:val="none"/>
        </w:rPr>
      </w:pPr>
      <w:r>
        <w:rPr>
          <w:rFonts w:hint="eastAsia"/>
          <w:color w:val="auto"/>
          <w:highlight w:val="none"/>
        </w:rPr>
        <w:t>违反劳动法或其他相关法律法规，造成恶劣影响。</w:t>
      </w:r>
    </w:p>
    <w:p>
      <w:pPr>
        <w:widowControl w:val="0"/>
        <w:numPr>
          <w:ilvl w:val="0"/>
          <w:numId w:val="14"/>
        </w:numPr>
        <w:spacing w:line="360" w:lineRule="auto"/>
        <w:jc w:val="both"/>
        <w:rPr>
          <w:rFonts w:hint="eastAsia"/>
          <w:color w:val="auto"/>
          <w:highlight w:val="none"/>
        </w:rPr>
      </w:pPr>
      <w:r>
        <w:rPr>
          <w:rFonts w:hint="eastAsia"/>
          <w:color w:val="auto"/>
          <w:highlight w:val="none"/>
        </w:rPr>
        <w:t>弄虚作假及其他不正当行为。</w:t>
      </w:r>
    </w:p>
    <w:p>
      <w:pPr>
        <w:widowControl w:val="0"/>
        <w:numPr>
          <w:ilvl w:val="0"/>
          <w:numId w:val="13"/>
        </w:numPr>
        <w:spacing w:line="360" w:lineRule="auto"/>
        <w:jc w:val="both"/>
        <w:rPr>
          <w:rFonts w:hint="eastAsia"/>
          <w:color w:val="auto"/>
          <w:highlight w:val="none"/>
        </w:rPr>
      </w:pPr>
      <w:r>
        <w:rPr>
          <w:rFonts w:hint="eastAsia"/>
          <w:color w:val="auto"/>
          <w:highlight w:val="none"/>
        </w:rPr>
        <w:t>法律规定的终止事由。</w:t>
      </w:r>
    </w:p>
    <w:p>
      <w:pPr>
        <w:widowControl w:val="0"/>
        <w:numPr>
          <w:ilvl w:val="0"/>
          <w:numId w:val="0"/>
        </w:numPr>
        <w:spacing w:line="360" w:lineRule="auto"/>
        <w:ind w:leftChars="0"/>
        <w:jc w:val="both"/>
        <w:rPr>
          <w:rFonts w:hint="eastAsia" w:ascii="宋体" w:hAnsi="宋体"/>
          <w:b/>
          <w:bCs/>
          <w:color w:val="auto"/>
          <w:highlight w:val="none"/>
        </w:rPr>
      </w:pPr>
      <w:r>
        <w:rPr>
          <w:rFonts w:hint="eastAsia" w:ascii="宋体" w:hAnsi="宋体"/>
          <w:b/>
          <w:bCs/>
          <w:color w:val="auto"/>
          <w:highlight w:val="none"/>
          <w:lang w:val="en-US" w:eastAsia="zh-CN"/>
        </w:rPr>
        <w:t xml:space="preserve">第十三条 </w:t>
      </w:r>
      <w:r>
        <w:rPr>
          <w:rFonts w:hint="eastAsia" w:ascii="宋体" w:hAnsi="宋体"/>
          <w:b/>
          <w:bCs/>
          <w:color w:val="auto"/>
          <w:highlight w:val="none"/>
        </w:rPr>
        <w:t>合同的解释</w:t>
      </w:r>
    </w:p>
    <w:p>
      <w:pPr>
        <w:spacing w:line="360" w:lineRule="auto"/>
        <w:ind w:firstLine="420" w:firstLineChars="200"/>
        <w:rPr>
          <w:rFonts w:hint="eastAsia"/>
          <w:color w:val="auto"/>
          <w:highlight w:val="none"/>
        </w:rPr>
      </w:pPr>
      <w:r>
        <w:rPr>
          <w:rFonts w:hint="eastAsia"/>
          <w:color w:val="auto"/>
          <w:highlight w:val="none"/>
        </w:rPr>
        <w:t>本合同的解释权在</w:t>
      </w:r>
      <w:r>
        <w:rPr>
          <w:rFonts w:hint="eastAsia"/>
          <w:color w:val="auto"/>
          <w:highlight w:val="none"/>
          <w:lang w:eastAsia="zh-CN"/>
        </w:rPr>
        <w:t>瑞安市供销合作社联合社</w:t>
      </w:r>
      <w:r>
        <w:rPr>
          <w:rFonts w:hint="eastAsia"/>
          <w:color w:val="auto"/>
          <w:highlight w:val="none"/>
        </w:rPr>
        <w:t>。</w:t>
      </w:r>
    </w:p>
    <w:p>
      <w:pPr>
        <w:widowControl w:val="0"/>
        <w:numPr>
          <w:ilvl w:val="0"/>
          <w:numId w:val="0"/>
        </w:numPr>
        <w:spacing w:line="360" w:lineRule="auto"/>
        <w:ind w:leftChars="0"/>
        <w:jc w:val="both"/>
        <w:rPr>
          <w:rFonts w:hint="eastAsia" w:ascii="宋体" w:hAnsi="宋体"/>
          <w:color w:val="auto"/>
          <w:highlight w:val="none"/>
        </w:rPr>
      </w:pPr>
      <w:r>
        <w:rPr>
          <w:rFonts w:hint="eastAsia" w:ascii="宋体" w:hAnsi="宋体"/>
          <w:b/>
          <w:bCs/>
          <w:color w:val="auto"/>
          <w:highlight w:val="none"/>
          <w:lang w:val="en-US" w:eastAsia="zh-CN"/>
        </w:rPr>
        <w:t xml:space="preserve">第十四条 </w:t>
      </w:r>
      <w:r>
        <w:rPr>
          <w:rFonts w:hint="eastAsia" w:ascii="宋体" w:hAnsi="宋体"/>
          <w:b/>
          <w:bCs/>
          <w:color w:val="auto"/>
          <w:highlight w:val="none"/>
        </w:rPr>
        <w:t>合同的份数</w:t>
      </w:r>
    </w:p>
    <w:p>
      <w:pPr>
        <w:spacing w:line="360" w:lineRule="auto"/>
        <w:ind w:firstLine="420" w:firstLineChars="200"/>
        <w:rPr>
          <w:rFonts w:hint="eastAsia"/>
          <w:color w:val="auto"/>
          <w:highlight w:val="none"/>
        </w:rPr>
      </w:pPr>
      <w:r>
        <w:rPr>
          <w:rFonts w:hint="eastAsia"/>
          <w:color w:val="auto"/>
          <w:highlight w:val="none"/>
        </w:rPr>
        <w:t>本合同一式</w:t>
      </w:r>
      <w:r>
        <w:rPr>
          <w:rFonts w:hint="eastAsia"/>
          <w:color w:val="auto"/>
          <w:highlight w:val="none"/>
          <w:lang w:val="en-US" w:eastAsia="zh-CN"/>
        </w:rPr>
        <w:t>伍</w:t>
      </w:r>
      <w:r>
        <w:rPr>
          <w:rFonts w:hint="eastAsia"/>
          <w:color w:val="auto"/>
          <w:highlight w:val="none"/>
        </w:rPr>
        <w:t>份，双方各执</w:t>
      </w:r>
      <w:r>
        <w:rPr>
          <w:rFonts w:hint="eastAsia"/>
          <w:color w:val="auto"/>
          <w:highlight w:val="none"/>
          <w:lang w:val="en-US" w:eastAsia="zh-CN"/>
        </w:rPr>
        <w:t>贰</w:t>
      </w:r>
      <w:r>
        <w:rPr>
          <w:rFonts w:hint="eastAsia"/>
          <w:color w:val="auto"/>
          <w:highlight w:val="none"/>
        </w:rPr>
        <w:t>份，</w:t>
      </w:r>
      <w:r>
        <w:rPr>
          <w:rFonts w:hint="eastAsia" w:ascii="宋体" w:hAnsi="宋体"/>
          <w:color w:val="auto"/>
          <w:highlight w:val="none"/>
        </w:rPr>
        <w:t>采购代理机构执</w:t>
      </w:r>
      <w:r>
        <w:rPr>
          <w:rFonts w:hint="eastAsia" w:ascii="宋体" w:hAnsi="宋体"/>
          <w:color w:val="auto"/>
          <w:highlight w:val="none"/>
          <w:lang w:val="en-US" w:eastAsia="zh-CN"/>
        </w:rPr>
        <w:t>壹</w:t>
      </w:r>
      <w:r>
        <w:rPr>
          <w:rFonts w:hint="eastAsia" w:ascii="宋体" w:hAnsi="宋体"/>
          <w:color w:val="auto"/>
          <w:highlight w:val="none"/>
        </w:rPr>
        <w:t>份，</w:t>
      </w:r>
      <w:r>
        <w:rPr>
          <w:rFonts w:hint="eastAsia"/>
          <w:color w:val="auto"/>
          <w:highlight w:val="none"/>
        </w:rPr>
        <w:t>具有同等法律效力，自双方签字盖章后生效。</w:t>
      </w:r>
    </w:p>
    <w:p>
      <w:pPr>
        <w:spacing w:line="360" w:lineRule="auto"/>
        <w:ind w:firstLine="420" w:firstLineChars="200"/>
        <w:rPr>
          <w:rFonts w:hint="eastAsia"/>
          <w:color w:val="auto"/>
          <w:highlight w:val="none"/>
        </w:rPr>
      </w:pPr>
    </w:p>
    <w:p>
      <w:pPr>
        <w:spacing w:line="360" w:lineRule="auto"/>
        <w:ind w:left="420"/>
        <w:rPr>
          <w:rFonts w:hint="eastAsia"/>
          <w:color w:val="auto"/>
          <w:highlight w:val="none"/>
        </w:rPr>
      </w:pPr>
      <w:r>
        <w:rPr>
          <w:rFonts w:hint="eastAsia"/>
          <w:color w:val="auto"/>
          <w:highlight w:val="none"/>
        </w:rPr>
        <w:t>甲    方（</w:t>
      </w:r>
      <w:r>
        <w:rPr>
          <w:rFonts w:hint="eastAsia" w:ascii="Arial" w:hAnsi="Arial"/>
          <w:color w:val="auto"/>
          <w:highlight w:val="none"/>
        </w:rPr>
        <w:t>公章</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乙    方（</w:t>
      </w:r>
      <w:r>
        <w:rPr>
          <w:rFonts w:hint="eastAsia" w:ascii="Arial" w:hAnsi="Arial"/>
          <w:color w:val="auto"/>
          <w:highlight w:val="none"/>
        </w:rPr>
        <w:t>公章</w:t>
      </w:r>
      <w:r>
        <w:rPr>
          <w:rFonts w:hint="eastAsia"/>
          <w:color w:val="auto"/>
          <w:highlight w:val="none"/>
        </w:rPr>
        <w:t>）：</w:t>
      </w:r>
    </w:p>
    <w:p>
      <w:pPr>
        <w:spacing w:line="360" w:lineRule="auto"/>
        <w:ind w:left="420"/>
        <w:rPr>
          <w:rFonts w:hint="eastAsia"/>
          <w:color w:val="auto"/>
          <w:highlight w:val="none"/>
        </w:rPr>
      </w:pPr>
      <w:r>
        <w:rPr>
          <w:rFonts w:hint="eastAsia" w:ascii="宋体" w:hAnsi="宋体"/>
          <w:color w:val="auto"/>
          <w:highlight w:val="none"/>
        </w:rPr>
        <w:t>法定代表人或授权代表（签字或盖章）：</w:t>
      </w:r>
      <w:r>
        <w:rPr>
          <w:rFonts w:hint="eastAsia" w:ascii="宋体" w:hAnsi="宋体"/>
          <w:color w:val="auto"/>
          <w:highlight w:val="none"/>
          <w:lang w:val="en-US" w:eastAsia="zh-CN"/>
        </w:rPr>
        <w:t xml:space="preserve">       </w:t>
      </w:r>
      <w:r>
        <w:rPr>
          <w:rFonts w:hint="eastAsia" w:ascii="宋体" w:hAnsi="宋体"/>
          <w:color w:val="auto"/>
          <w:highlight w:val="none"/>
        </w:rPr>
        <w:t>法定代表人或授权代表（签字或盖章）：</w:t>
      </w:r>
    </w:p>
    <w:p>
      <w:pPr>
        <w:spacing w:line="360" w:lineRule="auto"/>
        <w:ind w:left="420"/>
        <w:rPr>
          <w:rFonts w:hint="eastAsia"/>
          <w:color w:val="auto"/>
          <w:highlight w:val="none"/>
        </w:rPr>
      </w:pPr>
      <w:r>
        <w:rPr>
          <w:rFonts w:hint="eastAsia"/>
          <w:color w:val="auto"/>
          <w:highlight w:val="none"/>
        </w:rPr>
        <w:t xml:space="preserve">地    址：                            </w:t>
      </w:r>
      <w:r>
        <w:rPr>
          <w:rFonts w:hint="eastAsia"/>
          <w:color w:val="auto"/>
          <w:highlight w:val="none"/>
          <w:lang w:val="en-US" w:eastAsia="zh-CN"/>
        </w:rPr>
        <w:t xml:space="preserve">   </w:t>
      </w:r>
      <w:r>
        <w:rPr>
          <w:rFonts w:hint="eastAsia"/>
          <w:color w:val="auto"/>
          <w:highlight w:val="none"/>
        </w:rPr>
        <w:t xml:space="preserve"> 地    址：</w:t>
      </w:r>
    </w:p>
    <w:p>
      <w:pPr>
        <w:spacing w:line="360" w:lineRule="auto"/>
        <w:ind w:left="420"/>
        <w:rPr>
          <w:rFonts w:hint="eastAsia"/>
          <w:color w:val="auto"/>
          <w:highlight w:val="none"/>
        </w:rPr>
      </w:pPr>
      <w:r>
        <w:rPr>
          <w:rFonts w:hint="eastAsia"/>
          <w:color w:val="auto"/>
          <w:highlight w:val="none"/>
        </w:rPr>
        <w:t xml:space="preserve">邮政编码：                            </w:t>
      </w:r>
      <w:r>
        <w:rPr>
          <w:rFonts w:hint="eastAsia"/>
          <w:color w:val="auto"/>
          <w:highlight w:val="none"/>
          <w:lang w:val="en-US" w:eastAsia="zh-CN"/>
        </w:rPr>
        <w:t xml:space="preserve">   </w:t>
      </w:r>
      <w:r>
        <w:rPr>
          <w:rFonts w:hint="eastAsia"/>
          <w:color w:val="auto"/>
          <w:highlight w:val="none"/>
        </w:rPr>
        <w:t xml:space="preserve"> 邮政编码：</w:t>
      </w:r>
    </w:p>
    <w:p>
      <w:pPr>
        <w:spacing w:line="360" w:lineRule="auto"/>
        <w:ind w:left="420"/>
        <w:rPr>
          <w:rFonts w:hint="eastAsia"/>
          <w:color w:val="auto"/>
          <w:highlight w:val="none"/>
        </w:rPr>
      </w:pPr>
      <w:r>
        <w:rPr>
          <w:rFonts w:hint="eastAsia"/>
          <w:color w:val="auto"/>
          <w:highlight w:val="none"/>
        </w:rPr>
        <w:t xml:space="preserve">电    话：                             </w:t>
      </w:r>
      <w:r>
        <w:rPr>
          <w:rFonts w:hint="eastAsia"/>
          <w:color w:val="auto"/>
          <w:highlight w:val="none"/>
          <w:lang w:val="en-US" w:eastAsia="zh-CN"/>
        </w:rPr>
        <w:t xml:space="preserve">   </w:t>
      </w:r>
      <w:r>
        <w:rPr>
          <w:rFonts w:hint="eastAsia"/>
          <w:color w:val="auto"/>
          <w:highlight w:val="none"/>
        </w:rPr>
        <w:t>电    话：</w:t>
      </w:r>
    </w:p>
    <w:p>
      <w:pPr>
        <w:spacing w:line="360" w:lineRule="auto"/>
        <w:ind w:left="420"/>
        <w:rPr>
          <w:rFonts w:hint="eastAsia"/>
          <w:color w:val="auto"/>
          <w:highlight w:val="none"/>
        </w:rPr>
      </w:pPr>
      <w:r>
        <w:rPr>
          <w:rFonts w:hint="eastAsia"/>
          <w:color w:val="auto"/>
          <w:highlight w:val="none"/>
        </w:rPr>
        <w:t xml:space="preserve">传    真：                            </w:t>
      </w:r>
      <w:r>
        <w:rPr>
          <w:rFonts w:hint="eastAsia"/>
          <w:color w:val="auto"/>
          <w:highlight w:val="none"/>
          <w:lang w:val="en-US" w:eastAsia="zh-CN"/>
        </w:rPr>
        <w:t xml:space="preserve">   </w:t>
      </w:r>
      <w:r>
        <w:rPr>
          <w:rFonts w:hint="eastAsia"/>
          <w:color w:val="auto"/>
          <w:highlight w:val="none"/>
        </w:rPr>
        <w:t xml:space="preserve"> 传    真：</w:t>
      </w:r>
    </w:p>
    <w:p>
      <w:pPr>
        <w:spacing w:line="360" w:lineRule="auto"/>
        <w:ind w:left="420"/>
        <w:rPr>
          <w:rFonts w:hint="eastAsia"/>
          <w:color w:val="auto"/>
          <w:highlight w:val="none"/>
        </w:rPr>
      </w:pPr>
      <w:r>
        <w:rPr>
          <w:rFonts w:hint="eastAsia"/>
          <w:color w:val="auto"/>
          <w:highlight w:val="none"/>
        </w:rPr>
        <w:t xml:space="preserve">开户银行：                             </w:t>
      </w:r>
      <w:r>
        <w:rPr>
          <w:rFonts w:hint="eastAsia"/>
          <w:color w:val="auto"/>
          <w:highlight w:val="none"/>
          <w:lang w:val="en-US" w:eastAsia="zh-CN"/>
        </w:rPr>
        <w:t xml:space="preserve">   </w:t>
      </w:r>
      <w:r>
        <w:rPr>
          <w:rFonts w:hint="eastAsia"/>
          <w:color w:val="auto"/>
          <w:highlight w:val="none"/>
        </w:rPr>
        <w:t>开户银行：</w:t>
      </w:r>
    </w:p>
    <w:p>
      <w:pPr>
        <w:spacing w:line="360" w:lineRule="auto"/>
        <w:ind w:firstLine="315" w:firstLineChars="150"/>
        <w:rPr>
          <w:rFonts w:hint="eastAsia"/>
          <w:color w:val="auto"/>
          <w:highlight w:val="none"/>
        </w:rPr>
      </w:pPr>
      <w:r>
        <w:rPr>
          <w:rFonts w:hint="eastAsia"/>
          <w:color w:val="auto"/>
          <w:highlight w:val="none"/>
        </w:rPr>
        <w:t xml:space="preserve"> 账    号：                             </w:t>
      </w:r>
      <w:r>
        <w:rPr>
          <w:rFonts w:hint="eastAsia"/>
          <w:color w:val="auto"/>
          <w:highlight w:val="none"/>
          <w:lang w:val="en-US" w:eastAsia="zh-CN"/>
        </w:rPr>
        <w:t xml:space="preserve">   </w:t>
      </w:r>
      <w:r>
        <w:rPr>
          <w:rFonts w:hint="eastAsia"/>
          <w:color w:val="auto"/>
          <w:highlight w:val="none"/>
        </w:rPr>
        <w:t>账    号：</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合同签订日期：     年</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 xml:space="preserve">  日       </w:t>
      </w:r>
      <w:r>
        <w:rPr>
          <w:rFonts w:hint="eastAsia" w:ascii="宋体" w:hAnsi="宋体"/>
          <w:color w:val="auto"/>
          <w:highlight w:val="none"/>
          <w:lang w:val="en-US" w:eastAsia="zh-CN"/>
        </w:rPr>
        <w:t xml:space="preserve">   </w:t>
      </w:r>
      <w:r>
        <w:rPr>
          <w:rFonts w:hint="eastAsia" w:ascii="宋体" w:hAnsi="宋体"/>
          <w:color w:val="auto"/>
          <w:highlight w:val="none"/>
        </w:rPr>
        <w:t>合同签订日期：      年</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 xml:space="preserve">  日  </w:t>
      </w:r>
    </w:p>
    <w:p>
      <w:pPr>
        <w:spacing w:line="360" w:lineRule="auto"/>
        <w:ind w:firstLine="315" w:firstLineChars="150"/>
        <w:rPr>
          <w:rFonts w:hint="eastAsia"/>
          <w:color w:val="auto"/>
          <w:highlight w:val="none"/>
        </w:rPr>
      </w:pPr>
    </w:p>
    <w:p>
      <w:pPr>
        <w:pStyle w:val="39"/>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b/>
          <w:bCs/>
          <w:color w:val="auto"/>
          <w:sz w:val="28"/>
          <w:highlight w:val="none"/>
        </w:rPr>
      </w:pPr>
      <w:r>
        <w:rPr>
          <w:rFonts w:ascii="宋体" w:hAnsi="宋体" w:cs="Arial"/>
          <w:b/>
          <w:bCs/>
          <w:color w:val="auto"/>
          <w:szCs w:val="21"/>
          <w:highlight w:val="none"/>
        </w:rPr>
        <w:t>注：</w:t>
      </w:r>
      <w:r>
        <w:rPr>
          <w:rFonts w:hint="eastAsia" w:ascii="宋体" w:hAnsi="宋体" w:cs="Arial"/>
          <w:b/>
          <w:bCs/>
          <w:color w:val="auto"/>
          <w:szCs w:val="21"/>
          <w:highlight w:val="none"/>
        </w:rPr>
        <w:t>1.</w:t>
      </w:r>
      <w:r>
        <w:rPr>
          <w:rFonts w:ascii="宋体" w:hAnsi="宋体" w:cs="Arial"/>
          <w:b/>
          <w:bCs/>
          <w:color w:val="auto"/>
          <w:szCs w:val="21"/>
          <w:highlight w:val="none"/>
        </w:rPr>
        <w:t>上述条款仅供参考，具体以</w:t>
      </w:r>
      <w:r>
        <w:rPr>
          <w:rFonts w:hint="eastAsia" w:ascii="宋体" w:hAnsi="宋体" w:cs="Arial"/>
          <w:b/>
          <w:bCs/>
          <w:color w:val="auto"/>
          <w:szCs w:val="21"/>
          <w:highlight w:val="none"/>
          <w:lang w:eastAsia="zh-CN"/>
        </w:rPr>
        <w:t>成交供应商</w:t>
      </w:r>
      <w:r>
        <w:rPr>
          <w:rFonts w:ascii="宋体" w:hAnsi="宋体" w:cs="Arial"/>
          <w:b/>
          <w:bCs/>
          <w:color w:val="auto"/>
          <w:szCs w:val="21"/>
          <w:highlight w:val="none"/>
        </w:rPr>
        <w:t>与</w:t>
      </w:r>
      <w:r>
        <w:rPr>
          <w:rFonts w:hint="eastAsia" w:ascii="宋体" w:hAnsi="宋体" w:cs="Arial"/>
          <w:b/>
          <w:bCs/>
          <w:color w:val="auto"/>
          <w:szCs w:val="21"/>
          <w:highlight w:val="none"/>
          <w:lang w:eastAsia="zh-CN"/>
        </w:rPr>
        <w:t>采购人</w:t>
      </w:r>
      <w:r>
        <w:rPr>
          <w:rFonts w:ascii="宋体" w:hAnsi="宋体" w:cs="Arial"/>
          <w:b/>
          <w:bCs/>
          <w:color w:val="auto"/>
          <w:szCs w:val="21"/>
          <w:highlight w:val="none"/>
        </w:rPr>
        <w:t>所签定正式合同为准。</w:t>
      </w:r>
    </w:p>
    <w:p>
      <w:pPr>
        <w:pStyle w:val="39"/>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Arial"/>
          <w:b/>
          <w:bCs/>
          <w:color w:val="auto"/>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Arial"/>
          <w:b/>
          <w:bCs/>
          <w:color w:val="auto"/>
          <w:szCs w:val="21"/>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r>
        <w:rPr>
          <w:rFonts w:hint="eastAsia" w:ascii="宋体" w:hAnsi="宋体" w:eastAsia="宋体" w:cs="Arial"/>
          <w:b/>
          <w:bCs/>
          <w:color w:val="auto"/>
          <w:szCs w:val="21"/>
          <w:highlight w:val="none"/>
          <w:lang w:eastAsia="zh-CN"/>
        </w:rPr>
        <w:t>。</w:t>
      </w:r>
    </w:p>
    <w:p>
      <w:pPr>
        <w:pStyle w:val="3"/>
        <w:keepNext w:val="0"/>
        <w:keepLines w:val="0"/>
        <w:pageBreakBefore/>
        <w:shd w:val="clear" w:color="auto" w:fill="auto"/>
        <w:tabs>
          <w:tab w:val="left" w:pos="840"/>
        </w:tabs>
        <w:spacing w:before="312" w:beforeLines="100" w:after="312" w:afterLines="100" w:line="400" w:lineRule="atLeast"/>
        <w:jc w:val="center"/>
        <w:rPr>
          <w:rFonts w:hint="eastAsia" w:ascii="宋体" w:hAnsi="宋体" w:eastAsia="宋体" w:cs="宋体"/>
          <w:color w:val="auto"/>
          <w:sz w:val="28"/>
          <w:szCs w:val="36"/>
          <w:highlight w:val="none"/>
        </w:rPr>
      </w:pPr>
      <w:bookmarkStart w:id="664" w:name="_Toc21271"/>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六</w:t>
      </w:r>
      <w:r>
        <w:rPr>
          <w:rFonts w:hint="eastAsia" w:ascii="宋体" w:hAnsi="宋体" w:eastAsia="宋体" w:cs="宋体"/>
          <w:color w:val="auto"/>
          <w:sz w:val="28"/>
          <w:szCs w:val="36"/>
          <w:highlight w:val="none"/>
        </w:rPr>
        <w:t xml:space="preserve">部分  </w:t>
      </w:r>
      <w:bookmarkEnd w:id="25"/>
      <w:bookmarkEnd w:id="26"/>
      <w:r>
        <w:rPr>
          <w:rFonts w:hint="eastAsia" w:ascii="宋体" w:hAnsi="宋体" w:eastAsia="宋体" w:cs="宋体"/>
          <w:color w:val="auto"/>
          <w:sz w:val="28"/>
          <w:szCs w:val="36"/>
          <w:highlight w:val="none"/>
        </w:rPr>
        <w:t>应提交的有关格式范例</w:t>
      </w:r>
      <w:bookmarkEnd w:id="663"/>
      <w:bookmarkEnd w:id="664"/>
    </w:p>
    <w:p>
      <w:pPr>
        <w:shd w:val="clear" w:color="auto" w:fill="auto"/>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 </w:t>
      </w:r>
      <w:bookmarkStart w:id="665" w:name="_Toc22186"/>
      <w:bookmarkStart w:id="666" w:name="_Toc24784"/>
      <w:r>
        <w:rPr>
          <w:rFonts w:hint="eastAsia" w:ascii="宋体" w:hAnsi="宋体" w:eastAsia="宋体" w:cs="宋体"/>
          <w:b/>
          <w:color w:val="auto"/>
          <w:kern w:val="0"/>
          <w:sz w:val="32"/>
          <w:szCs w:val="32"/>
          <w:highlight w:val="none"/>
        </w:rPr>
        <w:t>资格文件部分</w:t>
      </w:r>
      <w:bookmarkEnd w:id="665"/>
      <w:bookmarkEnd w:id="666"/>
    </w:p>
    <w:p>
      <w:pPr>
        <w:shd w:val="clear" w:color="auto" w:fill="auto"/>
        <w:snapToGrid w:val="0"/>
        <w:spacing w:line="400" w:lineRule="atLeast"/>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pPr>
        <w:shd w:val="clear" w:color="auto" w:fill="auto"/>
        <w:snapToGrid w:val="0"/>
        <w:spacing w:line="360" w:lineRule="auto"/>
        <w:rPr>
          <w:rFonts w:hint="eastAsia" w:ascii="宋体" w:hAnsi="宋体" w:eastAsia="宋体" w:cs="宋体"/>
          <w:color w:val="auto"/>
          <w:sz w:val="21"/>
          <w:szCs w:val="21"/>
          <w:highlight w:val="none"/>
        </w:rPr>
      </w:pPr>
    </w:p>
    <w:p>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（1）具有独立承担民事责任能力的证明材料……………………………（页码）</w:t>
      </w:r>
    </w:p>
    <w:p>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符合参加政府采购活动应当具备的一般条件的承诺函……………（页码）</w:t>
      </w:r>
    </w:p>
    <w:p>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（2）落实政府采购政策需满足的资格要求………………………………（页码）</w:t>
      </w:r>
    </w:p>
    <w:p>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（3）本项目的特定资格要求………………………………………………（页码）</w:t>
      </w:r>
    </w:p>
    <w:p>
      <w:pPr>
        <w:shd w:val="clear" w:color="auto" w:fill="auto"/>
        <w:snapToGrid w:val="0"/>
        <w:spacing w:line="400" w:lineRule="atLeast"/>
        <w:ind w:left="426"/>
        <w:rPr>
          <w:rFonts w:hint="eastAsia" w:ascii="宋体" w:hAnsi="宋体" w:eastAsia="宋体" w:cs="宋体"/>
          <w:color w:val="auto"/>
          <w:highlight w:val="none"/>
        </w:rPr>
      </w:pPr>
    </w:p>
    <w:p>
      <w:pPr>
        <w:shd w:val="clear" w:color="auto" w:fill="auto"/>
        <w:snapToGrid w:val="0"/>
        <w:spacing w:line="400" w:lineRule="atLeast"/>
        <w:ind w:firstLine="420" w:firstLineChars="200"/>
        <w:rPr>
          <w:rFonts w:hint="eastAsia" w:ascii="宋体" w:hAnsi="宋体" w:eastAsia="宋体" w:cs="宋体"/>
          <w:color w:val="auto"/>
          <w:highlight w:val="none"/>
        </w:rPr>
      </w:pPr>
    </w:p>
    <w:p>
      <w:pPr>
        <w:shd w:val="clear" w:color="auto" w:fill="auto"/>
        <w:spacing w:line="400" w:lineRule="atLeast"/>
        <w:rPr>
          <w:rFonts w:hint="eastAsia" w:ascii="宋体" w:hAnsi="宋体" w:eastAsia="宋体" w:cs="宋体"/>
          <w:b/>
          <w:color w:val="auto"/>
          <w:sz w:val="28"/>
          <w:szCs w:val="36"/>
          <w:highlight w:val="none"/>
        </w:rPr>
      </w:pPr>
      <w:bookmarkStart w:id="667" w:name="_Toc1432"/>
      <w:bookmarkStart w:id="668" w:name="_Toc25605"/>
      <w:bookmarkStart w:id="669" w:name="_Toc376414485"/>
      <w:bookmarkStart w:id="670" w:name="_Toc419811115"/>
      <w:bookmarkStart w:id="671" w:name="_Toc7092"/>
      <w:bookmarkStart w:id="672" w:name="_Toc15858"/>
      <w:bookmarkStart w:id="673" w:name="_Toc376436266"/>
      <w:bookmarkStart w:id="674" w:name="_Toc31870"/>
      <w:bookmarkStart w:id="675" w:name="_Toc29673"/>
      <w:bookmarkStart w:id="676" w:name="_Toc7860"/>
      <w:bookmarkStart w:id="677" w:name="_Toc3603"/>
      <w:bookmarkStart w:id="678" w:name="_Toc26806"/>
      <w:bookmarkStart w:id="679" w:name="_Toc4311"/>
      <w:bookmarkStart w:id="680" w:name="_Toc454832231"/>
      <w:bookmarkStart w:id="681" w:name="_Toc474156108"/>
    </w:p>
    <w:p>
      <w:pPr>
        <w:pStyle w:val="2"/>
        <w:numPr>
          <w:ilvl w:val="0"/>
          <w:numId w:val="15"/>
        </w:numPr>
        <w:tabs>
          <w:tab w:val="left" w:pos="840"/>
        </w:tabs>
        <w:spacing w:before="0" w:after="156" w:afterLines="50" w:line="400" w:lineRule="exact"/>
        <w:ind w:left="420" w:leftChars="0" w:firstLine="42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val="0"/>
          <w:color w:val="auto"/>
          <w:highlight w:val="none"/>
        </w:rPr>
        <w:br w:type="page"/>
      </w:r>
      <w:bookmarkEnd w:id="667"/>
      <w:bookmarkEnd w:id="668"/>
      <w:bookmarkEnd w:id="669"/>
      <w:bookmarkEnd w:id="670"/>
      <w:bookmarkEnd w:id="671"/>
      <w:bookmarkEnd w:id="672"/>
      <w:bookmarkEnd w:id="673"/>
      <w:bookmarkEnd w:id="674"/>
      <w:bookmarkEnd w:id="675"/>
      <w:bookmarkEnd w:id="676"/>
      <w:bookmarkEnd w:id="677"/>
      <w:bookmarkEnd w:id="678"/>
      <w:bookmarkEnd w:id="679"/>
      <w:bookmarkStart w:id="682" w:name="_Toc7544"/>
      <w:bookmarkStart w:id="683" w:name="_Toc26338"/>
      <w:bookmarkStart w:id="684" w:name="_Toc16023"/>
      <w:bookmarkStart w:id="685" w:name="_Toc15236"/>
      <w:bookmarkStart w:id="686" w:name="_Toc26372"/>
      <w:bookmarkStart w:id="687" w:name="_Toc28708"/>
      <w:bookmarkStart w:id="688" w:name="_Toc419811114"/>
      <w:bookmarkStart w:id="689" w:name="_Toc31004"/>
      <w:r>
        <w:rPr>
          <w:rFonts w:hint="eastAsia" w:ascii="宋体" w:hAnsi="宋体" w:eastAsia="宋体" w:cs="宋体"/>
          <w:b/>
          <w:color w:val="auto"/>
          <w:kern w:val="0"/>
          <w:sz w:val="32"/>
          <w:szCs w:val="32"/>
          <w:highlight w:val="none"/>
        </w:rPr>
        <w:t>具有独立承担民事责任能力的证明材料</w:t>
      </w:r>
      <w:bookmarkEnd w:id="682"/>
      <w:bookmarkEnd w:id="683"/>
      <w:bookmarkEnd w:id="684"/>
      <w:bookmarkEnd w:id="685"/>
    </w:p>
    <w:p>
      <w:pPr>
        <w:pStyle w:val="16"/>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供应商须在</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文件中出具符合以下情况的证明材料复印件（</w:t>
      </w: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选一）：</w:t>
      </w:r>
    </w:p>
    <w:p>
      <w:pPr>
        <w:pStyle w:val="16"/>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1</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如供应商是企业（包括合伙企业），提供在工商部门注册的有效“企业法人营业执照”或“营业执照”；</w:t>
      </w:r>
    </w:p>
    <w:p>
      <w:pPr>
        <w:pStyle w:val="16"/>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2</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如供应商是非企业专业服务机构的，提供执业许可证等证明文件；</w:t>
      </w:r>
    </w:p>
    <w:p>
      <w:pPr>
        <w:pStyle w:val="16"/>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3</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如供应商是个体工商户，提供有效的“个体工商户营业执照”；</w:t>
      </w:r>
    </w:p>
    <w:p>
      <w:pPr>
        <w:pStyle w:val="16"/>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4</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如供应商是自然人，提供有效的自然人身份证明（居民身份证正反面或公安机关出具的临时居民身份证正反面或港澳台胞证或护照）。</w:t>
      </w:r>
    </w:p>
    <w:p>
      <w:pPr>
        <w:pStyle w:val="16"/>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2"/>
        <w:numPr>
          <w:ilvl w:val="0"/>
          <w:numId w:val="15"/>
        </w:numPr>
        <w:tabs>
          <w:tab w:val="left" w:pos="840"/>
        </w:tabs>
        <w:spacing w:before="0" w:after="156" w:afterLines="50" w:line="400" w:lineRule="exact"/>
        <w:ind w:left="420" w:leftChars="0" w:firstLine="420" w:firstLineChars="0"/>
        <w:jc w:val="center"/>
        <w:rPr>
          <w:rFonts w:hint="eastAsia" w:ascii="宋体" w:hAnsi="宋体" w:eastAsia="宋体" w:cs="宋体"/>
          <w:color w:val="auto"/>
          <w:sz w:val="28"/>
          <w:szCs w:val="36"/>
          <w:highlight w:val="none"/>
        </w:rPr>
      </w:pPr>
      <w:r>
        <w:rPr>
          <w:rFonts w:hint="eastAsia" w:ascii="宋体" w:hAnsi="宋体" w:cs="宋体"/>
          <w:b/>
          <w:color w:val="auto"/>
          <w:kern w:val="0"/>
          <w:sz w:val="32"/>
          <w:szCs w:val="32"/>
          <w:highlight w:val="none"/>
          <w:lang w:val="en-US" w:eastAsia="zh-CN"/>
        </w:rPr>
        <w:br w:type="page"/>
      </w:r>
      <w:bookmarkStart w:id="690" w:name="_Toc26892"/>
      <w:bookmarkStart w:id="691" w:name="_Toc9693"/>
      <w:bookmarkStart w:id="692" w:name="_Toc9408"/>
      <w:bookmarkStart w:id="693" w:name="_Toc5436"/>
      <w:r>
        <w:rPr>
          <w:rFonts w:hint="eastAsia" w:ascii="宋体" w:hAnsi="宋体" w:eastAsia="宋体" w:cs="宋体"/>
          <w:b/>
          <w:bCs w:val="0"/>
          <w:color w:val="auto"/>
          <w:sz w:val="28"/>
          <w:szCs w:val="36"/>
          <w:highlight w:val="none"/>
        </w:rPr>
        <w:t>符合参加政府采购活动应当具备的一般条件的承诺函</w:t>
      </w:r>
      <w:bookmarkEnd w:id="690"/>
      <w:bookmarkEnd w:id="691"/>
      <w:bookmarkEnd w:id="692"/>
      <w:bookmarkEnd w:id="693"/>
    </w:p>
    <w:p>
      <w:pPr>
        <w:rPr>
          <w:rFonts w:hint="eastAsia" w:ascii="宋体" w:hAnsi="宋体" w:eastAsia="宋体" w:cs="宋体"/>
          <w:color w:val="auto"/>
          <w:highlight w:val="none"/>
        </w:rPr>
      </w:pPr>
    </w:p>
    <w:p>
      <w:pPr>
        <w:spacing w:line="276" w:lineRule="auto"/>
        <w:rPr>
          <w:rFonts w:ascii="宋体" w:hAnsi="Times New Roman" w:eastAsia="宋体" w:cs="Times New Roman"/>
          <w:bCs/>
          <w:color w:val="auto"/>
          <w:highlight w:val="none"/>
        </w:rPr>
      </w:pPr>
      <w:r>
        <w:rPr>
          <w:rFonts w:hint="eastAsia" w:ascii="Arial" w:hAnsi="Arial" w:cs="Arial"/>
          <w:color w:val="auto"/>
          <w:szCs w:val="21"/>
          <w:highlight w:val="none"/>
          <w:lang w:eastAsia="zh-CN"/>
        </w:rPr>
        <w:t>瑞安市供销合作社联合社</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浙江瑞扬工程咨询招标代理股份有限公司</w:t>
      </w:r>
      <w:r>
        <w:rPr>
          <w:rFonts w:hint="eastAsia" w:ascii="宋体" w:hAnsi="宋体" w:eastAsia="宋体" w:cs="Times New Roman"/>
          <w:bCs/>
          <w:color w:val="auto"/>
          <w:highlight w:val="none"/>
        </w:rPr>
        <w:t>：</w:t>
      </w:r>
    </w:p>
    <w:p>
      <w:pPr>
        <w:rPr>
          <w:rFonts w:ascii="Times New Roman" w:hAnsi="Times New Roman" w:eastAsia="宋体" w:cs="Times New Roman"/>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Cs w:val="21"/>
          <w:highlight w:val="none"/>
          <w:lang w:eastAsia="zh-CN"/>
        </w:rPr>
        <w:t>2024年度瑞安市供销合作社联合社农资应急储备项目（重）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Cs w:val="21"/>
          <w:highlight w:val="none"/>
          <w:lang w:eastAsia="zh-CN"/>
        </w:rPr>
        <w:t>RYCG20240116-</w:t>
      </w:r>
      <w:r>
        <w:rPr>
          <w:rFonts w:hint="eastAsia" w:ascii="宋体" w:hAnsi="宋体" w:eastAsia="宋体" w:cs="宋体"/>
          <w:color w:val="auto"/>
          <w:sz w:val="21"/>
          <w:szCs w:val="21"/>
          <w:highlight w:val="none"/>
        </w:rPr>
        <w:t>】政府采购活动，郑重承诺：</w:t>
      </w:r>
    </w:p>
    <w:p>
      <w:pPr>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pPr>
        <w:snapToGrid w:val="0"/>
        <w:spacing w:line="360" w:lineRule="auto"/>
        <w:ind w:firstLine="420" w:firstLineChars="200"/>
        <w:jc w:val="left"/>
        <w:rPr>
          <w:rStyle w:val="22"/>
          <w:rFonts w:hint="eastAsia" w:ascii="宋体" w:hAnsi="宋体" w:eastAsia="宋体" w:cs="宋体"/>
          <w:color w:val="auto"/>
          <w:sz w:val="21"/>
          <w:szCs w:val="21"/>
          <w:highlight w:val="none"/>
        </w:rPr>
      </w:pPr>
      <w:r>
        <w:rPr>
          <w:rStyle w:val="22"/>
          <w:rFonts w:hint="eastAsia" w:ascii="宋体" w:hAnsi="宋体" w:eastAsia="宋体" w:cs="宋体"/>
          <w:b w:val="0"/>
          <w:bCs w:val="0"/>
          <w:color w:val="auto"/>
          <w:sz w:val="21"/>
          <w:szCs w:val="21"/>
          <w:highlight w:val="none"/>
          <w:lang w:eastAsia="zh-CN"/>
        </w:rPr>
        <w:t>我方</w:t>
      </w:r>
      <w:r>
        <w:rPr>
          <w:rStyle w:val="22"/>
          <w:rFonts w:hint="eastAsia" w:ascii="宋体" w:hAnsi="宋体" w:eastAsia="宋体" w:cs="宋体"/>
          <w:b w:val="0"/>
          <w:bCs w:val="0"/>
          <w:color w:val="auto"/>
          <w:sz w:val="21"/>
          <w:szCs w:val="21"/>
          <w:highlight w:val="none"/>
        </w:rPr>
        <w:t>对上述承诺的真实性负责。上述承诺如有虚假，将按“提供虚假材料谋取中标、成交”情形，由采购人取消我公司任何资格（投标/中标/签订合同），且由采购单位/采购代理机构报告至政府采购监管部门。</w:t>
      </w:r>
      <w:r>
        <w:rPr>
          <w:rStyle w:val="22"/>
          <w:rFonts w:hint="eastAsia" w:ascii="宋体" w:hAnsi="宋体" w:eastAsia="宋体" w:cs="宋体"/>
          <w:color w:val="auto"/>
          <w:sz w:val="21"/>
          <w:szCs w:val="21"/>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napToGrid w:val="0"/>
        <w:spacing w:line="360" w:lineRule="auto"/>
        <w:ind w:firstLine="420" w:firstLineChars="200"/>
        <w:jc w:val="left"/>
        <w:rPr>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eastAsia="zh-CN"/>
        </w:rPr>
        <w:t>方</w:t>
      </w:r>
      <w:r>
        <w:rPr>
          <w:rStyle w:val="22"/>
          <w:rFonts w:hint="eastAsia" w:ascii="宋体" w:hAnsi="宋体" w:eastAsia="宋体" w:cs="宋体"/>
          <w:color w:val="auto"/>
          <w:sz w:val="21"/>
          <w:szCs w:val="21"/>
          <w:highlight w:val="none"/>
        </w:rPr>
        <w:t>已知晓前述法律规定，对此无任何异议。</w:t>
      </w:r>
    </w:p>
    <w:p>
      <w:pPr>
        <w:spacing w:line="360" w:lineRule="auto"/>
        <w:rPr>
          <w:rStyle w:val="29"/>
          <w:rFonts w:ascii="宋体" w:hAnsi="宋体" w:cs="Arial"/>
          <w:b/>
          <w:bCs/>
          <w:color w:val="auto"/>
          <w:szCs w:val="21"/>
          <w:highlight w:val="none"/>
        </w:rPr>
      </w:pPr>
    </w:p>
    <w:p>
      <w:pPr>
        <w:spacing w:line="360" w:lineRule="auto"/>
        <w:rPr>
          <w:rFonts w:ascii="宋体" w:hAnsi="宋体"/>
          <w:b/>
          <w:bCs/>
          <w:color w:val="auto"/>
          <w:szCs w:val="21"/>
          <w:highlight w:val="none"/>
        </w:rPr>
      </w:pPr>
      <w:r>
        <w:rPr>
          <w:rStyle w:val="29"/>
          <w:rFonts w:ascii="宋体" w:hAnsi="宋体" w:cs="Arial"/>
          <w:b/>
          <w:bCs/>
          <w:color w:val="auto"/>
          <w:szCs w:val="21"/>
          <w:highlight w:val="none"/>
        </w:rPr>
        <w:t>注：</w:t>
      </w:r>
      <w:bookmarkStart w:id="694" w:name="_Toc16992"/>
      <w:bookmarkStart w:id="695" w:name="_Toc12722"/>
      <w:bookmarkStart w:id="696" w:name="_Toc9599"/>
      <w:r>
        <w:rPr>
          <w:rFonts w:hint="eastAsia" w:ascii="宋体" w:hAnsi="宋体"/>
          <w:b/>
          <w:bCs/>
          <w:color w:val="auto"/>
          <w:szCs w:val="21"/>
          <w:highlight w:val="none"/>
        </w:rPr>
        <w:t>1.</w:t>
      </w:r>
      <w:r>
        <w:rPr>
          <w:rStyle w:val="29"/>
          <w:rFonts w:ascii="宋体" w:hAnsi="宋体" w:cs="Arial"/>
          <w:color w:val="auto"/>
          <w:szCs w:val="21"/>
          <w:highlight w:val="none"/>
        </w:rPr>
        <w:t>▲</w:t>
      </w:r>
      <w:r>
        <w:rPr>
          <w:rFonts w:hint="eastAsia" w:ascii="宋体" w:hAnsi="宋体" w:cs="宋体"/>
          <w:b/>
          <w:bCs/>
          <w:color w:val="auto"/>
          <w:szCs w:val="21"/>
          <w:highlight w:val="none"/>
        </w:rPr>
        <w:t>本承诺函必须提供。</w:t>
      </w:r>
    </w:p>
    <w:p>
      <w:pPr>
        <w:spacing w:line="360" w:lineRule="auto"/>
        <w:rPr>
          <w:rStyle w:val="29"/>
          <w:rFonts w:ascii="宋体" w:hAnsi="宋体" w:cs="Arial"/>
          <w:b/>
          <w:bCs/>
          <w:color w:val="auto"/>
          <w:szCs w:val="21"/>
          <w:highlight w:val="none"/>
        </w:rPr>
      </w:pPr>
      <w:r>
        <w:rPr>
          <w:rFonts w:hint="eastAsia" w:ascii="宋体" w:hAnsi="宋体"/>
          <w:b/>
          <w:bCs/>
          <w:color w:val="auto"/>
          <w:szCs w:val="21"/>
          <w:highlight w:val="none"/>
        </w:rPr>
        <w:t>2.参加政府采购活动的时间是指商谈供应商参加本项目的政府采购活动时间为准（具体以投标截止时间为准）。</w:t>
      </w:r>
      <w:bookmarkEnd w:id="694"/>
      <w:bookmarkEnd w:id="695"/>
      <w:bookmarkEnd w:id="696"/>
    </w:p>
    <w:p>
      <w:pPr>
        <w:snapToGrid w:val="0"/>
        <w:spacing w:line="360" w:lineRule="auto"/>
        <w:ind w:firstLine="420" w:firstLineChars="200"/>
        <w:jc w:val="left"/>
        <w:rPr>
          <w:rFonts w:hint="eastAsia" w:ascii="宋体" w:hAnsi="宋体" w:eastAsia="宋体" w:cs="宋体"/>
          <w:color w:val="auto"/>
          <w:sz w:val="21"/>
          <w:szCs w:val="21"/>
          <w:highlight w:val="none"/>
        </w:rPr>
      </w:pPr>
    </w:p>
    <w:p>
      <w:pPr>
        <w:snapToGrid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lang w:val="zh-CN"/>
        </w:rPr>
        <w:t>名称(电子签名</w:t>
      </w:r>
      <w:r>
        <w:rPr>
          <w:rFonts w:hint="eastAsia" w:ascii="宋体" w:hAnsi="宋体" w:eastAsia="宋体" w:cs="宋体"/>
          <w:color w:val="auto"/>
          <w:kern w:val="0"/>
          <w:sz w:val="21"/>
          <w:szCs w:val="21"/>
          <w:highlight w:val="none"/>
          <w:lang w:val="en-US" w:eastAsia="zh-CN"/>
        </w:rPr>
        <w:t>或公章</w:t>
      </w:r>
      <w:r>
        <w:rPr>
          <w:rFonts w:hint="eastAsia" w:ascii="宋体" w:hAnsi="宋体" w:eastAsia="宋体" w:cs="宋体"/>
          <w:color w:val="auto"/>
          <w:kern w:val="0"/>
          <w:sz w:val="21"/>
          <w:szCs w:val="21"/>
          <w:highlight w:val="none"/>
          <w:lang w:val="zh-CN"/>
        </w:rPr>
        <w:t>)：</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pStyle w:val="6"/>
        <w:ind w:left="0" w:leftChars="0" w:firstLine="0" w:firstLineChars="0"/>
        <w:rPr>
          <w:rFonts w:hint="eastAsia" w:ascii="宋体" w:hAnsi="宋体" w:eastAsia="宋体" w:cs="宋体"/>
          <w:color w:val="auto"/>
          <w:highlight w:val="none"/>
        </w:rPr>
      </w:pPr>
    </w:p>
    <w:p>
      <w:pPr>
        <w:pStyle w:val="6"/>
        <w:ind w:left="0" w:leftChars="0" w:firstLine="0" w:firstLineChars="0"/>
        <w:rPr>
          <w:rFonts w:hint="eastAsia" w:ascii="宋体" w:hAnsi="宋体" w:eastAsia="宋体" w:cs="宋体"/>
          <w:color w:val="auto"/>
          <w:highlight w:val="none"/>
        </w:rPr>
      </w:pPr>
    </w:p>
    <w:p>
      <w:pPr>
        <w:pStyle w:val="2"/>
        <w:numPr>
          <w:ilvl w:val="0"/>
          <w:numId w:val="15"/>
        </w:numPr>
        <w:tabs>
          <w:tab w:val="left" w:pos="840"/>
        </w:tabs>
        <w:spacing w:before="0" w:after="156" w:afterLines="50" w:line="400" w:lineRule="exact"/>
        <w:ind w:left="420" w:leftChars="0" w:firstLine="420" w:firstLineChars="0"/>
        <w:jc w:val="center"/>
        <w:rPr>
          <w:rFonts w:hint="eastAsia"/>
          <w:lang w:val="en-US" w:eastAsia="zh-CN"/>
        </w:rPr>
      </w:pPr>
      <w:bookmarkStart w:id="697" w:name="_Toc9753"/>
      <w:bookmarkStart w:id="698" w:name="_Toc6274"/>
      <w:bookmarkStart w:id="699" w:name="_Toc23974"/>
      <w:bookmarkStart w:id="700" w:name="_Toc10825"/>
      <w:r>
        <w:rPr>
          <w:rFonts w:hint="eastAsia" w:ascii="宋体" w:hAnsi="宋体" w:eastAsia="宋体" w:cs="宋体"/>
          <w:b/>
          <w:bCs w:val="0"/>
          <w:color w:val="auto"/>
          <w:kern w:val="2"/>
          <w:sz w:val="28"/>
          <w:szCs w:val="36"/>
          <w:highlight w:val="none"/>
          <w:lang w:val="en-US" w:eastAsia="zh-CN" w:bidi="ar-SA"/>
        </w:rPr>
        <w:t>落实政府采购政策需满足的资格要求</w:t>
      </w:r>
      <w:bookmarkEnd w:id="697"/>
      <w:bookmarkEnd w:id="698"/>
      <w:bookmarkEnd w:id="699"/>
      <w:bookmarkEnd w:id="700"/>
    </w:p>
    <w:p>
      <w:pPr>
        <w:rPr>
          <w:rFonts w:hint="eastAsia"/>
          <w:lang w:val="en-US" w:eastAsia="zh-CN"/>
        </w:rPr>
      </w:pPr>
    </w:p>
    <w:p>
      <w:pPr>
        <w:snapToGrid w:val="0"/>
        <w:spacing w:before="50" w:after="50"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w:t>
      </w:r>
      <w:r>
        <w:rPr>
          <w:rFonts w:hint="eastAsia" w:ascii="宋体" w:hAnsi="宋体" w:eastAsia="宋体" w:cs="宋体"/>
          <w:color w:val="auto"/>
          <w:sz w:val="21"/>
          <w:szCs w:val="21"/>
          <w:highlight w:val="none"/>
        </w:rPr>
        <w:t xml:space="preserve">.专门面向中小企业，货物全部由符合政策要求的中小企业（或小微企业）制造或者服务全部由符合政策要求的中小企业（或小微企业）承接的，提供相应的中小企业声明函。 </w:t>
      </w:r>
    </w:p>
    <w:p>
      <w:pPr>
        <w:widowControl/>
        <w:spacing w:line="360" w:lineRule="auto"/>
        <w:ind w:firstLine="413" w:firstLineChars="196"/>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宋体" w:hAnsi="宋体" w:eastAsia="宋体" w:cs="宋体"/>
          <w:color w:val="auto"/>
          <w:sz w:val="21"/>
          <w:szCs w:val="21"/>
          <w:highlight w:val="none"/>
          <w:lang w:eastAsia="zh-CN"/>
        </w:rPr>
        <w:t>。</w:t>
      </w:r>
    </w:p>
    <w:p>
      <w:pPr>
        <w:pStyle w:val="4"/>
        <w:rPr>
          <w:rFonts w:hint="eastAsia" w:ascii="宋体" w:hAnsi="宋体" w:eastAsia="宋体" w:cs="宋体"/>
          <w:color w:val="auto"/>
          <w:sz w:val="21"/>
          <w:szCs w:val="21"/>
          <w:highlight w:val="none"/>
          <w:lang w:eastAsia="zh-CN"/>
        </w:rPr>
      </w:pPr>
    </w:p>
    <w:p>
      <w:pPr>
        <w:widowControl/>
        <w:spacing w:line="360" w:lineRule="auto"/>
        <w:ind w:firstLine="413" w:firstLineChars="196"/>
        <w:jc w:val="left"/>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C.</w:t>
      </w:r>
      <w:r>
        <w:rPr>
          <w:rFonts w:hint="eastAsia" w:ascii="宋体" w:hAnsi="宋体" w:eastAsia="宋体" w:cs="宋体"/>
          <w:b w:val="0"/>
          <w:bCs w:val="0"/>
          <w:color w:val="auto"/>
          <w:sz w:val="21"/>
          <w:szCs w:val="21"/>
          <w:highlight w:val="none"/>
        </w:rPr>
        <w:t>要求合同分包的，提供分包意向协议和中小企业声明函，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snapToGrid w:val="0"/>
        <w:spacing w:before="50" w:after="50" w:line="360" w:lineRule="auto"/>
        <w:ind w:firstLine="472" w:firstLineChars="196"/>
        <w:jc w:val="left"/>
        <w:rPr>
          <w:rFonts w:ascii="仿宋_GB2312" w:hAnsi="仿宋" w:eastAsia="仿宋_GB2312" w:cs="仿宋_GB2312"/>
          <w:b/>
          <w:color w:val="auto"/>
          <w:sz w:val="24"/>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2"/>
        <w:numPr>
          <w:ilvl w:val="0"/>
          <w:numId w:val="15"/>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28"/>
          <w:szCs w:val="28"/>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lang w:val="en-US" w:eastAsia="zh-CN"/>
        </w:rPr>
        <w:t>A.</w:t>
      </w:r>
      <w:r>
        <w:rPr>
          <w:rFonts w:hint="eastAsia" w:ascii="宋体" w:hAnsi="宋体" w:eastAsia="宋体" w:cs="宋体"/>
          <w:b/>
          <w:color w:val="auto"/>
          <w:sz w:val="28"/>
          <w:szCs w:val="28"/>
          <w:highlight w:val="none"/>
        </w:rPr>
        <w:t>中小企业声明函（服务</w:t>
      </w:r>
      <w:r>
        <w:rPr>
          <w:rFonts w:hint="eastAsia" w:ascii="宋体" w:hAnsi="宋体" w:eastAsia="宋体" w:cs="宋体"/>
          <w:b/>
          <w:color w:val="auto"/>
          <w:sz w:val="28"/>
          <w:szCs w:val="28"/>
          <w:highlight w:val="none"/>
          <w:lang w:eastAsia="zh-CN"/>
        </w:rPr>
        <w:t>）</w:t>
      </w:r>
    </w:p>
    <w:p>
      <w:pPr>
        <w:spacing w:line="360" w:lineRule="auto"/>
        <w:ind w:firstLine="315" w:firstLineChars="150"/>
        <w:jc w:val="left"/>
        <w:rPr>
          <w:rFonts w:hint="eastAsia" w:ascii="宋体" w:hAnsi="宋体" w:eastAsia="宋体" w:cs="宋体"/>
          <w:color w:val="auto"/>
          <w:sz w:val="21"/>
          <w:szCs w:val="21"/>
          <w:highlight w:val="none"/>
        </w:rPr>
      </w:pP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 xml:space="preserve"> 的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1"/>
          <w:szCs w:val="21"/>
          <w:highlight w:val="none"/>
        </w:rPr>
      </w:pPr>
    </w:p>
    <w:p>
      <w:pPr>
        <w:snapToGrid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color w:val="auto"/>
          <w:szCs w:val="21"/>
          <w:highlight w:val="none"/>
        </w:rPr>
        <w:t>商谈供应商</w:t>
      </w:r>
      <w:r>
        <w:rPr>
          <w:rFonts w:hint="eastAsia" w:ascii="宋体" w:hAnsi="宋体"/>
          <w:color w:val="auto"/>
          <w:szCs w:val="21"/>
          <w:highlight w:val="none"/>
          <w:lang w:eastAsia="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p>
    <w:p>
      <w:pPr>
        <w:spacing w:line="360" w:lineRule="auto"/>
        <w:ind w:firstLine="310" w:firstLineChars="147"/>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pPr>
        <w:numPr>
          <w:ilvl w:val="0"/>
          <w:numId w:val="0"/>
        </w:num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0"/>
        </w:numPr>
        <w:spacing w:line="360" w:lineRule="auto"/>
        <w:ind w:right="4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中明确的所属行业”依据招标文件第二部分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提供的《中小企业声明函》与实际情况不符的或者未按以上要求填写的，中小企业声明函无效，不享受中小企业扶持政策。</w:t>
      </w:r>
    </w:p>
    <w:p>
      <w:pPr>
        <w:numPr>
          <w:ilvl w:val="0"/>
          <w:numId w:val="0"/>
        </w:num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提供由省级以上监狱管理局、戒毒管理局（含新疆生产建设兵团）出具的属于监狱企业证明文件的，视同为小型和微型企业。</w:t>
      </w:r>
    </w:p>
    <w:p>
      <w:pPr>
        <w:pStyle w:val="2"/>
        <w:numPr>
          <w:ilvl w:val="0"/>
          <w:numId w:val="15"/>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pPr>
        <w:numPr>
          <w:ilvl w:val="0"/>
          <w:numId w:val="0"/>
        </w:numPr>
        <w:bidi w:val="0"/>
        <w:ind w:left="840" w:leftChars="0"/>
        <w:jc w:val="center"/>
        <w:rPr>
          <w:rFonts w:hint="eastAsia" w:ascii="宋体" w:hAnsi="宋体" w:eastAsia="宋体" w:cs="宋体"/>
          <w:b/>
          <w:bCs/>
          <w:color w:val="auto"/>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宋体" w:hAnsi="宋体" w:eastAsia="宋体" w:cs="宋体"/>
          <w:b/>
          <w:bCs/>
          <w:color w:val="auto"/>
          <w:sz w:val="28"/>
          <w:szCs w:val="28"/>
          <w:highlight w:val="none"/>
          <w:lang w:val="en-US" w:eastAsia="zh-CN"/>
        </w:rPr>
        <w:t>中小企业划型标准</w:t>
      </w:r>
      <w:r>
        <w:rPr>
          <w:rFonts w:hint="eastAsia" w:ascii="Times New Roman" w:hAnsi="Times New Roman" w:eastAsia="宋体" w:cs="宋体"/>
          <w:caps w:val="0"/>
          <w:color w:val="auto"/>
          <w:highlight w:val="none"/>
        </w:rPr>
        <w:drawing>
          <wp:anchor distT="0" distB="0" distL="114300" distR="114300" simplePos="0" relativeHeight="251666432" behindDoc="1" locked="0" layoutInCell="1" allowOverlap="1">
            <wp:simplePos x="0" y="0"/>
            <wp:positionH relativeFrom="column">
              <wp:posOffset>-21590</wp:posOffset>
            </wp:positionH>
            <wp:positionV relativeFrom="page">
              <wp:posOffset>1274445</wp:posOffset>
            </wp:positionV>
            <wp:extent cx="5498465" cy="8139430"/>
            <wp:effectExtent l="0" t="0" r="6985" b="13970"/>
            <wp:wrapTight wrapText="bothSides">
              <wp:wrapPolygon>
                <wp:start x="0" y="0"/>
                <wp:lineTo x="0" y="21536"/>
                <wp:lineTo x="21553" y="21536"/>
                <wp:lineTo x="21553" y="0"/>
                <wp:lineTo x="0" y="0"/>
              </wp:wrapPolygon>
            </wp:wrapTight>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5"/>
                    <a:stretch>
                      <a:fillRect/>
                    </a:stretch>
                  </pic:blipFill>
                  <pic:spPr>
                    <a:xfrm>
                      <a:off x="0" y="0"/>
                      <a:ext cx="5498465" cy="8139430"/>
                    </a:xfrm>
                    <a:prstGeom prst="rect">
                      <a:avLst/>
                    </a:prstGeom>
                    <a:noFill/>
                    <a:ln>
                      <a:noFill/>
                    </a:ln>
                  </pic:spPr>
                </pic:pic>
              </a:graphicData>
            </a:graphic>
          </wp:anchor>
        </w:drawing>
      </w:r>
      <w:r>
        <w:rPr>
          <w:rFonts w:hint="eastAsia" w:ascii="宋体" w:hAnsi="宋体" w:eastAsia="宋体" w:cs="宋体"/>
          <w:b/>
          <w:bCs/>
          <w:color w:val="auto"/>
          <w:sz w:val="28"/>
          <w:szCs w:val="28"/>
          <w:highlight w:val="none"/>
        </w:rPr>
        <w:br w:type="page"/>
      </w:r>
      <w:bookmarkStart w:id="701" w:name="_Toc24897"/>
      <w:bookmarkStart w:id="702" w:name="_Toc24900"/>
      <w:bookmarkStart w:id="703" w:name="_Toc28612"/>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B.</w:t>
      </w:r>
      <w:r>
        <w:rPr>
          <w:rFonts w:hint="eastAsia" w:ascii="宋体" w:hAnsi="宋体" w:eastAsia="宋体" w:cs="宋体"/>
          <w:b/>
          <w:bCs/>
          <w:color w:val="auto"/>
          <w:sz w:val="28"/>
          <w:szCs w:val="28"/>
          <w:highlight w:val="none"/>
        </w:rPr>
        <w:t>残疾人福利性单位声明函</w:t>
      </w:r>
    </w:p>
    <w:p>
      <w:pPr>
        <w:spacing w:line="360" w:lineRule="auto"/>
        <w:rPr>
          <w:rFonts w:ascii="仿宋_GB2312" w:hAnsi="仿宋" w:eastAsia="仿宋_GB2312"/>
          <w:b/>
          <w:color w:val="auto"/>
          <w:spacing w:val="6"/>
          <w:sz w:val="30"/>
          <w:szCs w:val="30"/>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val="0"/>
          <w:color w:val="auto"/>
          <w:sz w:val="21"/>
          <w:szCs w:val="21"/>
          <w:highlight w:val="none"/>
          <w:u w:val="single"/>
        </w:rPr>
        <w:t>__</w:t>
      </w:r>
      <w:r>
        <w:rPr>
          <w:rFonts w:hint="eastAsia" w:ascii="宋体" w:hAnsi="宋体" w:eastAsia="宋体" w:cs="宋体"/>
          <w:b w:val="0"/>
          <w:bCs w:val="0"/>
          <w:color w:val="auto"/>
          <w:sz w:val="21"/>
          <w:szCs w:val="21"/>
          <w:highlight w:val="none"/>
          <w:u w:val="single"/>
          <w:lang w:val="en-US" w:eastAsia="zh-CN"/>
        </w:rPr>
        <w:t>(采购人)</w:t>
      </w:r>
      <w:r>
        <w:rPr>
          <w:rFonts w:hint="eastAsia" w:ascii="宋体" w:hAnsi="宋体" w:eastAsia="宋体" w:cs="宋体"/>
          <w:b w:val="0"/>
          <w:bCs w:val="0"/>
          <w:color w:val="auto"/>
          <w:sz w:val="21"/>
          <w:szCs w:val="21"/>
          <w:highlight w:val="none"/>
          <w:u w:val="single"/>
        </w:rPr>
        <w:t>___</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项目编号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商谈供应商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lang w:val="zh-CN"/>
        </w:rPr>
        <w:t>)：</w:t>
      </w:r>
    </w:p>
    <w:p>
      <w:pPr>
        <w:tabs>
          <w:tab w:val="left" w:pos="4860"/>
        </w:tabs>
        <w:spacing w:line="360" w:lineRule="auto"/>
        <w:ind w:right="1560" w:firstLine="420" w:firstLineChars="200"/>
        <w:jc w:val="center"/>
        <w:rPr>
          <w:rFonts w:hint="eastAsia"/>
          <w:color w:val="auto"/>
          <w:highlight w:val="none"/>
        </w:rPr>
      </w:pPr>
      <w:r>
        <w:rPr>
          <w:rFonts w:hint="eastAsia" w:ascii="宋体" w:hAnsi="宋体" w:eastAsia="宋体" w:cs="宋体"/>
          <w:color w:val="auto"/>
          <w:sz w:val="21"/>
          <w:szCs w:val="21"/>
          <w:highlight w:val="none"/>
        </w:rPr>
        <w:t xml:space="preserve">       日  期：</w:t>
      </w:r>
    </w:p>
    <w:p>
      <w:pPr>
        <w:rPr>
          <w:rFonts w:hint="eastAsia"/>
          <w:color w:val="auto"/>
          <w:highlight w:val="none"/>
        </w:rPr>
      </w:pPr>
    </w:p>
    <w:p>
      <w:pPr>
        <w:bidi w:val="0"/>
        <w:rPr>
          <w:rFonts w:hint="eastAsia"/>
          <w:color w:val="auto"/>
          <w:highlight w:val="none"/>
        </w:rPr>
      </w:pPr>
    </w:p>
    <w:p>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numPr>
          <w:ilvl w:val="0"/>
          <w:numId w:val="0"/>
        </w:numPr>
        <w:bidi w:val="0"/>
        <w:ind w:left="840" w:leftChars="0"/>
        <w:jc w:val="center"/>
        <w:rPr>
          <w:rFonts w:hint="eastAsia" w:ascii="宋体" w:hAnsi="宋体" w:eastAsia="宋体" w:cs="宋体"/>
          <w:b/>
          <w:color w:val="auto"/>
          <w:kern w:val="0"/>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pPr>
        <w:numPr>
          <w:ilvl w:val="0"/>
          <w:numId w:val="0"/>
        </w:numPr>
        <w:bidi w:val="0"/>
        <w:ind w:left="840" w:leftChars="0"/>
        <w:jc w:val="center"/>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eastAsia="zh-CN"/>
        </w:rPr>
        <w:t>四、</w:t>
      </w:r>
      <w:r>
        <w:rPr>
          <w:rFonts w:hint="eastAsia" w:ascii="宋体" w:hAnsi="宋体" w:eastAsia="宋体" w:cs="宋体"/>
          <w:b/>
          <w:color w:val="auto"/>
          <w:kern w:val="0"/>
          <w:sz w:val="28"/>
          <w:szCs w:val="28"/>
          <w:highlight w:val="none"/>
        </w:rPr>
        <w:t>本项目的特定资格要求</w:t>
      </w:r>
      <w:bookmarkEnd w:id="701"/>
      <w:bookmarkEnd w:id="702"/>
      <w:bookmarkEnd w:id="703"/>
    </w:p>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（根据招标公告本项目的特定资格要求提供相应的材料；未要求的，无需提供）</w:t>
      </w:r>
    </w:p>
    <w:p>
      <w:pPr>
        <w:pStyle w:val="4"/>
        <w:shd w:val="clear" w:color="auto" w:fill="auto"/>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sz w:val="24"/>
          <w:highlight w:val="none"/>
        </w:rPr>
      </w:pPr>
    </w:p>
    <w:p>
      <w:pPr>
        <w:pStyle w:val="4"/>
        <w:shd w:val="clear" w:color="auto" w:fill="auto"/>
        <w:rPr>
          <w:rFonts w:hint="eastAsia" w:ascii="宋体" w:hAnsi="宋体" w:eastAsia="宋体" w:cs="宋体"/>
          <w:color w:val="auto"/>
          <w:sz w:val="28"/>
          <w:szCs w:val="28"/>
          <w:highlight w:val="none"/>
        </w:rPr>
      </w:pPr>
    </w:p>
    <w:p>
      <w:pPr>
        <w:shd w:val="clear" w:color="auto" w:fill="auto"/>
        <w:spacing w:line="360" w:lineRule="auto"/>
        <w:jc w:val="center"/>
        <w:outlineLvl w:val="0"/>
        <w:rPr>
          <w:rFonts w:ascii="仿宋_GB2312" w:hAnsi="仿宋" w:eastAsia="仿宋_GB2312" w:cs="仿宋_GB2312"/>
          <w:b/>
          <w:color w:val="auto"/>
          <w:kern w:val="0"/>
          <w:sz w:val="36"/>
          <w:szCs w:val="36"/>
          <w:highlight w:val="none"/>
        </w:rPr>
      </w:pPr>
      <w:r>
        <w:rPr>
          <w:rFonts w:hint="eastAsia" w:ascii="宋体" w:hAnsi="宋体" w:eastAsia="宋体" w:cs="宋体"/>
          <w:b/>
          <w:color w:val="auto"/>
          <w:kern w:val="0"/>
          <w:sz w:val="28"/>
          <w:szCs w:val="28"/>
          <w:highlight w:val="none"/>
          <w:lang w:val="en-US" w:eastAsia="zh-CN"/>
        </w:rPr>
        <w:br w:type="page"/>
      </w:r>
      <w:bookmarkEnd w:id="686"/>
      <w:r>
        <w:rPr>
          <w:rFonts w:hint="eastAsia" w:ascii="宋体" w:hAnsi="宋体" w:eastAsia="宋体" w:cs="宋体"/>
          <w:color w:val="auto"/>
          <w:sz w:val="28"/>
          <w:szCs w:val="36"/>
          <w:highlight w:val="none"/>
          <w:lang w:val="en-US" w:eastAsia="zh-CN"/>
        </w:rPr>
        <w:t xml:space="preserve"> </w:t>
      </w:r>
      <w:bookmarkStart w:id="704" w:name="_Toc14907"/>
      <w:bookmarkStart w:id="705" w:name="_Toc18969"/>
      <w:r>
        <w:rPr>
          <w:rFonts w:hint="eastAsia" w:ascii="宋体" w:hAnsi="宋体" w:eastAsia="宋体" w:cs="宋体"/>
          <w:b/>
          <w:color w:val="auto"/>
          <w:kern w:val="0"/>
          <w:sz w:val="28"/>
          <w:szCs w:val="28"/>
          <w:highlight w:val="none"/>
        </w:rPr>
        <w:t>商务技术文件部分</w:t>
      </w:r>
      <w:bookmarkEnd w:id="704"/>
      <w:bookmarkEnd w:id="705"/>
    </w:p>
    <w:p>
      <w:pPr>
        <w:shd w:val="clear" w:color="auto" w:fill="auto"/>
        <w:snapToGrid w:val="0"/>
        <w:spacing w:line="360" w:lineRule="auto"/>
        <w:ind w:left="479" w:leftChars="228"/>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目录</w:t>
      </w:r>
    </w:p>
    <w:p>
      <w:pPr>
        <w:numPr>
          <w:ilvl w:val="0"/>
          <w:numId w:val="16"/>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应答</w:t>
      </w:r>
      <w:r>
        <w:rPr>
          <w:rFonts w:hint="eastAsia" w:ascii="宋体" w:hAnsi="宋体" w:eastAsia="宋体" w:cs="宋体"/>
          <w:color w:val="auto"/>
          <w:sz w:val="21"/>
          <w:szCs w:val="21"/>
          <w:highlight w:val="none"/>
        </w:rPr>
        <w:t>函…………………………………………………………………………………（页码）</w:t>
      </w:r>
    </w:p>
    <w:p>
      <w:pPr>
        <w:numPr>
          <w:ilvl w:val="0"/>
          <w:numId w:val="16"/>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pPr>
        <w:numPr>
          <w:ilvl w:val="0"/>
          <w:numId w:val="16"/>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numPr>
          <w:ilvl w:val="0"/>
          <w:numId w:val="16"/>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商务技术资料…………………………………………………………………………（页码）</w:t>
      </w:r>
    </w:p>
    <w:p>
      <w:pPr>
        <w:numPr>
          <w:ilvl w:val="0"/>
          <w:numId w:val="16"/>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color w:val="auto"/>
          <w:sz w:val="24"/>
          <w:highlight w:val="none"/>
        </w:rPr>
        <w:br w:type="page"/>
      </w:r>
      <w:bookmarkStart w:id="706" w:name="_Toc15077"/>
      <w:bookmarkStart w:id="707" w:name="_Toc13208"/>
      <w:bookmarkStart w:id="708" w:name="_Toc30682"/>
      <w:bookmarkStart w:id="709" w:name="_Toc24156"/>
      <w:bookmarkStart w:id="710" w:name="_Toc32545"/>
      <w:bookmarkStart w:id="711" w:name="_Toc26167"/>
      <w:bookmarkStart w:id="712" w:name="_Toc10325"/>
      <w:bookmarkStart w:id="713" w:name="_Toc453158714"/>
      <w:bookmarkStart w:id="714" w:name="_Toc384303171"/>
      <w:bookmarkStart w:id="715" w:name="_Toc402258849"/>
      <w:bookmarkStart w:id="716" w:name="_Toc433019964"/>
      <w:bookmarkStart w:id="717" w:name="_Toc384303166"/>
      <w:bookmarkStart w:id="718" w:name="_Toc486931332"/>
      <w:bookmarkStart w:id="719" w:name="_Toc433808004"/>
      <w:bookmarkStart w:id="720" w:name="_Toc14715"/>
      <w:r>
        <w:rPr>
          <w:rFonts w:hint="eastAsia" w:ascii="宋体" w:hAnsi="宋体" w:eastAsia="宋体" w:cs="宋体"/>
          <w:b/>
          <w:bCs w:val="0"/>
          <w:color w:val="auto"/>
          <w:kern w:val="2"/>
          <w:sz w:val="28"/>
          <w:szCs w:val="36"/>
          <w:highlight w:val="none"/>
          <w:lang w:val="en-US" w:eastAsia="zh-CN" w:bidi="ar-SA"/>
        </w:rPr>
        <w:t>一、</w:t>
      </w:r>
      <w:r>
        <w:rPr>
          <w:rFonts w:hint="eastAsia" w:ascii="宋体" w:hAnsi="宋体" w:cs="宋体"/>
          <w:b/>
          <w:bCs w:val="0"/>
          <w:color w:val="auto"/>
          <w:kern w:val="2"/>
          <w:sz w:val="28"/>
          <w:szCs w:val="36"/>
          <w:highlight w:val="none"/>
          <w:lang w:val="en-US" w:eastAsia="zh-CN" w:bidi="ar-SA"/>
        </w:rPr>
        <w:t>应答</w:t>
      </w:r>
      <w:r>
        <w:rPr>
          <w:rFonts w:hint="eastAsia" w:ascii="宋体" w:hAnsi="宋体" w:eastAsia="宋体" w:cs="宋体"/>
          <w:b/>
          <w:bCs w:val="0"/>
          <w:color w:val="auto"/>
          <w:kern w:val="2"/>
          <w:sz w:val="28"/>
          <w:szCs w:val="36"/>
          <w:highlight w:val="none"/>
          <w:lang w:val="en-US" w:eastAsia="zh-CN" w:bidi="ar-SA"/>
        </w:rPr>
        <w:t>函</w:t>
      </w:r>
      <w:bookmarkEnd w:id="706"/>
      <w:bookmarkEnd w:id="707"/>
      <w:bookmarkEnd w:id="708"/>
      <w:bookmarkEnd w:id="709"/>
      <w:bookmarkEnd w:id="710"/>
    </w:p>
    <w:p>
      <w:pPr>
        <w:shd w:val="clear" w:color="auto" w:fill="auto"/>
        <w:spacing w:line="360" w:lineRule="auto"/>
        <w:rPr>
          <w:rFonts w:ascii="宋体" w:hAnsi="Times New Roman" w:eastAsia="宋体" w:cs="Times New Roman"/>
          <w:bCs/>
          <w:color w:val="auto"/>
          <w:highlight w:val="none"/>
        </w:rPr>
      </w:pPr>
      <w:r>
        <w:rPr>
          <w:rFonts w:hint="eastAsia" w:ascii="Arial" w:hAnsi="Arial" w:cs="Arial"/>
          <w:color w:val="auto"/>
          <w:szCs w:val="21"/>
          <w:highlight w:val="none"/>
          <w:lang w:eastAsia="zh-CN"/>
        </w:rPr>
        <w:t>瑞安市供销合作社联合社</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浙江瑞扬工程咨询招标代理股份有限公司</w:t>
      </w:r>
      <w:r>
        <w:rPr>
          <w:rFonts w:hint="eastAsia" w:ascii="宋体" w:hAnsi="宋体" w:eastAsia="宋体" w:cs="Times New Roman"/>
          <w:bCs/>
          <w:color w:val="auto"/>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cs="宋体"/>
          <w:color w:val="auto"/>
          <w:szCs w:val="21"/>
          <w:highlight w:val="none"/>
          <w:lang w:eastAsia="zh-CN"/>
        </w:rPr>
        <w:t>2024年度瑞安市供销合作社联合社农资应急储备项目（重）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Cs w:val="21"/>
          <w:highlight w:val="none"/>
          <w:lang w:eastAsia="zh-CN"/>
        </w:rPr>
        <w:t>RYCG20240116-</w:t>
      </w:r>
      <w:r>
        <w:rPr>
          <w:rFonts w:hint="eastAsia" w:ascii="宋体" w:hAnsi="宋体" w:eastAsia="宋体" w:cs="宋体"/>
          <w:color w:val="auto"/>
          <w:sz w:val="21"/>
          <w:szCs w:val="21"/>
          <w:highlight w:val="none"/>
        </w:rPr>
        <w:t>】招标的有关活动，并对此项目进行投标。为此：</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w:t>
      </w:r>
      <w:r>
        <w:rPr>
          <w:rFonts w:hint="eastAsia" w:ascii="宋体" w:hAnsi="宋体" w:cs="宋体"/>
          <w:color w:val="auto"/>
          <w:sz w:val="21"/>
          <w:szCs w:val="21"/>
          <w:highlight w:val="none"/>
          <w:lang w:eastAsia="zh-CN"/>
        </w:rPr>
        <w:t>提交采购响应文件</w:t>
      </w:r>
      <w:r>
        <w:rPr>
          <w:rFonts w:hint="eastAsia" w:ascii="宋体" w:hAnsi="宋体" w:eastAsia="宋体" w:cs="宋体"/>
          <w:color w:val="auto"/>
          <w:sz w:val="21"/>
          <w:szCs w:val="21"/>
          <w:highlight w:val="none"/>
        </w:rPr>
        <w:t>的截止之日起</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在投标有效期满之前均具有约束力。</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包括以下内容：</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2.1.1具有独立承担民事责任能力的证明材料</w:t>
      </w:r>
      <w:r>
        <w:rPr>
          <w:rFonts w:hint="eastAsia" w:ascii="宋体" w:hAnsi="宋体" w:eastAsia="宋体" w:cs="宋体"/>
          <w:color w:val="auto"/>
          <w:sz w:val="21"/>
          <w:szCs w:val="21"/>
          <w:highlight w:val="none"/>
          <w:lang w:eastAsia="zh-CN"/>
        </w:rPr>
        <w:t>；</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承符合参加政府采购活动应当具备的一般条件的承诺函；</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本项目的特定资格要求（如有）。</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cs="宋体"/>
          <w:color w:val="auto"/>
          <w:sz w:val="21"/>
          <w:szCs w:val="21"/>
          <w:highlight w:val="none"/>
          <w:lang w:eastAsia="zh-CN"/>
        </w:rPr>
        <w:t>应答</w:t>
      </w:r>
      <w:r>
        <w:rPr>
          <w:rFonts w:hint="eastAsia" w:ascii="宋体" w:hAnsi="宋体" w:eastAsia="宋体" w:cs="宋体"/>
          <w:color w:val="auto"/>
          <w:sz w:val="21"/>
          <w:szCs w:val="21"/>
          <w:highlight w:val="none"/>
        </w:rPr>
        <w:t>函；</w:t>
      </w:r>
      <w:r>
        <w:rPr>
          <w:rFonts w:hint="eastAsia" w:ascii="宋体" w:hAnsi="宋体" w:eastAsia="宋体" w:cs="宋体"/>
          <w:color w:val="auto"/>
          <w:sz w:val="21"/>
          <w:szCs w:val="21"/>
          <w:highlight w:val="none"/>
          <w:lang w:val="zh-CN"/>
        </w:rPr>
        <w:t xml:space="preserve"> </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详细内容见第六部分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政府采购供应商廉洁自律承诺书；</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2.3.1开标一览表（报价表）</w:t>
      </w:r>
      <w:r>
        <w:rPr>
          <w:rFonts w:hint="eastAsia" w:ascii="宋体" w:hAnsi="宋体" w:eastAsia="宋体" w:cs="宋体"/>
          <w:color w:val="auto"/>
          <w:sz w:val="21"/>
          <w:szCs w:val="21"/>
          <w:highlight w:val="none"/>
          <w:lang w:val="en-US" w:eastAsia="zh-CN"/>
        </w:rPr>
        <w:t>。</w:t>
      </w:r>
    </w:p>
    <w:p>
      <w:pPr>
        <w:shd w:val="clear" w:color="auto" w:fill="auto"/>
        <w:snapToGrid w:val="0"/>
        <w:spacing w:line="360" w:lineRule="auto"/>
        <w:ind w:left="420" w:leftChars="200" w:firstLine="420" w:firstLineChars="200"/>
        <w:rPr>
          <w:rFonts w:hint="eastAsia"/>
          <w:lang w:eastAsia="zh-CN"/>
        </w:rPr>
      </w:pPr>
      <w:r>
        <w:rPr>
          <w:rFonts w:hint="eastAsia" w:ascii="宋体" w:hAnsi="宋体" w:cs="宋体"/>
          <w:color w:val="auto"/>
          <w:sz w:val="21"/>
          <w:szCs w:val="21"/>
          <w:highlight w:val="none"/>
          <w:lang w:val="en-US" w:eastAsia="zh-CN"/>
        </w:rPr>
        <w:t>2.3.2</w:t>
      </w:r>
      <w:r>
        <w:rPr>
          <w:rFonts w:hint="eastAsia" w:ascii="宋体" w:hAnsi="宋体" w:eastAsia="宋体" w:cs="宋体"/>
          <w:color w:val="auto"/>
          <w:sz w:val="21"/>
          <w:szCs w:val="21"/>
          <w:highlight w:val="none"/>
          <w:lang w:val="en-US" w:eastAsia="zh-CN"/>
        </w:rPr>
        <w:t>投标分项报价表。</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4.1在收到</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后，在</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 xml:space="preserve">规定的期限内与你方签订合同； </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 xml:space="preserve">要求提交履约保证金； </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hd w:val="clear" w:color="auto" w:fill="auto"/>
        <w:spacing w:line="360" w:lineRule="auto"/>
        <w:ind w:firstLine="3780" w:firstLineChars="18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名称（电子签名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rPr>
        <w:t xml:space="preserve">）：                          </w:t>
      </w:r>
    </w:p>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shd w:val="clear" w:color="auto" w:fill="auto"/>
        <w:rPr>
          <w:rFonts w:hint="eastAsia" w:ascii="宋体" w:hAnsi="宋体" w:eastAsia="宋体" w:cs="宋体"/>
          <w:color w:val="auto"/>
          <w:sz w:val="21"/>
          <w:szCs w:val="21"/>
          <w:highlight w:val="none"/>
        </w:rPr>
      </w:pPr>
    </w:p>
    <w:p>
      <w:pPr>
        <w:pStyle w:val="4"/>
        <w:shd w:val="clear" w:color="auto" w:fil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注：按本格式和要求提供</w:t>
      </w:r>
    </w:p>
    <w:p>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zh-CN" w:eastAsia="zh-CN" w:bidi="ar-SA"/>
        </w:rPr>
        <w:br w:type="page"/>
      </w:r>
      <w:bookmarkStart w:id="721" w:name="_Toc18825"/>
      <w:bookmarkStart w:id="722" w:name="_Toc26065"/>
      <w:bookmarkStart w:id="723" w:name="_Toc222"/>
      <w:bookmarkStart w:id="724" w:name="_Toc3000"/>
      <w:bookmarkStart w:id="725" w:name="_Toc1244"/>
      <w:r>
        <w:rPr>
          <w:rFonts w:hint="eastAsia" w:ascii="宋体" w:hAnsi="宋体" w:eastAsia="宋体" w:cs="宋体"/>
          <w:b/>
          <w:bCs w:val="0"/>
          <w:color w:val="auto"/>
          <w:kern w:val="2"/>
          <w:sz w:val="28"/>
          <w:szCs w:val="36"/>
          <w:highlight w:val="none"/>
          <w:lang w:val="zh-CN" w:eastAsia="zh-CN" w:bidi="ar-SA"/>
        </w:rPr>
        <w:t>二、授权委托书或法定代表人（单位负责人、自然人本人）身份证明</w:t>
      </w:r>
      <w:bookmarkEnd w:id="721"/>
      <w:bookmarkEnd w:id="722"/>
      <w:bookmarkEnd w:id="723"/>
      <w:bookmarkEnd w:id="724"/>
      <w:bookmarkEnd w:id="725"/>
    </w:p>
    <w:p>
      <w:pPr>
        <w:shd w:val="clear" w:color="auto" w:fill="auto"/>
        <w:spacing w:line="360" w:lineRule="auto"/>
        <w:ind w:firstLine="612"/>
        <w:jc w:val="center"/>
        <w:outlineLvl w:val="9"/>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en-US" w:eastAsia="zh-CN" w:bidi="ar-SA"/>
        </w:rPr>
        <w:t>法定代表人授权书</w:t>
      </w:r>
    </w:p>
    <w:p>
      <w:pPr>
        <w:pStyle w:val="16"/>
        <w:shd w:val="clear" w:color="auto" w:fill="auto"/>
        <w:spacing w:before="0" w:beforeAutospacing="0" w:after="0" w:afterAutospacing="0"/>
        <w:ind w:firstLine="420"/>
        <w:rPr>
          <w:rFonts w:hint="eastAsia" w:ascii="宋体" w:hAnsi="宋体" w:eastAsia="宋体" w:cs="宋体"/>
          <w:color w:val="auto"/>
          <w:szCs w:val="21"/>
          <w:highlight w:val="none"/>
        </w:rPr>
      </w:pPr>
    </w:p>
    <w:p>
      <w:pPr>
        <w:widowControl/>
        <w:shd w:val="clear" w:color="auto" w:fill="auto"/>
        <w:autoSpaceDE w:val="0"/>
        <w:autoSpaceDN w:val="0"/>
        <w:spacing w:line="360" w:lineRule="auto"/>
        <w:ind w:firstLine="0" w:firstLineChars="0"/>
        <w:rPr>
          <w:rStyle w:val="29"/>
          <w:rFonts w:ascii="Arial" w:hAnsi="Arial" w:cs="Arial"/>
          <w:color w:val="auto"/>
          <w:highlight w:val="none"/>
        </w:rPr>
      </w:pPr>
      <w:r>
        <w:rPr>
          <w:rFonts w:hint="eastAsia" w:ascii="宋体" w:hAnsi="宋体" w:cs="宋体"/>
          <w:b w:val="0"/>
          <w:bCs/>
          <w:color w:val="auto"/>
          <w:szCs w:val="21"/>
          <w:highlight w:val="none"/>
          <w:u w:val="single"/>
          <w:lang w:val="en-US" w:eastAsia="zh-CN"/>
        </w:rPr>
        <w:t>瑞安市供销合作社联合社、浙江瑞扬工程咨询招标代理股份有限公司</w:t>
      </w:r>
      <w:r>
        <w:rPr>
          <w:rFonts w:hint="eastAsia" w:ascii="宋体" w:hAnsi="宋体" w:cs="宋体"/>
          <w:b w:val="0"/>
          <w:bCs/>
          <w:color w:val="auto"/>
          <w:szCs w:val="21"/>
          <w:highlight w:val="none"/>
          <w:lang w:bidi="ar"/>
        </w:rPr>
        <w:t>：</w:t>
      </w:r>
    </w:p>
    <w:p>
      <w:pPr>
        <w:shd w:val="clear" w:color="auto" w:fill="auto"/>
        <w:spacing w:line="360" w:lineRule="auto"/>
        <w:ind w:firstLine="612"/>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本授权委托书声明：我</w:t>
      </w:r>
      <w:r>
        <w:rPr>
          <w:rFonts w:hint="eastAsia" w:ascii="宋体" w:hAnsi="宋体" w:cs="宋体"/>
          <w:i/>
          <w:iCs/>
          <w:color w:val="auto"/>
          <w:szCs w:val="21"/>
          <w:highlight w:val="none"/>
          <w:u w:val="single"/>
          <w:lang w:bidi="ar"/>
        </w:rPr>
        <w:t>（法人代表姓名）</w:t>
      </w:r>
      <w:r>
        <w:rPr>
          <w:rFonts w:hint="eastAsia" w:ascii="宋体" w:hAnsi="宋体" w:cs="宋体"/>
          <w:color w:val="auto"/>
          <w:szCs w:val="21"/>
          <w:highlight w:val="none"/>
          <w:lang w:bidi="ar"/>
        </w:rPr>
        <w:t>系</w:t>
      </w:r>
      <w:r>
        <w:rPr>
          <w:rFonts w:hint="eastAsia" w:ascii="宋体" w:hAnsi="宋体" w:cs="宋体"/>
          <w:i/>
          <w:iCs/>
          <w:color w:val="auto"/>
          <w:szCs w:val="21"/>
          <w:highlight w:val="none"/>
          <w:u w:val="single"/>
          <w:lang w:bidi="ar"/>
        </w:rPr>
        <w:t>（</w:t>
      </w:r>
      <w:r>
        <w:rPr>
          <w:rFonts w:hint="eastAsia" w:ascii="宋体" w:hAnsi="宋体" w:cs="宋体"/>
          <w:i/>
          <w:iCs/>
          <w:color w:val="auto"/>
          <w:szCs w:val="21"/>
          <w:highlight w:val="none"/>
          <w:u w:val="single"/>
          <w:lang w:eastAsia="zh-CN" w:bidi="ar"/>
        </w:rPr>
        <w:t>商谈供应商</w:t>
      </w:r>
      <w:r>
        <w:rPr>
          <w:rFonts w:hint="eastAsia" w:ascii="宋体" w:hAnsi="宋体" w:cs="宋体"/>
          <w:i/>
          <w:iCs/>
          <w:color w:val="auto"/>
          <w:szCs w:val="21"/>
          <w:highlight w:val="none"/>
          <w:u w:val="single"/>
          <w:lang w:bidi="ar"/>
        </w:rPr>
        <w:t>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的法定代表人，现授权委托</w:t>
      </w:r>
      <w:r>
        <w:rPr>
          <w:rFonts w:hint="eastAsia" w:ascii="宋体" w:hAnsi="宋体" w:cs="宋体"/>
          <w:i/>
          <w:iCs/>
          <w:color w:val="auto"/>
          <w:szCs w:val="21"/>
          <w:highlight w:val="none"/>
          <w:u w:val="single"/>
          <w:lang w:bidi="ar"/>
        </w:rPr>
        <w:t>（授权代表姓名）</w:t>
      </w:r>
      <w:r>
        <w:rPr>
          <w:rFonts w:hint="eastAsia" w:ascii="宋体" w:hAnsi="宋体" w:cs="宋体"/>
          <w:color w:val="auto"/>
          <w:szCs w:val="21"/>
          <w:highlight w:val="none"/>
          <w:lang w:bidi="ar"/>
        </w:rPr>
        <w:t>为我公司法定代表人授权代表，参加贵处组织的</w:t>
      </w:r>
      <w:r>
        <w:rPr>
          <w:rStyle w:val="29"/>
          <w:rFonts w:ascii="Arial" w:hAnsi="Arial" w:cs="Arial"/>
          <w:color w:val="auto"/>
          <w:highlight w:val="none"/>
          <w:u w:val="single"/>
        </w:rPr>
        <w:t xml:space="preserve">       项目名称         </w:t>
      </w:r>
      <w:r>
        <w:rPr>
          <w:rStyle w:val="29"/>
          <w:rFonts w:ascii="Arial" w:hAnsi="Arial" w:cs="Arial"/>
          <w:color w:val="auto"/>
          <w:highlight w:val="none"/>
        </w:rPr>
        <w:t>（项目编号：</w:t>
      </w:r>
      <w:r>
        <w:rPr>
          <w:rStyle w:val="29"/>
          <w:rFonts w:hint="eastAsia" w:ascii="Arial" w:hAnsi="Arial" w:cs="Arial"/>
          <w:color w:val="auto"/>
          <w:highlight w:val="none"/>
          <w:lang w:eastAsia="zh-CN"/>
        </w:rPr>
        <w:t>RYCG20240116-</w:t>
      </w:r>
      <w:r>
        <w:rPr>
          <w:rStyle w:val="29"/>
          <w:rFonts w:ascii="Arial" w:hAnsi="Arial" w:cs="Arial"/>
          <w:color w:val="auto"/>
          <w:highlight w:val="none"/>
        </w:rPr>
        <w:t>）</w:t>
      </w:r>
      <w:r>
        <w:rPr>
          <w:rFonts w:hint="eastAsia" w:ascii="宋体" w:hAnsi="宋体" w:cs="宋体"/>
          <w:color w:val="auto"/>
          <w:szCs w:val="21"/>
          <w:highlight w:val="none"/>
          <w:lang w:bidi="ar"/>
        </w:rPr>
        <w:t>投标，全权处理本次招投标活动中的一切事宜，我承认授权代表全权代表我所签署的本项目的</w:t>
      </w:r>
      <w:r>
        <w:rPr>
          <w:rFonts w:hint="eastAsia" w:ascii="宋体" w:hAnsi="宋体" w:cs="宋体"/>
          <w:color w:val="auto"/>
          <w:szCs w:val="21"/>
          <w:highlight w:val="none"/>
          <w:lang w:eastAsia="zh-CN" w:bidi="ar"/>
        </w:rPr>
        <w:t>采购响应文件</w:t>
      </w:r>
      <w:r>
        <w:rPr>
          <w:rFonts w:hint="eastAsia" w:ascii="宋体" w:hAnsi="宋体" w:cs="宋体"/>
          <w:color w:val="auto"/>
          <w:szCs w:val="21"/>
          <w:highlight w:val="none"/>
          <w:lang w:bidi="ar"/>
        </w:rPr>
        <w:t>的内容。</w:t>
      </w:r>
    </w:p>
    <w:p>
      <w:pPr>
        <w:shd w:val="clear" w:color="auto" w:fill="auto"/>
        <w:spacing w:line="360" w:lineRule="auto"/>
        <w:ind w:firstLine="697"/>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授权代表无转授权，特此授权。</w:t>
      </w:r>
    </w:p>
    <w:p>
      <w:pPr>
        <w:shd w:val="clear" w:color="auto" w:fill="auto"/>
        <w:spacing w:line="240" w:lineRule="auto"/>
        <w:jc w:val="left"/>
        <w:outlineLvl w:val="9"/>
        <w:rPr>
          <w:rFonts w:hint="eastAsia" w:ascii="宋体" w:hAnsi="宋体" w:cs="宋体"/>
          <w:color w:val="auto"/>
          <w:szCs w:val="21"/>
          <w:highlight w:val="none"/>
        </w:rPr>
      </w:pPr>
    </w:p>
    <w:p>
      <w:pPr>
        <w:shd w:val="clear" w:color="auto" w:fill="auto"/>
        <w:spacing w:line="240" w:lineRule="auto"/>
        <w:jc w:val="left"/>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bidi="ar"/>
        </w:rPr>
        <w:t>授权代表</w:t>
      </w:r>
      <w:r>
        <w:rPr>
          <w:rFonts w:hint="eastAsia" w:ascii="宋体" w:hAnsi="宋体" w:cs="宋体"/>
          <w:color w:val="auto"/>
          <w:szCs w:val="21"/>
          <w:highlight w:val="none"/>
          <w:lang w:val="en-US" w:eastAsia="zh-CN" w:bidi="ar"/>
        </w:rPr>
        <w:t>签字：</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职务：</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bidi="ar"/>
        </w:rPr>
        <w:t>电</w:t>
      </w:r>
      <w:r>
        <w:rPr>
          <w:rFonts w:hint="eastAsia" w:ascii="宋体" w:hAnsi="宋体" w:cs="宋体"/>
          <w:color w:val="auto"/>
          <w:szCs w:val="21"/>
          <w:highlight w:val="none"/>
          <w:lang w:val="en-US" w:eastAsia="zh-CN" w:bidi="ar"/>
        </w:rPr>
        <w:t>联系方式</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p>
    <w:p>
      <w:pPr>
        <w:shd w:val="clear" w:color="auto" w:fill="auto"/>
        <w:spacing w:line="240" w:lineRule="auto"/>
        <w:ind w:firstLine="2940" w:firstLineChars="1400"/>
        <w:jc w:val="left"/>
        <w:outlineLvl w:val="9"/>
        <w:rPr>
          <w:rFonts w:hint="eastAsia" w:ascii="宋体" w:hAnsi="宋体" w:cs="宋体"/>
          <w:color w:val="auto"/>
          <w:szCs w:val="21"/>
          <w:highlight w:val="none"/>
        </w:rPr>
      </w:pPr>
    </w:p>
    <w:p>
      <w:pPr>
        <w:shd w:val="clear" w:color="auto" w:fill="auto"/>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商谈供应商</w:t>
      </w:r>
      <w:r>
        <w:rPr>
          <w:rFonts w:hint="eastAsia" w:ascii="宋体" w:hAnsi="宋体" w:cs="宋体"/>
          <w:b/>
          <w:bCs/>
          <w:color w:val="auto"/>
          <w:szCs w:val="21"/>
          <w:highlight w:val="none"/>
        </w:rPr>
        <w:t>授权代表身份证复印件。</w:t>
      </w:r>
      <w:r>
        <w:rPr>
          <w:rFonts w:hint="eastAsia" w:ascii="宋体" w:hAnsi="宋体" w:cs="宋体"/>
          <w:b/>
          <w:bCs/>
          <w:color w:val="auto"/>
          <w:szCs w:val="21"/>
          <w:highlight w:val="none"/>
          <w:lang w:eastAsia="zh-CN"/>
        </w:rPr>
        <w:t>（正反面）</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6"/>
              <w:shd w:val="clear" w:color="auto" w:fill="auto"/>
              <w:jc w:val="left"/>
              <w:outlineLvl w:val="9"/>
              <w:rPr>
                <w:rFonts w:hint="eastAsia" w:ascii="宋体" w:hAnsi="宋体" w:cs="宋体"/>
                <w:b/>
                <w:bCs/>
                <w:color w:val="auto"/>
                <w:szCs w:val="21"/>
                <w:highlight w:val="none"/>
                <w:vertAlign w:val="baseline"/>
              </w:rPr>
            </w:pPr>
          </w:p>
        </w:tc>
        <w:tc>
          <w:tcPr>
            <w:tcW w:w="4520" w:type="dxa"/>
            <w:noWrap w:val="0"/>
            <w:vAlign w:val="top"/>
          </w:tcPr>
          <w:p>
            <w:pPr>
              <w:pStyle w:val="6"/>
              <w:shd w:val="clear" w:color="auto" w:fill="auto"/>
              <w:jc w:val="left"/>
              <w:outlineLvl w:val="9"/>
              <w:rPr>
                <w:rFonts w:hint="eastAsia" w:ascii="宋体" w:hAnsi="宋体" w:cs="宋体"/>
                <w:b/>
                <w:bCs/>
                <w:color w:val="auto"/>
                <w:szCs w:val="21"/>
                <w:highlight w:val="none"/>
                <w:vertAlign w:val="baseline"/>
              </w:rPr>
            </w:pPr>
          </w:p>
        </w:tc>
      </w:tr>
    </w:tbl>
    <w:p>
      <w:pPr>
        <w:shd w:val="clear" w:color="auto" w:fill="auto"/>
        <w:spacing w:line="240" w:lineRule="auto"/>
        <w:ind w:firstLine="2730" w:firstLineChars="1300"/>
        <w:jc w:val="left"/>
        <w:outlineLvl w:val="9"/>
        <w:rPr>
          <w:rFonts w:hint="eastAsia" w:ascii="宋体" w:hAnsi="宋体" w:cs="宋体"/>
          <w:color w:val="auto"/>
          <w:szCs w:val="21"/>
          <w:highlight w:val="none"/>
          <w:lang w:bidi="ar"/>
        </w:rPr>
      </w:pPr>
    </w:p>
    <w:p>
      <w:pPr>
        <w:shd w:val="clear" w:color="auto" w:fill="auto"/>
        <w:spacing w:line="240" w:lineRule="auto"/>
        <w:ind w:firstLine="2730" w:firstLineChars="1300"/>
        <w:jc w:val="left"/>
        <w:outlineLvl w:val="9"/>
        <w:rPr>
          <w:rFonts w:hint="eastAsia" w:ascii="宋体" w:hAnsi="宋体" w:cs="宋体"/>
          <w:color w:val="auto"/>
          <w:szCs w:val="21"/>
          <w:highlight w:val="none"/>
        </w:rPr>
      </w:pPr>
      <w:r>
        <w:rPr>
          <w:rFonts w:hint="eastAsia" w:ascii="宋体" w:hAnsi="宋体" w:cs="宋体"/>
          <w:color w:val="auto"/>
          <w:szCs w:val="21"/>
          <w:highlight w:val="none"/>
          <w:lang w:eastAsia="zh-CN" w:bidi="ar"/>
        </w:rPr>
        <w:t>商谈供应商</w:t>
      </w:r>
      <w:r>
        <w:rPr>
          <w:rFonts w:hint="eastAsia" w:ascii="宋体" w:hAnsi="宋体" w:cs="宋体"/>
          <w:color w:val="auto"/>
          <w:szCs w:val="21"/>
          <w:highlight w:val="none"/>
          <w:lang w:bidi="ar"/>
        </w:rPr>
        <w:t>全称：</w:t>
      </w:r>
      <w:r>
        <w:rPr>
          <w:rFonts w:hint="eastAsia" w:ascii="宋体" w:hAnsi="宋体" w:cs="宋体"/>
          <w:color w:val="auto"/>
          <w:szCs w:val="21"/>
          <w:highlight w:val="none"/>
          <w:u w:val="single"/>
          <w:lang w:bidi="ar"/>
        </w:rPr>
        <w:t xml:space="preserve">                             （盖</w:t>
      </w:r>
      <w:r>
        <w:rPr>
          <w:rFonts w:hint="eastAsia" w:ascii="宋体" w:hAnsi="宋体" w:cs="宋体"/>
          <w:color w:val="auto"/>
          <w:szCs w:val="21"/>
          <w:highlight w:val="none"/>
          <w:u w:val="single"/>
          <w:lang w:eastAsia="zh-CN" w:bidi="ar"/>
        </w:rPr>
        <w:t>公</w:t>
      </w:r>
      <w:r>
        <w:rPr>
          <w:rFonts w:hint="eastAsia" w:ascii="宋体" w:hAnsi="宋体" w:cs="宋体"/>
          <w:color w:val="auto"/>
          <w:szCs w:val="21"/>
          <w:highlight w:val="none"/>
          <w:u w:val="single"/>
          <w:lang w:bidi="ar"/>
        </w:rPr>
        <w:t>章）</w:t>
      </w:r>
    </w:p>
    <w:p>
      <w:pPr>
        <w:shd w:val="clear" w:color="auto" w:fill="auto"/>
        <w:spacing w:line="240" w:lineRule="auto"/>
        <w:ind w:left="2100" w:leftChars="1000" w:firstLine="840" w:firstLineChars="400"/>
        <w:jc w:val="left"/>
        <w:outlineLvl w:val="9"/>
        <w:rPr>
          <w:rFonts w:hint="eastAsia" w:ascii="宋体" w:hAnsi="宋体" w:cs="宋体"/>
          <w:color w:val="auto"/>
          <w:szCs w:val="21"/>
          <w:highlight w:val="none"/>
        </w:rPr>
      </w:pPr>
    </w:p>
    <w:p>
      <w:pPr>
        <w:shd w:val="clear" w:color="auto" w:fill="auto"/>
        <w:spacing w:line="240" w:lineRule="auto"/>
        <w:ind w:firstLine="2730" w:firstLineChars="1300"/>
        <w:jc w:val="left"/>
        <w:outlineLvl w:val="9"/>
        <w:rPr>
          <w:rFonts w:hint="eastAsia" w:ascii="宋体" w:hAnsi="宋体" w:cs="宋体"/>
          <w:color w:val="auto"/>
          <w:szCs w:val="21"/>
          <w:highlight w:val="none"/>
          <w:u w:val="singl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 xml:space="preserve">                              （签字或盖章）</w:t>
      </w:r>
    </w:p>
    <w:p>
      <w:pPr>
        <w:shd w:val="clear" w:color="auto" w:fill="auto"/>
        <w:spacing w:line="240" w:lineRule="auto"/>
        <w:ind w:left="2100" w:leftChars="1000" w:firstLine="840" w:firstLineChars="400"/>
        <w:jc w:val="left"/>
        <w:outlineLvl w:val="9"/>
        <w:rPr>
          <w:rFonts w:hint="eastAsia" w:ascii="宋体" w:hAnsi="宋体" w:cs="宋体"/>
          <w:color w:val="auto"/>
          <w:szCs w:val="21"/>
          <w:highlight w:val="none"/>
          <w:u w:val="single"/>
        </w:rPr>
      </w:pPr>
    </w:p>
    <w:p>
      <w:pPr>
        <w:shd w:val="clear" w:color="auto" w:fill="auto"/>
        <w:spacing w:line="240" w:lineRule="auto"/>
        <w:ind w:firstLine="4200" w:firstLineChars="2000"/>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授权委托日期：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年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shd w:val="clear" w:color="auto" w:fill="auto"/>
        <w:spacing w:line="360" w:lineRule="auto"/>
        <w:ind w:left="2833" w:leftChars="1349" w:firstLine="2100" w:firstLineChars="1000"/>
        <w:jc w:val="left"/>
        <w:outlineLvl w:val="9"/>
        <w:rPr>
          <w:rFonts w:hint="eastAsia" w:ascii="宋体" w:hAnsi="宋体" w:cs="宋体"/>
          <w:color w:val="auto"/>
          <w:szCs w:val="21"/>
          <w:highlight w:val="none"/>
        </w:rPr>
      </w:pPr>
    </w:p>
    <w:p>
      <w:pPr>
        <w:pStyle w:val="7"/>
        <w:shd w:val="clear" w:color="auto" w:fill="auto"/>
        <w:spacing w:line="240" w:lineRule="auto"/>
        <w:jc w:val="left"/>
        <w:outlineLvl w:val="9"/>
        <w:rPr>
          <w:rFonts w:hint="eastAsia" w:ascii="宋体" w:hAnsi="宋体" w:eastAsia="宋体" w:cs="宋体"/>
          <w:b/>
          <w:color w:val="auto"/>
          <w:sz w:val="21"/>
          <w:szCs w:val="21"/>
          <w:highlight w:val="none"/>
          <w:lang w:val="en-US" w:eastAsia="zh-CN"/>
        </w:rPr>
      </w:pPr>
    </w:p>
    <w:p>
      <w:pPr>
        <w:pStyle w:val="7"/>
        <w:shd w:val="clear" w:color="auto" w:fill="auto"/>
        <w:spacing w:line="240" w:lineRule="auto"/>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rPr>
        <w:t>如</w:t>
      </w:r>
      <w:r>
        <w:rPr>
          <w:rFonts w:hint="eastAsia" w:ascii="宋体" w:hAnsi="宋体" w:eastAsia="宋体" w:cs="宋体"/>
          <w:b w:val="0"/>
          <w:bCs/>
          <w:color w:val="auto"/>
          <w:sz w:val="21"/>
          <w:szCs w:val="21"/>
          <w:highlight w:val="none"/>
          <w:lang w:eastAsia="zh-CN"/>
        </w:rPr>
        <w:t>授权代表参与投标的，</w:t>
      </w:r>
      <w:r>
        <w:rPr>
          <w:rFonts w:hint="eastAsia" w:ascii="宋体" w:hAnsi="宋体" w:eastAsia="宋体" w:cs="宋体"/>
          <w:b w:val="0"/>
          <w:bCs/>
          <w:color w:val="auto"/>
          <w:sz w:val="21"/>
          <w:szCs w:val="21"/>
          <w:highlight w:val="none"/>
          <w:lang w:val="en-US" w:eastAsia="zh-CN"/>
        </w:rPr>
        <w:t>则</w:t>
      </w:r>
      <w:r>
        <w:rPr>
          <w:rFonts w:hint="eastAsia" w:ascii="宋体" w:hAnsi="宋体" w:eastAsia="宋体" w:cs="宋体"/>
          <w:b w:val="0"/>
          <w:bCs/>
          <w:color w:val="auto"/>
          <w:sz w:val="21"/>
          <w:szCs w:val="21"/>
          <w:highlight w:val="none"/>
        </w:rPr>
        <w:t>须提供</w:t>
      </w:r>
      <w:r>
        <w:rPr>
          <w:rFonts w:hint="eastAsia" w:ascii="宋体" w:hAnsi="宋体" w:eastAsia="宋体" w:cs="宋体"/>
          <w:b w:val="0"/>
          <w:bCs/>
          <w:color w:val="auto"/>
          <w:sz w:val="21"/>
          <w:szCs w:val="21"/>
          <w:highlight w:val="none"/>
          <w:lang w:val="en-US" w:eastAsia="zh-CN"/>
        </w:rPr>
        <w:t>本</w:t>
      </w:r>
      <w:r>
        <w:rPr>
          <w:rFonts w:hint="eastAsia" w:ascii="宋体" w:hAnsi="宋体" w:eastAsia="宋体" w:cs="宋体"/>
          <w:b w:val="0"/>
          <w:bCs/>
          <w:color w:val="auto"/>
          <w:sz w:val="21"/>
          <w:szCs w:val="21"/>
          <w:highlight w:val="none"/>
        </w:rPr>
        <w:t>《法定代表人授权书》。</w:t>
      </w:r>
    </w:p>
    <w:p>
      <w:pPr>
        <w:shd w:val="clear" w:color="auto" w:fill="auto"/>
        <w:rPr>
          <w:rFonts w:hint="default"/>
          <w:color w:val="auto"/>
          <w:highlight w:val="none"/>
          <w:lang w:val="en-US" w:eastAsia="zh-CN"/>
        </w:rPr>
      </w:pPr>
    </w:p>
    <w:p>
      <w:pPr>
        <w:shd w:val="clear" w:color="auto" w:fill="auto"/>
        <w:autoSpaceDE w:val="0"/>
        <w:autoSpaceDN w:val="0"/>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br w:type="page"/>
      </w:r>
      <w:r>
        <w:rPr>
          <w:rFonts w:hint="eastAsia" w:ascii="宋体" w:hAnsi="宋体" w:eastAsia="宋体" w:cs="宋体"/>
          <w:b/>
          <w:bCs w:val="0"/>
          <w:color w:val="auto"/>
          <w:kern w:val="2"/>
          <w:sz w:val="28"/>
          <w:szCs w:val="36"/>
          <w:highlight w:val="none"/>
          <w:lang w:val="zh-CN" w:eastAsia="zh-CN" w:bidi="ar-SA"/>
        </w:rPr>
        <w:t>法定代表人、单位负责人或自然人本人的身份证明（适用于法定代表人、单位负责人或者自然人本人代表</w:t>
      </w:r>
      <w:r>
        <w:rPr>
          <w:rFonts w:hint="eastAsia" w:ascii="宋体" w:hAnsi="宋体" w:cs="宋体"/>
          <w:b/>
          <w:bCs w:val="0"/>
          <w:color w:val="auto"/>
          <w:kern w:val="2"/>
          <w:sz w:val="28"/>
          <w:szCs w:val="36"/>
          <w:highlight w:val="none"/>
          <w:lang w:val="zh-CN" w:eastAsia="zh-CN" w:bidi="ar-SA"/>
        </w:rPr>
        <w:t>商谈供应商</w:t>
      </w:r>
      <w:r>
        <w:rPr>
          <w:rFonts w:hint="eastAsia" w:ascii="宋体" w:hAnsi="宋体" w:eastAsia="宋体" w:cs="宋体"/>
          <w:b/>
          <w:bCs w:val="0"/>
          <w:color w:val="auto"/>
          <w:kern w:val="2"/>
          <w:sz w:val="28"/>
          <w:szCs w:val="36"/>
          <w:highlight w:val="none"/>
          <w:lang w:val="zh-CN" w:eastAsia="zh-CN" w:bidi="ar-SA"/>
        </w:rPr>
        <w:t>参加投标）</w:t>
      </w:r>
    </w:p>
    <w:p>
      <w:pPr>
        <w:shd w:val="clear" w:color="auto" w:fill="auto"/>
        <w:autoSpaceDE w:val="0"/>
        <w:autoSpaceDN w:val="0"/>
        <w:spacing w:line="360" w:lineRule="auto"/>
        <w:rPr>
          <w:rFonts w:hint="eastAsia" w:hAnsi="宋体" w:eastAsia="宋体" w:cs="Times New Roman"/>
          <w:b/>
          <w:bCs/>
          <w:color w:val="auto"/>
          <w:sz w:val="28"/>
          <w:szCs w:val="28"/>
          <w:highlight w:val="none"/>
          <w:lang w:eastAsia="zh-CN"/>
        </w:rPr>
      </w:pPr>
    </w:p>
    <w:p>
      <w:pPr>
        <w:widowControl/>
        <w:shd w:val="clear" w:color="auto" w:fill="auto"/>
        <w:autoSpaceDE w:val="0"/>
        <w:autoSpaceDN w:val="0"/>
        <w:spacing w:line="360" w:lineRule="auto"/>
        <w:ind w:firstLine="3092" w:firstLineChars="1100"/>
        <w:rPr>
          <w:rFonts w:hint="eastAsia" w:hAnsi="宋体" w:eastAsia="宋体" w:cs="Times New Roman"/>
          <w:b/>
          <w:bCs/>
          <w:color w:val="auto"/>
          <w:sz w:val="28"/>
          <w:szCs w:val="28"/>
          <w:highlight w:val="none"/>
          <w:lang w:eastAsia="zh-CN"/>
        </w:rPr>
      </w:pPr>
      <w:r>
        <w:rPr>
          <w:rFonts w:hint="eastAsia" w:hAnsi="宋体" w:eastAsia="宋体" w:cs="Times New Roman"/>
          <w:b/>
          <w:bCs/>
          <w:color w:val="auto"/>
          <w:sz w:val="28"/>
          <w:szCs w:val="28"/>
          <w:highlight w:val="none"/>
          <w:lang w:eastAsia="zh-CN"/>
        </w:rPr>
        <w:t>法定代表人身份证明</w:t>
      </w:r>
    </w:p>
    <w:p>
      <w:pPr>
        <w:widowControl/>
        <w:shd w:val="clear" w:color="auto" w:fill="auto"/>
        <w:autoSpaceDE w:val="0"/>
        <w:autoSpaceDN w:val="0"/>
        <w:spacing w:line="360" w:lineRule="auto"/>
        <w:ind w:firstLine="0" w:firstLineChars="0"/>
        <w:rPr>
          <w:rStyle w:val="29"/>
          <w:rFonts w:ascii="Arial" w:hAnsi="Arial" w:cs="Arial"/>
          <w:color w:val="auto"/>
          <w:highlight w:val="none"/>
        </w:rPr>
      </w:pPr>
      <w:r>
        <w:rPr>
          <w:rFonts w:hint="eastAsia" w:ascii="宋体" w:hAnsi="宋体" w:cs="宋体"/>
          <w:b w:val="0"/>
          <w:bCs/>
          <w:color w:val="auto"/>
          <w:szCs w:val="21"/>
          <w:highlight w:val="none"/>
          <w:u w:val="single"/>
          <w:lang w:val="en-US" w:eastAsia="zh-CN"/>
        </w:rPr>
        <w:t>瑞安市供销合作社联合社、浙江瑞扬工程咨询招标代理股份有限公司</w:t>
      </w:r>
      <w:r>
        <w:rPr>
          <w:rFonts w:hint="eastAsia" w:ascii="宋体" w:hAnsi="宋体" w:cs="宋体"/>
          <w:b w:val="0"/>
          <w:bCs/>
          <w:color w:val="auto"/>
          <w:szCs w:val="21"/>
          <w:highlight w:val="none"/>
          <w:lang w:bidi="ar"/>
        </w:rPr>
        <w:t>：</w:t>
      </w:r>
    </w:p>
    <w:p>
      <w:pPr>
        <w:shd w:val="clear" w:color="auto" w:fill="auto"/>
        <w:rPr>
          <w:rFonts w:hint="eastAsia"/>
          <w:color w:val="auto"/>
          <w:highlight w:val="none"/>
          <w:lang w:val="en-US" w:eastAsia="zh-CN"/>
        </w:rPr>
      </w:pPr>
    </w:p>
    <w:p>
      <w:pPr>
        <w:pStyle w:val="9"/>
        <w:shd w:val="clear" w:color="auto" w:fill="auto"/>
        <w:ind w:left="0" w:leftChars="0" w:firstLine="420" w:firstLineChars="200"/>
        <w:rPr>
          <w:rFonts w:hint="eastAsia" w:ascii="宋体" w:hAnsi="宋体" w:cs="宋体"/>
          <w:b w:val="0"/>
          <w:bCs/>
          <w:color w:val="auto"/>
          <w:szCs w:val="21"/>
          <w:highlight w:val="none"/>
          <w:u w:val="single"/>
          <w:lang w:val="en-US" w:eastAsia="zh-CN" w:bidi="ar"/>
        </w:rPr>
      </w:pPr>
      <w:r>
        <w:rPr>
          <w:rStyle w:val="29"/>
          <w:rFonts w:hint="eastAsia" w:ascii="Arial" w:hAnsi="Arial" w:cs="Arial"/>
          <w:color w:val="auto"/>
          <w:sz w:val="21"/>
          <w:szCs w:val="22"/>
          <w:highlight w:val="none"/>
          <w:lang w:val="en-US" w:eastAsia="zh-CN" w:bidi="ar-SA"/>
        </w:rPr>
        <w:t>姓名：</w:t>
      </w:r>
      <w:r>
        <w:rPr>
          <w:rFonts w:hint="eastAsia" w:ascii="宋体" w:hAnsi="宋体" w:cs="宋体"/>
          <w:b w:val="0"/>
          <w:bCs/>
          <w:color w:val="auto"/>
          <w:szCs w:val="21"/>
          <w:highlight w:val="none"/>
          <w:u w:val="single"/>
          <w:lang w:val="en-US" w:eastAsia="zh-CN" w:bidi="ar"/>
        </w:rPr>
        <w:t xml:space="preserve">          </w:t>
      </w:r>
      <w:r>
        <w:rPr>
          <w:rStyle w:val="29"/>
          <w:rFonts w:hint="eastAsia" w:ascii="Arial" w:hAnsi="Arial" w:cs="Arial"/>
          <w:color w:val="auto"/>
          <w:sz w:val="21"/>
          <w:szCs w:val="22"/>
          <w:highlight w:val="none"/>
          <w:lang w:val="en-US" w:eastAsia="zh-CN" w:bidi="ar-SA"/>
        </w:rPr>
        <w:t>性别：</w:t>
      </w:r>
      <w:r>
        <w:rPr>
          <w:rFonts w:hint="eastAsia" w:ascii="宋体" w:hAnsi="宋体" w:cs="宋体"/>
          <w:b w:val="0"/>
          <w:bCs/>
          <w:color w:val="auto"/>
          <w:szCs w:val="21"/>
          <w:highlight w:val="none"/>
          <w:u w:val="single"/>
          <w:lang w:val="en-US" w:eastAsia="zh-CN" w:bidi="ar"/>
        </w:rPr>
        <w:t xml:space="preserve">          </w:t>
      </w:r>
      <w:r>
        <w:rPr>
          <w:rStyle w:val="29"/>
          <w:rFonts w:hint="eastAsia" w:ascii="Arial" w:hAnsi="Arial" w:cs="Arial"/>
          <w:color w:val="auto"/>
          <w:sz w:val="21"/>
          <w:szCs w:val="22"/>
          <w:highlight w:val="none"/>
          <w:lang w:val="en-US" w:eastAsia="zh-CN" w:bidi="ar-SA"/>
        </w:rPr>
        <w:t>职务：</w:t>
      </w:r>
      <w:r>
        <w:rPr>
          <w:rFonts w:hint="eastAsia" w:ascii="宋体" w:hAnsi="宋体" w:cs="宋体"/>
          <w:b w:val="0"/>
          <w:bCs/>
          <w:color w:val="auto"/>
          <w:szCs w:val="21"/>
          <w:highlight w:val="none"/>
          <w:u w:val="single"/>
          <w:lang w:val="en-US" w:eastAsia="zh-CN" w:bidi="ar"/>
        </w:rPr>
        <w:t xml:space="preserve">          </w:t>
      </w:r>
    </w:p>
    <w:p>
      <w:pPr>
        <w:pStyle w:val="9"/>
        <w:shd w:val="clear" w:color="auto" w:fill="auto"/>
        <w:ind w:left="0" w:leftChars="0" w:firstLine="420" w:firstLineChars="200"/>
        <w:rPr>
          <w:rFonts w:hint="eastAsia" w:cs="宋体"/>
          <w:b w:val="0"/>
          <w:bCs/>
          <w:color w:val="auto"/>
          <w:sz w:val="21"/>
          <w:szCs w:val="16"/>
          <w:highlight w:val="none"/>
          <w:u w:val="none"/>
          <w:lang w:val="en-US" w:eastAsia="zh-CN" w:bidi="ar"/>
        </w:rPr>
      </w:pPr>
      <w:r>
        <w:rPr>
          <w:rStyle w:val="29"/>
          <w:rFonts w:hint="eastAsia" w:ascii="Arial" w:hAnsi="Arial" w:cs="Arial"/>
          <w:color w:val="auto"/>
          <w:sz w:val="21"/>
          <w:szCs w:val="22"/>
          <w:highlight w:val="none"/>
          <w:lang w:val="en-US" w:eastAsia="zh-CN" w:bidi="ar-SA"/>
        </w:rPr>
        <w:t>联系方式：</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Cs w:val="21"/>
          <w:highlight w:val="none"/>
          <w:u w:val="none"/>
          <w:lang w:val="en-US" w:eastAsia="zh-CN" w:bidi="ar"/>
        </w:rPr>
        <w:t>，</w:t>
      </w:r>
      <w:r>
        <w:rPr>
          <w:rStyle w:val="29"/>
          <w:rFonts w:hint="eastAsia" w:ascii="Arial" w:hAnsi="Arial" w:cs="Arial"/>
          <w:color w:val="auto"/>
          <w:sz w:val="21"/>
          <w:szCs w:val="22"/>
          <w:highlight w:val="none"/>
          <w:lang w:val="en-US" w:eastAsia="zh-CN" w:bidi="ar-SA"/>
        </w:rPr>
        <w:t>系</w:t>
      </w:r>
      <w:r>
        <w:rPr>
          <w:rFonts w:hint="eastAsia" w:ascii="宋体" w:hAnsi="宋体" w:cs="宋体"/>
          <w:b w:val="0"/>
          <w:bCs/>
          <w:color w:val="auto"/>
          <w:szCs w:val="21"/>
          <w:highlight w:val="none"/>
          <w:u w:val="single"/>
          <w:lang w:val="en-US" w:eastAsia="zh-CN" w:bidi="ar"/>
        </w:rPr>
        <w:t xml:space="preserve">   </w:t>
      </w:r>
      <w:r>
        <w:rPr>
          <w:rStyle w:val="29"/>
          <w:rFonts w:hint="eastAsia" w:ascii="Arial" w:hAnsi="Arial" w:cs="Arial"/>
          <w:i/>
          <w:iCs/>
          <w:color w:val="auto"/>
          <w:sz w:val="21"/>
          <w:szCs w:val="22"/>
          <w:highlight w:val="none"/>
          <w:u w:val="single"/>
          <w:lang w:val="en-US" w:eastAsia="zh-CN" w:bidi="ar-SA"/>
        </w:rPr>
        <w:t>（商谈供应商名称）</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 w:val="21"/>
          <w:szCs w:val="16"/>
          <w:highlight w:val="none"/>
          <w:u w:val="none"/>
          <w:lang w:val="en-US" w:eastAsia="zh-CN" w:bidi="ar"/>
        </w:rPr>
        <w:t>的法定代表人，特此证明。</w:t>
      </w:r>
    </w:p>
    <w:p>
      <w:pPr>
        <w:pStyle w:val="9"/>
        <w:shd w:val="clear" w:color="auto" w:fill="auto"/>
        <w:ind w:left="0" w:leftChars="0" w:firstLine="420" w:firstLineChars="200"/>
        <w:rPr>
          <w:rFonts w:hint="eastAsia" w:cs="宋体"/>
          <w:b w:val="0"/>
          <w:bCs/>
          <w:color w:val="auto"/>
          <w:sz w:val="21"/>
          <w:szCs w:val="16"/>
          <w:highlight w:val="none"/>
          <w:u w:val="none"/>
          <w:lang w:val="en-US" w:eastAsia="zh-CN" w:bidi="ar"/>
        </w:rPr>
      </w:pPr>
    </w:p>
    <w:p>
      <w:pPr>
        <w:pStyle w:val="9"/>
        <w:shd w:val="clear" w:color="auto" w:fill="auto"/>
        <w:ind w:left="0" w:leftChars="0" w:firstLine="420" w:firstLineChars="200"/>
        <w:rPr>
          <w:rFonts w:hint="eastAsia" w:cs="宋体"/>
          <w:b w:val="0"/>
          <w:bCs/>
          <w:color w:val="auto"/>
          <w:sz w:val="21"/>
          <w:szCs w:val="16"/>
          <w:highlight w:val="none"/>
          <w:u w:val="none"/>
          <w:lang w:val="en-US" w:eastAsia="zh-CN" w:bidi="ar"/>
        </w:rPr>
      </w:pPr>
    </w:p>
    <w:p>
      <w:pPr>
        <w:pStyle w:val="9"/>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pPr>
        <w:pStyle w:val="9"/>
        <w:shd w:val="clear" w:color="auto" w:fill="auto"/>
        <w:ind w:left="0" w:leftChars="0" w:firstLine="420" w:firstLineChars="200"/>
        <w:jc w:val="left"/>
        <w:rPr>
          <w:rFonts w:hint="eastAsia" w:cs="宋体"/>
          <w:b w:val="0"/>
          <w:bCs/>
          <w:color w:val="auto"/>
          <w:sz w:val="21"/>
          <w:szCs w:val="16"/>
          <w:highlight w:val="none"/>
          <w:u w:val="none"/>
          <w:lang w:val="en-US" w:eastAsia="zh-CN" w:bidi="ar"/>
        </w:rPr>
      </w:pPr>
    </w:p>
    <w:p>
      <w:pPr>
        <w:shd w:val="clear" w:color="auto" w:fill="auto"/>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法定代表人</w:t>
      </w:r>
      <w:r>
        <w:rPr>
          <w:rFonts w:hint="eastAsia" w:ascii="宋体" w:hAnsi="宋体" w:cs="宋体"/>
          <w:b/>
          <w:bCs/>
          <w:color w:val="auto"/>
          <w:szCs w:val="21"/>
          <w:highlight w:val="none"/>
        </w:rPr>
        <w:t>身份证复印件。</w:t>
      </w:r>
      <w:r>
        <w:rPr>
          <w:rFonts w:hint="eastAsia" w:ascii="宋体" w:hAnsi="宋体" w:cs="宋体"/>
          <w:b/>
          <w:bCs/>
          <w:color w:val="auto"/>
          <w:szCs w:val="21"/>
          <w:highlight w:val="none"/>
          <w:lang w:eastAsia="zh-CN"/>
        </w:rPr>
        <w:t>（正反面）</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6"/>
              <w:shd w:val="clear" w:color="auto" w:fill="auto"/>
              <w:jc w:val="left"/>
              <w:outlineLvl w:val="9"/>
              <w:rPr>
                <w:rFonts w:hint="eastAsia" w:ascii="宋体" w:hAnsi="宋体" w:cs="宋体"/>
                <w:b/>
                <w:bCs/>
                <w:color w:val="auto"/>
                <w:szCs w:val="21"/>
                <w:highlight w:val="none"/>
                <w:vertAlign w:val="baseline"/>
              </w:rPr>
            </w:pPr>
          </w:p>
        </w:tc>
        <w:tc>
          <w:tcPr>
            <w:tcW w:w="4520" w:type="dxa"/>
            <w:noWrap w:val="0"/>
            <w:vAlign w:val="top"/>
          </w:tcPr>
          <w:p>
            <w:pPr>
              <w:pStyle w:val="6"/>
              <w:shd w:val="clear" w:color="auto" w:fill="auto"/>
              <w:jc w:val="left"/>
              <w:outlineLvl w:val="9"/>
              <w:rPr>
                <w:rFonts w:hint="eastAsia" w:ascii="宋体" w:hAnsi="宋体" w:cs="宋体"/>
                <w:b/>
                <w:bCs/>
                <w:color w:val="auto"/>
                <w:szCs w:val="21"/>
                <w:highlight w:val="none"/>
                <w:vertAlign w:val="baseline"/>
              </w:rPr>
            </w:pPr>
          </w:p>
        </w:tc>
      </w:tr>
    </w:tbl>
    <w:p>
      <w:pPr>
        <w:pStyle w:val="9"/>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pPr>
        <w:pStyle w:val="9"/>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pPr>
        <w:pStyle w:val="9"/>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pPr>
        <w:pStyle w:val="9"/>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pPr>
        <w:shd w:val="clear" w:color="auto" w:fill="auto"/>
        <w:spacing w:line="480" w:lineRule="auto"/>
        <w:jc w:val="right"/>
        <w:rPr>
          <w:rFonts w:hint="eastAsia" w:ascii="宋体" w:hAnsi="宋体" w:cs="宋体"/>
          <w:bCs/>
          <w:color w:val="auto"/>
          <w:szCs w:val="21"/>
          <w:highlight w:val="none"/>
          <w:lang w:bidi="ar"/>
        </w:rPr>
      </w:pPr>
      <w:r>
        <w:rPr>
          <w:rFonts w:hint="eastAsia" w:ascii="宋体" w:hAnsi="宋体" w:cs="宋体"/>
          <w:bCs/>
          <w:color w:val="auto"/>
          <w:szCs w:val="21"/>
          <w:highlight w:val="none"/>
          <w:lang w:eastAsia="zh-CN" w:bidi="ar"/>
        </w:rPr>
        <w:t>商谈供应商</w:t>
      </w:r>
      <w:r>
        <w:rPr>
          <w:rFonts w:hint="eastAsia" w:ascii="宋体" w:hAnsi="宋体" w:cs="宋体"/>
          <w:bCs/>
          <w:color w:val="auto"/>
          <w:szCs w:val="21"/>
          <w:highlight w:val="none"/>
          <w:lang w:bidi="ar"/>
        </w:rPr>
        <w:t>全称：</w:t>
      </w:r>
      <w:r>
        <w:rPr>
          <w:rFonts w:hint="eastAsia" w:cs="宋体"/>
          <w:color w:val="auto"/>
          <w:sz w:val="21"/>
          <w:szCs w:val="21"/>
          <w:highlight w:val="none"/>
          <w:u w:val="single"/>
          <w:lang w:bidi="ar"/>
        </w:rPr>
        <w:t xml:space="preserve">                    （盖公章）</w:t>
      </w:r>
    </w:p>
    <w:p>
      <w:pPr>
        <w:shd w:val="clear" w:color="auto" w:fill="auto"/>
        <w:spacing w:line="480" w:lineRule="auto"/>
        <w:ind w:firstLine="4830" w:firstLineChars="2300"/>
        <w:rPr>
          <w:rFonts w:hint="eastAsia" w:cs="宋体"/>
          <w:bCs/>
          <w:color w:val="auto"/>
          <w:szCs w:val="21"/>
          <w:highlight w:val="none"/>
        </w:rPr>
      </w:pPr>
      <w:r>
        <w:rPr>
          <w:rFonts w:hint="eastAsia" w:ascii="宋体" w:hAnsi="宋体" w:cs="宋体"/>
          <w:bCs/>
          <w:color w:val="auto"/>
          <w:szCs w:val="21"/>
          <w:highlight w:val="none"/>
        </w:rPr>
        <w:t>日期：</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 xml:space="preserve">年 </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月</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日</w:t>
      </w:r>
    </w:p>
    <w:p>
      <w:pPr>
        <w:pStyle w:val="7"/>
        <w:shd w:val="clear" w:color="auto" w:fill="auto"/>
        <w:spacing w:line="240" w:lineRule="auto"/>
        <w:jc w:val="left"/>
        <w:outlineLvl w:val="9"/>
        <w:rPr>
          <w:rFonts w:hint="eastAsia" w:ascii="宋体" w:hAnsi="宋体" w:eastAsia="宋体" w:cs="宋体"/>
          <w:b/>
          <w:color w:val="auto"/>
          <w:sz w:val="21"/>
          <w:szCs w:val="21"/>
          <w:highlight w:val="none"/>
          <w:lang w:val="en-US" w:eastAsia="zh-CN"/>
        </w:rPr>
      </w:pPr>
    </w:p>
    <w:p>
      <w:pPr>
        <w:pStyle w:val="7"/>
        <w:shd w:val="clear" w:color="auto" w:fill="auto"/>
        <w:spacing w:line="240" w:lineRule="auto"/>
        <w:jc w:val="left"/>
        <w:outlineLvl w:val="9"/>
        <w:rPr>
          <w:rFonts w:hint="eastAsia" w:ascii="宋体" w:hAnsi="宋体" w:eastAsia="宋体" w:cs="宋体"/>
          <w:b/>
          <w:color w:val="auto"/>
          <w:sz w:val="21"/>
          <w:szCs w:val="21"/>
          <w:highlight w:val="none"/>
          <w:lang w:val="en-US" w:eastAsia="zh-CN"/>
        </w:rPr>
      </w:pPr>
    </w:p>
    <w:p>
      <w:pPr>
        <w:shd w:val="clear" w:color="auto" w:fill="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br w:type="page"/>
      </w:r>
    </w:p>
    <w:p>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lang w:val="en-US" w:eastAsia="zh-CN" w:bidi="ar-SA"/>
        </w:rPr>
      </w:pPr>
      <w:bookmarkStart w:id="726" w:name="_Toc2644"/>
      <w:bookmarkStart w:id="727" w:name="_Toc12052"/>
      <w:bookmarkStart w:id="728" w:name="_Toc18498"/>
      <w:bookmarkStart w:id="729" w:name="_Toc20858"/>
      <w:bookmarkStart w:id="730" w:name="_Toc360"/>
      <w:r>
        <w:rPr>
          <w:rFonts w:hint="eastAsia" w:ascii="宋体" w:hAnsi="宋体" w:eastAsia="宋体" w:cs="宋体"/>
          <w:b/>
          <w:bCs w:val="0"/>
          <w:color w:val="auto"/>
          <w:kern w:val="2"/>
          <w:sz w:val="28"/>
          <w:szCs w:val="28"/>
          <w:highlight w:val="none"/>
          <w:lang w:val="en-US" w:eastAsia="zh-CN" w:bidi="ar-SA"/>
        </w:rPr>
        <w:t>三、符合性审查资料</w:t>
      </w:r>
      <w:bookmarkEnd w:id="726"/>
      <w:bookmarkEnd w:id="727"/>
      <w:bookmarkEnd w:id="728"/>
      <w:bookmarkEnd w:id="729"/>
      <w:bookmarkEnd w:id="730"/>
    </w:p>
    <w:p>
      <w:pPr>
        <w:shd w:val="clear" w:color="auto" w:fill="auto"/>
        <w:jc w:val="center"/>
        <w:rPr>
          <w:rFonts w:ascii="仿宋_GB2312" w:hAnsi="仿宋" w:eastAsia="仿宋_GB2312" w:cs="仿宋_GB2312"/>
          <w:b/>
          <w:color w:val="auto"/>
          <w:kern w:val="0"/>
          <w:sz w:val="32"/>
          <w:szCs w:val="32"/>
          <w:highlight w:val="none"/>
        </w:rPr>
      </w:pPr>
    </w:p>
    <w:tbl>
      <w:tblPr>
        <w:tblStyle w:val="2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534"/>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6" w:type="dxa"/>
            <w:tcBorders>
              <w:top w:val="single" w:color="auto" w:sz="12" w:space="0"/>
              <w:left w:val="single" w:color="auto" w:sz="12" w:space="0"/>
            </w:tcBorders>
            <w:noWrap w:val="0"/>
            <w:vAlign w:val="center"/>
          </w:tcPr>
          <w:p>
            <w:pPr>
              <w:shd w:val="clear" w:color="auto" w:fill="auto"/>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34" w:type="dxa"/>
            <w:tcBorders>
              <w:top w:val="single" w:color="auto" w:sz="12" w:space="0"/>
            </w:tcBorders>
            <w:noWrap w:val="0"/>
            <w:vAlign w:val="center"/>
          </w:tcPr>
          <w:p>
            <w:pPr>
              <w:shd w:val="clear" w:color="auto" w:fill="auto"/>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2828" w:type="dxa"/>
            <w:tcBorders>
              <w:top w:val="single" w:color="auto" w:sz="12" w:space="0"/>
            </w:tcBorders>
            <w:noWrap w:val="0"/>
            <w:vAlign w:val="center"/>
          </w:tcPr>
          <w:p>
            <w:pPr>
              <w:shd w:val="clear" w:color="auto" w:fill="auto"/>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6" w:type="dxa"/>
            <w:tcBorders>
              <w:left w:val="single" w:color="auto" w:sz="12" w:space="0"/>
            </w:tcBorders>
            <w:noWrap w:val="0"/>
            <w:vAlign w:val="center"/>
          </w:tcPr>
          <w:p>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34" w:type="dxa"/>
            <w:noWrap w:val="0"/>
            <w:vAlign w:val="center"/>
          </w:tcPr>
          <w:p>
            <w:pPr>
              <w:shd w:val="clear" w:color="auto" w:fill="auto"/>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要求签署、盖章。</w:t>
            </w:r>
          </w:p>
        </w:tc>
        <w:tc>
          <w:tcPr>
            <w:tcW w:w="2828" w:type="dxa"/>
            <w:noWrap w:val="0"/>
            <w:vAlign w:val="center"/>
          </w:tcPr>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6" w:type="dxa"/>
            <w:tcBorders>
              <w:left w:val="single" w:color="auto" w:sz="12" w:space="0"/>
            </w:tcBorders>
            <w:noWrap w:val="0"/>
            <w:vAlign w:val="center"/>
          </w:tcPr>
          <w:p>
            <w:pPr>
              <w:shd w:val="clear" w:color="auto" w:fil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534" w:type="dxa"/>
            <w:noWrap w:val="0"/>
            <w:vAlign w:val="center"/>
          </w:tcPr>
          <w:p>
            <w:pPr>
              <w:shd w:val="clear" w:color="auto" w:fill="auto"/>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中承诺的投标有效期不少于</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中载明的投标有效期。</w:t>
            </w:r>
          </w:p>
        </w:tc>
        <w:tc>
          <w:tcPr>
            <w:tcW w:w="2828" w:type="dxa"/>
            <w:noWrap w:val="0"/>
            <w:vAlign w:val="center"/>
          </w:tcPr>
          <w:p>
            <w:pPr>
              <w:shd w:val="clear" w:color="auto" w:fill="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16" w:type="dxa"/>
            <w:tcBorders>
              <w:left w:val="single" w:color="auto" w:sz="12" w:space="0"/>
              <w:bottom w:val="single" w:color="auto" w:sz="12" w:space="0"/>
            </w:tcBorders>
            <w:noWrap w:val="0"/>
            <w:vAlign w:val="center"/>
          </w:tcPr>
          <w:p>
            <w:pPr>
              <w:shd w:val="clear" w:color="auto" w:fil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5534" w:type="dxa"/>
            <w:tcBorders>
              <w:bottom w:val="single" w:color="auto" w:sz="12" w:space="0"/>
            </w:tcBorders>
            <w:noWrap w:val="0"/>
            <w:vAlign w:val="center"/>
          </w:tcPr>
          <w:p>
            <w:pPr>
              <w:shd w:val="clear" w:color="auto" w:fill="auto"/>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的其它实质性要求。</w:t>
            </w:r>
          </w:p>
        </w:tc>
        <w:tc>
          <w:tcPr>
            <w:tcW w:w="2828" w:type="dxa"/>
            <w:tcBorders>
              <w:bottom w:val="single" w:color="auto" w:sz="12" w:space="0"/>
            </w:tcBorders>
            <w:noWrap w:val="0"/>
            <w:vAlign w:val="center"/>
          </w:tcPr>
          <w:p>
            <w:pPr>
              <w:shd w:val="clear" w:color="auto" w:fill="auto"/>
              <w:jc w:val="both"/>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其它实质性要求相应的材料（“▲” 系指实质性要求条款，</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无其它实质性要求的，无需提供）</w:t>
            </w:r>
          </w:p>
        </w:tc>
      </w:tr>
    </w:tbl>
    <w:p>
      <w:pPr>
        <w:pStyle w:val="4"/>
        <w:shd w:val="clear" w:color="auto" w:fill="auto"/>
        <w:ind w:left="0" w:leftChars="0"/>
        <w:rPr>
          <w:color w:val="auto"/>
          <w:highlight w:val="none"/>
        </w:rPr>
      </w:pPr>
    </w:p>
    <w:p>
      <w:pPr>
        <w:shd w:val="clear" w:color="auto" w:fill="auto"/>
        <w:jc w:val="both"/>
        <w:rPr>
          <w:rFonts w:ascii="仿宋_GB2312" w:hAnsi="仿宋" w:eastAsia="仿宋_GB2312" w:cs="仿宋_GB2312"/>
          <w:b/>
          <w:color w:val="auto"/>
          <w:kern w:val="0"/>
          <w:sz w:val="32"/>
          <w:szCs w:val="32"/>
          <w:highlight w:val="none"/>
        </w:rPr>
      </w:pPr>
      <w:r>
        <w:rPr>
          <w:rFonts w:hint="eastAsia" w:ascii="宋体" w:hAnsi="宋体" w:eastAsia="宋体" w:cs="宋体"/>
          <w:color w:val="auto"/>
          <w:sz w:val="21"/>
          <w:szCs w:val="21"/>
          <w:highlight w:val="none"/>
          <w:lang w:val="en-US" w:eastAsia="zh-CN"/>
        </w:rPr>
        <w:t>注：按本格式和要求提供</w:t>
      </w:r>
      <w:r>
        <w:rPr>
          <w:rFonts w:hint="eastAsia" w:ascii="宋体" w:hAnsi="宋体" w:eastAsia="宋体" w:cs="宋体"/>
          <w:b/>
          <w:color w:val="auto"/>
          <w:kern w:val="0"/>
          <w:sz w:val="21"/>
          <w:szCs w:val="21"/>
          <w:highlight w:val="none"/>
        </w:rPr>
        <w:t xml:space="preserve"> </w:t>
      </w:r>
      <w:r>
        <w:rPr>
          <w:rFonts w:ascii="仿宋_GB2312" w:hAnsi="仿宋" w:eastAsia="仿宋_GB2312" w:cs="仿宋_GB2312"/>
          <w:b/>
          <w:color w:val="auto"/>
          <w:kern w:val="0"/>
          <w:sz w:val="32"/>
          <w:szCs w:val="32"/>
          <w:highlight w:val="none"/>
        </w:rPr>
        <w:t xml:space="preserve">           </w:t>
      </w:r>
    </w:p>
    <w:p>
      <w:pPr>
        <w:shd w:val="clear" w:color="auto" w:fill="auto"/>
        <w:jc w:val="center"/>
        <w:rPr>
          <w:rFonts w:ascii="仿宋_GB2312" w:hAnsi="仿宋" w:eastAsia="仿宋_GB2312" w:cs="仿宋_GB2312"/>
          <w:b/>
          <w:color w:val="auto"/>
          <w:kern w:val="0"/>
          <w:sz w:val="32"/>
          <w:szCs w:val="32"/>
          <w:highlight w:val="none"/>
        </w:rPr>
      </w:pPr>
    </w:p>
    <w:p>
      <w:pPr>
        <w:shd w:val="clear" w:color="auto" w:fill="auto"/>
        <w:jc w:val="center"/>
        <w:rPr>
          <w:rFonts w:ascii="仿宋_GB2312" w:hAnsi="仿宋" w:eastAsia="仿宋_GB2312" w:cs="仿宋_GB2312"/>
          <w:b/>
          <w:color w:val="auto"/>
          <w:kern w:val="0"/>
          <w:sz w:val="32"/>
          <w:szCs w:val="32"/>
          <w:highlight w:val="none"/>
        </w:rPr>
      </w:pPr>
    </w:p>
    <w:p>
      <w:pPr>
        <w:shd w:val="clear" w:color="auto" w:fill="auto"/>
        <w:jc w:val="center"/>
        <w:rPr>
          <w:rFonts w:ascii="仿宋_GB2312" w:hAnsi="仿宋" w:eastAsia="仿宋_GB2312" w:cs="仿宋_GB2312"/>
          <w:b/>
          <w:color w:val="auto"/>
          <w:kern w:val="0"/>
          <w:sz w:val="32"/>
          <w:szCs w:val="32"/>
          <w:highlight w:val="none"/>
        </w:rPr>
      </w:pPr>
    </w:p>
    <w:p>
      <w:pPr>
        <w:shd w:val="clear" w:color="auto" w:fill="auto"/>
        <w:jc w:val="center"/>
        <w:rPr>
          <w:rFonts w:ascii="仿宋_GB2312" w:hAnsi="仿宋" w:eastAsia="仿宋_GB2312" w:cs="仿宋_GB2312"/>
          <w:b/>
          <w:color w:val="auto"/>
          <w:kern w:val="0"/>
          <w:sz w:val="32"/>
          <w:szCs w:val="32"/>
          <w:highlight w:val="none"/>
        </w:rPr>
      </w:pPr>
    </w:p>
    <w:p>
      <w:pPr>
        <w:pStyle w:val="2"/>
        <w:numPr>
          <w:ilvl w:val="1"/>
          <w:numId w:val="0"/>
        </w:numPr>
        <w:shd w:val="clear" w:color="auto" w:fill="auto"/>
        <w:tabs>
          <w:tab w:val="left" w:pos="840"/>
        </w:tabs>
        <w:spacing w:before="0" w:after="156" w:afterLines="50" w:line="400" w:lineRule="exact"/>
        <w:jc w:val="center"/>
        <w:rPr>
          <w:color w:val="auto"/>
          <w:highlight w:val="none"/>
        </w:rPr>
      </w:pPr>
      <w:r>
        <w:rPr>
          <w:rFonts w:hint="eastAsia" w:ascii="仿宋_GB2312" w:hAnsi="仿宋" w:eastAsia="仿宋_GB2312" w:cs="仿宋_GB2312"/>
          <w:b/>
          <w:color w:val="auto"/>
          <w:kern w:val="0"/>
          <w:sz w:val="32"/>
          <w:szCs w:val="32"/>
          <w:highlight w:val="none"/>
        </w:rPr>
        <w:br w:type="page"/>
      </w:r>
      <w:bookmarkStart w:id="731" w:name="_Toc30327"/>
      <w:bookmarkStart w:id="732" w:name="_Toc2464"/>
      <w:bookmarkStart w:id="733" w:name="_Toc2850"/>
      <w:bookmarkStart w:id="734" w:name="_Toc20791"/>
      <w:bookmarkStart w:id="735" w:name="_Toc11775"/>
      <w:r>
        <w:rPr>
          <w:rFonts w:hint="eastAsia" w:ascii="宋体" w:hAnsi="宋体" w:eastAsia="宋体" w:cs="宋体"/>
          <w:b/>
          <w:color w:val="auto"/>
          <w:kern w:val="0"/>
          <w:sz w:val="28"/>
          <w:szCs w:val="28"/>
          <w:highlight w:val="none"/>
          <w:lang w:val="en-US" w:eastAsia="zh-CN"/>
        </w:rPr>
        <w:t>四</w:t>
      </w:r>
      <w:r>
        <w:rPr>
          <w:rFonts w:hint="eastAsia" w:ascii="宋体" w:hAnsi="宋体" w:eastAsia="宋体" w:cs="宋体"/>
          <w:b/>
          <w:bCs w:val="0"/>
          <w:color w:val="auto"/>
          <w:kern w:val="2"/>
          <w:sz w:val="28"/>
          <w:szCs w:val="28"/>
          <w:highlight w:val="none"/>
          <w:lang w:val="en-US" w:eastAsia="zh-CN" w:bidi="ar-SA"/>
        </w:rPr>
        <w:t>、商务技术资料</w:t>
      </w:r>
      <w:bookmarkEnd w:id="731"/>
      <w:bookmarkEnd w:id="732"/>
      <w:bookmarkEnd w:id="733"/>
      <w:bookmarkEnd w:id="734"/>
      <w:bookmarkEnd w:id="735"/>
    </w:p>
    <w:p>
      <w:pPr>
        <w:shd w:val="clear" w:color="auto" w:fill="auto"/>
        <w:snapToGrid w:val="0"/>
        <w:spacing w:line="360" w:lineRule="auto"/>
        <w:jc w:val="left"/>
        <w:rPr>
          <w:rFonts w:hint="eastAsia" w:ascii="宋体" w:hAnsi="宋体" w:eastAsia="宋体" w:cs="宋体"/>
          <w:b/>
          <w:color w:val="auto"/>
          <w:sz w:val="21"/>
          <w:szCs w:val="20"/>
          <w:highlight w:val="none"/>
          <w:lang w:eastAsia="zh-CN"/>
        </w:rPr>
      </w:pPr>
      <w:r>
        <w:rPr>
          <w:rFonts w:hint="eastAsia" w:ascii="宋体" w:hAnsi="宋体" w:eastAsia="宋体" w:cs="宋体"/>
          <w:b/>
          <w:color w:val="auto"/>
          <w:sz w:val="21"/>
          <w:szCs w:val="20"/>
          <w:highlight w:val="none"/>
          <w:lang w:val="en-US" w:eastAsia="zh-CN"/>
        </w:rPr>
        <w:t>相关格式参考如下：</w:t>
      </w:r>
    </w:p>
    <w:p>
      <w:pPr>
        <w:shd w:val="clear" w:color="auto" w:fill="auto"/>
        <w:jc w:val="center"/>
        <w:rPr>
          <w:rFonts w:ascii="仿宋_GB2312" w:hAnsi="仿宋" w:eastAsia="仿宋_GB2312" w:cs="仿宋_GB2312"/>
          <w:b/>
          <w:color w:val="auto"/>
          <w:kern w:val="0"/>
          <w:sz w:val="32"/>
          <w:szCs w:val="32"/>
          <w:highlight w:val="none"/>
        </w:rPr>
      </w:pPr>
    </w:p>
    <w:p>
      <w:pPr>
        <w:pStyle w:val="4"/>
        <w:shd w:val="clear" w:color="auto" w:fill="auto"/>
        <w:rPr>
          <w:rFonts w:ascii="仿宋_GB2312" w:hAnsi="仿宋" w:eastAsia="仿宋_GB2312" w:cs="仿宋_GB2312"/>
          <w:b/>
          <w:color w:val="auto"/>
          <w:kern w:val="0"/>
          <w:sz w:val="32"/>
          <w:szCs w:val="32"/>
          <w:highlight w:val="none"/>
        </w:rPr>
      </w:pPr>
    </w:p>
    <w:p>
      <w:pPr>
        <w:pStyle w:val="4"/>
        <w:shd w:val="clear" w:color="auto" w:fill="auto"/>
        <w:rPr>
          <w:color w:val="auto"/>
          <w:highlight w:val="none"/>
        </w:rPr>
      </w:pPr>
      <w:r>
        <w:rPr>
          <w:rFonts w:hint="eastAsia" w:ascii="宋体" w:hAnsi="宋体" w:eastAsia="宋体" w:cs="宋体"/>
          <w:b/>
          <w:bCs w:val="0"/>
          <w:color w:val="auto"/>
          <w:kern w:val="2"/>
          <w:sz w:val="28"/>
          <w:szCs w:val="28"/>
          <w:highlight w:val="none"/>
          <w:lang w:val="en-US" w:eastAsia="zh-CN" w:bidi="ar-SA"/>
        </w:rPr>
        <w:br w:type="page"/>
      </w:r>
    </w:p>
    <w:p>
      <w:pPr>
        <w:pStyle w:val="4"/>
        <w:shd w:val="clear" w:color="auto" w:fill="auto"/>
        <w:rPr>
          <w:color w:val="auto"/>
          <w:highlight w:val="none"/>
        </w:rPr>
      </w:pPr>
    </w:p>
    <w:p>
      <w:pPr>
        <w:pStyle w:val="2"/>
        <w:numPr>
          <w:ilvl w:val="0"/>
          <w:numId w:val="0"/>
        </w:numPr>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lang w:val="en-US" w:eastAsia="zh-CN" w:bidi="ar-SA"/>
        </w:rPr>
      </w:pPr>
      <w:bookmarkStart w:id="736" w:name="_Toc21996"/>
      <w:bookmarkStart w:id="737" w:name="_Toc29316"/>
      <w:bookmarkStart w:id="738" w:name="_Toc7083"/>
      <w:bookmarkStart w:id="739" w:name="_Toc7990"/>
      <w:bookmarkStart w:id="740" w:name="_Toc1248"/>
      <w:bookmarkStart w:id="741" w:name="_Toc27817"/>
      <w:r>
        <w:rPr>
          <w:rFonts w:hint="eastAsia" w:ascii="宋体" w:hAnsi="宋体" w:eastAsia="宋体" w:cs="宋体"/>
          <w:b/>
          <w:bCs w:val="0"/>
          <w:color w:val="auto"/>
          <w:kern w:val="2"/>
          <w:sz w:val="28"/>
          <w:szCs w:val="28"/>
          <w:lang w:val="en-US" w:eastAsia="zh-CN" w:bidi="ar-SA"/>
        </w:rPr>
        <w:t>（一）</w:t>
      </w:r>
      <w:r>
        <w:rPr>
          <w:rFonts w:hint="eastAsia" w:ascii="宋体" w:hAnsi="宋体" w:eastAsia="宋体" w:cs="宋体"/>
          <w:b/>
          <w:bCs w:val="0"/>
          <w:color w:val="auto"/>
          <w:kern w:val="2"/>
          <w:sz w:val="28"/>
          <w:szCs w:val="28"/>
          <w:highlight w:val="none"/>
          <w:lang w:val="en-US" w:eastAsia="zh-CN" w:bidi="ar-SA"/>
        </w:rPr>
        <w:t>商务技术偏离表</w:t>
      </w:r>
      <w:bookmarkEnd w:id="736"/>
      <w:bookmarkEnd w:id="737"/>
      <w:bookmarkEnd w:id="738"/>
      <w:bookmarkEnd w:id="739"/>
    </w:p>
    <w:p>
      <w:pPr>
        <w:rPr>
          <w:rFonts w:hint="default"/>
          <w:color w:val="auto"/>
          <w:highlight w:val="none"/>
          <w:lang w:val="en-US" w:eastAsia="zh-CN"/>
        </w:rPr>
      </w:pPr>
      <w:r>
        <w:rPr>
          <w:rFonts w:hint="eastAsia" w:ascii="宋体" w:hAnsi="宋体" w:eastAsia="宋体" w:cs="宋体"/>
          <w:b/>
          <w:color w:val="auto"/>
          <w:szCs w:val="21"/>
          <w:highlight w:val="none"/>
        </w:rPr>
        <w:t>项目名称：</w:t>
      </w:r>
      <w:r>
        <w:rPr>
          <w:rFonts w:hint="eastAsia" w:ascii="宋体" w:hAnsi="宋体" w:eastAsia="宋体" w:cs="宋体"/>
          <w:b w:val="0"/>
          <w:bCs w:val="0"/>
          <w:color w:val="auto"/>
          <w:kern w:val="2"/>
          <w:sz w:val="21"/>
          <w:szCs w:val="21"/>
          <w:highlight w:val="none"/>
          <w:lang w:val="en-US" w:eastAsia="zh-CN" w:bidi="ar-SA"/>
        </w:rPr>
        <w:t xml:space="preserve">2024年度瑞安市供销合作社联合社农资应急储备项目（重）  </w:t>
      </w:r>
      <w:r>
        <w:rPr>
          <w:rFonts w:hint="eastAsia" w:ascii="宋体" w:hAnsi="宋体" w:eastAsia="宋体" w:cs="宋体"/>
          <w:b/>
          <w:color w:val="auto"/>
          <w:szCs w:val="21"/>
          <w:highlight w:val="none"/>
        </w:rPr>
        <w:t>项目编号：</w:t>
      </w:r>
      <w:r>
        <w:rPr>
          <w:rFonts w:hint="eastAsia" w:ascii="宋体" w:hAnsi="宋体" w:eastAsia="宋体" w:cs="宋体"/>
          <w:b w:val="0"/>
          <w:bCs/>
          <w:color w:val="auto"/>
          <w:szCs w:val="21"/>
          <w:highlight w:val="none"/>
          <w:lang w:eastAsia="zh-CN"/>
        </w:rPr>
        <w:t>RYCG20240116</w:t>
      </w:r>
      <w:r>
        <w:rPr>
          <w:rFonts w:hint="eastAsia" w:ascii="宋体" w:hAnsi="宋体" w:eastAsia="宋体" w:cs="宋体"/>
          <w:b w:val="0"/>
          <w:bCs/>
          <w:color w:val="auto"/>
          <w:szCs w:val="21"/>
          <w:highlight w:val="none"/>
          <w:lang w:val="en-US" w:eastAsia="zh-CN"/>
        </w:rPr>
        <w:t>-</w:t>
      </w:r>
    </w:p>
    <w:tbl>
      <w:tblPr>
        <w:tblStyle w:val="2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0" w:type="dxa"/>
            <w:noWrap w:val="0"/>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9" w:type="dxa"/>
            <w:noWrap w:val="0"/>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51" w:type="dxa"/>
            <w:noWrap w:val="0"/>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8" w:type="dxa"/>
            <w:noWrap w:val="0"/>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noWrap w:val="0"/>
            <w:vAlign w:val="center"/>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9" w:type="dxa"/>
            <w:noWrap w:val="0"/>
            <w:vAlign w:val="center"/>
          </w:tcPr>
          <w:p>
            <w:pPr>
              <w:jc w:val="center"/>
              <w:rPr>
                <w:rFonts w:ascii="仿宋_GB2312" w:hAnsi="仿宋" w:eastAsia="仿宋_GB2312" w:cs="仿宋_GB2312"/>
                <w:b/>
                <w:color w:val="auto"/>
                <w:kern w:val="0"/>
                <w:sz w:val="32"/>
                <w:szCs w:val="32"/>
                <w:highlight w:val="none"/>
              </w:rPr>
            </w:pPr>
          </w:p>
        </w:tc>
        <w:tc>
          <w:tcPr>
            <w:tcW w:w="3551" w:type="dxa"/>
            <w:noWrap w:val="0"/>
            <w:vAlign w:val="center"/>
          </w:tcPr>
          <w:p>
            <w:pPr>
              <w:jc w:val="center"/>
              <w:rPr>
                <w:rFonts w:ascii="仿宋_GB2312" w:hAnsi="仿宋" w:eastAsia="仿宋_GB2312" w:cs="仿宋_GB2312"/>
                <w:b/>
                <w:color w:val="auto"/>
                <w:kern w:val="0"/>
                <w:sz w:val="32"/>
                <w:szCs w:val="32"/>
                <w:highlight w:val="none"/>
              </w:rPr>
            </w:pPr>
          </w:p>
        </w:tc>
        <w:tc>
          <w:tcPr>
            <w:tcW w:w="1278" w:type="dxa"/>
            <w:noWrap w:val="0"/>
            <w:vAlign w:val="center"/>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noWrap w:val="0"/>
            <w:vAlign w:val="center"/>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9" w:type="dxa"/>
            <w:noWrap w:val="0"/>
            <w:vAlign w:val="center"/>
          </w:tcPr>
          <w:p>
            <w:pPr>
              <w:jc w:val="center"/>
              <w:rPr>
                <w:rFonts w:ascii="仿宋_GB2312" w:hAnsi="仿宋" w:eastAsia="仿宋_GB2312" w:cs="仿宋_GB2312"/>
                <w:b/>
                <w:color w:val="auto"/>
                <w:kern w:val="0"/>
                <w:sz w:val="32"/>
                <w:szCs w:val="32"/>
                <w:highlight w:val="none"/>
              </w:rPr>
            </w:pPr>
          </w:p>
        </w:tc>
        <w:tc>
          <w:tcPr>
            <w:tcW w:w="3551" w:type="dxa"/>
            <w:noWrap w:val="0"/>
            <w:vAlign w:val="center"/>
          </w:tcPr>
          <w:p>
            <w:pPr>
              <w:jc w:val="center"/>
              <w:rPr>
                <w:rFonts w:ascii="仿宋_GB2312" w:hAnsi="仿宋" w:eastAsia="仿宋_GB2312" w:cs="仿宋_GB2312"/>
                <w:b/>
                <w:color w:val="auto"/>
                <w:kern w:val="0"/>
                <w:sz w:val="32"/>
                <w:szCs w:val="32"/>
                <w:highlight w:val="none"/>
              </w:rPr>
            </w:pPr>
          </w:p>
        </w:tc>
        <w:tc>
          <w:tcPr>
            <w:tcW w:w="1278" w:type="dxa"/>
            <w:noWrap w:val="0"/>
            <w:vAlign w:val="center"/>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60" w:type="dxa"/>
            <w:noWrap w:val="0"/>
            <w:vAlign w:val="center"/>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9" w:type="dxa"/>
            <w:noWrap w:val="0"/>
            <w:vAlign w:val="center"/>
          </w:tcPr>
          <w:p>
            <w:pPr>
              <w:jc w:val="center"/>
              <w:rPr>
                <w:rFonts w:ascii="仿宋_GB2312" w:hAnsi="仿宋" w:eastAsia="仿宋_GB2312" w:cs="仿宋_GB2312"/>
                <w:b/>
                <w:color w:val="auto"/>
                <w:kern w:val="0"/>
                <w:sz w:val="32"/>
                <w:szCs w:val="32"/>
                <w:highlight w:val="none"/>
              </w:rPr>
            </w:pPr>
          </w:p>
        </w:tc>
        <w:tc>
          <w:tcPr>
            <w:tcW w:w="3551" w:type="dxa"/>
            <w:noWrap w:val="0"/>
            <w:vAlign w:val="center"/>
          </w:tcPr>
          <w:p>
            <w:pPr>
              <w:jc w:val="center"/>
              <w:rPr>
                <w:rFonts w:ascii="仿宋_GB2312" w:hAnsi="仿宋" w:eastAsia="仿宋_GB2312" w:cs="仿宋_GB2312"/>
                <w:b/>
                <w:color w:val="auto"/>
                <w:kern w:val="0"/>
                <w:sz w:val="32"/>
                <w:szCs w:val="32"/>
                <w:highlight w:val="none"/>
              </w:rPr>
            </w:pPr>
          </w:p>
        </w:tc>
        <w:tc>
          <w:tcPr>
            <w:tcW w:w="1278" w:type="dxa"/>
            <w:noWrap w:val="0"/>
            <w:vAlign w:val="center"/>
          </w:tcPr>
          <w:p>
            <w:pPr>
              <w:jc w:val="center"/>
              <w:rPr>
                <w:rFonts w:ascii="仿宋_GB2312" w:hAnsi="仿宋" w:eastAsia="仿宋_GB2312" w:cs="仿宋_GB2312"/>
                <w:b/>
                <w:color w:val="auto"/>
                <w:kern w:val="0"/>
                <w:sz w:val="32"/>
                <w:szCs w:val="32"/>
                <w:highlight w:val="none"/>
              </w:rPr>
            </w:pPr>
          </w:p>
        </w:tc>
      </w:tr>
    </w:tbl>
    <w:p>
      <w:pPr>
        <w:pStyle w:val="13"/>
        <w:spacing w:line="400" w:lineRule="atLeast"/>
        <w:ind w:left="0" w:leftChars="0" w:firstLine="422" w:firstLineChars="200"/>
        <w:rPr>
          <w:rFonts w:hint="eastAsia" w:eastAsia="宋体" w:cs="宋体"/>
          <w:color w:val="auto"/>
          <w:highlight w:val="none"/>
          <w:lang w:eastAsia="zh-CN"/>
        </w:rPr>
      </w:pPr>
      <w:r>
        <w:rPr>
          <w:rFonts w:hint="eastAsia" w:cs="宋体"/>
          <w:color w:val="auto"/>
          <w:highlight w:val="none"/>
        </w:rPr>
        <w:t>注：</w:t>
      </w: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rPr>
        <w:t>保证：除商务技术偏离表列出的偏离外，</w:t>
      </w: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文件的全部要求</w:t>
      </w:r>
      <w:r>
        <w:rPr>
          <w:rFonts w:hint="eastAsia" w:ascii="宋体" w:hAnsi="宋体" w:eastAsia="宋体" w:cs="宋体"/>
          <w:color w:val="auto"/>
          <w:kern w:val="0"/>
          <w:sz w:val="21"/>
          <w:szCs w:val="21"/>
          <w:highlight w:val="none"/>
          <w:lang w:eastAsia="zh-CN"/>
        </w:rPr>
        <w:t>。</w:t>
      </w:r>
      <w:r>
        <w:rPr>
          <w:rFonts w:hint="eastAsia" w:cs="宋体"/>
          <w:color w:val="auto"/>
          <w:highlight w:val="none"/>
        </w:rPr>
        <w:t>如不填写，则视为完全响应</w:t>
      </w:r>
      <w:r>
        <w:rPr>
          <w:rFonts w:hint="eastAsia" w:cs="宋体"/>
          <w:color w:val="auto"/>
          <w:highlight w:val="none"/>
          <w:lang w:val="en-US" w:eastAsia="zh-CN"/>
        </w:rPr>
        <w:t>采购</w:t>
      </w:r>
      <w:r>
        <w:rPr>
          <w:rFonts w:hint="eastAsia" w:cs="宋体"/>
          <w:color w:val="auto"/>
          <w:highlight w:val="none"/>
        </w:rPr>
        <w:t>文件的技术及商务要求。</w:t>
      </w:r>
    </w:p>
    <w:p>
      <w:pPr>
        <w:pStyle w:val="2"/>
        <w:numPr>
          <w:ilvl w:val="0"/>
          <w:numId w:val="0"/>
        </w:numPr>
        <w:tabs>
          <w:tab w:val="left" w:pos="840"/>
        </w:tabs>
        <w:spacing w:before="0" w:after="156" w:afterLines="50" w:line="400" w:lineRule="exact"/>
        <w:jc w:val="center"/>
        <w:rPr>
          <w:rFonts w:hint="eastAsia" w:ascii="Cambria" w:hAnsi="宋体"/>
          <w:b/>
          <w:bCs/>
          <w:color w:val="auto"/>
          <w:sz w:val="28"/>
          <w:szCs w:val="36"/>
          <w:highlight w:val="none"/>
        </w:rPr>
      </w:pPr>
      <w:r>
        <w:rPr>
          <w:rFonts w:hint="eastAsia" w:ascii="宋体" w:hAnsi="宋体" w:eastAsia="宋体" w:cs="宋体"/>
          <w:b/>
          <w:bCs w:val="0"/>
          <w:color w:val="auto"/>
          <w:kern w:val="2"/>
          <w:sz w:val="28"/>
          <w:szCs w:val="28"/>
          <w:highlight w:val="none"/>
          <w:lang w:val="en-US" w:eastAsia="zh-CN" w:bidi="ar-SA"/>
        </w:rPr>
        <w:br w:type="page"/>
      </w:r>
      <w:bookmarkStart w:id="742" w:name="_Toc3466"/>
      <w:bookmarkStart w:id="743" w:name="_Toc73100339"/>
      <w:r>
        <w:rPr>
          <w:rFonts w:hint="eastAsia" w:ascii="宋体" w:hAnsi="宋体" w:cs="宋体"/>
          <w:b/>
          <w:bCs w:val="0"/>
          <w:color w:val="auto"/>
          <w:kern w:val="2"/>
          <w:sz w:val="28"/>
          <w:szCs w:val="28"/>
          <w:highlight w:val="none"/>
          <w:lang w:val="en-US" w:eastAsia="zh-CN" w:bidi="ar-SA"/>
        </w:rPr>
        <w:t>（二）</w:t>
      </w:r>
      <w:r>
        <w:rPr>
          <w:rFonts w:hint="eastAsia" w:ascii="宋体" w:hAnsi="宋体" w:eastAsia="宋体" w:cs="宋体"/>
          <w:b/>
          <w:bCs w:val="0"/>
          <w:color w:val="auto"/>
          <w:kern w:val="2"/>
          <w:sz w:val="28"/>
          <w:szCs w:val="28"/>
          <w:highlight w:val="none"/>
          <w:lang w:val="en-US" w:eastAsia="zh-CN" w:bidi="ar-SA"/>
        </w:rPr>
        <w:t>供应商情况一览表</w:t>
      </w:r>
      <w:bookmarkEnd w:id="742"/>
    </w:p>
    <w:bookmarkEnd w:id="743"/>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911"/>
        <w:gridCol w:w="145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95" w:type="dxa"/>
            <w:tcBorders>
              <w:top w:val="single" w:color="auto" w:sz="4"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bookmarkStart w:id="744" w:name="_Toc28355"/>
            <w:bookmarkStart w:id="745" w:name="_Toc19222"/>
            <w:bookmarkStart w:id="746" w:name="_Toc15909"/>
            <w:bookmarkStart w:id="747" w:name="_Toc32216"/>
            <w:r>
              <w:rPr>
                <w:rFonts w:hint="eastAsia" w:ascii="宋体" w:hAnsi="宋体" w:cs="宋体"/>
                <w:b/>
                <w:bCs/>
                <w:color w:val="auto"/>
                <w:highlight w:val="none"/>
              </w:rPr>
              <w:t>供应商名称</w:t>
            </w:r>
          </w:p>
        </w:tc>
        <w:tc>
          <w:tcPr>
            <w:tcW w:w="6418" w:type="dxa"/>
            <w:gridSpan w:val="3"/>
            <w:tcBorders>
              <w:top w:val="single" w:color="auto" w:sz="4"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单位地址</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color w:val="auto"/>
                <w:highlight w:val="none"/>
              </w:rPr>
            </w:pPr>
          </w:p>
        </w:tc>
        <w:tc>
          <w:tcPr>
            <w:tcW w:w="1459"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电话</w:t>
            </w:r>
          </w:p>
        </w:tc>
        <w:tc>
          <w:tcPr>
            <w:tcW w:w="2048"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企业资质</w:t>
            </w:r>
          </w:p>
        </w:tc>
        <w:tc>
          <w:tcPr>
            <w:tcW w:w="6418" w:type="dxa"/>
            <w:gridSpan w:val="3"/>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法定代表人</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color w:val="auto"/>
                <w:highlight w:val="none"/>
              </w:rPr>
            </w:pPr>
          </w:p>
        </w:tc>
        <w:tc>
          <w:tcPr>
            <w:tcW w:w="1459"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项目负责人</w:t>
            </w:r>
          </w:p>
        </w:tc>
        <w:tc>
          <w:tcPr>
            <w:tcW w:w="2048"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95" w:type="dxa"/>
            <w:tcBorders>
              <w:top w:val="single" w:color="auto" w:sz="6" w:space="0"/>
              <w:left w:val="single" w:color="auto" w:sz="4"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职工人数</w:t>
            </w:r>
          </w:p>
        </w:tc>
        <w:tc>
          <w:tcPr>
            <w:tcW w:w="2911" w:type="dxa"/>
            <w:tcBorders>
              <w:top w:val="single" w:color="auto" w:sz="6" w:space="0"/>
              <w:left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c>
          <w:tcPr>
            <w:tcW w:w="1459" w:type="dxa"/>
            <w:tcBorders>
              <w:top w:val="single" w:color="auto" w:sz="6" w:space="0"/>
              <w:left w:val="single" w:color="auto" w:sz="6" w:space="0"/>
              <w:right w:val="single" w:color="auto" w:sz="4"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管理人员</w:t>
            </w:r>
          </w:p>
        </w:tc>
        <w:tc>
          <w:tcPr>
            <w:tcW w:w="2048"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授权委托代理人</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color w:val="auto"/>
                <w:highlight w:val="none"/>
              </w:rPr>
            </w:pPr>
          </w:p>
        </w:tc>
        <w:tc>
          <w:tcPr>
            <w:tcW w:w="1459"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电话</w:t>
            </w:r>
          </w:p>
        </w:tc>
        <w:tc>
          <w:tcPr>
            <w:tcW w:w="2048"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驻瑞分支机构（如有）</w:t>
            </w:r>
          </w:p>
        </w:tc>
        <w:tc>
          <w:tcPr>
            <w:tcW w:w="6418" w:type="dxa"/>
            <w:gridSpan w:val="3"/>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驻瑞负责人</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color w:val="auto"/>
                <w:highlight w:val="none"/>
              </w:rPr>
            </w:pPr>
          </w:p>
        </w:tc>
        <w:tc>
          <w:tcPr>
            <w:tcW w:w="1459"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jc w:val="center"/>
              <w:rPr>
                <w:rFonts w:ascii="宋体" w:hAnsi="宋体" w:cs="宋体"/>
                <w:color w:val="auto"/>
                <w:highlight w:val="none"/>
              </w:rPr>
            </w:pPr>
            <w:r>
              <w:rPr>
                <w:rFonts w:hint="eastAsia" w:ascii="宋体" w:hAnsi="宋体" w:cs="宋体"/>
                <w:b/>
                <w:bCs/>
                <w:color w:val="auto"/>
                <w:highlight w:val="none"/>
              </w:rPr>
              <w:t>电话</w:t>
            </w:r>
          </w:p>
        </w:tc>
        <w:tc>
          <w:tcPr>
            <w:tcW w:w="2048"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trPr>
        <w:tc>
          <w:tcPr>
            <w:tcW w:w="2195"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jc w:val="center"/>
              <w:rPr>
                <w:rFonts w:ascii="宋体" w:hAnsi="宋体" w:cs="宋体"/>
                <w:b/>
                <w:bCs/>
                <w:color w:val="auto"/>
                <w:highlight w:val="none"/>
              </w:rPr>
            </w:pPr>
            <w:r>
              <w:rPr>
                <w:rFonts w:hint="eastAsia" w:ascii="宋体" w:hAnsi="宋体" w:cs="宋体"/>
                <w:b/>
                <w:bCs/>
                <w:color w:val="auto"/>
                <w:highlight w:val="none"/>
              </w:rPr>
              <w:t>企业概况</w:t>
            </w:r>
          </w:p>
        </w:tc>
        <w:tc>
          <w:tcPr>
            <w:tcW w:w="6418" w:type="dxa"/>
            <w:gridSpan w:val="3"/>
            <w:tcBorders>
              <w:top w:val="single" w:color="auto" w:sz="6" w:space="0"/>
              <w:left w:val="single" w:color="auto" w:sz="6" w:space="0"/>
              <w:bottom w:val="single" w:color="auto" w:sz="6" w:space="0"/>
              <w:right w:val="single" w:color="auto" w:sz="4" w:space="0"/>
            </w:tcBorders>
            <w:noWrap w:val="0"/>
            <w:vAlign w:val="center"/>
          </w:tcPr>
          <w:p>
            <w:pPr>
              <w:shd w:val="clear" w:color="auto" w:fill="auto"/>
              <w:rPr>
                <w:rFonts w:ascii="宋体" w:hAnsi="宋体" w:cs="宋体"/>
                <w:color w:val="auto"/>
                <w:highlight w:val="none"/>
              </w:rPr>
            </w:pPr>
            <w:r>
              <w:rPr>
                <w:rFonts w:hint="eastAsia" w:ascii="宋体" w:hAnsi="宋体" w:cs="宋体"/>
                <w:color w:val="auto"/>
                <w:highlight w:val="none"/>
              </w:rPr>
              <w:t xml:space="preserve">                      </w:t>
            </w:r>
          </w:p>
          <w:p>
            <w:pPr>
              <w:shd w:val="clear" w:color="auto" w:fill="auto"/>
              <w:jc w:val="center"/>
              <w:rPr>
                <w:rFonts w:ascii="宋体" w:hAnsi="宋体" w:cs="宋体"/>
                <w:color w:val="auto"/>
                <w:highlight w:val="none"/>
              </w:rPr>
            </w:pPr>
            <w:r>
              <w:rPr>
                <w:rFonts w:hint="eastAsia"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trPr>
        <w:tc>
          <w:tcPr>
            <w:tcW w:w="8613" w:type="dxa"/>
            <w:gridSpan w:val="4"/>
            <w:tcBorders>
              <w:top w:val="single" w:color="auto" w:sz="6" w:space="0"/>
              <w:left w:val="single" w:color="auto" w:sz="4" w:space="0"/>
              <w:bottom w:val="single" w:color="auto" w:sz="4" w:space="0"/>
              <w:right w:val="single" w:color="auto" w:sz="4" w:space="0"/>
            </w:tcBorders>
            <w:noWrap w:val="0"/>
            <w:vAlign w:val="top"/>
          </w:tcPr>
          <w:p>
            <w:pPr>
              <w:shd w:val="clear" w:color="auto" w:fill="auto"/>
              <w:spacing w:line="360" w:lineRule="auto"/>
              <w:rPr>
                <w:rFonts w:hint="eastAsia" w:ascii="宋体" w:hAnsi="宋体" w:cs="宋体"/>
                <w:b/>
                <w:bCs/>
                <w:color w:val="auto"/>
                <w:highlight w:val="none"/>
              </w:rPr>
            </w:pPr>
          </w:p>
          <w:p>
            <w:pPr>
              <w:shd w:val="clear" w:color="auto" w:fill="auto"/>
              <w:spacing w:line="360" w:lineRule="auto"/>
              <w:rPr>
                <w:rFonts w:ascii="宋体" w:hAnsi="宋体" w:cs="宋体"/>
                <w:b/>
                <w:bCs/>
                <w:color w:val="auto"/>
                <w:highlight w:val="none"/>
              </w:rPr>
            </w:pPr>
            <w:r>
              <w:rPr>
                <w:rFonts w:hint="eastAsia" w:ascii="宋体" w:hAnsi="宋体" w:cs="宋体"/>
                <w:b/>
                <w:bCs/>
                <w:color w:val="auto"/>
                <w:highlight w:val="none"/>
              </w:rPr>
              <w:t>上述表格填写均已经过核对，确信没有疏漏或差错。</w:t>
            </w:r>
          </w:p>
          <w:p>
            <w:pPr>
              <w:shd w:val="clear" w:color="auto" w:fill="auto"/>
              <w:rPr>
                <w:rFonts w:ascii="宋体" w:hAnsi="宋体" w:cs="宋体"/>
                <w:color w:val="auto"/>
                <w:highlight w:val="none"/>
              </w:rPr>
            </w:pPr>
          </w:p>
          <w:p>
            <w:pPr>
              <w:pStyle w:val="2"/>
              <w:numPr>
                <w:ilvl w:val="0"/>
                <w:numId w:val="0"/>
              </w:numPr>
              <w:tabs>
                <w:tab w:val="left" w:pos="840"/>
              </w:tabs>
              <w:ind w:leftChars="0"/>
              <w:rPr>
                <w:color w:val="auto"/>
                <w:highlight w:val="none"/>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olor w:val="auto"/>
                <w:szCs w:val="21"/>
                <w:highlight w:val="none"/>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hd w:val="clear" w:color="auto" w:fill="auto"/>
              <w:jc w:val="center"/>
              <w:rPr>
                <w:rFonts w:ascii="宋体" w:hAnsi="宋体" w:cs="宋体"/>
                <w:color w:val="auto"/>
                <w:highlight w:val="none"/>
              </w:rPr>
            </w:pPr>
          </w:p>
        </w:tc>
      </w:tr>
    </w:tbl>
    <w:p>
      <w:pPr>
        <w:bidi w:val="0"/>
      </w:pPr>
    </w:p>
    <w:p>
      <w:pPr>
        <w:bidi w:val="0"/>
      </w:pPr>
    </w:p>
    <w:p/>
    <w:p>
      <w:pPr>
        <w:bidi w:val="0"/>
      </w:pPr>
    </w:p>
    <w:p>
      <w:pPr>
        <w:bidi w:val="0"/>
      </w:pPr>
    </w:p>
    <w:bookmarkEnd w:id="744"/>
    <w:bookmarkEnd w:id="745"/>
    <w:bookmarkEnd w:id="746"/>
    <w:bookmarkEnd w:id="747"/>
    <w:p>
      <w:pPr>
        <w:bidi w:val="0"/>
        <w:rPr>
          <w:rFonts w:hint="eastAsia"/>
          <w:lang w:val="en-US" w:eastAsia="zh-CN"/>
        </w:rPr>
      </w:pPr>
      <w:bookmarkStart w:id="748" w:name="_Toc9810"/>
      <w:bookmarkStart w:id="749" w:name="_Toc17031"/>
      <w:bookmarkStart w:id="750" w:name="_Toc28645"/>
      <w:bookmarkStart w:id="751" w:name="_Toc24148"/>
    </w:p>
    <w:p>
      <w:pPr>
        <w:bidi w:val="0"/>
        <w:rPr>
          <w:rFonts w:hint="eastAsia"/>
          <w:lang w:val="en-US" w:eastAsia="zh-CN"/>
        </w:rPr>
      </w:pPr>
    </w:p>
    <w:p>
      <w:pPr>
        <w:rPr>
          <w:rFonts w:hint="eastAsia"/>
          <w:lang w:val="en-US" w:eastAsia="zh-CN"/>
        </w:rPr>
      </w:pPr>
    </w:p>
    <w:p>
      <w:pPr>
        <w:bidi w:val="0"/>
        <w:rPr>
          <w:rFonts w:hint="eastAsia"/>
          <w:lang w:val="en-US" w:eastAsia="zh-CN"/>
        </w:rPr>
      </w:pPr>
    </w:p>
    <w:p>
      <w:pPr>
        <w:pStyle w:val="2"/>
        <w:numPr>
          <w:ilvl w:val="0"/>
          <w:numId w:val="0"/>
        </w:numPr>
        <w:tabs>
          <w:tab w:val="left" w:pos="840"/>
        </w:tabs>
        <w:spacing w:before="0" w:after="156" w:afterLines="50" w:line="400" w:lineRule="exact"/>
        <w:jc w:val="center"/>
        <w:rPr>
          <w:rFonts w:hAnsi="宋体"/>
          <w:b/>
          <w:bCs w:val="0"/>
          <w:color w:val="auto"/>
          <w:sz w:val="28"/>
          <w:szCs w:val="36"/>
          <w:highlight w:val="none"/>
        </w:rPr>
      </w:pPr>
      <w:bookmarkStart w:id="752" w:name="_Toc18388"/>
      <w:r>
        <w:rPr>
          <w:rFonts w:hint="eastAsia" w:ascii="Cambria" w:hAnsi="宋体" w:eastAsia="宋体" w:cs="Times New Roman"/>
          <w:b/>
          <w:bCs w:val="0"/>
          <w:color w:val="auto"/>
          <w:kern w:val="2"/>
          <w:sz w:val="28"/>
          <w:szCs w:val="36"/>
          <w:lang w:val="en-US" w:eastAsia="zh-CN" w:bidi="ar-SA"/>
        </w:rPr>
        <w:t>（三）</w:t>
      </w:r>
      <w:r>
        <w:rPr>
          <w:rFonts w:hint="eastAsia" w:ascii="Arial" w:hAnsi="Arial" w:cs="Arial"/>
          <w:b/>
          <w:bCs w:val="0"/>
          <w:color w:val="auto"/>
          <w:sz w:val="28"/>
          <w:highlight w:val="none"/>
        </w:rPr>
        <w:t>详细产品供货清单</w:t>
      </w:r>
      <w:bookmarkEnd w:id="748"/>
      <w:bookmarkEnd w:id="749"/>
      <w:bookmarkEnd w:id="750"/>
      <w:bookmarkEnd w:id="751"/>
      <w:bookmarkEnd w:id="752"/>
    </w:p>
    <w:p>
      <w:pPr>
        <w:spacing w:line="400" w:lineRule="atLeast"/>
        <w:jc w:val="left"/>
        <w:rPr>
          <w:rFonts w:hint="eastAsia" w:ascii="宋体" w:hAnsi="宋体" w:cs="宋体"/>
          <w:b/>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lang w:eastAsia="zh-CN"/>
        </w:rPr>
        <w:t>2024年度瑞安市供销合作社联合社农资应急储备项目（重）</w:t>
      </w:r>
      <w:r>
        <w:rPr>
          <w:rFonts w:hint="eastAsia" w:ascii="宋体" w:hAnsi="宋体" w:cs="宋体"/>
          <w:b/>
          <w:color w:val="auto"/>
          <w:szCs w:val="21"/>
          <w:highlight w:val="none"/>
        </w:rPr>
        <w:t xml:space="preserve">    项目编号：</w:t>
      </w:r>
      <w:r>
        <w:rPr>
          <w:rFonts w:hint="eastAsia" w:ascii="宋体" w:hAnsi="宋体" w:cs="宋体"/>
          <w:b/>
          <w:color w:val="auto"/>
          <w:szCs w:val="21"/>
          <w:highlight w:val="none"/>
          <w:lang w:eastAsia="zh-CN"/>
        </w:rPr>
        <w:t>RYCG20240116-</w:t>
      </w:r>
    </w:p>
    <w:tbl>
      <w:tblPr>
        <w:tblStyle w:val="20"/>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65"/>
        <w:gridCol w:w="1524"/>
        <w:gridCol w:w="1201"/>
        <w:gridCol w:w="1233"/>
        <w:gridCol w:w="916"/>
        <w:gridCol w:w="103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23" w:type="dxa"/>
            <w:noWrap w:val="0"/>
            <w:vAlign w:val="center"/>
          </w:tcPr>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序号</w:t>
            </w:r>
          </w:p>
        </w:tc>
        <w:tc>
          <w:tcPr>
            <w:tcW w:w="1465" w:type="dxa"/>
            <w:noWrap w:val="0"/>
            <w:vAlign w:val="center"/>
          </w:tcPr>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产品名称</w:t>
            </w:r>
          </w:p>
        </w:tc>
        <w:tc>
          <w:tcPr>
            <w:tcW w:w="1524" w:type="dxa"/>
            <w:noWrap w:val="0"/>
            <w:vAlign w:val="center"/>
          </w:tcPr>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型号规格</w:t>
            </w:r>
          </w:p>
        </w:tc>
        <w:tc>
          <w:tcPr>
            <w:tcW w:w="1201" w:type="dxa"/>
            <w:noWrap w:val="0"/>
            <w:vAlign w:val="center"/>
          </w:tcPr>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品牌</w:t>
            </w:r>
          </w:p>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生产厂商</w:t>
            </w:r>
          </w:p>
        </w:tc>
        <w:tc>
          <w:tcPr>
            <w:tcW w:w="1233" w:type="dxa"/>
            <w:noWrap w:val="0"/>
            <w:vAlign w:val="center"/>
          </w:tcPr>
          <w:p>
            <w:pPr>
              <w:tabs>
                <w:tab w:val="left" w:pos="6551"/>
              </w:tabs>
              <w:jc w:val="center"/>
              <w:rPr>
                <w:rFonts w:ascii="新宋体" w:hAnsi="新宋体" w:eastAsia="新宋体"/>
                <w:b/>
                <w:bCs/>
                <w:color w:val="auto"/>
                <w:sz w:val="22"/>
                <w:highlight w:val="none"/>
              </w:rPr>
            </w:pPr>
            <w:r>
              <w:rPr>
                <w:rFonts w:ascii="Arial" w:hAnsi="Arial" w:cs="Arial"/>
                <w:b/>
                <w:bCs/>
                <w:color w:val="auto"/>
                <w:highlight w:val="none"/>
              </w:rPr>
              <w:t>详细配置说明</w:t>
            </w:r>
          </w:p>
        </w:tc>
        <w:tc>
          <w:tcPr>
            <w:tcW w:w="916" w:type="dxa"/>
            <w:noWrap w:val="0"/>
            <w:vAlign w:val="center"/>
          </w:tcPr>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单位</w:t>
            </w:r>
          </w:p>
        </w:tc>
        <w:tc>
          <w:tcPr>
            <w:tcW w:w="1035" w:type="dxa"/>
            <w:noWrap w:val="0"/>
            <w:vAlign w:val="center"/>
          </w:tcPr>
          <w:p>
            <w:pPr>
              <w:jc w:val="center"/>
              <w:rPr>
                <w:rFonts w:ascii="Arial" w:hAnsi="Arial" w:cs="Arial"/>
                <w:b/>
                <w:color w:val="auto"/>
                <w:szCs w:val="21"/>
                <w:highlight w:val="none"/>
              </w:rPr>
            </w:pPr>
            <w:r>
              <w:rPr>
                <w:rFonts w:hint="eastAsia" w:ascii="新宋体" w:hAnsi="新宋体" w:eastAsia="新宋体"/>
                <w:b/>
                <w:bCs/>
                <w:color w:val="auto"/>
                <w:sz w:val="22"/>
                <w:highlight w:val="none"/>
              </w:rPr>
              <w:t>数量</w:t>
            </w:r>
          </w:p>
        </w:tc>
        <w:tc>
          <w:tcPr>
            <w:tcW w:w="1098" w:type="dxa"/>
            <w:noWrap w:val="0"/>
            <w:vAlign w:val="center"/>
          </w:tcPr>
          <w:p>
            <w:pPr>
              <w:tabs>
                <w:tab w:val="left" w:pos="6551"/>
              </w:tabs>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jc w:val="center"/>
              <w:rPr>
                <w:rFonts w:ascii="新宋体" w:hAnsi="新宋体" w:eastAsia="新宋体"/>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noWrap w:val="0"/>
            <w:vAlign w:val="center"/>
          </w:tcPr>
          <w:p>
            <w:pPr>
              <w:tabs>
                <w:tab w:val="left" w:pos="6551"/>
              </w:tabs>
              <w:jc w:val="center"/>
              <w:rPr>
                <w:rFonts w:ascii="新宋体" w:hAnsi="新宋体" w:eastAsia="新宋体"/>
                <w:bCs/>
                <w:color w:val="auto"/>
                <w:sz w:val="22"/>
                <w:highlight w:val="none"/>
              </w:rPr>
            </w:pPr>
          </w:p>
        </w:tc>
        <w:tc>
          <w:tcPr>
            <w:tcW w:w="1465" w:type="dxa"/>
            <w:noWrap w:val="0"/>
            <w:vAlign w:val="center"/>
          </w:tcPr>
          <w:p>
            <w:pPr>
              <w:tabs>
                <w:tab w:val="left" w:pos="6551"/>
              </w:tabs>
              <w:jc w:val="center"/>
              <w:rPr>
                <w:rFonts w:ascii="新宋体" w:hAnsi="新宋体" w:eastAsia="新宋体"/>
                <w:bCs/>
                <w:color w:val="auto"/>
                <w:sz w:val="22"/>
                <w:highlight w:val="none"/>
              </w:rPr>
            </w:pPr>
          </w:p>
        </w:tc>
        <w:tc>
          <w:tcPr>
            <w:tcW w:w="1524" w:type="dxa"/>
            <w:noWrap w:val="0"/>
            <w:vAlign w:val="center"/>
          </w:tcPr>
          <w:p>
            <w:pPr>
              <w:tabs>
                <w:tab w:val="left" w:pos="6551"/>
              </w:tabs>
              <w:jc w:val="center"/>
              <w:rPr>
                <w:rFonts w:ascii="新宋体" w:hAnsi="新宋体" w:eastAsia="新宋体"/>
                <w:bCs/>
                <w:color w:val="auto"/>
                <w:sz w:val="22"/>
                <w:highlight w:val="none"/>
              </w:rPr>
            </w:pPr>
          </w:p>
        </w:tc>
        <w:tc>
          <w:tcPr>
            <w:tcW w:w="1201" w:type="dxa"/>
            <w:noWrap w:val="0"/>
            <w:vAlign w:val="center"/>
          </w:tcPr>
          <w:p>
            <w:pPr>
              <w:tabs>
                <w:tab w:val="left" w:pos="6551"/>
              </w:tabs>
              <w:jc w:val="center"/>
              <w:rPr>
                <w:rFonts w:ascii="新宋体" w:hAnsi="新宋体" w:eastAsia="新宋体"/>
                <w:bCs/>
                <w:color w:val="auto"/>
                <w:sz w:val="22"/>
                <w:highlight w:val="none"/>
              </w:rPr>
            </w:pPr>
          </w:p>
        </w:tc>
        <w:tc>
          <w:tcPr>
            <w:tcW w:w="1233" w:type="dxa"/>
            <w:noWrap w:val="0"/>
            <w:vAlign w:val="center"/>
          </w:tcPr>
          <w:p>
            <w:pPr>
              <w:tabs>
                <w:tab w:val="left" w:pos="6551"/>
              </w:tabs>
              <w:jc w:val="center"/>
              <w:rPr>
                <w:rFonts w:ascii="新宋体" w:hAnsi="新宋体" w:eastAsia="新宋体"/>
                <w:bCs/>
                <w:color w:val="auto"/>
                <w:sz w:val="22"/>
                <w:highlight w:val="none"/>
              </w:rPr>
            </w:pPr>
          </w:p>
        </w:tc>
        <w:tc>
          <w:tcPr>
            <w:tcW w:w="916" w:type="dxa"/>
            <w:noWrap w:val="0"/>
            <w:vAlign w:val="center"/>
          </w:tcPr>
          <w:p>
            <w:pPr>
              <w:tabs>
                <w:tab w:val="left" w:pos="6551"/>
              </w:tabs>
              <w:jc w:val="center"/>
              <w:rPr>
                <w:rFonts w:ascii="新宋体" w:hAnsi="新宋体" w:eastAsia="新宋体"/>
                <w:bCs/>
                <w:color w:val="auto"/>
                <w:sz w:val="22"/>
                <w:highlight w:val="none"/>
              </w:rPr>
            </w:pPr>
          </w:p>
        </w:tc>
        <w:tc>
          <w:tcPr>
            <w:tcW w:w="1035" w:type="dxa"/>
            <w:noWrap w:val="0"/>
            <w:vAlign w:val="center"/>
          </w:tcPr>
          <w:p>
            <w:pPr>
              <w:tabs>
                <w:tab w:val="left" w:pos="6551"/>
              </w:tabs>
              <w:ind w:firstLine="433" w:firstLineChars="196"/>
              <w:jc w:val="center"/>
              <w:rPr>
                <w:rFonts w:ascii="新宋体" w:hAnsi="新宋体" w:eastAsia="新宋体"/>
                <w:b/>
                <w:bCs/>
                <w:color w:val="auto"/>
                <w:sz w:val="22"/>
                <w:highlight w:val="none"/>
              </w:rPr>
            </w:pPr>
          </w:p>
        </w:tc>
        <w:tc>
          <w:tcPr>
            <w:tcW w:w="1098" w:type="dxa"/>
            <w:noWrap w:val="0"/>
            <w:vAlign w:val="center"/>
          </w:tcPr>
          <w:p>
            <w:pPr>
              <w:tabs>
                <w:tab w:val="left" w:pos="6551"/>
              </w:tabs>
              <w:jc w:val="center"/>
              <w:rPr>
                <w:rFonts w:ascii="新宋体" w:hAnsi="新宋体" w:eastAsia="新宋体"/>
                <w:bCs/>
                <w:color w:val="auto"/>
                <w:sz w:val="22"/>
                <w:highlight w:val="none"/>
              </w:rPr>
            </w:pPr>
          </w:p>
        </w:tc>
      </w:tr>
    </w:tbl>
    <w:p>
      <w:pPr>
        <w:pStyle w:val="5"/>
        <w:numPr>
          <w:ilvl w:val="0"/>
          <w:numId w:val="0"/>
        </w:numPr>
        <w:spacing w:line="360" w:lineRule="auto"/>
        <w:outlineLvl w:val="1"/>
        <w:rPr>
          <w:rFonts w:hint="eastAsia"/>
          <w:b/>
          <w:bCs/>
          <w:color w:val="auto"/>
          <w:highlight w:val="none"/>
          <w:lang w:val="en-US" w:eastAsia="zh-CN"/>
        </w:rPr>
      </w:pPr>
      <w:bookmarkStart w:id="753" w:name="_Toc30999"/>
      <w:bookmarkStart w:id="754" w:name="_Toc18413"/>
      <w:bookmarkStart w:id="755" w:name="_Toc29209"/>
      <w:bookmarkStart w:id="756" w:name="_Toc8915"/>
      <w:bookmarkStart w:id="757" w:name="_Toc20517"/>
      <w:bookmarkStart w:id="758" w:name="_Toc26518"/>
      <w:r>
        <w:rPr>
          <w:rFonts w:ascii="宋体" w:hAnsi="宋体" w:cs="Arial"/>
          <w:b/>
          <w:color w:val="auto"/>
          <w:szCs w:val="21"/>
          <w:highlight w:val="none"/>
        </w:rPr>
        <w:t>注：</w:t>
      </w:r>
      <w:r>
        <w:rPr>
          <w:rFonts w:hint="eastAsia" w:ascii="_x000B__x000C_" w:hAnsi="_x000B__x000C_"/>
          <w:color w:val="auto"/>
          <w:szCs w:val="21"/>
          <w:highlight w:val="none"/>
        </w:rPr>
        <w:t>▲</w:t>
      </w:r>
      <w:r>
        <w:rPr>
          <w:rFonts w:hint="eastAsia" w:ascii="新宋体" w:hAnsi="新宋体" w:eastAsia="新宋体"/>
          <w:b/>
          <w:color w:val="auto"/>
          <w:sz w:val="22"/>
          <w:highlight w:val="none"/>
        </w:rPr>
        <w:t>不提供产品清单将视为没有实质性响应</w:t>
      </w:r>
      <w:r>
        <w:rPr>
          <w:rFonts w:hint="eastAsia" w:ascii="新宋体" w:hAnsi="新宋体" w:eastAsia="新宋体"/>
          <w:b/>
          <w:color w:val="auto"/>
          <w:sz w:val="22"/>
          <w:highlight w:val="none"/>
          <w:lang w:eastAsia="zh-CN"/>
        </w:rPr>
        <w:t>招标文件</w:t>
      </w:r>
      <w:r>
        <w:rPr>
          <w:rFonts w:hint="eastAsia" w:ascii="新宋体" w:hAnsi="新宋体" w:eastAsia="新宋体"/>
          <w:b/>
          <w:color w:val="auto"/>
          <w:sz w:val="22"/>
          <w:highlight w:val="none"/>
        </w:rPr>
        <w:t>。</w:t>
      </w:r>
      <w:bookmarkEnd w:id="753"/>
      <w:bookmarkEnd w:id="754"/>
      <w:bookmarkEnd w:id="755"/>
      <w:bookmarkEnd w:id="756"/>
      <w:bookmarkEnd w:id="757"/>
      <w:bookmarkEnd w:id="758"/>
    </w:p>
    <w:p>
      <w:pPr>
        <w:pStyle w:val="37"/>
        <w:widowControl w:val="0"/>
        <w:pBdr>
          <w:left w:val="none" w:color="auto" w:sz="0" w:space="0"/>
          <w:bottom w:val="none" w:color="auto" w:sz="0" w:space="0"/>
          <w:right w:val="none" w:color="auto" w:sz="0" w:space="0"/>
        </w:pBdr>
        <w:spacing w:before="0" w:beforeAutospacing="0" w:after="0" w:afterAutospacing="0" w:line="276" w:lineRule="auto"/>
        <w:rPr>
          <w:rFonts w:ascii="Times New Roman" w:hAnsi="Times New Roman" w:eastAsia="宋体"/>
          <w:color w:val="auto"/>
          <w:kern w:val="2"/>
          <w:sz w:val="21"/>
          <w:highlight w:val="none"/>
        </w:rPr>
      </w:pPr>
    </w:p>
    <w:p>
      <w:pPr>
        <w:pStyle w:val="8"/>
        <w:rPr>
          <w:rFonts w:hint="eastAsia"/>
          <w:color w:val="auto"/>
          <w:highlight w:val="none"/>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6"/>
        <w:rPr>
          <w:color w:val="auto"/>
          <w:highlight w:val="none"/>
        </w:rPr>
      </w:pPr>
    </w:p>
    <w:p>
      <w:pPr>
        <w:pStyle w:val="2"/>
        <w:numPr>
          <w:ilvl w:val="0"/>
          <w:numId w:val="0"/>
        </w:numPr>
        <w:tabs>
          <w:tab w:val="left" w:pos="840"/>
        </w:tabs>
        <w:spacing w:before="0" w:after="156" w:afterLines="50" w:line="400" w:lineRule="exact"/>
        <w:jc w:val="center"/>
        <w:rPr>
          <w:rFonts w:hAnsi="宋体"/>
          <w:b/>
          <w:bCs w:val="0"/>
          <w:color w:val="auto"/>
          <w:sz w:val="28"/>
          <w:szCs w:val="36"/>
          <w:highlight w:val="none"/>
        </w:rPr>
      </w:pPr>
      <w:bookmarkStart w:id="759" w:name="_Toc11913"/>
      <w:bookmarkStart w:id="760" w:name="_Toc73100341"/>
      <w:r>
        <w:rPr>
          <w:rFonts w:hint="eastAsia" w:hAnsi="宋体" w:eastAsia="宋体" w:cs="Times New Roman"/>
          <w:b/>
          <w:bCs w:val="0"/>
          <w:color w:val="auto"/>
          <w:sz w:val="28"/>
          <w:szCs w:val="36"/>
          <w:highlight w:val="none"/>
        </w:rPr>
        <w:br w:type="page"/>
      </w:r>
      <w:bookmarkEnd w:id="759"/>
      <w:bookmarkEnd w:id="760"/>
      <w:bookmarkStart w:id="761" w:name="_Toc495925975"/>
      <w:bookmarkEnd w:id="761"/>
      <w:bookmarkStart w:id="762" w:name="_Toc495925976"/>
      <w:bookmarkEnd w:id="762"/>
      <w:bookmarkStart w:id="763" w:name="_Toc204398773"/>
      <w:bookmarkEnd w:id="763"/>
      <w:bookmarkStart w:id="764" w:name="_Toc16668"/>
      <w:r>
        <w:rPr>
          <w:rFonts w:hint="eastAsia" w:hAnsi="宋体" w:cs="Times New Roman"/>
          <w:b/>
          <w:bCs w:val="0"/>
          <w:color w:val="auto"/>
          <w:sz w:val="28"/>
          <w:szCs w:val="36"/>
          <w:highlight w:val="none"/>
          <w:lang w:eastAsia="zh-CN"/>
        </w:rPr>
        <w:t>（四）</w:t>
      </w:r>
      <w:r>
        <w:rPr>
          <w:rFonts w:hint="eastAsia" w:ascii="Arial" w:hAnsi="Arial" w:cs="Arial"/>
          <w:b/>
          <w:bCs w:val="0"/>
          <w:color w:val="auto"/>
          <w:sz w:val="28"/>
          <w:highlight w:val="none"/>
        </w:rPr>
        <w:t>随机备品、备件、专用工具清单</w:t>
      </w:r>
      <w:bookmarkEnd w:id="764"/>
    </w:p>
    <w:p>
      <w:pPr>
        <w:spacing w:line="400" w:lineRule="atLeast"/>
        <w:jc w:val="lef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lang w:eastAsia="zh-CN"/>
        </w:rPr>
        <w:t>2024年度瑞安市供销合作社联合社农资应急储备项目（重）</w:t>
      </w:r>
      <w:r>
        <w:rPr>
          <w:rFonts w:hint="eastAsia" w:ascii="宋体" w:hAnsi="宋体" w:cs="宋体"/>
          <w:b/>
          <w:color w:val="auto"/>
          <w:szCs w:val="21"/>
          <w:highlight w:val="none"/>
        </w:rPr>
        <w:t xml:space="preserve">    项目编号：</w:t>
      </w:r>
      <w:r>
        <w:rPr>
          <w:rFonts w:hint="eastAsia" w:ascii="宋体" w:hAnsi="宋体" w:cs="宋体"/>
          <w:b/>
          <w:color w:val="auto"/>
          <w:szCs w:val="21"/>
          <w:highlight w:val="none"/>
          <w:lang w:eastAsia="zh-CN"/>
        </w:rPr>
        <w:t>RYCG20240116-</w:t>
      </w:r>
    </w:p>
    <w:tbl>
      <w:tblPr>
        <w:tblStyle w:val="2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46"/>
        <w:gridCol w:w="1837"/>
        <w:gridCol w:w="1361"/>
        <w:gridCol w:w="184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7" w:type="dxa"/>
            <w:shd w:val="clear" w:color="auto" w:fill="FFFFFF"/>
            <w:noWrap w:val="0"/>
            <w:vAlign w:val="center"/>
          </w:tcPr>
          <w:p>
            <w:pPr>
              <w:spacing w:line="40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序号</w:t>
            </w:r>
          </w:p>
        </w:tc>
        <w:tc>
          <w:tcPr>
            <w:tcW w:w="1746" w:type="dxa"/>
            <w:shd w:val="clear" w:color="auto" w:fill="FFFFFF"/>
            <w:noWrap w:val="0"/>
            <w:vAlign w:val="center"/>
          </w:tcPr>
          <w:p>
            <w:pPr>
              <w:spacing w:line="40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名  称</w:t>
            </w:r>
          </w:p>
        </w:tc>
        <w:tc>
          <w:tcPr>
            <w:tcW w:w="1837" w:type="dxa"/>
            <w:shd w:val="clear" w:color="auto" w:fill="FFFFFF"/>
            <w:noWrap w:val="0"/>
            <w:vAlign w:val="center"/>
          </w:tcPr>
          <w:p>
            <w:pPr>
              <w:spacing w:line="40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规格型号</w:t>
            </w:r>
          </w:p>
        </w:tc>
        <w:tc>
          <w:tcPr>
            <w:tcW w:w="1361" w:type="dxa"/>
            <w:shd w:val="clear" w:color="auto" w:fill="FFFFFF"/>
            <w:noWrap w:val="0"/>
            <w:vAlign w:val="center"/>
          </w:tcPr>
          <w:p>
            <w:pPr>
              <w:spacing w:line="40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数量</w:t>
            </w:r>
          </w:p>
        </w:tc>
        <w:tc>
          <w:tcPr>
            <w:tcW w:w="1846" w:type="dxa"/>
            <w:shd w:val="clear" w:color="auto" w:fill="FFFFFF"/>
            <w:noWrap w:val="0"/>
            <w:vAlign w:val="center"/>
          </w:tcPr>
          <w:p>
            <w:pPr>
              <w:spacing w:line="40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原产地/制造商</w:t>
            </w:r>
          </w:p>
        </w:tc>
        <w:tc>
          <w:tcPr>
            <w:tcW w:w="1062" w:type="dxa"/>
            <w:shd w:val="clear" w:color="auto" w:fill="FFFFFF"/>
            <w:noWrap w:val="0"/>
            <w:vAlign w:val="center"/>
          </w:tcPr>
          <w:p>
            <w:pPr>
              <w:spacing w:line="40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7" w:type="dxa"/>
            <w:noWrap w:val="0"/>
            <w:vAlign w:val="center"/>
          </w:tcPr>
          <w:p>
            <w:pPr>
              <w:spacing w:line="400" w:lineRule="exact"/>
              <w:jc w:val="center"/>
              <w:rPr>
                <w:rFonts w:ascii="新宋体" w:hAnsi="新宋体" w:eastAsia="新宋体"/>
                <w:color w:val="auto"/>
                <w:sz w:val="22"/>
                <w:highlight w:val="none"/>
              </w:rPr>
            </w:pPr>
          </w:p>
        </w:tc>
        <w:tc>
          <w:tcPr>
            <w:tcW w:w="1746" w:type="dxa"/>
            <w:noWrap w:val="0"/>
            <w:vAlign w:val="top"/>
          </w:tcPr>
          <w:p>
            <w:pPr>
              <w:spacing w:line="400" w:lineRule="exact"/>
              <w:rPr>
                <w:rFonts w:ascii="新宋体" w:hAnsi="新宋体" w:eastAsia="新宋体"/>
                <w:color w:val="auto"/>
                <w:sz w:val="22"/>
                <w:highlight w:val="none"/>
              </w:rPr>
            </w:pPr>
          </w:p>
        </w:tc>
        <w:tc>
          <w:tcPr>
            <w:tcW w:w="1837" w:type="dxa"/>
            <w:noWrap w:val="0"/>
            <w:vAlign w:val="top"/>
          </w:tcPr>
          <w:p>
            <w:pPr>
              <w:spacing w:line="400" w:lineRule="exact"/>
              <w:rPr>
                <w:rFonts w:ascii="新宋体" w:hAnsi="新宋体" w:eastAsia="新宋体"/>
                <w:color w:val="auto"/>
                <w:sz w:val="22"/>
                <w:highlight w:val="none"/>
              </w:rPr>
            </w:pPr>
          </w:p>
        </w:tc>
        <w:tc>
          <w:tcPr>
            <w:tcW w:w="1361" w:type="dxa"/>
            <w:noWrap w:val="0"/>
            <w:vAlign w:val="top"/>
          </w:tcPr>
          <w:p>
            <w:pPr>
              <w:spacing w:line="400" w:lineRule="exact"/>
              <w:rPr>
                <w:rFonts w:ascii="新宋体" w:hAnsi="新宋体" w:eastAsia="新宋体"/>
                <w:color w:val="auto"/>
                <w:sz w:val="22"/>
                <w:highlight w:val="none"/>
              </w:rPr>
            </w:pPr>
          </w:p>
        </w:tc>
        <w:tc>
          <w:tcPr>
            <w:tcW w:w="1846" w:type="dxa"/>
            <w:noWrap w:val="0"/>
            <w:vAlign w:val="top"/>
          </w:tcPr>
          <w:p>
            <w:pPr>
              <w:spacing w:line="400" w:lineRule="exact"/>
              <w:rPr>
                <w:rFonts w:ascii="新宋体" w:hAnsi="新宋体" w:eastAsia="新宋体"/>
                <w:color w:val="auto"/>
                <w:sz w:val="22"/>
                <w:highlight w:val="none"/>
              </w:rPr>
            </w:pPr>
          </w:p>
        </w:tc>
        <w:tc>
          <w:tcPr>
            <w:tcW w:w="1062" w:type="dxa"/>
            <w:noWrap w:val="0"/>
            <w:vAlign w:val="top"/>
          </w:tcPr>
          <w:p>
            <w:pPr>
              <w:spacing w:line="400" w:lineRule="exact"/>
              <w:rPr>
                <w:rFonts w:ascii="新宋体" w:hAnsi="新宋体" w:eastAsia="新宋体"/>
                <w:color w:val="auto"/>
                <w:sz w:val="22"/>
                <w:highlight w:val="none"/>
              </w:rPr>
            </w:pPr>
          </w:p>
        </w:tc>
      </w:tr>
    </w:tbl>
    <w:p>
      <w:pPr>
        <w:pStyle w:val="5"/>
        <w:spacing w:line="400" w:lineRule="atLeast"/>
        <w:ind w:firstLine="0"/>
        <w:rPr>
          <w:rFonts w:hint="eastAsia" w:ascii="宋体" w:hAnsi="宋体"/>
          <w:b/>
          <w:color w:val="auto"/>
          <w:highlight w:val="none"/>
        </w:rPr>
      </w:pPr>
    </w:p>
    <w:p>
      <w:pPr>
        <w:pStyle w:val="5"/>
        <w:spacing w:line="400" w:lineRule="exact"/>
        <w:ind w:left="0" w:leftChars="0" w:firstLine="0" w:firstLineChars="0"/>
        <w:rPr>
          <w:rFonts w:hint="eastAsia" w:ascii="宋体" w:hAnsi="宋体"/>
          <w:color w:val="auto"/>
          <w:sz w:val="21"/>
          <w:szCs w:val="21"/>
          <w:highlight w:val="none"/>
        </w:rPr>
      </w:pPr>
      <w:r>
        <w:rPr>
          <w:rFonts w:hint="eastAsia" w:ascii="宋体" w:hAnsi="宋体"/>
          <w:color w:val="auto"/>
          <w:sz w:val="21"/>
          <w:szCs w:val="21"/>
          <w:highlight w:val="none"/>
        </w:rPr>
        <w:t>注：1. 本表所列为随产品所带的附件及备品备件。</w:t>
      </w:r>
    </w:p>
    <w:p>
      <w:pPr>
        <w:pStyle w:val="5"/>
        <w:spacing w:line="400" w:lineRule="exact"/>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 本表中所列价格应计入投标报价。</w:t>
      </w:r>
    </w:p>
    <w:p>
      <w:pPr>
        <w:pStyle w:val="5"/>
        <w:spacing w:line="400" w:lineRule="exact"/>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 此表仅提供了表格形式，</w:t>
      </w:r>
      <w:r>
        <w:rPr>
          <w:rFonts w:hint="eastAsia" w:ascii="宋体" w:hAnsi="宋体"/>
          <w:color w:val="auto"/>
          <w:sz w:val="21"/>
          <w:szCs w:val="21"/>
          <w:highlight w:val="none"/>
          <w:lang w:eastAsia="zh-CN"/>
        </w:rPr>
        <w:t>商谈供应商</w:t>
      </w:r>
      <w:r>
        <w:rPr>
          <w:rFonts w:hint="eastAsia" w:ascii="宋体" w:hAnsi="宋体"/>
          <w:color w:val="auto"/>
          <w:sz w:val="21"/>
          <w:szCs w:val="21"/>
          <w:highlight w:val="none"/>
        </w:rPr>
        <w:t>应根据需要准备足够数量的表格来填写。</w:t>
      </w:r>
    </w:p>
    <w:p>
      <w:pPr>
        <w:pStyle w:val="5"/>
        <w:spacing w:line="400" w:lineRule="exact"/>
        <w:rPr>
          <w:rFonts w:hint="eastAsia"/>
          <w:b/>
          <w:bCs/>
          <w:color w:val="auto"/>
          <w:highlight w:val="none"/>
          <w:lang w:val="en-US" w:eastAsia="zh-CN"/>
        </w:rPr>
      </w:pPr>
      <w:r>
        <w:rPr>
          <w:rFonts w:hint="eastAsia" w:ascii="宋体" w:hAnsi="宋体"/>
          <w:color w:val="auto"/>
          <w:sz w:val="21"/>
          <w:szCs w:val="21"/>
          <w:highlight w:val="none"/>
        </w:rPr>
        <w:t>4. 产品验收时，实到的随机备品备件的产地等应与此一览表一一对应。</w:t>
      </w:r>
    </w:p>
    <w:p>
      <w:pPr>
        <w:spacing w:after="156" w:afterLines="50" w:line="400" w:lineRule="exact"/>
        <w:ind w:left="4620" w:leftChars="2200"/>
        <w:rPr>
          <w:rFonts w:hint="eastAsia" w:ascii="宋体" w:hAnsi="宋体"/>
          <w:color w:val="auto"/>
          <w:szCs w:val="21"/>
          <w:highlight w:val="none"/>
        </w:rPr>
      </w:pPr>
    </w:p>
    <w:p>
      <w:pPr>
        <w:pStyle w:val="8"/>
        <w:rPr>
          <w:rFonts w:hint="eastAsia"/>
          <w:color w:val="auto"/>
          <w:highlight w:val="none"/>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kern w:val="0"/>
          <w:sz w:val="21"/>
          <w:szCs w:val="21"/>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pPr>
        <w:pStyle w:val="2"/>
        <w:keepNext w:val="0"/>
        <w:keepLines w:val="0"/>
        <w:pageBreakBefore/>
        <w:widowControl w:val="0"/>
        <w:numPr>
          <w:ilvl w:val="0"/>
          <w:numId w:val="0"/>
        </w:numPr>
        <w:shd w:val="clear" w:color="auto" w:fill="FFFFFF"/>
        <w:tabs>
          <w:tab w:val="left" w:pos="630"/>
        </w:tabs>
        <w:kinsoku/>
        <w:wordWrap/>
        <w:overflowPunct/>
        <w:topLinePunct w:val="0"/>
        <w:autoSpaceDE/>
        <w:autoSpaceDN/>
        <w:bidi w:val="0"/>
        <w:adjustRightInd/>
        <w:snapToGrid/>
        <w:spacing w:before="156" w:beforeLines="50" w:after="156" w:afterLines="50" w:line="240" w:lineRule="auto"/>
        <w:ind w:leftChars="0"/>
        <w:jc w:val="center"/>
        <w:textAlignment w:val="auto"/>
        <w:rPr>
          <w:rFonts w:hint="eastAsia" w:ascii="宋体" w:hAnsi="宋体" w:eastAsia="宋体" w:cs="宋体"/>
          <w:b/>
          <w:color w:val="auto"/>
          <w:szCs w:val="21"/>
          <w:highlight w:val="none"/>
        </w:rPr>
      </w:pPr>
      <w:bookmarkStart w:id="765" w:name="_Toc23575"/>
      <w:r>
        <w:rPr>
          <w:rFonts w:hint="eastAsia" w:ascii="Arial" w:hAnsi="Arial" w:eastAsia="宋体" w:cs="Arial"/>
          <w:b/>
          <w:bCs w:val="0"/>
          <w:color w:val="auto"/>
          <w:sz w:val="28"/>
          <w:highlight w:val="none"/>
          <w:lang w:val="en-US" w:eastAsia="zh-CN"/>
        </w:rPr>
        <w:t>（</w:t>
      </w:r>
      <w:r>
        <w:rPr>
          <w:rFonts w:hint="eastAsia" w:hAnsi="宋体" w:eastAsia="宋体" w:cs="Times New Roman"/>
          <w:b/>
          <w:bCs w:val="0"/>
          <w:color w:val="auto"/>
          <w:sz w:val="28"/>
          <w:szCs w:val="36"/>
          <w:highlight w:val="none"/>
          <w:lang w:val="en-US" w:eastAsia="zh-CN"/>
        </w:rPr>
        <w:t>五）</w:t>
      </w:r>
      <w:r>
        <w:rPr>
          <w:rFonts w:hint="eastAsia" w:ascii="Arial" w:hAnsi="宋体" w:eastAsia="宋体" w:cs="Times New Roman"/>
          <w:b/>
          <w:bCs/>
          <w:sz w:val="28"/>
          <w:szCs w:val="36"/>
          <w:highlight w:val="none"/>
          <w:lang w:val="en-US" w:eastAsia="zh-CN"/>
        </w:rPr>
        <w:t>供应商</w:t>
      </w:r>
      <w:r>
        <w:rPr>
          <w:rFonts w:hint="eastAsia" w:ascii="Arial" w:hAnsi="Arial" w:cs="Arial"/>
          <w:b/>
          <w:bCs w:val="0"/>
          <w:color w:val="auto"/>
          <w:sz w:val="28"/>
          <w:highlight w:val="none"/>
          <w:lang w:val="en-US" w:eastAsia="zh-CN"/>
        </w:rPr>
        <w:t>2020年1月份以来类似业绩情况一览表</w:t>
      </w:r>
      <w:bookmarkEnd w:id="765"/>
    </w:p>
    <w:p>
      <w:pPr>
        <w:rPr>
          <w:rFonts w:hint="default" w:eastAsia="宋体"/>
          <w:color w:val="auto"/>
          <w:highlight w:val="none"/>
          <w:lang w:val="en-US" w:eastAsia="zh-CN"/>
        </w:rPr>
      </w:pPr>
      <w:r>
        <w:rPr>
          <w:rFonts w:hint="eastAsia" w:ascii="宋体" w:hAnsi="宋体" w:eastAsia="宋体" w:cs="宋体"/>
          <w:b/>
          <w:color w:val="auto"/>
          <w:szCs w:val="21"/>
          <w:highlight w:val="none"/>
        </w:rPr>
        <w:t>项目名称：</w:t>
      </w:r>
      <w:r>
        <w:rPr>
          <w:rFonts w:hint="eastAsia" w:ascii="宋体" w:hAnsi="宋体" w:eastAsia="宋体" w:cs="宋体"/>
          <w:b w:val="0"/>
          <w:bCs w:val="0"/>
          <w:color w:val="auto"/>
          <w:kern w:val="2"/>
          <w:sz w:val="21"/>
          <w:szCs w:val="21"/>
          <w:highlight w:val="none"/>
          <w:lang w:val="en-US" w:eastAsia="zh-CN" w:bidi="ar-SA"/>
        </w:rPr>
        <w:t xml:space="preserve">2024年度瑞安市供销合作社联合社农资应急储备项目（重）  </w:t>
      </w:r>
      <w:r>
        <w:rPr>
          <w:rFonts w:hint="eastAsia" w:ascii="宋体" w:hAnsi="宋体" w:eastAsia="宋体" w:cs="宋体"/>
          <w:b/>
          <w:color w:val="auto"/>
          <w:szCs w:val="21"/>
          <w:highlight w:val="none"/>
        </w:rPr>
        <w:t>项目编号：</w:t>
      </w:r>
      <w:r>
        <w:rPr>
          <w:rFonts w:hint="eastAsia" w:ascii="宋体" w:hAnsi="宋体" w:eastAsia="宋体" w:cs="宋体"/>
          <w:b w:val="0"/>
          <w:bCs/>
          <w:color w:val="auto"/>
          <w:szCs w:val="21"/>
          <w:highlight w:val="none"/>
          <w:lang w:eastAsia="zh-CN"/>
        </w:rPr>
        <w:t>RYCG20240116</w:t>
      </w:r>
      <w:r>
        <w:rPr>
          <w:rFonts w:hint="eastAsia" w:ascii="宋体" w:hAnsi="宋体" w:eastAsia="宋体" w:cs="宋体"/>
          <w:b w:val="0"/>
          <w:bCs/>
          <w:color w:val="auto"/>
          <w:szCs w:val="21"/>
          <w:highlight w:val="none"/>
          <w:lang w:val="en-US" w:eastAsia="zh-CN"/>
        </w:rPr>
        <w:t>-</w:t>
      </w:r>
    </w:p>
    <w:tbl>
      <w:tblPr>
        <w:tblStyle w:val="20"/>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40"/>
        <w:gridCol w:w="2010"/>
        <w:gridCol w:w="1161"/>
        <w:gridCol w:w="1475"/>
        <w:gridCol w:w="1324"/>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660"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204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项目名称</w:t>
            </w:r>
          </w:p>
        </w:tc>
        <w:tc>
          <w:tcPr>
            <w:tcW w:w="201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用户单位</w:t>
            </w:r>
          </w:p>
        </w:tc>
        <w:tc>
          <w:tcPr>
            <w:tcW w:w="116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地址、联系电话</w:t>
            </w:r>
          </w:p>
        </w:tc>
        <w:tc>
          <w:tcPr>
            <w:tcW w:w="1475" w:type="dxa"/>
            <w:tcBorders>
              <w:top w:val="single" w:color="auto" w:sz="12" w:space="0"/>
              <w:left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合同起止时间</w:t>
            </w:r>
          </w:p>
        </w:tc>
        <w:tc>
          <w:tcPr>
            <w:tcW w:w="1324" w:type="dxa"/>
            <w:tcBorders>
              <w:top w:val="single" w:color="auto" w:sz="12" w:space="0"/>
              <w:left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合同金额</w:t>
            </w:r>
          </w:p>
          <w:p>
            <w:pPr>
              <w:autoSpaceDE w:val="0"/>
              <w:autoSpaceDN w:val="0"/>
              <w:adjustRightInd w:val="0"/>
              <w:spacing w:line="400" w:lineRule="atLeas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（万元）</w:t>
            </w:r>
          </w:p>
        </w:tc>
        <w:tc>
          <w:tcPr>
            <w:tcW w:w="1377"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660"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475"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24"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77"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660"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475"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24"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77"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660"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475"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24"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77"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660"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475"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24"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77"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660"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475"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24"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77"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660"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475"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24" w:type="dxa"/>
            <w:tcBorders>
              <w:left w:val="single" w:color="auto"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c>
          <w:tcPr>
            <w:tcW w:w="1377"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rFonts w:hint="eastAsia" w:ascii="宋体" w:hAnsi="宋体" w:eastAsia="宋体" w:cs="宋体"/>
                <w:color w:val="auto"/>
                <w:sz w:val="24"/>
                <w:highlight w:val="none"/>
                <w:lang w:val="zh-CN"/>
              </w:rPr>
            </w:pPr>
          </w:p>
        </w:tc>
      </w:tr>
    </w:tbl>
    <w:p>
      <w:pPr>
        <w:keepNext w:val="0"/>
        <w:keepLines w:val="0"/>
        <w:pageBreakBefore w:val="0"/>
        <w:widowControl w:val="0"/>
        <w:kinsoku/>
        <w:wordWrap/>
        <w:overflowPunct/>
        <w:topLinePunct w:val="0"/>
        <w:autoSpaceDE/>
        <w:autoSpaceDN/>
        <w:bidi w:val="0"/>
        <w:adjustRightInd/>
        <w:snapToGrid/>
        <w:spacing w:line="360" w:lineRule="exact"/>
        <w:ind w:left="720" w:right="-21" w:rightChars="-10" w:hanging="720" w:hangingChars="343"/>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注：1、业绩有效性认定：</w:t>
      </w:r>
      <w:r>
        <w:rPr>
          <w:rFonts w:hint="eastAsia" w:ascii="宋体" w:hAnsi="宋体" w:eastAsia="宋体" w:cs="宋体"/>
          <w:color w:val="auto"/>
          <w:szCs w:val="21"/>
          <w:highlight w:val="none"/>
        </w:rPr>
        <w:t>提供中标通知书和合同扫描件加盖公章，或者提供合同和</w:t>
      </w:r>
      <w:r>
        <w:rPr>
          <w:rFonts w:hint="eastAsia" w:ascii="宋体" w:hAnsi="宋体" w:eastAsia="宋体" w:cs="宋体"/>
          <w:color w:val="auto"/>
          <w:szCs w:val="21"/>
          <w:highlight w:val="none"/>
          <w:lang w:eastAsia="zh-CN"/>
        </w:rPr>
        <w:t>任一期</w:t>
      </w:r>
      <w:r>
        <w:rPr>
          <w:rFonts w:hint="eastAsia" w:ascii="宋体" w:hAnsi="宋体" w:eastAsia="宋体" w:cs="宋体"/>
          <w:color w:val="auto"/>
          <w:szCs w:val="21"/>
          <w:highlight w:val="none"/>
        </w:rPr>
        <w:t>发票扫描件加盖公章；</w:t>
      </w:r>
    </w:p>
    <w:p>
      <w:pPr>
        <w:keepNext w:val="0"/>
        <w:keepLines w:val="0"/>
        <w:pageBreakBefore w:val="0"/>
        <w:widowControl w:val="0"/>
        <w:kinsoku/>
        <w:wordWrap/>
        <w:overflowPunct/>
        <w:topLinePunct w:val="0"/>
        <w:autoSpaceDE/>
        <w:autoSpaceDN/>
        <w:bidi w:val="0"/>
        <w:adjustRightInd/>
        <w:snapToGrid/>
        <w:spacing w:line="360" w:lineRule="exact"/>
        <w:ind w:right="-21" w:rightChars="-1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2、业绩证明以合同签订时间为准。</w:t>
      </w:r>
    </w:p>
    <w:p>
      <w:pPr>
        <w:spacing w:after="156" w:afterLines="50" w:line="400" w:lineRule="atLeast"/>
        <w:ind w:firstLine="4725" w:firstLineChars="2250"/>
        <w:rPr>
          <w:rFonts w:hint="eastAsia" w:ascii="宋体" w:hAnsi="宋体" w:eastAsia="宋体" w:cs="宋体"/>
          <w:color w:val="auto"/>
          <w:szCs w:val="21"/>
          <w:highlight w:val="none"/>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olor w:val="auto"/>
          <w:szCs w:val="21"/>
          <w:highlight w:val="none"/>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kern w:val="0"/>
          <w:sz w:val="21"/>
          <w:szCs w:val="21"/>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2"/>
        <w:numPr>
          <w:ilvl w:val="0"/>
          <w:numId w:val="0"/>
        </w:numPr>
        <w:tabs>
          <w:tab w:val="left" w:pos="840"/>
        </w:tabs>
        <w:spacing w:before="0" w:after="156" w:afterLines="50" w:line="360" w:lineRule="auto"/>
        <w:jc w:val="center"/>
        <w:rPr>
          <w:rFonts w:hint="eastAsia" w:ascii="Arial" w:hAnsi="Arial" w:cs="Arial"/>
          <w:b/>
          <w:bCs w:val="0"/>
          <w:color w:val="auto"/>
          <w:sz w:val="28"/>
          <w:highlight w:val="none"/>
          <w:lang w:val="en-US" w:eastAsia="zh-CN"/>
        </w:rPr>
      </w:pPr>
      <w:bookmarkStart w:id="766" w:name="_Toc24240"/>
      <w:bookmarkStart w:id="767" w:name="_Toc17463"/>
      <w:bookmarkStart w:id="768" w:name="_Toc2393"/>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kern w:val="2"/>
          <w:sz w:val="28"/>
          <w:szCs w:val="32"/>
          <w:lang w:val="en-US" w:eastAsia="zh-CN" w:bidi="ar-SA"/>
        </w:rPr>
        <w:t>六</w:t>
      </w:r>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sz w:val="28"/>
          <w:highlight w:val="none"/>
          <w:lang w:val="en-US" w:eastAsia="zh-CN"/>
        </w:rPr>
        <w:t>投标人综合实力（格式自拟）</w:t>
      </w:r>
      <w:bookmarkEnd w:id="766"/>
    </w:p>
    <w:p>
      <w:pPr>
        <w:pStyle w:val="2"/>
        <w:numPr>
          <w:ilvl w:val="0"/>
          <w:numId w:val="0"/>
        </w:numPr>
        <w:tabs>
          <w:tab w:val="left" w:pos="840"/>
        </w:tabs>
        <w:spacing w:before="0" w:after="156" w:afterLines="50" w:line="360" w:lineRule="auto"/>
        <w:jc w:val="center"/>
        <w:rPr>
          <w:rFonts w:hint="eastAsia" w:ascii="Arial" w:hAnsi="Arial" w:cs="Arial"/>
          <w:b/>
          <w:bCs w:val="0"/>
          <w:color w:val="auto"/>
          <w:sz w:val="28"/>
          <w:highlight w:val="none"/>
          <w:lang w:val="en-US" w:eastAsia="zh-CN"/>
        </w:rPr>
      </w:pPr>
      <w:bookmarkStart w:id="769" w:name="_Toc15799"/>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kern w:val="2"/>
          <w:sz w:val="28"/>
          <w:szCs w:val="32"/>
          <w:lang w:val="en-US" w:eastAsia="zh-CN" w:bidi="ar-SA"/>
        </w:rPr>
        <w:t>七</w:t>
      </w:r>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sz w:val="28"/>
          <w:highlight w:val="none"/>
          <w:lang w:val="en-US" w:eastAsia="zh-CN"/>
        </w:rPr>
        <w:t>仓储场地（格式自拟）</w:t>
      </w:r>
      <w:bookmarkEnd w:id="769"/>
    </w:p>
    <w:p>
      <w:pPr>
        <w:pStyle w:val="2"/>
        <w:numPr>
          <w:ilvl w:val="0"/>
          <w:numId w:val="0"/>
        </w:numPr>
        <w:tabs>
          <w:tab w:val="left" w:pos="840"/>
        </w:tabs>
        <w:spacing w:before="0" w:after="156" w:afterLines="50" w:line="360" w:lineRule="auto"/>
        <w:jc w:val="center"/>
        <w:rPr>
          <w:rFonts w:hint="eastAsia" w:ascii="Arial" w:hAnsi="Arial" w:cs="Arial"/>
          <w:b/>
          <w:bCs w:val="0"/>
          <w:color w:val="auto"/>
          <w:sz w:val="28"/>
          <w:highlight w:val="none"/>
          <w:lang w:val="en-US" w:eastAsia="zh-CN"/>
        </w:rPr>
      </w:pPr>
      <w:bookmarkStart w:id="770" w:name="_Toc2009"/>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kern w:val="2"/>
          <w:sz w:val="28"/>
          <w:szCs w:val="32"/>
          <w:lang w:val="en-US" w:eastAsia="zh-CN" w:bidi="ar-SA"/>
        </w:rPr>
        <w:t>八</w:t>
      </w:r>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sz w:val="28"/>
          <w:highlight w:val="none"/>
          <w:lang w:val="en-US" w:eastAsia="zh-CN"/>
        </w:rPr>
        <w:t>服务技术管理实施方案（格式自拟）</w:t>
      </w:r>
      <w:bookmarkEnd w:id="770"/>
    </w:p>
    <w:p>
      <w:pPr>
        <w:pStyle w:val="2"/>
        <w:numPr>
          <w:ilvl w:val="0"/>
          <w:numId w:val="0"/>
        </w:numPr>
        <w:tabs>
          <w:tab w:val="left" w:pos="840"/>
        </w:tabs>
        <w:spacing w:before="0" w:after="156" w:afterLines="50" w:line="360" w:lineRule="auto"/>
        <w:jc w:val="center"/>
        <w:rPr>
          <w:rFonts w:hint="eastAsia" w:ascii="Arial" w:hAnsi="Arial" w:cs="Arial"/>
          <w:b/>
          <w:bCs w:val="0"/>
          <w:color w:val="auto"/>
          <w:sz w:val="28"/>
          <w:highlight w:val="none"/>
          <w:lang w:val="en-US" w:eastAsia="zh-CN"/>
        </w:rPr>
      </w:pPr>
      <w:bookmarkStart w:id="771" w:name="_Toc24769"/>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kern w:val="2"/>
          <w:sz w:val="28"/>
          <w:szCs w:val="32"/>
          <w:lang w:val="en-US" w:eastAsia="zh-CN" w:bidi="ar-SA"/>
        </w:rPr>
        <w:t>九</w:t>
      </w:r>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sz w:val="28"/>
          <w:highlight w:val="none"/>
          <w:lang w:val="en-US" w:eastAsia="zh-CN"/>
        </w:rPr>
        <w:t>迎检方案（格式自拟）</w:t>
      </w:r>
      <w:bookmarkEnd w:id="771"/>
    </w:p>
    <w:p>
      <w:pPr>
        <w:pStyle w:val="2"/>
        <w:numPr>
          <w:ilvl w:val="0"/>
          <w:numId w:val="0"/>
        </w:numPr>
        <w:tabs>
          <w:tab w:val="left" w:pos="840"/>
        </w:tabs>
        <w:spacing w:before="0" w:after="156" w:afterLines="50" w:line="360" w:lineRule="auto"/>
        <w:jc w:val="center"/>
        <w:rPr>
          <w:rFonts w:hint="eastAsia" w:ascii="Arial" w:hAnsi="Arial" w:cs="Arial"/>
          <w:b/>
          <w:bCs w:val="0"/>
          <w:color w:val="auto"/>
          <w:sz w:val="28"/>
          <w:highlight w:val="none"/>
          <w:lang w:val="en-US" w:eastAsia="zh-CN"/>
        </w:rPr>
      </w:pPr>
      <w:bookmarkStart w:id="772" w:name="_Toc10579"/>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kern w:val="2"/>
          <w:sz w:val="28"/>
          <w:szCs w:val="32"/>
          <w:lang w:val="en-US" w:eastAsia="zh-CN" w:bidi="ar-SA"/>
        </w:rPr>
        <w:t>十</w:t>
      </w:r>
      <w:r>
        <w:rPr>
          <w:rFonts w:hint="eastAsia" w:ascii="Arial" w:hAnsi="Arial" w:eastAsia="宋体" w:cs="Arial"/>
          <w:b/>
          <w:bCs w:val="0"/>
          <w:color w:val="auto"/>
          <w:kern w:val="2"/>
          <w:sz w:val="28"/>
          <w:szCs w:val="32"/>
          <w:lang w:val="en-US" w:eastAsia="zh-CN" w:bidi="ar-SA"/>
        </w:rPr>
        <w:t>）</w:t>
      </w:r>
      <w:r>
        <w:rPr>
          <w:rFonts w:hint="eastAsia" w:ascii="Arial" w:hAnsi="Arial" w:cs="Arial"/>
          <w:b/>
          <w:bCs w:val="0"/>
          <w:color w:val="auto"/>
          <w:sz w:val="28"/>
          <w:highlight w:val="none"/>
          <w:lang w:val="en-US" w:eastAsia="zh-CN"/>
        </w:rPr>
        <w:t>管理制度（格式自拟）</w:t>
      </w:r>
      <w:bookmarkEnd w:id="772"/>
    </w:p>
    <w:p>
      <w:pPr>
        <w:pStyle w:val="2"/>
        <w:numPr>
          <w:ilvl w:val="0"/>
          <w:numId w:val="0"/>
        </w:numPr>
        <w:tabs>
          <w:tab w:val="left" w:pos="840"/>
        </w:tabs>
        <w:spacing w:before="0" w:after="156" w:afterLines="50" w:line="360" w:lineRule="auto"/>
        <w:jc w:val="center"/>
        <w:rPr>
          <w:rFonts w:hint="default" w:ascii="宋体" w:hAnsi="宋体" w:eastAsia="宋体" w:cs="宋体"/>
          <w:b/>
          <w:bCs w:val="0"/>
          <w:color w:val="auto"/>
          <w:kern w:val="0"/>
          <w:sz w:val="28"/>
          <w:highlight w:val="none"/>
          <w:lang w:val="en-US" w:eastAsia="zh-CN"/>
        </w:rPr>
      </w:pPr>
      <w:bookmarkStart w:id="773" w:name="_Toc10798"/>
      <w:r>
        <w:rPr>
          <w:rFonts w:hint="eastAsia" w:ascii="宋体" w:hAnsi="宋体" w:eastAsia="宋体" w:cs="宋体"/>
          <w:b/>
          <w:bCs w:val="0"/>
          <w:color w:val="auto"/>
          <w:kern w:val="0"/>
          <w:sz w:val="28"/>
          <w:szCs w:val="32"/>
          <w:lang w:val="en-US" w:eastAsia="zh-CN" w:bidi="ar-SA"/>
        </w:rPr>
        <w:t>（十一）</w:t>
      </w:r>
      <w:r>
        <w:rPr>
          <w:rFonts w:hint="eastAsia" w:ascii="Arial" w:hAnsi="Arial" w:cs="Arial"/>
          <w:b/>
          <w:bCs w:val="0"/>
          <w:color w:val="auto"/>
          <w:sz w:val="28"/>
          <w:highlight w:val="none"/>
          <w:lang w:val="en-US" w:eastAsia="zh-CN"/>
        </w:rPr>
        <w:t>拟投入人员配置情况（格式自拟）</w:t>
      </w:r>
      <w:bookmarkEnd w:id="773"/>
    </w:p>
    <w:p>
      <w:pPr>
        <w:pStyle w:val="2"/>
        <w:numPr>
          <w:ilvl w:val="0"/>
          <w:numId w:val="0"/>
        </w:numPr>
        <w:tabs>
          <w:tab w:val="left" w:pos="840"/>
        </w:tabs>
        <w:spacing w:before="0" w:after="156" w:afterLines="50" w:line="360" w:lineRule="auto"/>
        <w:jc w:val="center"/>
        <w:rPr>
          <w:rFonts w:hint="eastAsia"/>
          <w:color w:val="auto"/>
          <w:highlight w:val="none"/>
          <w:lang w:val="en-US" w:eastAsia="zh-CN"/>
        </w:rPr>
      </w:pPr>
      <w:bookmarkStart w:id="774" w:name="_Toc23192"/>
      <w:r>
        <w:rPr>
          <w:rFonts w:hint="eastAsia" w:ascii="Cambria" w:hAnsi="Cambria" w:eastAsia="宋体" w:cs="Times New Roman"/>
          <w:bCs/>
          <w:color w:val="auto"/>
          <w:kern w:val="2"/>
          <w:sz w:val="32"/>
          <w:szCs w:val="32"/>
          <w:lang w:val="en-US" w:eastAsia="zh-CN" w:bidi="ar-SA"/>
        </w:rPr>
        <w:t>（十</w:t>
      </w:r>
      <w:r>
        <w:rPr>
          <w:rFonts w:hint="eastAsia" w:cs="Times New Roman"/>
          <w:bCs/>
          <w:color w:val="auto"/>
          <w:kern w:val="2"/>
          <w:sz w:val="32"/>
          <w:szCs w:val="32"/>
          <w:lang w:val="en-US" w:eastAsia="zh-CN" w:bidi="ar-SA"/>
        </w:rPr>
        <w:t>二</w:t>
      </w:r>
      <w:r>
        <w:rPr>
          <w:rFonts w:hint="eastAsia" w:ascii="Cambria" w:hAnsi="Cambria" w:eastAsia="宋体" w:cs="Times New Roman"/>
          <w:bCs/>
          <w:color w:val="auto"/>
          <w:kern w:val="2"/>
          <w:sz w:val="32"/>
          <w:szCs w:val="32"/>
          <w:lang w:val="en-US" w:eastAsia="zh-CN" w:bidi="ar-SA"/>
        </w:rPr>
        <w:t>）</w:t>
      </w:r>
      <w:r>
        <w:rPr>
          <w:rFonts w:hint="eastAsia" w:ascii="宋体" w:hAnsi="宋体" w:eastAsia="宋体" w:cs="宋体"/>
          <w:b/>
          <w:bCs w:val="0"/>
          <w:color w:val="auto"/>
          <w:kern w:val="0"/>
          <w:sz w:val="28"/>
          <w:highlight w:val="none"/>
          <w:lang w:val="en-US" w:eastAsia="zh-CN"/>
        </w:rPr>
        <w:t>其他资料（格式自拟）</w:t>
      </w:r>
      <w:bookmarkEnd w:id="774"/>
    </w:p>
    <w:p>
      <w:pPr>
        <w:pStyle w:val="2"/>
        <w:keepNext w:val="0"/>
        <w:keepLines w:val="0"/>
        <w:pageBreakBefore/>
        <w:widowControl w:val="0"/>
        <w:numPr>
          <w:ilvl w:val="0"/>
          <w:numId w:val="0"/>
        </w:numPr>
        <w:shd w:val="clear" w:color="auto" w:fill="auto"/>
        <w:tabs>
          <w:tab w:val="left" w:pos="840"/>
        </w:tabs>
        <w:adjustRightInd w:val="0"/>
        <w:snapToGrid w:val="0"/>
        <w:spacing w:before="312" w:beforeLines="100" w:after="312" w:afterLines="100" w:line="240" w:lineRule="auto"/>
        <w:jc w:val="center"/>
        <w:rPr>
          <w:rFonts w:hint="eastAsia" w:ascii="宋体" w:hAnsi="宋体" w:eastAsia="宋体" w:cs="宋体"/>
          <w:b/>
          <w:bCs/>
          <w:color w:val="auto"/>
          <w:kern w:val="0"/>
          <w:sz w:val="28"/>
          <w:szCs w:val="28"/>
          <w:highlight w:val="none"/>
          <w:lang w:val="en-US" w:eastAsia="zh-CN"/>
        </w:rPr>
      </w:pPr>
      <w:bookmarkStart w:id="775" w:name="_Toc10323"/>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lang w:val="zh-CN" w:eastAsia="zh-CN"/>
        </w:rPr>
        <w:t>政府采购供应商廉洁自律承诺书</w:t>
      </w:r>
      <w:bookmarkEnd w:id="740"/>
      <w:bookmarkEnd w:id="741"/>
      <w:bookmarkEnd w:id="767"/>
      <w:bookmarkEnd w:id="768"/>
      <w:bookmarkEnd w:id="775"/>
    </w:p>
    <w:p>
      <w:pPr>
        <w:shd w:val="clear" w:color="auto" w:fill="auto"/>
        <w:snapToGrid w:val="0"/>
        <w:spacing w:line="360" w:lineRule="auto"/>
        <w:rPr>
          <w:rFonts w:ascii="仿宋_GB2312" w:hAnsi="仿宋" w:eastAsia="仿宋_GB2312" w:cs="仿宋_GB2312"/>
          <w:color w:val="auto"/>
          <w:sz w:val="24"/>
          <w:highlight w:val="none"/>
        </w:rPr>
      </w:pPr>
    </w:p>
    <w:p>
      <w:pPr>
        <w:shd w:val="clear" w:color="auto" w:fill="auto"/>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pPr>
        <w:shd w:val="clear" w:color="auto" w:fill="auto"/>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shd w:val="clear" w:color="auto" w:fill="auto"/>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shd w:val="clear" w:color="auto" w:fill="auto"/>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shd w:val="clear" w:color="auto" w:fill="auto"/>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shd w:val="clear" w:color="auto" w:fill="auto"/>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shd w:val="clear" w:color="auto" w:fill="auto"/>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hd w:val="clear" w:color="auto" w:fill="auto"/>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hd w:val="clear" w:color="auto" w:fill="auto"/>
        <w:spacing w:line="360" w:lineRule="auto"/>
        <w:jc w:val="both"/>
        <w:rPr>
          <w:rFonts w:hint="eastAsia" w:ascii="宋体" w:hAnsi="宋体" w:eastAsia="宋体" w:cs="宋体"/>
          <w:b/>
          <w:bCs/>
          <w:color w:val="auto"/>
          <w:sz w:val="21"/>
          <w:szCs w:val="21"/>
          <w:highlight w:val="none"/>
        </w:rPr>
      </w:pPr>
    </w:p>
    <w:p>
      <w:pPr>
        <w:shd w:val="clear" w:color="auto" w:fill="auto"/>
        <w:spacing w:line="360" w:lineRule="auto"/>
        <w:jc w:val="both"/>
        <w:rPr>
          <w:rFonts w:hint="eastAsia" w:ascii="宋体" w:hAnsi="宋体" w:eastAsia="宋体" w:cs="宋体"/>
          <w:b/>
          <w:bCs/>
          <w:color w:val="auto"/>
          <w:sz w:val="21"/>
          <w:szCs w:val="21"/>
          <w:highlight w:val="none"/>
        </w:rPr>
      </w:pPr>
    </w:p>
    <w:p>
      <w:pPr>
        <w:shd w:val="clear" w:color="auto" w:fill="auto"/>
        <w:spacing w:line="360" w:lineRule="auto"/>
        <w:jc w:val="both"/>
        <w:rPr>
          <w:rFonts w:hint="eastAsia" w:ascii="宋体" w:hAnsi="宋体" w:eastAsia="宋体" w:cs="宋体"/>
          <w:b/>
          <w:bCs/>
          <w:color w:val="auto"/>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宋体" w:hAnsi="宋体" w:eastAsia="宋体" w:cs="宋体"/>
          <w:b/>
          <w:bCs/>
          <w:color w:val="auto"/>
          <w:sz w:val="21"/>
          <w:szCs w:val="21"/>
          <w:highlight w:val="none"/>
          <w:lang w:val="en-US" w:eastAsia="zh-CN"/>
        </w:rPr>
        <w:t>注：按本格式和要求提供。</w:t>
      </w:r>
    </w:p>
    <w:p>
      <w:pPr>
        <w:shd w:val="clear" w:color="auto" w:fill="auto"/>
        <w:spacing w:line="360" w:lineRule="auto"/>
        <w:jc w:val="center"/>
        <w:outlineLvl w:val="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 xml:space="preserve"> </w:t>
      </w:r>
      <w:bookmarkStart w:id="776" w:name="_Toc17393"/>
      <w:bookmarkStart w:id="777" w:name="_Toc31338"/>
      <w:r>
        <w:rPr>
          <w:rFonts w:hint="eastAsia" w:ascii="宋体" w:hAnsi="宋体" w:eastAsia="宋体" w:cs="宋体"/>
          <w:b/>
          <w:bCs/>
          <w:color w:val="auto"/>
          <w:sz w:val="28"/>
          <w:szCs w:val="36"/>
          <w:highlight w:val="none"/>
          <w:lang w:val="en-US" w:eastAsia="zh-CN"/>
        </w:rPr>
        <w:t>报价文件部分</w:t>
      </w:r>
      <w:bookmarkEnd w:id="776"/>
      <w:bookmarkEnd w:id="777"/>
    </w:p>
    <w:p>
      <w:pPr>
        <w:shd w:val="clear" w:color="auto" w:fill="auto"/>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hd w:val="clear" w:color="auto" w:fill="auto"/>
        <w:snapToGrid w:val="0"/>
        <w:spacing w:line="360" w:lineRule="auto"/>
        <w:rPr>
          <w:rFonts w:ascii="仿宋_GB2312" w:hAnsi="仿宋" w:eastAsia="仿宋_GB2312" w:cs="仿宋_GB2312"/>
          <w:b/>
          <w:color w:val="auto"/>
          <w:kern w:val="0"/>
          <w:sz w:val="36"/>
          <w:szCs w:val="36"/>
          <w:highlight w:val="none"/>
        </w:rPr>
      </w:pPr>
    </w:p>
    <w:p>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开标一览表（报价表）…………………………………………………（页码）</w:t>
      </w:r>
    </w:p>
    <w:p>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val="en-US" w:eastAsia="zh-CN" w:bidi="ar-SA"/>
        </w:rPr>
        <w:t>投标分项报价表</w:t>
      </w:r>
      <w:r>
        <w:rPr>
          <w:rFonts w:hint="eastAsia" w:ascii="宋体" w:hAnsi="宋体" w:eastAsia="宋体" w:cs="宋体"/>
          <w:color w:val="auto"/>
          <w:sz w:val="21"/>
          <w:szCs w:val="21"/>
          <w:highlight w:val="none"/>
        </w:rPr>
        <w:t>………………………………………………（页码）</w:t>
      </w: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pPr>
        <w:pStyle w:val="31"/>
        <w:keepNext w:val="0"/>
        <w:pageBreakBefore w:val="0"/>
        <w:shd w:val="clear" w:color="auto" w:fill="auto"/>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sz w:val="28"/>
          <w:szCs w:val="36"/>
          <w:highlight w:val="none"/>
        </w:rPr>
      </w:pPr>
      <w:bookmarkStart w:id="778" w:name="_Toc2495"/>
      <w:bookmarkStart w:id="779" w:name="_Toc20430"/>
      <w:bookmarkStart w:id="780" w:name="_Toc529"/>
      <w:bookmarkStart w:id="781" w:name="_Toc29648"/>
      <w:bookmarkStart w:id="782" w:name="_Toc27636"/>
      <w:r>
        <w:rPr>
          <w:rFonts w:hint="eastAsia" w:ascii="宋体" w:hAnsi="宋体" w:cs="宋体"/>
          <w:b/>
          <w:bCs w:val="0"/>
          <w:color w:val="auto"/>
          <w:sz w:val="28"/>
          <w:szCs w:val="36"/>
          <w:highlight w:val="none"/>
          <w:lang w:val="en-US" w:eastAsia="zh-CN"/>
        </w:rPr>
        <w:t>一</w:t>
      </w:r>
      <w:r>
        <w:rPr>
          <w:rFonts w:hint="eastAsia" w:ascii="宋体" w:hAnsi="宋体" w:eastAsia="宋体" w:cs="宋体"/>
          <w:b/>
          <w:bCs w:val="0"/>
          <w:color w:val="auto"/>
          <w:sz w:val="28"/>
          <w:szCs w:val="36"/>
          <w:highlight w:val="none"/>
          <w:lang w:eastAsia="zh-CN"/>
        </w:rPr>
        <w:t>、</w:t>
      </w:r>
      <w:r>
        <w:rPr>
          <w:rFonts w:hint="eastAsia" w:ascii="宋体" w:hAnsi="宋体" w:eastAsia="宋体" w:cs="宋体"/>
          <w:b/>
          <w:bCs w:val="0"/>
          <w:color w:val="auto"/>
          <w:sz w:val="28"/>
          <w:szCs w:val="36"/>
          <w:highlight w:val="none"/>
        </w:rPr>
        <w:t>开标一览表</w:t>
      </w:r>
      <w:bookmarkEnd w:id="778"/>
      <w:bookmarkEnd w:id="779"/>
      <w:bookmarkEnd w:id="780"/>
      <w:bookmarkEnd w:id="781"/>
      <w:bookmarkEnd w:id="782"/>
    </w:p>
    <w:p>
      <w:pPr>
        <w:pStyle w:val="5"/>
        <w:shd w:val="clear" w:color="auto" w:fill="auto"/>
        <w:spacing w:line="400" w:lineRule="exact"/>
        <w:ind w:firstLine="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项目编号：</w:t>
      </w:r>
      <w:r>
        <w:rPr>
          <w:rFonts w:hint="eastAsia" w:ascii="宋体" w:hAnsi="宋体" w:cs="宋体"/>
          <w:b/>
          <w:color w:val="auto"/>
          <w:highlight w:val="none"/>
          <w:lang w:eastAsia="zh-CN"/>
        </w:rPr>
        <w:t>RYCG20240116-</w:t>
      </w:r>
      <w:r>
        <w:rPr>
          <w:rFonts w:hint="eastAsia" w:ascii="宋体" w:hAnsi="宋体" w:eastAsia="宋体" w:cs="宋体"/>
          <w:b/>
          <w:color w:val="auto"/>
          <w:highlight w:val="none"/>
        </w:rPr>
        <w:t xml:space="preserve">                                          单位（人民币元</w:t>
      </w:r>
      <w:r>
        <w:rPr>
          <w:rFonts w:hint="eastAsia" w:ascii="宋体" w:hAnsi="宋体" w:eastAsia="宋体" w:cs="宋体"/>
          <w:b/>
          <w:color w:val="auto"/>
          <w:highlight w:val="none"/>
          <w:lang w:val="en-US" w:eastAsia="zh-CN"/>
        </w:rPr>
        <w:t>)</w:t>
      </w:r>
    </w:p>
    <w:tbl>
      <w:tblPr>
        <w:tblStyle w:val="2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750"/>
        <w:gridCol w:w="2550"/>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58" w:type="dxa"/>
            <w:noWrap w:val="0"/>
            <w:vAlign w:val="center"/>
          </w:tcPr>
          <w:p>
            <w:pPr>
              <w:ind w:right="-21"/>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序号</w:t>
            </w:r>
          </w:p>
        </w:tc>
        <w:tc>
          <w:tcPr>
            <w:tcW w:w="3750" w:type="dxa"/>
            <w:noWrap w:val="0"/>
            <w:vAlign w:val="center"/>
          </w:tcPr>
          <w:p>
            <w:pPr>
              <w:spacing w:line="240" w:lineRule="atLeast"/>
              <w:ind w:right="-21" w:rightChars="-10"/>
              <w:jc w:val="center"/>
              <w:rPr>
                <w:rFonts w:hint="eastAsia" w:ascii="Arial" w:hAnsi="Arial" w:eastAsia="新宋体" w:cs="Arial"/>
                <w:b/>
                <w:color w:val="auto"/>
                <w:szCs w:val="21"/>
                <w:highlight w:val="none"/>
              </w:rPr>
            </w:pPr>
            <w:r>
              <w:rPr>
                <w:rFonts w:hint="eastAsia" w:ascii="宋体" w:hAnsi="宋体" w:cs="宋体"/>
                <w:b/>
                <w:color w:val="auto"/>
                <w:szCs w:val="21"/>
                <w:highlight w:val="none"/>
              </w:rPr>
              <w:t>项目名称</w:t>
            </w:r>
          </w:p>
        </w:tc>
        <w:tc>
          <w:tcPr>
            <w:tcW w:w="2550" w:type="dxa"/>
            <w:noWrap w:val="0"/>
            <w:vAlign w:val="center"/>
          </w:tcPr>
          <w:p>
            <w:pPr>
              <w:spacing w:line="240" w:lineRule="atLeast"/>
              <w:ind w:right="-21" w:rightChars="-10"/>
              <w:jc w:val="center"/>
              <w:rPr>
                <w:rFonts w:hint="eastAsia" w:ascii="宋体" w:hAnsi="宋体" w:cs="Arial"/>
                <w:b/>
                <w:color w:val="auto"/>
                <w:szCs w:val="21"/>
                <w:highlight w:val="none"/>
              </w:rPr>
            </w:pPr>
            <w:r>
              <w:rPr>
                <w:rFonts w:hint="eastAsia" w:ascii="Arial" w:hAnsi="Arial" w:eastAsia="新宋体" w:cs="Arial"/>
                <w:b/>
                <w:color w:val="auto"/>
                <w:szCs w:val="21"/>
                <w:highlight w:val="none"/>
              </w:rPr>
              <w:t>投标</w:t>
            </w:r>
            <w:r>
              <w:rPr>
                <w:rFonts w:hint="eastAsia" w:ascii="Arial" w:hAnsi="Arial" w:eastAsia="新宋体" w:cs="Arial"/>
                <w:b/>
                <w:color w:val="auto"/>
                <w:szCs w:val="21"/>
                <w:highlight w:val="none"/>
                <w:lang w:val="en-US" w:eastAsia="zh-CN"/>
              </w:rPr>
              <w:t>总价</w:t>
            </w:r>
            <w:r>
              <w:rPr>
                <w:rFonts w:hint="eastAsia" w:ascii="Arial" w:hAnsi="Arial" w:eastAsia="新宋体" w:cs="Arial"/>
                <w:b/>
                <w:color w:val="auto"/>
                <w:szCs w:val="21"/>
                <w:highlight w:val="none"/>
              </w:rPr>
              <w:t>（元）</w:t>
            </w:r>
          </w:p>
        </w:tc>
        <w:tc>
          <w:tcPr>
            <w:tcW w:w="2282" w:type="dxa"/>
            <w:noWrap w:val="0"/>
            <w:vAlign w:val="center"/>
          </w:tcPr>
          <w:p>
            <w:pPr>
              <w:jc w:val="center"/>
              <w:rPr>
                <w:rFonts w:hint="eastAsia" w:ascii="宋体" w:hAnsi="宋体" w:eastAsia="宋体" w:cs="Arial"/>
                <w:b/>
                <w:color w:val="auto"/>
                <w:szCs w:val="21"/>
                <w:highlight w:val="none"/>
                <w:lang w:eastAsia="zh-CN"/>
              </w:rPr>
            </w:pPr>
            <w:r>
              <w:rPr>
                <w:rFonts w:hint="eastAsia" w:ascii="宋体" w:hAnsi="宋体"/>
                <w:b/>
                <w:bCs/>
                <w:color w:val="auto"/>
                <w:highlight w:val="none"/>
              </w:rPr>
              <w:t>服务</w:t>
            </w:r>
            <w:r>
              <w:rPr>
                <w:rFonts w:hint="eastAsia" w:ascii="宋体" w:hAnsi="宋体"/>
                <w:b/>
                <w:bCs/>
                <w:color w:val="auto"/>
                <w:highlight w:val="none"/>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658" w:type="dxa"/>
            <w:noWrap w:val="0"/>
            <w:vAlign w:val="center"/>
          </w:tcPr>
          <w:p>
            <w:pPr>
              <w:ind w:right="-21"/>
              <w:jc w:val="center"/>
              <w:rPr>
                <w:rFonts w:hint="default" w:ascii="宋体" w:hAnsi="宋体" w:eastAsia="宋体" w:cs="新宋体"/>
                <w:b/>
                <w:bCs/>
                <w:color w:val="auto"/>
                <w:szCs w:val="21"/>
                <w:highlight w:val="none"/>
                <w:lang w:val="en-US" w:eastAsia="zh-CN"/>
              </w:rPr>
            </w:pPr>
            <w:r>
              <w:rPr>
                <w:rFonts w:hint="eastAsia" w:ascii="宋体" w:hAnsi="宋体" w:cs="新宋体"/>
                <w:b/>
                <w:bCs/>
                <w:color w:val="auto"/>
                <w:szCs w:val="21"/>
                <w:highlight w:val="none"/>
                <w:lang w:val="en-US" w:eastAsia="zh-CN"/>
              </w:rPr>
              <w:t>1</w:t>
            </w:r>
          </w:p>
        </w:tc>
        <w:tc>
          <w:tcPr>
            <w:tcW w:w="3750" w:type="dxa"/>
            <w:noWrap w:val="0"/>
            <w:vAlign w:val="center"/>
          </w:tcPr>
          <w:p>
            <w:pPr>
              <w:spacing w:line="360" w:lineRule="auto"/>
              <w:ind w:right="-21" w:rightChars="-10"/>
              <w:jc w:val="center"/>
              <w:rPr>
                <w:rFonts w:hint="eastAsia" w:eastAsia="宋体"/>
                <w:b w:val="0"/>
                <w:bCs w:val="0"/>
                <w:color w:val="auto"/>
                <w:highlight w:val="none"/>
                <w:lang w:eastAsia="zh-CN"/>
              </w:rPr>
            </w:pPr>
            <w:r>
              <w:rPr>
                <w:rFonts w:hint="eastAsia" w:ascii="宋体" w:hAnsi="宋体" w:cs="新宋体"/>
                <w:b/>
                <w:bCs/>
                <w:color w:val="auto"/>
                <w:szCs w:val="21"/>
                <w:highlight w:val="none"/>
                <w:lang w:eastAsia="zh-CN"/>
              </w:rPr>
              <w:t>2024年度瑞安市供销合作社联合社农资应急储备项目（重）</w:t>
            </w:r>
          </w:p>
        </w:tc>
        <w:tc>
          <w:tcPr>
            <w:tcW w:w="2550" w:type="dxa"/>
            <w:noWrap w:val="0"/>
            <w:vAlign w:val="center"/>
          </w:tcPr>
          <w:p>
            <w:pPr>
              <w:spacing w:line="360" w:lineRule="auto"/>
              <w:ind w:right="-21" w:rightChars="-10"/>
              <w:jc w:val="left"/>
              <w:rPr>
                <w:rFonts w:hint="eastAsia" w:eastAsia="宋体"/>
                <w:b w:val="0"/>
                <w:bCs w:val="0"/>
                <w:color w:val="auto"/>
                <w:highlight w:val="none"/>
                <w:lang w:eastAsia="zh-CN"/>
              </w:rPr>
            </w:pPr>
            <w:r>
              <w:rPr>
                <w:rFonts w:hint="eastAsia" w:eastAsia="宋体"/>
                <w:b w:val="0"/>
                <w:bCs w:val="0"/>
                <w:color w:val="auto"/>
                <w:highlight w:val="none"/>
                <w:lang w:eastAsia="zh-CN"/>
              </w:rPr>
              <w:t>小写：</w:t>
            </w:r>
          </w:p>
          <w:p>
            <w:pPr>
              <w:spacing w:line="360" w:lineRule="auto"/>
              <w:ind w:right="-21" w:rightChars="-10"/>
              <w:jc w:val="left"/>
              <w:rPr>
                <w:rFonts w:hint="eastAsia" w:eastAsia="宋体"/>
                <w:b/>
                <w:bCs/>
                <w:color w:val="auto"/>
                <w:highlight w:val="none"/>
                <w:lang w:eastAsia="zh-CN"/>
              </w:rPr>
            </w:pPr>
            <w:r>
              <w:rPr>
                <w:rFonts w:hint="eastAsia" w:eastAsia="宋体"/>
                <w:b w:val="0"/>
                <w:bCs w:val="0"/>
                <w:color w:val="auto"/>
                <w:highlight w:val="none"/>
                <w:lang w:eastAsia="zh-CN"/>
              </w:rPr>
              <w:t>大写：</w:t>
            </w:r>
          </w:p>
        </w:tc>
        <w:tc>
          <w:tcPr>
            <w:tcW w:w="2282" w:type="dxa"/>
            <w:noWrap w:val="0"/>
            <w:vAlign w:val="center"/>
          </w:tcPr>
          <w:p>
            <w:pPr>
              <w:spacing w:line="360" w:lineRule="auto"/>
              <w:jc w:val="center"/>
              <w:rPr>
                <w:rFonts w:ascii="宋体" w:hAnsi="宋体" w:cs="Arial"/>
                <w:b/>
                <w:color w:val="auto"/>
                <w:szCs w:val="21"/>
                <w:highlight w:val="none"/>
              </w:rPr>
            </w:pPr>
          </w:p>
        </w:tc>
      </w:tr>
    </w:tbl>
    <w:p>
      <w:pPr>
        <w:spacing w:line="360" w:lineRule="auto"/>
        <w:ind w:firstLine="221" w:firstLineChars="1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p>
    <w:p>
      <w:pPr>
        <w:spacing w:line="360" w:lineRule="auto"/>
        <w:ind w:left="420" w:hanging="422" w:hanging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本项目为固定总价合同，供应商在投标报价中应包含完成本项目各项服务所产生的仓储保管费用、化肥轮换费用、正常损耗费用、贴息费用、</w:t>
      </w:r>
      <w:r>
        <w:rPr>
          <w:rFonts w:hint="eastAsia" w:ascii="宋体" w:hAnsi="宋体" w:eastAsia="宋体" w:cs="宋体"/>
          <w:b/>
          <w:bCs/>
          <w:color w:val="auto"/>
          <w:szCs w:val="21"/>
          <w:highlight w:val="none"/>
          <w:lang w:eastAsia="zh-CN"/>
        </w:rPr>
        <w:t>商谈供应商</w:t>
      </w:r>
      <w:r>
        <w:rPr>
          <w:rFonts w:hint="eastAsia" w:ascii="宋体" w:hAnsi="宋体" w:eastAsia="宋体" w:cs="宋体"/>
          <w:b/>
          <w:bCs/>
          <w:color w:val="auto"/>
          <w:szCs w:val="21"/>
          <w:highlight w:val="none"/>
        </w:rPr>
        <w:t>的利润和应交纳的税金以及可能发生的全部费用（包括：人员工资、《民法典》规定的各种社会保险费、福利、服装、节假日的加班费，生活用水用电费等）。</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该表中</w:t>
      </w:r>
      <w:r>
        <w:rPr>
          <w:rFonts w:hint="eastAsia" w:ascii="宋体" w:hAnsi="宋体" w:eastAsia="宋体" w:cs="宋体"/>
          <w:b/>
          <w:bCs/>
          <w:color w:val="auto"/>
          <w:szCs w:val="21"/>
          <w:highlight w:val="none"/>
          <w:lang w:val="en-US" w:eastAsia="zh-CN"/>
        </w:rPr>
        <w:t>投标总价</w:t>
      </w:r>
      <w:r>
        <w:rPr>
          <w:rFonts w:hint="eastAsia" w:ascii="宋体" w:hAnsi="宋体" w:eastAsia="宋体" w:cs="宋体"/>
          <w:b/>
          <w:bCs/>
          <w:color w:val="auto"/>
          <w:szCs w:val="21"/>
          <w:highlight w:val="none"/>
        </w:rPr>
        <w:t>应与</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二、</w:t>
      </w:r>
      <w:r>
        <w:rPr>
          <w:rFonts w:hint="eastAsia" w:ascii="宋体" w:hAnsi="宋体" w:eastAsia="宋体" w:cs="宋体"/>
          <w:b/>
          <w:bCs/>
          <w:color w:val="auto"/>
          <w:szCs w:val="21"/>
          <w:highlight w:val="none"/>
        </w:rPr>
        <w:t>投标分项报价表”中对应</w:t>
      </w:r>
      <w:r>
        <w:rPr>
          <w:rFonts w:hint="eastAsia" w:ascii="宋体" w:hAnsi="宋体" w:eastAsia="宋体" w:cs="宋体"/>
          <w:b/>
          <w:bCs/>
          <w:color w:val="auto"/>
          <w:szCs w:val="21"/>
          <w:highlight w:val="none"/>
          <w:lang w:val="en-US" w:eastAsia="zh-CN"/>
        </w:rPr>
        <w:t>投标总价</w:t>
      </w:r>
      <w:r>
        <w:rPr>
          <w:rFonts w:hint="eastAsia" w:ascii="宋体" w:hAnsi="宋体" w:eastAsia="宋体" w:cs="宋体"/>
          <w:b/>
          <w:bCs/>
          <w:color w:val="auto"/>
          <w:szCs w:val="21"/>
          <w:highlight w:val="none"/>
        </w:rPr>
        <w:t>相一致。</w:t>
      </w:r>
    </w:p>
    <w:p>
      <w:pPr>
        <w:spacing w:before="156" w:beforeLines="5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▲不提供此表格将被视为没有实质性响应招标文件，其投标将被否决。</w:t>
      </w:r>
    </w:p>
    <w:p>
      <w:pPr>
        <w:widowControl/>
        <w:numPr>
          <w:ilvl w:val="0"/>
          <w:numId w:val="0"/>
        </w:numPr>
        <w:shd w:val="clear" w:color="auto" w:fill="auto"/>
        <w:spacing w:line="360" w:lineRule="exact"/>
        <w:ind w:left="780" w:leftChars="0"/>
        <w:jc w:val="left"/>
        <w:rPr>
          <w:rFonts w:hint="eastAsia"/>
          <w:color w:val="auto"/>
          <w:highlight w:val="none"/>
          <w:lang w:eastAsia="zh-CN"/>
        </w:rPr>
      </w:pPr>
    </w:p>
    <w:p>
      <w:pPr>
        <w:shd w:val="clear" w:color="auto" w:fill="auto"/>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hd w:val="clear" w:color="auto" w:fill="auto"/>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31"/>
        <w:keepNext w:val="0"/>
        <w:pageBreakBefore w:val="0"/>
        <w:shd w:val="clear" w:color="auto" w:fill="auto"/>
        <w:tabs>
          <w:tab w:val="clear" w:pos="720"/>
        </w:tabs>
        <w:snapToGrid w:val="0"/>
        <w:spacing w:before="120" w:after="120"/>
        <w:ind w:firstLine="0"/>
        <w:jc w:val="both"/>
        <w:outlineLvl w:val="9"/>
        <w:rPr>
          <w:rFonts w:hint="eastAsia"/>
          <w:color w:val="auto"/>
          <w:highlight w:val="none"/>
          <w:lang w:eastAsia="zh-CN"/>
        </w:rPr>
      </w:pPr>
    </w:p>
    <w:p>
      <w:pPr>
        <w:pStyle w:val="31"/>
        <w:keepNext w:val="0"/>
        <w:pageBreakBefore w:val="0"/>
        <w:shd w:val="clear" w:color="auto" w:fill="auto"/>
        <w:tabs>
          <w:tab w:val="clear" w:pos="720"/>
        </w:tabs>
        <w:snapToGrid w:val="0"/>
        <w:spacing w:before="120" w:after="120"/>
        <w:ind w:firstLine="0"/>
        <w:jc w:val="both"/>
        <w:outlineLvl w:val="9"/>
        <w:rPr>
          <w:rFonts w:hint="eastAsia" w:ascii="仿宋" w:hAnsi="仿宋" w:eastAsia="仿宋" w:cs="仿宋_GB2312"/>
          <w:b w:val="0"/>
          <w:bCs/>
          <w:i/>
          <w:iCs/>
          <w:color w:val="auto"/>
          <w:sz w:val="28"/>
          <w:szCs w:val="16"/>
          <w:highlight w:val="none"/>
          <w:lang w:eastAsia="zh-CN"/>
        </w:rPr>
      </w:pPr>
    </w:p>
    <w:p>
      <w:pPr>
        <w:keepNext w:val="0"/>
        <w:keepLines w:val="0"/>
        <w:pageBreakBefore w:val="0"/>
        <w:widowControl w:val="0"/>
        <w:kinsoku/>
        <w:wordWrap/>
        <w:overflowPunct/>
        <w:topLinePunct w:val="0"/>
        <w:bidi w:val="0"/>
        <w:adjustRightInd/>
        <w:snapToGrid/>
        <w:spacing w:before="157" w:beforeLines="50" w:after="120" w:line="400" w:lineRule="exact"/>
        <w:ind w:left="4620" w:leftChars="2200" w:firstLine="1968" w:firstLineChars="700"/>
        <w:textAlignment w:val="auto"/>
        <w:rPr>
          <w:rFonts w:hint="eastAsia" w:ascii="宋体" w:hAnsi="宋体" w:cs="宋体"/>
          <w:b/>
          <w:bCs w:val="0"/>
          <w:color w:val="auto"/>
          <w:sz w:val="28"/>
          <w:szCs w:val="36"/>
          <w:highlight w:val="none"/>
          <w:lang w:val="en-US" w:eastAsia="zh-CN"/>
        </w:rPr>
        <w:sectPr>
          <w:pgSz w:w="11906" w:h="16838"/>
          <w:pgMar w:top="1134" w:right="1274" w:bottom="1020" w:left="1575" w:header="680" w:footer="680" w:gutter="0"/>
          <w:pgBorders>
            <w:top w:val="none" w:sz="0" w:space="0"/>
            <w:left w:val="none" w:sz="0" w:space="0"/>
            <w:bottom w:val="none" w:sz="0" w:space="0"/>
            <w:right w:val="none" w:sz="0" w:space="0"/>
          </w:pgBorders>
          <w:pgNumType w:fmt="numberInDash"/>
          <w:cols w:space="720" w:num="1"/>
          <w:titlePg/>
          <w:docGrid w:type="lines" w:linePitch="312" w:charSpace="0"/>
        </w:sectPr>
      </w:pPr>
      <w:bookmarkStart w:id="783" w:name="_Toc4865"/>
      <w:bookmarkStart w:id="784" w:name="_Toc28391"/>
    </w:p>
    <w:p>
      <w:pPr>
        <w:pStyle w:val="2"/>
        <w:tabs>
          <w:tab w:val="left" w:pos="840"/>
        </w:tabs>
        <w:spacing w:before="140" w:after="140"/>
        <w:jc w:val="center"/>
        <w:rPr>
          <w:rFonts w:ascii="Arial" w:hAnsi="Arial" w:cs="Arial"/>
          <w:color w:val="auto"/>
          <w:sz w:val="28"/>
          <w:highlight w:val="none"/>
        </w:rPr>
      </w:pPr>
      <w:bookmarkStart w:id="785" w:name="_Toc26168"/>
      <w:bookmarkStart w:id="786" w:name="_Toc17740"/>
      <w:bookmarkStart w:id="787" w:name="_Toc4957"/>
      <w:bookmarkStart w:id="788" w:name="_Toc27512"/>
      <w:bookmarkStart w:id="789" w:name="_Toc25991"/>
      <w:bookmarkStart w:id="790" w:name="_Toc20137"/>
      <w:bookmarkStart w:id="791" w:name="_Toc29568"/>
      <w:bookmarkStart w:id="792" w:name="_Toc30148"/>
      <w:bookmarkStart w:id="793" w:name="_Toc25762"/>
      <w:r>
        <w:rPr>
          <w:rFonts w:hint="eastAsia" w:ascii="Arial" w:hAnsi="Arial" w:cs="Arial"/>
          <w:b/>
          <w:bCs w:val="0"/>
          <w:color w:val="auto"/>
          <w:sz w:val="28"/>
          <w:highlight w:val="none"/>
          <w:lang w:eastAsia="zh-CN"/>
        </w:rPr>
        <w:t>二、</w:t>
      </w:r>
      <w:r>
        <w:rPr>
          <w:rFonts w:ascii="Arial" w:hAnsi="Arial" w:cs="Arial"/>
          <w:b/>
          <w:bCs w:val="0"/>
          <w:color w:val="auto"/>
          <w:sz w:val="28"/>
          <w:highlight w:val="none"/>
        </w:rPr>
        <w:t>投标分项报价表</w:t>
      </w:r>
      <w:bookmarkEnd w:id="785"/>
      <w:bookmarkEnd w:id="786"/>
      <w:bookmarkEnd w:id="787"/>
      <w:bookmarkEnd w:id="788"/>
      <w:bookmarkEnd w:id="789"/>
      <w:bookmarkEnd w:id="790"/>
      <w:bookmarkEnd w:id="791"/>
      <w:bookmarkEnd w:id="792"/>
      <w:bookmarkEnd w:id="793"/>
    </w:p>
    <w:p>
      <w:pPr>
        <w:rPr>
          <w:rFonts w:hint="default" w:eastAsia="宋体"/>
          <w:color w:val="auto"/>
          <w:highlight w:val="none"/>
          <w:lang w:val="en-US" w:eastAsia="zh-CN"/>
        </w:rPr>
      </w:pPr>
      <w:r>
        <w:rPr>
          <w:rFonts w:hint="eastAsia" w:ascii="宋体" w:hAnsi="宋体" w:eastAsia="宋体" w:cs="宋体"/>
          <w:b/>
          <w:color w:val="auto"/>
          <w:szCs w:val="21"/>
          <w:highlight w:val="none"/>
        </w:rPr>
        <w:t>项目名称：</w:t>
      </w:r>
      <w:r>
        <w:rPr>
          <w:rFonts w:hint="eastAsia" w:ascii="宋体" w:hAnsi="宋体" w:eastAsia="宋体" w:cs="宋体"/>
          <w:b w:val="0"/>
          <w:bCs w:val="0"/>
          <w:color w:val="auto"/>
          <w:kern w:val="2"/>
          <w:sz w:val="21"/>
          <w:szCs w:val="21"/>
          <w:highlight w:val="none"/>
          <w:lang w:val="en-US" w:eastAsia="zh-CN" w:bidi="ar-SA"/>
        </w:rPr>
        <w:t xml:space="preserve">2024年度瑞安市供销合作社联合社农资应急储备项目（重）    </w:t>
      </w:r>
      <w:r>
        <w:rPr>
          <w:rFonts w:hint="eastAsia" w:ascii="宋体" w:hAnsi="宋体" w:eastAsia="宋体" w:cs="宋体"/>
          <w:b/>
          <w:color w:val="auto"/>
          <w:szCs w:val="21"/>
          <w:highlight w:val="none"/>
        </w:rPr>
        <w:t>项目编号：</w:t>
      </w:r>
      <w:r>
        <w:rPr>
          <w:rFonts w:hint="eastAsia" w:ascii="宋体" w:hAnsi="宋体" w:eastAsia="宋体" w:cs="宋体"/>
          <w:b w:val="0"/>
          <w:bCs/>
          <w:color w:val="auto"/>
          <w:szCs w:val="21"/>
          <w:highlight w:val="none"/>
          <w:lang w:eastAsia="zh-CN"/>
        </w:rPr>
        <w:t>RYCG20240116</w:t>
      </w:r>
      <w:r>
        <w:rPr>
          <w:rFonts w:hint="eastAsia" w:ascii="宋体" w:hAnsi="宋体" w:eastAsia="宋体" w:cs="宋体"/>
          <w:b w:val="0"/>
          <w:bCs/>
          <w:color w:val="auto"/>
          <w:szCs w:val="21"/>
          <w:highlight w:val="none"/>
          <w:lang w:val="en-US" w:eastAsia="zh-CN"/>
        </w:rPr>
        <w:t>-</w:t>
      </w:r>
    </w:p>
    <w:tbl>
      <w:tblPr>
        <w:tblStyle w:val="20"/>
        <w:tblW w:w="88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513"/>
        <w:gridCol w:w="1744"/>
        <w:gridCol w:w="1310"/>
        <w:gridCol w:w="1310"/>
        <w:gridCol w:w="1312"/>
        <w:gridCol w:w="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669" w:type="dxa"/>
            <w:noWrap w:val="0"/>
            <w:vAlign w:val="center"/>
          </w:tcPr>
          <w:p>
            <w:pPr>
              <w:spacing w:line="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3" w:type="dxa"/>
            <w:tcBorders>
              <w:right w:val="single" w:color="auto" w:sz="4" w:space="0"/>
            </w:tcBorders>
            <w:noWrap w:val="0"/>
            <w:vAlign w:val="center"/>
          </w:tcPr>
          <w:p>
            <w:pPr>
              <w:spacing w:line="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费用明细</w:t>
            </w:r>
          </w:p>
        </w:tc>
        <w:tc>
          <w:tcPr>
            <w:tcW w:w="1744" w:type="dxa"/>
            <w:tcBorders>
              <w:left w:val="single" w:color="auto" w:sz="4" w:space="0"/>
            </w:tcBorders>
            <w:noWrap w:val="0"/>
            <w:vAlign w:val="center"/>
          </w:tcPr>
          <w:p>
            <w:pPr>
              <w:spacing w:line="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单价（元/吨）</w:t>
            </w:r>
          </w:p>
        </w:tc>
        <w:tc>
          <w:tcPr>
            <w:tcW w:w="1310" w:type="dxa"/>
            <w:noWrap w:val="0"/>
            <w:vAlign w:val="center"/>
          </w:tcPr>
          <w:p>
            <w:pPr>
              <w:spacing w:line="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化肥数量</w:t>
            </w:r>
          </w:p>
        </w:tc>
        <w:tc>
          <w:tcPr>
            <w:tcW w:w="1310" w:type="dxa"/>
            <w:noWrap w:val="0"/>
            <w:vAlign w:val="center"/>
          </w:tcPr>
          <w:p>
            <w:pPr>
              <w:spacing w:line="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一年报价</w:t>
            </w:r>
          </w:p>
          <w:p>
            <w:pPr>
              <w:spacing w:line="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312" w:type="dxa"/>
            <w:noWrap w:val="0"/>
            <w:vAlign w:val="center"/>
          </w:tcPr>
          <w:p>
            <w:pPr>
              <w:spacing w:line="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计算说明</w:t>
            </w:r>
          </w:p>
        </w:tc>
        <w:tc>
          <w:tcPr>
            <w:tcW w:w="962" w:type="dxa"/>
            <w:noWrap w:val="0"/>
            <w:vAlign w:val="center"/>
          </w:tcPr>
          <w:p>
            <w:pPr>
              <w:spacing w:line="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669"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3" w:type="dxa"/>
            <w:tcBorders>
              <w:righ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仓储保管费用</w:t>
            </w:r>
          </w:p>
        </w:tc>
        <w:tc>
          <w:tcPr>
            <w:tcW w:w="1744" w:type="dxa"/>
            <w:tcBorders>
              <w:lef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p>
        </w:tc>
        <w:tc>
          <w:tcPr>
            <w:tcW w:w="1310" w:type="dxa"/>
            <w:noWrap w:val="0"/>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1800吨</w:t>
            </w: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p>
        </w:tc>
        <w:tc>
          <w:tcPr>
            <w:tcW w:w="1312" w:type="dxa"/>
            <w:noWrap w:val="0"/>
            <w:vAlign w:val="center"/>
          </w:tcPr>
          <w:p>
            <w:pPr>
              <w:spacing w:line="0" w:lineRule="atLeast"/>
              <w:jc w:val="center"/>
              <w:rPr>
                <w:rFonts w:hint="eastAsia" w:ascii="宋体" w:hAnsi="宋体" w:eastAsia="宋体" w:cs="宋体"/>
                <w:color w:val="auto"/>
                <w:sz w:val="21"/>
                <w:szCs w:val="21"/>
                <w:highlight w:val="none"/>
              </w:rPr>
            </w:pPr>
          </w:p>
        </w:tc>
        <w:tc>
          <w:tcPr>
            <w:tcW w:w="962" w:type="dxa"/>
            <w:noWrap w:val="0"/>
            <w:vAlign w:val="center"/>
          </w:tcPr>
          <w:p>
            <w:pPr>
              <w:spacing w:line="0" w:lineRule="atLeast"/>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669"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3" w:type="dxa"/>
            <w:tcBorders>
              <w:righ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化肥轮换费用</w:t>
            </w:r>
          </w:p>
        </w:tc>
        <w:tc>
          <w:tcPr>
            <w:tcW w:w="1744" w:type="dxa"/>
            <w:tcBorders>
              <w:lef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1800吨</w:t>
            </w: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p>
        </w:tc>
        <w:tc>
          <w:tcPr>
            <w:tcW w:w="1312" w:type="dxa"/>
            <w:noWrap w:val="0"/>
            <w:vAlign w:val="center"/>
          </w:tcPr>
          <w:p>
            <w:pPr>
              <w:spacing w:line="0" w:lineRule="atLeast"/>
              <w:jc w:val="center"/>
              <w:rPr>
                <w:rFonts w:hint="eastAsia" w:ascii="宋体" w:hAnsi="宋体" w:eastAsia="宋体" w:cs="宋体"/>
                <w:color w:val="auto"/>
                <w:sz w:val="21"/>
                <w:szCs w:val="21"/>
                <w:highlight w:val="none"/>
              </w:rPr>
            </w:pPr>
          </w:p>
        </w:tc>
        <w:tc>
          <w:tcPr>
            <w:tcW w:w="962" w:type="dxa"/>
            <w:noWrap w:val="0"/>
            <w:vAlign w:val="center"/>
          </w:tcPr>
          <w:p>
            <w:pPr>
              <w:spacing w:line="0" w:lineRule="atLeast"/>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669"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13" w:type="dxa"/>
            <w:tcBorders>
              <w:righ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正常损耗费用</w:t>
            </w:r>
          </w:p>
        </w:tc>
        <w:tc>
          <w:tcPr>
            <w:tcW w:w="1744" w:type="dxa"/>
            <w:tcBorders>
              <w:lef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1800吨</w:t>
            </w: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p>
        </w:tc>
        <w:tc>
          <w:tcPr>
            <w:tcW w:w="1312" w:type="dxa"/>
            <w:noWrap w:val="0"/>
            <w:vAlign w:val="center"/>
          </w:tcPr>
          <w:p>
            <w:pPr>
              <w:spacing w:line="0" w:lineRule="atLeast"/>
              <w:jc w:val="center"/>
              <w:rPr>
                <w:rFonts w:hint="eastAsia" w:ascii="宋体" w:hAnsi="宋体" w:eastAsia="宋体" w:cs="宋体"/>
                <w:color w:val="auto"/>
                <w:sz w:val="21"/>
                <w:szCs w:val="21"/>
                <w:highlight w:val="none"/>
              </w:rPr>
            </w:pPr>
          </w:p>
        </w:tc>
        <w:tc>
          <w:tcPr>
            <w:tcW w:w="962" w:type="dxa"/>
            <w:noWrap w:val="0"/>
            <w:vAlign w:val="center"/>
          </w:tcPr>
          <w:p>
            <w:pPr>
              <w:spacing w:line="0" w:lineRule="atLeast"/>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669"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13" w:type="dxa"/>
            <w:tcBorders>
              <w:righ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贴息费用</w:t>
            </w:r>
          </w:p>
        </w:tc>
        <w:tc>
          <w:tcPr>
            <w:tcW w:w="1744" w:type="dxa"/>
            <w:tcBorders>
              <w:lef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1800吨</w:t>
            </w: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p>
        </w:tc>
        <w:tc>
          <w:tcPr>
            <w:tcW w:w="1312" w:type="dxa"/>
            <w:noWrap w:val="0"/>
            <w:vAlign w:val="center"/>
          </w:tcPr>
          <w:p>
            <w:pPr>
              <w:spacing w:line="0" w:lineRule="atLeast"/>
              <w:jc w:val="center"/>
              <w:rPr>
                <w:rFonts w:hint="eastAsia" w:ascii="宋体" w:hAnsi="宋体" w:eastAsia="宋体" w:cs="宋体"/>
                <w:color w:val="auto"/>
                <w:sz w:val="21"/>
                <w:szCs w:val="21"/>
                <w:highlight w:val="none"/>
              </w:rPr>
            </w:pPr>
          </w:p>
        </w:tc>
        <w:tc>
          <w:tcPr>
            <w:tcW w:w="962" w:type="dxa"/>
            <w:noWrap w:val="0"/>
            <w:vAlign w:val="center"/>
          </w:tcPr>
          <w:p>
            <w:pPr>
              <w:spacing w:line="0" w:lineRule="atLeast"/>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669" w:type="dxa"/>
            <w:noWrap w:val="0"/>
            <w:vAlign w:val="center"/>
          </w:tcPr>
          <w:p>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13" w:type="dxa"/>
            <w:tcBorders>
              <w:righ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1744" w:type="dxa"/>
            <w:tcBorders>
              <w:lef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rPr>
            </w:pP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1800吨</w:t>
            </w:r>
          </w:p>
        </w:tc>
        <w:tc>
          <w:tcPr>
            <w:tcW w:w="1310" w:type="dxa"/>
            <w:noWrap w:val="0"/>
            <w:vAlign w:val="center"/>
          </w:tcPr>
          <w:p>
            <w:pPr>
              <w:spacing w:line="0" w:lineRule="atLeast"/>
              <w:jc w:val="center"/>
              <w:rPr>
                <w:rFonts w:hint="eastAsia" w:ascii="宋体" w:hAnsi="宋体" w:eastAsia="宋体" w:cs="宋体"/>
                <w:color w:val="auto"/>
                <w:sz w:val="21"/>
                <w:szCs w:val="21"/>
                <w:highlight w:val="none"/>
              </w:rPr>
            </w:pPr>
          </w:p>
        </w:tc>
        <w:tc>
          <w:tcPr>
            <w:tcW w:w="1312" w:type="dxa"/>
            <w:noWrap w:val="0"/>
            <w:vAlign w:val="center"/>
          </w:tcPr>
          <w:p>
            <w:pPr>
              <w:spacing w:line="0" w:lineRule="atLeast"/>
              <w:jc w:val="center"/>
              <w:rPr>
                <w:rFonts w:hint="eastAsia" w:ascii="宋体" w:hAnsi="宋体" w:eastAsia="宋体" w:cs="宋体"/>
                <w:color w:val="auto"/>
                <w:sz w:val="21"/>
                <w:szCs w:val="21"/>
                <w:highlight w:val="none"/>
              </w:rPr>
            </w:pPr>
          </w:p>
        </w:tc>
        <w:tc>
          <w:tcPr>
            <w:tcW w:w="962" w:type="dxa"/>
            <w:noWrap w:val="0"/>
            <w:vAlign w:val="center"/>
          </w:tcPr>
          <w:p>
            <w:pPr>
              <w:spacing w:line="0" w:lineRule="atLeast"/>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2182" w:type="dxa"/>
            <w:gridSpan w:val="2"/>
            <w:tcBorders>
              <w:right w:val="single" w:color="auto" w:sz="4" w:space="0"/>
            </w:tcBorders>
            <w:noWrap w:val="0"/>
            <w:vAlign w:val="center"/>
          </w:tcPr>
          <w:p>
            <w:pPr>
              <w:spacing w:line="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总价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c>
          <w:tcPr>
            <w:tcW w:w="6638" w:type="dxa"/>
            <w:gridSpan w:val="5"/>
            <w:tcBorders>
              <w:left w:val="single" w:color="auto" w:sz="4" w:space="0"/>
            </w:tcBorders>
            <w:noWrap w:val="0"/>
            <w:vAlign w:val="center"/>
          </w:tcPr>
          <w:p>
            <w:pPr>
              <w:spacing w:line="0" w:lineRule="atLeast"/>
              <w:jc w:val="both"/>
              <w:rPr>
                <w:rFonts w:hint="default"/>
                <w:color w:val="auto"/>
                <w:highlight w:val="none"/>
                <w:lang w:val="en-US" w:eastAsia="zh-CN"/>
              </w:rPr>
            </w:pPr>
            <w:r>
              <w:rPr>
                <w:rFonts w:hint="eastAsia"/>
                <w:color w:val="auto"/>
                <w:highlight w:val="none"/>
                <w:lang w:eastAsia="zh-CN"/>
              </w:rPr>
              <w:t>小写：</w:t>
            </w:r>
            <w:r>
              <w:rPr>
                <w:rFonts w:hint="eastAsia"/>
                <w:color w:val="auto"/>
                <w:highlight w:val="none"/>
                <w:u w:val="single"/>
                <w:lang w:val="en-US" w:eastAsia="zh-CN"/>
              </w:rPr>
              <w:t xml:space="preserve">               </w:t>
            </w:r>
          </w:p>
          <w:p>
            <w:pPr>
              <w:pStyle w:val="6"/>
              <w:ind w:left="0" w:leftChars="0" w:firstLine="0" w:firstLineChars="0"/>
              <w:rPr>
                <w:rFonts w:hint="default"/>
                <w:color w:val="auto"/>
                <w:highlight w:val="none"/>
                <w:lang w:val="en-US" w:eastAsia="zh-CN"/>
              </w:rPr>
            </w:pPr>
            <w:r>
              <w:rPr>
                <w:rFonts w:hint="eastAsia" w:ascii="宋体" w:hAnsi="宋体" w:eastAsia="宋体" w:cs="宋体"/>
                <w:color w:val="auto"/>
                <w:sz w:val="21"/>
                <w:szCs w:val="21"/>
                <w:highlight w:val="none"/>
                <w:lang w:eastAsia="zh-CN"/>
              </w:rPr>
              <w:t>大写：</w:t>
            </w:r>
            <w:r>
              <w:rPr>
                <w:rFonts w:hint="eastAsia"/>
                <w:color w:val="auto"/>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tc>
      </w:tr>
    </w:tbl>
    <w:p>
      <w:pPr>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p>
    <w:p>
      <w:pPr>
        <w:numPr>
          <w:ilvl w:val="0"/>
          <w:numId w:val="17"/>
        </w:numPr>
        <w:spacing w:line="360" w:lineRule="auto"/>
        <w:ind w:left="425" w:leftChars="0" w:hanging="425"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各项费用如已包含在其它费用中请注明“含”，若免费请注明“免”, 若没有请注明“无”。</w:t>
      </w:r>
    </w:p>
    <w:p>
      <w:pPr>
        <w:numPr>
          <w:ilvl w:val="0"/>
          <w:numId w:val="17"/>
        </w:numPr>
        <w:spacing w:line="360" w:lineRule="auto"/>
        <w:ind w:left="425" w:leftChars="0" w:hanging="425" w:firstLineChars="0"/>
        <w:outlineLvl w:val="1"/>
        <w:rPr>
          <w:rFonts w:hint="eastAsia" w:ascii="宋体" w:hAnsi="宋体" w:eastAsia="宋体" w:cs="宋体"/>
          <w:b/>
          <w:bCs/>
          <w:color w:val="auto"/>
          <w:szCs w:val="21"/>
          <w:highlight w:val="none"/>
        </w:rPr>
      </w:pPr>
      <w:bookmarkStart w:id="794" w:name="_Toc26161"/>
      <w:bookmarkStart w:id="795" w:name="_Toc27892"/>
      <w:bookmarkStart w:id="796" w:name="_Toc2583"/>
      <w:bookmarkStart w:id="797" w:name="_Toc26135"/>
      <w:bookmarkStart w:id="798" w:name="_Toc899"/>
      <w:bookmarkStart w:id="799" w:name="_Toc11337"/>
      <w:r>
        <w:rPr>
          <w:rFonts w:hint="eastAsia" w:ascii="宋体" w:hAnsi="宋体" w:eastAsia="宋体" w:cs="宋体"/>
          <w:color w:val="auto"/>
          <w:szCs w:val="21"/>
          <w:highlight w:val="none"/>
        </w:rPr>
        <w:t>此表中的</w:t>
      </w:r>
      <w:r>
        <w:rPr>
          <w:rFonts w:hint="eastAsia" w:ascii="宋体" w:hAnsi="宋体" w:eastAsia="宋体" w:cs="宋体"/>
          <w:color w:val="auto"/>
          <w:szCs w:val="21"/>
          <w:highlight w:val="none"/>
          <w:lang w:val="en-US" w:eastAsia="zh-CN"/>
        </w:rPr>
        <w:t>投标总价</w:t>
      </w:r>
      <w:r>
        <w:rPr>
          <w:rFonts w:hint="eastAsia" w:ascii="宋体" w:hAnsi="宋体" w:eastAsia="宋体" w:cs="宋体"/>
          <w:color w:val="auto"/>
          <w:szCs w:val="21"/>
          <w:highlight w:val="none"/>
        </w:rPr>
        <w:t>应与</w:t>
      </w:r>
      <w:r>
        <w:rPr>
          <w:rFonts w:hint="eastAsia" w:ascii="宋体" w:hAnsi="宋体" w:eastAsia="宋体" w:cs="宋体"/>
          <w:color w:val="auto"/>
          <w:szCs w:val="21"/>
          <w:highlight w:val="none"/>
          <w:lang w:eastAsia="zh-CN"/>
        </w:rPr>
        <w:t>“一、开标</w:t>
      </w:r>
      <w:r>
        <w:rPr>
          <w:rFonts w:hint="eastAsia" w:ascii="宋体" w:hAnsi="宋体" w:eastAsia="宋体" w:cs="宋体"/>
          <w:color w:val="auto"/>
          <w:szCs w:val="21"/>
          <w:highlight w:val="none"/>
        </w:rPr>
        <w:t>一览表”中</w:t>
      </w:r>
      <w:r>
        <w:rPr>
          <w:rFonts w:hint="eastAsia" w:ascii="宋体" w:hAnsi="宋体" w:eastAsia="宋体" w:cs="宋体"/>
          <w:color w:val="auto"/>
          <w:szCs w:val="21"/>
          <w:highlight w:val="none"/>
          <w:lang w:val="en-US" w:eastAsia="zh-CN"/>
        </w:rPr>
        <w:t>投标总价</w:t>
      </w:r>
      <w:r>
        <w:rPr>
          <w:rFonts w:hint="eastAsia" w:ascii="宋体" w:hAnsi="宋体" w:eastAsia="宋体" w:cs="宋体"/>
          <w:color w:val="auto"/>
          <w:szCs w:val="21"/>
          <w:highlight w:val="none"/>
        </w:rPr>
        <w:t>相一致。</w:t>
      </w:r>
      <w:bookmarkEnd w:id="794"/>
      <w:bookmarkEnd w:id="795"/>
      <w:bookmarkEnd w:id="796"/>
      <w:bookmarkEnd w:id="797"/>
      <w:bookmarkEnd w:id="798"/>
      <w:bookmarkEnd w:id="799"/>
    </w:p>
    <w:p>
      <w:pPr>
        <w:numPr>
          <w:ilvl w:val="0"/>
          <w:numId w:val="17"/>
        </w:numPr>
        <w:spacing w:line="360" w:lineRule="auto"/>
        <w:ind w:left="425" w:leftChars="0" w:hanging="425" w:firstLineChars="0"/>
        <w:outlineLvl w:val="1"/>
        <w:rPr>
          <w:rFonts w:hint="eastAsia" w:ascii="宋体" w:hAnsi="宋体" w:cs="宋体"/>
          <w:b/>
          <w:bCs w:val="0"/>
          <w:color w:val="auto"/>
          <w:sz w:val="28"/>
          <w:szCs w:val="36"/>
          <w:highlight w:val="none"/>
          <w:lang w:val="en-US" w:eastAsia="zh-CN"/>
        </w:rPr>
      </w:pPr>
      <w:bookmarkStart w:id="800" w:name="_Toc13203"/>
      <w:r>
        <w:rPr>
          <w:rFonts w:hint="eastAsia" w:ascii="宋体" w:hAnsi="宋体" w:eastAsia="宋体" w:cs="宋体"/>
          <w:b/>
          <w:bCs/>
          <w:color w:val="auto"/>
          <w:szCs w:val="21"/>
          <w:highlight w:val="none"/>
        </w:rPr>
        <w:t>▲不提供此表格将被视为没有实质性响应招标文件，其投标将被否决。</w:t>
      </w:r>
      <w:bookmarkEnd w:id="800"/>
    </w:p>
    <w:p>
      <w:pPr>
        <w:rPr>
          <w:rFonts w:hint="eastAsia" w:ascii="宋体" w:hAnsi="宋体" w:cs="宋体"/>
          <w:b/>
          <w:bCs w:val="0"/>
          <w:color w:val="auto"/>
          <w:sz w:val="28"/>
          <w:szCs w:val="36"/>
          <w:highlight w:val="none"/>
          <w:lang w:val="en-US" w:eastAsia="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lang w:val="en-US" w:eastAsia="zh-CN"/>
        </w:rPr>
        <w:sectPr>
          <w:headerReference r:id="rId21" w:type="default"/>
          <w:footerReference r:id="rId22" w:type="default"/>
          <w:pgSz w:w="11906" w:h="16838"/>
          <w:pgMar w:top="1134" w:right="1274" w:bottom="1020" w:left="1575" w:header="680" w:footer="68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bookmarkEnd w:id="783"/>
    <w:bookmarkEnd w:id="784"/>
    <w:p>
      <w:pPr>
        <w:keepNext w:val="0"/>
        <w:keepLines w:val="0"/>
        <w:pageBreakBefore w:val="0"/>
        <w:widowControl w:val="0"/>
        <w:kinsoku/>
        <w:wordWrap/>
        <w:overflowPunct/>
        <w:topLinePunct w:val="0"/>
        <w:bidi w:val="0"/>
        <w:adjustRightInd/>
        <w:snapToGrid/>
        <w:spacing w:before="157" w:beforeLines="50" w:after="120" w:line="400" w:lineRule="exact"/>
        <w:textAlignment w:val="auto"/>
        <w:rPr>
          <w:rFonts w:ascii="仿宋_GB2312" w:hAnsi="仿宋" w:eastAsia="仿宋_GB2312"/>
          <w:b/>
          <w:color w:val="auto"/>
          <w:spacing w:val="6"/>
          <w:sz w:val="32"/>
          <w:szCs w:val="32"/>
          <w:highlight w:val="none"/>
        </w:rPr>
      </w:pPr>
      <w:bookmarkStart w:id="801" w:name="_Toc15133"/>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1</w:t>
      </w:r>
      <w:r>
        <w:rPr>
          <w:rFonts w:ascii="仿宋_GB2312" w:hAnsi="仿宋" w:eastAsia="仿宋_GB2312"/>
          <w:b/>
          <w:color w:val="auto"/>
          <w:spacing w:val="6"/>
          <w:sz w:val="32"/>
          <w:szCs w:val="32"/>
          <w:highlight w:val="none"/>
        </w:rPr>
        <w:t>：质疑函范本及制作说明</w:t>
      </w:r>
      <w:bookmarkEnd w:id="801"/>
    </w:p>
    <w:p>
      <w:pPr>
        <w:shd w:val="clear" w:color="auto" w:fill="auto"/>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hd w:val="clear" w:color="auto" w:fill="auto"/>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hd w:val="clear" w:color="auto" w:fill="auto"/>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color="auto" w:fill="auto"/>
        <w:spacing w:line="360" w:lineRule="auto"/>
        <w:jc w:val="center"/>
        <w:rPr>
          <w:rFonts w:ascii="仿宋_GB2312" w:hAnsi="仿宋" w:eastAsia="仿宋_GB2312" w:cs="仿宋"/>
          <w:b/>
          <w:bCs/>
          <w:color w:val="auto"/>
          <w:sz w:val="24"/>
          <w:highlight w:val="none"/>
        </w:rPr>
      </w:pPr>
    </w:p>
    <w:p>
      <w:pPr>
        <w:shd w:val="clear" w:color="auto" w:fill="auto"/>
        <w:spacing w:line="360" w:lineRule="auto"/>
        <w:rPr>
          <w:rFonts w:ascii="仿宋_GB2312" w:hAnsi="仿宋" w:eastAsia="仿宋_GB2312"/>
          <w:b/>
          <w:color w:val="auto"/>
          <w:sz w:val="24"/>
          <w:highlight w:val="none"/>
        </w:rPr>
      </w:pPr>
    </w:p>
    <w:p>
      <w:pPr>
        <w:shd w:val="clear" w:color="auto" w:fill="auto"/>
        <w:spacing w:line="360" w:lineRule="auto"/>
        <w:rPr>
          <w:rFonts w:ascii="仿宋_GB2312" w:hAnsi="仿宋" w:eastAsia="仿宋_GB2312"/>
          <w:b/>
          <w:color w:val="auto"/>
          <w:sz w:val="24"/>
          <w:highlight w:val="none"/>
        </w:rPr>
      </w:pPr>
    </w:p>
    <w:p>
      <w:pPr>
        <w:shd w:val="clear" w:color="auto" w:fill="auto"/>
        <w:spacing w:line="360" w:lineRule="auto"/>
        <w:rPr>
          <w:rFonts w:ascii="仿宋_GB2312" w:hAnsi="仿宋" w:eastAsia="仿宋_GB2312"/>
          <w:b/>
          <w:color w:val="auto"/>
          <w:sz w:val="24"/>
          <w:highlight w:val="none"/>
        </w:rPr>
      </w:pPr>
    </w:p>
    <w:p>
      <w:pPr>
        <w:shd w:val="clear" w:color="auto" w:fill="auto"/>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hd w:val="clear" w:color="auto" w:fill="auto"/>
        <w:spacing w:line="360" w:lineRule="auto"/>
        <w:ind w:firstLine="600" w:firstLineChars="200"/>
        <w:jc w:val="left"/>
        <w:rPr>
          <w:rFonts w:ascii="仿宋_GB2312" w:hAnsi="仿宋" w:eastAsia="仿宋_GB2312"/>
          <w:color w:val="auto"/>
          <w:sz w:val="30"/>
          <w:szCs w:val="30"/>
          <w:highlight w:val="none"/>
        </w:rPr>
      </w:pPr>
    </w:p>
    <w:p>
      <w:pPr>
        <w:shd w:val="clear" w:color="auto" w:fill="auto"/>
        <w:spacing w:line="360" w:lineRule="auto"/>
        <w:jc w:val="center"/>
        <w:rPr>
          <w:rFonts w:ascii="仿宋_GB2312" w:hAnsi="仿宋" w:eastAsia="仿宋_GB2312"/>
          <w:b/>
          <w:color w:val="auto"/>
          <w:spacing w:val="6"/>
          <w:sz w:val="32"/>
          <w:szCs w:val="32"/>
          <w:highlight w:val="none"/>
        </w:rPr>
      </w:pPr>
    </w:p>
    <w:p>
      <w:pPr>
        <w:shd w:val="clear" w:color="auto" w:fill="auto"/>
        <w:spacing w:line="360" w:lineRule="auto"/>
        <w:jc w:val="center"/>
        <w:rPr>
          <w:rFonts w:ascii="仿宋_GB2312" w:hAnsi="仿宋" w:eastAsia="仿宋_GB2312"/>
          <w:b/>
          <w:color w:val="auto"/>
          <w:spacing w:val="6"/>
          <w:sz w:val="32"/>
          <w:szCs w:val="32"/>
          <w:highlight w:val="none"/>
        </w:rPr>
      </w:pPr>
    </w:p>
    <w:p>
      <w:pPr>
        <w:pStyle w:val="3"/>
        <w:keepNext w:val="0"/>
        <w:keepLines w:val="0"/>
        <w:pageBreakBefore/>
        <w:shd w:val="clear" w:color="auto" w:fill="auto"/>
        <w:tabs>
          <w:tab w:val="left" w:pos="840"/>
        </w:tabs>
        <w:spacing w:before="312" w:beforeLines="100" w:after="312" w:afterLines="100" w:line="400" w:lineRule="atLeast"/>
        <w:jc w:val="left"/>
        <w:rPr>
          <w:rFonts w:ascii="仿宋_GB2312" w:hAnsi="仿宋" w:eastAsia="仿宋_GB2312"/>
          <w:b/>
          <w:color w:val="auto"/>
          <w:spacing w:val="6"/>
          <w:sz w:val="32"/>
          <w:szCs w:val="32"/>
          <w:highlight w:val="none"/>
        </w:rPr>
      </w:pPr>
      <w:bookmarkStart w:id="802" w:name="_Toc26558"/>
      <w:bookmarkStart w:id="803" w:name="_Toc3431"/>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2</w:t>
      </w:r>
      <w:r>
        <w:rPr>
          <w:rFonts w:ascii="仿宋_GB2312" w:hAnsi="仿宋" w:eastAsia="仿宋_GB2312"/>
          <w:b/>
          <w:color w:val="auto"/>
          <w:spacing w:val="6"/>
          <w:sz w:val="32"/>
          <w:szCs w:val="32"/>
          <w:highlight w:val="none"/>
        </w:rPr>
        <w:t>：投诉书范本及制作说明</w:t>
      </w:r>
      <w:bookmarkEnd w:id="802"/>
      <w:bookmarkEnd w:id="803"/>
    </w:p>
    <w:p>
      <w:pPr>
        <w:shd w:val="clear" w:color="auto" w:fill="auto"/>
        <w:spacing w:line="360" w:lineRule="auto"/>
        <w:jc w:val="center"/>
        <w:rPr>
          <w:rFonts w:ascii="仿宋_GB2312" w:hAnsi="仿宋" w:eastAsia="仿宋_GB2312"/>
          <w:b/>
          <w:color w:val="auto"/>
          <w:sz w:val="24"/>
          <w:highlight w:val="none"/>
        </w:rPr>
      </w:pPr>
    </w:p>
    <w:p>
      <w:pPr>
        <w:shd w:val="clear" w:color="auto" w:fill="auto"/>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color="auto" w:fill="auto"/>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hd w:val="clear" w:color="auto" w:fill="auto"/>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color="auto" w:fill="auto"/>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color="auto" w:fill="auto"/>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color="auto" w:fill="auto"/>
        <w:spacing w:line="360" w:lineRule="auto"/>
        <w:rPr>
          <w:rFonts w:ascii="仿宋_GB2312" w:hAnsi="仿宋" w:eastAsia="仿宋_GB2312"/>
          <w:b/>
          <w:color w:val="auto"/>
          <w:sz w:val="24"/>
          <w:highlight w:val="none"/>
        </w:rPr>
      </w:pPr>
    </w:p>
    <w:p>
      <w:pPr>
        <w:shd w:val="clear" w:color="auto" w:fill="auto"/>
        <w:spacing w:line="360" w:lineRule="auto"/>
        <w:rPr>
          <w:rFonts w:ascii="仿宋_GB2312" w:hAnsi="仿宋" w:eastAsia="仿宋_GB2312"/>
          <w:b/>
          <w:color w:val="auto"/>
          <w:sz w:val="24"/>
          <w:highlight w:val="none"/>
        </w:rPr>
      </w:pPr>
    </w:p>
    <w:p>
      <w:pPr>
        <w:shd w:val="clear" w:color="auto" w:fill="auto"/>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hd w:val="clear" w:color="auto" w:fill="auto"/>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hd w:val="clear" w:color="auto" w:fill="auto"/>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3"/>
        <w:keepNext w:val="0"/>
        <w:keepLines w:val="0"/>
        <w:pageBreakBefore/>
        <w:shd w:val="clear" w:color="auto" w:fill="auto"/>
        <w:tabs>
          <w:tab w:val="left" w:pos="840"/>
        </w:tabs>
        <w:spacing w:before="312" w:beforeLines="100" w:after="312" w:afterLines="100" w:line="400" w:lineRule="atLeast"/>
        <w:jc w:val="center"/>
        <w:rPr>
          <w:rFonts w:hint="eastAsia" w:ascii="仿宋_GB2312" w:hAnsi="仿宋" w:eastAsia="仿宋_GB2312" w:cs="Times New Roman"/>
          <w:b/>
          <w:color w:val="auto"/>
          <w:spacing w:val="6"/>
          <w:sz w:val="32"/>
          <w:szCs w:val="32"/>
          <w:highlight w:val="none"/>
          <w:lang w:val="en-US" w:eastAsia="zh-CN"/>
        </w:rPr>
      </w:pPr>
      <w:bookmarkStart w:id="804" w:name="_Toc27709"/>
      <w:bookmarkStart w:id="805" w:name="_Toc20873"/>
      <w:r>
        <w:rPr>
          <w:rFonts w:hint="eastAsia" w:ascii="仿宋_GB2312" w:hAnsi="仿宋" w:eastAsia="仿宋_GB2312" w:cs="Times New Roman"/>
          <w:b/>
          <w:color w:val="auto"/>
          <w:spacing w:val="6"/>
          <w:sz w:val="32"/>
          <w:szCs w:val="32"/>
          <w:highlight w:val="none"/>
        </w:rPr>
        <w:t>附件</w:t>
      </w:r>
      <w:r>
        <w:rPr>
          <w:rFonts w:hint="eastAsia" w:ascii="仿宋_GB2312" w:hAnsi="仿宋" w:eastAsia="仿宋_GB2312" w:cs="Times New Roman"/>
          <w:b/>
          <w:color w:val="auto"/>
          <w:spacing w:val="6"/>
          <w:sz w:val="32"/>
          <w:szCs w:val="32"/>
          <w:highlight w:val="none"/>
          <w:lang w:val="en-US" w:eastAsia="zh-CN"/>
        </w:rPr>
        <w:t>3</w:t>
      </w:r>
      <w:r>
        <w:rPr>
          <w:rFonts w:hint="eastAsia" w:ascii="仿宋_GB2312" w:hAnsi="仿宋" w:eastAsia="仿宋_GB2312" w:cs="Times New Roman"/>
          <w:b/>
          <w:color w:val="auto"/>
          <w:spacing w:val="6"/>
          <w:sz w:val="32"/>
          <w:szCs w:val="32"/>
          <w:highlight w:val="none"/>
        </w:rPr>
        <w:t>：</w:t>
      </w:r>
      <w:r>
        <w:rPr>
          <w:rFonts w:hint="eastAsia" w:ascii="仿宋_GB2312" w:hAnsi="仿宋" w:eastAsia="仿宋_GB2312" w:cs="Times New Roman"/>
          <w:b/>
          <w:color w:val="auto"/>
          <w:spacing w:val="6"/>
          <w:sz w:val="32"/>
          <w:szCs w:val="32"/>
          <w:highlight w:val="none"/>
          <w:lang w:val="en-US" w:eastAsia="zh-CN"/>
        </w:rPr>
        <w:t>政府采购活动现场确认声明书</w:t>
      </w:r>
      <w:bookmarkEnd w:id="804"/>
      <w:bookmarkEnd w:id="805"/>
    </w:p>
    <w:p>
      <w:pPr>
        <w:pStyle w:val="10"/>
        <w:shd w:val="clear" w:color="auto" w:fill="auto"/>
        <w:snapToGrid w:val="0"/>
        <w:spacing w:beforeLines="0" w:afterLines="0" w:line="420" w:lineRule="exact"/>
        <w:rPr>
          <w:rFonts w:hint="eastAsia" w:ascii="仿宋" w:hAnsi="仿宋" w:eastAsia="仿宋" w:cs="仿宋"/>
          <w:b/>
          <w:color w:val="auto"/>
          <w:sz w:val="24"/>
          <w:szCs w:val="24"/>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采购人、采购代理机构   </w:t>
      </w:r>
      <w:r>
        <w:rPr>
          <w:rFonts w:hint="eastAsia" w:ascii="仿宋" w:hAnsi="仿宋" w:eastAsia="仿宋" w:cs="仿宋"/>
          <w:color w:val="auto"/>
          <w:sz w:val="24"/>
          <w:szCs w:val="24"/>
          <w:highlight w:val="none"/>
        </w:rPr>
        <w:t>：</w:t>
      </w:r>
    </w:p>
    <w:p>
      <w:pPr>
        <w:pStyle w:val="10"/>
        <w:shd w:val="clear" w:color="auto" w:fill="auto"/>
        <w:snapToGrid w:val="0"/>
        <w:spacing w:before="0" w:beforeLines="0" w:after="0" w:afterLines="0" w:line="4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）政府采购活动，经与本单位法人代表（负责人）联系确认，现就有关公平竞争事项郑重声明如下：</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一、本单位与采购人之间□不存在利害关系□存在下列利害关系：</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b/>
          <w:bCs/>
          <w:color w:val="auto"/>
          <w:sz w:val="24"/>
          <w:szCs w:val="24"/>
          <w:highlight w:val="none"/>
        </w:rPr>
      </w:pPr>
      <w:bookmarkStart w:id="806" w:name="_Toc27231"/>
      <w:bookmarkStart w:id="807" w:name="_Toc17468"/>
      <w:bookmarkStart w:id="808" w:name="_Toc12112"/>
      <w:bookmarkStart w:id="809" w:name="_Toc15373"/>
      <w:bookmarkStart w:id="810" w:name="_Toc6003"/>
      <w:r>
        <w:rPr>
          <w:rFonts w:hint="eastAsia" w:ascii="仿宋" w:hAnsi="仿宋" w:eastAsia="仿宋" w:cs="仿宋"/>
          <w:color w:val="auto"/>
          <w:sz w:val="24"/>
          <w:szCs w:val="24"/>
          <w:highlight w:val="none"/>
        </w:rPr>
        <w:t>A.投资关系    B.行政隶属关系    C.业务指导关系</w:t>
      </w:r>
      <w:bookmarkEnd w:id="806"/>
      <w:bookmarkEnd w:id="807"/>
      <w:bookmarkEnd w:id="808"/>
      <w:bookmarkEnd w:id="809"/>
      <w:bookmarkEnd w:id="810"/>
    </w:p>
    <w:p>
      <w:pPr>
        <w:shd w:val="clear" w:color="auto" w:fill="auto"/>
        <w:snapToGrid w:val="0"/>
        <w:spacing w:beforeLines="0" w:afterLines="0" w:line="420" w:lineRule="exact"/>
        <w:ind w:firstLine="480" w:firstLineChars="200"/>
        <w:rPr>
          <w:rFonts w:hint="eastAsia" w:ascii="仿宋" w:hAnsi="仿宋" w:eastAsia="仿宋" w:cs="仿宋"/>
          <w:color w:val="auto"/>
          <w:sz w:val="24"/>
          <w:szCs w:val="24"/>
          <w:highlight w:val="none"/>
        </w:rPr>
      </w:pPr>
      <w:bookmarkStart w:id="811" w:name="_Toc19012"/>
      <w:bookmarkStart w:id="812" w:name="_Toc24424"/>
      <w:bookmarkStart w:id="813" w:name="_Toc4044"/>
      <w:bookmarkStart w:id="814" w:name="_Toc28394"/>
      <w:bookmarkStart w:id="815" w:name="_Toc9171"/>
      <w:r>
        <w:rPr>
          <w:rFonts w:hint="eastAsia" w:ascii="仿宋" w:hAnsi="仿宋" w:eastAsia="仿宋" w:cs="仿宋"/>
          <w:color w:val="auto"/>
          <w:sz w:val="24"/>
          <w:szCs w:val="24"/>
          <w:highlight w:val="none"/>
        </w:rPr>
        <w:t>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rPr>
        <w:t>。</w:t>
      </w:r>
      <w:bookmarkEnd w:id="811"/>
      <w:bookmarkEnd w:id="812"/>
      <w:bookmarkEnd w:id="813"/>
      <w:bookmarkEnd w:id="814"/>
      <w:bookmarkEnd w:id="815"/>
    </w:p>
    <w:p>
      <w:pPr>
        <w:shd w:val="clear" w:color="auto" w:fill="auto"/>
        <w:snapToGrid w:val="0"/>
        <w:spacing w:beforeLines="0" w:afterLines="0" w:line="420" w:lineRule="exact"/>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sz w:val="24"/>
          <w:szCs w:val="24"/>
          <w:highlight w:val="none"/>
        </w:rPr>
        <w:t>现已清楚知道参加本项目采购活动的其他所有投标人名称，本单位□与其他所有投标人之间均不存在利害关系  □与</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之间存在下列利害关系：</w:t>
      </w:r>
    </w:p>
    <w:p>
      <w:pPr>
        <w:shd w:val="clear" w:color="auto" w:fill="auto"/>
        <w:snapToGrid w:val="0"/>
        <w:spacing w:beforeLines="0" w:afterLines="0"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A.法定代表人或负责人或实际控制人是同一人</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10"/>
        <w:shd w:val="clear" w:color="auto" w:fill="auto"/>
        <w:snapToGrid w:val="0"/>
        <w:spacing w:before="0" w:beforeLines="0" w:after="0" w:afterLines="0" w:line="42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C.法定代表人或负责人或实际控制人是直系血亲关系</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pPr>
        <w:pStyle w:val="10"/>
        <w:shd w:val="clear" w:color="auto" w:fill="auto"/>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H.存在分级代理或代销关系、同一生产制造商关系、管理关系、重要业务（占</w:t>
      </w:r>
      <w:r>
        <w:rPr>
          <w:rFonts w:hint="eastAsia" w:ascii="仿宋" w:hAnsi="仿宋" w:eastAsia="仿宋" w:cs="仿宋"/>
          <w:color w:val="auto"/>
          <w:sz w:val="24"/>
          <w:szCs w:val="24"/>
          <w:highlight w:val="none"/>
        </w:rPr>
        <w:t>主营业务收入50%以上）或重要财务往来关系（如融资）等其他实质性控制关系</w:t>
      </w:r>
    </w:p>
    <w:p>
      <w:pPr>
        <w:pStyle w:val="10"/>
        <w:shd w:val="clear" w:color="auto" w:fill="auto"/>
        <w:snapToGrid w:val="0"/>
        <w:spacing w:before="0" w:beforeLines="0" w:after="0" w:afterLines="0" w:line="420" w:lineRule="exact"/>
        <w:ind w:left="-190" w:firstLine="691" w:firstLineChars="288"/>
        <w:rPr>
          <w:rFonts w:hint="eastAsia" w:ascii="仿宋" w:hAnsi="仿宋" w:eastAsia="仿宋" w:cs="仿宋"/>
          <w:color w:val="auto"/>
          <w:kern w:val="0"/>
          <w:sz w:val="24"/>
          <w:szCs w:val="24"/>
          <w:highlight w:val="none"/>
        </w:rPr>
      </w:pPr>
      <w:bookmarkStart w:id="816" w:name="_Toc24972"/>
      <w:bookmarkStart w:id="817" w:name="_Toc21051"/>
      <w:bookmarkStart w:id="818" w:name="_Toc3905"/>
      <w:bookmarkStart w:id="819" w:name="_Toc19277"/>
      <w:bookmarkStart w:id="820" w:name="_Toc23144"/>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bookmarkEnd w:id="816"/>
      <w:bookmarkEnd w:id="817"/>
      <w:bookmarkEnd w:id="818"/>
      <w:bookmarkEnd w:id="819"/>
      <w:bookmarkEnd w:id="820"/>
    </w:p>
    <w:p>
      <w:pPr>
        <w:pStyle w:val="10"/>
        <w:numPr>
          <w:ilvl w:val="0"/>
          <w:numId w:val="0"/>
        </w:numPr>
        <w:shd w:val="clear" w:color="auto" w:fill="auto"/>
        <w:tabs>
          <w:tab w:val="left" w:pos="210"/>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现已清楚知道并严格遵守政府采购法律法规和现场纪律。</w:t>
      </w:r>
    </w:p>
    <w:p>
      <w:pPr>
        <w:numPr>
          <w:ilvl w:val="0"/>
          <w:numId w:val="0"/>
        </w:numPr>
        <w:shd w:val="clear" w:color="auto" w:fill="auto"/>
        <w:tabs>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pStyle w:val="9"/>
        <w:shd w:val="clear" w:color="auto" w:fill="auto"/>
        <w:spacing w:beforeLines="0" w:afterLines="0"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 xml:space="preserve"> </w:t>
      </w:r>
    </w:p>
    <w:p>
      <w:pPr>
        <w:pStyle w:val="9"/>
        <w:shd w:val="clear" w:color="auto" w:fill="auto"/>
        <w:spacing w:beforeLines="0" w:afterLines="0" w:line="360" w:lineRule="auto"/>
        <w:ind w:left="0" w:right="-252" w:firstLine="0" w:firstLineChars="0"/>
        <w:jc w:val="both"/>
        <w:rPr>
          <w:rFonts w:hint="eastAsia" w:ascii="仿宋" w:hAnsi="仿宋" w:eastAsia="仿宋" w:cs="仿宋"/>
          <w:color w:val="auto"/>
          <w:sz w:val="24"/>
          <w:szCs w:val="24"/>
          <w:highlight w:val="none"/>
          <w:u w:val="single"/>
          <w:lang w:val="en-US" w:eastAsia="zh-CN" w:bidi="ar"/>
        </w:rPr>
      </w:pPr>
      <w:r>
        <w:rPr>
          <w:rFonts w:hint="eastAsia" w:ascii="仿宋" w:hAnsi="仿宋" w:eastAsia="仿宋" w:cs="仿宋"/>
          <w:color w:val="auto"/>
          <w:sz w:val="24"/>
          <w:szCs w:val="24"/>
          <w:highlight w:val="none"/>
          <w:lang w:val="en-US" w:eastAsia="zh-CN" w:bidi="ar"/>
        </w:rPr>
        <w:t xml:space="preserve">                 供应商</w:t>
      </w:r>
      <w:r>
        <w:rPr>
          <w:rFonts w:hint="eastAsia" w:ascii="仿宋" w:hAnsi="仿宋" w:eastAsia="仿宋" w:cs="仿宋"/>
          <w:color w:val="auto"/>
          <w:sz w:val="24"/>
          <w:szCs w:val="24"/>
          <w:highlight w:val="none"/>
          <w:lang w:bidi="ar"/>
        </w:rPr>
        <w:t>全称：</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bidi="ar"/>
        </w:rPr>
        <w:t>（盖公章</w:t>
      </w:r>
      <w:r>
        <w:rPr>
          <w:rFonts w:hint="eastAsia" w:ascii="仿宋" w:hAnsi="仿宋" w:eastAsia="仿宋" w:cs="仿宋"/>
          <w:color w:val="auto"/>
          <w:sz w:val="24"/>
          <w:szCs w:val="24"/>
          <w:highlight w:val="none"/>
          <w:u w:val="single"/>
          <w:lang w:eastAsia="zh-CN" w:bidi="ar"/>
        </w:rPr>
        <w:t>）</w:t>
      </w:r>
      <w:r>
        <w:rPr>
          <w:rFonts w:hint="eastAsia" w:ascii="仿宋" w:hAnsi="仿宋" w:eastAsia="仿宋" w:cs="仿宋"/>
          <w:color w:val="auto"/>
          <w:sz w:val="24"/>
          <w:szCs w:val="24"/>
          <w:highlight w:val="none"/>
          <w:u w:val="single"/>
          <w:lang w:val="en-US" w:eastAsia="zh-CN" w:bidi="ar"/>
        </w:rPr>
        <w:t xml:space="preserve"> </w:t>
      </w:r>
    </w:p>
    <w:p>
      <w:pPr>
        <w:pStyle w:val="9"/>
        <w:shd w:val="clear" w:color="auto" w:fill="auto"/>
        <w:spacing w:beforeLines="0" w:afterLines="0" w:line="360" w:lineRule="auto"/>
        <w:ind w:right="-252" w:firstLine="3120" w:firstLineChars="130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供应商</w:t>
      </w:r>
      <w:r>
        <w:rPr>
          <w:rFonts w:hint="eastAsia" w:ascii="仿宋" w:hAnsi="仿宋" w:eastAsia="仿宋" w:cs="仿宋"/>
          <w:color w:val="auto"/>
          <w:sz w:val="24"/>
          <w:szCs w:val="24"/>
          <w:highlight w:val="none"/>
          <w:lang w:bidi="ar"/>
        </w:rPr>
        <w:t>代表签名：</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lang w:val="en-US" w:eastAsia="zh-CN" w:bidi="ar"/>
        </w:rPr>
        <w:t xml:space="preserve">            </w:t>
      </w:r>
    </w:p>
    <w:p>
      <w:pPr>
        <w:pStyle w:val="9"/>
        <w:shd w:val="clear" w:color="auto" w:fill="auto"/>
        <w:spacing w:beforeLines="0" w:afterLines="0" w:line="240" w:lineRule="auto"/>
        <w:ind w:firstLine="2160" w:firstLineChars="900"/>
        <w:jc w:val="both"/>
        <w:rPr>
          <w:rFonts w:hint="eastAsia" w:hAnsi="宋体" w:cs="宋体"/>
          <w:bCs/>
          <w:color w:val="auto"/>
          <w:sz w:val="24"/>
          <w:szCs w:val="24"/>
          <w:highlight w:val="none"/>
        </w:rPr>
      </w:pP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年</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月</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日</w:t>
      </w:r>
      <w:r>
        <w:rPr>
          <w:rFonts w:hint="eastAsia" w:hAnsi="宋体" w:cs="宋体"/>
          <w:bCs/>
          <w:color w:val="auto"/>
          <w:sz w:val="24"/>
          <w:szCs w:val="24"/>
          <w:highlight w:val="none"/>
        </w:rPr>
        <w:t xml:space="preserve"> </w:t>
      </w:r>
    </w:p>
    <w:p>
      <w:pPr>
        <w:pStyle w:val="3"/>
        <w:keepNext w:val="0"/>
        <w:keepLines w:val="0"/>
        <w:pageBreakBefore/>
        <w:shd w:val="clear" w:color="auto" w:fill="auto"/>
        <w:tabs>
          <w:tab w:val="left" w:pos="840"/>
        </w:tabs>
        <w:spacing w:before="312" w:beforeLines="100" w:after="312" w:afterLines="100" w:line="400" w:lineRule="atLeast"/>
        <w:jc w:val="center"/>
        <w:rPr>
          <w:rFonts w:hint="eastAsia" w:ascii="仿宋_GB2312" w:hAnsi="仿宋" w:eastAsia="仿宋_GB2312" w:cs="Times New Roman"/>
          <w:b/>
          <w:color w:val="auto"/>
          <w:spacing w:val="6"/>
          <w:sz w:val="32"/>
          <w:szCs w:val="32"/>
          <w:highlight w:val="none"/>
          <w:lang w:val="en-US" w:eastAsia="zh-CN"/>
        </w:rPr>
      </w:pPr>
      <w:bookmarkStart w:id="821" w:name="_Toc11012"/>
      <w:bookmarkStart w:id="822" w:name="_Toc28213"/>
      <w:r>
        <w:rPr>
          <w:rFonts w:hint="eastAsia" w:ascii="仿宋_GB2312" w:hAnsi="仿宋" w:eastAsia="仿宋_GB2312" w:cs="Times New Roman"/>
          <w:b/>
          <w:color w:val="auto"/>
          <w:spacing w:val="6"/>
          <w:sz w:val="32"/>
          <w:szCs w:val="32"/>
          <w:highlight w:val="none"/>
        </w:rPr>
        <w:t>附件</w:t>
      </w:r>
      <w:r>
        <w:rPr>
          <w:rFonts w:hint="eastAsia" w:ascii="仿宋_GB2312" w:hAnsi="仿宋" w:eastAsia="仿宋_GB2312" w:cs="Times New Roman"/>
          <w:b/>
          <w:color w:val="auto"/>
          <w:spacing w:val="6"/>
          <w:sz w:val="32"/>
          <w:szCs w:val="32"/>
          <w:highlight w:val="none"/>
          <w:lang w:val="en-US" w:eastAsia="zh-CN"/>
        </w:rPr>
        <w:t>4</w:t>
      </w:r>
      <w:r>
        <w:rPr>
          <w:rFonts w:hint="eastAsia" w:ascii="仿宋_GB2312" w:hAnsi="仿宋" w:eastAsia="仿宋_GB2312" w:cs="Times New Roman"/>
          <w:b/>
          <w:color w:val="auto"/>
          <w:spacing w:val="6"/>
          <w:sz w:val="32"/>
          <w:szCs w:val="32"/>
          <w:highlight w:val="none"/>
        </w:rPr>
        <w:t>：</w:t>
      </w:r>
      <w:r>
        <w:rPr>
          <w:rFonts w:hint="eastAsia" w:ascii="仿宋_GB2312" w:hAnsi="仿宋" w:eastAsia="仿宋_GB2312" w:cs="Times New Roman"/>
          <w:b/>
          <w:color w:val="auto"/>
          <w:spacing w:val="6"/>
          <w:sz w:val="32"/>
          <w:szCs w:val="32"/>
          <w:highlight w:val="none"/>
          <w:lang w:val="en-US" w:eastAsia="zh-CN"/>
        </w:rPr>
        <w:t>政府采购履约验收书</w:t>
      </w:r>
      <w:bookmarkEnd w:id="821"/>
      <w:r>
        <w:rPr>
          <w:rFonts w:hint="eastAsia" w:ascii="仿宋_GB2312" w:hAnsi="仿宋" w:eastAsia="仿宋_GB2312" w:cs="Times New Roman"/>
          <w:b/>
          <w:color w:val="auto"/>
          <w:spacing w:val="6"/>
          <w:sz w:val="32"/>
          <w:szCs w:val="32"/>
          <w:highlight w:val="none"/>
          <w:lang w:val="en-US" w:eastAsia="zh-CN"/>
        </w:rPr>
        <w:t>（参考模板）</w:t>
      </w:r>
      <w:bookmarkEnd w:id="822"/>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55" w:firstLineChars="207"/>
        <w:jc w:val="left"/>
        <w:textAlignment w:val="auto"/>
        <w:rPr>
          <w:rFonts w:hint="eastAsia"/>
          <w:lang w:val="en-US" w:eastAsia="zh-CN"/>
        </w:rPr>
      </w:pPr>
      <w:r>
        <w:rPr>
          <w:rFonts w:hint="eastAsia" w:ascii="宋体" w:hAnsi="宋体" w:eastAsia="宋体" w:cs="宋体"/>
          <w:color w:val="auto"/>
          <w:kern w:val="0"/>
          <w:sz w:val="22"/>
          <w:szCs w:val="22"/>
          <w:highlight w:val="none"/>
        </w:rPr>
        <w:t>根据政府采购项目（</w:t>
      </w:r>
      <w:r>
        <w:rPr>
          <w:rFonts w:hint="eastAsia" w:ascii="宋体" w:hAnsi="宋体" w:eastAsia="宋体" w:cs="宋体"/>
          <w:color w:val="auto"/>
          <w:kern w:val="0"/>
          <w:sz w:val="22"/>
          <w:szCs w:val="22"/>
          <w:highlight w:val="none"/>
          <w:u w:val="single"/>
        </w:rPr>
        <w:t>采购合同编号：</w:t>
      </w:r>
      <w:r>
        <w:rPr>
          <w:rFonts w:hint="eastAsia" w:ascii="宋体" w:hAnsi="宋体" w:eastAsia="宋体" w:cs="宋体"/>
          <w:color w:val="auto"/>
          <w:kern w:val="0"/>
          <w:sz w:val="22"/>
          <w:szCs w:val="22"/>
          <w:highlight w:val="none"/>
          <w:u w:val="single"/>
        </w:rPr>
        <w:softHyphen/>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）的约定，我单位对（</w:t>
      </w:r>
      <w:r>
        <w:rPr>
          <w:rFonts w:hint="eastAsia" w:ascii="宋体" w:hAnsi="宋体" w:eastAsia="宋体" w:cs="宋体"/>
          <w:color w:val="auto"/>
          <w:kern w:val="0"/>
          <w:sz w:val="22"/>
          <w:szCs w:val="22"/>
          <w:highlight w:val="none"/>
          <w:u w:val="single"/>
        </w:rPr>
        <w:t xml:space="preserve">  项目名称   </w:t>
      </w:r>
      <w:r>
        <w:rPr>
          <w:rFonts w:hint="eastAsia" w:ascii="宋体" w:hAnsi="宋体" w:eastAsia="宋体" w:cs="宋体"/>
          <w:color w:val="auto"/>
          <w:kern w:val="0"/>
          <w:sz w:val="22"/>
          <w:szCs w:val="22"/>
          <w:highlight w:val="none"/>
        </w:rPr>
        <w:t>）政府采购项目中标（或成交）供应商（</w:t>
      </w:r>
      <w:r>
        <w:rPr>
          <w:rFonts w:hint="eastAsia" w:ascii="宋体" w:hAnsi="宋体" w:eastAsia="宋体" w:cs="宋体"/>
          <w:color w:val="auto"/>
          <w:kern w:val="0"/>
          <w:sz w:val="22"/>
          <w:szCs w:val="22"/>
          <w:highlight w:val="none"/>
          <w:u w:val="single"/>
        </w:rPr>
        <w:t xml:space="preserve">            公司名称              </w:t>
      </w:r>
      <w:r>
        <w:rPr>
          <w:rFonts w:hint="eastAsia" w:ascii="宋体" w:hAnsi="宋体" w:eastAsia="宋体" w:cs="宋体"/>
          <w:color w:val="auto"/>
          <w:kern w:val="0"/>
          <w:sz w:val="22"/>
          <w:szCs w:val="22"/>
          <w:highlight w:val="none"/>
        </w:rPr>
        <w:t>）提供的货物、服务（或政府采购工程）进行了验收，验收情况如下：</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6"/>
        <w:gridCol w:w="826"/>
        <w:gridCol w:w="995"/>
        <w:gridCol w:w="33"/>
        <w:gridCol w:w="891"/>
        <w:gridCol w:w="118"/>
        <w:gridCol w:w="661"/>
        <w:gridCol w:w="341"/>
        <w:gridCol w:w="63"/>
        <w:gridCol w:w="1321"/>
        <w:gridCol w:w="533"/>
        <w:gridCol w:w="440"/>
        <w:gridCol w:w="456"/>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□一次性验收/□分段验收/□分期验收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 w:firstLineChars="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napToGrid w:val="0"/>
              <w:spacing w:before="100" w:beforeAutospacing="1" w:after="100" w:afterAutospacing="1" w:line="360" w:lineRule="exact"/>
              <w:ind w:firstLine="39" w:firstLineChars="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人员、设备</w:t>
            </w:r>
          </w:p>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color="auto" w:fill="auto"/>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w:t>
            </w:r>
          </w:p>
          <w:p>
            <w:pPr>
              <w:shd w:val="clear" w:color="auto" w:fill="auto"/>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noWrap w:val="0"/>
            <w:vAlign w:val="center"/>
          </w:tcPr>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  □合  格        □不合格</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其他需要说明的事项：</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hd w:val="clear" w:color="auto" w:fill="auto"/>
              <w:spacing w:line="360" w:lineRule="exact"/>
              <w:jc w:val="left"/>
              <w:rPr>
                <w:rFonts w:hint="eastAsia" w:ascii="宋体" w:hAnsi="宋体" w:eastAsia="宋体" w:cs="宋体"/>
                <w:color w:val="auto"/>
                <w:sz w:val="21"/>
                <w:szCs w:val="21"/>
                <w:highlight w:val="none"/>
              </w:rPr>
            </w:pPr>
          </w:p>
        </w:tc>
        <w:tc>
          <w:tcPr>
            <w:tcW w:w="6747" w:type="dxa"/>
            <w:gridSpan w:val="12"/>
            <w:tcBorders>
              <w:top w:val="single" w:color="auto" w:sz="4" w:space="0"/>
              <w:left w:val="single" w:color="auto" w:sz="8" w:space="0"/>
              <w:bottom w:val="single" w:color="auto" w:sz="8" w:space="0"/>
              <w:right w:val="single" w:color="auto" w:sz="8" w:space="0"/>
            </w:tcBorders>
            <w:noWrap w:val="0"/>
            <w:vAlign w:val="center"/>
          </w:tcPr>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spacing w:before="100" w:beforeAutospacing="1" w:after="100" w:afterAutospacing="1" w:line="360" w:lineRule="exact"/>
              <w:ind w:firstLine="4515" w:firstLineChars="2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770"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采购人意见：</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     负责人：      （盖章）</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noWrap w:val="0"/>
            <w:vAlign w:val="center"/>
          </w:tcPr>
          <w:p>
            <w:pPr>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w:t>
            </w: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pPr>
              <w:shd w:val="clear" w:color="auto" w:fill="auto"/>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供应商盖章或授权代表签字：</w:t>
            </w:r>
          </w:p>
          <w:p>
            <w:pPr>
              <w:shd w:val="clear" w:color="auto" w:fill="auto"/>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w:t>
            </w:r>
          </w:p>
          <w:p>
            <w:pPr>
              <w:shd w:val="clear" w:color="auto" w:fill="auto"/>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shd w:val="clear" w:color="auto" w:fill="auto"/>
        <w:ind w:firstLine="105" w:firstLineChars="50"/>
        <w:rPr>
          <w:rFonts w:hint="eastAsia" w:ascii="宋体" w:hAnsi="宋体" w:eastAsia="宋体" w:cs="宋体"/>
          <w:color w:val="auto"/>
          <w:sz w:val="21"/>
          <w:szCs w:val="21"/>
          <w:highlight w:val="none"/>
        </w:rPr>
      </w:pPr>
    </w:p>
    <w:p>
      <w:pPr>
        <w:spacing w:line="24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8"/>
        </w:numPr>
        <w:spacing w:line="24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该表为履约验收书的综合性参考模板，</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可以根据工作实际进行调整。</w:t>
      </w:r>
    </w:p>
    <w:p>
      <w:pPr>
        <w:numPr>
          <w:ilvl w:val="0"/>
          <w:numId w:val="18"/>
        </w:numPr>
        <w:spacing w:line="240" w:lineRule="auto"/>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采购人按照合同规定的技术、服务、安全标准，组织对供应商履约情况进行验收，并出具验收书。验收报告应当包括每一项技术、服务、安全标准履约情况。</w:t>
      </w:r>
    </w:p>
    <w:p>
      <w:pPr>
        <w:numPr>
          <w:ilvl w:val="0"/>
          <w:numId w:val="18"/>
        </w:numPr>
        <w:tabs>
          <w:tab w:val="left" w:pos="360"/>
        </w:tabs>
        <w:spacing w:line="240" w:lineRule="auto"/>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向社会公众提供的公共服务项目，验收时应当邀请服务对象参与并出具意见，验收结果应当向社会公告。</w:t>
      </w:r>
    </w:p>
    <w:p>
      <w:pPr>
        <w:shd w:val="clear" w:color="auto" w:fill="auto"/>
        <w:tabs>
          <w:tab w:val="left" w:pos="432"/>
        </w:tabs>
        <w:outlineLvl w:val="9"/>
        <w:rPr>
          <w:color w:val="auto"/>
          <w:highlight w:val="none"/>
        </w:rPr>
      </w:pPr>
    </w:p>
    <w:p>
      <w:pPr>
        <w:widowControl/>
        <w:shd w:val="clear" w:color="auto" w:fill="auto"/>
        <w:spacing w:line="360" w:lineRule="auto"/>
        <w:ind w:firstLine="480" w:firstLineChars="200"/>
        <w:jc w:val="left"/>
        <w:rPr>
          <w:rFonts w:ascii="仿宋_GB2312" w:hAnsi="仿宋" w:eastAsia="仿宋_GB2312" w:cs="宋体"/>
          <w:color w:val="auto"/>
          <w:kern w:val="0"/>
          <w:sz w:val="24"/>
          <w:highlight w:val="none"/>
        </w:rPr>
      </w:pPr>
    </w:p>
    <w:p>
      <w:pPr>
        <w:shd w:val="clear" w:color="auto" w:fill="auto"/>
        <w:spacing w:line="360" w:lineRule="auto"/>
        <w:rPr>
          <w:rFonts w:ascii="仿宋_GB2312" w:hAnsi="仿宋" w:eastAsia="仿宋_GB2312" w:cs="仿宋_GB2312"/>
          <w:b/>
          <w:color w:val="auto"/>
          <w:sz w:val="24"/>
          <w:highlight w:val="none"/>
        </w:rPr>
      </w:pPr>
    </w:p>
    <w:bookmarkEnd w:id="27"/>
    <w:bookmarkEnd w:id="28"/>
    <w:bookmarkEnd w:id="29"/>
    <w:bookmarkEnd w:id="30"/>
    <w:bookmarkEnd w:id="31"/>
    <w:bookmarkEnd w:id="680"/>
    <w:bookmarkEnd w:id="681"/>
    <w:bookmarkEnd w:id="687"/>
    <w:bookmarkEnd w:id="688"/>
    <w:bookmarkEnd w:id="689"/>
    <w:bookmarkEnd w:id="711"/>
    <w:bookmarkEnd w:id="712"/>
    <w:bookmarkEnd w:id="713"/>
    <w:bookmarkEnd w:id="714"/>
    <w:bookmarkEnd w:id="715"/>
    <w:bookmarkEnd w:id="716"/>
    <w:bookmarkEnd w:id="717"/>
    <w:bookmarkEnd w:id="718"/>
    <w:bookmarkEnd w:id="719"/>
    <w:bookmarkEnd w:id="720"/>
    <w:p>
      <w:pPr>
        <w:shd w:val="clear" w:color="auto" w:fill="auto"/>
        <w:autoSpaceDE w:val="0"/>
        <w:autoSpaceDN w:val="0"/>
        <w:jc w:val="center"/>
        <w:rPr>
          <w:rFonts w:hint="eastAsia" w:ascii="仿宋" w:hAnsi="仿宋" w:eastAsia="仿宋"/>
          <w:b/>
          <w:color w:val="auto"/>
          <w:spacing w:val="6"/>
          <w:sz w:val="32"/>
          <w:szCs w:val="32"/>
          <w:highlight w:val="none"/>
        </w:rPr>
      </w:pPr>
    </w:p>
    <w:p/>
    <w:sectPr>
      <w:pgSz w:w="11906" w:h="16838"/>
      <w:pgMar w:top="1134" w:right="1274" w:bottom="1020" w:left="1575" w:header="680" w:footer="680"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gpREdIBAACkAwAADgAAAAAAAAABACAAAAAfAQAA&#10;ZHJzL2Uyb0RvYy54bWxQSwUGAAAAAAYABgBZAQAAY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3"/>
      </w:rPr>
    </w:pPr>
    <w:r>
      <w:fldChar w:fldCharType="begin"/>
    </w:r>
    <w:r>
      <w:rPr>
        <w:rStyle w:val="23"/>
      </w:rPr>
      <w:instrText xml:space="preserve">PAGE  </w:instrText>
    </w:r>
    <w:r>
      <w:fldChar w:fldCharType="end"/>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- 42 -</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- 41 -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- 41 -</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- 69 -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- 69 -</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- 67 -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- 67 -</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宋体" w:hAnsi="宋体"/>
        <w:sz w:val="15"/>
      </w:rPr>
    </w:pPr>
    <w:r>
      <w:rPr>
        <w:rFonts w:hint="eastAsia" w:ascii="宋体" w:hAnsi="宋体"/>
        <w:sz w:val="21"/>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s>
      <w:ind w:firstLine="241" w:firstLineChars="100"/>
      <w:jc w:val="both"/>
      <w:rPr>
        <w:rFonts w:ascii="仿宋_GB2312" w:eastAsia="仿宋_GB2312"/>
        <w:b w:val="0"/>
        <w:i/>
        <w:sz w:val="18"/>
        <w:u w:val="single"/>
        <w:lang w:val="en-US"/>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9013"/>
    <w:multiLevelType w:val="singleLevel"/>
    <w:tmpl w:val="9D459013"/>
    <w:lvl w:ilvl="0" w:tentative="0">
      <w:start w:val="1"/>
      <w:numFmt w:val="chineseCounting"/>
      <w:suff w:val="nothing"/>
      <w:lvlText w:val="（%1）"/>
      <w:lvlJc w:val="left"/>
      <w:rPr>
        <w:rFonts w:hint="eastAsia"/>
      </w:rPr>
    </w:lvl>
  </w:abstractNum>
  <w:abstractNum w:abstractNumId="1">
    <w:nsid w:val="E4775C89"/>
    <w:multiLevelType w:val="singleLevel"/>
    <w:tmpl w:val="E4775C89"/>
    <w:lvl w:ilvl="0" w:tentative="0">
      <w:start w:val="1"/>
      <w:numFmt w:val="chineseCounting"/>
      <w:suff w:val="nothing"/>
      <w:lvlText w:val="（%1）"/>
      <w:lvlJc w:val="left"/>
      <w:pPr>
        <w:ind w:left="0" w:firstLine="420"/>
      </w:pPr>
      <w:rPr>
        <w:rFonts w:hint="eastAsia"/>
      </w:rPr>
    </w:lvl>
  </w:abstractNum>
  <w:abstractNum w:abstractNumId="2">
    <w:nsid w:val="E5F8765E"/>
    <w:multiLevelType w:val="singleLevel"/>
    <w:tmpl w:val="E5F8765E"/>
    <w:lvl w:ilvl="0" w:tentative="0">
      <w:start w:val="1"/>
      <w:numFmt w:val="decimal"/>
      <w:lvlText w:val="%1."/>
      <w:lvlJc w:val="left"/>
      <w:pPr>
        <w:ind w:left="425" w:hanging="425"/>
      </w:pPr>
      <w:rPr>
        <w:rFonts w:hint="default"/>
      </w:rPr>
    </w:lvl>
  </w:abstractNum>
  <w:abstractNum w:abstractNumId="3">
    <w:nsid w:val="F99B6F93"/>
    <w:multiLevelType w:val="singleLevel"/>
    <w:tmpl w:val="F99B6F93"/>
    <w:lvl w:ilvl="0" w:tentative="0">
      <w:start w:val="1"/>
      <w:numFmt w:val="decimal"/>
      <w:lvlText w:val="%1."/>
      <w:lvlJc w:val="left"/>
      <w:pPr>
        <w:ind w:left="425" w:hanging="425"/>
      </w:pPr>
      <w:rPr>
        <w:rFonts w:hint="default"/>
      </w:rPr>
    </w:lvl>
  </w:abstractNum>
  <w:abstractNum w:abstractNumId="4">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956"/>
        </w:tabs>
        <w:ind w:left="956"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09D5525E"/>
    <w:multiLevelType w:val="multilevel"/>
    <w:tmpl w:val="09D5525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7">
    <w:nsid w:val="13219772"/>
    <w:multiLevelType w:val="singleLevel"/>
    <w:tmpl w:val="13219772"/>
    <w:lvl w:ilvl="0" w:tentative="0">
      <w:start w:val="1"/>
      <w:numFmt w:val="chineseCounting"/>
      <w:suff w:val="space"/>
      <w:lvlText w:val="第%1部分"/>
      <w:lvlJc w:val="left"/>
      <w:rPr>
        <w:rFonts w:hint="eastAsia"/>
      </w:rPr>
    </w:lvl>
  </w:abstractNum>
  <w:abstractNum w:abstractNumId="8">
    <w:nsid w:val="1E437745"/>
    <w:multiLevelType w:val="singleLevel"/>
    <w:tmpl w:val="1E437745"/>
    <w:lvl w:ilvl="0" w:tentative="0">
      <w:start w:val="1"/>
      <w:numFmt w:val="chineseCounting"/>
      <w:suff w:val="nothing"/>
      <w:lvlText w:val="%1、"/>
      <w:lvlJc w:val="left"/>
      <w:pPr>
        <w:ind w:left="420" w:firstLine="420"/>
      </w:pPr>
      <w:rPr>
        <w:rFonts w:hint="eastAsia"/>
      </w:rPr>
    </w:lvl>
  </w:abstractNum>
  <w:abstractNum w:abstractNumId="9">
    <w:nsid w:val="499454DC"/>
    <w:multiLevelType w:val="singleLevel"/>
    <w:tmpl w:val="499454DC"/>
    <w:lvl w:ilvl="0" w:tentative="0">
      <w:start w:val="1"/>
      <w:numFmt w:val="decimal"/>
      <w:suff w:val="nothing"/>
      <w:lvlText w:val="%1．"/>
      <w:lvlJc w:val="left"/>
      <w:pPr>
        <w:ind w:left="0" w:firstLine="400"/>
      </w:pPr>
      <w:rPr>
        <w:rFonts w:hint="default" w:ascii="宋体" w:hAnsi="宋体" w:eastAsia="宋体" w:cs="宋体"/>
      </w:rPr>
    </w:lvl>
  </w:abstractNum>
  <w:abstractNum w:abstractNumId="10">
    <w:nsid w:val="4D0E38F0"/>
    <w:multiLevelType w:val="singleLevel"/>
    <w:tmpl w:val="4D0E38F0"/>
    <w:lvl w:ilvl="0" w:tentative="0">
      <w:start w:val="1"/>
      <w:numFmt w:val="decimal"/>
      <w:lvlText w:val="(%1)"/>
      <w:lvlJc w:val="left"/>
      <w:pPr>
        <w:ind w:left="425" w:hanging="425"/>
      </w:pPr>
      <w:rPr>
        <w:rFonts w:hint="default"/>
      </w:rPr>
    </w:lvl>
  </w:abstractNum>
  <w:abstractNum w:abstractNumId="11">
    <w:nsid w:val="5AEC4824"/>
    <w:multiLevelType w:val="multilevel"/>
    <w:tmpl w:val="5AEC4824"/>
    <w:lvl w:ilvl="0" w:tentative="0">
      <w:start w:val="1"/>
      <w:numFmt w:val="japaneseCounting"/>
      <w:lvlText w:val="第%1条"/>
      <w:lvlJc w:val="left"/>
      <w:pPr>
        <w:tabs>
          <w:tab w:val="left" w:pos="750"/>
        </w:tabs>
        <w:ind w:left="750" w:hanging="750"/>
      </w:pPr>
      <w:rPr>
        <w:rFonts w:hint="eastAsia"/>
        <w:b/>
        <w:bCs/>
      </w:rPr>
    </w:lvl>
    <w:lvl w:ilvl="1" w:tentative="0">
      <w:start w:val="1"/>
      <w:numFmt w:val="lowerLetter"/>
      <w:lvlText w:val="%2)"/>
      <w:lvlJc w:val="left"/>
      <w:pPr>
        <w:tabs>
          <w:tab w:val="left" w:pos="480"/>
        </w:tabs>
        <w:ind w:left="480" w:hanging="420"/>
      </w:p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12">
    <w:nsid w:val="5F2C2F1B"/>
    <w:multiLevelType w:val="singleLevel"/>
    <w:tmpl w:val="5F2C2F1B"/>
    <w:lvl w:ilvl="0" w:tentative="0">
      <w:start w:val="1"/>
      <w:numFmt w:val="chineseCounting"/>
      <w:suff w:val="nothing"/>
      <w:lvlText w:val="%1、"/>
      <w:lvlJc w:val="left"/>
      <w:pPr>
        <w:ind w:left="0" w:firstLine="420"/>
      </w:pPr>
      <w:rPr>
        <w:rFonts w:hint="eastAsia" w:ascii="宋体" w:hAnsi="宋体" w:eastAsia="宋体" w:cs="宋体"/>
        <w:b/>
        <w:bCs/>
        <w:sz w:val="24"/>
        <w:szCs w:val="24"/>
      </w:rPr>
    </w:lvl>
  </w:abstractNum>
  <w:abstractNum w:abstractNumId="13">
    <w:nsid w:val="6B18D44F"/>
    <w:multiLevelType w:val="singleLevel"/>
    <w:tmpl w:val="6B18D44F"/>
    <w:lvl w:ilvl="0" w:tentative="0">
      <w:start w:val="1"/>
      <w:numFmt w:val="chineseCounting"/>
      <w:suff w:val="nothing"/>
      <w:lvlText w:val="（%1）"/>
      <w:lvlJc w:val="left"/>
      <w:pPr>
        <w:ind w:left="0" w:firstLine="420"/>
      </w:pPr>
      <w:rPr>
        <w:rFonts w:hint="eastAsia"/>
        <w:b/>
        <w:bCs/>
      </w:rPr>
    </w:lvl>
  </w:abstractNum>
  <w:abstractNum w:abstractNumId="14">
    <w:nsid w:val="6EDB71BF"/>
    <w:multiLevelType w:val="singleLevel"/>
    <w:tmpl w:val="6EDB71BF"/>
    <w:lvl w:ilvl="0" w:tentative="0">
      <w:start w:val="1"/>
      <w:numFmt w:val="decimal"/>
      <w:suff w:val="nothing"/>
      <w:lvlText w:val="（%1）"/>
      <w:lvlJc w:val="left"/>
    </w:lvl>
  </w:abstractNum>
  <w:abstractNum w:abstractNumId="15">
    <w:nsid w:val="76F868E4"/>
    <w:multiLevelType w:val="multilevel"/>
    <w:tmpl w:val="76F868E4"/>
    <w:lvl w:ilvl="0" w:tentative="0">
      <w:start w:val="1"/>
      <w:numFmt w:val="decimal"/>
      <w:lvlText w:val="（%1）"/>
      <w:lvlJc w:val="left"/>
      <w:pPr>
        <w:tabs>
          <w:tab w:val="left" w:pos="720"/>
        </w:tabs>
        <w:ind w:left="720" w:hanging="720"/>
      </w:pPr>
      <w:rPr>
        <w:rFonts w:hint="default"/>
      </w:rPr>
    </w:lvl>
    <w:lvl w:ilvl="1" w:tentative="0">
      <w:start w:val="1"/>
      <w:numFmt w:val="japaneseCounting"/>
      <w:lvlText w:val="第%2条"/>
      <w:lvlJc w:val="left"/>
      <w:pPr>
        <w:tabs>
          <w:tab w:val="left" w:pos="750"/>
        </w:tabs>
        <w:ind w:left="750" w:hanging="750"/>
      </w:pPr>
      <w:rPr>
        <w:rFonts w:hint="default"/>
        <w:lang w:val="en-U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79253099"/>
    <w:multiLevelType w:val="singleLevel"/>
    <w:tmpl w:val="79253099"/>
    <w:lvl w:ilvl="0" w:tentative="0">
      <w:start w:val="1"/>
      <w:numFmt w:val="decimal"/>
      <w:lvlText w:val="%1."/>
      <w:lvlJc w:val="left"/>
      <w:pPr>
        <w:ind w:left="425" w:hanging="425"/>
      </w:pPr>
      <w:rPr>
        <w:rFonts w:hint="default" w:ascii="宋体" w:hAnsi="宋体" w:eastAsia="宋体" w:cs="宋体"/>
        <w:b w:val="0"/>
        <w:bCs w:val="0"/>
      </w:rPr>
    </w:lvl>
  </w:abstractNum>
  <w:abstractNum w:abstractNumId="17">
    <w:nsid w:val="7E41D911"/>
    <w:multiLevelType w:val="singleLevel"/>
    <w:tmpl w:val="7E41D911"/>
    <w:lvl w:ilvl="0" w:tentative="0">
      <w:start w:val="1"/>
      <w:numFmt w:val="decimal"/>
      <w:lvlText w:val="%1."/>
      <w:lvlJc w:val="left"/>
      <w:pPr>
        <w:ind w:left="425" w:hanging="425"/>
      </w:pPr>
      <w:rPr>
        <w:rFonts w:hint="default"/>
      </w:rPr>
    </w:lvl>
  </w:abstractNum>
  <w:num w:numId="1">
    <w:abstractNumId w:val="7"/>
  </w:num>
  <w:num w:numId="2">
    <w:abstractNumId w:val="4"/>
  </w:num>
  <w:num w:numId="3">
    <w:abstractNumId w:val="5"/>
  </w:num>
  <w:num w:numId="4">
    <w:abstractNumId w:val="14"/>
  </w:num>
  <w:num w:numId="5">
    <w:abstractNumId w:val="12"/>
  </w:num>
  <w:num w:numId="6">
    <w:abstractNumId w:val="1"/>
  </w:num>
  <w:num w:numId="7">
    <w:abstractNumId w:val="13"/>
  </w:num>
  <w:num w:numId="8">
    <w:abstractNumId w:val="2"/>
  </w:num>
  <w:num w:numId="9">
    <w:abstractNumId w:val="16"/>
  </w:num>
  <w:num w:numId="10">
    <w:abstractNumId w:val="9"/>
  </w:num>
  <w:num w:numId="11">
    <w:abstractNumId w:val="11"/>
  </w:num>
  <w:num w:numId="12">
    <w:abstractNumId w:val="0"/>
  </w:num>
  <w:num w:numId="13">
    <w:abstractNumId w:val="6"/>
  </w:num>
  <w:num w:numId="14">
    <w:abstractNumId w:val="15"/>
  </w:num>
  <w:num w:numId="15">
    <w:abstractNumId w:val="8"/>
  </w:num>
  <w:num w:numId="16">
    <w:abstractNumId w:val="1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zRhZGRiNTIyMjlmNjZhMGI2YmZmN2FlYWQzOTQifQ=="/>
  </w:docVars>
  <w:rsids>
    <w:rsidRoot w:val="06CD6CE6"/>
    <w:rsid w:val="012A067A"/>
    <w:rsid w:val="01C1737C"/>
    <w:rsid w:val="02571C51"/>
    <w:rsid w:val="026C4FD1"/>
    <w:rsid w:val="033C49A3"/>
    <w:rsid w:val="0348159A"/>
    <w:rsid w:val="03887BE8"/>
    <w:rsid w:val="03F37758"/>
    <w:rsid w:val="0523406D"/>
    <w:rsid w:val="052D0A47"/>
    <w:rsid w:val="052D6C99"/>
    <w:rsid w:val="06CD6CE6"/>
    <w:rsid w:val="07074129"/>
    <w:rsid w:val="077B0190"/>
    <w:rsid w:val="07E20266"/>
    <w:rsid w:val="084B73F8"/>
    <w:rsid w:val="090917CB"/>
    <w:rsid w:val="09BE25B6"/>
    <w:rsid w:val="0B330D82"/>
    <w:rsid w:val="0BE55FD0"/>
    <w:rsid w:val="0CA041F5"/>
    <w:rsid w:val="0D1349C7"/>
    <w:rsid w:val="0DE14AC5"/>
    <w:rsid w:val="0E0B7D94"/>
    <w:rsid w:val="0EC57F43"/>
    <w:rsid w:val="0F851480"/>
    <w:rsid w:val="0FC401FA"/>
    <w:rsid w:val="0FFE370C"/>
    <w:rsid w:val="10B822C3"/>
    <w:rsid w:val="11C7293E"/>
    <w:rsid w:val="11E741A1"/>
    <w:rsid w:val="12C80001"/>
    <w:rsid w:val="136A10B9"/>
    <w:rsid w:val="13F53078"/>
    <w:rsid w:val="14357918"/>
    <w:rsid w:val="14F605B5"/>
    <w:rsid w:val="153C6A85"/>
    <w:rsid w:val="156F54C4"/>
    <w:rsid w:val="15D3486C"/>
    <w:rsid w:val="15E3044B"/>
    <w:rsid w:val="16414353"/>
    <w:rsid w:val="16DB47A7"/>
    <w:rsid w:val="17326391"/>
    <w:rsid w:val="17B31280"/>
    <w:rsid w:val="18A84B5D"/>
    <w:rsid w:val="19404D95"/>
    <w:rsid w:val="19436634"/>
    <w:rsid w:val="19481E9C"/>
    <w:rsid w:val="198D53B4"/>
    <w:rsid w:val="19A277FE"/>
    <w:rsid w:val="19BB41EB"/>
    <w:rsid w:val="19DB061A"/>
    <w:rsid w:val="1A0D279E"/>
    <w:rsid w:val="1A58610F"/>
    <w:rsid w:val="1BC6429E"/>
    <w:rsid w:val="1C4E1577"/>
    <w:rsid w:val="1C984EE8"/>
    <w:rsid w:val="1CF071D4"/>
    <w:rsid w:val="1D293D92"/>
    <w:rsid w:val="1DBA2C3C"/>
    <w:rsid w:val="203942EC"/>
    <w:rsid w:val="208A4B48"/>
    <w:rsid w:val="21115269"/>
    <w:rsid w:val="21CF315A"/>
    <w:rsid w:val="21FC7CC7"/>
    <w:rsid w:val="22124DF5"/>
    <w:rsid w:val="22486A69"/>
    <w:rsid w:val="24DA29FA"/>
    <w:rsid w:val="27215B63"/>
    <w:rsid w:val="278E0020"/>
    <w:rsid w:val="283B1947"/>
    <w:rsid w:val="28681C13"/>
    <w:rsid w:val="292A0397"/>
    <w:rsid w:val="292E4C0A"/>
    <w:rsid w:val="29736AC1"/>
    <w:rsid w:val="2A224CE9"/>
    <w:rsid w:val="2A497822"/>
    <w:rsid w:val="2AA333D6"/>
    <w:rsid w:val="2AE80DE9"/>
    <w:rsid w:val="2B365FF8"/>
    <w:rsid w:val="2B4104F9"/>
    <w:rsid w:val="2C4D0C0B"/>
    <w:rsid w:val="2DE75AD8"/>
    <w:rsid w:val="2E3600BD"/>
    <w:rsid w:val="2EB21E3A"/>
    <w:rsid w:val="2F8B61E7"/>
    <w:rsid w:val="2FE24BEC"/>
    <w:rsid w:val="30B33C47"/>
    <w:rsid w:val="30F717EE"/>
    <w:rsid w:val="31376626"/>
    <w:rsid w:val="318B24CE"/>
    <w:rsid w:val="31C205E6"/>
    <w:rsid w:val="32BB5035"/>
    <w:rsid w:val="34036C94"/>
    <w:rsid w:val="3502519D"/>
    <w:rsid w:val="352549E8"/>
    <w:rsid w:val="354B08F2"/>
    <w:rsid w:val="366F23BE"/>
    <w:rsid w:val="3670384C"/>
    <w:rsid w:val="36962041"/>
    <w:rsid w:val="37585548"/>
    <w:rsid w:val="379F6CD3"/>
    <w:rsid w:val="38E075A3"/>
    <w:rsid w:val="38F96DEB"/>
    <w:rsid w:val="39B747A8"/>
    <w:rsid w:val="39BE5B37"/>
    <w:rsid w:val="3A9E3272"/>
    <w:rsid w:val="3C862210"/>
    <w:rsid w:val="3D8250CD"/>
    <w:rsid w:val="3DE61259"/>
    <w:rsid w:val="3E412892"/>
    <w:rsid w:val="3E8135D7"/>
    <w:rsid w:val="3EA3354D"/>
    <w:rsid w:val="3EAE5A4E"/>
    <w:rsid w:val="3FB6105E"/>
    <w:rsid w:val="401877F4"/>
    <w:rsid w:val="408B4299"/>
    <w:rsid w:val="41717932"/>
    <w:rsid w:val="417967E7"/>
    <w:rsid w:val="41D2400B"/>
    <w:rsid w:val="41DB2FFE"/>
    <w:rsid w:val="4283791D"/>
    <w:rsid w:val="4303280C"/>
    <w:rsid w:val="44315157"/>
    <w:rsid w:val="46362EF9"/>
    <w:rsid w:val="4828061F"/>
    <w:rsid w:val="497B6BE6"/>
    <w:rsid w:val="49DE7B2F"/>
    <w:rsid w:val="4B285784"/>
    <w:rsid w:val="4C4B0D80"/>
    <w:rsid w:val="4CCC0113"/>
    <w:rsid w:val="4D2C0BB1"/>
    <w:rsid w:val="4D311C74"/>
    <w:rsid w:val="4D7C52AB"/>
    <w:rsid w:val="4DA44BEC"/>
    <w:rsid w:val="4DCC4784"/>
    <w:rsid w:val="4DF01BDF"/>
    <w:rsid w:val="4F6463E1"/>
    <w:rsid w:val="4FB76E58"/>
    <w:rsid w:val="503E30D6"/>
    <w:rsid w:val="50901457"/>
    <w:rsid w:val="50AD025B"/>
    <w:rsid w:val="50F32112"/>
    <w:rsid w:val="51167BAE"/>
    <w:rsid w:val="511A63E1"/>
    <w:rsid w:val="51267992"/>
    <w:rsid w:val="51CF19F5"/>
    <w:rsid w:val="51DF2696"/>
    <w:rsid w:val="52497B10"/>
    <w:rsid w:val="524F431A"/>
    <w:rsid w:val="53402974"/>
    <w:rsid w:val="53A70F92"/>
    <w:rsid w:val="54AE00FE"/>
    <w:rsid w:val="55AA4D69"/>
    <w:rsid w:val="560C332E"/>
    <w:rsid w:val="56C241D6"/>
    <w:rsid w:val="56DB6450"/>
    <w:rsid w:val="57925AB5"/>
    <w:rsid w:val="57F10A2D"/>
    <w:rsid w:val="58276B45"/>
    <w:rsid w:val="582E3A6C"/>
    <w:rsid w:val="58847AF3"/>
    <w:rsid w:val="58C83E84"/>
    <w:rsid w:val="58CA381F"/>
    <w:rsid w:val="59C4289D"/>
    <w:rsid w:val="59CD1026"/>
    <w:rsid w:val="5AE40D1D"/>
    <w:rsid w:val="5B70435F"/>
    <w:rsid w:val="5BAF4E87"/>
    <w:rsid w:val="5BED59B0"/>
    <w:rsid w:val="5C3B2BBF"/>
    <w:rsid w:val="5CCE57E1"/>
    <w:rsid w:val="5DC10EA2"/>
    <w:rsid w:val="5DD47E86"/>
    <w:rsid w:val="5E280F21"/>
    <w:rsid w:val="5E317DD6"/>
    <w:rsid w:val="5EA20CD3"/>
    <w:rsid w:val="5ED370DF"/>
    <w:rsid w:val="5F65097C"/>
    <w:rsid w:val="60E0467B"/>
    <w:rsid w:val="60FD6695"/>
    <w:rsid w:val="610A2B60"/>
    <w:rsid w:val="61ED495B"/>
    <w:rsid w:val="620A1069"/>
    <w:rsid w:val="62FD297C"/>
    <w:rsid w:val="632443AD"/>
    <w:rsid w:val="63AE011A"/>
    <w:rsid w:val="65165F77"/>
    <w:rsid w:val="655602A7"/>
    <w:rsid w:val="65F9726D"/>
    <w:rsid w:val="66805D9E"/>
    <w:rsid w:val="67CA4DF7"/>
    <w:rsid w:val="6884144A"/>
    <w:rsid w:val="6893581B"/>
    <w:rsid w:val="691E364C"/>
    <w:rsid w:val="69780FAF"/>
    <w:rsid w:val="6ACB6E79"/>
    <w:rsid w:val="6B080110"/>
    <w:rsid w:val="6D2C27DC"/>
    <w:rsid w:val="6DAC1227"/>
    <w:rsid w:val="6DF77809"/>
    <w:rsid w:val="6DFF1C9E"/>
    <w:rsid w:val="6E3A328C"/>
    <w:rsid w:val="6E3F653F"/>
    <w:rsid w:val="6E7C32EF"/>
    <w:rsid w:val="6F307C36"/>
    <w:rsid w:val="6FA83C70"/>
    <w:rsid w:val="701B09F7"/>
    <w:rsid w:val="70932B72"/>
    <w:rsid w:val="710475CC"/>
    <w:rsid w:val="72127AC6"/>
    <w:rsid w:val="72B868C0"/>
    <w:rsid w:val="7372081D"/>
    <w:rsid w:val="73FC27DC"/>
    <w:rsid w:val="761C7166"/>
    <w:rsid w:val="764A5A81"/>
    <w:rsid w:val="76830F93"/>
    <w:rsid w:val="77FE4D75"/>
    <w:rsid w:val="78283BA0"/>
    <w:rsid w:val="783C4963"/>
    <w:rsid w:val="78E81581"/>
    <w:rsid w:val="797572B9"/>
    <w:rsid w:val="798219D5"/>
    <w:rsid w:val="7B752E6E"/>
    <w:rsid w:val="7B890DF9"/>
    <w:rsid w:val="7CCF6CE0"/>
    <w:rsid w:val="7D6A4C5A"/>
    <w:rsid w:val="7DA4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autoRedefine/>
    <w:qFormat/>
    <w:uiPriority w:val="0"/>
    <w:pPr>
      <w:keepNext/>
      <w:keepLines/>
      <w:spacing w:before="340" w:after="330" w:line="576" w:lineRule="auto"/>
      <w:outlineLvl w:val="0"/>
    </w:pPr>
    <w:rPr>
      <w:rFonts w:ascii="Calibri" w:hAnsi="Calibri"/>
      <w:b/>
      <w:kern w:val="44"/>
      <w:sz w:val="44"/>
    </w:rPr>
  </w:style>
  <w:style w:type="paragraph" w:styleId="2">
    <w:name w:val="heading 2"/>
    <w:basedOn w:val="1"/>
    <w:next w:val="1"/>
    <w:qFormat/>
    <w:uiPriority w:val="0"/>
    <w:pPr>
      <w:keepNext/>
      <w:keepLines/>
      <w:spacing w:before="260" w:after="260" w:line="416" w:lineRule="auto"/>
      <w:outlineLvl w:val="1"/>
    </w:pPr>
    <w:rPr>
      <w:rFonts w:ascii="Cambria" w:hAnsi="Cambria"/>
      <w:bCs/>
      <w:kern w:val="2"/>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firstLine="0"/>
    </w:pPr>
  </w:style>
  <w:style w:type="paragraph" w:styleId="5">
    <w:name w:val="Normal Indent"/>
    <w:basedOn w:val="1"/>
    <w:next w:val="6"/>
    <w:autoRedefine/>
    <w:qFormat/>
    <w:uiPriority w:val="0"/>
    <w:pPr>
      <w:ind w:firstLine="420"/>
    </w:pPr>
    <w:rPr>
      <w:rFonts w:ascii="Calibri" w:hAnsi="Calibri"/>
    </w:rPr>
  </w:style>
  <w:style w:type="paragraph" w:styleId="6">
    <w:name w:val="Body Text Indent"/>
    <w:basedOn w:val="1"/>
    <w:autoRedefine/>
    <w:qFormat/>
    <w:uiPriority w:val="0"/>
    <w:pPr>
      <w:spacing w:after="120"/>
      <w:ind w:left="420" w:leftChars="200"/>
    </w:pPr>
    <w:rPr>
      <w:rFonts w:ascii="Calibri" w:hAnsi="Calibri"/>
    </w:rPr>
  </w:style>
  <w:style w:type="paragraph" w:styleId="7">
    <w:name w:val="Body Text"/>
    <w:basedOn w:val="1"/>
    <w:next w:val="8"/>
    <w:autoRedefine/>
    <w:qFormat/>
    <w:uiPriority w:val="0"/>
    <w:pPr>
      <w:spacing w:line="360" w:lineRule="auto"/>
    </w:pPr>
    <w:rPr>
      <w:rFonts w:ascii="楷体_GB2312" w:hAnsi="Calibri" w:eastAsia="楷体_GB2312"/>
      <w:sz w:val="32"/>
    </w:rPr>
  </w:style>
  <w:style w:type="paragraph" w:styleId="8">
    <w:name w:val="Body Text First Indent"/>
    <w:basedOn w:val="7"/>
    <w:next w:val="1"/>
    <w:autoRedefine/>
    <w:unhideWhenUsed/>
    <w:qFormat/>
    <w:uiPriority w:val="99"/>
    <w:pPr>
      <w:adjustRightInd/>
      <w:spacing w:after="120" w:line="240" w:lineRule="auto"/>
      <w:ind w:firstLine="420" w:firstLineChars="100"/>
      <w:jc w:val="both"/>
    </w:pPr>
    <w:rPr>
      <w:rFonts w:ascii="Times New Roman"/>
      <w:kern w:val="2"/>
      <w:sz w:val="21"/>
      <w:szCs w:val="24"/>
    </w:rPr>
  </w:style>
  <w:style w:type="paragraph" w:styleId="9">
    <w:name w:val="Block Text"/>
    <w:basedOn w:val="1"/>
    <w:autoRedefine/>
    <w:qFormat/>
    <w:uiPriority w:val="99"/>
    <w:pPr>
      <w:spacing w:after="120"/>
      <w:ind w:left="1440" w:leftChars="700" w:right="1440" w:rightChars="700"/>
    </w:pPr>
    <w:rPr>
      <w:rFonts w:ascii="Calibri" w:hAnsi="Calibri"/>
    </w:rPr>
  </w:style>
  <w:style w:type="paragraph" w:styleId="10">
    <w:name w:val="Plain Text"/>
    <w:basedOn w:val="1"/>
    <w:next w:val="1"/>
    <w:autoRedefine/>
    <w:qFormat/>
    <w:uiPriority w:val="0"/>
    <w:rPr>
      <w:rFonts w:ascii="宋体" w:hAnsi="Courier New"/>
    </w:rPr>
  </w:style>
  <w:style w:type="paragraph" w:styleId="11">
    <w:name w:val="footer"/>
    <w:basedOn w:val="1"/>
    <w:autoRedefine/>
    <w:qFormat/>
    <w:uiPriority w:val="99"/>
    <w:pPr>
      <w:tabs>
        <w:tab w:val="center" w:pos="4153"/>
        <w:tab w:val="right" w:pos="8306"/>
      </w:tabs>
      <w:snapToGrid w:val="0"/>
      <w:jc w:val="left"/>
    </w:pPr>
    <w:rPr>
      <w:rFonts w:ascii="Calibri" w:hAnsi="Calibri"/>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tabs>
        <w:tab w:val="left" w:pos="945"/>
        <w:tab w:val="right" w:leader="middleDot" w:pos="8948"/>
      </w:tabs>
      <w:spacing w:before="120" w:after="120"/>
    </w:pPr>
    <w:rPr>
      <w:rFonts w:ascii="Calibri" w:hAnsi="Calibri" w:eastAsia="宋体" w:cs="Times New Roman"/>
      <w:b/>
      <w:bCs/>
      <w:caps/>
      <w:szCs w:val="21"/>
    </w:rPr>
  </w:style>
  <w:style w:type="paragraph" w:styleId="14">
    <w:name w:val="table of figures"/>
    <w:basedOn w:val="1"/>
    <w:next w:val="1"/>
    <w:autoRedefine/>
    <w:qFormat/>
    <w:uiPriority w:val="0"/>
    <w:pPr>
      <w:ind w:left="840" w:leftChars="200" w:hanging="420" w:hangingChars="200"/>
    </w:pPr>
    <w:rPr>
      <w:rFonts w:ascii="Calibri" w:hAnsi="Calibri" w:eastAsia="宋体" w:cs="Times New Roman"/>
    </w:rPr>
  </w:style>
  <w:style w:type="paragraph" w:styleId="15">
    <w:name w:val="toc 2"/>
    <w:basedOn w:val="1"/>
    <w:next w:val="1"/>
    <w:autoRedefine/>
    <w:qFormat/>
    <w:uiPriority w:val="39"/>
    <w:pPr>
      <w:tabs>
        <w:tab w:val="right" w:leader="middleDot" w:pos="8948"/>
      </w:tabs>
      <w:spacing w:before="60" w:after="60"/>
      <w:ind w:left="210"/>
    </w:pPr>
    <w:rPr>
      <w:rFonts w:ascii="Calibri" w:hAnsi="Calibri" w:eastAsia="宋体" w:cs="Times New Roman"/>
      <w:smallCaps/>
    </w:rPr>
  </w:style>
  <w:style w:type="paragraph" w:styleId="16">
    <w:name w:val="Normal (Web)"/>
    <w:basedOn w:val="1"/>
    <w:autoRedefine/>
    <w:qFormat/>
    <w:uiPriority w:val="99"/>
    <w:pPr>
      <w:widowControl/>
      <w:spacing w:before="100" w:beforeAutospacing="1" w:after="100" w:afterAutospacing="1"/>
      <w:jc w:val="left"/>
    </w:pPr>
    <w:rPr>
      <w:rFonts w:ascii="Arial Unicode MS" w:hAnsi="Arial Unicode MS" w:eastAsia="Times New Roman" w:cs="Times New Roman"/>
      <w:color w:val="000000"/>
      <w:kern w:val="0"/>
      <w:sz w:val="24"/>
      <w:szCs w:val="24"/>
    </w:rPr>
  </w:style>
  <w:style w:type="paragraph" w:styleId="17">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8">
    <w:name w:val="Body Text First Indent 2"/>
    <w:basedOn w:val="6"/>
    <w:next w:val="19"/>
    <w:autoRedefine/>
    <w:unhideWhenUsed/>
    <w:qFormat/>
    <w:uiPriority w:val="99"/>
    <w:pPr>
      <w:ind w:firstLine="420" w:firstLineChars="200"/>
    </w:pPr>
    <w:rPr>
      <w:rFonts w:ascii="Times New Roman" w:hAnsi="Times New Roman"/>
    </w:rPr>
  </w:style>
  <w:style w:type="paragraph" w:customStyle="1" w:styleId="1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1">
    <w:name w:val="Table Grid"/>
    <w:basedOn w:val="20"/>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rPr>
      <w:rFonts w:ascii="Calibri" w:hAnsi="Calibri" w:eastAsia="宋体" w:cs="Times New Roman"/>
    </w:rPr>
  </w:style>
  <w:style w:type="paragraph" w:customStyle="1" w:styleId="2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正文2"/>
    <w:basedOn w:val="1"/>
    <w:autoRedefine/>
    <w:qFormat/>
    <w:uiPriority w:val="0"/>
    <w:pPr>
      <w:spacing w:before="156" w:line="360" w:lineRule="auto"/>
      <w:ind w:firstLine="510" w:firstLineChars="200"/>
    </w:pPr>
    <w:rPr>
      <w:rFonts w:ascii="Calibri" w:hAnsi="Calibri" w:eastAsia="宋体" w:cs="Times New Roman"/>
      <w:sz w:val="24"/>
    </w:rPr>
  </w:style>
  <w:style w:type="paragraph" w:customStyle="1" w:styleId="26">
    <w:name w:val="列出段落1"/>
    <w:basedOn w:val="1"/>
    <w:autoRedefine/>
    <w:qFormat/>
    <w:uiPriority w:val="0"/>
    <w:pPr>
      <w:ind w:firstLine="420" w:firstLineChars="200"/>
    </w:pPr>
    <w:rPr>
      <w:rFonts w:ascii="Calibri" w:hAnsi="Calibri" w:eastAsia="宋体" w:cs="Times New Roman"/>
    </w:rPr>
  </w:style>
  <w:style w:type="character" w:customStyle="1" w:styleId="27">
    <w:name w:val="font31"/>
    <w:basedOn w:val="22"/>
    <w:autoRedefine/>
    <w:qFormat/>
    <w:uiPriority w:val="0"/>
    <w:rPr>
      <w:rFonts w:hint="eastAsia" w:ascii="宋体" w:hAnsi="宋体" w:eastAsia="宋体" w:cs="宋体"/>
      <w:color w:val="FF0000"/>
      <w:sz w:val="18"/>
      <w:szCs w:val="18"/>
      <w:u w:val="none"/>
    </w:rPr>
  </w:style>
  <w:style w:type="paragraph" w:customStyle="1" w:styleId="2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9">
    <w:name w:val="NormalCharacter"/>
    <w:autoRedefine/>
    <w:semiHidden/>
    <w:qFormat/>
    <w:uiPriority w:val="0"/>
    <w:rPr>
      <w:kern w:val="2"/>
      <w:sz w:val="21"/>
      <w:szCs w:val="24"/>
      <w:lang w:val="en-US" w:eastAsia="zh-CN" w:bidi="ar-SA"/>
    </w:rPr>
  </w:style>
  <w:style w:type="paragraph" w:customStyle="1" w:styleId="30">
    <w:name w:val="表内文字"/>
    <w:basedOn w:val="1"/>
    <w:autoRedefine/>
    <w:qFormat/>
    <w:uiPriority w:val="0"/>
    <w:pPr>
      <w:spacing w:line="500" w:lineRule="atLeast"/>
      <w:jc w:val="center"/>
    </w:pPr>
    <w:rPr>
      <w:rFonts w:ascii="Arial" w:hAnsi="Arial" w:eastAsia="楷体_GB2312" w:cs="Times New Roman"/>
      <w:sz w:val="28"/>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l正文"/>
    <w:autoRedefine/>
    <w:qFormat/>
    <w:uiPriority w:val="0"/>
    <w:pPr>
      <w:widowControl w:val="0"/>
      <w:spacing w:line="300" w:lineRule="auto"/>
      <w:ind w:firstLine="200" w:firstLineChars="200"/>
      <w:jc w:val="left"/>
    </w:pPr>
    <w:rPr>
      <w:rFonts w:ascii="楷体_GB2312" w:hAnsi="Times" w:eastAsia="楷体_GB2312" w:cs="等线"/>
      <w:kern w:val="2"/>
      <w:sz w:val="24"/>
      <w:szCs w:val="24"/>
      <w:lang w:val="en-US" w:eastAsia="zh-CN" w:bidi="ar-SA"/>
    </w:rPr>
  </w:style>
  <w:style w:type="character" w:customStyle="1" w:styleId="33">
    <w:name w:val="标题 1 字符"/>
    <w:link w:val="3"/>
    <w:autoRedefine/>
    <w:qFormat/>
    <w:uiPriority w:val="0"/>
    <w:rPr>
      <w:rFonts w:ascii="Calibri" w:hAnsi="Calibri"/>
      <w:b/>
      <w:kern w:val="44"/>
      <w:sz w:val="44"/>
    </w:rPr>
  </w:style>
  <w:style w:type="paragraph" w:customStyle="1" w:styleId="34">
    <w:name w:val="Other|1"/>
    <w:basedOn w:val="1"/>
    <w:autoRedefine/>
    <w:qFormat/>
    <w:uiPriority w:val="0"/>
    <w:pPr>
      <w:widowControl w:val="0"/>
      <w:spacing w:line="281" w:lineRule="exact"/>
      <w:jc w:val="both"/>
    </w:pPr>
    <w:rPr>
      <w:rFonts w:ascii="宋体" w:hAnsi="宋体" w:cs="宋体"/>
      <w:kern w:val="2"/>
      <w:sz w:val="19"/>
      <w:szCs w:val="19"/>
      <w:lang w:val="zh-TW" w:eastAsia="zh-TW" w:bidi="zh-TW"/>
    </w:rPr>
  </w:style>
  <w:style w:type="paragraph" w:customStyle="1" w:styleId="35">
    <w:name w:val="Table Paragraph"/>
    <w:basedOn w:val="1"/>
    <w:autoRedefine/>
    <w:qFormat/>
    <w:uiPriority w:val="0"/>
    <w:pPr>
      <w:adjustRightInd/>
      <w:jc w:val="left"/>
    </w:pPr>
    <w:rPr>
      <w:rFonts w:ascii="Calibri" w:hAnsi="Calibri"/>
      <w:kern w:val="0"/>
      <w:sz w:val="22"/>
      <w:szCs w:val="22"/>
      <w:lang w:eastAsia="en-US"/>
    </w:rPr>
  </w:style>
  <w:style w:type="paragraph" w:customStyle="1" w:styleId="36">
    <w:name w:val="彩色列表 - 强调文字颜色 11"/>
    <w:basedOn w:val="1"/>
    <w:autoRedefine/>
    <w:qFormat/>
    <w:uiPriority w:val="99"/>
    <w:pPr>
      <w:ind w:firstLine="420" w:firstLineChars="200"/>
    </w:pPr>
  </w:style>
  <w:style w:type="paragraph" w:customStyle="1" w:styleId="3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kern w:val="0"/>
      <w:sz w:val="24"/>
      <w:szCs w:val="24"/>
    </w:rPr>
  </w:style>
  <w:style w:type="paragraph" w:customStyle="1" w:styleId="38">
    <w:name w:val="表格文字"/>
    <w:basedOn w:val="10"/>
    <w:next w:val="7"/>
    <w:autoRedefine/>
    <w:qFormat/>
    <w:uiPriority w:val="0"/>
    <w:pPr>
      <w:jc w:val="left"/>
    </w:pPr>
    <w:rPr>
      <w:kern w:val="21"/>
      <w:szCs w:val="21"/>
    </w:rPr>
  </w:style>
  <w:style w:type="paragraph" w:customStyle="1" w:styleId="39">
    <w:name w:val="中等深浅网格 1 - 强调文字颜色 2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2024-02-17T00:35:00Z</dcterms:created>
  <dc:creator>NTKO</dc:creator>
  <cp:lastModifiedBy>两面交错</cp:lastModifiedBy>
  <cp:lastPrinted>2024-02-17T02:12:00Z</cp:lastPrinted>
  <dcterms:modified xsi:type="dcterms:W3CDTF">2024-03-05T00:48:16Z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5ACB138C490F442899357EB75E35A712_11</vt:lpwstr>
  </property>
</Properties>
</file>