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color w:val="auto"/>
          <w:spacing w:val="100"/>
          <w:sz w:val="72"/>
          <w:szCs w:val="72"/>
          <w:highlight w:val="none"/>
        </w:rPr>
      </w:pPr>
    </w:p>
    <w:p>
      <w:pPr>
        <w:jc w:val="center"/>
        <w:rPr>
          <w:rFonts w:ascii="黑体" w:hAnsi="宋体" w:eastAsia="黑体"/>
          <w:b/>
          <w:bCs/>
          <w:color w:val="auto"/>
          <w:spacing w:val="100"/>
          <w:sz w:val="72"/>
          <w:szCs w:val="72"/>
          <w:highlight w:val="none"/>
        </w:rPr>
      </w:pPr>
      <w:r>
        <w:rPr>
          <w:rFonts w:hint="eastAsia" w:ascii="黑体" w:hAnsi="宋体" w:eastAsia="黑体"/>
          <w:b/>
          <w:bCs/>
          <w:color w:val="auto"/>
          <w:spacing w:val="100"/>
          <w:sz w:val="72"/>
          <w:szCs w:val="72"/>
          <w:highlight w:val="none"/>
        </w:rPr>
        <w:t>温州市政府分散采购</w:t>
      </w:r>
    </w:p>
    <w:p>
      <w:pPr>
        <w:jc w:val="center"/>
        <w:rPr>
          <w:rFonts w:ascii="黑体" w:hAnsi="宋体" w:eastAsia="黑体"/>
          <w:b/>
          <w:bCs/>
          <w:color w:val="auto"/>
          <w:spacing w:val="26"/>
          <w:sz w:val="52"/>
          <w:highlight w:val="none"/>
        </w:rPr>
      </w:pPr>
    </w:p>
    <w:p>
      <w:pPr>
        <w:jc w:val="center"/>
        <w:rPr>
          <w:rFonts w:ascii="黑体" w:hAnsi="宋体" w:eastAsia="黑体"/>
          <w:b/>
          <w:bCs/>
          <w:color w:val="auto"/>
          <w:spacing w:val="140"/>
          <w:sz w:val="72"/>
          <w:highlight w:val="none"/>
        </w:rPr>
      </w:pPr>
    </w:p>
    <w:p>
      <w:pPr>
        <w:spacing w:line="900" w:lineRule="exact"/>
        <w:jc w:val="center"/>
        <w:rPr>
          <w:rFonts w:ascii="黑体" w:hAnsi="宋体" w:eastAsia="黑体"/>
          <w:b/>
          <w:bCs/>
          <w:color w:val="auto"/>
          <w:spacing w:val="140"/>
          <w:sz w:val="84"/>
          <w:szCs w:val="84"/>
          <w:highlight w:val="none"/>
        </w:rPr>
      </w:pPr>
    </w:p>
    <w:p>
      <w:pPr>
        <w:spacing w:line="900" w:lineRule="exact"/>
        <w:jc w:val="center"/>
        <w:rPr>
          <w:rFonts w:ascii="黑体" w:hAnsi="宋体" w:eastAsia="黑体"/>
          <w:b/>
          <w:bCs/>
          <w:color w:val="auto"/>
          <w:spacing w:val="140"/>
          <w:sz w:val="72"/>
          <w:szCs w:val="72"/>
          <w:highlight w:val="none"/>
        </w:rPr>
      </w:pPr>
      <w:r>
        <w:rPr>
          <w:rFonts w:hint="eastAsia" w:ascii="黑体" w:hAnsi="宋体" w:eastAsia="黑体"/>
          <w:b/>
          <w:bCs/>
          <w:color w:val="auto"/>
          <w:spacing w:val="140"/>
          <w:sz w:val="72"/>
          <w:szCs w:val="72"/>
          <w:highlight w:val="none"/>
        </w:rPr>
        <w:t>采 购 文 件</w:t>
      </w:r>
    </w:p>
    <w:p>
      <w:pPr>
        <w:spacing w:line="600" w:lineRule="exact"/>
        <w:jc w:val="center"/>
        <w:rPr>
          <w:rFonts w:ascii="宋体" w:hAnsi="宋体"/>
          <w:b/>
          <w:bCs/>
          <w:color w:val="auto"/>
          <w:spacing w:val="140"/>
          <w:sz w:val="84"/>
          <w:szCs w:val="84"/>
          <w:highlight w:val="none"/>
        </w:rPr>
      </w:pPr>
    </w:p>
    <w:p>
      <w:pPr>
        <w:spacing w:line="400" w:lineRule="exact"/>
        <w:jc w:val="center"/>
        <w:rPr>
          <w:rFonts w:ascii="宋体" w:hAnsi="宋体"/>
          <w:b/>
          <w:bCs/>
          <w:color w:val="auto"/>
          <w:sz w:val="32"/>
          <w:szCs w:val="32"/>
          <w:highlight w:val="none"/>
        </w:rPr>
      </w:pPr>
    </w:p>
    <w:p>
      <w:pPr>
        <w:jc w:val="center"/>
        <w:rPr>
          <w:rFonts w:ascii="宋体" w:hAnsi="宋体"/>
          <w:color w:val="auto"/>
          <w:spacing w:val="40"/>
          <w:sz w:val="30"/>
          <w:szCs w:val="30"/>
          <w:highlight w:val="none"/>
        </w:rPr>
      </w:pPr>
    </w:p>
    <w:p>
      <w:pPr>
        <w:jc w:val="center"/>
        <w:rPr>
          <w:rFonts w:ascii="宋体" w:hAnsi="宋体"/>
          <w:color w:val="auto"/>
          <w:spacing w:val="40"/>
          <w:sz w:val="30"/>
          <w:szCs w:val="30"/>
          <w:highlight w:val="none"/>
        </w:rPr>
      </w:pPr>
    </w:p>
    <w:p>
      <w:pPr>
        <w:jc w:val="center"/>
        <w:rPr>
          <w:rFonts w:ascii="宋体" w:hAnsi="宋体"/>
          <w:color w:val="auto"/>
          <w:spacing w:val="40"/>
          <w:sz w:val="30"/>
          <w:szCs w:val="30"/>
          <w:highlight w:val="none"/>
        </w:rPr>
      </w:pPr>
    </w:p>
    <w:p>
      <w:pPr>
        <w:jc w:val="center"/>
        <w:rPr>
          <w:rFonts w:ascii="宋体" w:hAnsi="宋体"/>
          <w:color w:val="auto"/>
          <w:spacing w:val="40"/>
          <w:sz w:val="30"/>
          <w:szCs w:val="30"/>
          <w:highlight w:val="none"/>
        </w:rPr>
      </w:pPr>
    </w:p>
    <w:tbl>
      <w:tblPr>
        <w:tblStyle w:val="69"/>
        <w:tblW w:w="6415" w:type="dxa"/>
        <w:jc w:val="center"/>
        <w:tblLayout w:type="fixed"/>
        <w:tblCellMar>
          <w:top w:w="0" w:type="dxa"/>
          <w:left w:w="108" w:type="dxa"/>
          <w:bottom w:w="0" w:type="dxa"/>
          <w:right w:w="108" w:type="dxa"/>
        </w:tblCellMar>
      </w:tblPr>
      <w:tblGrid>
        <w:gridCol w:w="1521"/>
        <w:gridCol w:w="4894"/>
      </w:tblGrid>
      <w:tr>
        <w:trPr>
          <w:trHeight w:val="522" w:hRule="atLeast"/>
          <w:jc w:val="center"/>
        </w:trPr>
        <w:tc>
          <w:tcPr>
            <w:tcW w:w="1521" w:type="dxa"/>
            <w:vAlign w:val="center"/>
          </w:tcPr>
          <w:p>
            <w:pPr>
              <w:rPr>
                <w:rFonts w:ascii="黑体" w:hAnsi="宋体" w:eastAsia="黑体" w:cs="Arial"/>
                <w:b/>
                <w:color w:val="auto"/>
                <w:sz w:val="28"/>
                <w:szCs w:val="28"/>
                <w:highlight w:val="none"/>
              </w:rPr>
            </w:pPr>
            <w:r>
              <w:rPr>
                <w:rFonts w:hint="eastAsia" w:ascii="黑体" w:hAnsi="宋体" w:eastAsia="黑体" w:cs="Arial"/>
                <w:b/>
                <w:color w:val="auto"/>
                <w:sz w:val="28"/>
                <w:szCs w:val="28"/>
                <w:highlight w:val="none"/>
              </w:rPr>
              <w:t>招标编号：</w:t>
            </w:r>
          </w:p>
        </w:tc>
        <w:tc>
          <w:tcPr>
            <w:tcW w:w="4894" w:type="dxa"/>
            <w:vAlign w:val="center"/>
          </w:tcPr>
          <w:p>
            <w:pPr>
              <w:rPr>
                <w:rFonts w:hint="eastAsia" w:ascii="黑体" w:hAnsi="宋体" w:eastAsia="新宋体" w:cs="Arial"/>
                <w:b/>
                <w:color w:val="auto"/>
                <w:sz w:val="28"/>
                <w:szCs w:val="28"/>
                <w:highlight w:val="none"/>
                <w:lang w:val="en-US" w:eastAsia="zh-CN"/>
              </w:rPr>
            </w:pPr>
            <w:r>
              <w:rPr>
                <w:rFonts w:hint="eastAsia" w:eastAsia="新宋体"/>
                <w:b/>
                <w:color w:val="auto"/>
                <w:sz w:val="30"/>
                <w:szCs w:val="30"/>
                <w:highlight w:val="none"/>
                <w:lang w:eastAsia="zh-CN"/>
              </w:rPr>
              <w:t>ZJHJ-ZFCG-2022-35</w:t>
            </w:r>
          </w:p>
        </w:tc>
      </w:tr>
      <w:tr>
        <w:tblPrEx>
          <w:tblCellMar>
            <w:top w:w="0" w:type="dxa"/>
            <w:left w:w="108" w:type="dxa"/>
            <w:bottom w:w="0" w:type="dxa"/>
            <w:right w:w="108" w:type="dxa"/>
          </w:tblCellMar>
        </w:tblPrEx>
        <w:trPr>
          <w:trHeight w:val="522" w:hRule="atLeast"/>
          <w:jc w:val="center"/>
        </w:trPr>
        <w:tc>
          <w:tcPr>
            <w:tcW w:w="1521" w:type="dxa"/>
            <w:vAlign w:val="center"/>
          </w:tcPr>
          <w:p>
            <w:pPr>
              <w:rPr>
                <w:rFonts w:ascii="黑体" w:hAnsi="宋体" w:eastAsia="黑体" w:cs="Arial"/>
                <w:b/>
                <w:color w:val="auto"/>
                <w:sz w:val="28"/>
                <w:szCs w:val="28"/>
                <w:highlight w:val="none"/>
              </w:rPr>
            </w:pPr>
            <w:r>
              <w:rPr>
                <w:rFonts w:hint="eastAsia" w:ascii="黑体" w:hAnsi="宋体" w:eastAsia="黑体" w:cs="Arial"/>
                <w:b/>
                <w:color w:val="auto"/>
                <w:sz w:val="28"/>
                <w:szCs w:val="28"/>
                <w:highlight w:val="none"/>
              </w:rPr>
              <w:t>招标项目：</w:t>
            </w:r>
          </w:p>
        </w:tc>
        <w:tc>
          <w:tcPr>
            <w:tcW w:w="4894" w:type="dxa"/>
            <w:vAlign w:val="center"/>
          </w:tcPr>
          <w:p>
            <w:pPr>
              <w:rPr>
                <w:rFonts w:hint="eastAsia" w:ascii="黑体" w:hAnsi="宋体" w:eastAsia="黑体" w:cs="Arial"/>
                <w:b/>
                <w:color w:val="auto"/>
                <w:sz w:val="28"/>
                <w:szCs w:val="28"/>
                <w:highlight w:val="none"/>
                <w:lang w:eastAsia="zh-CN"/>
              </w:rPr>
            </w:pPr>
            <w:r>
              <w:rPr>
                <w:rFonts w:hint="eastAsia" w:eastAsia="新宋体"/>
                <w:b/>
                <w:color w:val="auto"/>
                <w:sz w:val="30"/>
                <w:szCs w:val="30"/>
                <w:highlight w:val="none"/>
                <w:lang w:eastAsia="zh-CN"/>
              </w:rPr>
              <w:t>温州市智慧园林系统（城市绿地在线应用）</w:t>
            </w:r>
          </w:p>
        </w:tc>
      </w:tr>
      <w:tr>
        <w:tblPrEx>
          <w:tblCellMar>
            <w:top w:w="0" w:type="dxa"/>
            <w:left w:w="108" w:type="dxa"/>
            <w:bottom w:w="0" w:type="dxa"/>
            <w:right w:w="108" w:type="dxa"/>
          </w:tblCellMar>
        </w:tblPrEx>
        <w:trPr>
          <w:trHeight w:val="522" w:hRule="atLeast"/>
          <w:jc w:val="center"/>
        </w:trPr>
        <w:tc>
          <w:tcPr>
            <w:tcW w:w="1521" w:type="dxa"/>
            <w:vAlign w:val="center"/>
          </w:tcPr>
          <w:p>
            <w:pPr>
              <w:rPr>
                <w:rFonts w:ascii="黑体" w:hAnsi="宋体" w:eastAsia="黑体" w:cs="Arial"/>
                <w:b/>
                <w:color w:val="auto"/>
                <w:sz w:val="28"/>
                <w:szCs w:val="28"/>
                <w:highlight w:val="none"/>
              </w:rPr>
            </w:pPr>
            <w:r>
              <w:rPr>
                <w:rFonts w:hint="eastAsia" w:ascii="黑体" w:hAnsi="宋体" w:eastAsia="黑体" w:cs="Arial"/>
                <w:b/>
                <w:color w:val="auto"/>
                <w:sz w:val="28"/>
                <w:szCs w:val="28"/>
                <w:highlight w:val="none"/>
              </w:rPr>
              <w:t>招标方式：</w:t>
            </w:r>
          </w:p>
        </w:tc>
        <w:tc>
          <w:tcPr>
            <w:tcW w:w="4894" w:type="dxa"/>
            <w:vAlign w:val="center"/>
          </w:tcPr>
          <w:p>
            <w:pPr>
              <w:rPr>
                <w:rFonts w:ascii="黑体" w:hAnsi="宋体" w:eastAsia="黑体" w:cs="Arial"/>
                <w:b/>
                <w:color w:val="auto"/>
                <w:sz w:val="28"/>
                <w:szCs w:val="28"/>
                <w:highlight w:val="none"/>
              </w:rPr>
            </w:pPr>
            <w:r>
              <w:rPr>
                <w:rFonts w:hint="eastAsia" w:eastAsia="新宋体"/>
                <w:b/>
                <w:color w:val="auto"/>
                <w:sz w:val="30"/>
                <w:szCs w:val="30"/>
                <w:highlight w:val="none"/>
              </w:rPr>
              <w:t>公开招标</w:t>
            </w:r>
          </w:p>
        </w:tc>
      </w:tr>
    </w:tbl>
    <w:p>
      <w:pPr>
        <w:spacing w:line="600" w:lineRule="exact"/>
        <w:ind w:firstLine="904" w:firstLineChars="300"/>
        <w:jc w:val="center"/>
        <w:rPr>
          <w:rFonts w:ascii="宋体" w:hAnsi="宋体"/>
          <w:b/>
          <w:color w:val="auto"/>
          <w:sz w:val="30"/>
          <w:szCs w:val="30"/>
          <w:highlight w:val="none"/>
        </w:rPr>
      </w:pPr>
    </w:p>
    <w:p>
      <w:pPr>
        <w:spacing w:line="600" w:lineRule="exact"/>
        <w:ind w:firstLine="904" w:firstLineChars="300"/>
        <w:jc w:val="center"/>
        <w:rPr>
          <w:rFonts w:ascii="宋体" w:hAnsi="宋体"/>
          <w:b/>
          <w:color w:val="auto"/>
          <w:sz w:val="30"/>
          <w:szCs w:val="30"/>
          <w:highlight w:val="none"/>
        </w:rPr>
      </w:pPr>
    </w:p>
    <w:p>
      <w:pPr>
        <w:spacing w:line="600" w:lineRule="exact"/>
        <w:ind w:firstLine="1205" w:firstLineChars="400"/>
        <w:rPr>
          <w:rFonts w:eastAsia="新宋体"/>
          <w:b/>
          <w:color w:val="auto"/>
          <w:spacing w:val="40"/>
          <w:sz w:val="30"/>
          <w:szCs w:val="30"/>
          <w:highlight w:val="none"/>
        </w:rPr>
      </w:pPr>
      <w:r>
        <w:rPr>
          <w:rFonts w:hint="eastAsia" w:eastAsia="新宋体"/>
          <w:b/>
          <w:color w:val="auto"/>
          <w:sz w:val="30"/>
          <w:szCs w:val="30"/>
          <w:highlight w:val="none"/>
        </w:rPr>
        <w:t>招  标  人：温州市园林绿化管理中心</w:t>
      </w:r>
    </w:p>
    <w:p>
      <w:pPr>
        <w:spacing w:line="600" w:lineRule="exact"/>
        <w:ind w:firstLine="1144" w:firstLineChars="300"/>
        <w:rPr>
          <w:rFonts w:eastAsia="新宋体"/>
          <w:b/>
          <w:color w:val="auto"/>
          <w:spacing w:val="40"/>
          <w:sz w:val="30"/>
          <w:szCs w:val="30"/>
          <w:highlight w:val="none"/>
        </w:rPr>
      </w:pPr>
      <w:r>
        <w:rPr>
          <w:rFonts w:hint="eastAsia" w:eastAsia="新宋体"/>
          <w:b/>
          <w:color w:val="auto"/>
          <w:spacing w:val="40"/>
          <w:sz w:val="30"/>
          <w:szCs w:val="30"/>
          <w:highlight w:val="none"/>
        </w:rPr>
        <w:t>招标代理</w:t>
      </w:r>
      <w:r>
        <w:rPr>
          <w:rFonts w:hint="eastAsia" w:eastAsia="新宋体"/>
          <w:b/>
          <w:color w:val="auto"/>
          <w:sz w:val="30"/>
          <w:szCs w:val="30"/>
          <w:highlight w:val="none"/>
        </w:rPr>
        <w:t>：</w:t>
      </w:r>
      <w:r>
        <w:rPr>
          <w:rFonts w:hint="eastAsia" w:eastAsia="新宋体"/>
          <w:b/>
          <w:color w:val="auto"/>
          <w:spacing w:val="12"/>
          <w:sz w:val="30"/>
          <w:szCs w:val="30"/>
          <w:highlight w:val="none"/>
        </w:rPr>
        <w:t>浙江恒杰工程管理有限公司</w:t>
      </w:r>
    </w:p>
    <w:p>
      <w:pPr>
        <w:spacing w:line="600" w:lineRule="exact"/>
        <w:jc w:val="center"/>
        <w:rPr>
          <w:rFonts w:eastAsia="新宋体"/>
          <w:b/>
          <w:color w:val="auto"/>
          <w:spacing w:val="40"/>
          <w:sz w:val="30"/>
          <w:szCs w:val="30"/>
          <w:highlight w:val="none"/>
        </w:rPr>
      </w:pPr>
      <w:r>
        <w:rPr>
          <w:rFonts w:hint="eastAsia" w:eastAsia="新宋体"/>
          <w:b/>
          <w:color w:val="auto"/>
          <w:spacing w:val="40"/>
          <w:sz w:val="30"/>
          <w:szCs w:val="30"/>
          <w:highlight w:val="none"/>
        </w:rPr>
        <w:t>二〇二</w:t>
      </w:r>
      <w:r>
        <w:rPr>
          <w:rFonts w:hint="eastAsia" w:eastAsia="新宋体"/>
          <w:b/>
          <w:color w:val="auto"/>
          <w:spacing w:val="40"/>
          <w:sz w:val="30"/>
          <w:szCs w:val="30"/>
          <w:highlight w:val="none"/>
          <w:lang w:val="en-US" w:eastAsia="zh-CN"/>
        </w:rPr>
        <w:t>二</w:t>
      </w:r>
      <w:r>
        <w:rPr>
          <w:rFonts w:hint="eastAsia" w:eastAsia="新宋体"/>
          <w:b/>
          <w:color w:val="auto"/>
          <w:spacing w:val="40"/>
          <w:sz w:val="30"/>
          <w:szCs w:val="30"/>
          <w:highlight w:val="none"/>
        </w:rPr>
        <w:t>年</w:t>
      </w:r>
      <w:r>
        <w:rPr>
          <w:rFonts w:hint="eastAsia" w:eastAsia="新宋体"/>
          <w:b/>
          <w:color w:val="auto"/>
          <w:spacing w:val="40"/>
          <w:sz w:val="30"/>
          <w:szCs w:val="30"/>
          <w:highlight w:val="none"/>
          <w:lang w:val="en-US" w:eastAsia="zh-CN"/>
        </w:rPr>
        <w:t>八</w:t>
      </w:r>
      <w:r>
        <w:rPr>
          <w:rFonts w:hint="eastAsia" w:eastAsia="新宋体"/>
          <w:b/>
          <w:color w:val="auto"/>
          <w:spacing w:val="40"/>
          <w:sz w:val="30"/>
          <w:szCs w:val="30"/>
          <w:highlight w:val="none"/>
        </w:rPr>
        <w:t>月</w:t>
      </w:r>
    </w:p>
    <w:p>
      <w:pPr>
        <w:spacing w:line="240" w:lineRule="atLeast"/>
        <w:rPr>
          <w:rFonts w:ascii="宋体" w:hAnsi="宋体"/>
          <w:b/>
          <w:color w:val="auto"/>
          <w:szCs w:val="21"/>
          <w:highlight w:val="none"/>
        </w:rPr>
      </w:pPr>
      <w:r>
        <w:rPr>
          <w:rFonts w:ascii="宋体" w:hAnsi="宋体"/>
          <w:b/>
          <w:color w:val="auto"/>
          <w:szCs w:val="21"/>
          <w:highlight w:val="none"/>
        </w:rPr>
        <w:br w:type="page"/>
      </w:r>
    </w:p>
    <w:p>
      <w:pPr>
        <w:jc w:val="center"/>
        <w:rPr>
          <w:rFonts w:ascii="黑体" w:hAnsi="宋体" w:eastAsia="黑体"/>
          <w:b/>
          <w:bCs/>
          <w:color w:val="auto"/>
          <w:sz w:val="36"/>
          <w:szCs w:val="36"/>
          <w:highlight w:val="none"/>
        </w:rPr>
      </w:pPr>
      <w:r>
        <w:rPr>
          <w:rFonts w:hint="eastAsia" w:ascii="黑体" w:hAnsi="宋体" w:eastAsia="黑体"/>
          <w:b/>
          <w:bCs/>
          <w:color w:val="auto"/>
          <w:sz w:val="36"/>
          <w:szCs w:val="36"/>
          <w:highlight w:val="none"/>
        </w:rPr>
        <w:t>目    录</w:t>
      </w:r>
    </w:p>
    <w:p>
      <w:pPr>
        <w:spacing w:line="240" w:lineRule="atLeast"/>
        <w:jc w:val="center"/>
        <w:rPr>
          <w:rFonts w:ascii="宋体" w:hAnsi="宋体"/>
          <w:b/>
          <w:bCs/>
          <w:color w:val="auto"/>
          <w:szCs w:val="21"/>
          <w:highlight w:val="none"/>
        </w:rPr>
      </w:pPr>
    </w:p>
    <w:p>
      <w:pPr>
        <w:spacing w:line="560" w:lineRule="exact"/>
        <w:ind w:firstLine="840" w:firstLineChars="400"/>
        <w:rPr>
          <w:rFonts w:ascii="宋体" w:hAnsi="宋体"/>
          <w:color w:val="auto"/>
          <w:szCs w:val="21"/>
          <w:highlight w:val="none"/>
        </w:rPr>
      </w:pPr>
      <w:r>
        <w:rPr>
          <w:rFonts w:hint="eastAsia" w:ascii="宋体" w:hAnsi="宋体"/>
          <w:color w:val="auto"/>
          <w:szCs w:val="21"/>
          <w:highlight w:val="none"/>
        </w:rPr>
        <w:t>招标公告                         …………………………………………………………3</w:t>
      </w:r>
    </w:p>
    <w:p>
      <w:pPr>
        <w:spacing w:line="560" w:lineRule="exact"/>
        <w:ind w:firstLine="840" w:firstLineChars="400"/>
        <w:rPr>
          <w:rFonts w:ascii="宋体" w:hAnsi="宋体"/>
          <w:color w:val="auto"/>
          <w:szCs w:val="21"/>
          <w:highlight w:val="none"/>
        </w:rPr>
      </w:pPr>
      <w:r>
        <w:rPr>
          <w:rFonts w:hint="eastAsia" w:ascii="宋体" w:hAnsi="宋体"/>
          <w:color w:val="auto"/>
          <w:szCs w:val="21"/>
          <w:highlight w:val="none"/>
        </w:rPr>
        <w:t xml:space="preserve">第一部分   投标人须知            </w:t>
      </w:r>
      <w:r>
        <w:rPr>
          <w:rFonts w:ascii="宋体" w:hAnsi="宋体"/>
          <w:color w:val="auto"/>
          <w:szCs w:val="21"/>
          <w:highlight w:val="none"/>
        </w:rPr>
        <w:t>…………………………………………………………</w:t>
      </w:r>
      <w:r>
        <w:rPr>
          <w:rFonts w:hint="eastAsia" w:ascii="宋体" w:hAnsi="宋体"/>
          <w:color w:val="auto"/>
          <w:szCs w:val="21"/>
          <w:highlight w:val="none"/>
        </w:rPr>
        <w:t>6</w:t>
      </w:r>
    </w:p>
    <w:p>
      <w:pPr>
        <w:spacing w:line="560" w:lineRule="exact"/>
        <w:rPr>
          <w:rFonts w:ascii="宋体" w:hAnsi="宋体"/>
          <w:color w:val="auto"/>
          <w:szCs w:val="21"/>
          <w:highlight w:val="none"/>
        </w:rPr>
      </w:pPr>
      <w:r>
        <w:rPr>
          <w:rFonts w:hint="eastAsia" w:ascii="宋体" w:hAnsi="宋体"/>
          <w:color w:val="auto"/>
          <w:szCs w:val="21"/>
          <w:highlight w:val="none"/>
        </w:rPr>
        <w:t xml:space="preserve">                   一  说明              </w:t>
      </w:r>
      <w:r>
        <w:rPr>
          <w:rFonts w:ascii="宋体" w:hAnsi="宋体"/>
          <w:color w:val="auto"/>
          <w:szCs w:val="21"/>
          <w:highlight w:val="none"/>
        </w:rPr>
        <w:t>…………………………………………………………</w:t>
      </w:r>
      <w:r>
        <w:rPr>
          <w:rFonts w:hint="eastAsia" w:ascii="宋体" w:hAnsi="宋体"/>
          <w:color w:val="auto"/>
          <w:szCs w:val="21"/>
          <w:highlight w:val="none"/>
        </w:rPr>
        <w:t>6</w:t>
      </w:r>
    </w:p>
    <w:p>
      <w:pPr>
        <w:spacing w:line="560" w:lineRule="exact"/>
        <w:rPr>
          <w:rFonts w:ascii="宋体" w:hAnsi="宋体"/>
          <w:color w:val="auto"/>
          <w:szCs w:val="21"/>
          <w:highlight w:val="none"/>
        </w:rPr>
      </w:pPr>
      <w:r>
        <w:rPr>
          <w:rFonts w:hint="eastAsia" w:ascii="宋体" w:hAnsi="宋体"/>
          <w:color w:val="auto"/>
          <w:szCs w:val="21"/>
          <w:highlight w:val="none"/>
        </w:rPr>
        <w:t xml:space="preserve">                   二  采购文件          </w:t>
      </w:r>
      <w:r>
        <w:rPr>
          <w:rFonts w:ascii="宋体" w:hAnsi="宋体"/>
          <w:color w:val="auto"/>
          <w:szCs w:val="21"/>
          <w:highlight w:val="none"/>
        </w:rPr>
        <w:t>…………………………………………………………</w:t>
      </w:r>
      <w:r>
        <w:rPr>
          <w:rFonts w:hint="eastAsia" w:ascii="宋体" w:hAnsi="宋体"/>
          <w:color w:val="auto"/>
          <w:szCs w:val="21"/>
          <w:highlight w:val="none"/>
        </w:rPr>
        <w:t>6</w:t>
      </w:r>
    </w:p>
    <w:p>
      <w:pPr>
        <w:spacing w:line="560" w:lineRule="exact"/>
        <w:rPr>
          <w:rFonts w:ascii="宋体" w:hAnsi="宋体"/>
          <w:color w:val="auto"/>
          <w:szCs w:val="21"/>
          <w:highlight w:val="none"/>
        </w:rPr>
      </w:pPr>
      <w:r>
        <w:rPr>
          <w:rFonts w:hint="eastAsia" w:ascii="宋体" w:hAnsi="宋体"/>
          <w:color w:val="auto"/>
          <w:szCs w:val="21"/>
          <w:highlight w:val="none"/>
        </w:rPr>
        <w:t xml:space="preserve">                   三  投标文件的编制    </w:t>
      </w:r>
      <w:r>
        <w:rPr>
          <w:rFonts w:ascii="宋体" w:hAnsi="宋体"/>
          <w:color w:val="auto"/>
          <w:szCs w:val="21"/>
          <w:highlight w:val="none"/>
        </w:rPr>
        <w:t>…………………………………………………………</w:t>
      </w:r>
      <w:r>
        <w:rPr>
          <w:rFonts w:hint="eastAsia" w:ascii="宋体" w:hAnsi="宋体"/>
          <w:color w:val="auto"/>
          <w:szCs w:val="21"/>
          <w:highlight w:val="none"/>
        </w:rPr>
        <w:t>7</w:t>
      </w:r>
    </w:p>
    <w:p>
      <w:pPr>
        <w:spacing w:line="560" w:lineRule="exact"/>
        <w:rPr>
          <w:rFonts w:ascii="宋体" w:hAnsi="宋体"/>
          <w:color w:val="auto"/>
          <w:szCs w:val="21"/>
          <w:highlight w:val="none"/>
        </w:rPr>
      </w:pPr>
      <w:r>
        <w:rPr>
          <w:rFonts w:hint="eastAsia" w:ascii="宋体" w:hAnsi="宋体"/>
          <w:color w:val="auto"/>
          <w:szCs w:val="21"/>
          <w:highlight w:val="none"/>
        </w:rPr>
        <w:t xml:space="preserve">                   四  投标文件的递交    </w:t>
      </w:r>
      <w:r>
        <w:rPr>
          <w:rFonts w:ascii="宋体" w:hAnsi="宋体"/>
          <w:color w:val="auto"/>
          <w:szCs w:val="21"/>
          <w:highlight w:val="none"/>
        </w:rPr>
        <w:t>…………………………………………………………</w:t>
      </w:r>
      <w:r>
        <w:rPr>
          <w:rFonts w:hint="eastAsia" w:ascii="宋体" w:hAnsi="宋体"/>
          <w:color w:val="auto"/>
          <w:szCs w:val="21"/>
          <w:highlight w:val="none"/>
          <w:lang w:val="en-US" w:eastAsia="zh-CN"/>
        </w:rPr>
        <w:t>10</w:t>
      </w:r>
      <w:r>
        <w:rPr>
          <w:rFonts w:hint="eastAsia" w:ascii="宋体" w:hAnsi="宋体"/>
          <w:color w:val="auto"/>
          <w:szCs w:val="21"/>
          <w:highlight w:val="none"/>
        </w:rPr>
        <w:t xml:space="preserve">                 </w:t>
      </w:r>
    </w:p>
    <w:p>
      <w:pPr>
        <w:spacing w:line="560" w:lineRule="exact"/>
        <w:ind w:firstLine="1995" w:firstLineChars="950"/>
        <w:rPr>
          <w:rFonts w:ascii="宋体" w:hAnsi="宋体"/>
          <w:color w:val="auto"/>
          <w:szCs w:val="21"/>
          <w:highlight w:val="none"/>
        </w:rPr>
      </w:pPr>
      <w:r>
        <w:rPr>
          <w:rFonts w:hint="eastAsia" w:ascii="宋体" w:hAnsi="宋体"/>
          <w:color w:val="auto"/>
          <w:szCs w:val="21"/>
          <w:highlight w:val="none"/>
        </w:rPr>
        <w:t xml:space="preserve">五  开标和评标        </w:t>
      </w:r>
      <w:r>
        <w:rPr>
          <w:rFonts w:ascii="宋体" w:hAnsi="宋体"/>
          <w:color w:val="auto"/>
          <w:szCs w:val="21"/>
          <w:highlight w:val="none"/>
        </w:rPr>
        <w:t>…………………………………………………………</w:t>
      </w:r>
      <w:r>
        <w:rPr>
          <w:rFonts w:hint="eastAsia" w:ascii="宋体" w:hAnsi="宋体"/>
          <w:color w:val="auto"/>
          <w:szCs w:val="21"/>
          <w:highlight w:val="none"/>
        </w:rPr>
        <w:t xml:space="preserve">10  </w:t>
      </w:r>
    </w:p>
    <w:p>
      <w:pPr>
        <w:spacing w:line="560" w:lineRule="exact"/>
        <w:rPr>
          <w:rFonts w:ascii="宋体" w:hAnsi="宋体"/>
          <w:color w:val="auto"/>
          <w:szCs w:val="21"/>
          <w:highlight w:val="none"/>
        </w:rPr>
      </w:pPr>
      <w:r>
        <w:rPr>
          <w:rFonts w:hint="eastAsia" w:ascii="宋体" w:hAnsi="宋体"/>
          <w:color w:val="auto"/>
          <w:szCs w:val="21"/>
          <w:highlight w:val="none"/>
        </w:rPr>
        <w:t xml:space="preserve">                   六  授予合同          </w:t>
      </w:r>
      <w:r>
        <w:rPr>
          <w:rFonts w:ascii="宋体" w:hAnsi="宋体"/>
          <w:color w:val="auto"/>
          <w:szCs w:val="21"/>
          <w:highlight w:val="none"/>
        </w:rPr>
        <w:t>…………………………………………………………</w:t>
      </w:r>
      <w:r>
        <w:rPr>
          <w:rFonts w:hint="eastAsia" w:ascii="宋体" w:hAnsi="宋体"/>
          <w:color w:val="auto"/>
          <w:szCs w:val="21"/>
          <w:highlight w:val="none"/>
        </w:rPr>
        <w:t>12</w:t>
      </w:r>
    </w:p>
    <w:p>
      <w:pPr>
        <w:spacing w:line="560" w:lineRule="exact"/>
        <w:ind w:firstLine="840" w:firstLineChars="400"/>
        <w:rPr>
          <w:rFonts w:ascii="宋体" w:hAnsi="宋体"/>
          <w:color w:val="auto"/>
          <w:szCs w:val="21"/>
          <w:highlight w:val="none"/>
        </w:rPr>
      </w:pPr>
      <w:r>
        <w:rPr>
          <w:rFonts w:hint="eastAsia" w:ascii="宋体" w:hAnsi="宋体"/>
          <w:color w:val="auto"/>
          <w:szCs w:val="21"/>
          <w:highlight w:val="none"/>
        </w:rPr>
        <w:t xml:space="preserve">第二部分  </w:t>
      </w:r>
      <w:r>
        <w:rPr>
          <w:rFonts w:hint="eastAsia" w:ascii="宋体" w:hAnsi="宋体"/>
          <w:color w:val="auto"/>
          <w:szCs w:val="21"/>
          <w:highlight w:val="none"/>
          <w:lang w:val="zh-CN"/>
        </w:rPr>
        <w:t>政府采购政策功能相关说明</w:t>
      </w:r>
      <w:r>
        <w:rPr>
          <w:rFonts w:hint="eastAsia" w:ascii="宋体" w:hAnsi="宋体"/>
          <w:color w:val="auto"/>
          <w:szCs w:val="21"/>
          <w:highlight w:val="none"/>
        </w:rPr>
        <w:t xml:space="preserve">   ……………………………………………………14</w:t>
      </w:r>
    </w:p>
    <w:p>
      <w:pPr>
        <w:spacing w:line="560" w:lineRule="exact"/>
        <w:ind w:firstLine="840" w:firstLineChars="400"/>
        <w:rPr>
          <w:rFonts w:ascii="宋体" w:hAnsi="宋体"/>
          <w:color w:val="auto"/>
          <w:szCs w:val="21"/>
          <w:highlight w:val="none"/>
        </w:rPr>
      </w:pPr>
      <w:r>
        <w:rPr>
          <w:rFonts w:hint="eastAsia" w:ascii="宋体" w:hAnsi="宋体"/>
          <w:color w:val="auto"/>
          <w:szCs w:val="21"/>
          <w:highlight w:val="none"/>
        </w:rPr>
        <w:t xml:space="preserve">第三部分   合同主要条款          </w:t>
      </w:r>
      <w:r>
        <w:rPr>
          <w:rFonts w:ascii="宋体" w:hAnsi="宋体"/>
          <w:color w:val="auto"/>
          <w:szCs w:val="21"/>
          <w:highlight w:val="none"/>
        </w:rPr>
        <w:t>…………………………………………………………</w:t>
      </w:r>
      <w:r>
        <w:rPr>
          <w:rFonts w:hint="eastAsia" w:ascii="宋体" w:hAnsi="宋体"/>
          <w:color w:val="auto"/>
          <w:szCs w:val="21"/>
          <w:highlight w:val="none"/>
        </w:rPr>
        <w:t>18</w:t>
      </w:r>
    </w:p>
    <w:p>
      <w:pPr>
        <w:spacing w:line="560" w:lineRule="exact"/>
        <w:ind w:firstLine="840" w:firstLineChars="400"/>
        <w:rPr>
          <w:rFonts w:ascii="宋体" w:hAnsi="宋体"/>
          <w:color w:val="auto"/>
          <w:szCs w:val="21"/>
          <w:highlight w:val="none"/>
        </w:rPr>
      </w:pPr>
      <w:r>
        <w:rPr>
          <w:rFonts w:hint="eastAsia" w:ascii="宋体" w:hAnsi="宋体"/>
          <w:color w:val="auto"/>
          <w:szCs w:val="21"/>
          <w:highlight w:val="none"/>
        </w:rPr>
        <w:t xml:space="preserve">第四部分   合同格式              </w:t>
      </w:r>
      <w:r>
        <w:rPr>
          <w:rFonts w:ascii="宋体" w:hAnsi="宋体"/>
          <w:color w:val="auto"/>
          <w:szCs w:val="21"/>
          <w:highlight w:val="none"/>
        </w:rPr>
        <w:t>…………………………………………………………</w:t>
      </w:r>
      <w:r>
        <w:rPr>
          <w:rFonts w:hint="eastAsia" w:ascii="宋体" w:hAnsi="宋体"/>
          <w:color w:val="auto"/>
          <w:szCs w:val="21"/>
          <w:highlight w:val="none"/>
        </w:rPr>
        <w:t>21</w:t>
      </w:r>
    </w:p>
    <w:p>
      <w:pPr>
        <w:spacing w:line="560" w:lineRule="exact"/>
        <w:ind w:firstLine="840" w:firstLineChars="400"/>
        <w:rPr>
          <w:rFonts w:ascii="宋体" w:hAnsi="宋体"/>
          <w:color w:val="auto"/>
          <w:szCs w:val="21"/>
          <w:highlight w:val="none"/>
        </w:rPr>
      </w:pPr>
      <w:r>
        <w:rPr>
          <w:rFonts w:hint="eastAsia" w:ascii="宋体" w:hAnsi="宋体"/>
          <w:color w:val="auto"/>
          <w:szCs w:val="21"/>
          <w:highlight w:val="none"/>
        </w:rPr>
        <w:t xml:space="preserve">第五部分   附件                  </w:t>
      </w:r>
      <w:r>
        <w:rPr>
          <w:rFonts w:ascii="宋体" w:hAnsi="宋体"/>
          <w:color w:val="auto"/>
          <w:szCs w:val="21"/>
          <w:highlight w:val="none"/>
        </w:rPr>
        <w:t>…………………………………………………………</w:t>
      </w:r>
      <w:r>
        <w:rPr>
          <w:rFonts w:hint="eastAsia" w:ascii="宋体" w:hAnsi="宋体"/>
          <w:color w:val="auto"/>
          <w:szCs w:val="21"/>
          <w:highlight w:val="none"/>
        </w:rPr>
        <w:t>22</w:t>
      </w:r>
    </w:p>
    <w:p>
      <w:pPr>
        <w:spacing w:line="560" w:lineRule="exact"/>
        <w:ind w:firstLine="840" w:firstLineChars="400"/>
        <w:rPr>
          <w:rFonts w:hint="eastAsia" w:ascii="宋体" w:hAnsi="宋体" w:eastAsia="宋体"/>
          <w:color w:val="auto"/>
          <w:szCs w:val="21"/>
          <w:highlight w:val="none"/>
          <w:lang w:eastAsia="zh-CN"/>
        </w:rPr>
      </w:pPr>
      <w:r>
        <w:rPr>
          <w:rFonts w:hint="eastAsia" w:ascii="宋体" w:hAnsi="宋体"/>
          <w:color w:val="auto"/>
          <w:szCs w:val="21"/>
          <w:highlight w:val="none"/>
        </w:rPr>
        <w:t xml:space="preserve">第六部分   招标内容及要求        </w:t>
      </w:r>
      <w:r>
        <w:rPr>
          <w:rFonts w:ascii="宋体" w:hAnsi="宋体"/>
          <w:color w:val="auto"/>
          <w:szCs w:val="21"/>
          <w:highlight w:val="none"/>
        </w:rPr>
        <w:t>…………………………………………………………</w:t>
      </w:r>
      <w:r>
        <w:rPr>
          <w:rFonts w:hint="eastAsia" w:ascii="宋体" w:hAnsi="宋体"/>
          <w:color w:val="auto"/>
          <w:szCs w:val="21"/>
          <w:highlight w:val="none"/>
        </w:rPr>
        <w:t>3</w:t>
      </w:r>
      <w:r>
        <w:rPr>
          <w:rFonts w:hint="eastAsia" w:ascii="宋体" w:hAnsi="宋体"/>
          <w:color w:val="auto"/>
          <w:szCs w:val="21"/>
          <w:highlight w:val="none"/>
          <w:lang w:val="en-US" w:eastAsia="zh-CN"/>
        </w:rPr>
        <w:t>4</w:t>
      </w:r>
    </w:p>
    <w:p>
      <w:pPr>
        <w:spacing w:line="560" w:lineRule="exact"/>
        <w:ind w:firstLine="840" w:firstLineChars="400"/>
        <w:rPr>
          <w:rFonts w:hint="default" w:ascii="宋体" w:hAnsi="宋体" w:eastAsia="宋体"/>
          <w:color w:val="auto"/>
          <w:szCs w:val="21"/>
          <w:highlight w:val="none"/>
          <w:lang w:val="en-US" w:eastAsia="zh-CN"/>
        </w:rPr>
      </w:pPr>
      <w:r>
        <w:rPr>
          <w:rFonts w:hint="eastAsia" w:ascii="宋体" w:hAnsi="宋体"/>
          <w:color w:val="auto"/>
          <w:szCs w:val="21"/>
          <w:highlight w:val="none"/>
        </w:rPr>
        <w:t xml:space="preserve">第七部分   评标原则及方法        </w:t>
      </w:r>
      <w:r>
        <w:rPr>
          <w:rFonts w:ascii="宋体" w:hAnsi="宋体"/>
          <w:color w:val="auto"/>
          <w:szCs w:val="21"/>
          <w:highlight w:val="none"/>
        </w:rPr>
        <w:t>…………………………………………………………</w:t>
      </w:r>
      <w:r>
        <w:rPr>
          <w:rFonts w:hint="eastAsia" w:ascii="宋体" w:hAnsi="宋体"/>
          <w:color w:val="auto"/>
          <w:szCs w:val="21"/>
          <w:highlight w:val="none"/>
          <w:lang w:val="en-US" w:eastAsia="zh-CN"/>
        </w:rPr>
        <w:t>49</w:t>
      </w:r>
    </w:p>
    <w:p>
      <w:pPr>
        <w:spacing w:line="560" w:lineRule="exact"/>
        <w:ind w:firstLine="843" w:firstLineChars="400"/>
        <w:rPr>
          <w:rFonts w:ascii="宋体" w:hAnsi="宋体"/>
          <w:b/>
          <w:bCs/>
          <w:color w:val="auto"/>
          <w:szCs w:val="21"/>
          <w:highlight w:val="none"/>
        </w:rPr>
      </w:pPr>
    </w:p>
    <w:p>
      <w:pPr>
        <w:spacing w:line="560" w:lineRule="exact"/>
        <w:rPr>
          <w:rFonts w:ascii="宋体" w:hAnsi="宋体"/>
          <w:b/>
          <w:bCs/>
          <w:color w:val="auto"/>
          <w:szCs w:val="21"/>
          <w:highlight w:val="none"/>
        </w:rPr>
        <w:sectPr>
          <w:headerReference r:id="rId4" w:type="first"/>
          <w:footerReference r:id="rId7" w:type="first"/>
          <w:headerReference r:id="rId3" w:type="default"/>
          <w:footerReference r:id="rId5" w:type="default"/>
          <w:footerReference r:id="rId6" w:type="even"/>
          <w:pgSz w:w="11906" w:h="16838"/>
          <w:pgMar w:top="1134" w:right="1134" w:bottom="1134" w:left="1134" w:header="851" w:footer="992" w:gutter="0"/>
          <w:cols w:space="720" w:num="1"/>
          <w:titlePg/>
          <w:docGrid w:linePitch="312" w:charSpace="0"/>
        </w:sectPr>
      </w:pPr>
      <w:r>
        <w:rPr>
          <w:rFonts w:hint="eastAsia" w:ascii="宋体" w:hAnsi="宋体"/>
          <w:b/>
          <w:bCs/>
          <w:color w:val="auto"/>
          <w:szCs w:val="21"/>
          <w:highlight w:val="none"/>
        </w:rPr>
        <w:t>注：采购文件中部分加“▲”、加粗及加下划线的条款，为招标的实质性要求和条件，着重提醒各投标人注意，并认真查看采购文件中的每一个条款及要求，因误读采购文件而造成的后果，招标人概不负责。</w:t>
      </w:r>
    </w:p>
    <w:p>
      <w:pPr>
        <w:pStyle w:val="3"/>
        <w:numPr>
          <w:ilvl w:val="0"/>
          <w:numId w:val="0"/>
        </w:numPr>
        <w:spacing w:before="120" w:after="120" w:line="440" w:lineRule="exact"/>
        <w:jc w:val="center"/>
        <w:rPr>
          <w:rFonts w:ascii="新宋体" w:hAnsi="新宋体" w:eastAsia="新宋体" w:cs="新宋体"/>
          <w:color w:val="auto"/>
          <w:kern w:val="2"/>
          <w:sz w:val="36"/>
          <w:szCs w:val="36"/>
          <w:highlight w:val="none"/>
        </w:rPr>
      </w:pPr>
      <w:bookmarkStart w:id="0" w:name="_Toc4699"/>
      <w:r>
        <w:rPr>
          <w:rFonts w:hint="eastAsia" w:ascii="新宋体" w:hAnsi="新宋体" w:eastAsia="新宋体" w:cs="新宋体"/>
          <w:color w:val="auto"/>
          <w:kern w:val="2"/>
          <w:sz w:val="36"/>
          <w:szCs w:val="36"/>
          <w:highlight w:val="none"/>
        </w:rPr>
        <w:t>浙江恒杰工程管理有限公司关于</w:t>
      </w:r>
      <w:r>
        <w:rPr>
          <w:rFonts w:hint="eastAsia" w:ascii="新宋体" w:hAnsi="新宋体" w:eastAsia="新宋体" w:cs="新宋体"/>
          <w:color w:val="auto"/>
          <w:kern w:val="2"/>
          <w:sz w:val="36"/>
          <w:szCs w:val="36"/>
          <w:highlight w:val="none"/>
          <w:lang w:eastAsia="zh-CN"/>
        </w:rPr>
        <w:t>温州市智慧园林系统（城市绿地在线应用）</w:t>
      </w:r>
      <w:r>
        <w:rPr>
          <w:rFonts w:hint="eastAsia" w:ascii="新宋体" w:hAnsi="新宋体" w:eastAsia="新宋体" w:cs="新宋体"/>
          <w:color w:val="auto"/>
          <w:kern w:val="2"/>
          <w:sz w:val="36"/>
          <w:szCs w:val="36"/>
          <w:highlight w:val="none"/>
        </w:rPr>
        <w:t>的公开招标公告</w:t>
      </w:r>
      <w:bookmarkEnd w:id="0"/>
    </w:p>
    <w:p>
      <w:pPr>
        <w:widowControl/>
        <w:spacing w:before="60" w:after="60" w:line="400" w:lineRule="exact"/>
        <w:ind w:right="60"/>
        <w:jc w:val="left"/>
        <w:rPr>
          <w:rFonts w:eastAsia="新宋体"/>
          <w:bCs/>
          <w:color w:val="auto"/>
          <w:kern w:val="0"/>
          <w:sz w:val="22"/>
          <w:szCs w:val="22"/>
          <w:highlight w:val="none"/>
        </w:rPr>
      </w:pPr>
      <w:r>
        <w:rPr>
          <w:rFonts w:hint="eastAsia" w:eastAsia="新宋体"/>
          <w:bCs/>
          <w:color w:val="auto"/>
          <w:kern w:val="0"/>
          <w:sz w:val="22"/>
          <w:szCs w:val="22"/>
          <w:highlight w:val="none"/>
        </w:rPr>
        <w:t xml:space="preserve">   根据《中华人民共和国政府采购法》等有关规定，经政府采购管理部门批准，浙江恒杰工程管理有限公司受温州市园林绿化管理中心委托，就</w:t>
      </w:r>
      <w:r>
        <w:rPr>
          <w:rFonts w:hint="eastAsia" w:eastAsia="新宋体"/>
          <w:bCs/>
          <w:color w:val="auto"/>
          <w:kern w:val="0"/>
          <w:sz w:val="22"/>
          <w:szCs w:val="22"/>
          <w:highlight w:val="none"/>
          <w:lang w:eastAsia="zh-CN"/>
        </w:rPr>
        <w:t>温州市智慧园林系统（城市绿地在线应用）</w:t>
      </w:r>
      <w:r>
        <w:rPr>
          <w:rFonts w:hint="eastAsia" w:eastAsia="新宋体"/>
          <w:bCs/>
          <w:color w:val="auto"/>
          <w:kern w:val="0"/>
          <w:sz w:val="22"/>
          <w:szCs w:val="22"/>
          <w:highlight w:val="none"/>
        </w:rPr>
        <w:t>以公开招标方式进行政府采购，欢迎国内合格的供应商前来投标。</w:t>
      </w:r>
    </w:p>
    <w:p>
      <w:pPr>
        <w:widowControl/>
        <w:spacing w:before="60" w:after="60" w:line="400" w:lineRule="exact"/>
        <w:ind w:right="60" w:firstLine="440" w:firstLineChars="200"/>
        <w:jc w:val="left"/>
        <w:rPr>
          <w:rFonts w:hint="eastAsia" w:eastAsia="新宋体"/>
          <w:color w:val="auto"/>
          <w:kern w:val="0"/>
          <w:sz w:val="22"/>
          <w:szCs w:val="22"/>
          <w:highlight w:val="none"/>
          <w:lang w:val="en-US" w:eastAsia="zh-CN"/>
        </w:rPr>
      </w:pPr>
      <w:r>
        <w:rPr>
          <w:rFonts w:hint="eastAsia" w:eastAsia="新宋体"/>
          <w:bCs/>
          <w:color w:val="auto"/>
          <w:kern w:val="0"/>
          <w:sz w:val="22"/>
          <w:szCs w:val="22"/>
          <w:highlight w:val="none"/>
        </w:rPr>
        <w:t>一、招标项目编号:</w:t>
      </w:r>
      <w:r>
        <w:rPr>
          <w:rFonts w:hint="eastAsia" w:eastAsia="新宋体"/>
          <w:bCs/>
          <w:color w:val="auto"/>
          <w:kern w:val="0"/>
          <w:sz w:val="22"/>
          <w:szCs w:val="22"/>
          <w:highlight w:val="none"/>
          <w:lang w:eastAsia="zh-CN"/>
        </w:rPr>
        <w:t>ZJHJ-ZFCG-2022-35</w:t>
      </w:r>
    </w:p>
    <w:p>
      <w:pPr>
        <w:widowControl/>
        <w:spacing w:before="60" w:after="60" w:line="400" w:lineRule="exact"/>
        <w:ind w:right="60" w:firstLine="440" w:firstLineChars="200"/>
        <w:jc w:val="left"/>
        <w:rPr>
          <w:rFonts w:eastAsia="新宋体"/>
          <w:bCs/>
          <w:color w:val="auto"/>
          <w:kern w:val="0"/>
          <w:sz w:val="22"/>
          <w:szCs w:val="22"/>
          <w:highlight w:val="none"/>
        </w:rPr>
      </w:pPr>
      <w:r>
        <w:rPr>
          <w:rFonts w:hint="eastAsia" w:eastAsia="新宋体"/>
          <w:bCs/>
          <w:color w:val="auto"/>
          <w:kern w:val="0"/>
          <w:sz w:val="22"/>
          <w:szCs w:val="22"/>
          <w:highlight w:val="none"/>
        </w:rPr>
        <w:t>二、采购组织类型：</w:t>
      </w:r>
      <w:bookmarkStart w:id="1" w:name="B09_采购组织类型"/>
      <w:r>
        <w:rPr>
          <w:rFonts w:hint="eastAsia" w:eastAsia="新宋体"/>
          <w:bCs/>
          <w:color w:val="auto"/>
          <w:kern w:val="0"/>
          <w:sz w:val="22"/>
          <w:szCs w:val="22"/>
          <w:highlight w:val="none"/>
        </w:rPr>
        <w:t>分散采购委托代理</w:t>
      </w:r>
      <w:bookmarkEnd w:id="1"/>
    </w:p>
    <w:p>
      <w:pPr>
        <w:widowControl/>
        <w:spacing w:before="60" w:after="60" w:line="400" w:lineRule="exact"/>
        <w:ind w:right="60" w:firstLine="440" w:firstLineChars="200"/>
        <w:jc w:val="left"/>
        <w:rPr>
          <w:rFonts w:eastAsia="新宋体"/>
          <w:bCs/>
          <w:color w:val="auto"/>
          <w:kern w:val="0"/>
          <w:sz w:val="22"/>
          <w:szCs w:val="22"/>
          <w:highlight w:val="none"/>
        </w:rPr>
      </w:pPr>
      <w:r>
        <w:rPr>
          <w:rFonts w:hint="eastAsia" w:eastAsia="新宋体"/>
          <w:bCs/>
          <w:color w:val="auto"/>
          <w:kern w:val="0"/>
          <w:sz w:val="22"/>
          <w:szCs w:val="22"/>
          <w:highlight w:val="none"/>
        </w:rPr>
        <w:t>三、招标项目概况（内容、用途、数量、简要技术要求等）：</w:t>
      </w:r>
    </w:p>
    <w:tbl>
      <w:tblPr>
        <w:tblStyle w:val="69"/>
        <w:tblW w:w="10557" w:type="dxa"/>
        <w:jc w:val="center"/>
        <w:tblLayout w:type="fixed"/>
        <w:tblCellMar>
          <w:top w:w="0" w:type="dxa"/>
          <w:left w:w="108" w:type="dxa"/>
          <w:bottom w:w="0" w:type="dxa"/>
          <w:right w:w="108" w:type="dxa"/>
        </w:tblCellMar>
      </w:tblPr>
      <w:tblGrid>
        <w:gridCol w:w="540"/>
        <w:gridCol w:w="1296"/>
        <w:gridCol w:w="648"/>
        <w:gridCol w:w="653"/>
        <w:gridCol w:w="1748"/>
        <w:gridCol w:w="1650"/>
        <w:gridCol w:w="4022"/>
      </w:tblGrid>
      <w:tr>
        <w:tblPrEx>
          <w:tblCellMar>
            <w:top w:w="0" w:type="dxa"/>
            <w:left w:w="108" w:type="dxa"/>
            <w:bottom w:w="0" w:type="dxa"/>
            <w:right w:w="108" w:type="dxa"/>
          </w:tblCellMar>
        </w:tblPrEx>
        <w:trPr>
          <w:trHeight w:val="1368" w:hRule="atLeast"/>
          <w:jc w:val="center"/>
        </w:trPr>
        <w:tc>
          <w:tcPr>
            <w:tcW w:w="5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ind w:left="60" w:right="60"/>
              <w:jc w:val="center"/>
              <w:rPr>
                <w:rFonts w:eastAsia="新宋体"/>
                <w:bCs/>
                <w:color w:val="auto"/>
                <w:kern w:val="0"/>
                <w:sz w:val="22"/>
                <w:szCs w:val="22"/>
                <w:highlight w:val="none"/>
              </w:rPr>
            </w:pPr>
            <w:bookmarkStart w:id="2" w:name="B09_招标内容"/>
            <w:bookmarkEnd w:id="2"/>
            <w:r>
              <w:rPr>
                <w:rFonts w:hint="eastAsia" w:eastAsia="新宋体"/>
                <w:bCs/>
                <w:color w:val="auto"/>
                <w:kern w:val="0"/>
                <w:sz w:val="22"/>
                <w:szCs w:val="22"/>
                <w:highlight w:val="none"/>
              </w:rPr>
              <w:t>序号</w:t>
            </w:r>
          </w:p>
        </w:tc>
        <w:tc>
          <w:tcPr>
            <w:tcW w:w="12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ind w:left="60" w:right="60"/>
              <w:jc w:val="center"/>
              <w:rPr>
                <w:rFonts w:eastAsia="新宋体"/>
                <w:bCs/>
                <w:color w:val="auto"/>
                <w:kern w:val="0"/>
                <w:sz w:val="22"/>
                <w:szCs w:val="22"/>
                <w:highlight w:val="none"/>
              </w:rPr>
            </w:pPr>
            <w:r>
              <w:rPr>
                <w:rFonts w:hint="eastAsia" w:eastAsia="新宋体"/>
                <w:bCs/>
                <w:color w:val="auto"/>
                <w:kern w:val="0"/>
                <w:sz w:val="22"/>
                <w:szCs w:val="22"/>
                <w:highlight w:val="none"/>
              </w:rPr>
              <w:t>项目名称</w:t>
            </w:r>
          </w:p>
        </w:tc>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ind w:left="60" w:right="60"/>
              <w:jc w:val="center"/>
              <w:rPr>
                <w:rFonts w:eastAsia="新宋体"/>
                <w:bCs/>
                <w:color w:val="auto"/>
                <w:kern w:val="0"/>
                <w:sz w:val="22"/>
                <w:szCs w:val="22"/>
                <w:highlight w:val="none"/>
              </w:rPr>
            </w:pPr>
            <w:r>
              <w:rPr>
                <w:rFonts w:hint="eastAsia" w:eastAsia="新宋体"/>
                <w:bCs/>
                <w:color w:val="auto"/>
                <w:kern w:val="0"/>
                <w:sz w:val="22"/>
                <w:szCs w:val="22"/>
                <w:highlight w:val="none"/>
              </w:rPr>
              <w:t>数量</w:t>
            </w:r>
          </w:p>
        </w:tc>
        <w:tc>
          <w:tcPr>
            <w:tcW w:w="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ind w:left="60" w:right="60"/>
              <w:jc w:val="center"/>
              <w:rPr>
                <w:rFonts w:eastAsia="新宋体"/>
                <w:bCs/>
                <w:color w:val="auto"/>
                <w:kern w:val="0"/>
                <w:sz w:val="22"/>
                <w:szCs w:val="22"/>
                <w:highlight w:val="none"/>
              </w:rPr>
            </w:pPr>
            <w:r>
              <w:rPr>
                <w:rFonts w:hint="eastAsia" w:eastAsia="新宋体"/>
                <w:bCs/>
                <w:color w:val="auto"/>
                <w:kern w:val="0"/>
                <w:sz w:val="22"/>
                <w:szCs w:val="22"/>
                <w:highlight w:val="none"/>
              </w:rPr>
              <w:t>单位</w:t>
            </w:r>
          </w:p>
        </w:tc>
        <w:tc>
          <w:tcPr>
            <w:tcW w:w="17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ind w:left="60" w:right="60"/>
              <w:jc w:val="center"/>
              <w:rPr>
                <w:rFonts w:eastAsia="新宋体"/>
                <w:bCs/>
                <w:color w:val="auto"/>
                <w:kern w:val="0"/>
                <w:sz w:val="22"/>
                <w:szCs w:val="22"/>
                <w:highlight w:val="none"/>
              </w:rPr>
            </w:pPr>
            <w:r>
              <w:rPr>
                <w:rFonts w:hint="eastAsia" w:eastAsia="新宋体"/>
                <w:bCs/>
                <w:color w:val="auto"/>
                <w:kern w:val="0"/>
                <w:sz w:val="22"/>
                <w:szCs w:val="22"/>
                <w:highlight w:val="none"/>
              </w:rPr>
              <w:t>预算控制金额</w:t>
            </w:r>
          </w:p>
          <w:p>
            <w:pPr>
              <w:widowControl/>
              <w:spacing w:before="60" w:after="60" w:line="400" w:lineRule="exact"/>
              <w:ind w:left="60" w:right="60"/>
              <w:jc w:val="center"/>
              <w:rPr>
                <w:rFonts w:eastAsia="新宋体"/>
                <w:bCs/>
                <w:color w:val="auto"/>
                <w:kern w:val="0"/>
                <w:sz w:val="22"/>
                <w:szCs w:val="22"/>
                <w:highlight w:val="none"/>
              </w:rPr>
            </w:pPr>
            <w:r>
              <w:rPr>
                <w:rFonts w:eastAsia="新宋体"/>
                <w:bCs/>
                <w:color w:val="auto"/>
                <w:kern w:val="0"/>
                <w:sz w:val="22"/>
                <w:szCs w:val="22"/>
                <w:highlight w:val="none"/>
              </w:rPr>
              <w:t>(</w:t>
            </w:r>
            <w:r>
              <w:rPr>
                <w:rFonts w:hint="eastAsia" w:eastAsia="新宋体"/>
                <w:bCs/>
                <w:color w:val="auto"/>
                <w:kern w:val="0"/>
                <w:sz w:val="22"/>
                <w:szCs w:val="22"/>
                <w:highlight w:val="none"/>
              </w:rPr>
              <w:t>万元</w:t>
            </w:r>
            <w:r>
              <w:rPr>
                <w:rFonts w:eastAsia="新宋体"/>
                <w:bCs/>
                <w:color w:val="auto"/>
                <w:kern w:val="0"/>
                <w:sz w:val="22"/>
                <w:szCs w:val="22"/>
                <w:highlight w:val="none"/>
              </w:rPr>
              <w:t>)</w:t>
            </w:r>
          </w:p>
        </w:tc>
        <w:tc>
          <w:tcPr>
            <w:tcW w:w="16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ind w:left="60" w:right="60"/>
              <w:jc w:val="center"/>
              <w:rPr>
                <w:rFonts w:hint="eastAsia" w:eastAsia="新宋体"/>
                <w:bCs/>
                <w:color w:val="auto"/>
                <w:kern w:val="0"/>
                <w:sz w:val="22"/>
                <w:szCs w:val="22"/>
                <w:highlight w:val="none"/>
                <w:lang w:val="en-US" w:eastAsia="zh-CN"/>
              </w:rPr>
            </w:pPr>
            <w:r>
              <w:rPr>
                <w:rFonts w:hint="eastAsia" w:eastAsia="新宋体"/>
                <w:bCs/>
                <w:color w:val="auto"/>
                <w:kern w:val="0"/>
                <w:sz w:val="22"/>
                <w:szCs w:val="22"/>
                <w:highlight w:val="none"/>
                <w:lang w:val="en-US" w:eastAsia="zh-CN"/>
              </w:rPr>
              <w:t>最高限价</w:t>
            </w:r>
          </w:p>
          <w:p>
            <w:pPr>
              <w:widowControl/>
              <w:spacing w:before="60" w:after="60" w:line="400" w:lineRule="exact"/>
              <w:ind w:left="60" w:right="60"/>
              <w:jc w:val="center"/>
              <w:rPr>
                <w:rFonts w:hint="default" w:eastAsia="新宋体"/>
                <w:bCs/>
                <w:color w:val="auto"/>
                <w:kern w:val="0"/>
                <w:sz w:val="22"/>
                <w:szCs w:val="22"/>
                <w:highlight w:val="none"/>
                <w:lang w:val="en-US" w:eastAsia="zh-CN"/>
              </w:rPr>
            </w:pPr>
            <w:r>
              <w:rPr>
                <w:rFonts w:hint="eastAsia" w:eastAsia="新宋体"/>
                <w:bCs/>
                <w:color w:val="auto"/>
                <w:kern w:val="0"/>
                <w:sz w:val="22"/>
                <w:szCs w:val="22"/>
                <w:highlight w:val="none"/>
                <w:lang w:val="en-US" w:eastAsia="zh-CN"/>
              </w:rPr>
              <w:t>（万元）</w:t>
            </w:r>
          </w:p>
        </w:tc>
        <w:tc>
          <w:tcPr>
            <w:tcW w:w="40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ind w:left="60" w:leftChars="0" w:right="60" w:rightChars="0"/>
              <w:jc w:val="center"/>
              <w:rPr>
                <w:rFonts w:hint="eastAsia" w:eastAsia="新宋体"/>
                <w:bCs/>
                <w:color w:val="auto"/>
                <w:kern w:val="0"/>
                <w:sz w:val="22"/>
                <w:szCs w:val="22"/>
                <w:highlight w:val="none"/>
              </w:rPr>
            </w:pPr>
            <w:r>
              <w:rPr>
                <w:rFonts w:hint="eastAsia" w:eastAsia="新宋体"/>
                <w:bCs/>
                <w:color w:val="auto"/>
                <w:kern w:val="0"/>
                <w:sz w:val="22"/>
                <w:szCs w:val="22"/>
                <w:highlight w:val="none"/>
              </w:rPr>
              <w:t>简要技术要求、内容</w:t>
            </w:r>
          </w:p>
        </w:tc>
      </w:tr>
      <w:tr>
        <w:tblPrEx>
          <w:tblCellMar>
            <w:top w:w="0" w:type="dxa"/>
            <w:left w:w="108" w:type="dxa"/>
            <w:bottom w:w="0" w:type="dxa"/>
            <w:right w:w="108" w:type="dxa"/>
          </w:tblCellMar>
        </w:tblPrEx>
        <w:trPr>
          <w:trHeight w:val="1721" w:hRule="atLeast"/>
          <w:jc w:val="center"/>
        </w:trPr>
        <w:tc>
          <w:tcPr>
            <w:tcW w:w="5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jc w:val="center"/>
              <w:rPr>
                <w:rFonts w:eastAsia="新宋体"/>
                <w:bCs/>
                <w:color w:val="auto"/>
                <w:kern w:val="0"/>
                <w:sz w:val="22"/>
                <w:szCs w:val="22"/>
                <w:highlight w:val="none"/>
              </w:rPr>
            </w:pPr>
            <w:r>
              <w:rPr>
                <w:rFonts w:eastAsia="新宋体"/>
                <w:bCs/>
                <w:color w:val="auto"/>
                <w:kern w:val="0"/>
                <w:sz w:val="22"/>
                <w:szCs w:val="22"/>
                <w:highlight w:val="none"/>
              </w:rPr>
              <w:t>1</w:t>
            </w:r>
          </w:p>
        </w:tc>
        <w:tc>
          <w:tcPr>
            <w:tcW w:w="12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jc w:val="center"/>
              <w:rPr>
                <w:rFonts w:hint="eastAsia" w:eastAsia="新宋体"/>
                <w:b/>
                <w:bCs/>
                <w:color w:val="auto"/>
                <w:kern w:val="0"/>
                <w:sz w:val="22"/>
                <w:szCs w:val="22"/>
                <w:highlight w:val="none"/>
                <w:lang w:eastAsia="zh-CN"/>
              </w:rPr>
            </w:pPr>
            <w:r>
              <w:rPr>
                <w:rFonts w:hint="eastAsia" w:eastAsia="新宋体"/>
                <w:b/>
                <w:color w:val="auto"/>
                <w:szCs w:val="21"/>
                <w:highlight w:val="none"/>
                <w:lang w:eastAsia="zh-CN"/>
              </w:rPr>
              <w:t>温州市智慧园林系统（城市绿地在线应用）</w:t>
            </w:r>
          </w:p>
        </w:tc>
        <w:tc>
          <w:tcPr>
            <w:tcW w:w="6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jc w:val="center"/>
              <w:rPr>
                <w:rFonts w:eastAsia="新宋体"/>
                <w:bCs/>
                <w:color w:val="auto"/>
                <w:kern w:val="0"/>
                <w:sz w:val="22"/>
                <w:szCs w:val="22"/>
                <w:highlight w:val="none"/>
              </w:rPr>
            </w:pPr>
            <w:r>
              <w:rPr>
                <w:rFonts w:eastAsia="新宋体"/>
                <w:bCs/>
                <w:color w:val="auto"/>
                <w:kern w:val="0"/>
                <w:sz w:val="22"/>
                <w:szCs w:val="22"/>
                <w:highlight w:val="none"/>
              </w:rPr>
              <w:t>1</w:t>
            </w:r>
          </w:p>
        </w:tc>
        <w:tc>
          <w:tcPr>
            <w:tcW w:w="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jc w:val="center"/>
              <w:rPr>
                <w:rFonts w:eastAsia="新宋体"/>
                <w:bCs/>
                <w:color w:val="auto"/>
                <w:kern w:val="0"/>
                <w:sz w:val="22"/>
                <w:szCs w:val="22"/>
                <w:highlight w:val="none"/>
              </w:rPr>
            </w:pPr>
            <w:r>
              <w:rPr>
                <w:rFonts w:hint="eastAsia" w:eastAsia="新宋体"/>
                <w:bCs/>
                <w:color w:val="auto"/>
                <w:kern w:val="0"/>
                <w:sz w:val="22"/>
                <w:szCs w:val="22"/>
                <w:highlight w:val="none"/>
              </w:rPr>
              <w:t>项</w:t>
            </w:r>
          </w:p>
        </w:tc>
        <w:tc>
          <w:tcPr>
            <w:tcW w:w="17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jc w:val="center"/>
              <w:rPr>
                <w:rFonts w:hint="default" w:eastAsia="新宋体"/>
                <w:bCs/>
                <w:color w:val="auto"/>
                <w:kern w:val="0"/>
                <w:sz w:val="22"/>
                <w:szCs w:val="22"/>
                <w:highlight w:val="none"/>
                <w:lang w:val="en-US" w:eastAsia="zh-CN"/>
              </w:rPr>
            </w:pPr>
            <w:r>
              <w:rPr>
                <w:rFonts w:hint="eastAsia" w:eastAsia="新宋体"/>
                <w:bCs/>
                <w:color w:val="auto"/>
                <w:kern w:val="0"/>
                <w:sz w:val="22"/>
                <w:szCs w:val="22"/>
                <w:highlight w:val="none"/>
                <w:lang w:val="en-US" w:eastAsia="zh-CN"/>
              </w:rPr>
              <w:t>310</w:t>
            </w:r>
          </w:p>
        </w:tc>
        <w:tc>
          <w:tcPr>
            <w:tcW w:w="16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jc w:val="center"/>
              <w:rPr>
                <w:rFonts w:hint="default" w:eastAsia="新宋体"/>
                <w:bCs/>
                <w:color w:val="auto"/>
                <w:kern w:val="0"/>
                <w:sz w:val="22"/>
                <w:szCs w:val="22"/>
                <w:highlight w:val="none"/>
                <w:lang w:val="en-US" w:eastAsia="zh-CN"/>
              </w:rPr>
            </w:pPr>
            <w:r>
              <w:rPr>
                <w:rFonts w:hint="eastAsia" w:eastAsia="新宋体"/>
                <w:bCs/>
                <w:color w:val="auto"/>
                <w:kern w:val="0"/>
                <w:sz w:val="22"/>
                <w:szCs w:val="22"/>
                <w:highlight w:val="none"/>
                <w:lang w:val="en-US" w:eastAsia="zh-CN"/>
              </w:rPr>
              <w:t>288.5</w:t>
            </w:r>
          </w:p>
        </w:tc>
        <w:tc>
          <w:tcPr>
            <w:tcW w:w="40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jc w:val="center"/>
              <w:rPr>
                <w:rFonts w:hint="eastAsia" w:eastAsia="新宋体"/>
                <w:color w:val="auto"/>
                <w:szCs w:val="21"/>
                <w:highlight w:val="none"/>
                <w:lang w:eastAsia="zh-CN"/>
              </w:rPr>
            </w:pPr>
            <w:r>
              <w:rPr>
                <w:rFonts w:hint="eastAsia" w:eastAsia="新宋体"/>
                <w:color w:val="auto"/>
                <w:szCs w:val="21"/>
                <w:highlight w:val="none"/>
                <w:lang w:eastAsia="zh-CN"/>
              </w:rPr>
              <w:t>园林综合数据库建设、应用场景系统建设等</w:t>
            </w:r>
            <w:r>
              <w:rPr>
                <w:rFonts w:hint="eastAsia" w:eastAsia="新宋体"/>
                <w:color w:val="auto"/>
                <w:szCs w:val="21"/>
                <w:highlight w:val="none"/>
              </w:rPr>
              <w:t>。（详见招标文件相关部分）</w:t>
            </w:r>
          </w:p>
        </w:tc>
      </w:tr>
    </w:tbl>
    <w:p>
      <w:pPr>
        <w:widowControl/>
        <w:spacing w:before="60" w:after="60" w:line="400" w:lineRule="exact"/>
        <w:ind w:left="60" w:right="60" w:firstLine="440" w:firstLineChars="200"/>
        <w:jc w:val="left"/>
        <w:rPr>
          <w:rFonts w:eastAsia="新宋体"/>
          <w:bCs/>
          <w:color w:val="auto"/>
          <w:kern w:val="0"/>
          <w:sz w:val="22"/>
          <w:szCs w:val="22"/>
          <w:highlight w:val="none"/>
        </w:rPr>
      </w:pPr>
      <w:r>
        <w:rPr>
          <w:rFonts w:hint="eastAsia" w:eastAsia="新宋体"/>
          <w:bCs/>
          <w:color w:val="auto"/>
          <w:kern w:val="0"/>
          <w:sz w:val="22"/>
          <w:szCs w:val="22"/>
          <w:highlight w:val="none"/>
        </w:rPr>
        <w:t>四、投标人资格要求：</w:t>
      </w:r>
    </w:p>
    <w:p>
      <w:pPr>
        <w:widowControl/>
        <w:spacing w:before="60" w:after="60" w:line="400" w:lineRule="exact"/>
        <w:ind w:left="60" w:right="60" w:firstLine="440" w:firstLineChars="200"/>
        <w:jc w:val="left"/>
        <w:rPr>
          <w:rFonts w:eastAsia="新宋体"/>
          <w:bCs/>
          <w:color w:val="auto"/>
          <w:kern w:val="0"/>
          <w:sz w:val="22"/>
          <w:szCs w:val="22"/>
          <w:highlight w:val="none"/>
        </w:rPr>
      </w:pPr>
      <w:r>
        <w:rPr>
          <w:rFonts w:hint="eastAsia" w:eastAsia="新宋体"/>
          <w:bCs/>
          <w:color w:val="auto"/>
          <w:kern w:val="0"/>
          <w:sz w:val="22"/>
          <w:szCs w:val="22"/>
          <w:highlight w:val="none"/>
        </w:rPr>
        <w:t>1、符合《中华人民共和国政府采购法》第22条规定的投标人资格条件；</w:t>
      </w:r>
    </w:p>
    <w:p>
      <w:pPr>
        <w:widowControl/>
        <w:spacing w:before="60" w:after="60" w:line="400" w:lineRule="exact"/>
        <w:ind w:left="60" w:right="60" w:firstLine="440" w:firstLineChars="200"/>
        <w:jc w:val="left"/>
        <w:rPr>
          <w:rFonts w:eastAsia="新宋体"/>
          <w:bCs/>
          <w:color w:val="auto"/>
          <w:kern w:val="0"/>
          <w:sz w:val="22"/>
          <w:szCs w:val="22"/>
          <w:highlight w:val="none"/>
        </w:rPr>
      </w:pPr>
      <w:r>
        <w:rPr>
          <w:rFonts w:hint="eastAsia" w:eastAsia="新宋体"/>
          <w:bCs/>
          <w:color w:val="auto"/>
          <w:kern w:val="0"/>
          <w:sz w:val="22"/>
          <w:szCs w:val="22"/>
          <w:highlight w:val="none"/>
        </w:rPr>
        <w:t>2、</w:t>
      </w:r>
      <w:r>
        <w:rPr>
          <w:rFonts w:ascii="仿宋" w:hAnsi="仿宋" w:cs="宋体"/>
          <w:kern w:val="0"/>
          <w:sz w:val="22"/>
          <w:szCs w:val="22"/>
        </w:rPr>
        <w:t>本项目的特定资格要</w:t>
      </w:r>
      <w:r>
        <w:rPr>
          <w:rFonts w:hint="eastAsia" w:ascii="仿宋" w:hAnsi="仿宋" w:cs="宋体"/>
          <w:kern w:val="0"/>
          <w:sz w:val="22"/>
          <w:szCs w:val="22"/>
        </w:rPr>
        <w:t>求：</w:t>
      </w:r>
      <w:r>
        <w:rPr>
          <w:rFonts w:hint="eastAsia" w:eastAsia="新宋体"/>
          <w:bCs/>
          <w:color w:val="auto"/>
          <w:kern w:val="0"/>
          <w:sz w:val="22"/>
          <w:szCs w:val="22"/>
          <w:highlight w:val="none"/>
        </w:rPr>
        <w:t>具有测绘乙级及以上资质（专业范围包含地理信息系统工程）。</w:t>
      </w:r>
    </w:p>
    <w:p>
      <w:pPr>
        <w:widowControl/>
        <w:spacing w:before="60" w:after="60" w:line="400" w:lineRule="exact"/>
        <w:ind w:left="60" w:right="60" w:firstLine="440" w:firstLineChars="200"/>
        <w:jc w:val="left"/>
        <w:rPr>
          <w:rFonts w:eastAsia="新宋体"/>
          <w:bCs/>
          <w:color w:val="auto"/>
          <w:kern w:val="0"/>
          <w:sz w:val="22"/>
          <w:szCs w:val="22"/>
          <w:highlight w:val="none"/>
        </w:rPr>
      </w:pPr>
      <w:r>
        <w:rPr>
          <w:rFonts w:hint="eastAsia" w:eastAsia="新宋体"/>
          <w:bCs/>
          <w:color w:val="auto"/>
          <w:kern w:val="0"/>
          <w:sz w:val="22"/>
          <w:szCs w:val="22"/>
          <w:highlight w:val="none"/>
        </w:rPr>
        <w:t>3、记录名单，信用信息以信用中国网站（www.creditchina.gov.cn）、中国政府采购网（www.ccgp.gov.cn）公布为准。</w:t>
      </w:r>
    </w:p>
    <w:p>
      <w:pPr>
        <w:widowControl/>
        <w:spacing w:before="60" w:after="60" w:line="400" w:lineRule="exact"/>
        <w:ind w:left="60" w:right="60" w:firstLine="440" w:firstLineChars="200"/>
        <w:jc w:val="left"/>
        <w:rPr>
          <w:rFonts w:hint="eastAsia" w:ascii="仿宋" w:hAnsi="仿宋" w:cs="宋体"/>
          <w:kern w:val="0"/>
          <w:sz w:val="22"/>
          <w:szCs w:val="22"/>
        </w:rPr>
      </w:pPr>
      <w:r>
        <w:rPr>
          <w:rFonts w:hint="eastAsia" w:ascii="仿宋" w:hAnsi="仿宋" w:cs="宋体"/>
          <w:kern w:val="0"/>
          <w:sz w:val="22"/>
          <w:szCs w:val="22"/>
        </w:rPr>
        <w:t>4、本项目接受联合体投标</w:t>
      </w:r>
      <w:r>
        <w:rPr>
          <w:rFonts w:hint="eastAsia" w:ascii="仿宋" w:hAnsi="仿宋" w:cs="宋体"/>
          <w:kern w:val="0"/>
          <w:sz w:val="22"/>
          <w:szCs w:val="22"/>
          <w:lang w:eastAsia="zh-CN"/>
        </w:rPr>
        <w:t>，</w:t>
      </w:r>
      <w:r>
        <w:rPr>
          <w:rFonts w:hint="eastAsia" w:ascii="仿宋" w:hAnsi="仿宋" w:cs="宋体"/>
          <w:kern w:val="0"/>
          <w:sz w:val="22"/>
          <w:szCs w:val="22"/>
          <w:lang w:val="en-US" w:eastAsia="zh-CN"/>
        </w:rPr>
        <w:t>明确牵头人，联合体成员不得超过2名</w:t>
      </w:r>
      <w:r>
        <w:rPr>
          <w:rFonts w:hint="eastAsia" w:ascii="仿宋" w:hAnsi="仿宋" w:cs="宋体"/>
          <w:kern w:val="0"/>
          <w:sz w:val="22"/>
          <w:szCs w:val="22"/>
        </w:rPr>
        <w:t>。</w:t>
      </w:r>
    </w:p>
    <w:p>
      <w:pPr>
        <w:widowControl/>
        <w:spacing w:before="60" w:after="60" w:line="400" w:lineRule="exact"/>
        <w:ind w:left="60" w:right="60" w:firstLine="440" w:firstLineChars="200"/>
        <w:jc w:val="left"/>
        <w:rPr>
          <w:rFonts w:hint="eastAsia" w:ascii="仿宋" w:hAnsi="仿宋" w:eastAsia="宋体" w:cs="宋体"/>
          <w:kern w:val="0"/>
          <w:sz w:val="22"/>
          <w:szCs w:val="22"/>
          <w:lang w:val="en-US" w:eastAsia="zh-CN"/>
        </w:rPr>
      </w:pPr>
      <w:r>
        <w:rPr>
          <w:rFonts w:hint="eastAsia" w:ascii="仿宋" w:hAnsi="仿宋" w:cs="宋体"/>
          <w:kern w:val="0"/>
          <w:sz w:val="22"/>
          <w:szCs w:val="22"/>
          <w:lang w:val="en-US" w:eastAsia="zh-CN"/>
        </w:rPr>
        <w:t>5、</w:t>
      </w:r>
      <w:r>
        <w:rPr>
          <w:rFonts w:ascii="仿宋" w:hAnsi="仿宋" w:cs="宋体"/>
          <w:kern w:val="0"/>
          <w:sz w:val="22"/>
          <w:szCs w:val="22"/>
        </w:rPr>
        <w:t>落实政府采购政策需满足的资格要求：</w:t>
      </w:r>
      <w:r>
        <w:rPr>
          <w:rFonts w:hint="eastAsia" w:ascii="仿宋" w:hAnsi="仿宋" w:cs="宋体"/>
          <w:kern w:val="0"/>
          <w:sz w:val="22"/>
          <w:szCs w:val="22"/>
          <w:lang w:val="en-US" w:eastAsia="zh-CN"/>
        </w:rPr>
        <w:t>无</w:t>
      </w:r>
    </w:p>
    <w:p>
      <w:pPr>
        <w:widowControl/>
        <w:spacing w:before="60" w:after="60" w:line="400" w:lineRule="exact"/>
        <w:ind w:left="60" w:right="60" w:firstLine="440" w:firstLineChars="200"/>
        <w:jc w:val="left"/>
        <w:rPr>
          <w:rFonts w:eastAsia="新宋体"/>
          <w:bCs/>
          <w:color w:val="auto"/>
          <w:kern w:val="0"/>
          <w:sz w:val="22"/>
          <w:szCs w:val="22"/>
          <w:highlight w:val="none"/>
        </w:rPr>
      </w:pPr>
      <w:r>
        <w:rPr>
          <w:rFonts w:hint="eastAsia" w:eastAsia="新宋体"/>
          <w:bCs/>
          <w:color w:val="auto"/>
          <w:kern w:val="0"/>
          <w:sz w:val="22"/>
          <w:szCs w:val="22"/>
          <w:highlight w:val="none"/>
        </w:rPr>
        <w:t>五、购领招标文件时间及方式：</w:t>
      </w:r>
    </w:p>
    <w:p>
      <w:pPr>
        <w:widowControl/>
        <w:spacing w:before="60" w:after="60" w:line="400" w:lineRule="exact"/>
        <w:ind w:left="60" w:right="60" w:firstLine="440" w:firstLineChars="200"/>
        <w:jc w:val="left"/>
        <w:rPr>
          <w:rFonts w:eastAsia="新宋体"/>
          <w:bCs/>
          <w:color w:val="auto"/>
          <w:kern w:val="0"/>
          <w:sz w:val="22"/>
          <w:szCs w:val="22"/>
          <w:highlight w:val="none"/>
        </w:rPr>
      </w:pPr>
      <w:r>
        <w:rPr>
          <w:rFonts w:hint="eastAsia" w:eastAsia="新宋体"/>
          <w:bCs/>
          <w:color w:val="auto"/>
          <w:kern w:val="0"/>
          <w:sz w:val="22"/>
          <w:szCs w:val="22"/>
          <w:highlight w:val="none"/>
        </w:rPr>
        <w:t>发售招标文件时间：202</w:t>
      </w:r>
      <w:r>
        <w:rPr>
          <w:rFonts w:hint="eastAsia" w:eastAsia="新宋体"/>
          <w:bCs/>
          <w:color w:val="auto"/>
          <w:kern w:val="0"/>
          <w:sz w:val="22"/>
          <w:szCs w:val="22"/>
          <w:highlight w:val="none"/>
          <w:lang w:val="en-US" w:eastAsia="zh-CN"/>
        </w:rPr>
        <w:t>2</w:t>
      </w:r>
      <w:r>
        <w:rPr>
          <w:rFonts w:hint="eastAsia" w:eastAsia="新宋体"/>
          <w:bCs/>
          <w:color w:val="auto"/>
          <w:kern w:val="0"/>
          <w:sz w:val="22"/>
          <w:szCs w:val="22"/>
          <w:highlight w:val="none"/>
        </w:rPr>
        <w:t>年</w:t>
      </w:r>
      <w:r>
        <w:rPr>
          <w:rFonts w:hint="eastAsia" w:eastAsia="新宋体"/>
          <w:bCs/>
          <w:color w:val="auto"/>
          <w:kern w:val="0"/>
          <w:sz w:val="22"/>
          <w:szCs w:val="22"/>
          <w:highlight w:val="none"/>
          <w:lang w:val="en-US" w:eastAsia="zh-CN"/>
        </w:rPr>
        <w:t>8</w:t>
      </w:r>
      <w:r>
        <w:rPr>
          <w:rFonts w:hint="eastAsia" w:eastAsia="新宋体"/>
          <w:bCs/>
          <w:color w:val="auto"/>
          <w:kern w:val="0"/>
          <w:sz w:val="22"/>
          <w:szCs w:val="22"/>
          <w:highlight w:val="none"/>
        </w:rPr>
        <w:t>月</w:t>
      </w:r>
      <w:r>
        <w:rPr>
          <w:rFonts w:hint="eastAsia" w:eastAsia="新宋体"/>
          <w:bCs/>
          <w:color w:val="auto"/>
          <w:kern w:val="0"/>
          <w:sz w:val="22"/>
          <w:szCs w:val="22"/>
          <w:highlight w:val="none"/>
          <w:lang w:val="en-US" w:eastAsia="zh-CN"/>
        </w:rPr>
        <w:t>15</w:t>
      </w:r>
      <w:r>
        <w:rPr>
          <w:rFonts w:hint="eastAsia" w:eastAsia="新宋体"/>
          <w:bCs/>
          <w:color w:val="auto"/>
          <w:kern w:val="0"/>
          <w:sz w:val="22"/>
          <w:szCs w:val="22"/>
          <w:highlight w:val="none"/>
        </w:rPr>
        <w:t>日起至投标截止时间止（双休日及法定节假日除外，上午：8:30-11:30  下午：14:00-17:30）；</w:t>
      </w:r>
    </w:p>
    <w:p>
      <w:pPr>
        <w:widowControl/>
        <w:spacing w:before="60" w:after="60" w:line="400" w:lineRule="exact"/>
        <w:ind w:left="60" w:right="60" w:firstLine="440" w:firstLineChars="200"/>
        <w:jc w:val="left"/>
        <w:rPr>
          <w:rFonts w:eastAsia="新宋体"/>
          <w:bCs/>
          <w:color w:val="auto"/>
          <w:kern w:val="0"/>
          <w:sz w:val="22"/>
          <w:szCs w:val="22"/>
          <w:highlight w:val="none"/>
        </w:rPr>
      </w:pPr>
      <w:r>
        <w:rPr>
          <w:rFonts w:hint="eastAsia" w:eastAsia="新宋体"/>
          <w:bCs/>
          <w:color w:val="auto"/>
          <w:kern w:val="0"/>
          <w:sz w:val="22"/>
          <w:szCs w:val="22"/>
          <w:highlight w:val="none"/>
        </w:rPr>
        <w:t>依法获取招标文件方式、网址：在“浙江政府采购网”（网址：</w:t>
      </w:r>
      <w:r>
        <w:rPr>
          <w:rFonts w:hint="eastAsia"/>
          <w:color w:val="auto"/>
          <w:highlight w:val="none"/>
        </w:rPr>
        <w:fldChar w:fldCharType="begin"/>
      </w:r>
      <w:r>
        <w:rPr>
          <w:color w:val="auto"/>
          <w:highlight w:val="none"/>
        </w:rPr>
        <w:instrText xml:space="preserve"> HYPERLINK "http://www.zjzfcg.gov.cn）注册或登录后的供应商即可免费获取招标文件（步骤详见采购公告附件《供应商获取采购文件流程》）。" </w:instrText>
      </w:r>
      <w:r>
        <w:rPr>
          <w:rFonts w:hint="eastAsia"/>
          <w:color w:val="auto"/>
          <w:highlight w:val="none"/>
        </w:rPr>
        <w:fldChar w:fldCharType="separate"/>
      </w:r>
      <w:r>
        <w:rPr>
          <w:rFonts w:hint="eastAsia" w:eastAsia="新宋体"/>
          <w:bCs/>
          <w:color w:val="auto"/>
          <w:kern w:val="0"/>
          <w:sz w:val="22"/>
          <w:szCs w:val="22"/>
          <w:highlight w:val="none"/>
        </w:rPr>
        <w:t>www.zjzfcg.gov.cn）注册或登录后的供应商即可获取招标文件（步骤详见采购公告附件《供应商获取采购文件流程》）。</w:t>
      </w:r>
      <w:r>
        <w:rPr>
          <w:rFonts w:hint="eastAsia" w:eastAsia="新宋体"/>
          <w:bCs/>
          <w:color w:val="auto"/>
          <w:kern w:val="0"/>
          <w:sz w:val="22"/>
          <w:szCs w:val="22"/>
          <w:highlight w:val="none"/>
        </w:rPr>
        <w:fldChar w:fldCharType="end"/>
      </w:r>
    </w:p>
    <w:p>
      <w:pPr>
        <w:widowControl/>
        <w:spacing w:before="60" w:after="60" w:line="400" w:lineRule="exact"/>
        <w:ind w:left="60" w:right="60" w:firstLine="440" w:firstLineChars="200"/>
        <w:jc w:val="left"/>
        <w:rPr>
          <w:rFonts w:eastAsia="新宋体"/>
          <w:bCs/>
          <w:color w:val="auto"/>
          <w:kern w:val="0"/>
          <w:sz w:val="22"/>
          <w:szCs w:val="22"/>
          <w:highlight w:val="none"/>
        </w:rPr>
      </w:pPr>
      <w:r>
        <w:rPr>
          <w:rFonts w:hint="eastAsia" w:eastAsia="新宋体"/>
          <w:bCs/>
          <w:color w:val="auto"/>
          <w:kern w:val="0"/>
          <w:sz w:val="22"/>
          <w:szCs w:val="22"/>
          <w:highlight w:val="none"/>
        </w:rPr>
        <w:t>本公告附件的招标文件仅供阅览使用。供应商应当按照前两款规定时间期限、方式依法获取招标文件。</w:t>
      </w:r>
    </w:p>
    <w:p>
      <w:pPr>
        <w:widowControl/>
        <w:spacing w:before="60" w:after="60" w:line="400" w:lineRule="exact"/>
        <w:ind w:left="60" w:right="60" w:firstLine="440" w:firstLineChars="200"/>
        <w:jc w:val="left"/>
        <w:rPr>
          <w:rFonts w:eastAsia="新宋体"/>
          <w:color w:val="auto"/>
          <w:kern w:val="0"/>
          <w:sz w:val="22"/>
          <w:szCs w:val="22"/>
          <w:highlight w:val="none"/>
        </w:rPr>
      </w:pPr>
      <w:r>
        <w:rPr>
          <w:rFonts w:hint="eastAsia" w:eastAsia="新宋体"/>
          <w:bCs/>
          <w:color w:val="auto"/>
          <w:kern w:val="0"/>
          <w:sz w:val="22"/>
          <w:szCs w:val="22"/>
          <w:highlight w:val="none"/>
        </w:rPr>
        <w:t>递交投标文件截止时间：202</w:t>
      </w:r>
      <w:r>
        <w:rPr>
          <w:rFonts w:hint="eastAsia" w:eastAsia="新宋体"/>
          <w:bCs/>
          <w:color w:val="auto"/>
          <w:kern w:val="0"/>
          <w:sz w:val="22"/>
          <w:szCs w:val="22"/>
          <w:highlight w:val="none"/>
          <w:lang w:val="en-US" w:eastAsia="zh-CN"/>
        </w:rPr>
        <w:t>2</w:t>
      </w:r>
      <w:r>
        <w:rPr>
          <w:rFonts w:hint="eastAsia" w:eastAsia="新宋体"/>
          <w:bCs/>
          <w:color w:val="auto"/>
          <w:kern w:val="0"/>
          <w:sz w:val="22"/>
          <w:szCs w:val="22"/>
          <w:highlight w:val="none"/>
        </w:rPr>
        <w:t>年</w:t>
      </w:r>
      <w:r>
        <w:rPr>
          <w:rFonts w:hint="eastAsia" w:eastAsia="新宋体"/>
          <w:bCs/>
          <w:color w:val="auto"/>
          <w:kern w:val="0"/>
          <w:sz w:val="22"/>
          <w:szCs w:val="22"/>
          <w:highlight w:val="none"/>
          <w:lang w:val="en-US" w:eastAsia="zh-CN"/>
        </w:rPr>
        <w:t>9</w:t>
      </w:r>
      <w:r>
        <w:rPr>
          <w:rFonts w:hint="eastAsia" w:eastAsia="新宋体"/>
          <w:bCs/>
          <w:color w:val="auto"/>
          <w:kern w:val="0"/>
          <w:sz w:val="22"/>
          <w:szCs w:val="22"/>
          <w:highlight w:val="none"/>
        </w:rPr>
        <w:t>月</w:t>
      </w:r>
      <w:r>
        <w:rPr>
          <w:rFonts w:hint="eastAsia" w:eastAsia="新宋体"/>
          <w:bCs/>
          <w:color w:val="auto"/>
          <w:kern w:val="0"/>
          <w:sz w:val="22"/>
          <w:szCs w:val="22"/>
          <w:highlight w:val="none"/>
          <w:lang w:val="en-US" w:eastAsia="zh-CN"/>
        </w:rPr>
        <w:t>5</w:t>
      </w:r>
      <w:r>
        <w:rPr>
          <w:rFonts w:hint="eastAsia" w:eastAsia="新宋体"/>
          <w:bCs/>
          <w:color w:val="auto"/>
          <w:kern w:val="0"/>
          <w:sz w:val="22"/>
          <w:szCs w:val="22"/>
          <w:highlight w:val="none"/>
        </w:rPr>
        <w:t>日9时30分整(以招标公告为准)。</w:t>
      </w:r>
    </w:p>
    <w:p>
      <w:pPr>
        <w:widowControl/>
        <w:spacing w:before="60" w:after="60" w:line="400" w:lineRule="exact"/>
        <w:ind w:left="60" w:right="60" w:firstLine="440" w:firstLineChars="200"/>
        <w:jc w:val="left"/>
        <w:rPr>
          <w:rFonts w:eastAsia="新宋体"/>
          <w:bCs/>
          <w:color w:val="auto"/>
          <w:kern w:val="0"/>
          <w:sz w:val="22"/>
          <w:szCs w:val="22"/>
          <w:highlight w:val="none"/>
        </w:rPr>
      </w:pPr>
      <w:r>
        <w:rPr>
          <w:rFonts w:hint="eastAsia" w:eastAsia="新宋体"/>
          <w:bCs/>
          <w:color w:val="auto"/>
          <w:kern w:val="0"/>
          <w:sz w:val="22"/>
          <w:szCs w:val="22"/>
          <w:highlight w:val="none"/>
        </w:rPr>
        <w:t>六、投标截止时间：</w:t>
      </w:r>
      <w:bookmarkStart w:id="3" w:name="B23_谈判响应文件提交截止日期"/>
      <w:bookmarkEnd w:id="3"/>
      <w:r>
        <w:rPr>
          <w:rFonts w:hint="eastAsia" w:eastAsia="新宋体"/>
          <w:color w:val="auto"/>
          <w:kern w:val="0"/>
          <w:sz w:val="22"/>
          <w:szCs w:val="22"/>
          <w:highlight w:val="none"/>
        </w:rPr>
        <w:t>202</w:t>
      </w:r>
      <w:r>
        <w:rPr>
          <w:rFonts w:hint="eastAsia" w:eastAsia="新宋体"/>
          <w:color w:val="auto"/>
          <w:kern w:val="0"/>
          <w:sz w:val="22"/>
          <w:szCs w:val="22"/>
          <w:highlight w:val="none"/>
          <w:lang w:val="en-US" w:eastAsia="zh-CN"/>
        </w:rPr>
        <w:t>2</w:t>
      </w:r>
      <w:r>
        <w:rPr>
          <w:rFonts w:hint="eastAsia" w:eastAsia="新宋体"/>
          <w:color w:val="auto"/>
          <w:kern w:val="0"/>
          <w:sz w:val="22"/>
          <w:szCs w:val="22"/>
          <w:highlight w:val="none"/>
        </w:rPr>
        <w:t>年</w:t>
      </w:r>
      <w:r>
        <w:rPr>
          <w:rFonts w:hint="eastAsia" w:eastAsia="新宋体"/>
          <w:color w:val="auto"/>
          <w:kern w:val="0"/>
          <w:sz w:val="22"/>
          <w:szCs w:val="22"/>
          <w:highlight w:val="none"/>
          <w:lang w:val="en-US" w:eastAsia="zh-CN"/>
        </w:rPr>
        <w:t>9</w:t>
      </w:r>
      <w:r>
        <w:rPr>
          <w:rFonts w:hint="eastAsia" w:eastAsia="新宋体"/>
          <w:color w:val="auto"/>
          <w:kern w:val="0"/>
          <w:sz w:val="22"/>
          <w:szCs w:val="22"/>
          <w:highlight w:val="none"/>
        </w:rPr>
        <w:t>月</w:t>
      </w:r>
      <w:r>
        <w:rPr>
          <w:rFonts w:hint="eastAsia" w:eastAsia="新宋体"/>
          <w:color w:val="auto"/>
          <w:kern w:val="0"/>
          <w:sz w:val="22"/>
          <w:szCs w:val="22"/>
          <w:highlight w:val="none"/>
          <w:lang w:val="en-US" w:eastAsia="zh-CN"/>
        </w:rPr>
        <w:t>5</w:t>
      </w:r>
      <w:r>
        <w:rPr>
          <w:rFonts w:hint="eastAsia" w:eastAsia="新宋体"/>
          <w:color w:val="auto"/>
          <w:kern w:val="0"/>
          <w:sz w:val="22"/>
          <w:szCs w:val="22"/>
          <w:highlight w:val="none"/>
        </w:rPr>
        <w:t>日9时30分整</w:t>
      </w:r>
      <w:r>
        <w:rPr>
          <w:rFonts w:hint="eastAsia" w:eastAsia="新宋体"/>
          <w:bCs/>
          <w:color w:val="auto"/>
          <w:kern w:val="0"/>
          <w:sz w:val="22"/>
          <w:szCs w:val="22"/>
          <w:highlight w:val="none"/>
        </w:rPr>
        <w:t>(</w:t>
      </w:r>
      <w:r>
        <w:rPr>
          <w:rFonts w:hint="eastAsia" w:eastAsia="新宋体"/>
          <w:b/>
          <w:bCs/>
          <w:color w:val="auto"/>
          <w:kern w:val="0"/>
          <w:sz w:val="22"/>
          <w:szCs w:val="22"/>
          <w:highlight w:val="none"/>
        </w:rPr>
        <w:t>以招标公告为准</w:t>
      </w:r>
      <w:r>
        <w:rPr>
          <w:rFonts w:hint="eastAsia" w:eastAsia="新宋体"/>
          <w:bCs/>
          <w:color w:val="auto"/>
          <w:kern w:val="0"/>
          <w:sz w:val="22"/>
          <w:szCs w:val="22"/>
          <w:highlight w:val="none"/>
        </w:rPr>
        <w:t>)。</w:t>
      </w:r>
    </w:p>
    <w:p>
      <w:pPr>
        <w:widowControl/>
        <w:spacing w:before="60" w:after="60" w:line="400" w:lineRule="exact"/>
        <w:ind w:right="60" w:firstLine="440" w:firstLineChars="200"/>
        <w:jc w:val="left"/>
        <w:rPr>
          <w:rFonts w:eastAsia="新宋体"/>
          <w:bCs/>
          <w:color w:val="auto"/>
          <w:kern w:val="0"/>
          <w:sz w:val="22"/>
          <w:szCs w:val="22"/>
          <w:highlight w:val="none"/>
        </w:rPr>
      </w:pPr>
      <w:r>
        <w:rPr>
          <w:rFonts w:hint="eastAsia" w:eastAsia="新宋体"/>
          <w:bCs/>
          <w:color w:val="auto"/>
          <w:kern w:val="0"/>
          <w:sz w:val="22"/>
          <w:szCs w:val="22"/>
          <w:highlight w:val="none"/>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widowControl/>
        <w:spacing w:before="60" w:after="60" w:line="400" w:lineRule="exact"/>
        <w:ind w:left="60" w:right="60" w:firstLine="440" w:firstLineChars="200"/>
        <w:jc w:val="left"/>
        <w:rPr>
          <w:rFonts w:eastAsia="新宋体"/>
          <w:bCs/>
          <w:color w:val="auto"/>
          <w:kern w:val="0"/>
          <w:sz w:val="22"/>
          <w:szCs w:val="22"/>
          <w:highlight w:val="none"/>
        </w:rPr>
      </w:pPr>
      <w:r>
        <w:rPr>
          <w:rFonts w:hint="eastAsia" w:eastAsia="新宋体"/>
          <w:bCs/>
          <w:color w:val="auto"/>
          <w:kern w:val="0"/>
          <w:sz w:val="22"/>
          <w:szCs w:val="22"/>
          <w:highlight w:val="none"/>
        </w:rPr>
        <w:t>七、开标时间：</w:t>
      </w:r>
      <w:bookmarkStart w:id="4" w:name="B26_谈判时间日期"/>
      <w:bookmarkEnd w:id="4"/>
      <w:r>
        <w:rPr>
          <w:rFonts w:hint="eastAsia" w:eastAsia="新宋体"/>
          <w:color w:val="auto"/>
          <w:kern w:val="0"/>
          <w:sz w:val="22"/>
          <w:szCs w:val="22"/>
          <w:highlight w:val="none"/>
        </w:rPr>
        <w:t>202</w:t>
      </w:r>
      <w:r>
        <w:rPr>
          <w:rFonts w:hint="eastAsia" w:eastAsia="新宋体"/>
          <w:color w:val="auto"/>
          <w:kern w:val="0"/>
          <w:sz w:val="22"/>
          <w:szCs w:val="22"/>
          <w:highlight w:val="none"/>
          <w:lang w:val="en-US" w:eastAsia="zh-CN"/>
        </w:rPr>
        <w:t>2</w:t>
      </w:r>
      <w:r>
        <w:rPr>
          <w:rFonts w:hint="eastAsia" w:eastAsia="新宋体"/>
          <w:color w:val="auto"/>
          <w:kern w:val="0"/>
          <w:sz w:val="22"/>
          <w:szCs w:val="22"/>
          <w:highlight w:val="none"/>
        </w:rPr>
        <w:t>年</w:t>
      </w:r>
      <w:r>
        <w:rPr>
          <w:rFonts w:hint="eastAsia" w:eastAsia="新宋体"/>
          <w:color w:val="auto"/>
          <w:kern w:val="0"/>
          <w:sz w:val="22"/>
          <w:szCs w:val="22"/>
          <w:highlight w:val="none"/>
          <w:lang w:val="en-US" w:eastAsia="zh-CN"/>
        </w:rPr>
        <w:t>9</w:t>
      </w:r>
      <w:r>
        <w:rPr>
          <w:rFonts w:hint="eastAsia" w:eastAsia="新宋体"/>
          <w:color w:val="auto"/>
          <w:kern w:val="0"/>
          <w:sz w:val="22"/>
          <w:szCs w:val="22"/>
          <w:highlight w:val="none"/>
        </w:rPr>
        <w:t>月</w:t>
      </w:r>
      <w:r>
        <w:rPr>
          <w:rFonts w:hint="eastAsia" w:eastAsia="新宋体"/>
          <w:color w:val="auto"/>
          <w:kern w:val="0"/>
          <w:sz w:val="22"/>
          <w:szCs w:val="22"/>
          <w:highlight w:val="none"/>
          <w:lang w:val="en-US" w:eastAsia="zh-CN"/>
        </w:rPr>
        <w:t>5</w:t>
      </w:r>
      <w:r>
        <w:rPr>
          <w:rFonts w:hint="eastAsia" w:eastAsia="新宋体"/>
          <w:color w:val="auto"/>
          <w:kern w:val="0"/>
          <w:sz w:val="22"/>
          <w:szCs w:val="22"/>
          <w:highlight w:val="none"/>
        </w:rPr>
        <w:t>日9时30分整</w:t>
      </w:r>
      <w:r>
        <w:rPr>
          <w:rFonts w:hint="eastAsia" w:eastAsia="新宋体"/>
          <w:bCs/>
          <w:color w:val="auto"/>
          <w:kern w:val="0"/>
          <w:sz w:val="22"/>
          <w:szCs w:val="22"/>
          <w:highlight w:val="none"/>
        </w:rPr>
        <w:t>(北京时间)(</w:t>
      </w:r>
      <w:r>
        <w:rPr>
          <w:rFonts w:hint="eastAsia" w:eastAsia="新宋体"/>
          <w:b/>
          <w:bCs/>
          <w:color w:val="auto"/>
          <w:kern w:val="0"/>
          <w:sz w:val="22"/>
          <w:szCs w:val="22"/>
          <w:highlight w:val="none"/>
        </w:rPr>
        <w:t xml:space="preserve"> 以招标公告为准</w:t>
      </w:r>
      <w:r>
        <w:rPr>
          <w:rFonts w:hint="eastAsia" w:eastAsia="新宋体"/>
          <w:bCs/>
          <w:color w:val="auto"/>
          <w:kern w:val="0"/>
          <w:sz w:val="22"/>
          <w:szCs w:val="22"/>
          <w:highlight w:val="none"/>
        </w:rPr>
        <w:t>)。</w:t>
      </w:r>
    </w:p>
    <w:p>
      <w:pPr>
        <w:widowControl/>
        <w:spacing w:before="60" w:after="60" w:line="400" w:lineRule="exact"/>
        <w:ind w:left="60" w:right="60" w:firstLine="440" w:firstLineChars="200"/>
        <w:jc w:val="left"/>
        <w:rPr>
          <w:rFonts w:eastAsia="新宋体"/>
          <w:bCs/>
          <w:color w:val="auto"/>
          <w:kern w:val="0"/>
          <w:sz w:val="22"/>
          <w:szCs w:val="22"/>
          <w:highlight w:val="none"/>
        </w:rPr>
      </w:pPr>
      <w:r>
        <w:rPr>
          <w:rFonts w:hint="eastAsia" w:eastAsia="新宋体"/>
          <w:bCs/>
          <w:color w:val="auto"/>
          <w:kern w:val="0"/>
          <w:sz w:val="22"/>
          <w:szCs w:val="22"/>
          <w:highlight w:val="none"/>
        </w:rPr>
        <w:t>八、开标地点：通过“政府采购云平台（www.zcygov.cn）”在线开标。</w:t>
      </w:r>
    </w:p>
    <w:p>
      <w:pPr>
        <w:widowControl/>
        <w:spacing w:before="60" w:after="60" w:line="400" w:lineRule="exact"/>
        <w:ind w:left="60" w:right="60" w:firstLine="440" w:firstLineChars="200"/>
        <w:jc w:val="left"/>
        <w:rPr>
          <w:rFonts w:eastAsia="新宋体"/>
          <w:bCs/>
          <w:color w:val="auto"/>
          <w:kern w:val="0"/>
          <w:sz w:val="22"/>
          <w:szCs w:val="22"/>
          <w:highlight w:val="none"/>
        </w:rPr>
      </w:pPr>
      <w:r>
        <w:rPr>
          <w:rFonts w:hint="eastAsia" w:eastAsia="新宋体"/>
          <w:bCs/>
          <w:color w:val="auto"/>
          <w:kern w:val="0"/>
          <w:sz w:val="22"/>
          <w:szCs w:val="22"/>
          <w:highlight w:val="none"/>
        </w:rPr>
        <w:t>九、其他事项：</w:t>
      </w:r>
    </w:p>
    <w:p>
      <w:pPr>
        <w:widowControl/>
        <w:spacing w:before="60" w:after="60" w:line="400" w:lineRule="exact"/>
        <w:ind w:right="62" w:firstLine="440" w:firstLineChars="200"/>
        <w:jc w:val="left"/>
        <w:rPr>
          <w:rFonts w:eastAsia="新宋体"/>
          <w:bCs/>
          <w:color w:val="auto"/>
          <w:kern w:val="0"/>
          <w:sz w:val="22"/>
          <w:szCs w:val="22"/>
          <w:highlight w:val="none"/>
        </w:rPr>
      </w:pPr>
      <w:bookmarkStart w:id="5" w:name="B38_其他事项"/>
      <w:r>
        <w:rPr>
          <w:rFonts w:hint="eastAsia" w:eastAsia="新宋体"/>
          <w:bCs/>
          <w:color w:val="auto"/>
          <w:kern w:val="0"/>
          <w:sz w:val="22"/>
          <w:szCs w:val="22"/>
          <w:highlight w:val="none"/>
        </w:rPr>
        <w:t>1、招标文件发售截止时间之后潜在供应商仍然可以获取招标文件，但该供应商如对招标文件有疑问应按招标文件规定的询疑截止时间前提出，逾期提出的，采购组织机构可以不予受理、答复</w:t>
      </w:r>
      <w:bookmarkEnd w:id="5"/>
    </w:p>
    <w:p>
      <w:pPr>
        <w:widowControl/>
        <w:spacing w:before="60" w:after="60" w:line="400" w:lineRule="exact"/>
        <w:ind w:right="62" w:firstLine="440" w:firstLineChars="200"/>
        <w:jc w:val="left"/>
        <w:rPr>
          <w:rFonts w:eastAsia="新宋体"/>
          <w:bCs/>
          <w:color w:val="auto"/>
          <w:kern w:val="0"/>
          <w:sz w:val="22"/>
          <w:szCs w:val="22"/>
          <w:highlight w:val="none"/>
        </w:rPr>
      </w:pPr>
      <w:r>
        <w:rPr>
          <w:rFonts w:hint="eastAsia" w:eastAsia="新宋体"/>
          <w:bCs/>
          <w:color w:val="auto"/>
          <w:kern w:val="0"/>
          <w:sz w:val="22"/>
          <w:szCs w:val="22"/>
          <w:highlight w:val="none"/>
        </w:rPr>
        <w:t>2、潜在供应商可在浙江政府采购网</w:t>
      </w:r>
      <w:r>
        <w:rPr>
          <w:rFonts w:eastAsia="新宋体"/>
          <w:bCs/>
          <w:color w:val="auto"/>
          <w:kern w:val="0"/>
          <w:sz w:val="22"/>
          <w:szCs w:val="22"/>
          <w:highlight w:val="none"/>
        </w:rPr>
        <w:t>http</w:t>
      </w:r>
      <w:r>
        <w:rPr>
          <w:rFonts w:hint="eastAsia" w:eastAsia="新宋体"/>
          <w:bCs/>
          <w:color w:val="auto"/>
          <w:kern w:val="0"/>
          <w:sz w:val="22"/>
          <w:szCs w:val="22"/>
          <w:highlight w:val="none"/>
        </w:rPr>
        <w:t>：</w:t>
      </w:r>
      <w:r>
        <w:rPr>
          <w:rFonts w:eastAsia="新宋体"/>
          <w:bCs/>
          <w:color w:val="auto"/>
          <w:kern w:val="0"/>
          <w:sz w:val="22"/>
          <w:szCs w:val="22"/>
          <w:highlight w:val="none"/>
        </w:rPr>
        <w:t>//www.zjzfcg.gov.cn</w:t>
      </w:r>
      <w:r>
        <w:rPr>
          <w:rFonts w:hint="eastAsia" w:eastAsia="新宋体"/>
          <w:bCs/>
          <w:color w:val="auto"/>
          <w:kern w:val="0"/>
          <w:sz w:val="22"/>
          <w:szCs w:val="22"/>
          <w:highlight w:val="none"/>
        </w:rPr>
        <w:t>进行免费注册（未注册的供应商请尽早注册，客服电话：400-881-7190），具体详见浙江政府采购网供应商注册要求</w:t>
      </w:r>
    </w:p>
    <w:p>
      <w:pPr>
        <w:widowControl/>
        <w:spacing w:line="360" w:lineRule="auto"/>
        <w:ind w:firstLine="420" w:firstLineChars="200"/>
        <w:jc w:val="left"/>
        <w:rPr>
          <w:rFonts w:eastAsia="新宋体"/>
          <w:color w:val="auto"/>
          <w:kern w:val="0"/>
          <w:sz w:val="22"/>
          <w:szCs w:val="22"/>
          <w:highlight w:val="none"/>
        </w:rPr>
      </w:pPr>
      <w:r>
        <w:rPr>
          <w:rFonts w:hint="eastAsia" w:eastAsia="新宋体"/>
          <w:color w:val="auto"/>
          <w:kern w:val="0"/>
          <w:szCs w:val="21"/>
          <w:highlight w:val="none"/>
        </w:rPr>
        <w:t>3、</w:t>
      </w:r>
      <w:r>
        <w:rPr>
          <w:rFonts w:hint="eastAsia" w:eastAsia="新宋体"/>
          <w:color w:val="auto"/>
          <w:kern w:val="0"/>
          <w:sz w:val="22"/>
          <w:szCs w:val="22"/>
          <w:highlight w:val="none"/>
        </w:rPr>
        <w:t>对符合财政扶持政策的中小企业（小型、微型）、监狱企业、残疾人福利性单位给予价格优惠扶持，执行节能产品政府强制采购和优先采购政策，执行环境标志产品政府优先采购政策；</w:t>
      </w:r>
    </w:p>
    <w:p>
      <w:pPr>
        <w:autoSpaceDE w:val="0"/>
        <w:autoSpaceDN w:val="0"/>
        <w:snapToGrid w:val="0"/>
        <w:spacing w:line="360" w:lineRule="exact"/>
        <w:ind w:firstLine="440" w:firstLineChars="200"/>
        <w:jc w:val="left"/>
        <w:rPr>
          <w:rFonts w:eastAsia="新宋体"/>
          <w:bCs/>
          <w:color w:val="auto"/>
          <w:kern w:val="0"/>
          <w:sz w:val="22"/>
          <w:szCs w:val="22"/>
          <w:highlight w:val="none"/>
        </w:rPr>
      </w:pPr>
      <w:r>
        <w:rPr>
          <w:rFonts w:hint="eastAsia" w:eastAsia="新宋体"/>
          <w:bCs/>
          <w:color w:val="auto"/>
          <w:kern w:val="0"/>
          <w:sz w:val="22"/>
          <w:szCs w:val="22"/>
          <w:highlight w:val="none"/>
        </w:rPr>
        <w:t>4、书面质疑受理地点：黎明西路236号国贸中心29楼</w:t>
      </w:r>
    </w:p>
    <w:p>
      <w:pPr>
        <w:autoSpaceDE w:val="0"/>
        <w:autoSpaceDN w:val="0"/>
        <w:snapToGrid w:val="0"/>
        <w:spacing w:line="360" w:lineRule="exact"/>
        <w:ind w:firstLine="770" w:firstLineChars="350"/>
        <w:jc w:val="left"/>
        <w:rPr>
          <w:rFonts w:eastAsia="新宋体"/>
          <w:bCs/>
          <w:color w:val="auto"/>
          <w:kern w:val="0"/>
          <w:sz w:val="22"/>
          <w:szCs w:val="22"/>
          <w:highlight w:val="none"/>
        </w:rPr>
      </w:pPr>
      <w:r>
        <w:rPr>
          <w:rFonts w:hint="eastAsia" w:eastAsia="新宋体"/>
          <w:bCs/>
          <w:color w:val="auto"/>
          <w:kern w:val="0"/>
          <w:sz w:val="22"/>
          <w:szCs w:val="22"/>
          <w:highlight w:val="none"/>
        </w:rPr>
        <w:t>联系电话：</w:t>
      </w:r>
      <w:r>
        <w:rPr>
          <w:rFonts w:hint="eastAsia" w:ascii="新宋体" w:hAnsi="新宋体" w:eastAsia="新宋体" w:cs="新宋体"/>
          <w:bCs/>
          <w:color w:val="auto"/>
          <w:kern w:val="0"/>
          <w:sz w:val="22"/>
          <w:szCs w:val="22"/>
          <w:highlight w:val="none"/>
        </w:rPr>
        <w:t>0577-88858722</w:t>
      </w:r>
      <w:r>
        <w:rPr>
          <w:rFonts w:hint="eastAsia" w:eastAsia="新宋体"/>
          <w:bCs/>
          <w:color w:val="auto"/>
          <w:kern w:val="0"/>
          <w:sz w:val="22"/>
          <w:szCs w:val="22"/>
          <w:highlight w:val="none"/>
        </w:rPr>
        <w:t>。</w:t>
      </w:r>
    </w:p>
    <w:p>
      <w:pPr>
        <w:autoSpaceDE w:val="0"/>
        <w:autoSpaceDN w:val="0"/>
        <w:snapToGrid w:val="0"/>
        <w:spacing w:line="360" w:lineRule="exact"/>
        <w:ind w:firstLine="440" w:firstLineChars="200"/>
        <w:jc w:val="left"/>
        <w:rPr>
          <w:rFonts w:eastAsia="新宋体"/>
          <w:bCs/>
          <w:color w:val="auto"/>
          <w:kern w:val="0"/>
          <w:sz w:val="22"/>
          <w:szCs w:val="22"/>
          <w:highlight w:val="none"/>
        </w:rPr>
      </w:pPr>
      <w:r>
        <w:rPr>
          <w:rFonts w:hint="eastAsia" w:eastAsia="新宋体"/>
          <w:bCs/>
          <w:color w:val="auto"/>
          <w:kern w:val="0"/>
          <w:sz w:val="22"/>
          <w:szCs w:val="22"/>
          <w:highlight w:val="none"/>
        </w:rPr>
        <w:t>5、政府采购监管部门：温州市财政局政府采购监管处</w:t>
      </w:r>
    </w:p>
    <w:p>
      <w:pPr>
        <w:autoSpaceDE w:val="0"/>
        <w:autoSpaceDN w:val="0"/>
        <w:snapToGrid w:val="0"/>
        <w:spacing w:line="360" w:lineRule="exact"/>
        <w:ind w:firstLine="770" w:firstLineChars="350"/>
        <w:jc w:val="left"/>
        <w:rPr>
          <w:rFonts w:eastAsia="新宋体"/>
          <w:bCs/>
          <w:color w:val="auto"/>
          <w:kern w:val="0"/>
          <w:sz w:val="22"/>
          <w:szCs w:val="22"/>
          <w:highlight w:val="none"/>
        </w:rPr>
      </w:pPr>
      <w:r>
        <w:rPr>
          <w:rFonts w:hint="eastAsia" w:eastAsia="新宋体"/>
          <w:bCs/>
          <w:color w:val="auto"/>
          <w:kern w:val="0"/>
          <w:sz w:val="22"/>
          <w:szCs w:val="22"/>
          <w:highlight w:val="none"/>
        </w:rPr>
        <w:t>联系人：项先生、蔡女士</w:t>
      </w:r>
    </w:p>
    <w:p>
      <w:pPr>
        <w:autoSpaceDE w:val="0"/>
        <w:autoSpaceDN w:val="0"/>
        <w:snapToGrid w:val="0"/>
        <w:spacing w:line="360" w:lineRule="exact"/>
        <w:ind w:firstLine="770" w:firstLineChars="350"/>
        <w:jc w:val="left"/>
        <w:rPr>
          <w:rFonts w:ascii="新宋体" w:hAnsi="新宋体" w:eastAsia="新宋体" w:cs="新宋体"/>
          <w:bCs/>
          <w:color w:val="auto"/>
          <w:kern w:val="0"/>
          <w:sz w:val="22"/>
          <w:szCs w:val="22"/>
          <w:highlight w:val="none"/>
        </w:rPr>
      </w:pPr>
      <w:r>
        <w:rPr>
          <w:rFonts w:hint="eastAsia" w:eastAsia="新宋体"/>
          <w:bCs/>
          <w:color w:val="auto"/>
          <w:kern w:val="0"/>
          <w:sz w:val="22"/>
          <w:szCs w:val="22"/>
          <w:highlight w:val="none"/>
        </w:rPr>
        <w:t>联系电话：0577-88532725、88521948</w:t>
      </w:r>
    </w:p>
    <w:p>
      <w:pPr>
        <w:autoSpaceDE w:val="0"/>
        <w:autoSpaceDN w:val="0"/>
        <w:snapToGrid w:val="0"/>
        <w:spacing w:line="360" w:lineRule="exact"/>
        <w:ind w:firstLine="440" w:firstLineChars="200"/>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十、在线投标（电子投标）说明</w:t>
      </w:r>
    </w:p>
    <w:p>
      <w:pPr>
        <w:spacing w:line="400" w:lineRule="exact"/>
        <w:ind w:firstLine="440" w:firstLineChars="200"/>
        <w:rPr>
          <w:rFonts w:ascii="宋体" w:hAnsi="宋体" w:cs="宋体"/>
          <w:b/>
          <w:color w:val="auto"/>
          <w:kern w:val="0"/>
          <w:sz w:val="22"/>
          <w:szCs w:val="22"/>
          <w:highlight w:val="none"/>
        </w:rPr>
      </w:pPr>
      <w:r>
        <w:rPr>
          <w:rFonts w:hint="eastAsia" w:ascii="新宋体" w:hAnsi="新宋体" w:eastAsia="新宋体" w:cs="新宋体"/>
          <w:color w:val="auto"/>
          <w:sz w:val="22"/>
          <w:szCs w:val="22"/>
          <w:highlight w:val="none"/>
        </w:rPr>
        <w:t xml:space="preserve">    </w:t>
      </w:r>
      <w:r>
        <w:rPr>
          <w:rFonts w:hint="eastAsia" w:ascii="宋体" w:hAnsi="宋体" w:cs="宋体"/>
          <w:b/>
          <w:color w:val="auto"/>
          <w:kern w:val="0"/>
          <w:sz w:val="22"/>
          <w:szCs w:val="22"/>
          <w:highlight w:val="none"/>
        </w:rPr>
        <w:t>1.投标人必须先在政府采购云平台进行登记注册，相关事宜请参照（《供应商网上注册操作指南》“浙江政府采购网首页-办事指南-注册-供应商注册申请”），登录政府采购云平台后台依法进行网上自主下载。（温馨提示：投标人注册审核通过不代表已获取成功）。</w:t>
      </w:r>
    </w:p>
    <w:p>
      <w:pPr>
        <w:spacing w:line="400" w:lineRule="exact"/>
        <w:ind w:firstLine="442" w:firstLineChars="200"/>
        <w:rPr>
          <w:rFonts w:ascii="宋体" w:hAnsi="宋体" w:cs="宋体"/>
          <w:b/>
          <w:color w:val="auto"/>
          <w:kern w:val="0"/>
          <w:sz w:val="22"/>
          <w:szCs w:val="22"/>
          <w:highlight w:val="none"/>
        </w:rPr>
      </w:pPr>
      <w:r>
        <w:rPr>
          <w:rFonts w:hint="eastAsia" w:ascii="宋体" w:hAnsi="宋体" w:cs="宋体"/>
          <w:b/>
          <w:color w:val="auto"/>
          <w:kern w:val="0"/>
          <w:sz w:val="22"/>
          <w:szCs w:val="22"/>
          <w:highlight w:val="none"/>
        </w:rPr>
        <w:t>2.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spacing w:line="400" w:lineRule="exact"/>
        <w:ind w:firstLine="442" w:firstLineChars="200"/>
        <w:rPr>
          <w:rFonts w:ascii="宋体" w:hAnsi="宋体" w:cs="宋体"/>
          <w:b/>
          <w:color w:val="auto"/>
          <w:kern w:val="0"/>
          <w:sz w:val="22"/>
          <w:szCs w:val="22"/>
          <w:highlight w:val="none"/>
        </w:rPr>
      </w:pPr>
      <w:r>
        <w:rPr>
          <w:rFonts w:hint="eastAsia" w:ascii="宋体" w:hAnsi="宋体" w:cs="宋体"/>
          <w:b/>
          <w:color w:val="auto"/>
          <w:kern w:val="0"/>
          <w:sz w:val="22"/>
          <w:szCs w:val="22"/>
          <w:highlight w:val="none"/>
        </w:rPr>
        <w:t>3.投标人应在开标前完成CA数字证书办理。完成CA数字证书办理预计一周左右，建议各投标人抓紧时间办理。【（</w:t>
      </w:r>
      <w:r>
        <w:rPr>
          <w:rFonts w:hint="eastAsia"/>
          <w:color w:val="auto"/>
          <w:highlight w:val="none"/>
        </w:rPr>
        <w:fldChar w:fldCharType="begin"/>
      </w:r>
      <w:r>
        <w:rPr>
          <w:color w:val="auto"/>
          <w:highlight w:val="none"/>
        </w:rPr>
        <w:instrText xml:space="preserve"> HYPERLINK "../../Downloads/CA申领操作指南.pdf" </w:instrText>
      </w:r>
      <w:r>
        <w:rPr>
          <w:rFonts w:hint="eastAsia"/>
          <w:color w:val="auto"/>
          <w:highlight w:val="none"/>
        </w:rPr>
        <w:fldChar w:fldCharType="separate"/>
      </w:r>
      <w:r>
        <w:rPr>
          <w:rFonts w:hint="eastAsia" w:ascii="宋体" w:hAnsi="宋体" w:cs="宋体"/>
          <w:b/>
          <w:color w:val="auto"/>
          <w:kern w:val="0"/>
          <w:sz w:val="22"/>
          <w:szCs w:val="22"/>
          <w:highlight w:val="none"/>
        </w:rPr>
        <w:t>目前“政采云”平台仅支持浙江汇信或天谷CA锁，个体工商户投标仅支持浙江汇信CA锁）申领操作流程</w:t>
      </w:r>
      <w:r>
        <w:rPr>
          <w:rFonts w:hint="eastAsia" w:ascii="宋体" w:hAnsi="宋体" w:cs="宋体"/>
          <w:b/>
          <w:color w:val="auto"/>
          <w:kern w:val="0"/>
          <w:sz w:val="22"/>
          <w:szCs w:val="22"/>
          <w:highlight w:val="none"/>
        </w:rPr>
        <w:fldChar w:fldCharType="end"/>
      </w:r>
      <w:r>
        <w:rPr>
          <w:rFonts w:hint="eastAsia" w:ascii="宋体" w:hAnsi="宋体" w:cs="宋体"/>
          <w:b/>
          <w:color w:val="auto"/>
          <w:kern w:val="0"/>
          <w:sz w:val="22"/>
          <w:szCs w:val="22"/>
          <w:highlight w:val="none"/>
        </w:rPr>
        <w:t>”】。因未注册入库、未办理CA数字证书等原因造成无法投标或投标失败等后果由供应商自行承担。</w:t>
      </w:r>
    </w:p>
    <w:p>
      <w:pPr>
        <w:wordWrap w:val="0"/>
        <w:spacing w:line="400" w:lineRule="exact"/>
        <w:ind w:firstLine="442" w:firstLineChars="200"/>
        <w:rPr>
          <w:rFonts w:ascii="宋体" w:hAnsi="宋体" w:cs="宋体"/>
          <w:b/>
          <w:color w:val="auto"/>
          <w:kern w:val="0"/>
          <w:sz w:val="22"/>
          <w:szCs w:val="22"/>
          <w:highlight w:val="none"/>
        </w:rPr>
      </w:pPr>
      <w:r>
        <w:rPr>
          <w:rFonts w:hint="eastAsia" w:ascii="宋体" w:hAnsi="宋体" w:cs="宋体"/>
          <w:b/>
          <w:color w:val="auto"/>
          <w:kern w:val="0"/>
          <w:sz w:val="22"/>
          <w:szCs w:val="22"/>
          <w:highlight w:val="none"/>
        </w:rPr>
        <w:t>《</w:t>
      </w:r>
      <w:r>
        <w:rPr>
          <w:rFonts w:ascii="宋体" w:hAnsi="宋体" w:cs="宋体"/>
          <w:b/>
          <w:color w:val="auto"/>
          <w:kern w:val="0"/>
          <w:sz w:val="22"/>
          <w:szCs w:val="22"/>
          <w:highlight w:val="none"/>
        </w:rPr>
        <w:t>CA驱动和申领流程</w:t>
      </w:r>
      <w:r>
        <w:rPr>
          <w:rFonts w:hint="eastAsia" w:ascii="宋体" w:hAnsi="宋体" w:cs="宋体"/>
          <w:b/>
          <w:color w:val="auto"/>
          <w:kern w:val="0"/>
          <w:sz w:val="22"/>
          <w:szCs w:val="22"/>
          <w:highlight w:val="none"/>
        </w:rPr>
        <w:t>》：</w:t>
      </w:r>
      <w:r>
        <w:rPr>
          <w:color w:val="auto"/>
          <w:highlight w:val="none"/>
        </w:rPr>
        <w:fldChar w:fldCharType="begin"/>
      </w:r>
      <w:r>
        <w:rPr>
          <w:color w:val="auto"/>
          <w:highlight w:val="none"/>
        </w:rPr>
        <w:instrText xml:space="preserve"> HYPERLINK "http://zfcg.czt.zj.gov.cn/bidClientTemplate/2019-05-27/12945.html" </w:instrText>
      </w:r>
      <w:r>
        <w:rPr>
          <w:color w:val="auto"/>
          <w:highlight w:val="none"/>
        </w:rPr>
        <w:fldChar w:fldCharType="separate"/>
      </w:r>
      <w:r>
        <w:rPr>
          <w:rFonts w:hint="eastAsia" w:ascii="宋体" w:hAnsi="宋体" w:cs="宋体"/>
          <w:b/>
          <w:color w:val="auto"/>
          <w:kern w:val="0"/>
          <w:sz w:val="22"/>
          <w:szCs w:val="22"/>
          <w:highlight w:val="none"/>
        </w:rPr>
        <w:t>http://zfcg.czt.zj.gov.cn/bidClientTemplate/2019-05-27/12945.html</w:t>
      </w:r>
      <w:r>
        <w:rPr>
          <w:rFonts w:hint="eastAsia" w:ascii="宋体" w:hAnsi="宋体" w:cs="宋体"/>
          <w:b/>
          <w:color w:val="auto"/>
          <w:kern w:val="0"/>
          <w:sz w:val="22"/>
          <w:szCs w:val="22"/>
          <w:highlight w:val="none"/>
        </w:rPr>
        <w:fldChar w:fldCharType="end"/>
      </w:r>
    </w:p>
    <w:p>
      <w:pPr>
        <w:wordWrap w:val="0"/>
        <w:spacing w:line="400" w:lineRule="exact"/>
        <w:ind w:firstLine="442" w:firstLineChars="200"/>
        <w:rPr>
          <w:rFonts w:ascii="宋体" w:hAnsi="宋体" w:cs="宋体"/>
          <w:b/>
          <w:color w:val="auto"/>
          <w:kern w:val="0"/>
          <w:sz w:val="22"/>
          <w:szCs w:val="22"/>
          <w:highlight w:val="none"/>
        </w:rPr>
      </w:pPr>
      <w:r>
        <w:rPr>
          <w:rFonts w:hint="eastAsia" w:ascii="宋体" w:hAnsi="宋体" w:cs="宋体"/>
          <w:b/>
          <w:color w:val="auto"/>
          <w:kern w:val="0"/>
          <w:sz w:val="22"/>
          <w:szCs w:val="22"/>
          <w:highlight w:val="none"/>
        </w:rPr>
        <w:t>《CA管理操作指南》:</w:t>
      </w:r>
      <w:r>
        <w:rPr>
          <w:color w:val="auto"/>
          <w:highlight w:val="none"/>
        </w:rPr>
        <w:fldChar w:fldCharType="begin"/>
      </w:r>
      <w:r>
        <w:rPr>
          <w:color w:val="auto"/>
          <w:highlight w:val="none"/>
        </w:rPr>
        <w:instrText xml:space="preserve"> HYPERLINK "https://service.zcygov.cn/" \l "/knowledges/cm2eqWwBFdiHxlNd_otq/lwV6GXABiyELHE-oVMj3?keyword=CA%E7%94%B3%E9%A2%86%E6%93%8D%E4%BD%9C%E6%B5%81%E7%A8%8B" </w:instrText>
      </w:r>
      <w:r>
        <w:rPr>
          <w:color w:val="auto"/>
          <w:highlight w:val="none"/>
        </w:rPr>
        <w:fldChar w:fldCharType="separate"/>
      </w:r>
      <w:r>
        <w:rPr>
          <w:rFonts w:hint="eastAsia" w:ascii="宋体" w:hAnsi="宋体" w:cs="宋体"/>
          <w:b/>
          <w:color w:val="auto"/>
          <w:kern w:val="0"/>
          <w:sz w:val="22"/>
          <w:szCs w:val="22"/>
          <w:highlight w:val="none"/>
        </w:rPr>
        <w:t>https://service.zcygov.cn/#/knowledges/cm2eqWwBFdiHxlNd_otq/lwV6GXABiyELHE-oVMj3?keyword</w:t>
      </w:r>
      <w:r>
        <w:rPr>
          <w:rFonts w:hint="eastAsia" w:ascii="宋体" w:hAnsi="宋体" w:cs="宋体"/>
          <w:b/>
          <w:color w:val="auto"/>
          <w:kern w:val="0"/>
          <w:sz w:val="22"/>
          <w:szCs w:val="22"/>
          <w:highlight w:val="none"/>
        </w:rPr>
        <w:fldChar w:fldCharType="end"/>
      </w:r>
    </w:p>
    <w:p>
      <w:pPr>
        <w:wordWrap w:val="0"/>
        <w:spacing w:line="400" w:lineRule="exact"/>
        <w:ind w:firstLine="442" w:firstLineChars="200"/>
        <w:rPr>
          <w:rFonts w:ascii="宋体" w:hAnsi="宋体" w:cs="宋体"/>
          <w:b/>
          <w:color w:val="auto"/>
          <w:kern w:val="0"/>
          <w:sz w:val="22"/>
          <w:szCs w:val="22"/>
          <w:highlight w:val="none"/>
        </w:rPr>
      </w:pPr>
      <w:r>
        <w:rPr>
          <w:rFonts w:hint="eastAsia" w:ascii="宋体" w:hAnsi="宋体" w:cs="宋体"/>
          <w:b/>
          <w:color w:val="auto"/>
          <w:kern w:val="0"/>
          <w:sz w:val="22"/>
          <w:szCs w:val="22"/>
          <w:highlight w:val="none"/>
        </w:rPr>
        <w:t>4.投标人通过政采云平台电子投标工具制作投标文件，电子投标工具请供应商自行前往浙江省政府采购网下载并安装，（</w:t>
      </w:r>
      <w:r>
        <w:rPr>
          <w:rFonts w:ascii="宋体" w:hAnsi="宋体" w:cs="宋体"/>
          <w:b/>
          <w:color w:val="auto"/>
          <w:kern w:val="0"/>
          <w:sz w:val="22"/>
          <w:szCs w:val="22"/>
          <w:highlight w:val="none"/>
        </w:rPr>
        <w:t>电子交易客户端</w:t>
      </w:r>
      <w:r>
        <w:rPr>
          <w:rFonts w:hint="eastAsia" w:ascii="宋体" w:hAnsi="宋体" w:cs="宋体"/>
          <w:b/>
          <w:color w:val="auto"/>
          <w:kern w:val="0"/>
          <w:sz w:val="22"/>
          <w:szCs w:val="22"/>
          <w:highlight w:val="none"/>
        </w:rPr>
        <w:t>下载地址：</w:t>
      </w:r>
      <w:r>
        <w:rPr>
          <w:color w:val="auto"/>
          <w:highlight w:val="none"/>
        </w:rPr>
        <w:fldChar w:fldCharType="begin"/>
      </w:r>
      <w:r>
        <w:rPr>
          <w:color w:val="auto"/>
          <w:highlight w:val="none"/>
        </w:rPr>
        <w:instrText xml:space="preserve"> HYPERLINK "http://zfcg.czt.zj.gov.cn/bidClientTemplate/2019-09-24/12975.html" </w:instrText>
      </w:r>
      <w:r>
        <w:rPr>
          <w:color w:val="auto"/>
          <w:highlight w:val="none"/>
        </w:rPr>
        <w:fldChar w:fldCharType="separate"/>
      </w:r>
      <w:r>
        <w:rPr>
          <w:rFonts w:hint="eastAsia" w:ascii="宋体" w:hAnsi="宋体" w:cs="宋体"/>
          <w:b/>
          <w:color w:val="auto"/>
          <w:kern w:val="0"/>
          <w:sz w:val="22"/>
          <w:szCs w:val="22"/>
          <w:highlight w:val="none"/>
        </w:rPr>
        <w:t>http://zfcg.czt.zj.gov.cn/bidClientTemplate/2019-09-24/12975.html</w:t>
      </w:r>
      <w:r>
        <w:rPr>
          <w:rFonts w:hint="eastAsia" w:ascii="宋体" w:hAnsi="宋体" w:cs="宋体"/>
          <w:b/>
          <w:color w:val="auto"/>
          <w:kern w:val="0"/>
          <w:sz w:val="22"/>
          <w:szCs w:val="22"/>
          <w:highlight w:val="none"/>
        </w:rPr>
        <w:fldChar w:fldCharType="end"/>
      </w:r>
      <w:r>
        <w:rPr>
          <w:rFonts w:hint="eastAsia" w:ascii="宋体" w:hAnsi="宋体" w:cs="宋体"/>
          <w:b/>
          <w:color w:val="auto"/>
          <w:kern w:val="0"/>
          <w:sz w:val="22"/>
          <w:szCs w:val="22"/>
          <w:highlight w:val="none"/>
        </w:rPr>
        <w:t>），电子投标操作指南详见：“</w:t>
      </w:r>
      <w:r>
        <w:rPr>
          <w:rFonts w:hint="eastAsia"/>
          <w:color w:val="auto"/>
          <w:highlight w:val="none"/>
        </w:rPr>
        <w:fldChar w:fldCharType="begin"/>
      </w:r>
      <w:r>
        <w:rPr>
          <w:color w:val="auto"/>
          <w:highlight w:val="none"/>
        </w:rPr>
        <w:instrText xml:space="preserve"> HYPERLINK "https://edu.zcygov.cn/luban/e-biding" </w:instrText>
      </w:r>
      <w:r>
        <w:rPr>
          <w:rFonts w:hint="eastAsia"/>
          <w:color w:val="auto"/>
          <w:highlight w:val="none"/>
        </w:rPr>
        <w:fldChar w:fldCharType="separate"/>
      </w:r>
      <w:r>
        <w:rPr>
          <w:rFonts w:hint="eastAsia" w:ascii="宋体" w:hAnsi="宋体" w:cs="宋体"/>
          <w:b/>
          <w:color w:val="auto"/>
          <w:kern w:val="0"/>
          <w:sz w:val="22"/>
          <w:szCs w:val="22"/>
          <w:highlight w:val="none"/>
        </w:rPr>
        <w:t>https://edu.zcygov.cn/luban/e-biding</w:t>
      </w:r>
      <w:r>
        <w:rPr>
          <w:rFonts w:hint="eastAsia" w:ascii="宋体" w:hAnsi="宋体" w:cs="宋体"/>
          <w:b/>
          <w:color w:val="auto"/>
          <w:kern w:val="0"/>
          <w:sz w:val="22"/>
          <w:szCs w:val="22"/>
          <w:highlight w:val="none"/>
        </w:rPr>
        <w:fldChar w:fldCharType="end"/>
      </w:r>
      <w:r>
        <w:rPr>
          <w:rFonts w:hint="eastAsia" w:ascii="宋体" w:hAnsi="宋体" w:cs="宋体"/>
          <w:b/>
          <w:color w:val="auto"/>
          <w:kern w:val="0"/>
          <w:sz w:val="22"/>
          <w:szCs w:val="22"/>
          <w:highlight w:val="none"/>
        </w:rPr>
        <w:t>”。</w:t>
      </w:r>
    </w:p>
    <w:p>
      <w:pPr>
        <w:pStyle w:val="3"/>
        <w:keepNext w:val="0"/>
        <w:keepLines w:val="0"/>
        <w:widowControl/>
        <w:numPr>
          <w:ilvl w:val="0"/>
          <w:numId w:val="0"/>
        </w:numPr>
        <w:spacing w:before="0" w:after="0" w:line="450" w:lineRule="atLeast"/>
        <w:ind w:left="420" w:leftChars="200"/>
        <w:jc w:val="left"/>
        <w:rPr>
          <w:rFonts w:ascii="宋体" w:hAnsi="宋体" w:cs="宋体"/>
          <w:bCs w:val="0"/>
          <w:color w:val="auto"/>
          <w:kern w:val="0"/>
          <w:sz w:val="22"/>
          <w:szCs w:val="22"/>
          <w:highlight w:val="none"/>
        </w:rPr>
      </w:pPr>
      <w:r>
        <w:rPr>
          <w:rFonts w:hint="eastAsia" w:ascii="宋体" w:hAnsi="宋体" w:cs="宋体"/>
          <w:bCs w:val="0"/>
          <w:color w:val="auto"/>
          <w:kern w:val="0"/>
          <w:sz w:val="22"/>
          <w:szCs w:val="22"/>
          <w:highlight w:val="none"/>
        </w:rPr>
        <w:t>5.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政采云平台拒收。</w:t>
      </w:r>
    </w:p>
    <w:p>
      <w:pPr>
        <w:spacing w:line="400" w:lineRule="exact"/>
        <w:ind w:firstLine="442" w:firstLineChars="200"/>
        <w:rPr>
          <w:rFonts w:ascii="宋体" w:hAnsi="宋体" w:cs="宋体"/>
          <w:b/>
          <w:color w:val="auto"/>
          <w:kern w:val="0"/>
          <w:sz w:val="22"/>
          <w:szCs w:val="22"/>
          <w:highlight w:val="none"/>
        </w:rPr>
      </w:pPr>
      <w:r>
        <w:rPr>
          <w:rFonts w:hint="eastAsia" w:ascii="宋体" w:hAnsi="宋体" w:cs="宋体"/>
          <w:b/>
          <w:color w:val="auto"/>
          <w:kern w:val="0"/>
          <w:sz w:val="22"/>
          <w:szCs w:val="22"/>
          <w:highlight w:val="none"/>
        </w:rPr>
        <w:t>6.确保采购项目顺利实施，避免因政采云上电子投标文件解密失败导致投标人投标无效，投标人可在开标时间前将在政采云平台上最后生成的具备电子签章的备份加密投标文件（文件名后缀为备份文件四字的首字母）以电子邮件方式传送至浙江恒杰工程管理有限公司电子邮箱（2716504778@qq.com），传送的备份电子投标文件需打包压缩并加密，加密密码由投标人自行保管，如政采云上电子投标文件出现解密失败情况（在线解密电子投标文件时间为开标时间起1个小时内），投标人可按照自身意愿确认是否同意提供加密密码解密传送至浙江恒杰工程管理有限公司电子邮箱（2716504778@qq.com）的备份文件，并以备份文件作为替代电子投标文件，如投标人未按照规定时间（开标时间前）及要求提供有效备份文件，同时政采云上投标文件解密失败的，将导致投标无效。</w:t>
      </w:r>
    </w:p>
    <w:p>
      <w:pPr>
        <w:spacing w:line="400" w:lineRule="exact"/>
        <w:ind w:firstLine="442" w:firstLineChars="200"/>
        <w:rPr>
          <w:rFonts w:ascii="宋体" w:hAnsi="宋体" w:cs="宋体"/>
          <w:b/>
          <w:color w:val="auto"/>
          <w:kern w:val="0"/>
          <w:sz w:val="22"/>
          <w:szCs w:val="22"/>
          <w:highlight w:val="none"/>
        </w:rPr>
      </w:pPr>
      <w:r>
        <w:rPr>
          <w:rFonts w:hint="eastAsia" w:ascii="宋体" w:hAnsi="宋体" w:cs="宋体"/>
          <w:b/>
          <w:color w:val="auto"/>
          <w:kern w:val="0"/>
          <w:sz w:val="22"/>
          <w:szCs w:val="22"/>
          <w:highlight w:val="none"/>
        </w:rPr>
        <w:t>7.投标人无需在开标当天到达开标现场对电子投标进行解密，可在公司办公场地在规定时间内对电子投标文件进行解密。重要提醒：解密用的</w:t>
      </w:r>
      <w:r>
        <w:rPr>
          <w:rFonts w:hint="eastAsia" w:ascii="宋体" w:hAnsi="宋体" w:cs="宋体"/>
          <w:b/>
          <w:color w:val="auto"/>
          <w:sz w:val="22"/>
          <w:highlight w:val="none"/>
        </w:rPr>
        <w:t>CA为制作投标文件的CA。</w:t>
      </w:r>
    </w:p>
    <w:p>
      <w:pPr>
        <w:wordWrap w:val="0"/>
        <w:autoSpaceDE w:val="0"/>
        <w:autoSpaceDN w:val="0"/>
        <w:snapToGrid w:val="0"/>
        <w:spacing w:line="360" w:lineRule="exact"/>
        <w:ind w:firstLine="442" w:firstLineChars="200"/>
        <w:jc w:val="left"/>
        <w:rPr>
          <w:rFonts w:ascii="新宋体" w:hAnsi="新宋体" w:eastAsia="新宋体" w:cs="新宋体"/>
          <w:color w:val="auto"/>
          <w:sz w:val="22"/>
          <w:szCs w:val="22"/>
          <w:highlight w:val="none"/>
        </w:rPr>
      </w:pPr>
      <w:r>
        <w:rPr>
          <w:rFonts w:hint="eastAsia" w:ascii="宋体" w:hAnsi="宋体" w:cs="宋体"/>
          <w:b/>
          <w:color w:val="auto"/>
          <w:kern w:val="0"/>
          <w:sz w:val="22"/>
          <w:szCs w:val="22"/>
          <w:highlight w:val="none"/>
        </w:rPr>
        <w:t>8.本项目由采购代理机构做好“备份电子投标文件”的签收工作后，与投标资料一并归档。投标人授权代表不参加现场开标活动，由相关人员进行现场监督。采购代理机构将记录所有投标文件的开封过程的有关内容，并由相关人员签字确认。评标委员会要求供应商澄清、说明或者补正，须通过政采云平台要求澄清、说明或者补正。</w:t>
      </w:r>
    </w:p>
    <w:p>
      <w:pPr>
        <w:spacing w:line="440" w:lineRule="exact"/>
        <w:ind w:firstLine="440" w:firstLineChars="200"/>
        <w:rPr>
          <w:rFonts w:eastAsia="新宋体"/>
          <w:bCs/>
          <w:color w:val="auto"/>
          <w:kern w:val="0"/>
          <w:sz w:val="22"/>
          <w:szCs w:val="22"/>
          <w:highlight w:val="none"/>
        </w:rPr>
      </w:pPr>
      <w:r>
        <w:rPr>
          <w:rFonts w:hint="eastAsia" w:eastAsia="新宋体"/>
          <w:bCs/>
          <w:color w:val="auto"/>
          <w:kern w:val="0"/>
          <w:sz w:val="22"/>
          <w:szCs w:val="22"/>
          <w:highlight w:val="none"/>
        </w:rPr>
        <w:t>十一、联系方式</w:t>
      </w:r>
    </w:p>
    <w:p>
      <w:pPr>
        <w:autoSpaceDE w:val="0"/>
        <w:autoSpaceDN w:val="0"/>
        <w:snapToGrid w:val="0"/>
        <w:spacing w:line="360" w:lineRule="exact"/>
        <w:ind w:firstLine="440" w:firstLineChars="200"/>
        <w:jc w:val="left"/>
        <w:rPr>
          <w:rFonts w:hint="eastAsia" w:eastAsia="新宋体"/>
          <w:bCs/>
          <w:color w:val="auto"/>
          <w:kern w:val="0"/>
          <w:sz w:val="22"/>
          <w:szCs w:val="22"/>
          <w:highlight w:val="none"/>
        </w:rPr>
      </w:pPr>
      <w:r>
        <w:rPr>
          <w:rFonts w:hint="eastAsia" w:eastAsia="新宋体"/>
          <w:bCs/>
          <w:color w:val="auto"/>
          <w:kern w:val="0"/>
          <w:sz w:val="22"/>
          <w:szCs w:val="22"/>
          <w:highlight w:val="none"/>
        </w:rPr>
        <w:t xml:space="preserve"> 1、招标人信息</w:t>
      </w:r>
    </w:p>
    <w:p>
      <w:pPr>
        <w:autoSpaceDE w:val="0"/>
        <w:autoSpaceDN w:val="0"/>
        <w:snapToGrid w:val="0"/>
        <w:spacing w:line="360" w:lineRule="exact"/>
        <w:ind w:firstLine="440" w:firstLineChars="200"/>
        <w:jc w:val="left"/>
        <w:rPr>
          <w:rFonts w:hint="eastAsia" w:eastAsia="新宋体"/>
          <w:bCs/>
          <w:color w:val="auto"/>
          <w:kern w:val="0"/>
          <w:sz w:val="22"/>
          <w:szCs w:val="22"/>
          <w:highlight w:val="none"/>
        </w:rPr>
      </w:pPr>
      <w:r>
        <w:rPr>
          <w:rFonts w:hint="eastAsia" w:eastAsia="新宋体"/>
          <w:bCs/>
          <w:color w:val="auto"/>
          <w:kern w:val="0"/>
          <w:sz w:val="22"/>
          <w:szCs w:val="22"/>
          <w:highlight w:val="none"/>
        </w:rPr>
        <w:t xml:space="preserve"> 名       称：温州市园林绿化管理中心</w:t>
      </w:r>
    </w:p>
    <w:p>
      <w:pPr>
        <w:autoSpaceDE w:val="0"/>
        <w:autoSpaceDN w:val="0"/>
        <w:snapToGrid w:val="0"/>
        <w:spacing w:line="360" w:lineRule="exact"/>
        <w:ind w:firstLine="440" w:firstLineChars="200"/>
        <w:jc w:val="left"/>
        <w:rPr>
          <w:rFonts w:hint="eastAsia" w:eastAsia="新宋体"/>
          <w:bCs/>
          <w:color w:val="auto"/>
          <w:kern w:val="0"/>
          <w:sz w:val="22"/>
          <w:szCs w:val="22"/>
          <w:highlight w:val="none"/>
        </w:rPr>
      </w:pPr>
      <w:r>
        <w:rPr>
          <w:rFonts w:hint="eastAsia" w:eastAsia="新宋体"/>
          <w:bCs/>
          <w:color w:val="auto"/>
          <w:kern w:val="0"/>
          <w:sz w:val="22"/>
          <w:szCs w:val="22"/>
          <w:highlight w:val="none"/>
        </w:rPr>
        <w:t xml:space="preserve"> 地       址：鹿城区墨池坊1号</w:t>
      </w:r>
    </w:p>
    <w:p>
      <w:pPr>
        <w:autoSpaceDE w:val="0"/>
        <w:autoSpaceDN w:val="0"/>
        <w:snapToGrid w:val="0"/>
        <w:spacing w:line="360" w:lineRule="exact"/>
        <w:ind w:firstLine="440" w:firstLineChars="200"/>
        <w:jc w:val="left"/>
        <w:rPr>
          <w:rFonts w:hint="eastAsia" w:eastAsia="新宋体"/>
          <w:bCs/>
          <w:color w:val="auto"/>
          <w:kern w:val="0"/>
          <w:sz w:val="22"/>
          <w:szCs w:val="22"/>
          <w:highlight w:val="none"/>
        </w:rPr>
      </w:pPr>
      <w:r>
        <w:rPr>
          <w:rFonts w:hint="eastAsia" w:eastAsia="新宋体"/>
          <w:bCs/>
          <w:color w:val="auto"/>
          <w:kern w:val="0"/>
          <w:sz w:val="22"/>
          <w:szCs w:val="22"/>
          <w:highlight w:val="none"/>
        </w:rPr>
        <w:t xml:space="preserve"> 传       真：/</w:t>
      </w:r>
    </w:p>
    <w:p>
      <w:pPr>
        <w:autoSpaceDE w:val="0"/>
        <w:autoSpaceDN w:val="0"/>
        <w:snapToGrid w:val="0"/>
        <w:spacing w:line="360" w:lineRule="exact"/>
        <w:ind w:firstLine="440" w:firstLineChars="200"/>
        <w:jc w:val="left"/>
        <w:rPr>
          <w:rFonts w:hint="default" w:eastAsia="新宋体"/>
          <w:bCs/>
          <w:color w:val="auto"/>
          <w:kern w:val="0"/>
          <w:sz w:val="22"/>
          <w:szCs w:val="22"/>
          <w:highlight w:val="none"/>
          <w:lang w:val="en-US" w:eastAsia="zh-CN"/>
        </w:rPr>
      </w:pPr>
      <w:r>
        <w:rPr>
          <w:rFonts w:hint="eastAsia" w:eastAsia="新宋体"/>
          <w:bCs/>
          <w:color w:val="auto"/>
          <w:kern w:val="0"/>
          <w:sz w:val="22"/>
          <w:szCs w:val="22"/>
          <w:highlight w:val="none"/>
        </w:rPr>
        <w:t xml:space="preserve"> 项目联系人（询问）：</w:t>
      </w:r>
      <w:r>
        <w:rPr>
          <w:rFonts w:hint="eastAsia" w:eastAsia="新宋体"/>
          <w:bCs/>
          <w:color w:val="auto"/>
          <w:kern w:val="0"/>
          <w:sz w:val="22"/>
          <w:szCs w:val="22"/>
          <w:highlight w:val="none"/>
          <w:lang w:val="en-US" w:eastAsia="zh-CN"/>
        </w:rPr>
        <w:t>陈洪醒</w:t>
      </w:r>
    </w:p>
    <w:p>
      <w:pPr>
        <w:autoSpaceDE w:val="0"/>
        <w:autoSpaceDN w:val="0"/>
        <w:snapToGrid w:val="0"/>
        <w:spacing w:line="360" w:lineRule="exact"/>
        <w:ind w:firstLine="440" w:firstLineChars="200"/>
        <w:jc w:val="left"/>
        <w:rPr>
          <w:rFonts w:hint="default" w:eastAsia="新宋体"/>
          <w:bCs/>
          <w:color w:val="auto"/>
          <w:kern w:val="0"/>
          <w:sz w:val="22"/>
          <w:szCs w:val="22"/>
          <w:highlight w:val="none"/>
          <w:lang w:val="en-US" w:eastAsia="zh-CN"/>
        </w:rPr>
      </w:pPr>
      <w:r>
        <w:rPr>
          <w:rFonts w:hint="eastAsia" w:eastAsia="新宋体"/>
          <w:bCs/>
          <w:color w:val="auto"/>
          <w:kern w:val="0"/>
          <w:sz w:val="22"/>
          <w:szCs w:val="22"/>
          <w:highlight w:val="none"/>
        </w:rPr>
        <w:t xml:space="preserve"> 项目联系方式（询问）：</w:t>
      </w:r>
      <w:r>
        <w:rPr>
          <w:rFonts w:hint="eastAsia" w:eastAsia="新宋体"/>
          <w:bCs/>
          <w:color w:val="auto"/>
          <w:kern w:val="0"/>
          <w:sz w:val="22"/>
          <w:szCs w:val="22"/>
          <w:highlight w:val="none"/>
          <w:lang w:val="en-US" w:eastAsia="zh-CN"/>
        </w:rPr>
        <w:t>0577-89999585</w:t>
      </w:r>
    </w:p>
    <w:p>
      <w:pPr>
        <w:autoSpaceDE w:val="0"/>
        <w:autoSpaceDN w:val="0"/>
        <w:snapToGrid w:val="0"/>
        <w:spacing w:line="360" w:lineRule="exact"/>
        <w:ind w:firstLine="440" w:firstLineChars="200"/>
        <w:jc w:val="left"/>
        <w:rPr>
          <w:rFonts w:hint="default" w:eastAsia="新宋体"/>
          <w:bCs/>
          <w:color w:val="auto"/>
          <w:kern w:val="0"/>
          <w:sz w:val="22"/>
          <w:szCs w:val="22"/>
          <w:highlight w:val="none"/>
          <w:lang w:val="en-US" w:eastAsia="zh-CN"/>
        </w:rPr>
      </w:pPr>
      <w:r>
        <w:rPr>
          <w:rFonts w:hint="eastAsia" w:eastAsia="新宋体"/>
          <w:bCs/>
          <w:color w:val="auto"/>
          <w:kern w:val="0"/>
          <w:sz w:val="22"/>
          <w:szCs w:val="22"/>
          <w:highlight w:val="none"/>
        </w:rPr>
        <w:t>质疑联系人：</w:t>
      </w:r>
      <w:r>
        <w:rPr>
          <w:rFonts w:hint="eastAsia" w:eastAsia="新宋体"/>
          <w:bCs/>
          <w:color w:val="auto"/>
          <w:kern w:val="0"/>
          <w:sz w:val="22"/>
          <w:szCs w:val="22"/>
          <w:highlight w:val="none"/>
          <w:lang w:val="en-US" w:eastAsia="zh-CN"/>
        </w:rPr>
        <w:t>金平</w:t>
      </w:r>
    </w:p>
    <w:p>
      <w:pPr>
        <w:autoSpaceDE w:val="0"/>
        <w:autoSpaceDN w:val="0"/>
        <w:snapToGrid w:val="0"/>
        <w:spacing w:line="360" w:lineRule="exact"/>
        <w:ind w:firstLine="440" w:firstLineChars="200"/>
        <w:jc w:val="left"/>
        <w:rPr>
          <w:rFonts w:hint="default" w:eastAsia="新宋体"/>
          <w:bCs/>
          <w:color w:val="auto"/>
          <w:kern w:val="0"/>
          <w:sz w:val="22"/>
          <w:szCs w:val="22"/>
          <w:highlight w:val="none"/>
          <w:lang w:val="en-US" w:eastAsia="zh-CN"/>
        </w:rPr>
      </w:pPr>
      <w:r>
        <w:rPr>
          <w:rFonts w:hint="eastAsia" w:eastAsia="新宋体"/>
          <w:bCs/>
          <w:color w:val="auto"/>
          <w:kern w:val="0"/>
          <w:sz w:val="22"/>
          <w:szCs w:val="22"/>
          <w:highlight w:val="none"/>
        </w:rPr>
        <w:t>质疑联系方式：0577-</w:t>
      </w:r>
      <w:r>
        <w:rPr>
          <w:rFonts w:hint="eastAsia" w:eastAsia="新宋体"/>
          <w:bCs/>
          <w:color w:val="auto"/>
          <w:kern w:val="0"/>
          <w:sz w:val="22"/>
          <w:szCs w:val="22"/>
          <w:highlight w:val="none"/>
          <w:lang w:val="en-US" w:eastAsia="zh-CN"/>
        </w:rPr>
        <w:t>89993551</w:t>
      </w:r>
    </w:p>
    <w:p>
      <w:pPr>
        <w:autoSpaceDE w:val="0"/>
        <w:autoSpaceDN w:val="0"/>
        <w:snapToGrid w:val="0"/>
        <w:spacing w:line="360" w:lineRule="exact"/>
        <w:ind w:firstLine="440" w:firstLineChars="200"/>
        <w:jc w:val="left"/>
        <w:rPr>
          <w:rFonts w:hint="eastAsia" w:eastAsia="新宋体"/>
          <w:bCs/>
          <w:color w:val="auto"/>
          <w:kern w:val="0"/>
          <w:sz w:val="22"/>
          <w:szCs w:val="22"/>
          <w:highlight w:val="none"/>
        </w:rPr>
      </w:pPr>
      <w:r>
        <w:rPr>
          <w:rFonts w:hint="eastAsia" w:eastAsia="新宋体"/>
          <w:bCs/>
          <w:color w:val="auto"/>
          <w:kern w:val="0"/>
          <w:sz w:val="22"/>
          <w:szCs w:val="22"/>
          <w:highlight w:val="none"/>
        </w:rPr>
        <w:t xml:space="preserve">    </w:t>
      </w:r>
    </w:p>
    <w:p>
      <w:pPr>
        <w:autoSpaceDE w:val="0"/>
        <w:autoSpaceDN w:val="0"/>
        <w:snapToGrid w:val="0"/>
        <w:spacing w:line="360" w:lineRule="exact"/>
        <w:ind w:firstLine="440" w:firstLineChars="200"/>
        <w:jc w:val="left"/>
        <w:rPr>
          <w:rFonts w:hint="eastAsia" w:eastAsia="新宋体"/>
          <w:bCs/>
          <w:color w:val="auto"/>
          <w:kern w:val="0"/>
          <w:sz w:val="22"/>
          <w:szCs w:val="22"/>
          <w:highlight w:val="none"/>
        </w:rPr>
      </w:pPr>
      <w:r>
        <w:rPr>
          <w:rFonts w:hint="eastAsia" w:eastAsia="新宋体"/>
          <w:bCs/>
          <w:color w:val="auto"/>
          <w:kern w:val="0"/>
          <w:sz w:val="22"/>
          <w:szCs w:val="22"/>
          <w:highlight w:val="none"/>
        </w:rPr>
        <w:t xml:space="preserve"> 2、采购代理机构信息 </w:t>
      </w:r>
    </w:p>
    <w:p>
      <w:pPr>
        <w:autoSpaceDE w:val="0"/>
        <w:autoSpaceDN w:val="0"/>
        <w:snapToGrid w:val="0"/>
        <w:spacing w:line="360" w:lineRule="exact"/>
        <w:ind w:firstLine="440" w:firstLineChars="200"/>
        <w:jc w:val="left"/>
        <w:rPr>
          <w:rFonts w:hint="eastAsia" w:eastAsia="新宋体"/>
          <w:bCs/>
          <w:color w:val="auto"/>
          <w:kern w:val="0"/>
          <w:sz w:val="22"/>
          <w:szCs w:val="22"/>
          <w:highlight w:val="none"/>
        </w:rPr>
      </w:pPr>
      <w:r>
        <w:rPr>
          <w:rFonts w:hint="eastAsia" w:eastAsia="新宋体"/>
          <w:bCs/>
          <w:color w:val="auto"/>
          <w:kern w:val="0"/>
          <w:sz w:val="22"/>
          <w:szCs w:val="22"/>
          <w:highlight w:val="none"/>
        </w:rPr>
        <w:t>名    称：浙江恒杰工程管理有限公司</w:t>
      </w:r>
    </w:p>
    <w:p>
      <w:pPr>
        <w:autoSpaceDE w:val="0"/>
        <w:autoSpaceDN w:val="0"/>
        <w:snapToGrid w:val="0"/>
        <w:spacing w:line="360" w:lineRule="exact"/>
        <w:ind w:firstLine="440" w:firstLineChars="200"/>
        <w:jc w:val="left"/>
        <w:rPr>
          <w:rFonts w:hint="eastAsia" w:eastAsia="新宋体"/>
          <w:bCs/>
          <w:color w:val="auto"/>
          <w:kern w:val="0"/>
          <w:sz w:val="22"/>
          <w:szCs w:val="22"/>
          <w:highlight w:val="none"/>
        </w:rPr>
      </w:pPr>
      <w:r>
        <w:rPr>
          <w:rFonts w:hint="eastAsia" w:eastAsia="新宋体"/>
          <w:bCs/>
          <w:color w:val="auto"/>
          <w:kern w:val="0"/>
          <w:sz w:val="22"/>
          <w:szCs w:val="22"/>
          <w:highlight w:val="none"/>
        </w:rPr>
        <w:t>地    址：温州市鹿城区黎明西路236号国际贸易中心29楼</w:t>
      </w:r>
    </w:p>
    <w:p>
      <w:pPr>
        <w:autoSpaceDE w:val="0"/>
        <w:autoSpaceDN w:val="0"/>
        <w:snapToGrid w:val="0"/>
        <w:spacing w:line="360" w:lineRule="exact"/>
        <w:ind w:firstLine="440" w:firstLineChars="200"/>
        <w:jc w:val="left"/>
        <w:rPr>
          <w:rFonts w:hint="eastAsia" w:eastAsia="新宋体"/>
          <w:bCs/>
          <w:color w:val="auto"/>
          <w:kern w:val="0"/>
          <w:sz w:val="22"/>
          <w:szCs w:val="22"/>
          <w:highlight w:val="none"/>
        </w:rPr>
      </w:pPr>
      <w:r>
        <w:rPr>
          <w:rFonts w:hint="eastAsia" w:eastAsia="新宋体"/>
          <w:bCs/>
          <w:color w:val="auto"/>
          <w:kern w:val="0"/>
          <w:sz w:val="22"/>
          <w:szCs w:val="22"/>
          <w:highlight w:val="none"/>
        </w:rPr>
        <w:t>传    真：0577-88118617</w:t>
      </w:r>
    </w:p>
    <w:p>
      <w:pPr>
        <w:autoSpaceDE w:val="0"/>
        <w:autoSpaceDN w:val="0"/>
        <w:snapToGrid w:val="0"/>
        <w:spacing w:line="360" w:lineRule="exact"/>
        <w:ind w:firstLine="440" w:firstLineChars="200"/>
        <w:jc w:val="left"/>
        <w:rPr>
          <w:rFonts w:hint="eastAsia" w:eastAsia="新宋体"/>
          <w:bCs/>
          <w:color w:val="auto"/>
          <w:kern w:val="0"/>
          <w:sz w:val="22"/>
          <w:szCs w:val="22"/>
          <w:highlight w:val="none"/>
        </w:rPr>
      </w:pPr>
      <w:r>
        <w:rPr>
          <w:rFonts w:hint="eastAsia" w:eastAsia="新宋体"/>
          <w:bCs/>
          <w:color w:val="auto"/>
          <w:kern w:val="0"/>
          <w:sz w:val="22"/>
          <w:szCs w:val="22"/>
          <w:highlight w:val="none"/>
        </w:rPr>
        <w:t>项目联系人（询问）：林磊</w:t>
      </w:r>
    </w:p>
    <w:p>
      <w:pPr>
        <w:autoSpaceDE w:val="0"/>
        <w:autoSpaceDN w:val="0"/>
        <w:snapToGrid w:val="0"/>
        <w:spacing w:line="360" w:lineRule="exact"/>
        <w:ind w:firstLine="440" w:firstLineChars="200"/>
        <w:jc w:val="left"/>
        <w:rPr>
          <w:rFonts w:hint="eastAsia" w:eastAsia="新宋体"/>
          <w:bCs/>
          <w:color w:val="auto"/>
          <w:kern w:val="0"/>
          <w:sz w:val="22"/>
          <w:szCs w:val="22"/>
          <w:highlight w:val="none"/>
        </w:rPr>
      </w:pPr>
      <w:r>
        <w:rPr>
          <w:rFonts w:hint="eastAsia" w:eastAsia="新宋体"/>
          <w:bCs/>
          <w:color w:val="auto"/>
          <w:kern w:val="0"/>
          <w:sz w:val="22"/>
          <w:szCs w:val="22"/>
          <w:highlight w:val="none"/>
        </w:rPr>
        <w:t>项目联系方式（询问）：13868808710</w:t>
      </w:r>
    </w:p>
    <w:p>
      <w:pPr>
        <w:autoSpaceDE w:val="0"/>
        <w:autoSpaceDN w:val="0"/>
        <w:snapToGrid w:val="0"/>
        <w:spacing w:line="360" w:lineRule="exact"/>
        <w:ind w:firstLine="440" w:firstLineChars="200"/>
        <w:jc w:val="left"/>
        <w:rPr>
          <w:rFonts w:hint="eastAsia" w:eastAsia="新宋体"/>
          <w:bCs/>
          <w:color w:val="auto"/>
          <w:kern w:val="0"/>
          <w:sz w:val="22"/>
          <w:szCs w:val="22"/>
          <w:highlight w:val="none"/>
        </w:rPr>
      </w:pPr>
      <w:r>
        <w:rPr>
          <w:rFonts w:hint="eastAsia" w:eastAsia="新宋体"/>
          <w:bCs/>
          <w:color w:val="auto"/>
          <w:kern w:val="0"/>
          <w:sz w:val="22"/>
          <w:szCs w:val="22"/>
          <w:highlight w:val="none"/>
        </w:rPr>
        <w:t>质疑联系人：林开敏</w:t>
      </w:r>
    </w:p>
    <w:p>
      <w:pPr>
        <w:autoSpaceDE w:val="0"/>
        <w:autoSpaceDN w:val="0"/>
        <w:snapToGrid w:val="0"/>
        <w:spacing w:line="360" w:lineRule="exact"/>
        <w:ind w:firstLine="440" w:firstLineChars="200"/>
        <w:jc w:val="left"/>
        <w:rPr>
          <w:rFonts w:hint="eastAsia" w:eastAsia="新宋体"/>
          <w:bCs/>
          <w:color w:val="auto"/>
          <w:kern w:val="0"/>
          <w:sz w:val="22"/>
          <w:szCs w:val="22"/>
          <w:highlight w:val="none"/>
        </w:rPr>
      </w:pPr>
      <w:r>
        <w:rPr>
          <w:rFonts w:hint="eastAsia" w:eastAsia="新宋体"/>
          <w:bCs/>
          <w:color w:val="auto"/>
          <w:kern w:val="0"/>
          <w:sz w:val="22"/>
          <w:szCs w:val="22"/>
          <w:highlight w:val="none"/>
        </w:rPr>
        <w:t>质疑联系方式：18957717310</w:t>
      </w:r>
    </w:p>
    <w:p>
      <w:pPr>
        <w:spacing w:before="100" w:beforeAutospacing="1" w:after="100" w:afterAutospacing="1" w:line="240" w:lineRule="atLeast"/>
        <w:ind w:firstLine="220" w:firstLineChars="61"/>
        <w:jc w:val="center"/>
        <w:outlineLvl w:val="0"/>
        <w:rPr>
          <w:rFonts w:ascii="黑体" w:hAnsi="宋体" w:eastAsia="黑体"/>
          <w:b/>
          <w:bCs/>
          <w:color w:val="auto"/>
          <w:sz w:val="36"/>
          <w:szCs w:val="36"/>
          <w:highlight w:val="none"/>
        </w:rPr>
      </w:pPr>
      <w:r>
        <w:rPr>
          <w:rFonts w:ascii="黑体" w:hAnsi="宋体" w:eastAsia="黑体"/>
          <w:b/>
          <w:bCs/>
          <w:color w:val="auto"/>
          <w:sz w:val="36"/>
          <w:szCs w:val="36"/>
          <w:highlight w:val="none"/>
        </w:rPr>
        <w:br w:type="page"/>
      </w:r>
      <w:r>
        <w:rPr>
          <w:rFonts w:hint="eastAsia" w:ascii="黑体" w:hAnsi="宋体" w:eastAsia="黑体"/>
          <w:b/>
          <w:bCs/>
          <w:color w:val="auto"/>
          <w:sz w:val="36"/>
          <w:szCs w:val="36"/>
          <w:highlight w:val="none"/>
        </w:rPr>
        <w:t>第一部分     投标人须知</w:t>
      </w:r>
    </w:p>
    <w:p>
      <w:pPr>
        <w:spacing w:before="100" w:beforeAutospacing="1" w:after="100" w:afterAutospacing="1" w:line="240" w:lineRule="atLeast"/>
        <w:jc w:val="center"/>
        <w:outlineLvl w:val="0"/>
        <w:rPr>
          <w:rFonts w:ascii="黑体" w:hAnsi="宋体" w:eastAsia="黑体"/>
          <w:b/>
          <w:bCs/>
          <w:color w:val="auto"/>
          <w:sz w:val="36"/>
          <w:szCs w:val="36"/>
          <w:highlight w:val="none"/>
        </w:rPr>
      </w:pPr>
      <w:r>
        <w:rPr>
          <w:rFonts w:hint="eastAsia" w:ascii="黑体" w:hAnsi="宋体" w:eastAsia="黑体"/>
          <w:b/>
          <w:bCs/>
          <w:color w:val="auto"/>
          <w:sz w:val="36"/>
          <w:szCs w:val="36"/>
          <w:highlight w:val="none"/>
        </w:rPr>
        <w:t>一     说明</w:t>
      </w:r>
    </w:p>
    <w:p>
      <w:pPr>
        <w:tabs>
          <w:tab w:val="left" w:pos="360"/>
        </w:tabs>
        <w:spacing w:line="360" w:lineRule="auto"/>
        <w:ind w:left="653" w:hanging="653" w:hangingChars="311"/>
        <w:rPr>
          <w:rFonts w:ascii="宋体" w:hAnsi="宋体"/>
          <w:color w:val="auto"/>
          <w:szCs w:val="21"/>
          <w:highlight w:val="none"/>
        </w:rPr>
      </w:pPr>
      <w:r>
        <w:rPr>
          <w:rFonts w:hint="eastAsia" w:ascii="宋体" w:hAnsi="宋体"/>
          <w:color w:val="auto"/>
          <w:szCs w:val="21"/>
          <w:highlight w:val="none"/>
        </w:rPr>
        <w:t xml:space="preserve"> 1</w:t>
      </w:r>
      <w:r>
        <w:rPr>
          <w:rFonts w:hint="eastAsia" w:ascii="宋体" w:hAnsi="宋体"/>
          <w:color w:val="auto"/>
          <w:spacing w:val="100"/>
          <w:szCs w:val="21"/>
          <w:highlight w:val="none"/>
        </w:rPr>
        <w:t xml:space="preserve">. </w:t>
      </w:r>
      <w:r>
        <w:rPr>
          <w:rFonts w:hint="eastAsia" w:ascii="宋体" w:hAnsi="宋体"/>
          <w:color w:val="auto"/>
          <w:szCs w:val="21"/>
          <w:highlight w:val="none"/>
        </w:rPr>
        <w:t>本次招标是根据《中华人民共和国政府采购法》、《中华人民共和国政府采购法实施条例》、《政府采购货物和服务招标投标管理办法》（财政部第87号令）、《浙江省政府采购项目电子交易管理暂行办法》（浙财采监〔2019〕10号）及浙江省市等有关政府采购的规范性文件组织和实施。</w:t>
      </w:r>
    </w:p>
    <w:p>
      <w:pPr>
        <w:tabs>
          <w:tab w:val="left" w:pos="360"/>
        </w:tabs>
        <w:spacing w:line="360" w:lineRule="auto"/>
        <w:ind w:left="653" w:hanging="656" w:hangingChars="311"/>
        <w:rPr>
          <w:rFonts w:hint="eastAsia" w:ascii="宋体" w:hAnsi="宋体" w:eastAsia="宋体" w:cs="Times New Roman"/>
          <w:b/>
          <w:bCs/>
          <w:color w:val="auto"/>
          <w:szCs w:val="21"/>
          <w:highlight w:val="none"/>
        </w:rPr>
      </w:pPr>
      <w:r>
        <w:rPr>
          <w:rFonts w:hint="eastAsia" w:ascii="宋体" w:hAnsi="宋体" w:eastAsia="宋体" w:cs="Times New Roman"/>
          <w:b/>
          <w:bCs/>
          <w:color w:val="auto"/>
          <w:szCs w:val="21"/>
          <w:highlight w:val="none"/>
        </w:rPr>
        <w:t xml:space="preserve">2.   </w:t>
      </w:r>
      <w:r>
        <w:rPr>
          <w:rFonts w:hint="eastAsia" w:ascii="宋体" w:hAnsi="宋体" w:eastAsia="宋体" w:cs="Times New Roman"/>
          <w:b/>
          <w:bCs/>
          <w:color w:val="auto"/>
          <w:szCs w:val="21"/>
          <w:highlight w:val="none"/>
          <w:u w:val="single"/>
        </w:rPr>
        <w:t>▲合格供应商</w:t>
      </w:r>
      <w:r>
        <w:rPr>
          <w:rFonts w:hint="eastAsia" w:ascii="宋体" w:hAnsi="宋体" w:eastAsia="宋体" w:cs="Times New Roman"/>
          <w:b/>
          <w:bCs/>
          <w:color w:val="auto"/>
          <w:szCs w:val="21"/>
          <w:highlight w:val="none"/>
        </w:rPr>
        <w:t>：</w:t>
      </w:r>
    </w:p>
    <w:p>
      <w:pPr>
        <w:tabs>
          <w:tab w:val="left" w:pos="360"/>
        </w:tabs>
        <w:spacing w:line="360" w:lineRule="auto"/>
        <w:ind w:left="653" w:hanging="656" w:hangingChars="311"/>
        <w:rPr>
          <w:rFonts w:hint="eastAsia" w:ascii="宋体" w:hAnsi="宋体" w:eastAsia="宋体" w:cs="Times New Roman"/>
          <w:b/>
          <w:bCs/>
          <w:color w:val="auto"/>
          <w:szCs w:val="21"/>
          <w:highlight w:val="none"/>
        </w:rPr>
      </w:pPr>
      <w:r>
        <w:rPr>
          <w:rFonts w:hint="eastAsia" w:ascii="宋体" w:hAnsi="宋体" w:eastAsia="宋体" w:cs="Times New Roman"/>
          <w:b/>
          <w:bCs/>
          <w:color w:val="auto"/>
          <w:szCs w:val="21"/>
          <w:highlight w:val="none"/>
        </w:rPr>
        <w:t>2.1  符合《中华人民共和国政府采购法》第22条规定的供应商应具备的资格条件；未被“信用中国”（www.creditchina.gov.cn)、中国政府采购网（www.ccgp.gov.cn）列入失信被执行人、重大税收违法案件当事人名单、政府采购严重违法失信行为记录名单；</w:t>
      </w:r>
    </w:p>
    <w:p>
      <w:pPr>
        <w:tabs>
          <w:tab w:val="left" w:pos="360"/>
        </w:tabs>
        <w:spacing w:line="360" w:lineRule="auto"/>
        <w:ind w:left="653" w:hanging="656" w:hangingChars="311"/>
        <w:rPr>
          <w:rFonts w:hint="eastAsia" w:ascii="宋体" w:hAnsi="宋体" w:eastAsia="宋体" w:cs="Times New Roman"/>
          <w:b/>
          <w:bCs/>
          <w:color w:val="auto"/>
          <w:szCs w:val="21"/>
          <w:highlight w:val="none"/>
          <w:lang w:val="en-US" w:eastAsia="zh-CN"/>
        </w:rPr>
      </w:pPr>
      <w:r>
        <w:rPr>
          <w:rFonts w:hint="eastAsia" w:ascii="宋体" w:hAnsi="宋体" w:eastAsia="宋体" w:cs="Times New Roman"/>
          <w:b/>
          <w:bCs/>
          <w:color w:val="auto"/>
          <w:szCs w:val="21"/>
          <w:highlight w:val="none"/>
          <w:lang w:val="en-US" w:eastAsia="zh-CN"/>
        </w:rPr>
        <w:t>2.2  具有测绘乙级及以上资质（专业范围包含地理信息系统工程）</w:t>
      </w:r>
    </w:p>
    <w:p>
      <w:pPr>
        <w:tabs>
          <w:tab w:val="left" w:pos="360"/>
        </w:tabs>
        <w:spacing w:line="360" w:lineRule="auto"/>
        <w:ind w:left="653" w:hanging="656" w:hangingChars="311"/>
        <w:rPr>
          <w:rFonts w:hint="eastAsia" w:ascii="宋体" w:hAnsi="宋体" w:eastAsia="宋体" w:cs="Times New Roman"/>
          <w:b/>
          <w:bCs/>
          <w:color w:val="auto"/>
          <w:szCs w:val="21"/>
          <w:highlight w:val="none"/>
        </w:rPr>
      </w:pPr>
      <w:r>
        <w:rPr>
          <w:rFonts w:hint="eastAsia" w:ascii="宋体" w:hAnsi="宋体" w:eastAsia="宋体" w:cs="Times New Roman"/>
          <w:b/>
          <w:bCs/>
          <w:color w:val="auto"/>
          <w:szCs w:val="21"/>
          <w:highlight w:val="none"/>
        </w:rPr>
        <w:t>2.</w:t>
      </w:r>
      <w:r>
        <w:rPr>
          <w:rFonts w:hint="eastAsia" w:ascii="宋体" w:hAnsi="宋体" w:eastAsia="宋体" w:cs="Times New Roman"/>
          <w:b/>
          <w:bCs/>
          <w:color w:val="auto"/>
          <w:szCs w:val="21"/>
          <w:highlight w:val="none"/>
          <w:lang w:val="en-US" w:eastAsia="zh-CN"/>
        </w:rPr>
        <w:t>3</w:t>
      </w:r>
      <w:r>
        <w:rPr>
          <w:rFonts w:hint="eastAsia" w:ascii="宋体" w:hAnsi="宋体" w:eastAsia="宋体" w:cs="Times New Roman"/>
          <w:b/>
          <w:bCs/>
          <w:color w:val="auto"/>
          <w:szCs w:val="21"/>
          <w:highlight w:val="none"/>
        </w:rPr>
        <w:t xml:space="preserve">  本项目供应商可以组成一个联合体以一个供应商的身份参加投标，联合体的组成应满足以下要求：</w:t>
      </w:r>
    </w:p>
    <w:p>
      <w:pPr>
        <w:tabs>
          <w:tab w:val="left" w:pos="360"/>
        </w:tabs>
        <w:spacing w:line="360" w:lineRule="auto"/>
        <w:ind w:left="653" w:hanging="656" w:hangingChars="311"/>
        <w:rPr>
          <w:rFonts w:hint="eastAsia" w:ascii="宋体" w:hAnsi="宋体" w:eastAsia="宋体" w:cs="Times New Roman"/>
          <w:b/>
          <w:bCs/>
          <w:color w:val="auto"/>
          <w:szCs w:val="21"/>
          <w:highlight w:val="none"/>
        </w:rPr>
      </w:pPr>
      <w:r>
        <w:rPr>
          <w:rFonts w:hint="eastAsia" w:ascii="宋体" w:hAnsi="宋体" w:eastAsia="宋体" w:cs="Times New Roman"/>
          <w:b/>
          <w:bCs/>
          <w:color w:val="auto"/>
          <w:szCs w:val="21"/>
          <w:highlight w:val="none"/>
        </w:rPr>
        <w:t>（1）联合体成员数量不得超过</w:t>
      </w:r>
      <w:r>
        <w:rPr>
          <w:rFonts w:hint="eastAsia" w:ascii="宋体" w:hAnsi="宋体" w:eastAsia="宋体" w:cs="Times New Roman"/>
          <w:b/>
          <w:bCs/>
          <w:color w:val="auto"/>
          <w:szCs w:val="21"/>
          <w:highlight w:val="none"/>
          <w:lang w:val="en-US" w:eastAsia="zh-CN"/>
        </w:rPr>
        <w:t>2</w:t>
      </w:r>
      <w:r>
        <w:rPr>
          <w:rFonts w:hint="eastAsia" w:ascii="宋体" w:hAnsi="宋体" w:eastAsia="宋体" w:cs="Times New Roman"/>
          <w:b/>
          <w:bCs/>
          <w:color w:val="auto"/>
          <w:szCs w:val="21"/>
          <w:highlight w:val="none"/>
        </w:rPr>
        <w:t>个，联合体成员均应满足第2.1条要求；</w:t>
      </w:r>
    </w:p>
    <w:p>
      <w:pPr>
        <w:tabs>
          <w:tab w:val="left" w:pos="360"/>
        </w:tabs>
        <w:spacing w:line="360" w:lineRule="auto"/>
        <w:ind w:left="653" w:hanging="656" w:hangingChars="311"/>
        <w:rPr>
          <w:rFonts w:hint="eastAsia" w:ascii="宋体" w:hAnsi="宋体" w:eastAsia="宋体" w:cs="Times New Roman"/>
          <w:b/>
          <w:bCs/>
          <w:color w:val="auto"/>
          <w:szCs w:val="21"/>
          <w:highlight w:val="none"/>
        </w:rPr>
      </w:pPr>
      <w:r>
        <w:rPr>
          <w:rFonts w:hint="eastAsia" w:ascii="宋体" w:hAnsi="宋体" w:eastAsia="宋体" w:cs="Times New Roman"/>
          <w:b/>
          <w:bCs/>
          <w:color w:val="auto"/>
          <w:szCs w:val="21"/>
          <w:highlight w:val="none"/>
        </w:rPr>
        <w:t>（2）提交联合体投标协议书，明确联合体主投标人及联合体各方承担的工作和义务。</w:t>
      </w:r>
    </w:p>
    <w:p>
      <w:pPr>
        <w:spacing w:line="360" w:lineRule="auto"/>
        <w:ind w:left="653" w:hanging="653" w:hangingChars="311"/>
        <w:rPr>
          <w:rFonts w:ascii="宋体" w:hAnsi="宋体"/>
          <w:color w:val="auto"/>
          <w:szCs w:val="21"/>
          <w:highlight w:val="none"/>
        </w:rPr>
      </w:pPr>
      <w:r>
        <w:rPr>
          <w:rFonts w:hint="eastAsia" w:ascii="宋体" w:hAnsi="宋体"/>
          <w:color w:val="auto"/>
          <w:szCs w:val="21"/>
          <w:highlight w:val="none"/>
        </w:rPr>
        <w:t>3.    投标人代表</w:t>
      </w:r>
    </w:p>
    <w:p>
      <w:pPr>
        <w:spacing w:line="360" w:lineRule="auto"/>
        <w:ind w:left="646" w:leftChars="299" w:hanging="18" w:hangingChars="9"/>
        <w:rPr>
          <w:rFonts w:ascii="宋体" w:hAnsi="宋体"/>
          <w:color w:val="auto"/>
          <w:szCs w:val="21"/>
          <w:highlight w:val="none"/>
        </w:rPr>
      </w:pPr>
      <w:r>
        <w:rPr>
          <w:rFonts w:hint="eastAsia" w:ascii="宋体" w:hAnsi="宋体"/>
          <w:color w:val="auto"/>
          <w:szCs w:val="21"/>
          <w:highlight w:val="none"/>
        </w:rPr>
        <w:t>指全权代表投标人参加投标活动并签署投标文件的人。如果投标人代表不是法定代表人，须持有《法定代表人授权书》（见附件五）。</w:t>
      </w:r>
    </w:p>
    <w:p>
      <w:pPr>
        <w:spacing w:line="360" w:lineRule="auto"/>
        <w:ind w:left="653" w:hanging="653" w:hangingChars="311"/>
        <w:rPr>
          <w:rFonts w:ascii="宋体" w:hAnsi="宋体"/>
          <w:color w:val="auto"/>
          <w:szCs w:val="21"/>
          <w:highlight w:val="none"/>
        </w:rPr>
      </w:pPr>
      <w:r>
        <w:rPr>
          <w:rFonts w:hint="eastAsia" w:ascii="宋体" w:hAnsi="宋体"/>
          <w:color w:val="auto"/>
          <w:szCs w:val="21"/>
          <w:highlight w:val="none"/>
        </w:rPr>
        <w:t>4</w:t>
      </w:r>
      <w:r>
        <w:rPr>
          <w:rFonts w:hint="eastAsia" w:ascii="宋体" w:hAnsi="宋体"/>
          <w:color w:val="auto"/>
          <w:spacing w:val="100"/>
          <w:szCs w:val="21"/>
          <w:highlight w:val="none"/>
        </w:rPr>
        <w:t xml:space="preserve">. </w:t>
      </w:r>
      <w:r>
        <w:rPr>
          <w:rFonts w:hint="eastAsia" w:ascii="宋体" w:hAnsi="宋体"/>
          <w:color w:val="auto"/>
          <w:szCs w:val="21"/>
          <w:highlight w:val="none"/>
        </w:rPr>
        <w:t>投标费用</w:t>
      </w:r>
    </w:p>
    <w:p>
      <w:pPr>
        <w:spacing w:line="360" w:lineRule="auto"/>
        <w:ind w:left="653" w:hanging="653" w:hangingChars="311"/>
        <w:rPr>
          <w:rFonts w:hint="eastAsia" w:ascii="宋体" w:hAnsi="宋体"/>
          <w:color w:val="auto"/>
          <w:szCs w:val="21"/>
          <w:highlight w:val="none"/>
        </w:rPr>
      </w:pPr>
      <w:r>
        <w:rPr>
          <w:rFonts w:hint="eastAsia" w:ascii="宋体" w:hAnsi="宋体"/>
          <w:color w:val="auto"/>
          <w:szCs w:val="21"/>
          <w:highlight w:val="none"/>
        </w:rPr>
        <w:t xml:space="preserve">    投标人应承担所有与准备和参加投标有关费用，不论投标的结果如何，招标人和采购人均无义务和责任承担这些费用。</w:t>
      </w:r>
    </w:p>
    <w:p>
      <w:pPr>
        <w:numPr>
          <w:ilvl w:val="0"/>
          <w:numId w:val="43"/>
        </w:numPr>
        <w:spacing w:line="360" w:lineRule="auto"/>
        <w:rPr>
          <w:rFonts w:hint="default"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 xml:space="preserve"> 联合体投标说明</w:t>
      </w:r>
    </w:p>
    <w:p>
      <w:pPr>
        <w:spacing w:line="360" w:lineRule="auto"/>
        <w:ind w:left="646" w:leftChars="299" w:hanging="18" w:hangingChars="9"/>
        <w:rPr>
          <w:rFonts w:hint="default"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rPr>
        <w:t>联合体投标的，除</w:t>
      </w:r>
      <w:r>
        <w:rPr>
          <w:rFonts w:hint="eastAsia" w:ascii="宋体" w:hAnsi="宋体" w:eastAsia="宋体" w:cs="Times New Roman"/>
          <w:color w:val="auto"/>
          <w:szCs w:val="21"/>
          <w:highlight w:val="none"/>
          <w:lang w:val="en-US" w:eastAsia="zh-CN"/>
        </w:rPr>
        <w:t>采购</w:t>
      </w:r>
      <w:r>
        <w:rPr>
          <w:rFonts w:hint="eastAsia" w:ascii="宋体" w:hAnsi="宋体" w:eastAsia="宋体" w:cs="Times New Roman"/>
          <w:color w:val="auto"/>
          <w:szCs w:val="21"/>
          <w:highlight w:val="none"/>
        </w:rPr>
        <w:t>文件另有规定外，</w:t>
      </w:r>
      <w:r>
        <w:rPr>
          <w:rFonts w:hint="eastAsia" w:ascii="宋体" w:hAnsi="宋体" w:eastAsia="宋体" w:cs="Times New Roman"/>
          <w:color w:val="auto"/>
          <w:szCs w:val="21"/>
          <w:highlight w:val="none"/>
          <w:lang w:val="en-US" w:eastAsia="zh-CN"/>
        </w:rPr>
        <w:t>采购</w:t>
      </w:r>
      <w:r>
        <w:rPr>
          <w:rFonts w:hint="eastAsia" w:ascii="宋体" w:hAnsi="宋体" w:eastAsia="宋体" w:cs="Times New Roman"/>
          <w:color w:val="auto"/>
          <w:szCs w:val="21"/>
          <w:highlight w:val="none"/>
        </w:rPr>
        <w:t>文件的获取、响应文件的签署盖章、递交及投标过程操作均以联合体主投标人为主。</w:t>
      </w:r>
    </w:p>
    <w:p>
      <w:pPr>
        <w:spacing w:before="100" w:beforeAutospacing="1" w:after="100" w:afterAutospacing="1" w:line="360" w:lineRule="auto"/>
        <w:jc w:val="center"/>
        <w:outlineLvl w:val="0"/>
        <w:rPr>
          <w:rFonts w:ascii="黑体" w:hAnsi="宋体" w:eastAsia="黑体"/>
          <w:b/>
          <w:bCs/>
          <w:color w:val="auto"/>
          <w:sz w:val="36"/>
          <w:szCs w:val="36"/>
          <w:highlight w:val="none"/>
        </w:rPr>
      </w:pPr>
      <w:r>
        <w:rPr>
          <w:rFonts w:hint="eastAsia" w:ascii="黑体" w:hAnsi="宋体" w:eastAsia="黑体"/>
          <w:b/>
          <w:bCs/>
          <w:color w:val="auto"/>
          <w:sz w:val="36"/>
          <w:szCs w:val="36"/>
          <w:highlight w:val="none"/>
        </w:rPr>
        <w:t>二   采购文件</w:t>
      </w:r>
    </w:p>
    <w:p>
      <w:pPr>
        <w:spacing w:line="360" w:lineRule="auto"/>
        <w:ind w:firstLine="105" w:firstLineChars="50"/>
        <w:rPr>
          <w:rFonts w:ascii="宋体" w:hAnsi="宋体"/>
          <w:color w:val="auto"/>
          <w:szCs w:val="21"/>
          <w:highlight w:val="none"/>
        </w:rPr>
      </w:pPr>
      <w:r>
        <w:rPr>
          <w:rFonts w:hint="eastAsia" w:ascii="宋体" w:hAnsi="宋体"/>
          <w:color w:val="auto"/>
          <w:szCs w:val="21"/>
          <w:highlight w:val="none"/>
        </w:rPr>
        <w:t>1．  采购文件由采购文件目录所列内容及相关资料组成。</w:t>
      </w:r>
    </w:p>
    <w:p>
      <w:pPr>
        <w:spacing w:line="360" w:lineRule="auto"/>
        <w:ind w:firstLine="108" w:firstLineChars="49"/>
        <w:rPr>
          <w:rFonts w:ascii="宋体" w:hAnsi="宋体"/>
          <w:color w:val="auto"/>
          <w:spacing w:val="6"/>
          <w:szCs w:val="21"/>
          <w:highlight w:val="none"/>
        </w:rPr>
      </w:pPr>
      <w:r>
        <w:rPr>
          <w:rFonts w:hint="eastAsia" w:ascii="宋体" w:hAnsi="宋体"/>
          <w:color w:val="auto"/>
          <w:spacing w:val="6"/>
          <w:szCs w:val="21"/>
          <w:highlight w:val="none"/>
        </w:rPr>
        <w:t>2．  采购文件的澄清</w:t>
      </w:r>
    </w:p>
    <w:p>
      <w:pPr>
        <w:spacing w:line="360" w:lineRule="auto"/>
        <w:ind w:left="630" w:leftChars="50" w:hanging="525" w:hangingChars="250"/>
        <w:rPr>
          <w:rFonts w:ascii="宋体" w:hAnsi="宋体"/>
          <w:color w:val="auto"/>
          <w:spacing w:val="6"/>
          <w:szCs w:val="21"/>
          <w:highlight w:val="none"/>
        </w:rPr>
      </w:pPr>
      <w:r>
        <w:rPr>
          <w:rFonts w:hint="eastAsia" w:ascii="宋体" w:hAnsi="宋体"/>
          <w:color w:val="auto"/>
          <w:szCs w:val="21"/>
          <w:highlight w:val="none"/>
        </w:rPr>
        <w:t xml:space="preserve">2.1  </w:t>
      </w:r>
      <w:r>
        <w:rPr>
          <w:rFonts w:hint="eastAsia" w:ascii="宋体" w:hAnsi="宋体"/>
          <w:color w:val="auto"/>
          <w:spacing w:val="6"/>
          <w:szCs w:val="21"/>
          <w:highlight w:val="none"/>
        </w:rPr>
        <w:t>供应商对采购文件如有疑点或未尽事宜要求澄清，或认为有必要进行说明或交流，供应商可以在知道或应知其权益受到损害之日起7个工作日内，以书面形式（包括信函、传真、下同）向招标人提出质疑，但质疑不得迟于投标截止时间15日前使招标人收到，招标人将用书面形式予以答复。如有必要，可将不说明问题来源的答复发给各有关投标人或召开答疑会。如果采购文件答疑期内未收到有关疑问，视为供应商完全同意采购文件所有条款，且对于采购文件相关表述以及未尽事宜如有争议，以采购中心解释为准。</w:t>
      </w:r>
    </w:p>
    <w:p>
      <w:pPr>
        <w:spacing w:line="360" w:lineRule="auto"/>
        <w:ind w:firstLine="108" w:firstLineChars="49"/>
        <w:rPr>
          <w:rFonts w:ascii="宋体" w:hAnsi="宋体"/>
          <w:color w:val="auto"/>
          <w:spacing w:val="6"/>
          <w:szCs w:val="21"/>
          <w:highlight w:val="none"/>
        </w:rPr>
      </w:pPr>
      <w:r>
        <w:rPr>
          <w:rFonts w:hint="eastAsia" w:ascii="宋体" w:hAnsi="宋体"/>
          <w:color w:val="auto"/>
          <w:spacing w:val="6"/>
          <w:szCs w:val="21"/>
          <w:highlight w:val="none"/>
        </w:rPr>
        <w:t>3．   采购文件的修改</w:t>
      </w:r>
    </w:p>
    <w:p>
      <w:pPr>
        <w:spacing w:line="360" w:lineRule="auto"/>
        <w:ind w:left="630" w:hanging="630" w:hangingChars="300"/>
        <w:rPr>
          <w:rFonts w:ascii="宋体" w:hAnsi="宋体"/>
          <w:color w:val="auto"/>
          <w:szCs w:val="21"/>
          <w:highlight w:val="none"/>
        </w:rPr>
      </w:pPr>
      <w:r>
        <w:rPr>
          <w:rFonts w:hint="eastAsia" w:ascii="宋体" w:hAnsi="宋体"/>
          <w:color w:val="auto"/>
          <w:szCs w:val="21"/>
          <w:highlight w:val="none"/>
        </w:rPr>
        <w:t>3.1   在投标截止期15天前，招标人无论是出于何种原因，均可对采购文件用补充文件的方式进行修改，并在财政部门政府采购信息发布媒体上发布更正公告。该澄清和修改的内容为采购文件的组成部分。招标人可以视采购具体情况在采购文件要求提交截止时间3天前，做出延长投标截止时间和开标时间的决定，并将变更时间书面通知所有采购文件收受人，并在财政部门指定的政府采购信息媒体上发布变更公告。</w:t>
      </w:r>
    </w:p>
    <w:p>
      <w:pPr>
        <w:spacing w:line="360" w:lineRule="auto"/>
        <w:ind w:left="630" w:hanging="630" w:hangingChars="300"/>
        <w:rPr>
          <w:rFonts w:ascii="宋体" w:hAnsi="宋体"/>
          <w:color w:val="auto"/>
          <w:szCs w:val="21"/>
          <w:highlight w:val="none"/>
        </w:rPr>
      </w:pPr>
      <w:r>
        <w:rPr>
          <w:rFonts w:hint="eastAsia" w:ascii="宋体" w:hAnsi="宋体"/>
          <w:color w:val="auto"/>
          <w:szCs w:val="21"/>
          <w:highlight w:val="none"/>
        </w:rPr>
        <w:t>3.2   投标人收到澄清和修改的补充文件，应立即以书面形式回复确认已收到补充文件。</w:t>
      </w:r>
    </w:p>
    <w:p>
      <w:pPr>
        <w:spacing w:before="100" w:beforeAutospacing="1" w:after="100" w:afterAutospacing="1" w:line="360" w:lineRule="auto"/>
        <w:jc w:val="center"/>
        <w:outlineLvl w:val="0"/>
        <w:rPr>
          <w:rFonts w:ascii="黑体" w:hAnsi="宋体" w:eastAsia="黑体"/>
          <w:b/>
          <w:bCs/>
          <w:color w:val="auto"/>
          <w:sz w:val="36"/>
          <w:szCs w:val="36"/>
          <w:highlight w:val="none"/>
        </w:rPr>
      </w:pPr>
      <w:r>
        <w:rPr>
          <w:rFonts w:hint="eastAsia" w:ascii="黑体" w:hAnsi="宋体" w:eastAsia="黑体"/>
          <w:b/>
          <w:bCs/>
          <w:color w:val="auto"/>
          <w:sz w:val="36"/>
          <w:szCs w:val="36"/>
          <w:highlight w:val="none"/>
        </w:rPr>
        <w:t>三   投标文件的编制</w:t>
      </w:r>
    </w:p>
    <w:p>
      <w:pPr>
        <w:spacing w:line="40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1.投标文件的形式和效力</w:t>
      </w:r>
    </w:p>
    <w:p>
      <w:pPr>
        <w:spacing w:line="40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投标文件分为电子投标文件以及备份电子投标文件，备份文件为</w:t>
      </w:r>
      <w:r>
        <w:rPr>
          <w:rStyle w:val="76"/>
          <w:rFonts w:hint="eastAsia" w:ascii="宋体" w:hAnsi="宋体" w:cs="宋体"/>
          <w:color w:val="auto"/>
          <w:szCs w:val="21"/>
          <w:highlight w:val="none"/>
        </w:rPr>
        <w:t>在政采云平台上最后生成的具备电子签章的备份加密投标文件（文件名后缀为备份文件四字的首字母）</w:t>
      </w:r>
      <w:r>
        <w:rPr>
          <w:rFonts w:hint="eastAsia" w:ascii="宋体" w:hAnsi="宋体" w:cs="宋体"/>
          <w:b/>
          <w:bCs/>
          <w:color w:val="auto"/>
          <w:szCs w:val="21"/>
          <w:highlight w:val="none"/>
        </w:rPr>
        <w:t>。</w:t>
      </w:r>
    </w:p>
    <w:p>
      <w:pPr>
        <w:spacing w:line="40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1.1电子投标文件，按“政采云供应商项目采购-电子招投标操作指南”及本招标文件要求制作、加密并递交。</w:t>
      </w:r>
    </w:p>
    <w:p>
      <w:pPr>
        <w:pStyle w:val="36"/>
        <w:widowControl/>
        <w:overflowPunct w:val="0"/>
        <w:autoSpaceDE w:val="0"/>
        <w:autoSpaceDN w:val="0"/>
        <w:adjustRightInd w:val="0"/>
        <w:snapToGrid w:val="0"/>
        <w:spacing w:line="400" w:lineRule="exact"/>
        <w:ind w:firstLine="422" w:firstLineChars="200"/>
        <w:textAlignment w:val="baseline"/>
        <w:rPr>
          <w:rFonts w:hAnsi="宋体" w:cs="宋体"/>
          <w:b/>
          <w:bCs/>
          <w:color w:val="auto"/>
          <w:szCs w:val="21"/>
          <w:highlight w:val="none"/>
        </w:rPr>
      </w:pPr>
      <w:r>
        <w:rPr>
          <w:rFonts w:hint="eastAsia" w:hAnsi="宋体" w:cs="宋体"/>
          <w:b/>
          <w:bCs/>
          <w:color w:val="auto"/>
          <w:szCs w:val="21"/>
          <w:highlight w:val="none"/>
        </w:rPr>
        <w:t>1.2备份电子投标文件，即电子投标文件按“政采云供应商项目采购-电子招投标操作指南”制作的备份文件。</w:t>
      </w:r>
      <w:r>
        <w:rPr>
          <w:rStyle w:val="76"/>
          <w:rFonts w:hint="eastAsia" w:hAnsi="宋体" w:cs="宋体"/>
          <w:color w:val="auto"/>
          <w:szCs w:val="21"/>
          <w:highlight w:val="none"/>
        </w:rPr>
        <w:t>以电子邮件方式传送至浙江恒杰工程管理有限公司电子邮箱（2716504778@qq.com），传送的备份电子投标文件需打包压缩并加密，加密密码由投标人自行保管，如政采云上电子投标文件出现解密失败情况（在线解密电子投标文件时间为开标时间起1个小时内），投标人可按照自身意愿确认是否同意提供加密密码解密传送至浙江恒杰工程管理有限公司电子邮箱（2716504778@qq.com）的备份文件，并以备份文件作为替代电子投标文件，如投标人未按照规定时间（</w:t>
      </w:r>
      <w:r>
        <w:rPr>
          <w:rFonts w:hint="eastAsia" w:hAnsi="宋体" w:cs="宋体"/>
          <w:b/>
          <w:bCs/>
          <w:color w:val="auto"/>
          <w:kern w:val="0"/>
          <w:szCs w:val="21"/>
          <w:highlight w:val="none"/>
        </w:rPr>
        <w:t>开标时间前</w:t>
      </w:r>
      <w:r>
        <w:rPr>
          <w:rStyle w:val="76"/>
          <w:rFonts w:hint="eastAsia" w:hAnsi="宋体" w:cs="宋体"/>
          <w:color w:val="auto"/>
          <w:szCs w:val="21"/>
          <w:highlight w:val="none"/>
        </w:rPr>
        <w:t>）及要求提供有效备份文件，同时政采云上投标文件解密失败的，将导致投标无效。</w:t>
      </w:r>
    </w:p>
    <w:p>
      <w:pPr>
        <w:spacing w:line="40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1.3投标文件的效力</w:t>
      </w:r>
    </w:p>
    <w:p>
      <w:pPr>
        <w:spacing w:line="40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投标文件的启用，按先后顺位分别为电子投标文件、备份电子投标文件。在下一顺位的投标文件启用时，前一顺位的投标文件自动失效。</w:t>
      </w:r>
    </w:p>
    <w:p>
      <w:pPr>
        <w:spacing w:line="40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2.投标人应认真阅读招标文件中所有事项格式、条款和技术规范等。</w:t>
      </w:r>
      <w:r>
        <w:rPr>
          <w:rFonts w:hint="eastAsia" w:ascii="宋体" w:hAnsi="宋体" w:cs="宋体"/>
          <w:b/>
          <w:color w:val="auto"/>
          <w:szCs w:val="21"/>
          <w:highlight w:val="none"/>
          <w:u w:val="single"/>
        </w:rPr>
        <w:t>▲投标人没有对招标文件各个方面做出实质性响应，导致投标被拒绝的风险由投标人自行承担。</w:t>
      </w:r>
    </w:p>
    <w:p>
      <w:pPr>
        <w:spacing w:line="360" w:lineRule="auto"/>
        <w:ind w:firstLine="420" w:firstLineChars="200"/>
        <w:rPr>
          <w:rFonts w:ascii="宋体" w:hAnsi="宋体"/>
          <w:bCs/>
          <w:color w:val="auto"/>
          <w:szCs w:val="21"/>
          <w:highlight w:val="none"/>
        </w:rPr>
      </w:pPr>
      <w:r>
        <w:rPr>
          <w:rFonts w:hint="eastAsia" w:ascii="宋体" w:hAnsi="宋体" w:cs="宋体"/>
          <w:color w:val="auto"/>
          <w:szCs w:val="21"/>
          <w:highlight w:val="none"/>
        </w:rPr>
        <w:t>3.</w:t>
      </w:r>
      <w:r>
        <w:rPr>
          <w:rFonts w:hint="eastAsia" w:ascii="宋体" w:hAnsi="宋体" w:cs="宋体"/>
          <w:b/>
          <w:color w:val="auto"/>
          <w:szCs w:val="21"/>
          <w:highlight w:val="none"/>
          <w:u w:val="single"/>
        </w:rPr>
        <w:t>▲投标人应保证所提供文件资料的真实性，所有文件资料必须是针对本次投标的。如发现投标人提供了虚假文件资料，其投标将被拒绝，并自行承担相应的法律责任。</w:t>
      </w:r>
    </w:p>
    <w:p>
      <w:pPr>
        <w:numPr>
          <w:ilvl w:val="0"/>
          <w:numId w:val="44"/>
        </w:numPr>
        <w:spacing w:line="360" w:lineRule="auto"/>
        <w:rPr>
          <w:rFonts w:ascii="宋体" w:hAnsi="宋体"/>
          <w:b/>
          <w:color w:val="auto"/>
          <w:szCs w:val="21"/>
          <w:highlight w:val="none"/>
        </w:rPr>
      </w:pPr>
      <w:r>
        <w:rPr>
          <w:rFonts w:hint="eastAsia" w:ascii="宋体" w:hAnsi="宋体"/>
          <w:b/>
          <w:color w:val="auto"/>
          <w:szCs w:val="21"/>
          <w:highlight w:val="none"/>
        </w:rPr>
        <w:t xml:space="preserve">   </w:t>
      </w:r>
      <w:r>
        <w:rPr>
          <w:rFonts w:hint="eastAsia" w:ascii="宋体" w:hAnsi="宋体" w:cs="宋体"/>
          <w:b/>
          <w:bCs/>
          <w:color w:val="auto"/>
          <w:sz w:val="22"/>
          <w:szCs w:val="22"/>
          <w:highlight w:val="none"/>
        </w:rPr>
        <w:t>投标文件的组成</w:t>
      </w:r>
    </w:p>
    <w:p>
      <w:pPr>
        <w:numPr>
          <w:ilvl w:val="1"/>
          <w:numId w:val="44"/>
        </w:numPr>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 xml:space="preserve">  投标文件由资格审查、技术资信标、商务标三部分组成：</w:t>
      </w:r>
    </w:p>
    <w:p>
      <w:pPr>
        <w:numPr>
          <w:ilvl w:val="2"/>
          <w:numId w:val="44"/>
        </w:numPr>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 xml:space="preserve"> 资格审查</w:t>
      </w:r>
    </w:p>
    <w:tbl>
      <w:tblPr>
        <w:tblStyle w:val="6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8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ascii="宋体" w:hAnsi="宋体" w:cs="宋体"/>
                <w:color w:val="auto"/>
                <w:szCs w:val="21"/>
                <w:highlight w:val="none"/>
              </w:rPr>
            </w:pPr>
          </w:p>
        </w:tc>
        <w:tc>
          <w:tcPr>
            <w:tcW w:w="8047" w:type="dxa"/>
            <w:vAlign w:val="center"/>
          </w:tcPr>
          <w:p>
            <w:pPr>
              <w:tabs>
                <w:tab w:val="left" w:pos="5355"/>
              </w:tabs>
              <w:rPr>
                <w:rFonts w:ascii="宋体" w:hAnsi="宋体" w:cs="宋体"/>
                <w:color w:val="auto"/>
                <w:szCs w:val="21"/>
                <w:highlight w:val="none"/>
              </w:rPr>
            </w:pPr>
            <w:r>
              <w:rPr>
                <w:rFonts w:hint="eastAsia" w:ascii="宋体" w:hAnsi="宋体" w:cs="宋体"/>
                <w:b/>
                <w:color w:val="auto"/>
                <w:szCs w:val="21"/>
                <w:highlight w:val="none"/>
              </w:rPr>
              <w:t>资格审查证明文件（本部分为投标人资格审查内容，为实质性要求）</w:t>
            </w:r>
            <w:r>
              <w:rPr>
                <w:rFonts w:hint="eastAsia" w:ascii="宋体" w:hAnsi="宋体" w:cs="宋体"/>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a)</w:t>
            </w:r>
          </w:p>
        </w:tc>
        <w:tc>
          <w:tcPr>
            <w:tcW w:w="8047" w:type="dxa"/>
            <w:vAlign w:val="center"/>
          </w:tcPr>
          <w:p>
            <w:pPr>
              <w:tabs>
                <w:tab w:val="left" w:pos="5355"/>
              </w:tabs>
              <w:rPr>
                <w:rFonts w:hint="default" w:ascii="宋体" w:hAnsi="宋体" w:eastAsia="宋体" w:cs="宋体"/>
                <w:color w:val="auto"/>
                <w:szCs w:val="21"/>
                <w:highlight w:val="none"/>
                <w:lang w:val="en-US" w:eastAsia="zh-CN"/>
              </w:rPr>
            </w:pPr>
            <w:r>
              <w:rPr>
                <w:rFonts w:ascii="Arial" w:hAnsi="Arial" w:cs="Arial"/>
                <w:color w:val="auto"/>
                <w:szCs w:val="21"/>
                <w:highlight w:val="none"/>
              </w:rPr>
              <w:t>关于符合《中华人民共和国政府采购法》第二十二条规定条件的承诺函</w:t>
            </w:r>
            <w:r>
              <w:rPr>
                <w:rFonts w:hint="eastAsia" w:ascii="Arial" w:hAnsi="Arial" w:cs="Arial"/>
                <w:color w:val="auto"/>
                <w:szCs w:val="21"/>
                <w:highlight w:val="none"/>
                <w:lang w:eastAsia="zh-CN"/>
              </w:rPr>
              <w:t>（联合体</w:t>
            </w:r>
            <w:r>
              <w:rPr>
                <w:rFonts w:hint="eastAsia" w:ascii="Arial" w:hAnsi="Arial" w:cs="Arial"/>
                <w:color w:val="auto"/>
                <w:szCs w:val="21"/>
                <w:highlight w:val="none"/>
                <w:lang w:val="en-US" w:eastAsia="zh-CN"/>
              </w:rPr>
              <w:t>各方均要满足</w:t>
            </w:r>
            <w:r>
              <w:rPr>
                <w:rFonts w:hint="eastAsia" w:ascii="Arial" w:hAnsi="Arial" w:cs="Arial"/>
                <w:color w:val="auto"/>
                <w:szCs w:val="21"/>
                <w:highlight w:val="none"/>
                <w:lang w:eastAsia="zh-CN"/>
              </w:rPr>
              <w:t>）</w:t>
            </w:r>
            <w:r>
              <w:rPr>
                <w:rFonts w:hint="eastAsia" w:ascii="宋体" w:hAnsi="宋体" w:cs="宋体"/>
                <w:color w:val="auto"/>
                <w:szCs w:val="21"/>
                <w:highlight w:val="none"/>
              </w:rPr>
              <w:t>（加盖</w:t>
            </w:r>
            <w:r>
              <w:rPr>
                <w:rFonts w:hint="eastAsia" w:ascii="宋体" w:hAnsi="宋体" w:cs="宋体"/>
                <w:color w:val="auto"/>
                <w:szCs w:val="21"/>
                <w:highlight w:val="none"/>
                <w:lang w:val="en-US" w:eastAsia="zh-CN"/>
              </w:rPr>
              <w:t>联合体各方</w:t>
            </w:r>
            <w:r>
              <w:rPr>
                <w:rFonts w:hint="eastAsia" w:ascii="宋体" w:hAnsi="宋体" w:cs="宋体"/>
                <w:color w:val="auto"/>
                <w:szCs w:val="21"/>
                <w:highlight w:val="none"/>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b)</w:t>
            </w:r>
          </w:p>
        </w:tc>
        <w:tc>
          <w:tcPr>
            <w:tcW w:w="8047" w:type="dxa"/>
            <w:vAlign w:val="center"/>
          </w:tcPr>
          <w:p>
            <w:pPr>
              <w:tabs>
                <w:tab w:val="left" w:pos="5355"/>
              </w:tabs>
              <w:rPr>
                <w:rFonts w:ascii="宋体" w:hAnsi="宋体" w:cs="宋体"/>
                <w:color w:val="auto"/>
                <w:szCs w:val="21"/>
                <w:highlight w:val="none"/>
              </w:rPr>
            </w:pPr>
            <w:r>
              <w:rPr>
                <w:rFonts w:hint="eastAsia" w:ascii="宋体" w:hAnsi="宋体" w:cs="宋体"/>
                <w:color w:val="auto"/>
                <w:szCs w:val="21"/>
                <w:highlight w:val="none"/>
              </w:rPr>
              <w:t>企业法人有效营业执照副本和税务登记证（扫描件加盖公章）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c)</w:t>
            </w:r>
          </w:p>
        </w:tc>
        <w:tc>
          <w:tcPr>
            <w:tcW w:w="8047" w:type="dxa"/>
            <w:vAlign w:val="center"/>
          </w:tcPr>
          <w:p>
            <w:pPr>
              <w:tabs>
                <w:tab w:val="left" w:pos="5355"/>
              </w:tabs>
              <w:rPr>
                <w:rFonts w:ascii="宋体" w:hAnsi="宋体" w:cs="宋体"/>
                <w:color w:val="auto"/>
                <w:szCs w:val="21"/>
                <w:highlight w:val="none"/>
              </w:rPr>
            </w:pPr>
            <w:r>
              <w:rPr>
                <w:rFonts w:hint="eastAsia" w:ascii="宋体" w:hAnsi="宋体" w:cs="宋体"/>
                <w:color w:val="auto"/>
                <w:szCs w:val="21"/>
                <w:highlight w:val="none"/>
              </w:rPr>
              <w:t>测绘乙级及以上资质（专业范围包含地理信息系统工程）（扫描件加盖公章）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d)</w:t>
            </w:r>
          </w:p>
        </w:tc>
        <w:tc>
          <w:tcPr>
            <w:tcW w:w="8047" w:type="dxa"/>
            <w:vAlign w:val="center"/>
          </w:tcPr>
          <w:p>
            <w:pPr>
              <w:tabs>
                <w:tab w:val="left" w:pos="5355"/>
              </w:tabs>
              <w:rPr>
                <w:rFonts w:ascii="宋体" w:hAnsi="宋体" w:cs="宋体"/>
                <w:color w:val="auto"/>
                <w:szCs w:val="21"/>
                <w:highlight w:val="none"/>
              </w:rPr>
            </w:pPr>
            <w:r>
              <w:rPr>
                <w:rFonts w:hint="eastAsia" w:ascii="宋体" w:hAnsi="宋体"/>
                <w:color w:val="auto"/>
                <w:szCs w:val="21"/>
                <w:highlight w:val="none"/>
              </w:rPr>
              <w:t>至本项目投标截止时间止未列入失信被执行人、重大税收违法案件当事人名单、政府</w:t>
            </w:r>
            <w:r>
              <w:rPr>
                <w:rFonts w:hint="eastAsia" w:ascii="Arial" w:hAnsi="Arial" w:cs="Arial"/>
                <w:color w:val="auto"/>
                <w:szCs w:val="21"/>
                <w:highlight w:val="none"/>
              </w:rPr>
              <w:t>采购严重违法失信行为记录名单的证明材料：出具“信用中国”网站（www.creditchina.gov.cn）、中国政府采购网（www.ccgp.gov.cn）查询结果的网页截图并加盖公章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e)</w:t>
            </w:r>
          </w:p>
        </w:tc>
        <w:tc>
          <w:tcPr>
            <w:tcW w:w="8047" w:type="dxa"/>
            <w:vAlign w:val="center"/>
          </w:tcPr>
          <w:p>
            <w:pPr>
              <w:tabs>
                <w:tab w:val="left" w:pos="5355"/>
              </w:tabs>
              <w:rPr>
                <w:rFonts w:hint="default" w:ascii="Arial" w:hAnsi="Arial" w:eastAsia="宋体" w:cs="Arial"/>
                <w:color w:val="auto"/>
                <w:szCs w:val="21"/>
                <w:highlight w:val="none"/>
                <w:lang w:val="en-US"/>
              </w:rPr>
            </w:pPr>
            <w:r>
              <w:rPr>
                <w:rFonts w:hint="eastAsia" w:ascii="宋体" w:hAnsi="宋体" w:cs="宋体"/>
                <w:color w:val="auto"/>
                <w:szCs w:val="21"/>
                <w:highlight w:val="none"/>
              </w:rPr>
              <w:t>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 xml:space="preserve"> f）</w:t>
            </w:r>
          </w:p>
        </w:tc>
        <w:tc>
          <w:tcPr>
            <w:tcW w:w="8047" w:type="dxa"/>
            <w:vAlign w:val="center"/>
          </w:tcPr>
          <w:p>
            <w:pPr>
              <w:tabs>
                <w:tab w:val="left" w:pos="5355"/>
              </w:tabs>
              <w:rPr>
                <w:rFonts w:hint="eastAsia" w:ascii="宋体" w:hAnsi="宋体" w:cs="宋体"/>
                <w:color w:val="auto"/>
                <w:szCs w:val="21"/>
                <w:highlight w:val="none"/>
              </w:rPr>
            </w:pPr>
            <w:r>
              <w:rPr>
                <w:rFonts w:hint="eastAsia" w:ascii="Arial" w:hAnsi="Arial" w:eastAsia="宋体" w:cs="Arial"/>
                <w:color w:val="auto"/>
                <w:szCs w:val="21"/>
                <w:highlight w:val="none"/>
                <w:lang w:val="en-US" w:eastAsia="zh-CN"/>
              </w:rPr>
              <w:t>联合体协议书（如联合体投标，必须提供联合体投标协议书） 附件九</w:t>
            </w:r>
          </w:p>
        </w:tc>
      </w:tr>
    </w:tbl>
    <w:p>
      <w:pPr>
        <w:rPr>
          <w:rFonts w:ascii="宋体" w:hAnsi="宋体"/>
          <w:b/>
          <w:color w:val="auto"/>
          <w:szCs w:val="21"/>
          <w:highlight w:val="none"/>
        </w:rPr>
      </w:pPr>
      <w:r>
        <w:rPr>
          <w:rFonts w:hint="eastAsia" w:ascii="宋体" w:hAnsi="宋体"/>
          <w:b/>
          <w:color w:val="auto"/>
          <w:szCs w:val="21"/>
          <w:highlight w:val="none"/>
        </w:rPr>
        <w:t>5.1.2 技术资信标</w:t>
      </w:r>
    </w:p>
    <w:tbl>
      <w:tblPr>
        <w:tblStyle w:val="6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8047"/>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ascii="楷体_GB2312" w:eastAsia="楷体_GB2312"/>
                <w:b/>
                <w:color w:val="auto"/>
                <w:sz w:val="22"/>
                <w:szCs w:val="22"/>
                <w:highlight w:val="none"/>
              </w:rPr>
            </w:pPr>
            <w:r>
              <w:rPr>
                <w:rFonts w:hint="eastAsia" w:ascii="楷体_GB2312" w:eastAsia="楷体_GB2312"/>
                <w:b/>
                <w:color w:val="auto"/>
                <w:sz w:val="22"/>
                <w:szCs w:val="22"/>
                <w:highlight w:val="none"/>
              </w:rPr>
              <w:t>序号</w:t>
            </w:r>
          </w:p>
        </w:tc>
        <w:tc>
          <w:tcPr>
            <w:tcW w:w="8047" w:type="dxa"/>
            <w:vAlign w:val="center"/>
          </w:tcPr>
          <w:p>
            <w:pPr>
              <w:jc w:val="center"/>
              <w:rPr>
                <w:rFonts w:ascii="楷体_GB2312" w:eastAsia="楷体_GB2312"/>
                <w:b/>
                <w:color w:val="auto"/>
                <w:sz w:val="22"/>
                <w:szCs w:val="22"/>
                <w:highlight w:val="none"/>
              </w:rPr>
            </w:pPr>
            <w:r>
              <w:rPr>
                <w:rFonts w:hint="eastAsia" w:ascii="楷体_GB2312" w:eastAsia="楷体_GB2312"/>
                <w:b/>
                <w:color w:val="auto"/>
                <w:sz w:val="22"/>
                <w:szCs w:val="22"/>
                <w:highlight w:val="none"/>
              </w:rPr>
              <w:t>内容</w:t>
            </w:r>
          </w:p>
        </w:tc>
        <w:tc>
          <w:tcPr>
            <w:tcW w:w="1106" w:type="dxa"/>
            <w:vAlign w:val="center"/>
          </w:tcPr>
          <w:p>
            <w:pPr>
              <w:jc w:val="center"/>
              <w:rPr>
                <w:rFonts w:ascii="楷体_GB2312" w:eastAsia="楷体_GB2312"/>
                <w:b/>
                <w:color w:val="auto"/>
                <w:sz w:val="22"/>
                <w:szCs w:val="22"/>
                <w:highlight w:val="none"/>
              </w:rPr>
            </w:pPr>
            <w:r>
              <w:rPr>
                <w:rFonts w:hint="eastAsia" w:ascii="楷体_GB2312" w:eastAsia="楷体_GB2312"/>
                <w:b/>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w:t>
            </w:r>
          </w:p>
        </w:tc>
        <w:tc>
          <w:tcPr>
            <w:tcW w:w="8047" w:type="dxa"/>
            <w:vAlign w:val="center"/>
          </w:tcPr>
          <w:p>
            <w:pPr>
              <w:rPr>
                <w:rFonts w:ascii="宋体" w:hAnsi="宋体" w:cs="宋体"/>
                <w:color w:val="auto"/>
                <w:szCs w:val="21"/>
                <w:highlight w:val="none"/>
              </w:rPr>
            </w:pPr>
            <w:r>
              <w:rPr>
                <w:rFonts w:hint="eastAsia" w:ascii="宋体" w:hAnsi="宋体" w:cs="宋体"/>
                <w:color w:val="auto"/>
                <w:szCs w:val="21"/>
                <w:highlight w:val="none"/>
              </w:rPr>
              <w:t>投标函</w:t>
            </w:r>
          </w:p>
        </w:tc>
        <w:tc>
          <w:tcPr>
            <w:tcW w:w="1106"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w:t>
            </w:r>
          </w:p>
        </w:tc>
        <w:tc>
          <w:tcPr>
            <w:tcW w:w="8047" w:type="dxa"/>
            <w:vAlign w:val="center"/>
          </w:tcPr>
          <w:p>
            <w:pPr>
              <w:rPr>
                <w:rFonts w:ascii="宋体" w:hAnsi="宋体" w:cs="宋体"/>
                <w:color w:val="auto"/>
                <w:szCs w:val="21"/>
                <w:highlight w:val="none"/>
              </w:rPr>
            </w:pPr>
            <w:r>
              <w:rPr>
                <w:rFonts w:hint="eastAsia" w:ascii="宋体" w:hAnsi="宋体" w:cs="宋体"/>
                <w:color w:val="auto"/>
                <w:szCs w:val="21"/>
                <w:highlight w:val="none"/>
              </w:rPr>
              <w:t xml:space="preserve">技术规格、商务条款偏离表    </w:t>
            </w:r>
          </w:p>
        </w:tc>
        <w:tc>
          <w:tcPr>
            <w:tcW w:w="1106"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附件四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 xml:space="preserve"> 3）</w:t>
            </w:r>
          </w:p>
        </w:tc>
        <w:tc>
          <w:tcPr>
            <w:tcW w:w="8047" w:type="dxa"/>
            <w:vAlign w:val="center"/>
          </w:tcPr>
          <w:p>
            <w:pPr>
              <w:rPr>
                <w:rFonts w:hint="eastAsia" w:ascii="宋体" w:hAnsi="宋体" w:cs="宋体"/>
                <w:color w:val="auto"/>
                <w:szCs w:val="21"/>
                <w:highlight w:val="none"/>
              </w:rPr>
            </w:pPr>
            <w:r>
              <w:rPr>
                <w:rFonts w:hint="eastAsia" w:ascii="Arial" w:hAnsi="Arial" w:eastAsia="宋体" w:cs="Arial"/>
                <w:color w:val="auto"/>
                <w:szCs w:val="21"/>
                <w:highlight w:val="none"/>
                <w:lang w:val="en-US" w:eastAsia="zh-CN"/>
              </w:rPr>
              <w:t xml:space="preserve">联合体协议书（如联合体投标，必须提供联合体投标协议书） </w:t>
            </w:r>
          </w:p>
        </w:tc>
        <w:tc>
          <w:tcPr>
            <w:tcW w:w="1106" w:type="dxa"/>
            <w:vAlign w:val="center"/>
          </w:tcPr>
          <w:p>
            <w:pPr>
              <w:jc w:val="center"/>
              <w:rPr>
                <w:rFonts w:hint="eastAsia" w:ascii="宋体" w:hAnsi="宋体" w:cs="宋体"/>
                <w:color w:val="auto"/>
                <w:szCs w:val="21"/>
                <w:highlight w:val="none"/>
              </w:rPr>
            </w:pPr>
            <w:r>
              <w:rPr>
                <w:rFonts w:hint="eastAsia" w:ascii="Arial" w:hAnsi="Arial" w:eastAsia="宋体" w:cs="Arial"/>
                <w:color w:val="auto"/>
                <w:szCs w:val="21"/>
                <w:highlight w:val="none"/>
                <w:lang w:val="en-US" w:eastAsia="zh-CN"/>
              </w:rPr>
              <w:t>附件九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w:t>
            </w:r>
          </w:p>
        </w:tc>
        <w:tc>
          <w:tcPr>
            <w:tcW w:w="8047" w:type="dxa"/>
            <w:vAlign w:val="center"/>
          </w:tcPr>
          <w:p>
            <w:pPr>
              <w:tabs>
                <w:tab w:val="left" w:pos="5355"/>
              </w:tabs>
              <w:rPr>
                <w:rFonts w:ascii="宋体" w:hAnsi="宋体" w:cs="宋体"/>
                <w:b/>
                <w:bCs/>
                <w:color w:val="auto"/>
                <w:szCs w:val="21"/>
                <w:highlight w:val="none"/>
              </w:rPr>
            </w:pPr>
            <w:r>
              <w:rPr>
                <w:rFonts w:hint="eastAsia" w:ascii="宋体" w:hAnsi="宋体" w:cs="宋体"/>
                <w:b/>
                <w:bCs/>
                <w:color w:val="auto"/>
                <w:szCs w:val="21"/>
                <w:highlight w:val="none"/>
              </w:rPr>
              <w:t>项目技术方案</w:t>
            </w:r>
          </w:p>
        </w:tc>
        <w:tc>
          <w:tcPr>
            <w:tcW w:w="1106" w:type="dxa"/>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a)</w:t>
            </w:r>
          </w:p>
        </w:tc>
        <w:tc>
          <w:tcPr>
            <w:tcW w:w="8047" w:type="dxa"/>
            <w:vAlign w:val="center"/>
          </w:tcPr>
          <w:p>
            <w:pPr>
              <w:tabs>
                <w:tab w:val="left" w:pos="5355"/>
              </w:tabs>
              <w:rPr>
                <w:rFonts w:ascii="宋体" w:hAnsi="宋体" w:cs="宋体"/>
                <w:color w:val="auto"/>
                <w:kern w:val="0"/>
                <w:szCs w:val="21"/>
                <w:highlight w:val="none"/>
              </w:rPr>
            </w:pPr>
            <w:r>
              <w:rPr>
                <w:rFonts w:hint="eastAsia" w:ascii="宋体" w:hAnsi="宋体" w:cs="宋体"/>
                <w:color w:val="auto"/>
                <w:kern w:val="0"/>
                <w:szCs w:val="21"/>
                <w:highlight w:val="none"/>
              </w:rPr>
              <w:t>对项目的理解与需求分析</w:t>
            </w:r>
          </w:p>
        </w:tc>
        <w:tc>
          <w:tcPr>
            <w:tcW w:w="1106" w:type="dxa"/>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b)</w:t>
            </w:r>
          </w:p>
        </w:tc>
        <w:tc>
          <w:tcPr>
            <w:tcW w:w="8047" w:type="dxa"/>
            <w:vAlign w:val="center"/>
          </w:tcPr>
          <w:p>
            <w:pPr>
              <w:tabs>
                <w:tab w:val="left" w:pos="5355"/>
              </w:tabs>
              <w:rPr>
                <w:rFonts w:ascii="宋体" w:hAnsi="宋体" w:cs="宋体"/>
                <w:color w:val="auto"/>
                <w:kern w:val="0"/>
                <w:szCs w:val="21"/>
                <w:highlight w:val="none"/>
              </w:rPr>
            </w:pPr>
            <w:r>
              <w:rPr>
                <w:rFonts w:hint="eastAsia" w:ascii="宋体" w:hAnsi="宋体" w:cs="宋体"/>
                <w:color w:val="auto"/>
                <w:kern w:val="0"/>
                <w:szCs w:val="21"/>
                <w:highlight w:val="none"/>
              </w:rPr>
              <w:t>数据收集、分析、利用方案</w:t>
            </w:r>
          </w:p>
        </w:tc>
        <w:tc>
          <w:tcPr>
            <w:tcW w:w="1106" w:type="dxa"/>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c)</w:t>
            </w:r>
          </w:p>
        </w:tc>
        <w:tc>
          <w:tcPr>
            <w:tcW w:w="8047" w:type="dxa"/>
            <w:vAlign w:val="center"/>
          </w:tcPr>
          <w:p>
            <w:pPr>
              <w:tabs>
                <w:tab w:val="left" w:pos="5355"/>
              </w:tabs>
              <w:rPr>
                <w:rFonts w:ascii="宋体" w:hAnsi="宋体" w:cs="宋体"/>
                <w:color w:val="auto"/>
                <w:kern w:val="0"/>
                <w:szCs w:val="21"/>
                <w:highlight w:val="none"/>
              </w:rPr>
            </w:pPr>
            <w:r>
              <w:rPr>
                <w:rFonts w:hint="eastAsia" w:ascii="新宋体" w:hAnsi="新宋体" w:eastAsia="新宋体" w:cs="新宋体"/>
                <w:color w:val="auto"/>
                <w:szCs w:val="21"/>
                <w:highlight w:val="none"/>
              </w:rPr>
              <w:t>绿化资源</w:t>
            </w:r>
            <w:r>
              <w:rPr>
                <w:rFonts w:ascii="新宋体" w:hAnsi="新宋体" w:eastAsia="新宋体" w:cs="新宋体"/>
                <w:color w:val="auto"/>
                <w:szCs w:val="21"/>
                <w:highlight w:val="none"/>
              </w:rPr>
              <w:t>数据动态更新方案</w:t>
            </w:r>
          </w:p>
        </w:tc>
        <w:tc>
          <w:tcPr>
            <w:tcW w:w="1106" w:type="dxa"/>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d)</w:t>
            </w:r>
          </w:p>
        </w:tc>
        <w:tc>
          <w:tcPr>
            <w:tcW w:w="8047" w:type="dxa"/>
            <w:vAlign w:val="center"/>
          </w:tcPr>
          <w:p>
            <w:pPr>
              <w:tabs>
                <w:tab w:val="left" w:pos="5355"/>
              </w:tabs>
              <w:rPr>
                <w:rFonts w:ascii="宋体" w:hAnsi="宋体" w:cs="宋体"/>
                <w:color w:val="auto"/>
                <w:kern w:val="0"/>
                <w:szCs w:val="21"/>
                <w:highlight w:val="none"/>
              </w:rPr>
            </w:pPr>
            <w:r>
              <w:rPr>
                <w:rFonts w:ascii="新宋体" w:hAnsi="新宋体" w:eastAsia="新宋体" w:cs="新宋体"/>
                <w:color w:val="auto"/>
                <w:szCs w:val="21"/>
                <w:highlight w:val="none"/>
              </w:rPr>
              <w:t>城市绿地在线应用</w:t>
            </w:r>
            <w:r>
              <w:rPr>
                <w:rFonts w:hint="eastAsia" w:ascii="新宋体" w:hAnsi="新宋体" w:eastAsia="新宋体" w:cs="新宋体"/>
                <w:color w:val="auto"/>
                <w:szCs w:val="21"/>
                <w:highlight w:val="none"/>
              </w:rPr>
              <w:t>建设</w:t>
            </w:r>
            <w:r>
              <w:rPr>
                <w:rFonts w:ascii="新宋体" w:hAnsi="新宋体" w:eastAsia="新宋体" w:cs="新宋体"/>
                <w:color w:val="auto"/>
                <w:szCs w:val="21"/>
                <w:highlight w:val="none"/>
              </w:rPr>
              <w:t>方案</w:t>
            </w:r>
          </w:p>
        </w:tc>
        <w:tc>
          <w:tcPr>
            <w:tcW w:w="1106" w:type="dxa"/>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e)</w:t>
            </w:r>
          </w:p>
        </w:tc>
        <w:tc>
          <w:tcPr>
            <w:tcW w:w="8047" w:type="dxa"/>
            <w:vAlign w:val="center"/>
          </w:tcPr>
          <w:p>
            <w:pPr>
              <w:tabs>
                <w:tab w:val="left" w:pos="5355"/>
              </w:tabs>
              <w:rPr>
                <w:rFonts w:ascii="宋体" w:hAnsi="宋体" w:cs="宋体"/>
                <w:color w:val="auto"/>
                <w:kern w:val="0"/>
                <w:szCs w:val="21"/>
                <w:highlight w:val="none"/>
              </w:rPr>
            </w:pPr>
            <w:r>
              <w:rPr>
                <w:rFonts w:ascii="新宋体" w:hAnsi="新宋体" w:eastAsia="新宋体" w:cs="新宋体"/>
                <w:color w:val="auto"/>
                <w:szCs w:val="21"/>
                <w:highlight w:val="none"/>
              </w:rPr>
              <w:t>智慧园林系统（城市绿地在线应用）运行维护</w:t>
            </w:r>
            <w:r>
              <w:rPr>
                <w:rFonts w:hint="eastAsia" w:ascii="新宋体" w:hAnsi="新宋体" w:eastAsia="新宋体" w:cs="新宋体"/>
                <w:color w:val="auto"/>
                <w:szCs w:val="21"/>
                <w:highlight w:val="none"/>
              </w:rPr>
              <w:t>方案</w:t>
            </w:r>
          </w:p>
        </w:tc>
        <w:tc>
          <w:tcPr>
            <w:tcW w:w="1106" w:type="dxa"/>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f)</w:t>
            </w:r>
          </w:p>
        </w:tc>
        <w:tc>
          <w:tcPr>
            <w:tcW w:w="8047" w:type="dxa"/>
            <w:vAlign w:val="center"/>
          </w:tcPr>
          <w:p>
            <w:pPr>
              <w:tabs>
                <w:tab w:val="left" w:pos="5355"/>
              </w:tabs>
              <w:rPr>
                <w:rFonts w:ascii="宋体" w:hAnsi="宋体" w:cs="宋体"/>
                <w:color w:val="auto"/>
                <w:kern w:val="0"/>
                <w:szCs w:val="21"/>
                <w:highlight w:val="none"/>
              </w:rPr>
            </w:pPr>
            <w:r>
              <w:rPr>
                <w:rFonts w:hint="eastAsia" w:ascii="宋体" w:hAnsi="宋体" w:cs="宋体"/>
                <w:color w:val="auto"/>
                <w:kern w:val="0"/>
                <w:szCs w:val="21"/>
                <w:highlight w:val="none"/>
              </w:rPr>
              <w:t>合理化</w:t>
            </w:r>
            <w:r>
              <w:rPr>
                <w:rFonts w:ascii="宋体" w:hAnsi="宋体" w:cs="宋体"/>
                <w:color w:val="auto"/>
                <w:kern w:val="0"/>
                <w:szCs w:val="21"/>
                <w:highlight w:val="none"/>
              </w:rPr>
              <w:t>建议</w:t>
            </w:r>
          </w:p>
        </w:tc>
        <w:tc>
          <w:tcPr>
            <w:tcW w:w="1106" w:type="dxa"/>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w:t>
            </w:r>
          </w:p>
        </w:tc>
        <w:tc>
          <w:tcPr>
            <w:tcW w:w="8047" w:type="dxa"/>
            <w:vAlign w:val="center"/>
          </w:tcPr>
          <w:p>
            <w:pPr>
              <w:tabs>
                <w:tab w:val="left" w:pos="5355"/>
              </w:tabs>
              <w:rPr>
                <w:rFonts w:ascii="宋体" w:hAnsi="宋体" w:cs="宋体"/>
                <w:color w:val="auto"/>
                <w:szCs w:val="21"/>
                <w:highlight w:val="none"/>
              </w:rPr>
            </w:pPr>
            <w:r>
              <w:rPr>
                <w:rFonts w:hint="eastAsia" w:ascii="宋体" w:hAnsi="宋体" w:cs="宋体"/>
                <w:b/>
                <w:bCs/>
                <w:color w:val="auto"/>
                <w:szCs w:val="21"/>
                <w:highlight w:val="none"/>
              </w:rPr>
              <w:t>项目实施保障</w:t>
            </w:r>
          </w:p>
        </w:tc>
        <w:tc>
          <w:tcPr>
            <w:tcW w:w="1106" w:type="dxa"/>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a)</w:t>
            </w:r>
          </w:p>
        </w:tc>
        <w:tc>
          <w:tcPr>
            <w:tcW w:w="8047" w:type="dxa"/>
            <w:vAlign w:val="center"/>
          </w:tcPr>
          <w:p>
            <w:pPr>
              <w:tabs>
                <w:tab w:val="left" w:pos="5355"/>
              </w:tabs>
              <w:rPr>
                <w:rFonts w:ascii="宋体" w:hAnsi="宋体" w:cs="宋体"/>
                <w:color w:val="auto"/>
                <w:kern w:val="0"/>
                <w:szCs w:val="21"/>
                <w:highlight w:val="none"/>
              </w:rPr>
            </w:pPr>
            <w:r>
              <w:rPr>
                <w:rFonts w:hint="eastAsia" w:ascii="新宋体" w:hAnsi="新宋体" w:eastAsia="新宋体" w:cs="新宋体"/>
                <w:color w:val="auto"/>
                <w:sz w:val="22"/>
                <w:szCs w:val="22"/>
                <w:highlight w:val="none"/>
              </w:rPr>
              <w:t>项目实施</w:t>
            </w:r>
            <w:r>
              <w:rPr>
                <w:rFonts w:ascii="新宋体" w:hAnsi="新宋体" w:eastAsia="新宋体" w:cs="新宋体"/>
                <w:color w:val="auto"/>
                <w:sz w:val="22"/>
                <w:szCs w:val="22"/>
                <w:highlight w:val="none"/>
              </w:rPr>
              <w:t>方案</w:t>
            </w:r>
          </w:p>
        </w:tc>
        <w:tc>
          <w:tcPr>
            <w:tcW w:w="1106" w:type="dxa"/>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b）</w:t>
            </w:r>
          </w:p>
        </w:tc>
        <w:tc>
          <w:tcPr>
            <w:tcW w:w="8047" w:type="dxa"/>
            <w:vAlign w:val="center"/>
          </w:tcPr>
          <w:p>
            <w:pPr>
              <w:tabs>
                <w:tab w:val="left" w:pos="5355"/>
              </w:tabs>
              <w:rPr>
                <w:rFonts w:ascii="宋体" w:hAnsi="宋体" w:cs="宋体"/>
                <w:color w:val="auto"/>
                <w:szCs w:val="21"/>
                <w:highlight w:val="none"/>
              </w:rPr>
            </w:pPr>
            <w:r>
              <w:rPr>
                <w:rFonts w:hint="eastAsia" w:ascii="新宋体" w:hAnsi="新宋体" w:eastAsia="新宋体"/>
                <w:color w:val="auto"/>
                <w:sz w:val="22"/>
                <w:szCs w:val="22"/>
                <w:highlight w:val="none"/>
              </w:rPr>
              <w:t>售后培训、技术</w:t>
            </w:r>
            <w:r>
              <w:rPr>
                <w:rFonts w:ascii="新宋体" w:hAnsi="新宋体" w:eastAsia="新宋体"/>
                <w:color w:val="auto"/>
                <w:sz w:val="22"/>
                <w:szCs w:val="22"/>
                <w:highlight w:val="none"/>
              </w:rPr>
              <w:t>支持</w:t>
            </w:r>
            <w:r>
              <w:rPr>
                <w:rFonts w:hint="eastAsia" w:ascii="新宋体" w:hAnsi="新宋体" w:eastAsia="新宋体"/>
                <w:color w:val="auto"/>
                <w:sz w:val="22"/>
                <w:szCs w:val="22"/>
                <w:highlight w:val="none"/>
              </w:rPr>
              <w:t>等</w:t>
            </w:r>
          </w:p>
        </w:tc>
        <w:tc>
          <w:tcPr>
            <w:tcW w:w="1106" w:type="dxa"/>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w:t>
            </w:r>
          </w:p>
        </w:tc>
        <w:tc>
          <w:tcPr>
            <w:tcW w:w="8047" w:type="dxa"/>
            <w:vAlign w:val="center"/>
          </w:tcPr>
          <w:p>
            <w:pPr>
              <w:rPr>
                <w:rFonts w:ascii="宋体" w:hAnsi="宋体" w:cs="宋体"/>
                <w:color w:val="auto"/>
                <w:kern w:val="0"/>
                <w:szCs w:val="21"/>
                <w:highlight w:val="none"/>
              </w:rPr>
            </w:pPr>
            <w:r>
              <w:rPr>
                <w:rFonts w:hint="eastAsia" w:ascii="宋体" w:hAnsi="宋体" w:cs="宋体"/>
                <w:b/>
                <w:bCs/>
                <w:color w:val="auto"/>
                <w:szCs w:val="21"/>
                <w:highlight w:val="none"/>
              </w:rPr>
              <w:t>供应商综合情况</w:t>
            </w:r>
          </w:p>
        </w:tc>
        <w:tc>
          <w:tcPr>
            <w:tcW w:w="1106" w:type="dxa"/>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w:t>
            </w:r>
          </w:p>
        </w:tc>
        <w:tc>
          <w:tcPr>
            <w:tcW w:w="8047" w:type="dxa"/>
            <w:vAlign w:val="center"/>
          </w:tcPr>
          <w:p>
            <w:pPr>
              <w:rPr>
                <w:rFonts w:ascii="宋体" w:hAnsi="宋体" w:cs="宋体"/>
                <w:b/>
                <w:bCs/>
                <w:color w:val="auto"/>
                <w:szCs w:val="21"/>
                <w:highlight w:val="none"/>
              </w:rPr>
            </w:pPr>
            <w:r>
              <w:rPr>
                <w:rFonts w:hint="eastAsia" w:ascii="宋体" w:hAnsi="宋体" w:cs="宋体"/>
                <w:b/>
                <w:bCs/>
                <w:color w:val="auto"/>
                <w:szCs w:val="21"/>
                <w:highlight w:val="none"/>
              </w:rPr>
              <w:t>供应商类似业绩</w:t>
            </w:r>
          </w:p>
        </w:tc>
        <w:tc>
          <w:tcPr>
            <w:tcW w:w="1106" w:type="dxa"/>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 xml:space="preserve"> a）</w:t>
            </w:r>
          </w:p>
        </w:tc>
        <w:tc>
          <w:tcPr>
            <w:tcW w:w="8047" w:type="dxa"/>
            <w:vAlign w:val="center"/>
          </w:tcPr>
          <w:p>
            <w:pPr>
              <w:tabs>
                <w:tab w:val="left" w:pos="5355"/>
              </w:tabs>
              <w:rPr>
                <w:rFonts w:ascii="新宋体" w:hAnsi="新宋体" w:eastAsia="新宋体"/>
                <w:color w:val="auto"/>
                <w:sz w:val="22"/>
                <w:szCs w:val="22"/>
                <w:highlight w:val="none"/>
              </w:rPr>
            </w:pPr>
            <w:r>
              <w:rPr>
                <w:rFonts w:hint="eastAsia" w:ascii="宋体" w:hAnsi="宋体"/>
                <w:color w:val="auto"/>
                <w:szCs w:val="21"/>
                <w:highlight w:val="none"/>
              </w:rPr>
              <w:t>201</w:t>
            </w:r>
            <w:r>
              <w:rPr>
                <w:rFonts w:ascii="宋体" w:hAnsi="宋体"/>
                <w:color w:val="auto"/>
                <w:szCs w:val="21"/>
                <w:highlight w:val="none"/>
              </w:rPr>
              <w:t>9</w:t>
            </w:r>
            <w:r>
              <w:rPr>
                <w:rFonts w:hint="eastAsia" w:ascii="宋体" w:hAnsi="宋体"/>
                <w:color w:val="auto"/>
                <w:szCs w:val="21"/>
                <w:highlight w:val="none"/>
              </w:rPr>
              <w:t>年</w:t>
            </w:r>
            <w:r>
              <w:rPr>
                <w:rFonts w:ascii="宋体" w:hAnsi="宋体"/>
                <w:color w:val="auto"/>
                <w:szCs w:val="21"/>
                <w:highlight w:val="none"/>
              </w:rPr>
              <w:t>7</w:t>
            </w:r>
            <w:r>
              <w:rPr>
                <w:rFonts w:hint="eastAsia" w:ascii="宋体" w:hAnsi="宋体"/>
                <w:color w:val="auto"/>
                <w:szCs w:val="21"/>
                <w:highlight w:val="none"/>
              </w:rPr>
              <w:t>月1日（以合同签订日期为准）以来承担过</w:t>
            </w:r>
            <w:r>
              <w:rPr>
                <w:rFonts w:ascii="宋体" w:hAnsi="宋体"/>
                <w:color w:val="auto"/>
                <w:szCs w:val="21"/>
                <w:highlight w:val="none"/>
              </w:rPr>
              <w:t>的</w:t>
            </w:r>
            <w:r>
              <w:rPr>
                <w:rFonts w:ascii="宋体" w:hAnsi="宋体"/>
                <w:color w:val="auto"/>
                <w:kern w:val="0"/>
                <w:szCs w:val="21"/>
                <w:highlight w:val="none"/>
              </w:rPr>
              <w:t>绿地</w:t>
            </w:r>
            <w:r>
              <w:rPr>
                <w:rFonts w:hint="eastAsia" w:ascii="宋体" w:hAnsi="宋体"/>
                <w:color w:val="auto"/>
                <w:kern w:val="0"/>
                <w:szCs w:val="21"/>
                <w:highlight w:val="none"/>
              </w:rPr>
              <w:t>调查</w:t>
            </w:r>
            <w:r>
              <w:rPr>
                <w:rFonts w:ascii="宋体" w:hAnsi="宋体"/>
                <w:color w:val="auto"/>
                <w:kern w:val="0"/>
                <w:szCs w:val="21"/>
                <w:highlight w:val="none"/>
              </w:rPr>
              <w:t>建库或监测</w:t>
            </w:r>
            <w:r>
              <w:rPr>
                <w:rFonts w:hint="eastAsia" w:ascii="宋体" w:hAnsi="宋体"/>
                <w:color w:val="auto"/>
                <w:kern w:val="0"/>
                <w:szCs w:val="21"/>
                <w:highlight w:val="none"/>
              </w:rPr>
              <w:t>类项目</w:t>
            </w:r>
          </w:p>
        </w:tc>
        <w:tc>
          <w:tcPr>
            <w:tcW w:w="1106"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附件六-1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 xml:space="preserve"> b）</w:t>
            </w:r>
          </w:p>
        </w:tc>
        <w:tc>
          <w:tcPr>
            <w:tcW w:w="8047" w:type="dxa"/>
            <w:vAlign w:val="center"/>
          </w:tcPr>
          <w:p>
            <w:pPr>
              <w:tabs>
                <w:tab w:val="left" w:pos="5355"/>
              </w:tabs>
              <w:rPr>
                <w:rFonts w:ascii="新宋体" w:hAnsi="新宋体" w:eastAsia="新宋体"/>
                <w:color w:val="auto"/>
                <w:sz w:val="22"/>
                <w:szCs w:val="22"/>
                <w:highlight w:val="none"/>
              </w:rPr>
            </w:pPr>
            <w:r>
              <w:rPr>
                <w:rFonts w:hint="eastAsia" w:ascii="宋体" w:hAnsi="宋体"/>
                <w:color w:val="auto"/>
                <w:szCs w:val="21"/>
                <w:highlight w:val="none"/>
              </w:rPr>
              <w:t>201</w:t>
            </w:r>
            <w:r>
              <w:rPr>
                <w:rFonts w:ascii="宋体" w:hAnsi="宋体"/>
                <w:color w:val="auto"/>
                <w:szCs w:val="21"/>
                <w:highlight w:val="none"/>
              </w:rPr>
              <w:t>9</w:t>
            </w:r>
            <w:r>
              <w:rPr>
                <w:rFonts w:hint="eastAsia" w:ascii="宋体" w:hAnsi="宋体"/>
                <w:color w:val="auto"/>
                <w:szCs w:val="21"/>
                <w:highlight w:val="none"/>
              </w:rPr>
              <w:t>年</w:t>
            </w:r>
            <w:r>
              <w:rPr>
                <w:rFonts w:ascii="宋体" w:hAnsi="宋体"/>
                <w:color w:val="auto"/>
                <w:szCs w:val="21"/>
                <w:highlight w:val="none"/>
              </w:rPr>
              <w:t>7</w:t>
            </w:r>
            <w:r>
              <w:rPr>
                <w:rFonts w:hint="eastAsia" w:ascii="宋体" w:hAnsi="宋体"/>
                <w:color w:val="auto"/>
                <w:szCs w:val="21"/>
                <w:highlight w:val="none"/>
              </w:rPr>
              <w:t>月1日（以合同签订日期为准）以来承担过</w:t>
            </w:r>
            <w:r>
              <w:rPr>
                <w:rFonts w:hint="eastAsia" w:ascii="宋体" w:hAnsi="宋体"/>
                <w:color w:val="auto"/>
                <w:kern w:val="0"/>
                <w:szCs w:val="21"/>
                <w:highlight w:val="none"/>
              </w:rPr>
              <w:t>智慧园林软件相关</w:t>
            </w:r>
            <w:r>
              <w:rPr>
                <w:rFonts w:ascii="宋体" w:hAnsi="宋体"/>
                <w:color w:val="auto"/>
                <w:kern w:val="0"/>
                <w:szCs w:val="21"/>
                <w:highlight w:val="none"/>
              </w:rPr>
              <w:t>项目</w:t>
            </w:r>
          </w:p>
        </w:tc>
        <w:tc>
          <w:tcPr>
            <w:tcW w:w="1106"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附件六-2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w:t>
            </w:r>
          </w:p>
        </w:tc>
        <w:tc>
          <w:tcPr>
            <w:tcW w:w="8047" w:type="dxa"/>
            <w:vAlign w:val="center"/>
          </w:tcPr>
          <w:p>
            <w:pPr>
              <w:tabs>
                <w:tab w:val="left" w:pos="5355"/>
              </w:tabs>
              <w:rPr>
                <w:rFonts w:ascii="宋体" w:hAnsi="宋体" w:cs="宋体"/>
                <w:color w:val="auto"/>
                <w:kern w:val="0"/>
                <w:szCs w:val="21"/>
                <w:highlight w:val="none"/>
              </w:rPr>
            </w:pPr>
            <w:r>
              <w:rPr>
                <w:rFonts w:hint="eastAsia" w:ascii="宋体" w:hAnsi="宋体" w:cs="宋体"/>
                <w:color w:val="auto"/>
                <w:kern w:val="0"/>
                <w:szCs w:val="21"/>
                <w:highlight w:val="none"/>
              </w:rPr>
              <w:t>项目管理机构配备及主要人员名单一览表</w:t>
            </w:r>
          </w:p>
        </w:tc>
        <w:tc>
          <w:tcPr>
            <w:tcW w:w="1106"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附件七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w:t>
            </w:r>
          </w:p>
        </w:tc>
        <w:tc>
          <w:tcPr>
            <w:tcW w:w="8047" w:type="dxa"/>
            <w:vAlign w:val="center"/>
          </w:tcPr>
          <w:p>
            <w:pPr>
              <w:tabs>
                <w:tab w:val="left" w:pos="5355"/>
              </w:tabs>
              <w:rPr>
                <w:rFonts w:ascii="宋体" w:hAnsi="宋体" w:cs="宋体"/>
                <w:color w:val="auto"/>
                <w:kern w:val="0"/>
                <w:szCs w:val="21"/>
                <w:highlight w:val="none"/>
              </w:rPr>
            </w:pPr>
            <w:r>
              <w:rPr>
                <w:rFonts w:hint="eastAsia" w:ascii="宋体" w:hAnsi="宋体" w:cs="宋体"/>
                <w:color w:val="auto"/>
                <w:kern w:val="0"/>
                <w:szCs w:val="21"/>
                <w:highlight w:val="none"/>
              </w:rPr>
              <w:t>拟派本项目负责人简历表及项目组织机构其他人员简历表</w:t>
            </w:r>
          </w:p>
        </w:tc>
        <w:tc>
          <w:tcPr>
            <w:tcW w:w="1106"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附件八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w:t>
            </w:r>
          </w:p>
        </w:tc>
        <w:tc>
          <w:tcPr>
            <w:tcW w:w="8047" w:type="dxa"/>
            <w:vAlign w:val="center"/>
          </w:tcPr>
          <w:p>
            <w:pPr>
              <w:tabs>
                <w:tab w:val="left" w:pos="5355"/>
              </w:tabs>
              <w:rPr>
                <w:rFonts w:ascii="宋体" w:hAnsi="宋体" w:cs="宋体"/>
                <w:color w:val="auto"/>
                <w:szCs w:val="21"/>
                <w:highlight w:val="none"/>
              </w:rPr>
            </w:pPr>
            <w:r>
              <w:rPr>
                <w:rFonts w:hint="eastAsia" w:ascii="宋体" w:hAnsi="宋体" w:cs="宋体"/>
                <w:color w:val="auto"/>
                <w:szCs w:val="21"/>
                <w:highlight w:val="none"/>
              </w:rPr>
              <w:t>投标人需要说明的其他文件和说明</w:t>
            </w:r>
          </w:p>
        </w:tc>
        <w:tc>
          <w:tcPr>
            <w:tcW w:w="1106" w:type="dxa"/>
            <w:vAlign w:val="center"/>
          </w:tcPr>
          <w:p>
            <w:pPr>
              <w:jc w:val="center"/>
              <w:rPr>
                <w:rFonts w:ascii="宋体" w:hAnsi="宋体" w:cs="宋体"/>
                <w:color w:val="auto"/>
                <w:szCs w:val="21"/>
                <w:highlight w:val="none"/>
              </w:rPr>
            </w:pPr>
          </w:p>
        </w:tc>
      </w:tr>
    </w:tbl>
    <w:p>
      <w:pPr>
        <w:spacing w:line="460" w:lineRule="exact"/>
        <w:ind w:left="647" w:leftChars="308" w:firstLine="437" w:firstLineChars="196"/>
        <w:rPr>
          <w:rFonts w:ascii="宋体" w:hAnsi="宋体"/>
          <w:b/>
          <w:color w:val="auto"/>
          <w:szCs w:val="21"/>
          <w:highlight w:val="none"/>
        </w:rPr>
      </w:pPr>
      <w:r>
        <w:rPr>
          <w:rFonts w:hint="eastAsia" w:ascii="宋体" w:hAnsi="宋体"/>
          <w:b/>
          <w:color w:val="auto"/>
          <w:spacing w:val="6"/>
          <w:szCs w:val="21"/>
          <w:highlight w:val="none"/>
        </w:rPr>
        <w:t>投</w:t>
      </w:r>
      <w:r>
        <w:rPr>
          <w:rFonts w:hint="eastAsia" w:ascii="宋体" w:hAnsi="宋体"/>
          <w:b/>
          <w:color w:val="auto"/>
          <w:szCs w:val="21"/>
          <w:highlight w:val="none"/>
        </w:rPr>
        <w:t>标人可在采购文件中对招标项目的技术规格和要求选用替代标准，但这些替代标准必须相当于或优于采购文件中提出的相应要求，并使采购人满意。同时在技术偏离表中做出详细说明。</w:t>
      </w:r>
    </w:p>
    <w:p>
      <w:pPr>
        <w:spacing w:line="460" w:lineRule="exact"/>
        <w:rPr>
          <w:rFonts w:ascii="宋体" w:hAnsi="宋体"/>
          <w:b/>
          <w:color w:val="auto"/>
          <w:szCs w:val="21"/>
          <w:highlight w:val="none"/>
        </w:rPr>
      </w:pPr>
      <w:r>
        <w:rPr>
          <w:rFonts w:hint="eastAsia" w:ascii="宋体" w:hAnsi="宋体"/>
          <w:b/>
          <w:color w:val="auto"/>
          <w:szCs w:val="21"/>
          <w:highlight w:val="none"/>
        </w:rPr>
        <w:t>5.1.3  商务（报价）标</w:t>
      </w:r>
    </w:p>
    <w:p>
      <w:pPr>
        <w:spacing w:line="460" w:lineRule="exact"/>
        <w:ind w:firstLine="105" w:firstLineChars="50"/>
        <w:rPr>
          <w:rFonts w:ascii="宋体" w:hAnsi="宋体"/>
          <w:color w:val="auto"/>
          <w:szCs w:val="21"/>
          <w:highlight w:val="none"/>
        </w:rPr>
      </w:pPr>
      <w:r>
        <w:rPr>
          <w:rFonts w:hint="eastAsia" w:ascii="宋体" w:hAnsi="宋体"/>
          <w:color w:val="auto"/>
          <w:szCs w:val="21"/>
          <w:highlight w:val="none"/>
        </w:rPr>
        <w:t xml:space="preserve">1）  </w:t>
      </w:r>
      <w:r>
        <w:rPr>
          <w:rFonts w:hint="eastAsia" w:ascii="宋体" w:hAnsi="宋体"/>
          <w:bCs/>
          <w:color w:val="auto"/>
          <w:szCs w:val="21"/>
          <w:highlight w:val="none"/>
        </w:rPr>
        <w:t>开标一览表</w:t>
      </w:r>
      <w:r>
        <w:rPr>
          <w:rFonts w:hint="eastAsia" w:ascii="宋体" w:hAnsi="宋体"/>
          <w:color w:val="auto"/>
          <w:szCs w:val="21"/>
          <w:highlight w:val="none"/>
        </w:rPr>
        <w:t xml:space="preserve">                                     （附件二）</w:t>
      </w:r>
    </w:p>
    <w:p>
      <w:pPr>
        <w:spacing w:line="460" w:lineRule="exact"/>
        <w:ind w:firstLine="105" w:firstLineChars="50"/>
        <w:rPr>
          <w:rFonts w:hint="eastAsia" w:ascii="宋体" w:hAnsi="宋体"/>
          <w:color w:val="auto"/>
          <w:szCs w:val="21"/>
          <w:highlight w:val="none"/>
        </w:rPr>
      </w:pPr>
      <w:r>
        <w:rPr>
          <w:rFonts w:hint="eastAsia" w:ascii="宋体" w:hAnsi="宋体"/>
          <w:color w:val="auto"/>
          <w:szCs w:val="21"/>
          <w:highlight w:val="none"/>
        </w:rPr>
        <w:t>2）  投标分项报价表                                 （附件三）</w:t>
      </w:r>
    </w:p>
    <w:p>
      <w:pPr>
        <w:spacing w:line="460" w:lineRule="exact"/>
        <w:ind w:firstLine="105" w:firstLineChars="50"/>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3）</w:t>
      </w:r>
      <w:r>
        <w:rPr>
          <w:rFonts w:hint="eastAsia" w:ascii="宋体" w:hAnsi="宋体" w:eastAsia="宋体" w:cs="Times New Roman"/>
          <w:color w:val="auto"/>
          <w:szCs w:val="21"/>
          <w:highlight w:val="none"/>
        </w:rPr>
        <w:t>中小企业声明函（如有）、残疾人福利性单位声明函（如有）、监狱企业的证明文件（如有）</w:t>
      </w:r>
    </w:p>
    <w:p>
      <w:pPr>
        <w:spacing w:line="460" w:lineRule="exact"/>
        <w:rPr>
          <w:rFonts w:ascii="宋体" w:hAnsi="宋体"/>
          <w:color w:val="auto"/>
          <w:szCs w:val="21"/>
          <w:highlight w:val="none"/>
        </w:rPr>
      </w:pPr>
      <w:r>
        <w:rPr>
          <w:rFonts w:hint="eastAsia" w:ascii="宋体" w:hAnsi="宋体"/>
          <w:color w:val="auto"/>
          <w:szCs w:val="21"/>
          <w:highlight w:val="none"/>
        </w:rPr>
        <w:t>5.1.2.1  投标文件格式</w:t>
      </w:r>
    </w:p>
    <w:p>
      <w:pPr>
        <w:tabs>
          <w:tab w:val="left" w:pos="-180"/>
          <w:tab w:val="left" w:pos="180"/>
          <w:tab w:val="left" w:pos="360"/>
        </w:tabs>
        <w:spacing w:line="460" w:lineRule="exact"/>
        <w:ind w:left="657" w:leftChars="313"/>
        <w:rPr>
          <w:rFonts w:ascii="宋体" w:hAnsi="宋体"/>
          <w:color w:val="auto"/>
          <w:szCs w:val="21"/>
          <w:highlight w:val="none"/>
          <w:u w:val="wave"/>
        </w:rPr>
      </w:pPr>
      <w:r>
        <w:rPr>
          <w:rFonts w:hint="eastAsia" w:ascii="宋体" w:hAnsi="宋体"/>
          <w:color w:val="auto"/>
          <w:szCs w:val="21"/>
          <w:highlight w:val="none"/>
          <w:u w:val="wave"/>
        </w:rPr>
        <w:t>投标人应根据招标文件中所提供的格式，内容按顺序填写，编写目录和页码，分别写入技术资信标和商务标中</w:t>
      </w:r>
      <w:r>
        <w:rPr>
          <w:rFonts w:hint="eastAsia" w:ascii="宋体" w:hAnsi="宋体"/>
          <w:color w:val="auto"/>
          <w:szCs w:val="21"/>
          <w:highlight w:val="none"/>
        </w:rPr>
        <w:t>。</w:t>
      </w:r>
    </w:p>
    <w:p>
      <w:pPr>
        <w:tabs>
          <w:tab w:val="left" w:pos="-180"/>
          <w:tab w:val="left" w:pos="180"/>
          <w:tab w:val="left" w:pos="360"/>
        </w:tabs>
        <w:spacing w:line="460" w:lineRule="exact"/>
        <w:ind w:left="632" w:hanging="632" w:hangingChars="300"/>
        <w:rPr>
          <w:rFonts w:ascii="宋体" w:hAnsi="宋体"/>
          <w:b/>
          <w:bCs/>
          <w:color w:val="auto"/>
          <w:szCs w:val="21"/>
          <w:highlight w:val="none"/>
        </w:rPr>
      </w:pPr>
      <w:r>
        <w:rPr>
          <w:rFonts w:hint="eastAsia" w:ascii="宋体" w:hAnsi="宋体"/>
          <w:b/>
          <w:bCs/>
          <w:color w:val="auto"/>
          <w:szCs w:val="21"/>
          <w:highlight w:val="none"/>
        </w:rPr>
        <w:t>6．   投标报价</w:t>
      </w:r>
    </w:p>
    <w:p>
      <w:pPr>
        <w:tabs>
          <w:tab w:val="left" w:pos="-180"/>
          <w:tab w:val="left" w:pos="180"/>
          <w:tab w:val="left" w:pos="360"/>
        </w:tabs>
        <w:spacing w:line="460" w:lineRule="exact"/>
        <w:ind w:left="630" w:hanging="630" w:hangingChars="300"/>
        <w:rPr>
          <w:rFonts w:ascii="Arial" w:hAnsi="Arial" w:cs="Arial"/>
          <w:b/>
          <w:color w:val="auto"/>
          <w:kern w:val="0"/>
          <w:szCs w:val="21"/>
          <w:highlight w:val="none"/>
        </w:rPr>
      </w:pPr>
      <w:r>
        <w:rPr>
          <w:rFonts w:hint="eastAsia" w:ascii="宋体" w:hAnsi="宋体"/>
          <w:color w:val="auto"/>
          <w:szCs w:val="21"/>
          <w:highlight w:val="none"/>
        </w:rPr>
        <w:t>6</w:t>
      </w:r>
      <w:r>
        <w:rPr>
          <w:rFonts w:ascii="宋体" w:hAnsi="宋体"/>
          <w:color w:val="auto"/>
          <w:szCs w:val="21"/>
          <w:highlight w:val="none"/>
        </w:rPr>
        <w:t>.1</w:t>
      </w:r>
      <w:r>
        <w:rPr>
          <w:rFonts w:ascii="Arial" w:hAnsi="Arial" w:cs="Arial"/>
          <w:b/>
          <w:color w:val="auto"/>
          <w:kern w:val="0"/>
          <w:szCs w:val="21"/>
          <w:highlight w:val="none"/>
        </w:rPr>
        <w:t>投标报价是</w:t>
      </w:r>
      <w:r>
        <w:rPr>
          <w:rFonts w:hint="eastAsia" w:ascii="新宋体" w:hAnsi="新宋体" w:eastAsia="新宋体" w:cs="新宋体"/>
          <w:b/>
          <w:color w:val="auto"/>
          <w:szCs w:val="21"/>
          <w:highlight w:val="none"/>
          <w:u w:val="single"/>
        </w:rPr>
        <w:t>指卖方在正确地完全履行合同义务后买方应支付给卖方所有的货物价款，即货物的供货、税金、包装、运输、装卸、安装调试、系统集成、技术服务、售后服务、材料、运维管理、招标代理费等全部费用，实行固定费用总包干，投标供应商应根据上述因素自行考虑含入投标总价。</w:t>
      </w:r>
    </w:p>
    <w:p>
      <w:pPr>
        <w:tabs>
          <w:tab w:val="left" w:pos="-180"/>
          <w:tab w:val="left" w:pos="180"/>
          <w:tab w:val="left" w:pos="360"/>
        </w:tabs>
        <w:spacing w:line="460" w:lineRule="exact"/>
        <w:ind w:left="630" w:hanging="630" w:hangingChars="300"/>
        <w:rPr>
          <w:rFonts w:ascii="宋体" w:hAnsi="宋体"/>
          <w:color w:val="auto"/>
          <w:szCs w:val="21"/>
          <w:highlight w:val="none"/>
        </w:rPr>
      </w:pPr>
      <w:r>
        <w:rPr>
          <w:rFonts w:hint="eastAsia" w:ascii="宋体" w:hAnsi="宋体"/>
          <w:color w:val="auto"/>
          <w:szCs w:val="21"/>
          <w:highlight w:val="none"/>
        </w:rPr>
        <w:t xml:space="preserve">6.2   </w:t>
      </w:r>
      <w:r>
        <w:rPr>
          <w:rFonts w:hint="eastAsia" w:cs="Arial"/>
          <w:color w:val="auto"/>
          <w:highlight w:val="none"/>
        </w:rPr>
        <w:t>中标人在施工过程中如与其他专业工程承包人发生施工界面交叉或需其配合而产生的费用由中标人与其他专业工程承包人自行协商解决，招标人不再另行支付。因上述原因而可能产生的费用，投标人应自行考虑风险并计入投标总价中。</w:t>
      </w:r>
    </w:p>
    <w:p>
      <w:pPr>
        <w:tabs>
          <w:tab w:val="left" w:pos="-180"/>
          <w:tab w:val="left" w:pos="180"/>
          <w:tab w:val="left" w:pos="360"/>
        </w:tabs>
        <w:spacing w:line="460" w:lineRule="exact"/>
        <w:ind w:left="630" w:hanging="630" w:hangingChars="300"/>
        <w:rPr>
          <w:rFonts w:ascii="宋体" w:hAnsi="宋体"/>
          <w:color w:val="auto"/>
          <w:szCs w:val="21"/>
          <w:highlight w:val="none"/>
        </w:rPr>
      </w:pPr>
      <w:r>
        <w:rPr>
          <w:rFonts w:hint="eastAsia" w:ascii="宋体" w:hAnsi="宋体"/>
          <w:color w:val="auto"/>
          <w:szCs w:val="21"/>
          <w:highlight w:val="none"/>
        </w:rPr>
        <w:t>6.3   投标人必须按第五部分附件的开标一览表（统一格式）、投标分项报价表（统一格式）的内容填写产品单价、合价及其他事项，并由法定代表人或授权代表签署。</w:t>
      </w:r>
    </w:p>
    <w:p>
      <w:pPr>
        <w:tabs>
          <w:tab w:val="left" w:pos="-180"/>
          <w:tab w:val="left" w:pos="180"/>
          <w:tab w:val="left" w:pos="360"/>
        </w:tabs>
        <w:spacing w:line="460" w:lineRule="exact"/>
        <w:ind w:left="630" w:hanging="630" w:hangingChars="300"/>
        <w:rPr>
          <w:rFonts w:ascii="宋体" w:hAnsi="宋体"/>
          <w:color w:val="auto"/>
          <w:szCs w:val="21"/>
          <w:highlight w:val="none"/>
        </w:rPr>
      </w:pPr>
      <w:r>
        <w:rPr>
          <w:rFonts w:hint="eastAsia" w:ascii="宋体" w:hAnsi="宋体"/>
          <w:color w:val="auto"/>
          <w:szCs w:val="21"/>
          <w:highlight w:val="none"/>
        </w:rPr>
        <w:t xml:space="preserve">6.4   </w:t>
      </w:r>
      <w:r>
        <w:rPr>
          <w:rFonts w:hint="eastAsia" w:ascii="宋体" w:hAnsi="宋体"/>
          <w:b/>
          <w:color w:val="auto"/>
          <w:szCs w:val="21"/>
          <w:highlight w:val="none"/>
        </w:rPr>
        <w:t>所有投标均以人民币报价</w:t>
      </w:r>
      <w:r>
        <w:rPr>
          <w:rFonts w:hint="eastAsia" w:ascii="宋体" w:hAnsi="宋体"/>
          <w:color w:val="auto"/>
          <w:szCs w:val="21"/>
          <w:highlight w:val="none"/>
        </w:rPr>
        <w:t>，投标人如需外汇购入某些设备货物，须折合成人民币计入投标报价中。</w:t>
      </w:r>
    </w:p>
    <w:p>
      <w:pPr>
        <w:tabs>
          <w:tab w:val="left" w:pos="-180"/>
          <w:tab w:val="left" w:pos="180"/>
          <w:tab w:val="left" w:pos="360"/>
        </w:tabs>
        <w:spacing w:line="460" w:lineRule="exact"/>
        <w:ind w:left="630" w:hanging="630" w:hangingChars="300"/>
        <w:rPr>
          <w:rFonts w:ascii="宋体" w:hAnsi="宋体"/>
          <w:color w:val="auto"/>
          <w:szCs w:val="21"/>
          <w:highlight w:val="none"/>
        </w:rPr>
      </w:pPr>
      <w:r>
        <w:rPr>
          <w:rFonts w:hint="eastAsia" w:ascii="宋体" w:hAnsi="宋体"/>
          <w:color w:val="auto"/>
          <w:szCs w:val="21"/>
          <w:highlight w:val="none"/>
        </w:rPr>
        <w:t xml:space="preserve">6.5   </w:t>
      </w:r>
      <w:r>
        <w:rPr>
          <w:rFonts w:hint="eastAsia" w:ascii="宋体" w:hAnsi="宋体"/>
          <w:b/>
          <w:color w:val="auto"/>
          <w:szCs w:val="21"/>
          <w:highlight w:val="none"/>
        </w:rPr>
        <w:t>招标人不接受任何选择报价，对此项服务只允许一个报价</w:t>
      </w:r>
      <w:r>
        <w:rPr>
          <w:rFonts w:hint="eastAsia" w:ascii="宋体" w:hAnsi="宋体"/>
          <w:color w:val="auto"/>
          <w:szCs w:val="21"/>
          <w:highlight w:val="none"/>
        </w:rPr>
        <w:t>。为防止恶性竞争，开标一览表（附件二）中投标总价不得出现选择性报价。分项报价表（附件三）中各种设备价格不得低于成本价。</w:t>
      </w:r>
    </w:p>
    <w:p>
      <w:pPr>
        <w:tabs>
          <w:tab w:val="left" w:pos="-180"/>
          <w:tab w:val="left" w:pos="180"/>
          <w:tab w:val="left" w:pos="360"/>
        </w:tabs>
        <w:spacing w:line="460" w:lineRule="exact"/>
        <w:ind w:left="630" w:hanging="630" w:hangingChars="300"/>
        <w:rPr>
          <w:rFonts w:ascii="宋体" w:hAnsi="宋体"/>
          <w:color w:val="auto"/>
          <w:szCs w:val="21"/>
          <w:highlight w:val="none"/>
        </w:rPr>
      </w:pPr>
      <w:r>
        <w:rPr>
          <w:rFonts w:hint="eastAsia" w:ascii="宋体" w:hAnsi="宋体"/>
          <w:color w:val="auto"/>
          <w:szCs w:val="21"/>
          <w:highlight w:val="none"/>
        </w:rPr>
        <w:t>6.6   招标人要求分类报价是为了方便评标，但在任何情况下不限制采购人以其认为最合适的条款、条件签订合同的权利。</w:t>
      </w:r>
    </w:p>
    <w:p>
      <w:pPr>
        <w:tabs>
          <w:tab w:val="left" w:pos="-180"/>
          <w:tab w:val="left" w:pos="180"/>
          <w:tab w:val="left" w:pos="360"/>
        </w:tabs>
        <w:spacing w:line="460" w:lineRule="exact"/>
        <w:ind w:left="632" w:hanging="632" w:hangingChars="300"/>
        <w:rPr>
          <w:rFonts w:ascii="宋体" w:hAnsi="宋体"/>
          <w:b/>
          <w:color w:val="auto"/>
          <w:szCs w:val="21"/>
          <w:highlight w:val="none"/>
        </w:rPr>
      </w:pPr>
      <w:r>
        <w:rPr>
          <w:rFonts w:hint="eastAsia" w:ascii="宋体" w:hAnsi="宋体"/>
          <w:b/>
          <w:color w:val="auto"/>
          <w:szCs w:val="21"/>
          <w:highlight w:val="none"/>
        </w:rPr>
        <w:t xml:space="preserve">6.7   投标人所报的投标价在合同执行过程中是固定不变的，不得以任何理由予以变更。任何包含价格调整的要求，将被认为是非实质性响应投标而予以拒绝。 </w:t>
      </w:r>
    </w:p>
    <w:p>
      <w:pPr>
        <w:tabs>
          <w:tab w:val="left" w:pos="-180"/>
          <w:tab w:val="left" w:pos="180"/>
          <w:tab w:val="left" w:pos="360"/>
        </w:tabs>
        <w:spacing w:line="460" w:lineRule="exact"/>
        <w:ind w:left="632" w:hanging="632" w:hangingChars="300"/>
        <w:rPr>
          <w:rFonts w:ascii="宋体" w:hAnsi="宋体"/>
          <w:color w:val="auto"/>
          <w:szCs w:val="21"/>
          <w:highlight w:val="none"/>
        </w:rPr>
      </w:pPr>
      <w:r>
        <w:rPr>
          <w:rFonts w:hint="eastAsia" w:ascii="宋体" w:hAnsi="宋体"/>
          <w:b/>
          <w:color w:val="auto"/>
          <w:szCs w:val="21"/>
          <w:highlight w:val="none"/>
        </w:rPr>
        <w:t>6.8   最低报价不能作为中标的保证。</w:t>
      </w:r>
    </w:p>
    <w:p>
      <w:pPr>
        <w:spacing w:line="460" w:lineRule="exact"/>
        <w:ind w:left="632" w:hanging="632" w:hangingChars="300"/>
        <w:rPr>
          <w:rFonts w:ascii="宋体" w:hAnsi="宋体"/>
          <w:color w:val="auto"/>
          <w:szCs w:val="21"/>
          <w:highlight w:val="none"/>
        </w:rPr>
      </w:pPr>
      <w:r>
        <w:rPr>
          <w:rFonts w:hint="eastAsia" w:ascii="宋体" w:hAnsi="宋体"/>
          <w:b/>
          <w:bCs/>
          <w:color w:val="auto"/>
          <w:szCs w:val="21"/>
          <w:highlight w:val="none"/>
        </w:rPr>
        <w:t>7．   投标有效期</w:t>
      </w:r>
    </w:p>
    <w:p>
      <w:pPr>
        <w:spacing w:line="460" w:lineRule="exact"/>
        <w:ind w:left="641" w:leftChars="7" w:hanging="626" w:hangingChars="297"/>
        <w:rPr>
          <w:rFonts w:ascii="宋体" w:hAnsi="宋体"/>
          <w:b/>
          <w:color w:val="auto"/>
          <w:szCs w:val="21"/>
          <w:highlight w:val="none"/>
        </w:rPr>
      </w:pPr>
      <w:r>
        <w:rPr>
          <w:rFonts w:hint="eastAsia" w:ascii="宋体" w:hAnsi="宋体"/>
          <w:b/>
          <w:color w:val="auto"/>
          <w:szCs w:val="21"/>
          <w:highlight w:val="none"/>
        </w:rPr>
        <w:t>7.1   自开标之日起</w:t>
      </w:r>
      <w:r>
        <w:rPr>
          <w:rFonts w:hint="eastAsia" w:ascii="宋体" w:hAnsi="宋体"/>
          <w:b/>
          <w:bCs/>
          <w:color w:val="auto"/>
          <w:szCs w:val="21"/>
          <w:highlight w:val="none"/>
          <w:u w:val="single"/>
        </w:rPr>
        <w:t>90</w:t>
      </w:r>
      <w:r>
        <w:rPr>
          <w:rFonts w:hint="eastAsia" w:ascii="宋体" w:hAnsi="宋体"/>
          <w:b/>
          <w:color w:val="auto"/>
          <w:szCs w:val="21"/>
          <w:highlight w:val="none"/>
        </w:rPr>
        <w:t>天内投标应保持有效。投标有效期短于这个规定期限的投标将视为非响应性投标而予以拒绝。</w:t>
      </w:r>
    </w:p>
    <w:p>
      <w:pPr>
        <w:spacing w:line="460" w:lineRule="exact"/>
        <w:ind w:left="630" w:hanging="630" w:hangingChars="300"/>
        <w:rPr>
          <w:rFonts w:ascii="宋体" w:hAnsi="宋体"/>
          <w:color w:val="auto"/>
          <w:szCs w:val="21"/>
          <w:highlight w:val="none"/>
        </w:rPr>
      </w:pPr>
      <w:r>
        <w:rPr>
          <w:rFonts w:hint="eastAsia" w:ascii="宋体" w:hAnsi="宋体"/>
          <w:color w:val="auto"/>
          <w:szCs w:val="21"/>
          <w:highlight w:val="none"/>
        </w:rPr>
        <w:t>7.2   特殊情况下，在原投标有效期截止前，招标人可与投标人协商延长投标有效期，这种要求和答复均以书面形式进行。投标人可拒绝接受延期要求。同意延长投标有效期的投标人不得修改投标文件。</w:t>
      </w:r>
    </w:p>
    <w:p>
      <w:pPr>
        <w:spacing w:line="460" w:lineRule="exact"/>
        <w:ind w:left="632" w:hanging="632" w:hangingChars="300"/>
        <w:rPr>
          <w:rFonts w:ascii="宋体" w:hAnsi="宋体"/>
          <w:color w:val="auto"/>
          <w:szCs w:val="21"/>
          <w:highlight w:val="none"/>
        </w:rPr>
      </w:pPr>
      <w:r>
        <w:rPr>
          <w:rFonts w:hint="eastAsia" w:ascii="宋体" w:hAnsi="宋体"/>
          <w:b/>
          <w:bCs/>
          <w:color w:val="auto"/>
          <w:szCs w:val="21"/>
          <w:highlight w:val="none"/>
        </w:rPr>
        <w:t>8．   投标文件的签署和规定</w:t>
      </w:r>
    </w:p>
    <w:p>
      <w:pPr>
        <w:spacing w:line="460" w:lineRule="exact"/>
        <w:ind w:left="616" w:hanging="616" w:hangingChars="292"/>
        <w:rPr>
          <w:rFonts w:ascii="宋体" w:hAnsi="宋体"/>
          <w:b/>
          <w:bCs/>
          <w:color w:val="auto"/>
          <w:szCs w:val="21"/>
          <w:highlight w:val="none"/>
        </w:rPr>
      </w:pPr>
      <w:r>
        <w:rPr>
          <w:rFonts w:hint="eastAsia" w:ascii="宋体" w:hAnsi="宋体"/>
          <w:b/>
          <w:bCs/>
          <w:color w:val="auto"/>
          <w:szCs w:val="21"/>
          <w:highlight w:val="none"/>
        </w:rPr>
        <w:t>8.1   投标人应根据招标文件的规定对投标文件进行电子盖章及签署</w:t>
      </w:r>
    </w:p>
    <w:p>
      <w:pPr>
        <w:spacing w:before="100" w:beforeAutospacing="1" w:after="100" w:afterAutospacing="1" w:line="440" w:lineRule="exact"/>
        <w:ind w:left="843" w:hanging="843" w:hangingChars="300"/>
        <w:jc w:val="center"/>
        <w:outlineLvl w:val="0"/>
        <w:rPr>
          <w:rFonts w:ascii="宋体" w:hAnsi="宋体"/>
          <w:color w:val="auto"/>
          <w:sz w:val="28"/>
          <w:szCs w:val="28"/>
          <w:highlight w:val="none"/>
        </w:rPr>
      </w:pPr>
      <w:r>
        <w:rPr>
          <w:rFonts w:hint="eastAsia" w:ascii="宋体" w:hAnsi="宋体"/>
          <w:b/>
          <w:bCs/>
          <w:color w:val="auto"/>
          <w:sz w:val="28"/>
          <w:szCs w:val="28"/>
          <w:highlight w:val="none"/>
        </w:rPr>
        <w:t>四   投标文件的递交</w:t>
      </w:r>
    </w:p>
    <w:p>
      <w:pPr>
        <w:spacing w:line="460" w:lineRule="exact"/>
        <w:rPr>
          <w:rFonts w:ascii="宋体" w:hAnsi="宋体"/>
          <w:b/>
          <w:bCs/>
          <w:color w:val="auto"/>
          <w:szCs w:val="21"/>
          <w:highlight w:val="none"/>
        </w:rPr>
      </w:pPr>
      <w:r>
        <w:rPr>
          <w:rFonts w:hint="eastAsia" w:ascii="宋体" w:hAnsi="宋体"/>
          <w:b/>
          <w:bCs/>
          <w:color w:val="auto"/>
          <w:szCs w:val="21"/>
          <w:highlight w:val="none"/>
        </w:rPr>
        <w:t>1．  投标文件的递交</w:t>
      </w:r>
    </w:p>
    <w:p>
      <w:pPr>
        <w:spacing w:line="460" w:lineRule="exact"/>
        <w:ind w:left="601" w:leftChars="277" w:hanging="19" w:hangingChars="9"/>
        <w:rPr>
          <w:rFonts w:ascii="宋体" w:hAnsi="宋体"/>
          <w:b/>
          <w:bCs/>
          <w:color w:val="auto"/>
          <w:szCs w:val="21"/>
          <w:highlight w:val="none"/>
        </w:rPr>
      </w:pPr>
      <w:r>
        <w:rPr>
          <w:rFonts w:hint="eastAsia" w:ascii="宋体" w:hAnsi="宋体"/>
          <w:b/>
          <w:bCs/>
          <w:color w:val="auto"/>
          <w:szCs w:val="21"/>
          <w:highlight w:val="none"/>
          <w:u w:val="single"/>
        </w:rPr>
        <w:t>投标文件必须在招标文件规定的投标文件截止时间前完成电子投标文件的传输递交。投标截止时间前未完成传输的，视为撤回投标文件。投标截止时间后送达的投标文件，将被政采云平台拒收。</w:t>
      </w:r>
    </w:p>
    <w:p>
      <w:pPr>
        <w:numPr>
          <w:ilvl w:val="0"/>
          <w:numId w:val="45"/>
        </w:numPr>
        <w:spacing w:line="460" w:lineRule="exact"/>
        <w:ind w:left="644" w:leftChars="8" w:hanging="627" w:hangingChars="299"/>
        <w:rPr>
          <w:rFonts w:ascii="宋体" w:hAnsi="宋体"/>
          <w:bCs/>
          <w:color w:val="auto"/>
          <w:szCs w:val="21"/>
          <w:highlight w:val="none"/>
        </w:rPr>
      </w:pPr>
      <w:r>
        <w:rPr>
          <w:rFonts w:hint="eastAsia" w:ascii="宋体" w:hAnsi="宋体"/>
          <w:color w:val="auto"/>
          <w:szCs w:val="21"/>
          <w:highlight w:val="none"/>
        </w:rPr>
        <w:t xml:space="preserve"> 投标文件的修改和撤回</w:t>
      </w:r>
    </w:p>
    <w:p>
      <w:pPr>
        <w:spacing w:line="460" w:lineRule="exact"/>
        <w:ind w:left="647" w:leftChars="308"/>
        <w:rPr>
          <w:rFonts w:ascii="宋体" w:hAnsi="宋体"/>
          <w:bCs/>
          <w:color w:val="auto"/>
          <w:szCs w:val="21"/>
          <w:highlight w:val="none"/>
          <w:u w:val="single"/>
        </w:rPr>
      </w:pPr>
      <w:r>
        <w:rPr>
          <w:rFonts w:hint="eastAsia" w:ascii="宋体" w:hAnsi="宋体"/>
          <w:b/>
          <w:bCs/>
          <w:color w:val="auto"/>
          <w:szCs w:val="21"/>
          <w:highlight w:val="none"/>
          <w:u w:val="single"/>
        </w:rPr>
        <w:t>投标人在投标截止时间前，可以补充、修改或者撤回电子投标文件。补充或者修改电子投标文件的，应当先行撤回原文件，补充、修改后重新传输递交。</w:t>
      </w:r>
    </w:p>
    <w:p>
      <w:pPr>
        <w:tabs>
          <w:tab w:val="left" w:pos="360"/>
          <w:tab w:val="left" w:pos="540"/>
          <w:tab w:val="left" w:pos="1260"/>
        </w:tabs>
        <w:spacing w:before="100" w:beforeAutospacing="1" w:after="100" w:afterAutospacing="1" w:line="440" w:lineRule="exact"/>
        <w:jc w:val="center"/>
        <w:outlineLvl w:val="0"/>
        <w:rPr>
          <w:rFonts w:ascii="宋体" w:hAnsi="宋体"/>
          <w:color w:val="auto"/>
          <w:sz w:val="28"/>
          <w:szCs w:val="28"/>
          <w:highlight w:val="none"/>
        </w:rPr>
      </w:pPr>
      <w:r>
        <w:rPr>
          <w:rFonts w:hint="eastAsia" w:ascii="宋体" w:hAnsi="宋体"/>
          <w:b/>
          <w:bCs/>
          <w:color w:val="auto"/>
          <w:sz w:val="28"/>
          <w:szCs w:val="28"/>
          <w:highlight w:val="none"/>
        </w:rPr>
        <w:t>五   开标和评标</w:t>
      </w:r>
    </w:p>
    <w:p>
      <w:pPr>
        <w:spacing w:line="460" w:lineRule="exact"/>
        <w:rPr>
          <w:rFonts w:ascii="宋体" w:hAnsi="宋体"/>
          <w:b/>
          <w:bCs/>
          <w:color w:val="auto"/>
          <w:szCs w:val="21"/>
          <w:highlight w:val="none"/>
        </w:rPr>
      </w:pPr>
      <w:r>
        <w:rPr>
          <w:rFonts w:hint="eastAsia" w:ascii="宋体" w:hAnsi="宋体"/>
          <w:bCs/>
          <w:color w:val="auto"/>
          <w:szCs w:val="21"/>
          <w:highlight w:val="none"/>
        </w:rPr>
        <w:t xml:space="preserve">1．  评标委员会 </w:t>
      </w:r>
    </w:p>
    <w:p>
      <w:pPr>
        <w:spacing w:line="460" w:lineRule="exact"/>
        <w:ind w:left="531" w:leftChars="3" w:hanging="525" w:hangingChars="250"/>
        <w:rPr>
          <w:rFonts w:ascii="宋体" w:hAnsi="宋体"/>
          <w:bCs/>
          <w:color w:val="auto"/>
          <w:szCs w:val="21"/>
          <w:highlight w:val="none"/>
        </w:rPr>
      </w:pPr>
      <w:r>
        <w:rPr>
          <w:rFonts w:hint="eastAsia" w:ascii="宋体" w:hAnsi="宋体"/>
          <w:bCs/>
          <w:color w:val="auto"/>
          <w:szCs w:val="21"/>
          <w:highlight w:val="none"/>
        </w:rPr>
        <w:t>1.1  招标人依法组建评标委员会。评标委员会的成员在评标过程中必须严格遵守《政府采购法》等有关法律、法规的规定。</w:t>
      </w:r>
    </w:p>
    <w:p>
      <w:pPr>
        <w:spacing w:line="460" w:lineRule="exact"/>
        <w:rPr>
          <w:rFonts w:ascii="宋体" w:hAnsi="宋体"/>
          <w:bCs/>
          <w:color w:val="auto"/>
          <w:szCs w:val="21"/>
          <w:highlight w:val="none"/>
        </w:rPr>
      </w:pPr>
      <w:r>
        <w:rPr>
          <w:rFonts w:hint="eastAsia" w:ascii="宋体" w:hAnsi="宋体"/>
          <w:bCs/>
          <w:color w:val="auto"/>
          <w:szCs w:val="21"/>
          <w:highlight w:val="none"/>
        </w:rPr>
        <w:t>2．  评标过程的保密性</w:t>
      </w:r>
    </w:p>
    <w:p>
      <w:pPr>
        <w:spacing w:line="460" w:lineRule="exact"/>
        <w:ind w:left="525" w:hanging="525" w:hangingChars="250"/>
        <w:rPr>
          <w:rFonts w:ascii="宋体" w:hAnsi="宋体"/>
          <w:bCs/>
          <w:color w:val="auto"/>
          <w:szCs w:val="21"/>
          <w:highlight w:val="none"/>
        </w:rPr>
      </w:pPr>
      <w:r>
        <w:rPr>
          <w:rFonts w:hint="eastAsia" w:ascii="宋体" w:hAnsi="宋体"/>
          <w:bCs/>
          <w:color w:val="auto"/>
          <w:szCs w:val="21"/>
          <w:highlight w:val="none"/>
        </w:rPr>
        <w:t xml:space="preserve">2.1  </w:t>
      </w:r>
      <w:r>
        <w:rPr>
          <w:rFonts w:hint="eastAsia" w:ascii="宋体" w:hAnsi="宋体"/>
          <w:b/>
          <w:bCs/>
          <w:color w:val="auto"/>
          <w:szCs w:val="21"/>
          <w:highlight w:val="none"/>
        </w:rPr>
        <w:t>开标后直至向中标人授予合同时止，凡与评审有关的资料均不得向投标人及与评标无关人员透露。如果投标人在评标过程中试图向招标人和采购人施加影响，其投标将被拒绝。</w:t>
      </w:r>
    </w:p>
    <w:p>
      <w:pPr>
        <w:spacing w:line="440" w:lineRule="exact"/>
        <w:ind w:left="560" w:leftChars="4" w:hanging="552" w:hangingChars="250"/>
        <w:rPr>
          <w:rFonts w:ascii="宋体" w:hAnsi="宋体" w:cs="宋体"/>
          <w:b/>
          <w:bCs/>
          <w:color w:val="auto"/>
          <w:sz w:val="22"/>
          <w:szCs w:val="22"/>
          <w:highlight w:val="none"/>
        </w:rPr>
      </w:pPr>
      <w:bookmarkStart w:id="6" w:name="_Hlk34400113"/>
      <w:r>
        <w:rPr>
          <w:rFonts w:hint="eastAsia" w:ascii="宋体" w:hAnsi="宋体" w:cs="宋体"/>
          <w:b/>
          <w:bCs/>
          <w:color w:val="auto"/>
          <w:sz w:val="22"/>
          <w:szCs w:val="22"/>
          <w:highlight w:val="none"/>
        </w:rPr>
        <w:t>3.   评标前准备</w:t>
      </w:r>
    </w:p>
    <w:p>
      <w:pPr>
        <w:spacing w:line="440" w:lineRule="exact"/>
        <w:ind w:left="558" w:leftChars="4" w:hanging="550" w:hangingChars="250"/>
        <w:rPr>
          <w:rFonts w:ascii="宋体" w:hAnsi="宋体" w:cs="宋体"/>
          <w:bCs/>
          <w:color w:val="auto"/>
          <w:sz w:val="22"/>
          <w:szCs w:val="22"/>
          <w:highlight w:val="none"/>
        </w:rPr>
      </w:pPr>
      <w:r>
        <w:rPr>
          <w:rFonts w:ascii="宋体" w:hAnsi="宋体" w:cs="宋体"/>
          <w:bCs/>
          <w:color w:val="auto"/>
          <w:sz w:val="22"/>
          <w:szCs w:val="22"/>
          <w:highlight w:val="none"/>
        </w:rPr>
        <w:t xml:space="preserve">3.1  </w:t>
      </w:r>
      <w:r>
        <w:rPr>
          <w:rFonts w:hint="eastAsia" w:ascii="宋体" w:hAnsi="宋体" w:cs="宋体"/>
          <w:bCs/>
          <w:color w:val="auto"/>
          <w:sz w:val="22"/>
          <w:szCs w:val="22"/>
          <w:highlight w:val="none"/>
        </w:rPr>
        <w:t>投标文件签收及解密：由采购代理机构开始签收并开始解密投标文件。</w:t>
      </w:r>
    </w:p>
    <w:p>
      <w:pPr>
        <w:spacing w:line="440" w:lineRule="exact"/>
        <w:ind w:left="558" w:leftChars="4" w:hanging="550" w:hangingChars="250"/>
        <w:rPr>
          <w:rFonts w:ascii="宋体" w:hAnsi="宋体" w:cs="宋体"/>
          <w:bCs/>
          <w:color w:val="auto"/>
          <w:sz w:val="22"/>
          <w:szCs w:val="22"/>
          <w:highlight w:val="none"/>
        </w:rPr>
      </w:pPr>
      <w:r>
        <w:rPr>
          <w:rFonts w:hint="eastAsia" w:ascii="宋体" w:hAnsi="宋体" w:cs="宋体"/>
          <w:bCs/>
          <w:color w:val="auto"/>
          <w:sz w:val="22"/>
          <w:szCs w:val="22"/>
          <w:highlight w:val="none"/>
        </w:rPr>
        <w:t>3</w:t>
      </w:r>
      <w:r>
        <w:rPr>
          <w:rFonts w:ascii="宋体" w:hAnsi="宋体" w:cs="宋体"/>
          <w:bCs/>
          <w:color w:val="auto"/>
          <w:sz w:val="22"/>
          <w:szCs w:val="22"/>
          <w:highlight w:val="none"/>
        </w:rPr>
        <w:t xml:space="preserve">.2  </w:t>
      </w:r>
      <w:r>
        <w:rPr>
          <w:rFonts w:hint="eastAsia" w:ascii="宋体" w:hAnsi="宋体" w:cs="宋体"/>
          <w:bCs/>
          <w:color w:val="auto"/>
          <w:sz w:val="22"/>
          <w:szCs w:val="22"/>
          <w:highlight w:val="none"/>
        </w:rPr>
        <w:t>投标文件解密：投标文件递交截止时间后，投标人登录政采云平台，用“项目采购-开标评标”功能对电子投标文件进行在线解密。在线解密电子投标文件时间为开标时间起半个小时内。</w:t>
      </w:r>
      <w:r>
        <w:rPr>
          <w:rFonts w:ascii="宋体" w:hAnsi="宋体" w:cs="宋体"/>
          <w:bCs/>
          <w:color w:val="auto"/>
          <w:sz w:val="22"/>
          <w:szCs w:val="22"/>
          <w:highlight w:val="none"/>
        </w:rPr>
        <w:t>投标文件未按时解密，</w:t>
      </w:r>
      <w:r>
        <w:rPr>
          <w:rFonts w:hint="eastAsia" w:ascii="宋体" w:hAnsi="宋体" w:cs="宋体"/>
          <w:bCs/>
          <w:color w:val="auto"/>
          <w:sz w:val="22"/>
          <w:szCs w:val="22"/>
          <w:highlight w:val="none"/>
        </w:rPr>
        <w:t>投标人</w:t>
      </w:r>
      <w:r>
        <w:rPr>
          <w:rFonts w:ascii="宋体" w:hAnsi="宋体" w:cs="宋体"/>
          <w:bCs/>
          <w:color w:val="auto"/>
          <w:sz w:val="22"/>
          <w:szCs w:val="22"/>
          <w:highlight w:val="none"/>
        </w:rPr>
        <w:t>提供了备份投标文件的，以备份投标文件作为依据，否则视为投标文件撤回。投标文件已按时解密的，备份投标文件自动失效。</w:t>
      </w:r>
    </w:p>
    <w:p>
      <w:pPr>
        <w:spacing w:line="440" w:lineRule="exact"/>
        <w:ind w:left="558" w:leftChars="4" w:hanging="550" w:hangingChars="250"/>
        <w:rPr>
          <w:rFonts w:ascii="宋体" w:hAnsi="宋体" w:cs="宋体"/>
          <w:bCs/>
          <w:color w:val="auto"/>
          <w:sz w:val="22"/>
          <w:szCs w:val="22"/>
          <w:highlight w:val="none"/>
        </w:rPr>
      </w:pPr>
      <w:r>
        <w:rPr>
          <w:rFonts w:hint="eastAsia" w:ascii="宋体" w:hAnsi="宋体" w:cs="宋体"/>
          <w:bCs/>
          <w:color w:val="auto"/>
          <w:sz w:val="22"/>
          <w:szCs w:val="22"/>
          <w:highlight w:val="none"/>
        </w:rPr>
        <w:t>3</w:t>
      </w:r>
      <w:r>
        <w:rPr>
          <w:rFonts w:ascii="宋体" w:hAnsi="宋体" w:cs="宋体"/>
          <w:bCs/>
          <w:color w:val="auto"/>
          <w:sz w:val="22"/>
          <w:szCs w:val="22"/>
          <w:highlight w:val="none"/>
        </w:rPr>
        <w:t xml:space="preserve">.3  </w:t>
      </w:r>
      <w:r>
        <w:rPr>
          <w:rFonts w:hint="eastAsia" w:ascii="宋体" w:hAnsi="宋体" w:cs="宋体"/>
          <w:bCs/>
          <w:color w:val="auto"/>
          <w:sz w:val="22"/>
          <w:szCs w:val="22"/>
          <w:highlight w:val="none"/>
        </w:rPr>
        <w:t>投标文件解密结束。投标人在线解密投标文件完毕后，由采购代理机构结束解密投标文件。</w:t>
      </w:r>
    </w:p>
    <w:bookmarkEnd w:id="6"/>
    <w:p>
      <w:pPr>
        <w:spacing w:line="440" w:lineRule="exact"/>
        <w:ind w:left="560" w:leftChars="4" w:hanging="552" w:hangingChars="250"/>
        <w:rPr>
          <w:rFonts w:ascii="宋体" w:hAnsi="宋体" w:cs="宋体"/>
          <w:b/>
          <w:color w:val="auto"/>
          <w:sz w:val="22"/>
          <w:szCs w:val="22"/>
          <w:highlight w:val="none"/>
        </w:rPr>
      </w:pPr>
      <w:r>
        <w:rPr>
          <w:rFonts w:ascii="宋体" w:hAnsi="宋体" w:cs="宋体"/>
          <w:b/>
          <w:color w:val="auto"/>
          <w:sz w:val="22"/>
          <w:szCs w:val="22"/>
          <w:highlight w:val="none"/>
        </w:rPr>
        <w:t xml:space="preserve">4.   </w:t>
      </w:r>
      <w:r>
        <w:rPr>
          <w:rFonts w:hint="eastAsia" w:ascii="宋体" w:hAnsi="宋体" w:cs="宋体"/>
          <w:b/>
          <w:color w:val="auto"/>
          <w:sz w:val="22"/>
          <w:szCs w:val="22"/>
          <w:highlight w:val="none"/>
        </w:rPr>
        <w:t>开标评标</w:t>
      </w:r>
    </w:p>
    <w:p>
      <w:pPr>
        <w:spacing w:line="440" w:lineRule="exact"/>
        <w:ind w:left="558" w:leftChars="4" w:hanging="550" w:hangingChars="250"/>
        <w:rPr>
          <w:rFonts w:ascii="宋体" w:hAnsi="宋体" w:cs="宋体"/>
          <w:bCs/>
          <w:color w:val="auto"/>
          <w:sz w:val="22"/>
          <w:szCs w:val="22"/>
          <w:highlight w:val="none"/>
        </w:rPr>
      </w:pPr>
      <w:r>
        <w:rPr>
          <w:rFonts w:ascii="宋体" w:hAnsi="宋体" w:cs="宋体"/>
          <w:bCs/>
          <w:color w:val="auto"/>
          <w:sz w:val="22"/>
          <w:szCs w:val="22"/>
          <w:highlight w:val="none"/>
        </w:rPr>
        <w:t>4.1</w:t>
      </w:r>
      <w:r>
        <w:rPr>
          <w:rFonts w:hint="eastAsia" w:ascii="宋体" w:hAnsi="宋体" w:cs="宋体"/>
          <w:bCs/>
          <w:color w:val="auto"/>
          <w:sz w:val="22"/>
          <w:szCs w:val="22"/>
          <w:highlight w:val="none"/>
        </w:rPr>
        <w:t xml:space="preserve">  资格性审查</w:t>
      </w:r>
    </w:p>
    <w:p>
      <w:pPr>
        <w:spacing w:line="440" w:lineRule="exact"/>
        <w:ind w:left="533" w:leftChars="254"/>
        <w:rPr>
          <w:rFonts w:ascii="宋体" w:hAnsi="宋体" w:cs="宋体"/>
          <w:bCs/>
          <w:color w:val="auto"/>
          <w:sz w:val="22"/>
          <w:szCs w:val="22"/>
          <w:highlight w:val="none"/>
        </w:rPr>
      </w:pPr>
      <w:bookmarkStart w:id="7" w:name="_Hlk34400314"/>
      <w:r>
        <w:rPr>
          <w:rFonts w:hint="eastAsia" w:ascii="宋体" w:hAnsi="宋体" w:cs="宋体"/>
          <w:bCs/>
          <w:color w:val="auto"/>
          <w:sz w:val="22"/>
          <w:szCs w:val="22"/>
          <w:highlight w:val="none"/>
        </w:rPr>
        <w:t>采购人或采购代理机构依据法律、法规和招标文件的规定，对各投标文件中的资格证明在线进行审查，以确定是否具备投标资格。</w:t>
      </w:r>
      <w:bookmarkEnd w:id="7"/>
      <w:r>
        <w:rPr>
          <w:rFonts w:hint="eastAsia" w:ascii="宋体" w:hAnsi="宋体" w:cs="宋体"/>
          <w:b/>
          <w:color w:val="auto"/>
          <w:sz w:val="22"/>
          <w:szCs w:val="22"/>
          <w:highlight w:val="none"/>
        </w:rPr>
        <w:t>▲</w:t>
      </w:r>
      <w:r>
        <w:rPr>
          <w:rFonts w:hint="eastAsia" w:ascii="宋体" w:hAnsi="宋体" w:cs="宋体"/>
          <w:bCs/>
          <w:color w:val="auto"/>
          <w:sz w:val="22"/>
          <w:szCs w:val="22"/>
          <w:highlight w:val="none"/>
          <w:u w:val="single"/>
        </w:rPr>
        <w:t>只要有一项审查不合格，则该投标人的资格审查不合格，审查不合格的投标文件将不予评审。</w:t>
      </w:r>
    </w:p>
    <w:p>
      <w:pPr>
        <w:spacing w:line="440" w:lineRule="exact"/>
        <w:ind w:left="558" w:leftChars="4" w:hanging="550" w:hangingChars="250"/>
        <w:rPr>
          <w:rFonts w:ascii="宋体" w:hAnsi="宋体" w:cs="宋体"/>
          <w:bCs/>
          <w:color w:val="auto"/>
          <w:sz w:val="22"/>
          <w:szCs w:val="22"/>
          <w:highlight w:val="none"/>
        </w:rPr>
      </w:pPr>
      <w:r>
        <w:rPr>
          <w:rFonts w:ascii="宋体" w:hAnsi="宋体" w:cs="宋体"/>
          <w:bCs/>
          <w:color w:val="auto"/>
          <w:sz w:val="22"/>
          <w:szCs w:val="22"/>
          <w:highlight w:val="none"/>
        </w:rPr>
        <w:t>4.2</w:t>
      </w:r>
      <w:r>
        <w:rPr>
          <w:rFonts w:hint="eastAsia" w:ascii="宋体" w:hAnsi="宋体" w:cs="宋体"/>
          <w:bCs/>
          <w:color w:val="auto"/>
          <w:sz w:val="22"/>
          <w:szCs w:val="22"/>
          <w:highlight w:val="none"/>
        </w:rPr>
        <w:t xml:space="preserve">  符合性审查</w:t>
      </w:r>
    </w:p>
    <w:p>
      <w:pPr>
        <w:spacing w:line="440" w:lineRule="exact"/>
        <w:ind w:left="525" w:leftChars="250"/>
        <w:rPr>
          <w:rFonts w:ascii="宋体" w:hAnsi="宋体" w:cs="宋体"/>
          <w:bCs/>
          <w:color w:val="auto"/>
          <w:sz w:val="22"/>
          <w:szCs w:val="22"/>
          <w:highlight w:val="none"/>
        </w:rPr>
      </w:pPr>
      <w:r>
        <w:rPr>
          <w:rFonts w:hint="eastAsia" w:ascii="宋体" w:hAnsi="宋体" w:cs="宋体"/>
          <w:bCs/>
          <w:color w:val="auto"/>
          <w:sz w:val="22"/>
          <w:szCs w:val="22"/>
          <w:highlight w:val="none"/>
        </w:rPr>
        <w:t>评标委员会依据法律、法规和招标文件的规定，对投标文件的有效性、完整性和对招标文件的响应程度进行审查，以确定是否符合招标文件的商务、技术等实质性要求。</w:t>
      </w:r>
      <w:r>
        <w:rPr>
          <w:rFonts w:hint="eastAsia" w:ascii="宋体" w:hAnsi="宋体" w:cs="宋体"/>
          <w:b/>
          <w:color w:val="auto"/>
          <w:sz w:val="22"/>
          <w:szCs w:val="22"/>
          <w:highlight w:val="none"/>
          <w:u w:val="single"/>
        </w:rPr>
        <w:t>评标委员会决定投标的响应性只根据投标文件本身的内容，而不寻求外部的证据。</w:t>
      </w:r>
    </w:p>
    <w:p>
      <w:pPr>
        <w:spacing w:line="440" w:lineRule="exact"/>
        <w:ind w:left="539" w:hanging="539" w:hangingChars="245"/>
        <w:rPr>
          <w:rFonts w:ascii="宋体" w:hAnsi="宋体" w:cs="宋体"/>
          <w:bCs/>
          <w:color w:val="auto"/>
          <w:sz w:val="22"/>
          <w:szCs w:val="22"/>
          <w:highlight w:val="none"/>
        </w:rPr>
      </w:pPr>
      <w:r>
        <w:rPr>
          <w:rFonts w:hint="eastAsia" w:ascii="宋体" w:hAnsi="宋体" w:cs="宋体"/>
          <w:bCs/>
          <w:color w:val="auto"/>
          <w:sz w:val="22"/>
          <w:szCs w:val="22"/>
          <w:highlight w:val="none"/>
        </w:rPr>
        <w:t>4</w:t>
      </w:r>
      <w:r>
        <w:rPr>
          <w:rFonts w:ascii="宋体" w:hAnsi="宋体" w:cs="宋体"/>
          <w:bCs/>
          <w:color w:val="auto"/>
          <w:sz w:val="22"/>
          <w:szCs w:val="22"/>
          <w:highlight w:val="none"/>
        </w:rPr>
        <w:t xml:space="preserve">.3  </w:t>
      </w:r>
      <w:r>
        <w:rPr>
          <w:rFonts w:hint="eastAsia" w:ascii="宋体" w:hAnsi="宋体" w:cs="宋体"/>
          <w:bCs/>
          <w:color w:val="auto"/>
          <w:sz w:val="22"/>
          <w:szCs w:val="22"/>
          <w:highlight w:val="none"/>
        </w:rPr>
        <w:t>投标文件评审</w:t>
      </w:r>
    </w:p>
    <w:p>
      <w:pPr>
        <w:spacing w:line="440" w:lineRule="exact"/>
        <w:ind w:left="550" w:hanging="550" w:hangingChars="250"/>
        <w:rPr>
          <w:rFonts w:ascii="宋体" w:hAnsi="宋体" w:cs="宋体"/>
          <w:bCs/>
          <w:color w:val="auto"/>
          <w:sz w:val="22"/>
          <w:szCs w:val="22"/>
          <w:highlight w:val="none"/>
        </w:rPr>
      </w:pPr>
      <w:r>
        <w:rPr>
          <w:rFonts w:hint="eastAsia" w:ascii="宋体" w:hAnsi="宋体" w:cs="宋体"/>
          <w:bCs/>
          <w:color w:val="auto"/>
          <w:sz w:val="22"/>
          <w:szCs w:val="22"/>
          <w:highlight w:val="none"/>
        </w:rPr>
        <w:t xml:space="preserve">     评标委员会根据招标文件中规定的评标方法和标准，对符合性审查合格的投标文件进行商务、技术和价格评估，综合比较与评价，并</w:t>
      </w:r>
      <w:r>
        <w:rPr>
          <w:rFonts w:hint="eastAsia" w:ascii="宋体" w:hAnsi="宋体" w:cs="宋体"/>
          <w:color w:val="auto"/>
          <w:sz w:val="22"/>
          <w:szCs w:val="22"/>
          <w:highlight w:val="none"/>
        </w:rPr>
        <w:t>按照招标文件中制订的评标方法进行综合评定打分，并提交评审报告。</w:t>
      </w:r>
    </w:p>
    <w:p>
      <w:pPr>
        <w:spacing w:line="360" w:lineRule="auto"/>
        <w:ind w:left="632" w:hanging="632" w:hangingChars="300"/>
        <w:rPr>
          <w:rFonts w:ascii="宋体" w:hAnsi="宋体"/>
          <w:bCs/>
          <w:color w:val="auto"/>
          <w:szCs w:val="21"/>
          <w:highlight w:val="none"/>
        </w:rPr>
      </w:pPr>
      <w:r>
        <w:rPr>
          <w:rFonts w:hint="eastAsia" w:ascii="宋体" w:hAnsi="宋体"/>
          <w:b/>
          <w:bCs/>
          <w:color w:val="auto"/>
          <w:szCs w:val="21"/>
          <w:highlight w:val="none"/>
        </w:rPr>
        <w:t xml:space="preserve">5    </w:t>
      </w:r>
      <w:r>
        <w:rPr>
          <w:rFonts w:hint="eastAsia" w:ascii="宋体" w:hAnsi="宋体"/>
          <w:bCs/>
          <w:color w:val="auto"/>
          <w:szCs w:val="21"/>
          <w:highlight w:val="none"/>
        </w:rPr>
        <w:t>▲</w:t>
      </w:r>
      <w:r>
        <w:rPr>
          <w:rFonts w:hint="eastAsia" w:ascii="宋体" w:hAnsi="宋体"/>
          <w:b/>
          <w:bCs/>
          <w:color w:val="auto"/>
          <w:szCs w:val="21"/>
          <w:highlight w:val="none"/>
        </w:rPr>
        <w:t>在对各投标人的投标文件进行综合评审时，投标文件有下列情况之一的，经评标委员会认定后按无效标处理：</w:t>
      </w:r>
    </w:p>
    <w:p>
      <w:pPr>
        <w:widowControl/>
        <w:spacing w:line="360" w:lineRule="auto"/>
        <w:ind w:firstLine="103" w:firstLineChars="49"/>
        <w:jc w:val="left"/>
        <w:rPr>
          <w:rFonts w:ascii="宋体" w:hAnsi="宋体"/>
          <w:b/>
          <w:bCs/>
          <w:color w:val="auto"/>
          <w:szCs w:val="21"/>
          <w:highlight w:val="none"/>
        </w:rPr>
      </w:pPr>
      <w:r>
        <w:rPr>
          <w:rFonts w:ascii="宋体" w:hAnsi="宋体"/>
          <w:b/>
          <w:bCs/>
          <w:color w:val="auto"/>
          <w:szCs w:val="21"/>
          <w:highlight w:val="none"/>
        </w:rPr>
        <w:t>（1）投标文件未按</w:t>
      </w:r>
      <w:r>
        <w:rPr>
          <w:rFonts w:hint="eastAsia" w:ascii="宋体" w:hAnsi="宋体"/>
          <w:b/>
          <w:bCs/>
          <w:color w:val="auto"/>
          <w:szCs w:val="21"/>
          <w:highlight w:val="none"/>
        </w:rPr>
        <w:t>采购</w:t>
      </w:r>
      <w:r>
        <w:rPr>
          <w:rFonts w:ascii="宋体" w:hAnsi="宋体"/>
          <w:b/>
          <w:bCs/>
          <w:color w:val="auto"/>
          <w:szCs w:val="21"/>
          <w:highlight w:val="none"/>
        </w:rPr>
        <w:t>文件要求加盖单位公章的；</w:t>
      </w:r>
    </w:p>
    <w:p>
      <w:pPr>
        <w:widowControl/>
        <w:spacing w:line="360" w:lineRule="auto"/>
        <w:ind w:firstLine="103" w:firstLineChars="49"/>
        <w:jc w:val="left"/>
        <w:rPr>
          <w:rFonts w:ascii="宋体" w:hAnsi="宋体"/>
          <w:b/>
          <w:bCs/>
          <w:color w:val="auto"/>
          <w:szCs w:val="21"/>
          <w:highlight w:val="none"/>
        </w:rPr>
      </w:pPr>
      <w:r>
        <w:rPr>
          <w:rFonts w:ascii="宋体" w:hAnsi="宋体"/>
          <w:b/>
          <w:bCs/>
          <w:color w:val="auto"/>
          <w:szCs w:val="21"/>
          <w:highlight w:val="none"/>
        </w:rPr>
        <w:t>（2）无法定代表人签字（盖章）或其授权代表签字（盖章）的；</w:t>
      </w:r>
    </w:p>
    <w:p>
      <w:pPr>
        <w:widowControl/>
        <w:spacing w:line="360" w:lineRule="auto"/>
        <w:ind w:firstLine="103" w:firstLineChars="49"/>
        <w:jc w:val="left"/>
        <w:rPr>
          <w:rFonts w:ascii="宋体" w:hAnsi="宋体"/>
          <w:b/>
          <w:bCs/>
          <w:color w:val="auto"/>
          <w:szCs w:val="21"/>
          <w:highlight w:val="none"/>
        </w:rPr>
      </w:pPr>
      <w:r>
        <w:rPr>
          <w:rFonts w:ascii="宋体" w:hAnsi="宋体"/>
          <w:b/>
          <w:bCs/>
          <w:color w:val="auto"/>
          <w:szCs w:val="21"/>
          <w:highlight w:val="none"/>
        </w:rPr>
        <w:t>（3）明显不符合</w:t>
      </w:r>
      <w:r>
        <w:rPr>
          <w:rFonts w:hint="eastAsia" w:ascii="宋体" w:hAnsi="宋体"/>
          <w:b/>
          <w:bCs/>
          <w:color w:val="auto"/>
          <w:szCs w:val="21"/>
          <w:highlight w:val="none"/>
        </w:rPr>
        <w:t>采购</w:t>
      </w:r>
      <w:r>
        <w:rPr>
          <w:rFonts w:ascii="宋体" w:hAnsi="宋体"/>
          <w:b/>
          <w:bCs/>
          <w:color w:val="auto"/>
          <w:szCs w:val="21"/>
          <w:highlight w:val="none"/>
        </w:rPr>
        <w:t>文件中主要技术规格、技术标准的；</w:t>
      </w:r>
    </w:p>
    <w:p>
      <w:pPr>
        <w:widowControl/>
        <w:spacing w:line="360" w:lineRule="auto"/>
        <w:ind w:firstLine="103" w:firstLineChars="49"/>
        <w:jc w:val="left"/>
        <w:rPr>
          <w:rFonts w:ascii="宋体" w:hAnsi="宋体"/>
          <w:b/>
          <w:bCs/>
          <w:color w:val="auto"/>
          <w:szCs w:val="21"/>
          <w:highlight w:val="none"/>
        </w:rPr>
      </w:pPr>
      <w:r>
        <w:rPr>
          <w:rFonts w:ascii="宋体" w:hAnsi="宋体"/>
          <w:b/>
          <w:bCs/>
          <w:color w:val="auto"/>
          <w:szCs w:val="21"/>
          <w:highlight w:val="none"/>
        </w:rPr>
        <w:t>（4）投标文件内容不全或关键字迹模糊无法辨认的；</w:t>
      </w:r>
    </w:p>
    <w:p>
      <w:pPr>
        <w:widowControl/>
        <w:spacing w:line="360" w:lineRule="auto"/>
        <w:ind w:firstLine="103" w:firstLineChars="49"/>
        <w:jc w:val="left"/>
        <w:rPr>
          <w:rFonts w:ascii="宋体" w:hAnsi="宋体"/>
          <w:b/>
          <w:bCs/>
          <w:color w:val="auto"/>
          <w:szCs w:val="21"/>
          <w:highlight w:val="none"/>
        </w:rPr>
      </w:pPr>
      <w:r>
        <w:rPr>
          <w:rFonts w:ascii="宋体" w:hAnsi="宋体"/>
          <w:b/>
          <w:bCs/>
          <w:color w:val="auto"/>
          <w:szCs w:val="21"/>
          <w:highlight w:val="none"/>
        </w:rPr>
        <w:t>（5）在“技术资信”标中出现投标报价的；</w:t>
      </w:r>
    </w:p>
    <w:p>
      <w:pPr>
        <w:widowControl/>
        <w:spacing w:line="360" w:lineRule="auto"/>
        <w:ind w:firstLine="103" w:firstLineChars="49"/>
        <w:jc w:val="left"/>
        <w:rPr>
          <w:rFonts w:ascii="宋体" w:hAnsi="宋体"/>
          <w:b/>
          <w:bCs/>
          <w:color w:val="auto"/>
          <w:szCs w:val="21"/>
          <w:highlight w:val="none"/>
        </w:rPr>
      </w:pPr>
      <w:r>
        <w:rPr>
          <w:rFonts w:ascii="宋体" w:hAnsi="宋体"/>
          <w:b/>
          <w:bCs/>
          <w:color w:val="auto"/>
          <w:szCs w:val="21"/>
          <w:highlight w:val="none"/>
        </w:rPr>
        <w:t>（6）投标文件附有采购人不能接受的条件；</w:t>
      </w:r>
    </w:p>
    <w:p>
      <w:pPr>
        <w:widowControl/>
        <w:spacing w:line="360" w:lineRule="auto"/>
        <w:ind w:firstLine="103" w:firstLineChars="49"/>
        <w:jc w:val="left"/>
        <w:rPr>
          <w:rFonts w:ascii="宋体" w:hAnsi="宋体"/>
          <w:b/>
          <w:bCs/>
          <w:color w:val="auto"/>
          <w:szCs w:val="21"/>
          <w:highlight w:val="none"/>
        </w:rPr>
      </w:pPr>
      <w:r>
        <w:rPr>
          <w:rFonts w:ascii="宋体" w:hAnsi="宋体"/>
          <w:b/>
          <w:bCs/>
          <w:color w:val="auto"/>
          <w:szCs w:val="21"/>
          <w:highlight w:val="none"/>
        </w:rPr>
        <w:t>（7）授权代表没有法定代表人合法、有效委托的；</w:t>
      </w:r>
    </w:p>
    <w:p>
      <w:pPr>
        <w:spacing w:line="360" w:lineRule="auto"/>
        <w:ind w:firstLine="103" w:firstLineChars="49"/>
        <w:rPr>
          <w:rFonts w:ascii="宋体" w:hAnsi="宋体"/>
          <w:b/>
          <w:bCs/>
          <w:color w:val="auto"/>
          <w:szCs w:val="21"/>
          <w:highlight w:val="none"/>
        </w:rPr>
      </w:pPr>
      <w:r>
        <w:rPr>
          <w:rFonts w:hint="eastAsia" w:ascii="宋体" w:hAnsi="宋体"/>
          <w:b/>
          <w:bCs/>
          <w:color w:val="auto"/>
          <w:szCs w:val="21"/>
          <w:highlight w:val="none"/>
        </w:rPr>
        <w:t>（8）仅提交备份投标文件的；</w:t>
      </w:r>
    </w:p>
    <w:p>
      <w:pPr>
        <w:spacing w:line="360" w:lineRule="auto"/>
        <w:ind w:firstLine="103" w:firstLineChars="49"/>
        <w:rPr>
          <w:rFonts w:ascii="宋体" w:hAnsi="宋体"/>
          <w:b/>
          <w:bCs/>
          <w:color w:val="auto"/>
          <w:szCs w:val="21"/>
          <w:highlight w:val="none"/>
        </w:rPr>
      </w:pPr>
      <w:r>
        <w:rPr>
          <w:rFonts w:ascii="宋体" w:hAnsi="宋体"/>
          <w:b/>
          <w:bCs/>
          <w:color w:val="auto"/>
          <w:szCs w:val="21"/>
          <w:highlight w:val="none"/>
        </w:rPr>
        <w:t>（</w:t>
      </w:r>
      <w:r>
        <w:rPr>
          <w:rFonts w:hint="eastAsia" w:ascii="宋体" w:hAnsi="宋体"/>
          <w:b/>
          <w:bCs/>
          <w:color w:val="auto"/>
          <w:szCs w:val="21"/>
          <w:highlight w:val="none"/>
        </w:rPr>
        <w:t>9</w:t>
      </w:r>
      <w:r>
        <w:rPr>
          <w:rFonts w:ascii="宋体" w:hAnsi="宋体"/>
          <w:b/>
          <w:bCs/>
          <w:color w:val="auto"/>
          <w:szCs w:val="21"/>
          <w:highlight w:val="none"/>
        </w:rPr>
        <w:t>）评标委员会认定不符合法律、法规和</w:t>
      </w:r>
      <w:r>
        <w:rPr>
          <w:rFonts w:hint="eastAsia" w:ascii="宋体" w:hAnsi="宋体"/>
          <w:b/>
          <w:bCs/>
          <w:color w:val="auto"/>
          <w:szCs w:val="21"/>
          <w:highlight w:val="none"/>
        </w:rPr>
        <w:t>采购</w:t>
      </w:r>
      <w:r>
        <w:rPr>
          <w:rFonts w:ascii="宋体" w:hAnsi="宋体"/>
          <w:b/>
          <w:bCs/>
          <w:color w:val="auto"/>
          <w:szCs w:val="21"/>
          <w:highlight w:val="none"/>
        </w:rPr>
        <w:t>文件中规定的其他实质性要求的。</w:t>
      </w:r>
    </w:p>
    <w:p>
      <w:pPr>
        <w:spacing w:line="360" w:lineRule="auto"/>
        <w:ind w:firstLine="103" w:firstLineChars="49"/>
        <w:rPr>
          <w:rFonts w:ascii="宋体" w:hAnsi="宋体"/>
          <w:b/>
          <w:bCs/>
          <w:color w:val="auto"/>
          <w:szCs w:val="21"/>
          <w:highlight w:val="none"/>
        </w:rPr>
      </w:pPr>
      <w:r>
        <w:rPr>
          <w:rFonts w:ascii="宋体" w:hAnsi="宋体"/>
          <w:b/>
          <w:bCs/>
          <w:color w:val="auto"/>
          <w:szCs w:val="21"/>
          <w:highlight w:val="none"/>
        </w:rPr>
        <w:t>（</w:t>
      </w:r>
      <w:r>
        <w:rPr>
          <w:rFonts w:hint="eastAsia" w:ascii="宋体" w:hAnsi="宋体"/>
          <w:b/>
          <w:bCs/>
          <w:color w:val="auto"/>
          <w:szCs w:val="21"/>
          <w:highlight w:val="none"/>
        </w:rPr>
        <w:t>10</w:t>
      </w:r>
      <w:r>
        <w:rPr>
          <w:rFonts w:ascii="宋体" w:hAnsi="宋体"/>
          <w:b/>
          <w:bCs/>
          <w:color w:val="auto"/>
          <w:szCs w:val="21"/>
          <w:highlight w:val="none"/>
        </w:rPr>
        <w:t>）</w:t>
      </w:r>
      <w:r>
        <w:rPr>
          <w:rFonts w:hint="eastAsia" w:ascii="宋体" w:hAnsi="宋体"/>
          <w:b/>
          <w:bCs/>
          <w:color w:val="auto"/>
          <w:szCs w:val="21"/>
          <w:highlight w:val="none"/>
        </w:rPr>
        <w:t>单位负责人为同一人或者存在直接控股、管理关系的不同供应商，不得参加同一合同项下的政府采购活动。违反该款规定的，相关投标均无效。</w:t>
      </w:r>
    </w:p>
    <w:p>
      <w:pPr>
        <w:spacing w:line="360" w:lineRule="auto"/>
        <w:ind w:firstLine="314" w:firstLineChars="149"/>
        <w:rPr>
          <w:rFonts w:ascii="宋体" w:hAnsi="宋体"/>
          <w:b/>
          <w:bCs/>
          <w:color w:val="auto"/>
          <w:szCs w:val="21"/>
          <w:highlight w:val="none"/>
        </w:rPr>
      </w:pPr>
      <w:r>
        <w:rPr>
          <w:rFonts w:hint="eastAsia" w:ascii="新宋体" w:hAnsi="新宋体" w:eastAsia="新宋体"/>
          <w:b/>
          <w:color w:val="auto"/>
          <w:szCs w:val="21"/>
          <w:highlight w:val="none"/>
        </w:rPr>
        <w:t>(11)在参加本项目政府采购活动前三年内有重大违法记录或在“信用中国”中有不良记录或“政府采购严重违法失信行为信息记录”中有不良记录的；</w:t>
      </w:r>
    </w:p>
    <w:p>
      <w:pPr>
        <w:spacing w:line="360" w:lineRule="auto"/>
        <w:ind w:firstLine="102" w:firstLineChars="49"/>
        <w:rPr>
          <w:rFonts w:ascii="新宋体" w:hAnsi="新宋体" w:eastAsia="新宋体"/>
          <w:b/>
          <w:color w:val="auto"/>
          <w:szCs w:val="21"/>
          <w:highlight w:val="none"/>
          <w:u w:val="single"/>
        </w:rPr>
      </w:pPr>
      <w:r>
        <w:rPr>
          <w:rFonts w:hint="eastAsia" w:ascii="宋体" w:hAnsi="宋体"/>
          <w:bCs/>
          <w:color w:val="auto"/>
          <w:szCs w:val="21"/>
          <w:highlight w:val="none"/>
        </w:rPr>
        <w:t xml:space="preserve">3.4   </w:t>
      </w:r>
      <w:r>
        <w:rPr>
          <w:rFonts w:hint="eastAsia" w:ascii="新宋体" w:hAnsi="新宋体" w:eastAsia="新宋体"/>
          <w:b/>
          <w:color w:val="auto"/>
          <w:szCs w:val="21"/>
          <w:highlight w:val="none"/>
          <w:u w:val="single"/>
        </w:rPr>
        <w:t>投标文件商务报价出现前后不一致的，按照下列规定修正：</w:t>
      </w:r>
    </w:p>
    <w:p>
      <w:pPr>
        <w:spacing w:line="460" w:lineRule="exact"/>
        <w:rPr>
          <w:rFonts w:ascii="新宋体" w:hAnsi="新宋体" w:eastAsia="新宋体"/>
          <w:b/>
          <w:color w:val="auto"/>
          <w:szCs w:val="21"/>
          <w:highlight w:val="none"/>
          <w:u w:val="single"/>
        </w:rPr>
      </w:pPr>
      <w:r>
        <w:rPr>
          <w:rFonts w:hint="eastAsia" w:ascii="新宋体" w:hAnsi="新宋体" w:eastAsia="新宋体"/>
          <w:b/>
          <w:color w:val="auto"/>
          <w:szCs w:val="21"/>
          <w:highlight w:val="none"/>
        </w:rPr>
        <w:t>（</w:t>
      </w:r>
      <w:r>
        <w:rPr>
          <w:rFonts w:ascii="新宋体" w:hAnsi="新宋体" w:eastAsia="新宋体"/>
          <w:b/>
          <w:color w:val="auto"/>
          <w:szCs w:val="21"/>
          <w:highlight w:val="none"/>
        </w:rPr>
        <w:t>1）</w:t>
      </w:r>
      <w:r>
        <w:rPr>
          <w:rFonts w:ascii="新宋体" w:hAnsi="新宋体" w:eastAsia="新宋体"/>
          <w:b/>
          <w:color w:val="auto"/>
          <w:szCs w:val="21"/>
          <w:highlight w:val="none"/>
          <w:u w:val="single"/>
        </w:rPr>
        <w:t>投标文件中开标一览表内容与</w:t>
      </w:r>
      <w:r>
        <w:rPr>
          <w:rFonts w:hint="eastAsia" w:ascii="新宋体" w:hAnsi="新宋体" w:eastAsia="新宋体"/>
          <w:b/>
          <w:color w:val="auto"/>
          <w:szCs w:val="21"/>
          <w:highlight w:val="none"/>
          <w:u w:val="single"/>
        </w:rPr>
        <w:t>分项报价表</w:t>
      </w:r>
      <w:r>
        <w:rPr>
          <w:rFonts w:ascii="新宋体" w:hAnsi="新宋体" w:eastAsia="新宋体"/>
          <w:b/>
          <w:color w:val="auto"/>
          <w:szCs w:val="21"/>
          <w:highlight w:val="none"/>
          <w:u w:val="single"/>
        </w:rPr>
        <w:t>内容不一致的，以开标一览表为准</w:t>
      </w:r>
      <w:r>
        <w:rPr>
          <w:rFonts w:hint="eastAsia" w:ascii="新宋体" w:hAnsi="新宋体" w:eastAsia="新宋体"/>
          <w:b/>
          <w:color w:val="auto"/>
          <w:szCs w:val="21"/>
          <w:highlight w:val="none"/>
          <w:u w:val="single"/>
        </w:rPr>
        <w:t>；</w:t>
      </w:r>
    </w:p>
    <w:p>
      <w:pPr>
        <w:spacing w:line="460" w:lineRule="exact"/>
        <w:rPr>
          <w:rFonts w:ascii="新宋体" w:hAnsi="新宋体" w:eastAsia="新宋体"/>
          <w:b/>
          <w:color w:val="auto"/>
          <w:szCs w:val="21"/>
          <w:highlight w:val="none"/>
          <w:u w:val="single"/>
        </w:rPr>
      </w:pPr>
      <w:r>
        <w:rPr>
          <w:rFonts w:hint="eastAsia" w:ascii="新宋体" w:hAnsi="新宋体" w:eastAsia="新宋体"/>
          <w:b/>
          <w:color w:val="auto"/>
          <w:szCs w:val="21"/>
          <w:highlight w:val="none"/>
        </w:rPr>
        <w:t>（</w:t>
      </w:r>
      <w:r>
        <w:rPr>
          <w:rFonts w:ascii="新宋体" w:hAnsi="新宋体" w:eastAsia="新宋体"/>
          <w:b/>
          <w:color w:val="auto"/>
          <w:szCs w:val="21"/>
          <w:highlight w:val="none"/>
        </w:rPr>
        <w:t>2）</w:t>
      </w:r>
      <w:r>
        <w:rPr>
          <w:rFonts w:ascii="新宋体" w:hAnsi="新宋体" w:eastAsia="新宋体"/>
          <w:b/>
          <w:color w:val="auto"/>
          <w:szCs w:val="21"/>
          <w:highlight w:val="none"/>
          <w:u w:val="single"/>
        </w:rPr>
        <w:t>大写金额和小写金额不一致的，以大写金额为准</w:t>
      </w:r>
      <w:r>
        <w:rPr>
          <w:rFonts w:hint="eastAsia" w:ascii="新宋体" w:hAnsi="新宋体" w:eastAsia="新宋体"/>
          <w:b/>
          <w:color w:val="auto"/>
          <w:szCs w:val="21"/>
          <w:highlight w:val="none"/>
          <w:u w:val="single"/>
        </w:rPr>
        <w:t>；</w:t>
      </w:r>
    </w:p>
    <w:p>
      <w:pPr>
        <w:spacing w:line="460" w:lineRule="exact"/>
        <w:rPr>
          <w:rFonts w:ascii="新宋体" w:hAnsi="新宋体" w:eastAsia="新宋体"/>
          <w:b/>
          <w:color w:val="auto"/>
          <w:szCs w:val="21"/>
          <w:highlight w:val="none"/>
          <w:u w:val="single"/>
        </w:rPr>
      </w:pPr>
      <w:r>
        <w:rPr>
          <w:rFonts w:hint="eastAsia" w:ascii="新宋体" w:hAnsi="新宋体" w:eastAsia="新宋体"/>
          <w:b/>
          <w:color w:val="auto"/>
          <w:szCs w:val="21"/>
          <w:highlight w:val="none"/>
        </w:rPr>
        <w:t>（</w:t>
      </w:r>
      <w:r>
        <w:rPr>
          <w:rFonts w:ascii="新宋体" w:hAnsi="新宋体" w:eastAsia="新宋体"/>
          <w:b/>
          <w:color w:val="auto"/>
          <w:szCs w:val="21"/>
          <w:highlight w:val="none"/>
        </w:rPr>
        <w:t>3）</w:t>
      </w:r>
      <w:r>
        <w:rPr>
          <w:rFonts w:ascii="新宋体" w:hAnsi="新宋体" w:eastAsia="新宋体"/>
          <w:b/>
          <w:color w:val="auto"/>
          <w:szCs w:val="21"/>
          <w:highlight w:val="none"/>
          <w:u w:val="single"/>
        </w:rPr>
        <w:t>单价金额小数点或者百分比有明显错位的，以开标一览表的总价为准，并修改单价</w:t>
      </w:r>
      <w:r>
        <w:rPr>
          <w:rFonts w:hint="eastAsia" w:ascii="新宋体" w:hAnsi="新宋体" w:eastAsia="新宋体"/>
          <w:b/>
          <w:color w:val="auto"/>
          <w:szCs w:val="21"/>
          <w:highlight w:val="none"/>
          <w:u w:val="single"/>
        </w:rPr>
        <w:t>；</w:t>
      </w:r>
    </w:p>
    <w:p>
      <w:pPr>
        <w:spacing w:line="460" w:lineRule="exact"/>
        <w:rPr>
          <w:rFonts w:ascii="新宋体" w:hAnsi="新宋体" w:eastAsia="新宋体"/>
          <w:b/>
          <w:color w:val="auto"/>
          <w:szCs w:val="21"/>
          <w:highlight w:val="none"/>
          <w:u w:val="single"/>
        </w:rPr>
      </w:pPr>
      <w:r>
        <w:rPr>
          <w:rFonts w:hint="eastAsia" w:ascii="新宋体" w:hAnsi="新宋体" w:eastAsia="新宋体"/>
          <w:b/>
          <w:color w:val="auto"/>
          <w:szCs w:val="21"/>
          <w:highlight w:val="none"/>
        </w:rPr>
        <w:t>（</w:t>
      </w:r>
      <w:r>
        <w:rPr>
          <w:rFonts w:ascii="新宋体" w:hAnsi="新宋体" w:eastAsia="新宋体"/>
          <w:b/>
          <w:color w:val="auto"/>
          <w:szCs w:val="21"/>
          <w:highlight w:val="none"/>
        </w:rPr>
        <w:t>4）</w:t>
      </w:r>
      <w:r>
        <w:rPr>
          <w:rFonts w:ascii="新宋体" w:hAnsi="新宋体" w:eastAsia="新宋体"/>
          <w:b/>
          <w:color w:val="auto"/>
          <w:szCs w:val="21"/>
          <w:highlight w:val="none"/>
          <w:u w:val="single"/>
        </w:rPr>
        <w:t>总价金额与按单价汇总金额不一致的，以单价金额计算结果为准。</w:t>
      </w:r>
    </w:p>
    <w:p>
      <w:pPr>
        <w:tabs>
          <w:tab w:val="left" w:pos="180"/>
        </w:tabs>
        <w:spacing w:line="360" w:lineRule="auto"/>
        <w:ind w:firstLine="105" w:firstLineChars="50"/>
        <w:rPr>
          <w:rFonts w:ascii="宋体" w:hAnsi="宋体"/>
          <w:color w:val="auto"/>
          <w:szCs w:val="21"/>
          <w:highlight w:val="none"/>
        </w:rPr>
      </w:pPr>
      <w:r>
        <w:rPr>
          <w:rFonts w:hint="eastAsia" w:ascii="新宋体" w:hAnsi="新宋体" w:eastAsia="新宋体"/>
          <w:b/>
          <w:color w:val="auto"/>
          <w:szCs w:val="21"/>
          <w:highlight w:val="none"/>
          <w:u w:val="single"/>
        </w:rPr>
        <w:t>▲</w:t>
      </w:r>
      <w:r>
        <w:rPr>
          <w:rFonts w:ascii="新宋体" w:hAnsi="新宋体" w:eastAsia="新宋体"/>
          <w:b/>
          <w:color w:val="auto"/>
          <w:szCs w:val="21"/>
          <w:highlight w:val="none"/>
          <w:u w:val="single"/>
        </w:rPr>
        <w:t>同时出现两种以上不一致的，按照前款规定的顺序修正。</w:t>
      </w:r>
      <w:r>
        <w:rPr>
          <w:rFonts w:hint="eastAsia" w:ascii="新宋体" w:hAnsi="新宋体" w:eastAsia="新宋体"/>
          <w:b/>
          <w:color w:val="auto"/>
          <w:szCs w:val="21"/>
          <w:highlight w:val="none"/>
          <w:u w:val="single"/>
        </w:rPr>
        <w:t>如果投标人不接受对其价格错误进行修正，其投标无效。</w:t>
      </w:r>
    </w:p>
    <w:p>
      <w:pPr>
        <w:tabs>
          <w:tab w:val="left" w:pos="1365"/>
        </w:tabs>
        <w:spacing w:line="360" w:lineRule="auto"/>
        <w:ind w:left="693" w:leftChars="30" w:hanging="630" w:hangingChars="300"/>
        <w:rPr>
          <w:rFonts w:ascii="宋体" w:hAnsi="宋体"/>
          <w:b/>
          <w:color w:val="auto"/>
          <w:szCs w:val="21"/>
          <w:highlight w:val="none"/>
        </w:rPr>
      </w:pPr>
      <w:r>
        <w:rPr>
          <w:rFonts w:hint="eastAsia" w:ascii="宋体" w:hAnsi="宋体"/>
          <w:color w:val="auto"/>
          <w:szCs w:val="21"/>
          <w:highlight w:val="none"/>
        </w:rPr>
        <w:t>3.5   在详细评标之前，评标委员会要审查每份投标文件是否实质上响应了采购文件的要求。实质上响应的投标应该是与采购文件要求的全部条款、条件和规格基本相符，没有重大偏离。</w:t>
      </w:r>
      <w:r>
        <w:rPr>
          <w:rFonts w:hint="eastAsia" w:ascii="宋体" w:hAnsi="宋体"/>
          <w:b/>
          <w:color w:val="auto"/>
          <w:szCs w:val="21"/>
          <w:highlight w:val="none"/>
        </w:rPr>
        <w:t>评标委员会决定投标的响应性只根据投标文件本身的内容，而不寻求外部的证据。</w:t>
      </w:r>
    </w:p>
    <w:p>
      <w:pPr>
        <w:tabs>
          <w:tab w:val="left" w:pos="1365"/>
        </w:tabs>
        <w:spacing w:line="460" w:lineRule="exact"/>
        <w:ind w:left="739" w:leftChars="52" w:hanging="630" w:hangingChars="300"/>
        <w:rPr>
          <w:rFonts w:ascii="宋体" w:hAnsi="宋体"/>
          <w:color w:val="auto"/>
          <w:szCs w:val="21"/>
          <w:highlight w:val="none"/>
        </w:rPr>
      </w:pPr>
      <w:r>
        <w:rPr>
          <w:rFonts w:hint="eastAsia" w:ascii="宋体" w:hAnsi="宋体"/>
          <w:color w:val="auto"/>
          <w:szCs w:val="21"/>
          <w:highlight w:val="none"/>
        </w:rPr>
        <w:t xml:space="preserve">3.6   </w:t>
      </w:r>
      <w:r>
        <w:rPr>
          <w:rFonts w:hint="eastAsia" w:ascii="宋体" w:hAnsi="宋体"/>
          <w:b/>
          <w:color w:val="auto"/>
          <w:szCs w:val="21"/>
          <w:highlight w:val="none"/>
        </w:rPr>
        <w:t>实质上没有响应采购文件要求的投标将被拒绝。</w:t>
      </w:r>
      <w:r>
        <w:rPr>
          <w:rFonts w:hint="eastAsia" w:ascii="宋体" w:hAnsi="宋体"/>
          <w:color w:val="auto"/>
          <w:szCs w:val="21"/>
          <w:highlight w:val="none"/>
        </w:rPr>
        <w:t>投标人不得通过修正或撤消不合要求的偏离或保留从而使其投标成为实质上响应的投标。</w:t>
      </w:r>
    </w:p>
    <w:p>
      <w:pPr>
        <w:tabs>
          <w:tab w:val="left" w:pos="1365"/>
        </w:tabs>
        <w:spacing w:line="460" w:lineRule="exact"/>
        <w:ind w:firstLine="105" w:firstLineChars="50"/>
        <w:rPr>
          <w:rFonts w:ascii="宋体" w:hAnsi="宋体"/>
          <w:color w:val="auto"/>
          <w:szCs w:val="21"/>
          <w:highlight w:val="none"/>
        </w:rPr>
      </w:pPr>
      <w:r>
        <w:rPr>
          <w:rFonts w:hint="eastAsia" w:ascii="宋体" w:hAnsi="宋体"/>
          <w:color w:val="auto"/>
          <w:szCs w:val="21"/>
          <w:highlight w:val="none"/>
        </w:rPr>
        <w:t>3.7   评标委员会对审查合格的投标文件按照采购文件中制订的评标方法进行综合评定打分。</w:t>
      </w:r>
    </w:p>
    <w:p>
      <w:pPr>
        <w:tabs>
          <w:tab w:val="left" w:pos="1365"/>
        </w:tabs>
        <w:spacing w:line="460" w:lineRule="exact"/>
        <w:ind w:firstLine="105" w:firstLineChars="50"/>
        <w:rPr>
          <w:rFonts w:ascii="宋体" w:hAnsi="宋体"/>
          <w:color w:val="auto"/>
          <w:szCs w:val="21"/>
          <w:highlight w:val="none"/>
        </w:rPr>
      </w:pPr>
      <w:r>
        <w:rPr>
          <w:rFonts w:hint="eastAsia" w:ascii="宋体" w:hAnsi="宋体"/>
          <w:color w:val="auto"/>
          <w:szCs w:val="21"/>
          <w:highlight w:val="none"/>
        </w:rPr>
        <w:t>3.8   投标的评定</w:t>
      </w:r>
    </w:p>
    <w:p>
      <w:pPr>
        <w:tabs>
          <w:tab w:val="left" w:pos="1365"/>
        </w:tabs>
        <w:spacing w:line="460" w:lineRule="exact"/>
        <w:ind w:left="638" w:leftChars="104" w:hanging="420" w:hangingChars="200"/>
        <w:rPr>
          <w:rFonts w:ascii="宋体" w:hAnsi="宋体"/>
          <w:color w:val="auto"/>
          <w:szCs w:val="21"/>
          <w:highlight w:val="none"/>
        </w:rPr>
      </w:pPr>
      <w:r>
        <w:rPr>
          <w:rFonts w:hint="eastAsia" w:ascii="宋体" w:hAnsi="宋体"/>
          <w:color w:val="auto"/>
          <w:szCs w:val="21"/>
          <w:highlight w:val="none"/>
        </w:rPr>
        <w:t xml:space="preserve">     评标委员会除考虑投标人的投标报价的竞争有利性外，同时还应考虑以下几方面：</w:t>
      </w:r>
    </w:p>
    <w:p>
      <w:pPr>
        <w:tabs>
          <w:tab w:val="left" w:pos="1365"/>
        </w:tabs>
        <w:spacing w:line="460" w:lineRule="exact"/>
        <w:rPr>
          <w:rFonts w:ascii="宋体" w:hAnsi="宋体"/>
          <w:color w:val="auto"/>
          <w:szCs w:val="21"/>
          <w:highlight w:val="none"/>
        </w:rPr>
      </w:pPr>
      <w:r>
        <w:rPr>
          <w:rFonts w:hint="eastAsia" w:ascii="宋体" w:hAnsi="宋体"/>
          <w:color w:val="auto"/>
          <w:szCs w:val="21"/>
          <w:highlight w:val="none"/>
        </w:rPr>
        <w:t>（1）  交货和安装、竣工时间的满足性；</w:t>
      </w:r>
    </w:p>
    <w:p>
      <w:pPr>
        <w:tabs>
          <w:tab w:val="left" w:pos="1365"/>
        </w:tabs>
        <w:spacing w:line="460" w:lineRule="exact"/>
        <w:rPr>
          <w:rFonts w:ascii="宋体" w:hAnsi="宋体"/>
          <w:color w:val="auto"/>
          <w:szCs w:val="21"/>
          <w:highlight w:val="none"/>
        </w:rPr>
      </w:pPr>
      <w:r>
        <w:rPr>
          <w:rFonts w:hint="eastAsia" w:ascii="宋体" w:hAnsi="宋体"/>
          <w:color w:val="auto"/>
          <w:szCs w:val="21"/>
          <w:highlight w:val="none"/>
        </w:rPr>
        <w:t>（2） 与合同条款规定的付款方式和条件的偏差；</w:t>
      </w:r>
    </w:p>
    <w:p>
      <w:pPr>
        <w:tabs>
          <w:tab w:val="left" w:pos="1365"/>
        </w:tabs>
        <w:spacing w:line="460" w:lineRule="exact"/>
        <w:rPr>
          <w:rFonts w:ascii="宋体" w:hAnsi="宋体"/>
          <w:color w:val="auto"/>
          <w:szCs w:val="21"/>
          <w:highlight w:val="none"/>
        </w:rPr>
      </w:pPr>
      <w:r>
        <w:rPr>
          <w:rFonts w:hint="eastAsia" w:ascii="宋体" w:hAnsi="宋体"/>
          <w:color w:val="auto"/>
          <w:szCs w:val="21"/>
          <w:highlight w:val="none"/>
        </w:rPr>
        <w:t>（3） 服务质量保证措施的可行性；</w:t>
      </w:r>
    </w:p>
    <w:p>
      <w:pPr>
        <w:tabs>
          <w:tab w:val="left" w:pos="1365"/>
        </w:tabs>
        <w:spacing w:line="460" w:lineRule="exact"/>
        <w:rPr>
          <w:rFonts w:ascii="宋体" w:hAnsi="宋体"/>
          <w:color w:val="auto"/>
          <w:szCs w:val="21"/>
          <w:highlight w:val="none"/>
        </w:rPr>
      </w:pPr>
      <w:r>
        <w:rPr>
          <w:rFonts w:hint="eastAsia" w:ascii="宋体" w:hAnsi="宋体"/>
          <w:color w:val="auto"/>
          <w:szCs w:val="21"/>
          <w:highlight w:val="none"/>
        </w:rPr>
        <w:t>（4） 服务的质量水平、设备的先进性和配套的齐全性；</w:t>
      </w:r>
    </w:p>
    <w:p>
      <w:pPr>
        <w:tabs>
          <w:tab w:val="left" w:pos="1365"/>
        </w:tabs>
        <w:spacing w:line="460" w:lineRule="exact"/>
        <w:rPr>
          <w:rFonts w:ascii="宋体" w:hAnsi="宋体"/>
          <w:color w:val="auto"/>
          <w:szCs w:val="21"/>
          <w:highlight w:val="none"/>
        </w:rPr>
      </w:pPr>
      <w:r>
        <w:rPr>
          <w:rFonts w:hint="eastAsia" w:ascii="宋体" w:hAnsi="宋体"/>
          <w:color w:val="auto"/>
          <w:szCs w:val="21"/>
          <w:highlight w:val="none"/>
        </w:rPr>
        <w:t>（5） 投标人在买方所在地为用户提供投标设备配件和售后服务的保障措施；</w:t>
      </w:r>
    </w:p>
    <w:p>
      <w:pPr>
        <w:tabs>
          <w:tab w:val="left" w:pos="1365"/>
        </w:tabs>
        <w:spacing w:line="460" w:lineRule="exact"/>
        <w:rPr>
          <w:rFonts w:ascii="宋体" w:hAnsi="宋体"/>
          <w:color w:val="auto"/>
          <w:szCs w:val="21"/>
          <w:highlight w:val="none"/>
        </w:rPr>
      </w:pPr>
      <w:r>
        <w:rPr>
          <w:rFonts w:hint="eastAsia" w:ascii="宋体" w:hAnsi="宋体"/>
          <w:color w:val="auto"/>
          <w:szCs w:val="21"/>
          <w:highlight w:val="none"/>
        </w:rPr>
        <w:t>（6） 投标人针对本项目安排的工程技术人员的业绩、素质、能力和信誉；</w:t>
      </w:r>
    </w:p>
    <w:p>
      <w:pPr>
        <w:tabs>
          <w:tab w:val="left" w:pos="1365"/>
        </w:tabs>
        <w:spacing w:line="460" w:lineRule="exact"/>
        <w:rPr>
          <w:rFonts w:ascii="宋体" w:hAnsi="宋体"/>
          <w:color w:val="auto"/>
          <w:szCs w:val="21"/>
          <w:highlight w:val="none"/>
        </w:rPr>
      </w:pPr>
      <w:r>
        <w:rPr>
          <w:rFonts w:hint="eastAsia" w:ascii="宋体" w:hAnsi="宋体"/>
          <w:color w:val="auto"/>
          <w:szCs w:val="21"/>
          <w:highlight w:val="none"/>
        </w:rPr>
        <w:t>（7） 投标人的经营信誉、资信和实力；</w:t>
      </w:r>
    </w:p>
    <w:p>
      <w:pPr>
        <w:tabs>
          <w:tab w:val="left" w:pos="1365"/>
        </w:tabs>
        <w:spacing w:line="460" w:lineRule="exact"/>
        <w:rPr>
          <w:rFonts w:ascii="宋体" w:hAnsi="宋体"/>
          <w:color w:val="auto"/>
          <w:szCs w:val="21"/>
          <w:highlight w:val="none"/>
        </w:rPr>
      </w:pPr>
      <w:r>
        <w:rPr>
          <w:rFonts w:hint="eastAsia" w:ascii="宋体" w:hAnsi="宋体"/>
          <w:color w:val="auto"/>
          <w:szCs w:val="21"/>
          <w:highlight w:val="none"/>
        </w:rPr>
        <w:t>（8） 类似项目的销售业绩；</w:t>
      </w:r>
    </w:p>
    <w:p>
      <w:pPr>
        <w:tabs>
          <w:tab w:val="left" w:pos="1365"/>
        </w:tabs>
        <w:spacing w:line="460" w:lineRule="exact"/>
        <w:rPr>
          <w:rFonts w:ascii="宋体" w:hAnsi="宋体"/>
          <w:color w:val="auto"/>
          <w:szCs w:val="21"/>
          <w:highlight w:val="none"/>
        </w:rPr>
      </w:pPr>
      <w:r>
        <w:rPr>
          <w:rFonts w:hint="eastAsia" w:ascii="宋体" w:hAnsi="宋体"/>
          <w:color w:val="auto"/>
          <w:szCs w:val="21"/>
          <w:highlight w:val="none"/>
        </w:rPr>
        <w:t>（9） 投标人提出的使采购人满意的优惠条款。</w:t>
      </w:r>
    </w:p>
    <w:p>
      <w:pPr>
        <w:tabs>
          <w:tab w:val="left" w:pos="1365"/>
        </w:tabs>
        <w:spacing w:line="460" w:lineRule="exact"/>
        <w:ind w:left="588" w:leftChars="30" w:hanging="525" w:hangingChars="250"/>
        <w:rPr>
          <w:rFonts w:ascii="宋体" w:hAnsi="宋体"/>
          <w:color w:val="auto"/>
          <w:szCs w:val="21"/>
          <w:highlight w:val="none"/>
        </w:rPr>
      </w:pPr>
      <w:r>
        <w:rPr>
          <w:rFonts w:hint="eastAsia" w:ascii="宋体" w:hAnsi="宋体"/>
          <w:color w:val="auto"/>
          <w:szCs w:val="21"/>
          <w:highlight w:val="none"/>
        </w:rPr>
        <w:t>3.8  评标过程中遇到特殊情况，由评标委员会遵循公开、公正原则，采取投票方式按照少数服从多数原则决定。</w:t>
      </w:r>
    </w:p>
    <w:p>
      <w:pPr>
        <w:tabs>
          <w:tab w:val="left" w:pos="1365"/>
        </w:tabs>
        <w:spacing w:line="460" w:lineRule="exact"/>
        <w:ind w:firstLine="105" w:firstLineChars="50"/>
        <w:rPr>
          <w:rFonts w:ascii="宋体" w:hAnsi="宋体"/>
          <w:color w:val="auto"/>
          <w:szCs w:val="21"/>
          <w:highlight w:val="none"/>
        </w:rPr>
      </w:pPr>
      <w:r>
        <w:rPr>
          <w:rFonts w:hint="eastAsia" w:ascii="宋体" w:hAnsi="宋体"/>
          <w:color w:val="auto"/>
          <w:szCs w:val="21"/>
          <w:highlight w:val="none"/>
        </w:rPr>
        <w:t>4．  投标文件的澄清</w:t>
      </w:r>
    </w:p>
    <w:p>
      <w:pPr>
        <w:tabs>
          <w:tab w:val="left" w:pos="1365"/>
        </w:tabs>
        <w:spacing w:line="460" w:lineRule="exact"/>
        <w:ind w:left="588" w:leftChars="30" w:hanging="525" w:hangingChars="250"/>
        <w:rPr>
          <w:rFonts w:ascii="宋体" w:hAnsi="宋体"/>
          <w:color w:val="auto"/>
          <w:szCs w:val="21"/>
          <w:highlight w:val="none"/>
        </w:rPr>
      </w:pPr>
      <w:r>
        <w:rPr>
          <w:rFonts w:hint="eastAsia" w:ascii="宋体" w:hAnsi="宋体"/>
          <w:color w:val="auto"/>
          <w:szCs w:val="21"/>
          <w:highlight w:val="none"/>
        </w:rPr>
        <w:t>4.1  在评标期间，评标委员会可以书面方式要求投标人对投标文件中含义不明确、对同类问题表述不一致或者有明显文字和计算错误的内容作必要的澄清、说明或补正。澄清、说明或补正应以书面形式并由授权代表签署，但澄清内容不得超出投标文件的范围或者改变投标文件的实质性内容。拒不按要求对其投标文件进行澄清，说明或补正的投标人，评标委员会可以否决其投标。</w:t>
      </w:r>
    </w:p>
    <w:p>
      <w:pPr>
        <w:tabs>
          <w:tab w:val="left" w:pos="1365"/>
        </w:tabs>
        <w:spacing w:line="460" w:lineRule="exact"/>
        <w:ind w:left="588" w:leftChars="30" w:hanging="525" w:hangingChars="250"/>
        <w:rPr>
          <w:rFonts w:ascii="宋体" w:hAnsi="宋体"/>
          <w:b/>
          <w:color w:val="auto"/>
          <w:szCs w:val="21"/>
          <w:highlight w:val="none"/>
        </w:rPr>
      </w:pPr>
      <w:r>
        <w:rPr>
          <w:rFonts w:hint="eastAsia" w:ascii="宋体" w:hAnsi="宋体"/>
          <w:color w:val="auto"/>
          <w:szCs w:val="21"/>
          <w:highlight w:val="none"/>
        </w:rPr>
        <w:t xml:space="preserve">4.2  </w:t>
      </w:r>
      <w:r>
        <w:rPr>
          <w:rFonts w:hint="eastAsia" w:ascii="宋体" w:hAnsi="宋体"/>
          <w:b/>
          <w:color w:val="auto"/>
          <w:szCs w:val="21"/>
          <w:highlight w:val="none"/>
        </w:rPr>
        <w:t>经澄清后，若偏差仍存在，且不可接受，投标人则被认为是“没有实质性响应采购文件要求”，其投标不进入下一步评审。</w:t>
      </w:r>
    </w:p>
    <w:p>
      <w:pPr>
        <w:tabs>
          <w:tab w:val="left" w:pos="1365"/>
        </w:tabs>
        <w:spacing w:line="460" w:lineRule="exact"/>
        <w:ind w:firstLine="105" w:firstLineChars="50"/>
        <w:rPr>
          <w:rFonts w:ascii="宋体" w:hAnsi="宋体"/>
          <w:color w:val="auto"/>
          <w:szCs w:val="21"/>
          <w:highlight w:val="none"/>
        </w:rPr>
      </w:pPr>
      <w:r>
        <w:rPr>
          <w:rFonts w:hint="eastAsia" w:ascii="宋体" w:hAnsi="宋体"/>
          <w:color w:val="auto"/>
          <w:szCs w:val="21"/>
          <w:highlight w:val="none"/>
        </w:rPr>
        <w:t>5．  确定中标候选人</w:t>
      </w:r>
    </w:p>
    <w:p>
      <w:pPr>
        <w:tabs>
          <w:tab w:val="left" w:pos="1365"/>
        </w:tabs>
        <w:spacing w:line="460" w:lineRule="exact"/>
        <w:ind w:firstLine="105" w:firstLineChars="50"/>
        <w:rPr>
          <w:rFonts w:ascii="宋体" w:hAnsi="宋体"/>
          <w:color w:val="auto"/>
          <w:szCs w:val="21"/>
          <w:highlight w:val="none"/>
        </w:rPr>
      </w:pPr>
      <w:r>
        <w:rPr>
          <w:rFonts w:hint="eastAsia" w:ascii="宋体" w:hAnsi="宋体"/>
          <w:color w:val="auto"/>
          <w:szCs w:val="21"/>
          <w:highlight w:val="none"/>
        </w:rPr>
        <w:t>5.1  本次招标由评标委员会确定中标候选人。</w:t>
      </w:r>
    </w:p>
    <w:p>
      <w:pPr>
        <w:tabs>
          <w:tab w:val="left" w:pos="1365"/>
        </w:tabs>
        <w:spacing w:line="460" w:lineRule="exact"/>
        <w:ind w:left="636" w:leftChars="53" w:hanging="525" w:hangingChars="250"/>
        <w:rPr>
          <w:rFonts w:ascii="宋体" w:hAnsi="宋体"/>
          <w:color w:val="auto"/>
          <w:szCs w:val="21"/>
          <w:highlight w:val="none"/>
        </w:rPr>
      </w:pPr>
      <w:r>
        <w:rPr>
          <w:rFonts w:hint="eastAsia" w:ascii="宋体" w:hAnsi="宋体"/>
          <w:color w:val="auto"/>
          <w:szCs w:val="21"/>
          <w:highlight w:val="none"/>
        </w:rPr>
        <w:t>5.2  评标委员会依据法律、法规及采购文件有关规定在有效标中按投标人的最终得分（即技术资信分与商务分之和）高低进行排序，得分前二名的投标人确定为第一和第二中标候选人（得分相同投标报价低的排序第一；得分且投标报价相同的，技术指标优的排序第一）。</w:t>
      </w:r>
    </w:p>
    <w:p>
      <w:pPr>
        <w:spacing w:line="440" w:lineRule="exact"/>
        <w:ind w:left="630" w:leftChars="50" w:hanging="525" w:hangingChars="250"/>
        <w:rPr>
          <w:rFonts w:ascii="宋体" w:hAnsi="宋体" w:cs="Arial"/>
          <w:bCs/>
          <w:color w:val="auto"/>
          <w:szCs w:val="21"/>
          <w:highlight w:val="none"/>
        </w:rPr>
      </w:pPr>
      <w:r>
        <w:rPr>
          <w:rFonts w:hint="eastAsia" w:ascii="宋体" w:hAnsi="宋体"/>
          <w:color w:val="auto"/>
          <w:szCs w:val="21"/>
          <w:highlight w:val="none"/>
        </w:rPr>
        <w:t xml:space="preserve">5.3  </w:t>
      </w:r>
      <w:r>
        <w:rPr>
          <w:rFonts w:hint="eastAsia" w:ascii="宋体" w:hAnsi="宋体" w:cs="Arial"/>
          <w:bCs/>
          <w:color w:val="auto"/>
          <w:szCs w:val="21"/>
          <w:highlight w:val="none"/>
        </w:rPr>
        <w:t>排名第一的中标候选人放弃中标；因不可抗力提出不能履行合同；或者采购文件规定应当提交履约保证金而在规定的期限内未能提交的；或未能在规定时间内与采购单位签订合同的；或者经质疑，招标人审查后，确因排名第一的候选人在本次采购活动中存在违法违规行为或其他原因使质疑成立的，招标人</w:t>
      </w:r>
      <w:r>
        <w:rPr>
          <w:rFonts w:ascii="宋体" w:hAnsi="宋体" w:cs="Arial"/>
          <w:bCs/>
          <w:color w:val="auto"/>
          <w:szCs w:val="21"/>
          <w:highlight w:val="none"/>
        </w:rPr>
        <w:t>根据采购单位要求</w:t>
      </w:r>
      <w:r>
        <w:rPr>
          <w:rFonts w:hint="eastAsia" w:ascii="宋体" w:hAnsi="宋体" w:cs="Arial"/>
          <w:bCs/>
          <w:color w:val="auto"/>
          <w:szCs w:val="21"/>
          <w:highlight w:val="none"/>
        </w:rPr>
        <w:t>视具体情况确定是否由排名第二的中标候选人为中标人。</w:t>
      </w:r>
    </w:p>
    <w:p>
      <w:pPr>
        <w:tabs>
          <w:tab w:val="left" w:pos="1365"/>
        </w:tabs>
        <w:spacing w:line="460" w:lineRule="exact"/>
        <w:ind w:left="630" w:leftChars="50" w:hanging="525" w:hangingChars="250"/>
        <w:rPr>
          <w:rFonts w:ascii="宋体" w:hAnsi="宋体"/>
          <w:b/>
          <w:color w:val="auto"/>
          <w:szCs w:val="21"/>
          <w:highlight w:val="none"/>
        </w:rPr>
      </w:pPr>
      <w:r>
        <w:rPr>
          <w:rFonts w:hint="eastAsia" w:ascii="宋体" w:hAnsi="宋体"/>
          <w:color w:val="auto"/>
          <w:szCs w:val="21"/>
          <w:highlight w:val="none"/>
        </w:rPr>
        <w:t xml:space="preserve">5.4  </w:t>
      </w:r>
      <w:r>
        <w:rPr>
          <w:rFonts w:hint="eastAsia" w:ascii="宋体" w:hAnsi="宋体"/>
          <w:b/>
          <w:color w:val="auto"/>
          <w:szCs w:val="21"/>
          <w:highlight w:val="none"/>
        </w:rPr>
        <w:t>招标人对决标结果不做任何解释，也不保证最低价中标。</w:t>
      </w:r>
    </w:p>
    <w:p>
      <w:pPr>
        <w:tabs>
          <w:tab w:val="left" w:pos="540"/>
          <w:tab w:val="left" w:pos="720"/>
        </w:tabs>
        <w:spacing w:line="460" w:lineRule="exact"/>
        <w:ind w:firstLine="103" w:firstLineChars="49"/>
        <w:rPr>
          <w:rFonts w:ascii="宋体" w:hAnsi="宋体"/>
          <w:b/>
          <w:color w:val="auto"/>
          <w:szCs w:val="21"/>
          <w:highlight w:val="none"/>
        </w:rPr>
      </w:pPr>
      <w:r>
        <w:rPr>
          <w:rFonts w:hint="eastAsia" w:ascii="宋体" w:hAnsi="宋体"/>
          <w:b/>
          <w:color w:val="auto"/>
          <w:szCs w:val="21"/>
          <w:highlight w:val="none"/>
        </w:rPr>
        <w:t>6．  评标细则详见第六部分“评标原则及方法”。</w:t>
      </w:r>
    </w:p>
    <w:p>
      <w:pPr>
        <w:spacing w:before="100" w:beforeAutospacing="1" w:after="100" w:afterAutospacing="1" w:line="440" w:lineRule="exact"/>
        <w:ind w:left="-6"/>
        <w:jc w:val="center"/>
        <w:outlineLvl w:val="0"/>
        <w:rPr>
          <w:rFonts w:ascii="宋体" w:hAnsi="宋体"/>
          <w:b/>
          <w:bCs/>
          <w:color w:val="auto"/>
          <w:sz w:val="28"/>
          <w:szCs w:val="28"/>
          <w:highlight w:val="none"/>
        </w:rPr>
      </w:pPr>
      <w:r>
        <w:rPr>
          <w:rFonts w:hint="eastAsia" w:ascii="宋体" w:hAnsi="宋体"/>
          <w:b/>
          <w:bCs/>
          <w:color w:val="auto"/>
          <w:sz w:val="28"/>
          <w:szCs w:val="28"/>
          <w:highlight w:val="none"/>
        </w:rPr>
        <w:t>六   授予合同</w:t>
      </w:r>
    </w:p>
    <w:p>
      <w:pPr>
        <w:spacing w:line="400" w:lineRule="exact"/>
        <w:ind w:left="663" w:leftChars="15" w:hanging="632" w:hangingChars="300"/>
        <w:rPr>
          <w:rFonts w:ascii="宋体" w:hAnsi="宋体"/>
          <w:bCs/>
          <w:color w:val="auto"/>
          <w:szCs w:val="21"/>
          <w:highlight w:val="none"/>
        </w:rPr>
      </w:pPr>
      <w:r>
        <w:rPr>
          <w:rFonts w:hint="eastAsia" w:ascii="宋体" w:hAnsi="宋体"/>
          <w:b/>
          <w:bCs/>
          <w:color w:val="auto"/>
          <w:szCs w:val="21"/>
          <w:highlight w:val="none"/>
        </w:rPr>
        <w:t xml:space="preserve">1．  </w:t>
      </w:r>
      <w:r>
        <w:rPr>
          <w:rFonts w:hint="eastAsia" w:ascii="宋体" w:hAnsi="宋体"/>
          <w:bCs/>
          <w:color w:val="auto"/>
          <w:szCs w:val="21"/>
          <w:highlight w:val="none"/>
        </w:rPr>
        <w:t xml:space="preserve"> 评标委员会确定的中标候选人在</w:t>
      </w:r>
      <w:r>
        <w:rPr>
          <w:rFonts w:hint="eastAsia" w:eastAsia="新宋体"/>
          <w:bCs/>
          <w:color w:val="auto"/>
          <w:sz w:val="22"/>
          <w:szCs w:val="22"/>
          <w:highlight w:val="none"/>
        </w:rPr>
        <w:t>政府采购指定信息发布媒体上公示</w:t>
      </w:r>
      <w:r>
        <w:rPr>
          <w:rFonts w:hint="eastAsia" w:ascii="宋体" w:hAnsi="宋体"/>
          <w:bCs/>
          <w:color w:val="auto"/>
          <w:szCs w:val="21"/>
          <w:highlight w:val="none"/>
        </w:rPr>
        <w:t>，各投标人对评标结果如有异议，可在规定时间内以书面形式向招标人进行署名投诉或提出质疑，但需对投诉或质疑内容的真实性承担法律责任。</w:t>
      </w:r>
      <w:r>
        <w:rPr>
          <w:rFonts w:hint="eastAsia" w:ascii="宋体" w:hAnsi="宋体"/>
          <w:b/>
          <w:bCs/>
          <w:color w:val="auto"/>
          <w:szCs w:val="21"/>
          <w:highlight w:val="none"/>
        </w:rPr>
        <w:t>因恶意质疑、投诉导致授予合同的期限延期的，应按延期天数每日</w:t>
      </w:r>
      <w:r>
        <w:rPr>
          <w:rFonts w:hint="eastAsia" w:ascii="宋体" w:hAnsi="宋体"/>
          <w:b/>
          <w:bCs/>
          <w:color w:val="auto"/>
          <w:szCs w:val="21"/>
          <w:highlight w:val="none"/>
          <w:u w:val="single"/>
        </w:rPr>
        <w:t>2000</w:t>
      </w:r>
      <w:r>
        <w:rPr>
          <w:rFonts w:hint="eastAsia" w:ascii="宋体" w:hAnsi="宋体"/>
          <w:b/>
          <w:bCs/>
          <w:color w:val="auto"/>
          <w:szCs w:val="21"/>
          <w:highlight w:val="none"/>
        </w:rPr>
        <w:t>元的标准对招标人予以赔偿。</w:t>
      </w:r>
    </w:p>
    <w:p>
      <w:pPr>
        <w:spacing w:line="400" w:lineRule="exact"/>
        <w:rPr>
          <w:rFonts w:ascii="宋体" w:hAnsi="宋体"/>
          <w:color w:val="auto"/>
          <w:szCs w:val="21"/>
          <w:highlight w:val="none"/>
        </w:rPr>
      </w:pPr>
      <w:r>
        <w:rPr>
          <w:rFonts w:hint="eastAsia" w:ascii="宋体" w:hAnsi="宋体"/>
          <w:color w:val="auto"/>
          <w:szCs w:val="21"/>
          <w:highlight w:val="none"/>
        </w:rPr>
        <w:t>2．   中标通知书</w:t>
      </w:r>
    </w:p>
    <w:p>
      <w:pPr>
        <w:spacing w:line="400" w:lineRule="exact"/>
        <w:rPr>
          <w:rFonts w:ascii="宋体" w:hAnsi="宋体"/>
          <w:color w:val="auto"/>
          <w:szCs w:val="21"/>
          <w:highlight w:val="none"/>
        </w:rPr>
      </w:pPr>
      <w:r>
        <w:rPr>
          <w:rFonts w:hint="eastAsia" w:ascii="宋体" w:hAnsi="宋体"/>
          <w:bCs/>
          <w:color w:val="auto"/>
          <w:szCs w:val="21"/>
          <w:highlight w:val="none"/>
        </w:rPr>
        <w:t xml:space="preserve">2.1   </w:t>
      </w:r>
      <w:r>
        <w:rPr>
          <w:rFonts w:hint="eastAsia" w:ascii="宋体" w:hAnsi="宋体"/>
          <w:color w:val="auto"/>
          <w:szCs w:val="21"/>
          <w:highlight w:val="none"/>
        </w:rPr>
        <w:t xml:space="preserve">中标人确定后，招标人将向中标人发出中标通知书。 </w:t>
      </w:r>
    </w:p>
    <w:p>
      <w:pPr>
        <w:spacing w:line="400" w:lineRule="exact"/>
        <w:rPr>
          <w:rFonts w:ascii="宋体" w:hAnsi="宋体"/>
          <w:color w:val="auto"/>
          <w:szCs w:val="21"/>
          <w:highlight w:val="none"/>
        </w:rPr>
      </w:pPr>
      <w:r>
        <w:rPr>
          <w:rFonts w:hint="eastAsia" w:ascii="宋体" w:hAnsi="宋体"/>
          <w:bCs/>
          <w:color w:val="auto"/>
          <w:szCs w:val="21"/>
          <w:highlight w:val="none"/>
        </w:rPr>
        <w:t xml:space="preserve">2.2  </w:t>
      </w:r>
      <w:r>
        <w:rPr>
          <w:rFonts w:hint="eastAsia" w:ascii="宋体" w:hAnsi="宋体"/>
          <w:color w:val="auto"/>
          <w:szCs w:val="21"/>
          <w:highlight w:val="none"/>
        </w:rPr>
        <w:t>中标通知书是合同的一个组成部分,对采购人和中标人均具有同等法律效力。</w:t>
      </w:r>
    </w:p>
    <w:p>
      <w:pPr>
        <w:spacing w:line="400" w:lineRule="exact"/>
        <w:rPr>
          <w:rFonts w:ascii="宋体" w:hAnsi="宋体"/>
          <w:bCs/>
          <w:color w:val="auto"/>
          <w:szCs w:val="21"/>
          <w:highlight w:val="none"/>
        </w:rPr>
      </w:pPr>
      <w:r>
        <w:rPr>
          <w:rFonts w:hint="eastAsia" w:ascii="宋体" w:hAnsi="宋体"/>
          <w:bCs/>
          <w:color w:val="auto"/>
          <w:szCs w:val="21"/>
          <w:highlight w:val="none"/>
        </w:rPr>
        <w:t>3．   授标时更改采购货物数量的权力</w:t>
      </w:r>
    </w:p>
    <w:p>
      <w:pPr>
        <w:spacing w:line="400" w:lineRule="exact"/>
        <w:rPr>
          <w:rFonts w:ascii="宋体" w:hAnsi="宋体"/>
          <w:bCs/>
          <w:color w:val="auto"/>
          <w:szCs w:val="21"/>
          <w:highlight w:val="none"/>
        </w:rPr>
      </w:pPr>
      <w:r>
        <w:rPr>
          <w:rFonts w:hint="eastAsia" w:ascii="宋体" w:hAnsi="宋体"/>
          <w:bCs/>
          <w:color w:val="auto"/>
          <w:szCs w:val="21"/>
          <w:highlight w:val="none"/>
        </w:rPr>
        <w:t>3.1   招标人和采购人在授予合同时有权对招标设备的数量和服务在一定幅度范围内予以增加或减少,但不得对单价和其他的条款和条件作任何改变。</w:t>
      </w:r>
    </w:p>
    <w:p>
      <w:pPr>
        <w:spacing w:line="400" w:lineRule="exact"/>
        <w:rPr>
          <w:rFonts w:ascii="宋体" w:hAnsi="宋体"/>
          <w:bCs/>
          <w:color w:val="auto"/>
          <w:szCs w:val="21"/>
          <w:highlight w:val="none"/>
        </w:rPr>
      </w:pPr>
      <w:r>
        <w:rPr>
          <w:rFonts w:hint="eastAsia" w:ascii="宋体" w:hAnsi="宋体"/>
          <w:bCs/>
          <w:color w:val="auto"/>
          <w:szCs w:val="21"/>
          <w:highlight w:val="none"/>
        </w:rPr>
        <w:t>4．   签订合同</w:t>
      </w:r>
    </w:p>
    <w:p>
      <w:pPr>
        <w:tabs>
          <w:tab w:val="left" w:pos="540"/>
        </w:tabs>
        <w:spacing w:line="440" w:lineRule="exact"/>
        <w:rPr>
          <w:rFonts w:eastAsia="新宋体"/>
          <w:b/>
          <w:color w:val="auto"/>
          <w:sz w:val="22"/>
          <w:szCs w:val="22"/>
          <w:highlight w:val="none"/>
        </w:rPr>
      </w:pPr>
      <w:r>
        <w:rPr>
          <w:rFonts w:hint="eastAsia" w:ascii="宋体" w:hAnsi="宋体"/>
          <w:bCs/>
          <w:color w:val="auto"/>
          <w:szCs w:val="21"/>
          <w:highlight w:val="none"/>
        </w:rPr>
        <w:t>4.1   中标人应按中标通知书规定的时间、地点与采购人签订合同,</w:t>
      </w:r>
      <w:r>
        <w:rPr>
          <w:rFonts w:hint="eastAsia" w:eastAsia="新宋体"/>
          <w:color w:val="auto"/>
          <w:sz w:val="22"/>
          <w:szCs w:val="22"/>
          <w:highlight w:val="none"/>
        </w:rPr>
        <w:t>同时提交投标总价5%的履约保证金;</w:t>
      </w:r>
      <w:r>
        <w:rPr>
          <w:rFonts w:hint="eastAsia" w:eastAsia="新宋体"/>
          <w:color w:val="auto"/>
          <w:spacing w:val="6"/>
          <w:sz w:val="22"/>
          <w:szCs w:val="22"/>
          <w:highlight w:val="none"/>
        </w:rPr>
        <w:t>履约保证金自合同签定生效之日起至完成整个项目并通过最终验收之日止有效。有效期满后，采购人应及时将履约保证金无息退还给中标人。</w:t>
      </w:r>
    </w:p>
    <w:p>
      <w:pPr>
        <w:spacing w:line="400" w:lineRule="exact"/>
        <w:rPr>
          <w:rFonts w:ascii="宋体" w:hAnsi="宋体"/>
          <w:color w:val="auto"/>
          <w:szCs w:val="21"/>
          <w:highlight w:val="none"/>
        </w:rPr>
      </w:pPr>
      <w:r>
        <w:rPr>
          <w:rFonts w:hint="eastAsia" w:ascii="宋体" w:hAnsi="宋体"/>
          <w:color w:val="auto"/>
          <w:szCs w:val="21"/>
          <w:highlight w:val="none"/>
        </w:rPr>
        <w:t xml:space="preserve">4.2   </w:t>
      </w:r>
      <w:r>
        <w:rPr>
          <w:rFonts w:hint="eastAsia" w:ascii="宋体" w:hAnsi="宋体"/>
          <w:b/>
          <w:color w:val="auto"/>
          <w:spacing w:val="6"/>
          <w:szCs w:val="21"/>
          <w:highlight w:val="none"/>
        </w:rPr>
        <w:t>在签订合同前，采购人有权在中标总价不变的前提下要求中标单位对商务报价中的不平衡报价和缺漏项进行调整，如果中标单位无合理理由拒绝调整，其中标资格将被取消，且将导致其它进一步的赔偿和处罚。</w:t>
      </w:r>
    </w:p>
    <w:p>
      <w:pPr>
        <w:spacing w:line="400" w:lineRule="exact"/>
        <w:ind w:left="630" w:hanging="630" w:hangingChars="300"/>
        <w:rPr>
          <w:rFonts w:ascii="宋体" w:hAnsi="宋体"/>
          <w:b/>
          <w:color w:val="auto"/>
          <w:spacing w:val="6"/>
          <w:szCs w:val="21"/>
          <w:highlight w:val="none"/>
        </w:rPr>
      </w:pPr>
      <w:r>
        <w:rPr>
          <w:rFonts w:hint="eastAsia" w:ascii="宋体" w:hAnsi="宋体"/>
          <w:color w:val="auto"/>
          <w:szCs w:val="21"/>
          <w:highlight w:val="none"/>
        </w:rPr>
        <w:t>4.3   采购文件、中标人的投标文件、投标修改文件、评标过程中有关澄清文件及经投标人和评委双方签字的询标纪要和中标通知书均作为合同附件。</w:t>
      </w:r>
    </w:p>
    <w:p>
      <w:pPr>
        <w:spacing w:line="400" w:lineRule="exact"/>
        <w:rPr>
          <w:rFonts w:ascii="宋体" w:hAnsi="宋体"/>
          <w:color w:val="auto"/>
          <w:szCs w:val="21"/>
          <w:highlight w:val="none"/>
        </w:rPr>
      </w:pPr>
      <w:r>
        <w:rPr>
          <w:rFonts w:hint="eastAsia" w:ascii="宋体" w:hAnsi="宋体"/>
          <w:color w:val="auto"/>
          <w:szCs w:val="21"/>
          <w:highlight w:val="none"/>
        </w:rPr>
        <w:t>4.4   拒签合同的违约责任</w:t>
      </w:r>
    </w:p>
    <w:p>
      <w:pPr>
        <w:spacing w:line="400" w:lineRule="exact"/>
        <w:ind w:left="647" w:leftChars="308"/>
        <w:rPr>
          <w:rFonts w:ascii="宋体" w:hAnsi="宋体"/>
          <w:b/>
          <w:color w:val="auto"/>
          <w:spacing w:val="6"/>
          <w:szCs w:val="21"/>
          <w:highlight w:val="none"/>
        </w:rPr>
      </w:pPr>
      <w:r>
        <w:rPr>
          <w:rFonts w:hint="eastAsia" w:ascii="宋体" w:hAnsi="宋体"/>
          <w:b/>
          <w:color w:val="auto"/>
          <w:spacing w:val="6"/>
          <w:szCs w:val="21"/>
          <w:highlight w:val="none"/>
        </w:rPr>
        <w:t>中标人接到中标通知书后，在规定时间内借故否认已经承诺的条件而拒签合同的，以违约处理。</w:t>
      </w:r>
    </w:p>
    <w:p>
      <w:pPr>
        <w:tabs>
          <w:tab w:val="left" w:pos="540"/>
        </w:tabs>
        <w:spacing w:line="460" w:lineRule="exact"/>
        <w:rPr>
          <w:rFonts w:eastAsia="新宋体"/>
          <w:color w:val="auto"/>
          <w:sz w:val="22"/>
          <w:szCs w:val="22"/>
          <w:highlight w:val="none"/>
        </w:rPr>
      </w:pPr>
      <w:r>
        <w:rPr>
          <w:rFonts w:hint="eastAsia" w:ascii="宋体" w:hAnsi="宋体"/>
          <w:b/>
          <w:color w:val="auto"/>
          <w:spacing w:val="6"/>
          <w:szCs w:val="21"/>
          <w:highlight w:val="none"/>
        </w:rPr>
        <w:t>4.5</w:t>
      </w:r>
      <w:r>
        <w:rPr>
          <w:rFonts w:hint="eastAsia" w:eastAsia="新宋体"/>
          <w:color w:val="auto"/>
          <w:sz w:val="22"/>
          <w:szCs w:val="22"/>
          <w:highlight w:val="none"/>
        </w:rPr>
        <w:t>中标供应商应在合同签订后五个工作日内提交一份合同文本原件报招标代理机构备案。</w:t>
      </w:r>
    </w:p>
    <w:p>
      <w:pPr>
        <w:spacing w:line="440" w:lineRule="exact"/>
        <w:rPr>
          <w:rFonts w:eastAsia="新宋体"/>
          <w:b/>
          <w:bCs/>
          <w:color w:val="auto"/>
          <w:sz w:val="22"/>
          <w:szCs w:val="22"/>
          <w:highlight w:val="none"/>
        </w:rPr>
      </w:pPr>
      <w:r>
        <w:rPr>
          <w:rFonts w:hint="eastAsia" w:eastAsia="新宋体"/>
          <w:color w:val="auto"/>
          <w:sz w:val="22"/>
          <w:szCs w:val="22"/>
          <w:highlight w:val="none"/>
        </w:rPr>
        <w:t>5</w:t>
      </w:r>
      <w:r>
        <w:rPr>
          <w:rFonts w:hint="eastAsia" w:eastAsia="新宋体"/>
          <w:b/>
          <w:bCs/>
          <w:color w:val="auto"/>
          <w:sz w:val="22"/>
          <w:szCs w:val="22"/>
          <w:highlight w:val="none"/>
        </w:rPr>
        <w:t>采购代理服务费</w:t>
      </w:r>
    </w:p>
    <w:p>
      <w:pPr>
        <w:tabs>
          <w:tab w:val="left" w:pos="540"/>
        </w:tabs>
        <w:spacing w:line="440" w:lineRule="exact"/>
        <w:rPr>
          <w:rFonts w:eastAsia="新宋体"/>
          <w:b/>
          <w:bCs/>
          <w:color w:val="auto"/>
          <w:sz w:val="22"/>
          <w:szCs w:val="22"/>
          <w:highlight w:val="none"/>
        </w:rPr>
      </w:pPr>
      <w:r>
        <w:rPr>
          <w:rFonts w:hint="eastAsia" w:eastAsia="新宋体"/>
          <w:b/>
          <w:bCs/>
          <w:color w:val="auto"/>
          <w:sz w:val="22"/>
          <w:szCs w:val="22"/>
          <w:highlight w:val="none"/>
        </w:rPr>
        <w:t>5.1本次采购代理服务费按国家计委计价格[2002]1980号规定的服务类的收费标准收取，由中标（成交）供应商在领取中标（成交）通知书之前支付给招标代理机构。</w:t>
      </w:r>
    </w:p>
    <w:p>
      <w:pPr>
        <w:tabs>
          <w:tab w:val="left" w:pos="540"/>
        </w:tabs>
        <w:spacing w:line="440" w:lineRule="exact"/>
        <w:rPr>
          <w:rFonts w:eastAsia="新宋体"/>
          <w:color w:val="auto"/>
          <w:spacing w:val="6"/>
          <w:sz w:val="22"/>
          <w:szCs w:val="22"/>
          <w:highlight w:val="none"/>
        </w:rPr>
      </w:pPr>
      <w:r>
        <w:rPr>
          <w:rFonts w:hint="eastAsia" w:eastAsia="新宋体"/>
          <w:color w:val="auto"/>
          <w:spacing w:val="6"/>
          <w:sz w:val="22"/>
          <w:szCs w:val="22"/>
          <w:highlight w:val="none"/>
        </w:rPr>
        <w:t>5.2采购代理服务费可以是现金、支票或汇票。</w:t>
      </w:r>
    </w:p>
    <w:p>
      <w:pPr>
        <w:autoSpaceDE w:val="0"/>
        <w:autoSpaceDN w:val="0"/>
        <w:adjustRightInd w:val="0"/>
        <w:snapToGrid w:val="0"/>
        <w:spacing w:line="420" w:lineRule="exact"/>
        <w:jc w:val="center"/>
        <w:textAlignment w:val="bottom"/>
        <w:rPr>
          <w:color w:val="auto"/>
          <w:sz w:val="32"/>
          <w:szCs w:val="32"/>
          <w:highlight w:val="none"/>
        </w:rPr>
      </w:pPr>
      <w:r>
        <w:rPr>
          <w:rFonts w:hint="eastAsia" w:eastAsia="新宋体"/>
          <w:color w:val="auto"/>
          <w:spacing w:val="6"/>
          <w:sz w:val="22"/>
          <w:szCs w:val="22"/>
          <w:highlight w:val="none"/>
        </w:rPr>
        <w:br w:type="page"/>
      </w:r>
      <w:r>
        <w:rPr>
          <w:rFonts w:hint="eastAsia" w:ascii="宋体"/>
          <w:b/>
          <w:color w:val="auto"/>
          <w:sz w:val="32"/>
          <w:szCs w:val="32"/>
          <w:highlight w:val="none"/>
          <w:lang w:val="zh-CN"/>
        </w:rPr>
        <w:t>第二部分   政府采购政策功能相关说明</w:t>
      </w:r>
    </w:p>
    <w:p>
      <w:pPr>
        <w:jc w:val="left"/>
        <w:rPr>
          <w:rFonts w:ascii="宋体"/>
          <w:b/>
          <w:color w:val="auto"/>
          <w:sz w:val="22"/>
          <w:highlight w:val="none"/>
        </w:rPr>
      </w:pPr>
    </w:p>
    <w:p>
      <w:pPr>
        <w:snapToGrid w:val="0"/>
        <w:spacing w:line="460" w:lineRule="atLeast"/>
        <w:ind w:firstLine="440" w:firstLineChars="200"/>
        <w:rPr>
          <w:rFonts w:ascii="宋体" w:hAnsi="宋体"/>
          <w:color w:val="auto"/>
          <w:sz w:val="22"/>
          <w:szCs w:val="22"/>
          <w:highlight w:val="none"/>
        </w:rPr>
      </w:pPr>
      <w:r>
        <w:rPr>
          <w:rFonts w:hint="eastAsia" w:ascii="宋体" w:hAnsi="宋体"/>
          <w:color w:val="auto"/>
          <w:sz w:val="22"/>
          <w:szCs w:val="22"/>
          <w:highlight w:val="none"/>
        </w:rPr>
        <w:t>一、小、微企业（含监狱企业、残疾人福利性单位）扶持政策说明</w:t>
      </w:r>
    </w:p>
    <w:p>
      <w:pPr>
        <w:snapToGrid w:val="0"/>
        <w:spacing w:line="460" w:lineRule="atLeast"/>
        <w:ind w:firstLine="440" w:firstLineChars="200"/>
        <w:rPr>
          <w:rFonts w:ascii="宋体" w:hAnsi="宋体"/>
          <w:color w:val="auto"/>
          <w:sz w:val="22"/>
          <w:szCs w:val="22"/>
          <w:highlight w:val="none"/>
        </w:rPr>
      </w:pPr>
      <w:r>
        <w:rPr>
          <w:rFonts w:ascii="宋体" w:hAnsi="宋体"/>
          <w:color w:val="auto"/>
          <w:sz w:val="22"/>
          <w:szCs w:val="22"/>
          <w:highlight w:val="none"/>
        </w:rPr>
        <w:t>1、文件依据</w:t>
      </w:r>
    </w:p>
    <w:p>
      <w:pPr>
        <w:snapToGrid w:val="0"/>
        <w:spacing w:line="460" w:lineRule="atLeast"/>
        <w:ind w:firstLine="440" w:firstLineChars="200"/>
        <w:rPr>
          <w:rFonts w:ascii="宋体" w:hAnsi="宋体"/>
          <w:color w:val="auto"/>
          <w:sz w:val="22"/>
          <w:szCs w:val="22"/>
          <w:highlight w:val="none"/>
        </w:rPr>
      </w:pPr>
      <w:r>
        <w:rPr>
          <w:rFonts w:hint="eastAsia" w:ascii="宋体" w:hAnsi="宋体"/>
          <w:color w:val="auto"/>
          <w:sz w:val="22"/>
          <w:szCs w:val="22"/>
          <w:highlight w:val="none"/>
        </w:rPr>
        <w:t>（</w:t>
      </w:r>
      <w:r>
        <w:rPr>
          <w:rFonts w:ascii="宋体" w:hAnsi="宋体"/>
          <w:color w:val="auto"/>
          <w:sz w:val="22"/>
          <w:szCs w:val="22"/>
          <w:highlight w:val="none"/>
        </w:rPr>
        <w:t>1）</w:t>
      </w:r>
      <w:r>
        <w:rPr>
          <w:rFonts w:ascii="宋体" w:hAnsi="宋体"/>
          <w:bCs/>
          <w:color w:val="auto"/>
          <w:sz w:val="22"/>
          <w:szCs w:val="22"/>
          <w:highlight w:val="none"/>
        </w:rPr>
        <w:t>《政府采购促进中小企业发展管理办法》（财库﹝2020﹞46 号）</w:t>
      </w:r>
    </w:p>
    <w:p>
      <w:pPr>
        <w:snapToGrid w:val="0"/>
        <w:spacing w:line="460" w:lineRule="atLeast"/>
        <w:ind w:firstLine="440" w:firstLineChars="200"/>
        <w:rPr>
          <w:rFonts w:ascii="宋体" w:hAnsi="宋体"/>
          <w:color w:val="auto"/>
          <w:sz w:val="22"/>
          <w:szCs w:val="22"/>
          <w:highlight w:val="none"/>
        </w:rPr>
      </w:pPr>
      <w:r>
        <w:rPr>
          <w:rFonts w:hint="eastAsia" w:ascii="宋体" w:hAnsi="宋体"/>
          <w:color w:val="auto"/>
          <w:sz w:val="22"/>
          <w:szCs w:val="22"/>
          <w:highlight w:val="none"/>
        </w:rPr>
        <w:t>（</w:t>
      </w:r>
      <w:r>
        <w:rPr>
          <w:rFonts w:ascii="宋体" w:hAnsi="宋体"/>
          <w:color w:val="auto"/>
          <w:sz w:val="22"/>
          <w:szCs w:val="22"/>
          <w:highlight w:val="none"/>
        </w:rPr>
        <w:t>2）浙江省财政厅转发财政部 工业和信息化部关于印发《政府采购促进中小企业发展暂行办法》的通知（浙财采监[2012]11号）</w:t>
      </w:r>
    </w:p>
    <w:p>
      <w:pPr>
        <w:snapToGrid w:val="0"/>
        <w:spacing w:line="460" w:lineRule="atLeast"/>
        <w:ind w:firstLine="440" w:firstLineChars="200"/>
        <w:rPr>
          <w:rFonts w:ascii="宋体" w:hAnsi="宋体"/>
          <w:color w:val="auto"/>
          <w:sz w:val="22"/>
          <w:szCs w:val="22"/>
          <w:highlight w:val="none"/>
        </w:rPr>
      </w:pPr>
      <w:r>
        <w:rPr>
          <w:rFonts w:hint="eastAsia" w:ascii="宋体" w:hAnsi="宋体"/>
          <w:color w:val="auto"/>
          <w:sz w:val="22"/>
          <w:szCs w:val="22"/>
          <w:highlight w:val="none"/>
        </w:rPr>
        <w:t>（</w:t>
      </w:r>
      <w:r>
        <w:rPr>
          <w:rFonts w:ascii="宋体" w:hAnsi="宋体"/>
          <w:color w:val="auto"/>
          <w:sz w:val="22"/>
          <w:szCs w:val="22"/>
          <w:highlight w:val="none"/>
        </w:rPr>
        <w:t>3）浙江省省财政厅《关于开展政府采购供应商网上注册登记和诚信管理工作的通知》（浙财采监〔2010〕8号)</w:t>
      </w:r>
    </w:p>
    <w:p>
      <w:pPr>
        <w:snapToGrid w:val="0"/>
        <w:spacing w:line="460" w:lineRule="atLeast"/>
        <w:ind w:firstLine="440" w:firstLineChars="200"/>
        <w:rPr>
          <w:rFonts w:ascii="宋体" w:hAnsi="宋体"/>
          <w:color w:val="auto"/>
          <w:sz w:val="22"/>
          <w:szCs w:val="22"/>
          <w:highlight w:val="none"/>
        </w:rPr>
      </w:pPr>
      <w:r>
        <w:rPr>
          <w:rFonts w:hint="eastAsia" w:ascii="宋体" w:hAnsi="宋体"/>
          <w:color w:val="auto"/>
          <w:sz w:val="22"/>
          <w:szCs w:val="22"/>
          <w:highlight w:val="none"/>
        </w:rPr>
        <w:t>（</w:t>
      </w:r>
      <w:r>
        <w:rPr>
          <w:rFonts w:ascii="宋体" w:hAnsi="宋体"/>
          <w:color w:val="auto"/>
          <w:sz w:val="22"/>
          <w:szCs w:val="22"/>
          <w:highlight w:val="none"/>
        </w:rPr>
        <w:t>4）《工业和信息化部、国家统计局、国家发展和改革委员会、财政部关于印发中小企业划型标准规定的通知》（工信部联企业[2011]300号）</w:t>
      </w:r>
    </w:p>
    <w:p>
      <w:pPr>
        <w:snapToGrid w:val="0"/>
        <w:spacing w:line="460" w:lineRule="atLeast"/>
        <w:ind w:firstLine="440" w:firstLineChars="200"/>
        <w:rPr>
          <w:rFonts w:ascii="宋体" w:hAnsi="宋体"/>
          <w:color w:val="auto"/>
          <w:sz w:val="22"/>
          <w:szCs w:val="22"/>
          <w:highlight w:val="none"/>
        </w:rPr>
      </w:pPr>
      <w:r>
        <w:rPr>
          <w:rFonts w:hint="eastAsia" w:ascii="宋体" w:hAnsi="宋体"/>
          <w:color w:val="auto"/>
          <w:sz w:val="22"/>
          <w:szCs w:val="22"/>
          <w:highlight w:val="none"/>
        </w:rPr>
        <w:t>（</w:t>
      </w:r>
      <w:r>
        <w:rPr>
          <w:rFonts w:ascii="宋体" w:hAnsi="宋体"/>
          <w:color w:val="auto"/>
          <w:sz w:val="22"/>
          <w:szCs w:val="22"/>
          <w:highlight w:val="none"/>
        </w:rPr>
        <w:t>5）财政部、司法部《关于政府采购支持监狱企业发展有关问题的通知》（财库〔2014〕68号）</w:t>
      </w:r>
    </w:p>
    <w:p>
      <w:pPr>
        <w:snapToGrid w:val="0"/>
        <w:spacing w:line="460" w:lineRule="atLeast"/>
        <w:ind w:firstLine="440" w:firstLineChars="200"/>
        <w:rPr>
          <w:rFonts w:ascii="宋体" w:hAnsi="宋体"/>
          <w:color w:val="auto"/>
          <w:sz w:val="22"/>
          <w:szCs w:val="22"/>
          <w:highlight w:val="none"/>
        </w:rPr>
      </w:pPr>
      <w:r>
        <w:rPr>
          <w:rFonts w:hint="eastAsia" w:ascii="宋体" w:hAnsi="宋体"/>
          <w:color w:val="auto"/>
          <w:sz w:val="22"/>
          <w:szCs w:val="22"/>
          <w:highlight w:val="none"/>
        </w:rPr>
        <w:t>（</w:t>
      </w:r>
      <w:r>
        <w:rPr>
          <w:rFonts w:ascii="宋体" w:hAnsi="宋体"/>
          <w:color w:val="auto"/>
          <w:sz w:val="22"/>
          <w:szCs w:val="22"/>
          <w:highlight w:val="none"/>
        </w:rPr>
        <w:t>6）《财政部 民政部 中国残疾人联合会关于促进残疾人就业政府采购政策的通知》（财库〔2017〕 141号）</w:t>
      </w:r>
    </w:p>
    <w:p>
      <w:pPr>
        <w:snapToGrid w:val="0"/>
        <w:spacing w:line="460" w:lineRule="atLeast"/>
        <w:ind w:firstLine="440" w:firstLineChars="200"/>
        <w:rPr>
          <w:rFonts w:ascii="宋体" w:hAnsi="宋体"/>
          <w:color w:val="auto"/>
          <w:sz w:val="22"/>
          <w:szCs w:val="22"/>
          <w:highlight w:val="none"/>
        </w:rPr>
      </w:pPr>
      <w:r>
        <w:rPr>
          <w:rFonts w:hint="eastAsia" w:ascii="宋体" w:hAnsi="宋体"/>
          <w:color w:val="auto"/>
          <w:sz w:val="22"/>
          <w:szCs w:val="22"/>
          <w:highlight w:val="none"/>
        </w:rPr>
        <w:t>（7）《浙江省财政厅  浙江省经济和信息化委员会关于简化中小企业类别确认流程有关事项的通知》</w:t>
      </w:r>
      <w:r>
        <w:rPr>
          <w:rFonts w:ascii="宋体" w:hAnsi="宋体"/>
          <w:color w:val="auto"/>
          <w:sz w:val="22"/>
          <w:szCs w:val="22"/>
          <w:highlight w:val="none"/>
        </w:rPr>
        <w:t>（浙财采监〔201</w:t>
      </w:r>
      <w:r>
        <w:rPr>
          <w:rFonts w:hint="eastAsia" w:ascii="宋体" w:hAnsi="宋体"/>
          <w:color w:val="auto"/>
          <w:sz w:val="22"/>
          <w:szCs w:val="22"/>
          <w:highlight w:val="none"/>
        </w:rPr>
        <w:t>8</w:t>
      </w:r>
      <w:r>
        <w:rPr>
          <w:rFonts w:ascii="宋体" w:hAnsi="宋体"/>
          <w:color w:val="auto"/>
          <w:sz w:val="22"/>
          <w:szCs w:val="22"/>
          <w:highlight w:val="none"/>
        </w:rPr>
        <w:t>〕</w:t>
      </w:r>
      <w:r>
        <w:rPr>
          <w:rFonts w:hint="eastAsia" w:ascii="宋体" w:hAnsi="宋体"/>
          <w:color w:val="auto"/>
          <w:sz w:val="22"/>
          <w:szCs w:val="22"/>
          <w:highlight w:val="none"/>
        </w:rPr>
        <w:t>2</w:t>
      </w:r>
      <w:r>
        <w:rPr>
          <w:rFonts w:ascii="宋体" w:hAnsi="宋体"/>
          <w:color w:val="auto"/>
          <w:sz w:val="22"/>
          <w:szCs w:val="22"/>
          <w:highlight w:val="none"/>
        </w:rPr>
        <w:t>号)</w:t>
      </w:r>
    </w:p>
    <w:p>
      <w:pPr>
        <w:snapToGrid w:val="0"/>
        <w:spacing w:line="460" w:lineRule="atLeast"/>
        <w:ind w:firstLine="440" w:firstLineChars="200"/>
        <w:rPr>
          <w:rFonts w:ascii="宋体" w:hAnsi="宋体"/>
          <w:color w:val="auto"/>
          <w:sz w:val="22"/>
          <w:szCs w:val="22"/>
          <w:highlight w:val="none"/>
        </w:rPr>
      </w:pPr>
      <w:r>
        <w:rPr>
          <w:rFonts w:hint="eastAsia" w:ascii="宋体" w:hAnsi="宋体"/>
          <w:color w:val="auto"/>
          <w:sz w:val="22"/>
          <w:szCs w:val="22"/>
          <w:highlight w:val="none"/>
        </w:rPr>
        <w:t>2、</w:t>
      </w:r>
      <w:r>
        <w:rPr>
          <w:rFonts w:ascii="宋体" w:hAnsi="宋体"/>
          <w:color w:val="auto"/>
          <w:sz w:val="22"/>
          <w:szCs w:val="22"/>
          <w:highlight w:val="none"/>
        </w:rPr>
        <w:t>在政府采购活动中，供应商提供的货物、工程或者服务符合下列情形的，享受中小企业扶持政策：</w:t>
      </w:r>
    </w:p>
    <w:p>
      <w:pPr>
        <w:snapToGrid w:val="0"/>
        <w:spacing w:line="460" w:lineRule="atLeast"/>
        <w:ind w:firstLine="440" w:firstLineChars="200"/>
        <w:rPr>
          <w:rFonts w:ascii="宋体" w:hAnsi="宋体"/>
          <w:color w:val="auto"/>
          <w:sz w:val="22"/>
          <w:szCs w:val="22"/>
          <w:highlight w:val="none"/>
        </w:rPr>
      </w:pPr>
      <w:r>
        <w:rPr>
          <w:rFonts w:ascii="宋体" w:hAnsi="宋体"/>
          <w:color w:val="auto"/>
          <w:sz w:val="22"/>
          <w:szCs w:val="22"/>
          <w:highlight w:val="none"/>
        </w:rPr>
        <w:t>（</w:t>
      </w:r>
      <w:r>
        <w:rPr>
          <w:rFonts w:hint="eastAsia" w:ascii="宋体" w:hAnsi="宋体"/>
          <w:color w:val="auto"/>
          <w:sz w:val="22"/>
          <w:szCs w:val="22"/>
          <w:highlight w:val="none"/>
        </w:rPr>
        <w:t>1</w:t>
      </w:r>
      <w:r>
        <w:rPr>
          <w:rFonts w:ascii="宋体" w:hAnsi="宋体"/>
          <w:color w:val="auto"/>
          <w:sz w:val="22"/>
          <w:szCs w:val="22"/>
          <w:highlight w:val="none"/>
        </w:rPr>
        <w:t xml:space="preserve">）在货物采购项目中，货物由中小企业制造，即货物由中小企业生产且使用该中小企业商号或者注册商标； </w:t>
      </w:r>
    </w:p>
    <w:p>
      <w:pPr>
        <w:snapToGrid w:val="0"/>
        <w:spacing w:line="460" w:lineRule="atLeast"/>
        <w:ind w:firstLine="440" w:firstLineChars="200"/>
        <w:rPr>
          <w:rFonts w:ascii="宋体" w:hAnsi="宋体"/>
          <w:color w:val="auto"/>
          <w:sz w:val="22"/>
          <w:szCs w:val="22"/>
          <w:highlight w:val="none"/>
        </w:rPr>
      </w:pPr>
      <w:r>
        <w:rPr>
          <w:rFonts w:ascii="宋体" w:hAnsi="宋体"/>
          <w:color w:val="auto"/>
          <w:sz w:val="22"/>
          <w:szCs w:val="22"/>
          <w:highlight w:val="none"/>
        </w:rPr>
        <w:t>（</w:t>
      </w:r>
      <w:r>
        <w:rPr>
          <w:rFonts w:hint="eastAsia" w:ascii="宋体" w:hAnsi="宋体"/>
          <w:color w:val="auto"/>
          <w:sz w:val="22"/>
          <w:szCs w:val="22"/>
          <w:highlight w:val="none"/>
        </w:rPr>
        <w:t>2</w:t>
      </w:r>
      <w:r>
        <w:rPr>
          <w:rFonts w:ascii="宋体" w:hAnsi="宋体"/>
          <w:color w:val="auto"/>
          <w:sz w:val="22"/>
          <w:szCs w:val="22"/>
          <w:highlight w:val="none"/>
        </w:rPr>
        <w:t xml:space="preserve">）在工程采购项目中，工程由中小企业承建，即工程施工单位为中小企业； </w:t>
      </w:r>
    </w:p>
    <w:p>
      <w:pPr>
        <w:snapToGrid w:val="0"/>
        <w:spacing w:line="460" w:lineRule="atLeast"/>
        <w:ind w:firstLine="440" w:firstLineChars="200"/>
        <w:rPr>
          <w:rFonts w:ascii="宋体" w:hAnsi="宋体"/>
          <w:color w:val="auto"/>
          <w:sz w:val="22"/>
          <w:szCs w:val="22"/>
          <w:highlight w:val="none"/>
        </w:rPr>
      </w:pPr>
      <w:r>
        <w:rPr>
          <w:rFonts w:ascii="宋体" w:hAnsi="宋体"/>
          <w:color w:val="auto"/>
          <w:sz w:val="22"/>
          <w:szCs w:val="22"/>
          <w:highlight w:val="none"/>
        </w:rPr>
        <w:t>（</w:t>
      </w:r>
      <w:r>
        <w:rPr>
          <w:rFonts w:hint="eastAsia" w:ascii="宋体" w:hAnsi="宋体"/>
          <w:color w:val="auto"/>
          <w:sz w:val="22"/>
          <w:szCs w:val="22"/>
          <w:highlight w:val="none"/>
        </w:rPr>
        <w:t>3</w:t>
      </w:r>
      <w:r>
        <w:rPr>
          <w:rFonts w:ascii="宋体" w:hAnsi="宋体"/>
          <w:color w:val="auto"/>
          <w:sz w:val="22"/>
          <w:szCs w:val="22"/>
          <w:highlight w:val="none"/>
        </w:rPr>
        <w:t xml:space="preserve">）在服务采购项目中，服务由中小企业承接，即提供服务的人员为中小企业依照《中华人民共和国劳动合同法》订立劳动合同的从业人员。 </w:t>
      </w:r>
    </w:p>
    <w:p>
      <w:pPr>
        <w:snapToGrid w:val="0"/>
        <w:spacing w:line="460" w:lineRule="atLeast"/>
        <w:ind w:firstLine="440" w:firstLineChars="200"/>
        <w:rPr>
          <w:rFonts w:ascii="宋体" w:hAnsi="宋体"/>
          <w:color w:val="auto"/>
          <w:sz w:val="22"/>
          <w:szCs w:val="22"/>
          <w:highlight w:val="none"/>
        </w:rPr>
      </w:pPr>
      <w:r>
        <w:rPr>
          <w:rFonts w:ascii="宋体" w:hAnsi="宋体"/>
          <w:color w:val="auto"/>
          <w:sz w:val="22"/>
          <w:szCs w:val="22"/>
          <w:highlight w:val="none"/>
        </w:rPr>
        <w:t>在货物采购项目中，供应商提供的货物既有中小企业制造货物，也有大型企业制造货物的，不享受规定的中小企业扶持政策。</w:t>
      </w:r>
    </w:p>
    <w:p>
      <w:pPr>
        <w:snapToGrid w:val="0"/>
        <w:spacing w:line="460" w:lineRule="atLeast"/>
        <w:ind w:firstLine="440" w:firstLineChars="200"/>
        <w:rPr>
          <w:rFonts w:ascii="宋体" w:hAnsi="宋体"/>
          <w:color w:val="auto"/>
          <w:sz w:val="22"/>
          <w:szCs w:val="22"/>
          <w:highlight w:val="none"/>
        </w:rPr>
      </w:pPr>
      <w:r>
        <w:rPr>
          <w:rFonts w:hint="eastAsia" w:ascii="宋体" w:hAnsi="宋体"/>
          <w:color w:val="auto"/>
          <w:sz w:val="22"/>
          <w:szCs w:val="22"/>
          <w:highlight w:val="none"/>
        </w:rPr>
        <w:t>3、投标供应商享受小微企业价格折扣应提供以下证明材料（放在报价文件中）：</w:t>
      </w:r>
    </w:p>
    <w:p>
      <w:pPr>
        <w:snapToGrid w:val="0"/>
        <w:spacing w:line="460" w:lineRule="atLeast"/>
        <w:ind w:firstLine="440" w:firstLineChars="200"/>
        <w:rPr>
          <w:rFonts w:ascii="宋体" w:hAnsi="宋体"/>
          <w:color w:val="auto"/>
          <w:sz w:val="22"/>
          <w:szCs w:val="22"/>
          <w:highlight w:val="none"/>
        </w:rPr>
      </w:pPr>
      <w:r>
        <w:rPr>
          <w:rFonts w:hint="eastAsia" w:ascii="宋体" w:hAnsi="宋体"/>
          <w:color w:val="auto"/>
          <w:sz w:val="22"/>
          <w:szCs w:val="22"/>
          <w:highlight w:val="none"/>
        </w:rPr>
        <w:t>（</w:t>
      </w:r>
      <w:r>
        <w:rPr>
          <w:rFonts w:ascii="宋体" w:hAnsi="宋体"/>
          <w:color w:val="auto"/>
          <w:sz w:val="22"/>
          <w:szCs w:val="22"/>
          <w:highlight w:val="none"/>
        </w:rPr>
        <w:t>1）《中小企业声明函》（加盖投标供应商公章，格式见附件1）</w:t>
      </w:r>
      <w:r>
        <w:rPr>
          <w:rFonts w:hint="eastAsia" w:ascii="宋体" w:hAnsi="宋体"/>
          <w:color w:val="auto"/>
          <w:sz w:val="22"/>
          <w:szCs w:val="22"/>
          <w:highlight w:val="none"/>
        </w:rPr>
        <w:t>；</w:t>
      </w:r>
    </w:p>
    <w:p>
      <w:pPr>
        <w:snapToGrid w:val="0"/>
        <w:spacing w:line="460" w:lineRule="atLeast"/>
        <w:ind w:firstLine="440" w:firstLineChars="200"/>
        <w:rPr>
          <w:rFonts w:ascii="宋体" w:hAnsi="宋体"/>
          <w:color w:val="auto"/>
          <w:sz w:val="22"/>
          <w:szCs w:val="22"/>
          <w:highlight w:val="none"/>
        </w:rPr>
      </w:pPr>
      <w:r>
        <w:rPr>
          <w:rFonts w:ascii="宋体" w:hAnsi="宋体"/>
          <w:color w:val="auto"/>
          <w:sz w:val="22"/>
          <w:szCs w:val="22"/>
          <w:highlight w:val="none"/>
        </w:rPr>
        <w:t>4、</w:t>
      </w:r>
      <w:r>
        <w:rPr>
          <w:rFonts w:hint="eastAsia" w:ascii="宋体" w:hAnsi="宋体"/>
          <w:color w:val="auto"/>
          <w:sz w:val="22"/>
          <w:szCs w:val="22"/>
          <w:highlight w:val="none"/>
        </w:rPr>
        <w:t>投标供应商</w:t>
      </w:r>
      <w:r>
        <w:rPr>
          <w:rFonts w:ascii="宋体" w:hAnsi="宋体"/>
          <w:color w:val="auto"/>
          <w:sz w:val="22"/>
          <w:szCs w:val="22"/>
          <w:highlight w:val="none"/>
        </w:rPr>
        <w:t>享受监狱企业价格折扣应提供以下证明材料（</w:t>
      </w:r>
      <w:r>
        <w:rPr>
          <w:rFonts w:hint="eastAsia" w:ascii="宋体" w:hAnsi="宋体"/>
          <w:color w:val="auto"/>
          <w:sz w:val="22"/>
          <w:szCs w:val="22"/>
          <w:highlight w:val="none"/>
        </w:rPr>
        <w:t>放在报价文件中，</w:t>
      </w:r>
      <w:r>
        <w:rPr>
          <w:rFonts w:ascii="宋体" w:hAnsi="宋体"/>
          <w:color w:val="auto"/>
          <w:sz w:val="22"/>
          <w:szCs w:val="22"/>
          <w:highlight w:val="none"/>
        </w:rPr>
        <w:t>不提供的不享受价格折扣）：</w:t>
      </w:r>
    </w:p>
    <w:p>
      <w:pPr>
        <w:snapToGrid w:val="0"/>
        <w:spacing w:line="460" w:lineRule="atLeast"/>
        <w:ind w:firstLine="440" w:firstLineChars="200"/>
        <w:rPr>
          <w:rFonts w:ascii="宋体" w:hAnsi="宋体"/>
          <w:color w:val="auto"/>
          <w:sz w:val="22"/>
          <w:szCs w:val="22"/>
          <w:highlight w:val="none"/>
        </w:rPr>
      </w:pPr>
      <w:r>
        <w:rPr>
          <w:rFonts w:hint="eastAsia" w:ascii="宋体" w:hAnsi="宋体"/>
          <w:color w:val="auto"/>
          <w:sz w:val="22"/>
          <w:szCs w:val="22"/>
          <w:highlight w:val="none"/>
        </w:rPr>
        <w:t>（</w:t>
      </w:r>
      <w:r>
        <w:rPr>
          <w:rFonts w:ascii="宋体" w:hAnsi="宋体"/>
          <w:color w:val="auto"/>
          <w:sz w:val="22"/>
          <w:szCs w:val="22"/>
          <w:highlight w:val="none"/>
        </w:rPr>
        <w:t>1）监狱企业参加政府采购活动时，应当提供由省级及以上监狱管理局、戒毒管理局(含新疆生产建设兵团)出具的属于监狱企业的证明文件（加盖投标供应商公章）。在政府采购活动中，监狱企业视同小型、微型企业，享受评审中价格扣除政策。</w:t>
      </w:r>
    </w:p>
    <w:p>
      <w:pPr>
        <w:snapToGrid w:val="0"/>
        <w:spacing w:line="460" w:lineRule="atLeast"/>
        <w:ind w:firstLine="440" w:firstLineChars="200"/>
        <w:rPr>
          <w:rFonts w:ascii="宋体" w:hAnsi="宋体"/>
          <w:color w:val="auto"/>
          <w:sz w:val="22"/>
          <w:szCs w:val="22"/>
          <w:highlight w:val="none"/>
        </w:rPr>
      </w:pPr>
      <w:r>
        <w:rPr>
          <w:rFonts w:ascii="宋体" w:hAnsi="宋体"/>
          <w:color w:val="auto"/>
          <w:sz w:val="22"/>
          <w:szCs w:val="22"/>
          <w:highlight w:val="none"/>
        </w:rPr>
        <w:t>5、</w:t>
      </w:r>
      <w:r>
        <w:rPr>
          <w:rFonts w:hint="eastAsia" w:ascii="宋体" w:hAnsi="宋体"/>
          <w:color w:val="auto"/>
          <w:sz w:val="22"/>
          <w:szCs w:val="22"/>
          <w:highlight w:val="none"/>
        </w:rPr>
        <w:t>投标供应商</w:t>
      </w:r>
      <w:r>
        <w:rPr>
          <w:rFonts w:ascii="宋体" w:hAnsi="宋体"/>
          <w:color w:val="auto"/>
          <w:sz w:val="22"/>
          <w:szCs w:val="22"/>
          <w:highlight w:val="none"/>
        </w:rPr>
        <w:t>享受残疾人福利性单位价格折扣应提供以下证明材料（</w:t>
      </w:r>
      <w:r>
        <w:rPr>
          <w:rFonts w:hint="eastAsia" w:ascii="宋体" w:hAnsi="宋体"/>
          <w:color w:val="auto"/>
          <w:sz w:val="22"/>
          <w:szCs w:val="22"/>
          <w:highlight w:val="none"/>
        </w:rPr>
        <w:t>放在报价文件中</w:t>
      </w:r>
      <w:r>
        <w:rPr>
          <w:rFonts w:ascii="宋体" w:hAnsi="宋体"/>
          <w:color w:val="auto"/>
          <w:sz w:val="22"/>
          <w:szCs w:val="22"/>
          <w:highlight w:val="none"/>
        </w:rPr>
        <w:t>，不提供的不享受价格折扣）：</w:t>
      </w:r>
    </w:p>
    <w:p>
      <w:pPr>
        <w:snapToGrid w:val="0"/>
        <w:spacing w:line="460" w:lineRule="atLeast"/>
        <w:ind w:firstLine="440" w:firstLineChars="200"/>
        <w:rPr>
          <w:rFonts w:ascii="宋体" w:hAnsi="宋体"/>
          <w:color w:val="auto"/>
          <w:sz w:val="22"/>
          <w:szCs w:val="22"/>
          <w:highlight w:val="none"/>
        </w:rPr>
      </w:pPr>
      <w:r>
        <w:rPr>
          <w:rFonts w:hint="eastAsia" w:ascii="宋体" w:hAnsi="宋体"/>
          <w:color w:val="auto"/>
          <w:sz w:val="22"/>
          <w:szCs w:val="22"/>
          <w:highlight w:val="none"/>
        </w:rPr>
        <w:t>（</w:t>
      </w:r>
      <w:r>
        <w:rPr>
          <w:rFonts w:ascii="宋体" w:hAnsi="宋体"/>
          <w:color w:val="auto"/>
          <w:sz w:val="22"/>
          <w:szCs w:val="22"/>
          <w:highlight w:val="none"/>
        </w:rPr>
        <w:t>1）残疾人福利性单位声明函（加盖投标供应商公章，格式见附件</w:t>
      </w:r>
      <w:r>
        <w:rPr>
          <w:rFonts w:hint="eastAsia" w:ascii="宋体" w:hAnsi="宋体"/>
          <w:color w:val="auto"/>
          <w:sz w:val="22"/>
          <w:szCs w:val="22"/>
          <w:highlight w:val="none"/>
        </w:rPr>
        <w:t>2</w:t>
      </w:r>
      <w:r>
        <w:rPr>
          <w:rFonts w:ascii="宋体" w:hAnsi="宋体"/>
          <w:color w:val="auto"/>
          <w:sz w:val="22"/>
          <w:szCs w:val="22"/>
          <w:highlight w:val="none"/>
        </w:rPr>
        <w:t>）</w:t>
      </w:r>
      <w:r>
        <w:rPr>
          <w:rFonts w:hint="eastAsia" w:ascii="宋体" w:hAnsi="宋体"/>
          <w:color w:val="auto"/>
          <w:sz w:val="22"/>
          <w:szCs w:val="22"/>
          <w:highlight w:val="none"/>
        </w:rPr>
        <w:t>。在政府采购活动中，残疾人福利性单位视同小型、微型企业，享受评审中价格扣除政策。</w:t>
      </w:r>
    </w:p>
    <w:p>
      <w:pPr>
        <w:snapToGrid w:val="0"/>
        <w:spacing w:line="460" w:lineRule="atLeast"/>
        <w:ind w:firstLine="440" w:firstLineChars="200"/>
        <w:rPr>
          <w:rFonts w:ascii="宋体" w:hAnsi="宋体"/>
          <w:color w:val="auto"/>
          <w:sz w:val="22"/>
          <w:szCs w:val="22"/>
          <w:highlight w:val="none"/>
        </w:rPr>
      </w:pPr>
      <w:r>
        <w:rPr>
          <w:rFonts w:ascii="宋体" w:hAnsi="宋体"/>
          <w:color w:val="auto"/>
          <w:sz w:val="22"/>
          <w:szCs w:val="22"/>
          <w:highlight w:val="none"/>
        </w:rPr>
        <w:t>6、</w:t>
      </w:r>
      <w:r>
        <w:rPr>
          <w:rFonts w:hint="eastAsia" w:ascii="宋体" w:hAnsi="宋体"/>
          <w:color w:val="auto"/>
          <w:sz w:val="22"/>
          <w:szCs w:val="22"/>
          <w:highlight w:val="none"/>
        </w:rPr>
        <w:t>其他说明</w:t>
      </w:r>
    </w:p>
    <w:p>
      <w:pPr>
        <w:snapToGrid w:val="0"/>
        <w:spacing w:line="460" w:lineRule="atLeast"/>
        <w:ind w:firstLine="440" w:firstLineChars="200"/>
        <w:rPr>
          <w:rFonts w:ascii="宋体" w:hAnsi="宋体"/>
          <w:color w:val="auto"/>
          <w:sz w:val="22"/>
          <w:szCs w:val="22"/>
          <w:highlight w:val="none"/>
        </w:rPr>
      </w:pPr>
      <w:r>
        <w:rPr>
          <w:rFonts w:hint="eastAsia" w:ascii="宋体" w:hAnsi="宋体"/>
          <w:color w:val="auto"/>
          <w:sz w:val="22"/>
          <w:szCs w:val="22"/>
          <w:highlight w:val="none"/>
        </w:rPr>
        <w:t>（</w:t>
      </w:r>
      <w:r>
        <w:rPr>
          <w:rFonts w:ascii="宋体" w:hAnsi="宋体"/>
          <w:color w:val="auto"/>
          <w:sz w:val="22"/>
          <w:szCs w:val="22"/>
          <w:highlight w:val="none"/>
        </w:rPr>
        <w:t>1）</w:t>
      </w:r>
      <w:r>
        <w:rPr>
          <w:rFonts w:hint="eastAsia" w:ascii="宋体" w:hAnsi="宋体"/>
          <w:color w:val="auto"/>
          <w:sz w:val="22"/>
          <w:szCs w:val="22"/>
          <w:highlight w:val="none"/>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snapToGrid w:val="0"/>
        <w:spacing w:line="460" w:lineRule="atLeast"/>
        <w:ind w:firstLine="440" w:firstLineChars="200"/>
        <w:rPr>
          <w:rFonts w:ascii="宋体" w:hAnsi="宋体"/>
          <w:color w:val="auto"/>
          <w:sz w:val="22"/>
          <w:szCs w:val="22"/>
          <w:highlight w:val="none"/>
        </w:rPr>
      </w:pPr>
      <w:r>
        <w:rPr>
          <w:rFonts w:hint="eastAsia" w:ascii="宋体" w:hAnsi="宋体"/>
          <w:color w:val="auto"/>
          <w:sz w:val="22"/>
          <w:szCs w:val="22"/>
          <w:highlight w:val="none"/>
        </w:rPr>
        <w:t>（</w:t>
      </w:r>
      <w:r>
        <w:rPr>
          <w:rFonts w:ascii="宋体" w:hAnsi="宋体"/>
          <w:color w:val="auto"/>
          <w:sz w:val="22"/>
          <w:szCs w:val="22"/>
          <w:highlight w:val="none"/>
        </w:rPr>
        <w:t>2）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pPr>
        <w:snapToGrid w:val="0"/>
        <w:spacing w:line="460" w:lineRule="atLeast"/>
        <w:ind w:firstLine="440" w:firstLineChars="200"/>
        <w:rPr>
          <w:rFonts w:ascii="宋体" w:hAnsi="宋体"/>
          <w:color w:val="auto"/>
          <w:sz w:val="22"/>
          <w:szCs w:val="22"/>
          <w:highlight w:val="none"/>
        </w:rPr>
      </w:pPr>
      <w:r>
        <w:rPr>
          <w:rFonts w:hint="eastAsia" w:ascii="宋体" w:hAnsi="宋体"/>
          <w:color w:val="auto"/>
          <w:sz w:val="22"/>
          <w:szCs w:val="22"/>
          <w:highlight w:val="none"/>
        </w:rPr>
        <w:t>（</w:t>
      </w:r>
      <w:r>
        <w:rPr>
          <w:rFonts w:ascii="宋体" w:hAnsi="宋体"/>
          <w:color w:val="auto"/>
          <w:sz w:val="22"/>
          <w:szCs w:val="22"/>
          <w:highlight w:val="none"/>
        </w:rPr>
        <w:t>3）</w:t>
      </w:r>
      <w:r>
        <w:rPr>
          <w:rFonts w:hint="eastAsia" w:ascii="宋体" w:hAnsi="宋体"/>
          <w:color w:val="auto"/>
          <w:sz w:val="22"/>
          <w:szCs w:val="22"/>
          <w:highlight w:val="none"/>
        </w:rPr>
        <w:t>属于小微企业（含监狱企业、残疾人福利性单位）的投标供应商提供其他制造商制造的货物参与投标的，还应提供所投产品制造商属于小微企业（含监狱企业、残疾人福利性单位）的证明材料并加盖投标供应商公章，否则不享受价格折扣。</w:t>
      </w:r>
    </w:p>
    <w:p>
      <w:pPr>
        <w:snapToGrid w:val="0"/>
        <w:spacing w:line="460" w:lineRule="atLeast"/>
        <w:ind w:firstLine="440" w:firstLineChars="200"/>
        <w:rPr>
          <w:rFonts w:ascii="宋体" w:hAnsi="宋体"/>
          <w:color w:val="auto"/>
          <w:sz w:val="24"/>
          <w:highlight w:val="none"/>
        </w:rPr>
      </w:pPr>
      <w:r>
        <w:rPr>
          <w:rFonts w:ascii="宋体" w:hAnsi="宋体" w:cs="Courier New"/>
          <w:color w:val="auto"/>
          <w:sz w:val="22"/>
          <w:highlight w:val="none"/>
        </w:rPr>
        <w:br w:type="page"/>
      </w:r>
      <w:r>
        <w:rPr>
          <w:rFonts w:hint="eastAsia" w:ascii="宋体" w:hAnsi="宋体" w:cs="Courier New"/>
          <w:color w:val="auto"/>
          <w:sz w:val="22"/>
          <w:highlight w:val="none"/>
        </w:rPr>
        <w:t>附件1：</w:t>
      </w:r>
    </w:p>
    <w:p>
      <w:pPr>
        <w:spacing w:line="460" w:lineRule="atLeast"/>
        <w:jc w:val="center"/>
        <w:rPr>
          <w:rFonts w:ascii="宋体" w:hAnsi="宋体"/>
          <w:color w:val="auto"/>
          <w:sz w:val="24"/>
          <w:highlight w:val="none"/>
        </w:rPr>
      </w:pPr>
      <w:r>
        <w:rPr>
          <w:rFonts w:hint="eastAsia" w:ascii="宋体" w:hAnsi="宋体"/>
          <w:color w:val="auto"/>
          <w:sz w:val="24"/>
          <w:highlight w:val="none"/>
        </w:rPr>
        <w:t>中小企业声明函（服务）</w:t>
      </w:r>
    </w:p>
    <w:p>
      <w:pPr>
        <w:pStyle w:val="27"/>
        <w:ind w:firstLine="210"/>
        <w:rPr>
          <w:rFonts w:eastAsia="等线"/>
          <w:color w:val="auto"/>
          <w:highlight w:val="none"/>
        </w:rPr>
      </w:pPr>
    </w:p>
    <w:p>
      <w:pPr>
        <w:spacing w:line="460" w:lineRule="atLeast"/>
        <w:ind w:firstLine="440" w:firstLineChars="200"/>
        <w:rPr>
          <w:rFonts w:ascii="宋体" w:hAnsi="宋体" w:cs="Courier New"/>
          <w:color w:val="auto"/>
          <w:sz w:val="22"/>
          <w:highlight w:val="none"/>
        </w:rPr>
      </w:pPr>
      <w:r>
        <w:rPr>
          <w:rFonts w:ascii="宋体" w:hAnsi="宋体" w:cs="Courier New"/>
          <w:color w:val="auto"/>
          <w:sz w:val="22"/>
          <w:highlight w:val="none"/>
        </w:rPr>
        <w:t>本公司（联合体）郑重声明，根据《政府采购促进中小企业发展管理办法》（财库﹝2020﹞46 号）的规定</w:t>
      </w:r>
      <w:r>
        <w:rPr>
          <w:rFonts w:hint="eastAsia" w:ascii="宋体" w:hAnsi="宋体" w:cs="Courier New"/>
          <w:color w:val="auto"/>
          <w:sz w:val="22"/>
          <w:highlight w:val="none"/>
        </w:rPr>
        <w:t>，本公司</w:t>
      </w:r>
      <w:r>
        <w:rPr>
          <w:rFonts w:ascii="宋体" w:hAnsi="宋体" w:cs="Courier New"/>
          <w:color w:val="auto"/>
          <w:sz w:val="22"/>
          <w:highlight w:val="none"/>
        </w:rPr>
        <w:t>（联合体）参加（</w:t>
      </w:r>
      <w:r>
        <w:rPr>
          <w:rFonts w:ascii="宋体" w:hAnsi="宋体" w:cs="Courier New"/>
          <w:color w:val="auto"/>
          <w:sz w:val="22"/>
          <w:highlight w:val="none"/>
          <w:u w:val="single"/>
        </w:rPr>
        <w:t>单位名称</w:t>
      </w:r>
      <w:r>
        <w:rPr>
          <w:rFonts w:ascii="宋体" w:hAnsi="宋体" w:cs="Courier New"/>
          <w:color w:val="auto"/>
          <w:sz w:val="22"/>
          <w:highlight w:val="none"/>
        </w:rPr>
        <w:t>）的（</w:t>
      </w:r>
      <w:r>
        <w:rPr>
          <w:rFonts w:ascii="宋体" w:hAnsi="宋体" w:cs="Courier New"/>
          <w:color w:val="auto"/>
          <w:sz w:val="22"/>
          <w:highlight w:val="none"/>
          <w:u w:val="single"/>
        </w:rPr>
        <w:t>项目名称）</w:t>
      </w:r>
      <w:r>
        <w:rPr>
          <w:rFonts w:ascii="宋体" w:hAnsi="宋体" w:cs="Courier New"/>
          <w:color w:val="auto"/>
          <w:sz w:val="22"/>
          <w:highlight w:val="none"/>
        </w:rPr>
        <w:t>采购活动，</w:t>
      </w:r>
      <w:r>
        <w:rPr>
          <w:rFonts w:hint="eastAsia" w:ascii="宋体" w:hAnsi="宋体" w:cs="Courier New"/>
          <w:color w:val="auto"/>
          <w:sz w:val="22"/>
          <w:highlight w:val="none"/>
        </w:rPr>
        <w:t>服务全部由符合政策要求的中小企业承接</w:t>
      </w:r>
      <w:r>
        <w:rPr>
          <w:rFonts w:ascii="宋体" w:hAnsi="宋体" w:cs="Courier New"/>
          <w:color w:val="auto"/>
          <w:sz w:val="22"/>
          <w:highlight w:val="none"/>
        </w:rPr>
        <w:t>。相关企业（含联合体中的中小企业、签订分包意向协议的中小企业）的具体情况如下：</w:t>
      </w:r>
      <w:r>
        <w:rPr>
          <w:rFonts w:hint="eastAsia" w:ascii="宋体" w:hAnsi="宋体" w:cs="Courier New"/>
          <w:color w:val="auto"/>
          <w:sz w:val="22"/>
          <w:highlight w:val="none"/>
        </w:rPr>
        <w:br w:type="textWrapping"/>
      </w:r>
      <w:r>
        <w:rPr>
          <w:rFonts w:hint="eastAsia" w:ascii="宋体" w:hAnsi="宋体" w:cs="Courier New"/>
          <w:color w:val="auto"/>
          <w:sz w:val="22"/>
          <w:highlight w:val="none"/>
        </w:rPr>
        <w:t>  1.</w:t>
      </w:r>
      <w:r>
        <w:rPr>
          <w:rFonts w:ascii="宋体" w:hAnsi="宋体" w:cs="Courier New"/>
          <w:color w:val="auto"/>
          <w:sz w:val="22"/>
          <w:highlight w:val="none"/>
        </w:rPr>
        <w:t xml:space="preserve"> </w:t>
      </w:r>
      <w:r>
        <w:rPr>
          <w:rFonts w:ascii="宋体" w:hAnsi="宋体" w:cs="Courier New"/>
          <w:color w:val="auto"/>
          <w:sz w:val="22"/>
          <w:highlight w:val="none"/>
          <w:u w:val="single"/>
        </w:rPr>
        <w:t xml:space="preserve">（标的名称） </w:t>
      </w:r>
      <w:r>
        <w:rPr>
          <w:rFonts w:ascii="宋体" w:hAnsi="宋体" w:cs="Courier New"/>
          <w:color w:val="auto"/>
          <w:sz w:val="22"/>
          <w:highlight w:val="none"/>
        </w:rPr>
        <w:t>，；承接企业为（</w:t>
      </w:r>
      <w:r>
        <w:rPr>
          <w:rFonts w:ascii="宋体" w:hAnsi="宋体" w:cs="Courier New"/>
          <w:color w:val="auto"/>
          <w:sz w:val="22"/>
          <w:highlight w:val="none"/>
          <w:u w:val="single"/>
        </w:rPr>
        <w:t>企业名称</w:t>
      </w:r>
      <w:r>
        <w:rPr>
          <w:rFonts w:ascii="宋体" w:hAnsi="宋体" w:cs="Courier New"/>
          <w:color w:val="auto"/>
          <w:sz w:val="22"/>
          <w:highlight w:val="none"/>
        </w:rPr>
        <w:t>），从业人员</w:t>
      </w:r>
      <w:r>
        <w:rPr>
          <w:rFonts w:ascii="宋体" w:hAnsi="宋体" w:cs="Courier New"/>
          <w:color w:val="auto"/>
          <w:sz w:val="22"/>
          <w:highlight w:val="none"/>
          <w:u w:val="single"/>
        </w:rPr>
        <w:t xml:space="preserve">      </w:t>
      </w:r>
      <w:r>
        <w:rPr>
          <w:rFonts w:ascii="宋体" w:hAnsi="宋体" w:cs="Courier New"/>
          <w:color w:val="auto"/>
          <w:sz w:val="22"/>
          <w:highlight w:val="none"/>
        </w:rPr>
        <w:t>人，营业收入为</w:t>
      </w:r>
      <w:r>
        <w:rPr>
          <w:rFonts w:ascii="宋体" w:hAnsi="宋体" w:cs="Courier New"/>
          <w:color w:val="auto"/>
          <w:sz w:val="22"/>
          <w:highlight w:val="none"/>
          <w:u w:val="single"/>
        </w:rPr>
        <w:t xml:space="preserve">       </w:t>
      </w:r>
      <w:r>
        <w:rPr>
          <w:rFonts w:ascii="宋体" w:hAnsi="宋体" w:cs="Courier New"/>
          <w:color w:val="auto"/>
          <w:sz w:val="22"/>
          <w:highlight w:val="none"/>
        </w:rPr>
        <w:t>万元，资产总额为</w:t>
      </w:r>
      <w:r>
        <w:rPr>
          <w:rFonts w:ascii="宋体" w:hAnsi="宋体" w:cs="Courier New"/>
          <w:color w:val="auto"/>
          <w:sz w:val="22"/>
          <w:highlight w:val="none"/>
          <w:u w:val="single"/>
        </w:rPr>
        <w:t xml:space="preserve">      </w:t>
      </w:r>
      <w:r>
        <w:rPr>
          <w:rFonts w:ascii="宋体" w:hAnsi="宋体" w:cs="Courier New"/>
          <w:color w:val="auto"/>
          <w:sz w:val="22"/>
          <w:highlight w:val="none"/>
        </w:rPr>
        <w:t>万元，属于</w:t>
      </w:r>
      <w:r>
        <w:rPr>
          <w:rFonts w:ascii="宋体" w:hAnsi="宋体" w:cs="Courier New"/>
          <w:color w:val="auto"/>
          <w:sz w:val="22"/>
          <w:highlight w:val="none"/>
          <w:u w:val="single"/>
        </w:rPr>
        <w:t>（</w:t>
      </w:r>
      <w:r>
        <w:rPr>
          <w:rFonts w:hint="eastAsia" w:ascii="宋体" w:hAnsi="宋体" w:cs="Courier New"/>
          <w:color w:val="auto"/>
          <w:sz w:val="22"/>
          <w:highlight w:val="none"/>
          <w:u w:val="single"/>
        </w:rPr>
        <w:t xml:space="preserve"> </w:t>
      </w:r>
      <w:r>
        <w:rPr>
          <w:rFonts w:ascii="宋体" w:hAnsi="宋体" w:cs="Courier New"/>
          <w:color w:val="auto"/>
          <w:sz w:val="22"/>
          <w:highlight w:val="none"/>
          <w:u w:val="single"/>
        </w:rPr>
        <w:t xml:space="preserve">         </w:t>
      </w:r>
      <w:r>
        <w:rPr>
          <w:rFonts w:hint="eastAsia" w:ascii="宋体" w:hAnsi="宋体" w:cs="Courier New"/>
          <w:color w:val="auto"/>
          <w:sz w:val="22"/>
          <w:highlight w:val="none"/>
          <w:u w:val="single"/>
        </w:rPr>
        <w:t>行业</w:t>
      </w:r>
      <w:r>
        <w:rPr>
          <w:rFonts w:ascii="宋体" w:hAnsi="宋体" w:cs="Courier New"/>
          <w:color w:val="auto"/>
          <w:sz w:val="22"/>
          <w:highlight w:val="none"/>
          <w:u w:val="single"/>
        </w:rPr>
        <w:t>）</w:t>
      </w:r>
      <w:r>
        <w:rPr>
          <w:rFonts w:hint="eastAsia" w:ascii="宋体" w:hAnsi="宋体" w:cs="Courier New"/>
          <w:color w:val="auto"/>
          <w:sz w:val="22"/>
          <w:highlight w:val="none"/>
          <w:u w:val="single"/>
        </w:rPr>
        <w:t>的</w:t>
      </w:r>
      <w:r>
        <w:rPr>
          <w:rFonts w:ascii="宋体" w:hAnsi="宋体" w:cs="Courier New"/>
          <w:color w:val="auto"/>
          <w:sz w:val="22"/>
          <w:highlight w:val="none"/>
          <w:u w:val="single"/>
        </w:rPr>
        <w:t>（中型企业、小型企业、微型企业）；</w:t>
      </w:r>
      <w:r>
        <w:rPr>
          <w:rFonts w:hint="eastAsia" w:ascii="宋体" w:hAnsi="宋体" w:cs="Courier New"/>
          <w:color w:val="auto"/>
          <w:sz w:val="22"/>
          <w:highlight w:val="none"/>
        </w:rPr>
        <w:br w:type="textWrapping"/>
      </w:r>
      <w:r>
        <w:rPr>
          <w:rFonts w:hint="eastAsia" w:ascii="宋体" w:hAnsi="宋体" w:cs="Courier New"/>
          <w:color w:val="auto"/>
          <w:sz w:val="22"/>
          <w:highlight w:val="none"/>
        </w:rPr>
        <w:t>  </w:t>
      </w:r>
      <w:r>
        <w:rPr>
          <w:rFonts w:ascii="宋体" w:hAnsi="宋体" w:cs="Courier New"/>
          <w:color w:val="auto"/>
          <w:sz w:val="22"/>
          <w:highlight w:val="none"/>
        </w:rPr>
        <w:t>……</w:t>
      </w:r>
    </w:p>
    <w:p>
      <w:pPr>
        <w:spacing w:line="460" w:lineRule="atLeast"/>
        <w:rPr>
          <w:rFonts w:ascii="宋体" w:hAnsi="宋体" w:cs="Courier New"/>
          <w:color w:val="auto"/>
          <w:sz w:val="22"/>
          <w:highlight w:val="none"/>
        </w:rPr>
      </w:pPr>
    </w:p>
    <w:p>
      <w:pPr>
        <w:spacing w:line="460" w:lineRule="atLeast"/>
        <w:ind w:firstLine="440" w:firstLineChars="200"/>
        <w:rPr>
          <w:rFonts w:ascii="宋体" w:hAnsi="宋体" w:cs="Courier New"/>
          <w:color w:val="auto"/>
          <w:sz w:val="22"/>
          <w:highlight w:val="none"/>
        </w:rPr>
      </w:pPr>
      <w:r>
        <w:rPr>
          <w:rFonts w:ascii="宋体" w:hAnsi="宋体" w:cs="Courier New"/>
          <w:color w:val="auto"/>
          <w:sz w:val="22"/>
          <w:highlight w:val="none"/>
        </w:rPr>
        <w:t xml:space="preserve">以上企业，不属于大企业的分支机构，不存在控股股东为大企业的情形，也不存在与大企业的负责人为同一人的情形。 </w:t>
      </w:r>
    </w:p>
    <w:p>
      <w:pPr>
        <w:spacing w:line="460" w:lineRule="atLeast"/>
        <w:ind w:firstLine="440" w:firstLineChars="200"/>
        <w:rPr>
          <w:rFonts w:ascii="宋体" w:hAnsi="宋体" w:cs="Courier New"/>
          <w:color w:val="auto"/>
          <w:sz w:val="22"/>
          <w:highlight w:val="none"/>
        </w:rPr>
      </w:pPr>
      <w:r>
        <w:rPr>
          <w:rFonts w:ascii="宋体" w:hAnsi="宋体" w:cs="Courier New"/>
          <w:color w:val="auto"/>
          <w:sz w:val="22"/>
          <w:highlight w:val="none"/>
        </w:rPr>
        <w:t xml:space="preserve">本企业对上述声明内容的真实性负责。如有虚假，将依法承担相应责任。 </w:t>
      </w:r>
    </w:p>
    <w:p>
      <w:pPr>
        <w:spacing w:line="460" w:lineRule="atLeast"/>
        <w:rPr>
          <w:rFonts w:ascii="宋体" w:hAnsi="宋体" w:cs="Courier New"/>
          <w:color w:val="auto"/>
          <w:sz w:val="22"/>
          <w:highlight w:val="none"/>
        </w:rPr>
      </w:pPr>
    </w:p>
    <w:p>
      <w:pPr>
        <w:spacing w:line="460" w:lineRule="atLeast"/>
        <w:jc w:val="center"/>
        <w:rPr>
          <w:rFonts w:ascii="宋体" w:hAnsi="宋体" w:cs="Courier New"/>
          <w:color w:val="auto"/>
          <w:sz w:val="22"/>
          <w:highlight w:val="none"/>
        </w:rPr>
      </w:pPr>
      <w:r>
        <w:rPr>
          <w:rFonts w:hint="eastAsia" w:ascii="宋体" w:hAnsi="宋体" w:cs="Courier New"/>
          <w:color w:val="auto"/>
          <w:sz w:val="22"/>
          <w:highlight w:val="none"/>
        </w:rPr>
        <w:t xml:space="preserve"> </w:t>
      </w:r>
      <w:r>
        <w:rPr>
          <w:rFonts w:ascii="宋体" w:hAnsi="宋体" w:cs="Courier New"/>
          <w:color w:val="auto"/>
          <w:sz w:val="22"/>
          <w:highlight w:val="none"/>
        </w:rPr>
        <w:t xml:space="preserve">                         </w:t>
      </w:r>
      <w:r>
        <w:rPr>
          <w:rFonts w:hint="eastAsia" w:ascii="宋体" w:hAnsi="宋体" w:cs="Courier New"/>
          <w:color w:val="auto"/>
          <w:sz w:val="22"/>
          <w:highlight w:val="none"/>
        </w:rPr>
        <w:t>投标供应商名称（盖章）：    </w:t>
      </w:r>
      <w:r>
        <w:rPr>
          <w:rFonts w:hint="eastAsia" w:ascii="宋体" w:hAnsi="宋体" w:cs="Courier New"/>
          <w:color w:val="auto"/>
          <w:sz w:val="22"/>
          <w:highlight w:val="none"/>
        </w:rPr>
        <w:br w:type="textWrapping"/>
      </w:r>
      <w:r>
        <w:rPr>
          <w:rFonts w:hint="eastAsia" w:ascii="宋体" w:hAnsi="宋体" w:cs="Courier New"/>
          <w:color w:val="auto"/>
          <w:sz w:val="22"/>
          <w:highlight w:val="none"/>
        </w:rPr>
        <w:t>日期：</w:t>
      </w:r>
    </w:p>
    <w:p>
      <w:pPr>
        <w:spacing w:line="440" w:lineRule="atLeast"/>
        <w:rPr>
          <w:rFonts w:ascii="宋体" w:hAnsi="宋体" w:cs="Courier New"/>
          <w:color w:val="auto"/>
          <w:sz w:val="22"/>
          <w:highlight w:val="none"/>
        </w:rPr>
      </w:pPr>
    </w:p>
    <w:p>
      <w:pPr>
        <w:spacing w:line="440" w:lineRule="atLeast"/>
        <w:rPr>
          <w:rFonts w:ascii="宋体" w:hAnsi="宋体" w:cs="Courier New"/>
          <w:color w:val="auto"/>
          <w:sz w:val="22"/>
          <w:highlight w:val="none"/>
        </w:rPr>
      </w:pPr>
    </w:p>
    <w:p>
      <w:pPr>
        <w:spacing w:line="440" w:lineRule="atLeast"/>
        <w:rPr>
          <w:rFonts w:ascii="宋体" w:hAnsi="宋体" w:cs="Courier New"/>
          <w:bCs/>
          <w:color w:val="auto"/>
          <w:sz w:val="22"/>
          <w:highlight w:val="none"/>
        </w:rPr>
      </w:pPr>
      <w:r>
        <w:rPr>
          <w:rFonts w:ascii="宋体" w:hAnsi="宋体" w:cs="Courier New"/>
          <w:color w:val="auto"/>
          <w:sz w:val="22"/>
          <w:highlight w:val="none"/>
        </w:rPr>
        <w:t xml:space="preserve">   </w:t>
      </w:r>
      <w:r>
        <w:rPr>
          <w:rFonts w:ascii="宋体" w:hAnsi="宋体" w:cs="Courier New"/>
          <w:bCs/>
          <w:color w:val="auto"/>
          <w:sz w:val="22"/>
          <w:highlight w:val="none"/>
        </w:rPr>
        <w:t xml:space="preserve"> </w:t>
      </w:r>
      <w:r>
        <w:rPr>
          <w:rFonts w:hint="eastAsia" w:ascii="宋体" w:hAnsi="宋体" w:cs="Courier New"/>
          <w:bCs/>
          <w:color w:val="auto"/>
          <w:sz w:val="22"/>
          <w:highlight w:val="none"/>
        </w:rPr>
        <w:t>说明：</w:t>
      </w:r>
    </w:p>
    <w:p>
      <w:pPr>
        <w:spacing w:line="440" w:lineRule="atLeast"/>
        <w:rPr>
          <w:rFonts w:ascii="宋体" w:hAnsi="宋体" w:cs="Courier New"/>
          <w:bCs/>
          <w:color w:val="auto"/>
          <w:sz w:val="22"/>
          <w:highlight w:val="none"/>
        </w:rPr>
      </w:pPr>
      <w:r>
        <w:rPr>
          <w:rFonts w:ascii="宋体" w:hAnsi="宋体" w:cs="Courier New"/>
          <w:bCs/>
          <w:color w:val="auto"/>
          <w:sz w:val="22"/>
          <w:highlight w:val="none"/>
        </w:rPr>
        <w:t xml:space="preserve">    1</w:t>
      </w:r>
      <w:r>
        <w:rPr>
          <w:rFonts w:hint="eastAsia" w:ascii="宋体" w:hAnsi="宋体" w:cs="Courier New"/>
          <w:bCs/>
          <w:color w:val="auto"/>
          <w:sz w:val="22"/>
          <w:highlight w:val="none"/>
        </w:rPr>
        <w:t>、具体行业类别及企业规模参照《工业和信息化部、国家统计局、国家发展和改革委员会、财政部关于印发中小企业划型标准规定的通知》（工信部联企业</w:t>
      </w:r>
      <w:r>
        <w:rPr>
          <w:rFonts w:ascii="宋体" w:hAnsi="宋体" w:cs="Courier New"/>
          <w:bCs/>
          <w:color w:val="auto"/>
          <w:sz w:val="22"/>
          <w:highlight w:val="none"/>
        </w:rPr>
        <w:t>[2011]300</w:t>
      </w:r>
      <w:r>
        <w:rPr>
          <w:rFonts w:hint="eastAsia" w:ascii="宋体" w:hAnsi="宋体" w:cs="Courier New"/>
          <w:bCs/>
          <w:color w:val="auto"/>
          <w:sz w:val="22"/>
          <w:highlight w:val="none"/>
        </w:rPr>
        <w:t>号），由投标供应商自行填写。从业人员、营业收入、资产总额填报上一年度数据，无上一年度数据的新成立企业可不填报。</w:t>
      </w:r>
    </w:p>
    <w:p>
      <w:pPr>
        <w:spacing w:line="440" w:lineRule="atLeast"/>
        <w:rPr>
          <w:rFonts w:ascii="宋体" w:hAnsi="宋体" w:cs="Courier New"/>
          <w:bCs/>
          <w:color w:val="auto"/>
          <w:sz w:val="22"/>
          <w:highlight w:val="none"/>
        </w:rPr>
      </w:pPr>
      <w:r>
        <w:rPr>
          <w:rFonts w:ascii="宋体" w:hAnsi="宋体" w:cs="Courier New"/>
          <w:bCs/>
          <w:color w:val="auto"/>
          <w:sz w:val="22"/>
          <w:highlight w:val="none"/>
        </w:rPr>
        <w:t xml:space="preserve">    2</w:t>
      </w:r>
      <w:r>
        <w:rPr>
          <w:rFonts w:hint="eastAsia" w:ascii="宋体" w:hAnsi="宋体" w:cs="Courier New"/>
          <w:bCs/>
          <w:color w:val="auto"/>
          <w:sz w:val="22"/>
          <w:highlight w:val="none"/>
        </w:rPr>
        <w:t>、如中标，将在采购结果公告中将此中小企业声明函予以公示，接受社会监督。</w:t>
      </w:r>
    </w:p>
    <w:p>
      <w:pPr>
        <w:spacing w:line="440" w:lineRule="atLeast"/>
        <w:rPr>
          <w:rFonts w:ascii="宋体" w:hAnsi="宋体" w:cs="Courier New"/>
          <w:color w:val="auto"/>
          <w:sz w:val="22"/>
          <w:highlight w:val="none"/>
        </w:rPr>
      </w:pPr>
    </w:p>
    <w:p>
      <w:pPr>
        <w:spacing w:line="440" w:lineRule="atLeast"/>
        <w:rPr>
          <w:rFonts w:ascii="宋体" w:hAnsi="宋体" w:cs="Courier New"/>
          <w:color w:val="auto"/>
          <w:sz w:val="22"/>
          <w:highlight w:val="none"/>
        </w:rPr>
      </w:pPr>
    </w:p>
    <w:p>
      <w:pPr>
        <w:spacing w:line="440" w:lineRule="atLeast"/>
        <w:rPr>
          <w:rFonts w:ascii="宋体" w:hAnsi="宋体" w:cs="Courier New"/>
          <w:color w:val="auto"/>
          <w:sz w:val="22"/>
          <w:highlight w:val="none"/>
        </w:rPr>
      </w:pPr>
    </w:p>
    <w:p>
      <w:pPr>
        <w:spacing w:line="440" w:lineRule="atLeast"/>
        <w:rPr>
          <w:rFonts w:ascii="宋体" w:hAnsi="宋体" w:cs="Courier New"/>
          <w:color w:val="auto"/>
          <w:sz w:val="22"/>
          <w:highlight w:val="none"/>
        </w:rPr>
      </w:pPr>
    </w:p>
    <w:p>
      <w:pPr>
        <w:spacing w:line="460" w:lineRule="exact"/>
        <w:rPr>
          <w:rFonts w:ascii="宋体" w:hAnsi="宋体" w:cs="Courier New"/>
          <w:color w:val="auto"/>
          <w:sz w:val="22"/>
          <w:highlight w:val="none"/>
        </w:rPr>
      </w:pPr>
      <w:r>
        <w:rPr>
          <w:rFonts w:ascii="宋体" w:hAnsi="宋体" w:cs="Courier New"/>
          <w:color w:val="auto"/>
          <w:sz w:val="22"/>
          <w:highlight w:val="none"/>
        </w:rPr>
        <w:br w:type="page"/>
      </w:r>
      <w:r>
        <w:rPr>
          <w:rFonts w:hint="eastAsia" w:ascii="宋体" w:hAnsi="宋体" w:cs="Courier New"/>
          <w:color w:val="auto"/>
          <w:sz w:val="22"/>
          <w:highlight w:val="none"/>
        </w:rPr>
        <w:t>附件2：</w:t>
      </w:r>
    </w:p>
    <w:p>
      <w:pPr>
        <w:spacing w:line="460" w:lineRule="exact"/>
        <w:jc w:val="center"/>
        <w:rPr>
          <w:rFonts w:ascii="宋体" w:hAnsi="宋体" w:cs="Courier New"/>
          <w:color w:val="auto"/>
          <w:sz w:val="22"/>
          <w:highlight w:val="none"/>
        </w:rPr>
      </w:pPr>
      <w:bookmarkStart w:id="8" w:name="OLE_LINK13"/>
      <w:bookmarkStart w:id="9" w:name="OLE_LINK14"/>
      <w:r>
        <w:rPr>
          <w:rFonts w:hint="eastAsia" w:ascii="宋体" w:hAnsi="宋体" w:cs="Courier New"/>
          <w:color w:val="auto"/>
          <w:sz w:val="22"/>
          <w:highlight w:val="none"/>
        </w:rPr>
        <w:t>残疾人福利性单位声明函</w:t>
      </w:r>
    </w:p>
    <w:bookmarkEnd w:id="8"/>
    <w:bookmarkEnd w:id="9"/>
    <w:p>
      <w:pPr>
        <w:spacing w:line="588" w:lineRule="exact"/>
        <w:rPr>
          <w:rFonts w:ascii="宋体" w:hAnsi="宋体"/>
          <w:color w:val="auto"/>
          <w:spacing w:val="6"/>
          <w:sz w:val="30"/>
          <w:szCs w:val="30"/>
          <w:highlight w:val="none"/>
        </w:rPr>
      </w:pPr>
    </w:p>
    <w:p>
      <w:pPr>
        <w:spacing w:line="588" w:lineRule="exact"/>
        <w:ind w:firstLine="440" w:firstLineChars="200"/>
        <w:rPr>
          <w:rFonts w:ascii="宋体" w:hAnsi="宋体" w:cs="Courier New"/>
          <w:color w:val="auto"/>
          <w:sz w:val="22"/>
          <w:highlight w:val="none"/>
        </w:rPr>
      </w:pPr>
      <w:r>
        <w:rPr>
          <w:rFonts w:hint="eastAsia" w:ascii="宋体" w:hAnsi="宋体" w:cs="Courier New"/>
          <w:color w:val="auto"/>
          <w:sz w:val="22"/>
          <w:highlight w:val="none"/>
        </w:rPr>
        <w:t>本单位郑重声明，根据《财政部 民政部 中国残疾人联合会关于促进残疾人就业政府采购政策的通知》（财库〔2017〕 141号）的规定，本单位为符合条件的残疾人福利性单位，且本单位参加</w:t>
      </w:r>
      <w:r>
        <w:rPr>
          <w:rFonts w:ascii="宋体" w:hAnsi="宋体" w:cs="Courier New"/>
          <w:color w:val="auto"/>
          <w:sz w:val="22"/>
          <w:highlight w:val="none"/>
        </w:rPr>
        <w:t>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0" w:firstLineChars="200"/>
        <w:rPr>
          <w:rFonts w:ascii="宋体" w:hAnsi="宋体" w:cs="Courier New"/>
          <w:color w:val="auto"/>
          <w:sz w:val="22"/>
          <w:highlight w:val="none"/>
        </w:rPr>
      </w:pPr>
      <w:r>
        <w:rPr>
          <w:rFonts w:hint="eastAsia" w:ascii="宋体" w:hAnsi="宋体" w:cs="Courier New"/>
          <w:color w:val="auto"/>
          <w:sz w:val="22"/>
          <w:highlight w:val="none"/>
        </w:rPr>
        <w:t>本单位对上述声明的真实性负责。如有虚假，将依法承担相应责任。</w:t>
      </w:r>
    </w:p>
    <w:p>
      <w:pPr>
        <w:spacing w:line="588" w:lineRule="exact"/>
        <w:ind w:firstLine="624" w:firstLineChars="200"/>
        <w:rPr>
          <w:rFonts w:ascii="宋体" w:hAnsi="宋体"/>
          <w:color w:val="auto"/>
          <w:spacing w:val="6"/>
          <w:sz w:val="30"/>
          <w:szCs w:val="30"/>
          <w:highlight w:val="none"/>
        </w:rPr>
      </w:pPr>
    </w:p>
    <w:p>
      <w:pPr>
        <w:spacing w:line="588" w:lineRule="exact"/>
        <w:ind w:firstLine="624" w:firstLineChars="200"/>
        <w:rPr>
          <w:rFonts w:ascii="宋体" w:hAnsi="宋体"/>
          <w:color w:val="auto"/>
          <w:spacing w:val="6"/>
          <w:sz w:val="30"/>
          <w:szCs w:val="30"/>
          <w:highlight w:val="none"/>
        </w:rPr>
      </w:pPr>
    </w:p>
    <w:p>
      <w:pPr>
        <w:spacing w:line="460" w:lineRule="atLeast"/>
        <w:rPr>
          <w:rFonts w:ascii="宋体" w:hAnsi="宋体" w:cs="Courier New"/>
          <w:color w:val="auto"/>
          <w:sz w:val="22"/>
          <w:highlight w:val="none"/>
        </w:rPr>
      </w:pPr>
      <w:r>
        <w:rPr>
          <w:rFonts w:hint="eastAsia" w:ascii="宋体" w:hAnsi="宋体" w:cs="Courier New"/>
          <w:color w:val="auto"/>
          <w:sz w:val="22"/>
          <w:highlight w:val="none"/>
        </w:rPr>
        <w:t>投标供应商名称（盖章）：                </w:t>
      </w:r>
      <w:r>
        <w:rPr>
          <w:rFonts w:hint="eastAsia" w:ascii="宋体" w:hAnsi="宋体" w:cs="Courier New"/>
          <w:color w:val="auto"/>
          <w:sz w:val="22"/>
          <w:highlight w:val="none"/>
        </w:rPr>
        <w:br w:type="textWrapping"/>
      </w:r>
      <w:r>
        <w:rPr>
          <w:rFonts w:hint="eastAsia" w:ascii="宋体" w:hAnsi="宋体" w:cs="Courier New"/>
          <w:color w:val="auto"/>
          <w:sz w:val="22"/>
          <w:highlight w:val="none"/>
        </w:rPr>
        <w:t>日期：</w:t>
      </w:r>
    </w:p>
    <w:p>
      <w:pPr>
        <w:tabs>
          <w:tab w:val="left" w:pos="4860"/>
        </w:tabs>
        <w:spacing w:line="588" w:lineRule="exact"/>
        <w:ind w:right="1560" w:firstLine="624" w:firstLineChars="200"/>
        <w:jc w:val="center"/>
        <w:rPr>
          <w:rFonts w:ascii="宋体" w:hAnsi="宋体"/>
          <w:color w:val="auto"/>
          <w:spacing w:val="6"/>
          <w:sz w:val="30"/>
          <w:szCs w:val="30"/>
          <w:highlight w:val="none"/>
        </w:rPr>
      </w:pPr>
    </w:p>
    <w:p>
      <w:pPr>
        <w:tabs>
          <w:tab w:val="left" w:pos="4860"/>
        </w:tabs>
        <w:spacing w:line="588" w:lineRule="exact"/>
        <w:ind w:right="1560" w:firstLine="624" w:firstLineChars="200"/>
        <w:jc w:val="center"/>
        <w:rPr>
          <w:rFonts w:ascii="宋体" w:hAnsi="宋体"/>
          <w:color w:val="auto"/>
          <w:spacing w:val="6"/>
          <w:sz w:val="30"/>
          <w:szCs w:val="30"/>
          <w:highlight w:val="none"/>
        </w:rPr>
      </w:pPr>
    </w:p>
    <w:p>
      <w:pPr>
        <w:tabs>
          <w:tab w:val="left" w:pos="4860"/>
        </w:tabs>
        <w:spacing w:line="588" w:lineRule="exact"/>
        <w:ind w:right="1560"/>
        <w:jc w:val="left"/>
        <w:rPr>
          <w:rFonts w:ascii="宋体" w:hAnsi="宋体"/>
          <w:color w:val="auto"/>
          <w:sz w:val="22"/>
          <w:szCs w:val="22"/>
          <w:highlight w:val="none"/>
        </w:rPr>
      </w:pPr>
      <w:r>
        <w:rPr>
          <w:rFonts w:hint="eastAsia" w:ascii="宋体" w:hAnsi="宋体"/>
          <w:color w:val="auto"/>
          <w:sz w:val="22"/>
          <w:szCs w:val="22"/>
          <w:highlight w:val="none"/>
        </w:rPr>
        <w:t>备注说明：</w:t>
      </w:r>
    </w:p>
    <w:p>
      <w:pPr>
        <w:spacing w:line="588" w:lineRule="exact"/>
        <w:ind w:firstLine="440" w:firstLineChars="200"/>
        <w:rPr>
          <w:rFonts w:ascii="宋体" w:hAnsi="宋体" w:cs="Courier New"/>
          <w:color w:val="auto"/>
          <w:sz w:val="22"/>
          <w:highlight w:val="none"/>
        </w:rPr>
      </w:pPr>
      <w:r>
        <w:rPr>
          <w:rFonts w:hint="eastAsia" w:ascii="宋体" w:hAnsi="宋体" w:cs="Courier New"/>
          <w:color w:val="auto"/>
          <w:sz w:val="22"/>
          <w:highlight w:val="none"/>
        </w:rPr>
        <w:t>1、如中标，将在中标公告中将此残疾人福利性单位声明函予以公示，接受社会监督；</w:t>
      </w:r>
    </w:p>
    <w:p>
      <w:pPr>
        <w:snapToGrid w:val="0"/>
        <w:spacing w:line="460" w:lineRule="atLeast"/>
        <w:ind w:firstLine="440" w:firstLineChars="200"/>
        <w:rPr>
          <w:rFonts w:hint="eastAsia" w:ascii="宋体" w:hAnsi="宋体" w:cs="Courier New"/>
          <w:color w:val="auto"/>
          <w:sz w:val="22"/>
          <w:highlight w:val="none"/>
        </w:rPr>
      </w:pPr>
      <w:r>
        <w:rPr>
          <w:rFonts w:ascii="宋体" w:hAnsi="宋体" w:cs="Courier New"/>
          <w:color w:val="auto"/>
          <w:sz w:val="22"/>
          <w:highlight w:val="none"/>
        </w:rPr>
        <w:t>2</w:t>
      </w:r>
      <w:r>
        <w:rPr>
          <w:rFonts w:hint="eastAsia" w:ascii="宋体" w:hAnsi="宋体" w:cs="Courier New"/>
          <w:color w:val="auto"/>
          <w:sz w:val="22"/>
          <w:highlight w:val="none"/>
        </w:rPr>
        <w:t>、供应商提供的《残疾人福利性单位声明函》与事实不符的，依照《政府采购法》第七十七条第一款的规定追究法律责任。</w:t>
      </w:r>
    </w:p>
    <w:p>
      <w:pPr>
        <w:rPr>
          <w:rFonts w:hint="eastAsia" w:ascii="宋体" w:hAnsi="宋体" w:cs="Courier New"/>
          <w:color w:val="auto"/>
          <w:sz w:val="22"/>
          <w:highlight w:val="none"/>
        </w:rPr>
      </w:pPr>
      <w:r>
        <w:rPr>
          <w:rFonts w:hint="eastAsia" w:ascii="宋体" w:hAnsi="宋体" w:cs="Courier New"/>
          <w:color w:val="auto"/>
          <w:sz w:val="22"/>
          <w:highlight w:val="none"/>
        </w:rPr>
        <w:br w:type="page"/>
      </w:r>
    </w:p>
    <w:p>
      <w:pPr>
        <w:tabs>
          <w:tab w:val="left" w:pos="540"/>
        </w:tabs>
        <w:spacing w:line="440" w:lineRule="exact"/>
        <w:jc w:val="center"/>
        <w:rPr>
          <w:rFonts w:ascii="黑体" w:hAnsi="宋体" w:eastAsia="黑体"/>
          <w:b/>
          <w:bCs/>
          <w:color w:val="auto"/>
          <w:sz w:val="36"/>
          <w:szCs w:val="36"/>
          <w:highlight w:val="none"/>
        </w:rPr>
      </w:pPr>
      <w:r>
        <w:rPr>
          <w:rFonts w:hint="eastAsia" w:ascii="黑体" w:hAnsi="宋体" w:eastAsia="黑体"/>
          <w:b/>
          <w:bCs/>
          <w:color w:val="auto"/>
          <w:sz w:val="36"/>
          <w:szCs w:val="36"/>
          <w:highlight w:val="none"/>
        </w:rPr>
        <w:t>第三部分     合同主要条款</w:t>
      </w:r>
    </w:p>
    <w:p>
      <w:pPr>
        <w:jc w:val="center"/>
        <w:rPr>
          <w:rFonts w:ascii="宋体" w:hAnsi="宋体"/>
          <w:color w:val="auto"/>
          <w:highlight w:val="none"/>
        </w:rPr>
      </w:pPr>
      <w:r>
        <w:rPr>
          <w:rFonts w:hint="eastAsia" w:ascii="宋体" w:hAnsi="宋体"/>
          <w:color w:val="auto"/>
          <w:szCs w:val="21"/>
          <w:highlight w:val="none"/>
        </w:rPr>
        <w:t>(合同最终协商确定)</w:t>
      </w:r>
    </w:p>
    <w:p>
      <w:pPr>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鉴于甲方于20   年  月  日接受乙方对的投标，双方根据《中华人民共和国民典法》和本项目的招标文件、投标文件及其投标中的承诺，经双方协商，同意签订本合同，共同遵守：</w:t>
      </w:r>
    </w:p>
    <w:p>
      <w:pPr>
        <w:spacing w:line="460" w:lineRule="exact"/>
        <w:rPr>
          <w:rFonts w:ascii="宋体" w:hAnsi="宋体" w:cs="宋体"/>
          <w:color w:val="auto"/>
          <w:szCs w:val="21"/>
          <w:highlight w:val="none"/>
        </w:rPr>
      </w:pPr>
      <w:r>
        <w:rPr>
          <w:rFonts w:hint="eastAsia" w:ascii="宋体" w:hAnsi="宋体" w:cs="宋体"/>
          <w:b/>
          <w:color w:val="auto"/>
          <w:szCs w:val="21"/>
          <w:highlight w:val="none"/>
        </w:rPr>
        <w:t>一、合同内容</w:t>
      </w:r>
      <w:r>
        <w:rPr>
          <w:rFonts w:hint="eastAsia" w:ascii="宋体" w:hAnsi="宋体" w:cs="宋体"/>
          <w:color w:val="auto"/>
          <w:szCs w:val="21"/>
          <w:highlight w:val="none"/>
        </w:rPr>
        <w:t>：依据招标文件及</w:t>
      </w:r>
      <w:r>
        <w:rPr>
          <w:rFonts w:hint="eastAsia" w:ascii="宋体" w:hAnsi="宋体" w:cs="宋体"/>
          <w:color w:val="auto"/>
          <w:kern w:val="0"/>
          <w:szCs w:val="21"/>
          <w:highlight w:val="none"/>
          <w:lang w:val="zh-CN"/>
        </w:rPr>
        <w:t>招标人</w:t>
      </w:r>
      <w:r>
        <w:rPr>
          <w:rFonts w:hint="eastAsia" w:ascii="宋体" w:hAnsi="宋体" w:cs="宋体"/>
          <w:color w:val="auto"/>
          <w:szCs w:val="21"/>
          <w:highlight w:val="none"/>
        </w:rPr>
        <w:t>规定的服务内容。</w:t>
      </w:r>
    </w:p>
    <w:p>
      <w:pPr>
        <w:spacing w:line="460" w:lineRule="exact"/>
        <w:rPr>
          <w:rFonts w:ascii="宋体" w:hAnsi="宋体" w:cs="宋体"/>
          <w:b/>
          <w:color w:val="auto"/>
          <w:szCs w:val="21"/>
          <w:highlight w:val="none"/>
        </w:rPr>
      </w:pPr>
      <w:r>
        <w:rPr>
          <w:rFonts w:hint="eastAsia" w:ascii="宋体" w:hAnsi="宋体" w:cs="宋体"/>
          <w:b/>
          <w:color w:val="auto"/>
          <w:szCs w:val="21"/>
          <w:highlight w:val="none"/>
        </w:rPr>
        <w:t>二、合同价格</w:t>
      </w:r>
    </w:p>
    <w:p>
      <w:pPr>
        <w:spacing w:line="460" w:lineRule="exact"/>
        <w:ind w:firstLine="420" w:firstLineChars="200"/>
        <w:rPr>
          <w:rFonts w:ascii="宋体" w:hAnsi="宋体" w:cs="宋体"/>
          <w:b/>
          <w:bCs/>
          <w:color w:val="auto"/>
          <w:szCs w:val="21"/>
          <w:highlight w:val="none"/>
          <w:u w:val="single"/>
        </w:rPr>
      </w:pPr>
      <w:r>
        <w:rPr>
          <w:rFonts w:hint="eastAsia" w:ascii="宋体" w:hAnsi="宋体" w:cs="宋体"/>
          <w:color w:val="auto"/>
          <w:szCs w:val="21"/>
          <w:highlight w:val="none"/>
        </w:rPr>
        <w:t>本合同总价为人民币万元。</w:t>
      </w:r>
      <w:r>
        <w:rPr>
          <w:rFonts w:hint="eastAsia" w:ascii="宋体" w:hAnsi="宋体" w:cs="宋体"/>
          <w:b/>
          <w:bCs/>
          <w:color w:val="auto"/>
          <w:szCs w:val="21"/>
          <w:highlight w:val="none"/>
        </w:rPr>
        <w:t>“合同总价”是指根据本合同规定，乙方在正确地完全履行合同义务后甲方应支付给乙方的价款（工地价）。</w:t>
      </w:r>
      <w:r>
        <w:rPr>
          <w:rFonts w:hint="eastAsia" w:ascii="宋体" w:hAnsi="宋体" w:cs="宋体"/>
          <w:b/>
          <w:bCs/>
          <w:color w:val="auto"/>
          <w:szCs w:val="21"/>
          <w:highlight w:val="none"/>
          <w:u w:val="single"/>
        </w:rPr>
        <w:t>即数据更新、系统运行维护人工费、网络租赁、硬件采购、项目验收、技术培训费、售后服务等相关费用、利润、不可预见费、税金、劳动保险、招标代理费以及其它应包含的全部费用，实行固定费用总包干。</w:t>
      </w:r>
    </w:p>
    <w:p>
      <w:pPr>
        <w:spacing w:line="460" w:lineRule="exact"/>
        <w:rPr>
          <w:rFonts w:ascii="宋体" w:hAnsi="宋体" w:cs="宋体"/>
          <w:color w:val="auto"/>
          <w:szCs w:val="21"/>
          <w:highlight w:val="none"/>
        </w:rPr>
      </w:pPr>
      <w:r>
        <w:rPr>
          <w:rFonts w:hint="eastAsia" w:ascii="宋体" w:hAnsi="宋体" w:cs="宋体"/>
          <w:b/>
          <w:color w:val="auto"/>
          <w:szCs w:val="21"/>
          <w:highlight w:val="none"/>
        </w:rPr>
        <w:t xml:space="preserve">三、项目实施时间： </w:t>
      </w:r>
    </w:p>
    <w:p>
      <w:pPr>
        <w:spacing w:line="460" w:lineRule="exact"/>
        <w:ind w:firstLine="422" w:firstLineChars="200"/>
        <w:rPr>
          <w:rFonts w:ascii="宋体" w:hAnsi="宋体" w:cs="宋体"/>
          <w:b/>
          <w:bCs/>
          <w:color w:val="auto"/>
          <w:szCs w:val="21"/>
          <w:highlight w:val="none"/>
          <w:u w:val="single"/>
        </w:rPr>
      </w:pPr>
      <w:r>
        <w:rPr>
          <w:rFonts w:hint="eastAsia" w:ascii="宋体" w:hAnsi="宋体" w:cs="宋体"/>
          <w:b/>
          <w:bCs/>
          <w:color w:val="auto"/>
          <w:szCs w:val="21"/>
          <w:highlight w:val="none"/>
          <w:u w:val="single"/>
        </w:rPr>
        <w:t>本项目建设周期6个月（2022年</w:t>
      </w:r>
      <w:r>
        <w:rPr>
          <w:rFonts w:hint="eastAsia" w:ascii="宋体" w:hAnsi="宋体" w:cs="宋体"/>
          <w:b/>
          <w:bCs/>
          <w:color w:val="auto"/>
          <w:szCs w:val="21"/>
          <w:highlight w:val="none"/>
          <w:u w:val="single"/>
          <w:lang w:val="en-US" w:eastAsia="zh-CN"/>
        </w:rPr>
        <w:t xml:space="preserve">   </w:t>
      </w:r>
      <w:r>
        <w:rPr>
          <w:rFonts w:hint="eastAsia" w:ascii="宋体" w:hAnsi="宋体" w:cs="宋体"/>
          <w:b/>
          <w:bCs/>
          <w:color w:val="auto"/>
          <w:szCs w:val="21"/>
          <w:highlight w:val="none"/>
          <w:u w:val="single"/>
        </w:rPr>
        <w:t>月至2022年</w:t>
      </w:r>
      <w:r>
        <w:rPr>
          <w:rFonts w:hint="eastAsia" w:ascii="宋体" w:hAnsi="宋体" w:cs="宋体"/>
          <w:b/>
          <w:bCs/>
          <w:color w:val="auto"/>
          <w:szCs w:val="21"/>
          <w:highlight w:val="none"/>
          <w:u w:val="single"/>
          <w:lang w:val="en-US" w:eastAsia="zh-CN"/>
        </w:rPr>
        <w:t xml:space="preserve">  </w:t>
      </w:r>
      <w:r>
        <w:rPr>
          <w:rFonts w:hint="eastAsia" w:ascii="宋体" w:hAnsi="宋体" w:cs="宋体"/>
          <w:b/>
          <w:bCs/>
          <w:color w:val="auto"/>
          <w:szCs w:val="21"/>
          <w:highlight w:val="none"/>
          <w:u w:val="single"/>
        </w:rPr>
        <w:t>月）。</w:t>
      </w:r>
    </w:p>
    <w:p>
      <w:pPr>
        <w:spacing w:line="460" w:lineRule="exact"/>
        <w:ind w:firstLine="422" w:firstLineChars="200"/>
        <w:rPr>
          <w:rFonts w:ascii="宋体" w:hAnsi="宋体" w:cs="宋体"/>
          <w:b/>
          <w:bCs/>
          <w:color w:val="auto"/>
          <w:szCs w:val="21"/>
          <w:highlight w:val="none"/>
          <w:u w:val="single"/>
        </w:rPr>
      </w:pPr>
      <w:r>
        <w:rPr>
          <w:rFonts w:hint="eastAsia" w:ascii="宋体" w:hAnsi="宋体" w:cs="宋体"/>
          <w:b/>
          <w:bCs/>
          <w:color w:val="auto"/>
          <w:szCs w:val="21"/>
          <w:highlight w:val="none"/>
          <w:u w:val="single"/>
        </w:rPr>
        <w:t>以上工作如不能按时完成，采购方将根据合同约定，对成交供应商予以经济处罚，一切返工费用及经济损失均由成交供应商承担。</w:t>
      </w:r>
    </w:p>
    <w:p>
      <w:pPr>
        <w:spacing w:line="440" w:lineRule="exact"/>
        <w:rPr>
          <w:rFonts w:ascii="宋体" w:hAnsi="宋体" w:cs="宋体"/>
          <w:color w:val="auto"/>
          <w:szCs w:val="21"/>
          <w:highlight w:val="none"/>
        </w:rPr>
      </w:pPr>
      <w:r>
        <w:rPr>
          <w:rFonts w:hint="eastAsia" w:ascii="宋体" w:hAnsi="宋体" w:cs="宋体"/>
          <w:b/>
          <w:color w:val="auto"/>
          <w:szCs w:val="21"/>
          <w:highlight w:val="none"/>
        </w:rPr>
        <w:t>四、</w:t>
      </w:r>
      <w:r>
        <w:rPr>
          <w:rFonts w:hint="eastAsia" w:ascii="宋体" w:hAnsi="宋体" w:cs="宋体"/>
          <w:color w:val="auto"/>
          <w:szCs w:val="21"/>
          <w:highlight w:val="none"/>
        </w:rPr>
        <w:t>费用支付。</w:t>
      </w:r>
    </w:p>
    <w:p>
      <w:pPr>
        <w:widowControl/>
        <w:snapToGrid w:val="0"/>
        <w:spacing w:line="440" w:lineRule="exact"/>
        <w:ind w:left="424" w:leftChars="200" w:hanging="4" w:hangingChars="2"/>
        <w:jc w:val="left"/>
        <w:rPr>
          <w:rFonts w:ascii="宋体" w:hAnsi="宋体" w:cs="宋体"/>
          <w:b/>
          <w:color w:val="auto"/>
          <w:szCs w:val="21"/>
          <w:highlight w:val="none"/>
        </w:rPr>
      </w:pPr>
      <w:r>
        <w:rPr>
          <w:rFonts w:hint="eastAsia" w:ascii="宋体" w:hAnsi="宋体" w:cs="宋体"/>
          <w:b/>
          <w:color w:val="auto"/>
          <w:szCs w:val="21"/>
          <w:highlight w:val="none"/>
        </w:rPr>
        <w:t>合同签订后</w:t>
      </w:r>
      <w:r>
        <w:rPr>
          <w:rFonts w:hint="eastAsia" w:ascii="宋体" w:hAnsi="宋体" w:cs="宋体"/>
          <w:b/>
          <w:color w:val="auto"/>
          <w:szCs w:val="21"/>
          <w:highlight w:val="none"/>
          <w:lang w:val="en-US" w:eastAsia="zh-CN"/>
        </w:rPr>
        <w:t>7</w:t>
      </w:r>
      <w:r>
        <w:rPr>
          <w:rFonts w:hint="eastAsia" w:ascii="宋体" w:hAnsi="宋体" w:cs="宋体"/>
          <w:b/>
          <w:color w:val="auto"/>
          <w:szCs w:val="21"/>
          <w:highlight w:val="none"/>
        </w:rPr>
        <w:t>个工作日内乙方向甲方提交合同总价</w:t>
      </w:r>
      <w:r>
        <w:rPr>
          <w:rFonts w:hint="eastAsia" w:ascii="宋体" w:hAnsi="宋体" w:cs="宋体"/>
          <w:b/>
          <w:color w:val="auto"/>
          <w:szCs w:val="21"/>
          <w:highlight w:val="none"/>
          <w:lang w:val="en-US" w:eastAsia="zh-CN"/>
        </w:rPr>
        <w:t>1</w:t>
      </w:r>
      <w:r>
        <w:rPr>
          <w:rFonts w:hint="eastAsia" w:ascii="宋体" w:hAnsi="宋体" w:cs="宋体"/>
          <w:b/>
          <w:color w:val="auto"/>
          <w:szCs w:val="21"/>
          <w:highlight w:val="none"/>
        </w:rPr>
        <w:t>%的履约保证金，履约保证金在项目成果验收合格后</w:t>
      </w:r>
      <w:r>
        <w:rPr>
          <w:rFonts w:hint="eastAsia" w:ascii="宋体" w:hAnsi="宋体" w:cs="宋体"/>
          <w:b/>
          <w:color w:val="auto"/>
          <w:szCs w:val="21"/>
          <w:highlight w:val="none"/>
          <w:lang w:val="en-US" w:eastAsia="zh-CN"/>
        </w:rPr>
        <w:t>7</w:t>
      </w:r>
      <w:r>
        <w:rPr>
          <w:rFonts w:hint="eastAsia" w:ascii="宋体" w:hAnsi="宋体" w:cs="宋体"/>
          <w:b/>
          <w:color w:val="auto"/>
          <w:szCs w:val="21"/>
          <w:highlight w:val="none"/>
        </w:rPr>
        <w:t>个工作日内无息退还。</w:t>
      </w:r>
    </w:p>
    <w:p>
      <w:pPr>
        <w:widowControl/>
        <w:snapToGrid w:val="0"/>
        <w:spacing w:line="440" w:lineRule="exact"/>
        <w:ind w:left="420" w:leftChars="200"/>
        <w:jc w:val="left"/>
        <w:rPr>
          <w:rFonts w:ascii="宋体" w:hAnsi="宋体" w:cs="宋体"/>
          <w:b/>
          <w:color w:val="auto"/>
          <w:szCs w:val="21"/>
          <w:highlight w:val="none"/>
        </w:rPr>
      </w:pPr>
      <w:r>
        <w:rPr>
          <w:rFonts w:hint="eastAsia" w:ascii="宋体" w:hAnsi="宋体" w:cs="宋体"/>
          <w:b/>
          <w:color w:val="auto"/>
          <w:szCs w:val="21"/>
          <w:highlight w:val="none"/>
        </w:rPr>
        <w:t>本项目合同签订生效后，甲方在</w:t>
      </w:r>
      <w:r>
        <w:rPr>
          <w:rFonts w:hint="eastAsia" w:ascii="宋体" w:hAnsi="宋体" w:cs="宋体"/>
          <w:b/>
          <w:color w:val="auto"/>
          <w:szCs w:val="21"/>
          <w:highlight w:val="none"/>
          <w:lang w:val="en-US" w:eastAsia="zh-CN"/>
        </w:rPr>
        <w:t>7</w:t>
      </w:r>
      <w:r>
        <w:rPr>
          <w:rFonts w:hint="eastAsia" w:ascii="宋体" w:hAnsi="宋体" w:cs="宋体"/>
          <w:b/>
          <w:color w:val="auto"/>
          <w:szCs w:val="21"/>
          <w:highlight w:val="none"/>
        </w:rPr>
        <w:t>个工作日内向乙方支付合同总额的50%；</w:t>
      </w:r>
    </w:p>
    <w:p>
      <w:pPr>
        <w:widowControl/>
        <w:snapToGrid w:val="0"/>
        <w:spacing w:line="440" w:lineRule="exact"/>
        <w:ind w:left="420" w:leftChars="200"/>
        <w:jc w:val="left"/>
        <w:rPr>
          <w:rFonts w:ascii="宋体" w:hAnsi="宋体" w:cs="宋体"/>
          <w:b/>
          <w:color w:val="auto"/>
          <w:szCs w:val="21"/>
          <w:highlight w:val="none"/>
        </w:rPr>
      </w:pPr>
      <w:r>
        <w:rPr>
          <w:rFonts w:hint="eastAsia" w:ascii="宋体" w:hAnsi="宋体" w:cs="宋体"/>
          <w:b/>
          <w:color w:val="auto"/>
          <w:szCs w:val="21"/>
          <w:highlight w:val="none"/>
        </w:rPr>
        <w:t>提交全部合格成果，并经确认审核合格后，甲方在</w:t>
      </w:r>
      <w:r>
        <w:rPr>
          <w:rFonts w:hint="eastAsia" w:ascii="宋体" w:hAnsi="宋体" w:cs="宋体"/>
          <w:b/>
          <w:color w:val="auto"/>
          <w:szCs w:val="21"/>
          <w:highlight w:val="none"/>
          <w:lang w:val="en-US" w:eastAsia="zh-CN"/>
        </w:rPr>
        <w:t>7</w:t>
      </w:r>
      <w:r>
        <w:rPr>
          <w:rFonts w:hint="eastAsia" w:ascii="宋体" w:hAnsi="宋体" w:cs="宋体"/>
          <w:b/>
          <w:color w:val="auto"/>
          <w:szCs w:val="21"/>
          <w:highlight w:val="none"/>
        </w:rPr>
        <w:t>个工作日内向乙方支付合同总额50%；</w:t>
      </w:r>
    </w:p>
    <w:p>
      <w:pPr>
        <w:spacing w:line="440" w:lineRule="exact"/>
        <w:rPr>
          <w:rFonts w:ascii="宋体" w:hAnsi="宋体" w:cs="宋体"/>
          <w:b/>
          <w:color w:val="auto"/>
          <w:szCs w:val="21"/>
          <w:highlight w:val="none"/>
        </w:rPr>
      </w:pPr>
      <w:r>
        <w:rPr>
          <w:rFonts w:hint="eastAsia" w:ascii="宋体" w:hAnsi="宋体" w:cs="宋体"/>
          <w:b/>
          <w:color w:val="auto"/>
          <w:szCs w:val="21"/>
          <w:highlight w:val="none"/>
        </w:rPr>
        <w:t>五、相关服务</w:t>
      </w:r>
    </w:p>
    <w:p>
      <w:pPr>
        <w:spacing w:line="440" w:lineRule="exact"/>
        <w:ind w:left="735" w:leftChars="200" w:hanging="315" w:hangingChars="150"/>
        <w:rPr>
          <w:rFonts w:ascii="宋体" w:hAnsi="宋体" w:cs="宋体"/>
          <w:color w:val="auto"/>
          <w:szCs w:val="21"/>
          <w:highlight w:val="none"/>
        </w:rPr>
      </w:pPr>
      <w:r>
        <w:rPr>
          <w:rFonts w:hint="eastAsia" w:ascii="宋体" w:hAnsi="宋体" w:cs="宋体"/>
          <w:color w:val="auto"/>
          <w:szCs w:val="21"/>
          <w:highlight w:val="none"/>
        </w:rPr>
        <w:t>乙方为甲方提供如下免费服务：</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1、项目实施过程中，中标供应商应自行与相关部门协商，调取调查需收集的相关数据，相关费用须供应商自行承担。</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2、建立全面的涉密成果保密管理制度，做好相关涉密数据的保密监管，落实保密责任和保密措施，防止失泄密事件发生，确保涉密成果安全。</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3、建立完善的服务管理机制，做到服务责任到人，能与招标方进行通畅交流。</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4、保证更新数据及时上线，确保相关系统的正常运行，提供每天24小时保障服务。</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5、能及时处理各系统平台运行时的各类故障，做到小故障1-2小时内解决，大故障1-2天内解决，对未能及时处理的故障，实行第一时间报告通知制度，并有相应的一套完整的解决及应对方案。</w:t>
      </w:r>
    </w:p>
    <w:p>
      <w:pPr>
        <w:widowControl/>
        <w:spacing w:line="360" w:lineRule="auto"/>
        <w:jc w:val="left"/>
        <w:rPr>
          <w:rFonts w:ascii="宋体" w:hAnsi="宋体" w:cs="宋体"/>
          <w:color w:val="auto"/>
          <w:szCs w:val="21"/>
          <w:highlight w:val="none"/>
        </w:rPr>
      </w:pPr>
      <w:r>
        <w:rPr>
          <w:rFonts w:hint="eastAsia" w:ascii="宋体" w:hAnsi="宋体" w:cs="宋体"/>
          <w:color w:val="auto"/>
          <w:szCs w:val="21"/>
          <w:highlight w:val="none"/>
        </w:rPr>
        <w:tab/>
      </w:r>
      <w:r>
        <w:rPr>
          <w:rFonts w:hint="eastAsia" w:ascii="宋体" w:hAnsi="宋体" w:cs="宋体"/>
          <w:bCs/>
          <w:color w:val="auto"/>
          <w:szCs w:val="21"/>
          <w:highlight w:val="none"/>
        </w:rPr>
        <w:t>6、项目通过验收后，中标方必须对招标方提供系统性的安装、使用、配置管理等培训，以及长期技术支持服务。</w:t>
      </w:r>
    </w:p>
    <w:p>
      <w:pPr>
        <w:spacing w:line="440" w:lineRule="exact"/>
        <w:ind w:left="735" w:leftChars="200" w:hanging="315" w:hangingChars="150"/>
        <w:rPr>
          <w:rFonts w:ascii="宋体" w:hAnsi="宋体" w:cs="宋体"/>
          <w:color w:val="auto"/>
          <w:szCs w:val="21"/>
          <w:highlight w:val="none"/>
        </w:rPr>
      </w:pPr>
      <w:r>
        <w:rPr>
          <w:rFonts w:hint="eastAsia" w:ascii="宋体" w:hAnsi="宋体" w:cs="宋体"/>
          <w:color w:val="auto"/>
          <w:szCs w:val="21"/>
          <w:highlight w:val="none"/>
        </w:rPr>
        <w:t>7、▲</w:t>
      </w:r>
      <w:r>
        <w:rPr>
          <w:rFonts w:hint="eastAsia" w:ascii="宋体" w:hAnsi="宋体" w:cs="宋体"/>
          <w:b/>
          <w:color w:val="auto"/>
          <w:szCs w:val="21"/>
          <w:highlight w:val="none"/>
          <w:u w:val="single"/>
        </w:rPr>
        <w:t>中标方须提供电话热线7×24小时的技术咨询与服务，接到采购方维护电话后即时做出响应，维护服务人员必须在1小时内到达招标方现场，投标时作出承诺</w:t>
      </w:r>
      <w:r>
        <w:rPr>
          <w:rFonts w:hint="eastAsia" w:ascii="宋体" w:hAnsi="宋体" w:cs="宋体"/>
          <w:color w:val="auto"/>
          <w:szCs w:val="21"/>
          <w:highlight w:val="none"/>
        </w:rPr>
        <w:t>。</w:t>
      </w:r>
      <w:r>
        <w:rPr>
          <w:rFonts w:hint="eastAsia" w:ascii="宋体" w:hAnsi="宋体" w:cs="宋体"/>
          <w:b/>
          <w:color w:val="auto"/>
          <w:szCs w:val="21"/>
          <w:highlight w:val="none"/>
          <w:u w:val="single"/>
        </w:rPr>
        <w:t>如果中标方在接到通知后的2个小时内未到达招标方现场，则由于故障所造成的全部损失由中标方承担。</w:t>
      </w:r>
    </w:p>
    <w:p>
      <w:pPr>
        <w:spacing w:line="440" w:lineRule="exact"/>
        <w:rPr>
          <w:rFonts w:ascii="宋体" w:hAnsi="宋体" w:cs="宋体"/>
          <w:b/>
          <w:color w:val="auto"/>
          <w:szCs w:val="21"/>
          <w:highlight w:val="none"/>
        </w:rPr>
      </w:pPr>
      <w:r>
        <w:rPr>
          <w:rFonts w:hint="eastAsia" w:ascii="宋体" w:hAnsi="宋体" w:cs="宋体"/>
          <w:b/>
          <w:color w:val="auto"/>
          <w:szCs w:val="21"/>
          <w:highlight w:val="none"/>
        </w:rPr>
        <w:t>六、甲方权利与义务</w:t>
      </w:r>
    </w:p>
    <w:p>
      <w:pPr>
        <w:widowControl/>
        <w:autoSpaceDE w:val="0"/>
        <w:autoSpaceDN w:val="0"/>
        <w:adjustRightInd w:val="0"/>
        <w:spacing w:line="400" w:lineRule="exact"/>
        <w:ind w:left="424" w:leftChars="52" w:hanging="315" w:hangingChars="150"/>
        <w:rPr>
          <w:rFonts w:ascii="宋体" w:hAnsi="宋体" w:cs="宋体"/>
          <w:bCs/>
          <w:color w:val="auto"/>
          <w:szCs w:val="21"/>
          <w:highlight w:val="none"/>
        </w:rPr>
      </w:pPr>
      <w:r>
        <w:rPr>
          <w:rFonts w:hint="eastAsia" w:ascii="宋体" w:hAnsi="宋体" w:cs="宋体"/>
          <w:bCs/>
          <w:color w:val="auto"/>
          <w:szCs w:val="21"/>
          <w:highlight w:val="none"/>
        </w:rPr>
        <w:t>1、甲方有权要求乙方全面、高效、优质的履行合同规定的要求以及乙方承诺的义务（包括响应文件的承诺）。乙方未能如期达到本合同要求，甲方有权解除本合同，除扣除相应合同款外，乙方应赔偿甲方相应的损失。</w:t>
      </w:r>
    </w:p>
    <w:p>
      <w:pPr>
        <w:widowControl/>
        <w:autoSpaceDE w:val="0"/>
        <w:autoSpaceDN w:val="0"/>
        <w:adjustRightInd w:val="0"/>
        <w:spacing w:line="400" w:lineRule="exact"/>
        <w:ind w:left="424" w:leftChars="52" w:hanging="315" w:hangingChars="150"/>
        <w:rPr>
          <w:rFonts w:ascii="宋体" w:hAnsi="宋体" w:cs="宋体"/>
          <w:bCs/>
          <w:color w:val="auto"/>
          <w:szCs w:val="21"/>
          <w:highlight w:val="none"/>
        </w:rPr>
      </w:pPr>
      <w:r>
        <w:rPr>
          <w:rFonts w:hint="eastAsia" w:ascii="宋体" w:hAnsi="宋体" w:cs="宋体"/>
          <w:bCs/>
          <w:color w:val="auto"/>
          <w:szCs w:val="21"/>
          <w:highlight w:val="none"/>
        </w:rPr>
        <w:t>2、甲方有权对乙方的合同履约和实施情况、质量、效果进行全面的技术指导、检查、管理和监督，对发现的问题及时向乙方提出书面或口头改进意见，并限期予以整改。</w:t>
      </w:r>
    </w:p>
    <w:p>
      <w:pPr>
        <w:widowControl/>
        <w:autoSpaceDE w:val="0"/>
        <w:autoSpaceDN w:val="0"/>
        <w:adjustRightInd w:val="0"/>
        <w:spacing w:line="400" w:lineRule="exact"/>
        <w:ind w:left="424" w:leftChars="52" w:hanging="315" w:hangingChars="150"/>
        <w:rPr>
          <w:rFonts w:ascii="宋体" w:hAnsi="宋体" w:cs="宋体"/>
          <w:bCs/>
          <w:color w:val="auto"/>
          <w:szCs w:val="21"/>
          <w:highlight w:val="none"/>
        </w:rPr>
      </w:pPr>
      <w:r>
        <w:rPr>
          <w:rFonts w:hint="eastAsia" w:ascii="宋体" w:hAnsi="宋体" w:cs="宋体"/>
          <w:bCs/>
          <w:color w:val="auto"/>
          <w:szCs w:val="21"/>
          <w:highlight w:val="none"/>
        </w:rPr>
        <w:t>3、甲方应按时向乙方支付合同款项，如出现有合同款项扣罚或经济处罚的情况，将在扣罚相关金额后进行余额的支付。</w:t>
      </w:r>
    </w:p>
    <w:p>
      <w:pPr>
        <w:widowControl/>
        <w:autoSpaceDE w:val="0"/>
        <w:autoSpaceDN w:val="0"/>
        <w:adjustRightInd w:val="0"/>
        <w:spacing w:line="400" w:lineRule="exact"/>
        <w:ind w:left="424" w:leftChars="52" w:hanging="315" w:hangingChars="150"/>
        <w:rPr>
          <w:rFonts w:ascii="宋体" w:hAnsi="宋体" w:cs="宋体"/>
          <w:bCs/>
          <w:color w:val="auto"/>
          <w:szCs w:val="21"/>
          <w:highlight w:val="none"/>
        </w:rPr>
      </w:pPr>
      <w:r>
        <w:rPr>
          <w:rFonts w:hint="eastAsia" w:ascii="宋体" w:hAnsi="宋体" w:cs="宋体"/>
          <w:bCs/>
          <w:color w:val="auto"/>
          <w:szCs w:val="21"/>
          <w:highlight w:val="none"/>
        </w:rPr>
        <w:t>4、甲方需积极协助配合乙方开展相关工作，协助乙方解决问题、使之顺利开展工作。</w:t>
      </w:r>
    </w:p>
    <w:p>
      <w:pPr>
        <w:widowControl/>
        <w:autoSpaceDE w:val="0"/>
        <w:autoSpaceDN w:val="0"/>
        <w:adjustRightInd w:val="0"/>
        <w:spacing w:line="400" w:lineRule="exact"/>
        <w:ind w:left="424" w:leftChars="52" w:hanging="315" w:hangingChars="150"/>
        <w:rPr>
          <w:rFonts w:ascii="宋体" w:hAnsi="宋体" w:cs="宋体"/>
          <w:bCs/>
          <w:color w:val="auto"/>
          <w:szCs w:val="21"/>
          <w:highlight w:val="none"/>
        </w:rPr>
      </w:pPr>
      <w:r>
        <w:rPr>
          <w:rFonts w:hint="eastAsia" w:ascii="宋体" w:hAnsi="宋体" w:cs="宋体"/>
          <w:bCs/>
          <w:color w:val="auto"/>
          <w:szCs w:val="21"/>
          <w:highlight w:val="none"/>
        </w:rPr>
        <w:t>5、甲方可要求乙方调整不合格项目组成员及员工，并在要求的时间内及时调整到位。</w:t>
      </w:r>
    </w:p>
    <w:p>
      <w:pPr>
        <w:overflowPunct w:val="0"/>
        <w:spacing w:line="440" w:lineRule="exact"/>
        <w:rPr>
          <w:rFonts w:ascii="宋体" w:hAnsi="宋体" w:cs="宋体"/>
          <w:b/>
          <w:bCs/>
          <w:color w:val="auto"/>
          <w:szCs w:val="21"/>
          <w:highlight w:val="none"/>
        </w:rPr>
      </w:pPr>
      <w:r>
        <w:rPr>
          <w:rFonts w:hint="eastAsia" w:ascii="宋体" w:hAnsi="宋体" w:cs="宋体"/>
          <w:b/>
          <w:bCs/>
          <w:color w:val="auto"/>
          <w:szCs w:val="21"/>
          <w:highlight w:val="none"/>
        </w:rPr>
        <w:t>七、乙方权利和义务</w:t>
      </w:r>
    </w:p>
    <w:p>
      <w:pPr>
        <w:widowControl/>
        <w:autoSpaceDE w:val="0"/>
        <w:autoSpaceDN w:val="0"/>
        <w:adjustRightInd w:val="0"/>
        <w:spacing w:line="400" w:lineRule="exact"/>
        <w:ind w:left="424" w:leftChars="52" w:hanging="315" w:hangingChars="150"/>
        <w:rPr>
          <w:rFonts w:ascii="宋体" w:hAnsi="宋体" w:cs="宋体"/>
          <w:bCs/>
          <w:color w:val="auto"/>
          <w:szCs w:val="21"/>
          <w:highlight w:val="none"/>
        </w:rPr>
      </w:pPr>
      <w:r>
        <w:rPr>
          <w:rFonts w:hint="eastAsia" w:ascii="宋体" w:hAnsi="宋体" w:cs="宋体"/>
          <w:bCs/>
          <w:color w:val="auto"/>
          <w:szCs w:val="21"/>
          <w:highlight w:val="none"/>
        </w:rPr>
        <w:t>1、乙方有权根据合同约定领取项目实施经费。</w:t>
      </w:r>
    </w:p>
    <w:p>
      <w:pPr>
        <w:widowControl/>
        <w:autoSpaceDE w:val="0"/>
        <w:autoSpaceDN w:val="0"/>
        <w:adjustRightInd w:val="0"/>
        <w:spacing w:line="400" w:lineRule="exact"/>
        <w:ind w:left="424" w:leftChars="52" w:hanging="315" w:hangingChars="150"/>
        <w:rPr>
          <w:rFonts w:ascii="宋体" w:hAnsi="宋体" w:cs="宋体"/>
          <w:bCs/>
          <w:color w:val="auto"/>
          <w:szCs w:val="21"/>
          <w:highlight w:val="none"/>
        </w:rPr>
      </w:pPr>
      <w:r>
        <w:rPr>
          <w:rFonts w:hint="eastAsia" w:ascii="宋体" w:hAnsi="宋体" w:cs="宋体"/>
          <w:bCs/>
          <w:color w:val="auto"/>
          <w:szCs w:val="21"/>
          <w:highlight w:val="none"/>
        </w:rPr>
        <w:t>2、乙方应在委托代理范围内全面、高效、优质的履行合同规定的各项要求。</w:t>
      </w:r>
    </w:p>
    <w:p>
      <w:pPr>
        <w:widowControl/>
        <w:autoSpaceDE w:val="0"/>
        <w:autoSpaceDN w:val="0"/>
        <w:adjustRightInd w:val="0"/>
        <w:spacing w:line="400" w:lineRule="exact"/>
        <w:ind w:left="424" w:leftChars="52" w:hanging="315" w:hangingChars="150"/>
        <w:rPr>
          <w:rFonts w:ascii="宋体" w:hAnsi="宋体" w:cs="宋体"/>
          <w:bCs/>
          <w:color w:val="auto"/>
          <w:szCs w:val="21"/>
          <w:highlight w:val="none"/>
        </w:rPr>
      </w:pPr>
      <w:r>
        <w:rPr>
          <w:rFonts w:hint="eastAsia" w:ascii="宋体" w:hAnsi="宋体" w:cs="宋体"/>
          <w:bCs/>
          <w:color w:val="auto"/>
          <w:szCs w:val="21"/>
          <w:highlight w:val="none"/>
        </w:rPr>
        <w:t>3、乙方应接受甲方的质量监督管理、检查监督及指导，完成甲方交办的各类工作任务，并达到质量控制的各项要求。</w:t>
      </w:r>
    </w:p>
    <w:p>
      <w:pPr>
        <w:widowControl/>
        <w:autoSpaceDE w:val="0"/>
        <w:autoSpaceDN w:val="0"/>
        <w:adjustRightInd w:val="0"/>
        <w:spacing w:line="400" w:lineRule="exact"/>
        <w:ind w:left="424" w:leftChars="52" w:hanging="315" w:hangingChars="150"/>
        <w:rPr>
          <w:rFonts w:ascii="宋体" w:hAnsi="宋体" w:cs="宋体"/>
          <w:bCs/>
          <w:color w:val="auto"/>
          <w:szCs w:val="21"/>
          <w:highlight w:val="none"/>
        </w:rPr>
      </w:pPr>
      <w:r>
        <w:rPr>
          <w:rFonts w:hint="eastAsia" w:ascii="宋体" w:hAnsi="宋体" w:cs="宋体"/>
          <w:bCs/>
          <w:color w:val="auto"/>
          <w:szCs w:val="21"/>
          <w:highlight w:val="none"/>
        </w:rPr>
        <w:t>4、乙方应当根据有关标准、工作方案及本合同的要求，在合同承包期限内完成项目，并通过甲方验收。由于乙方原因产生的质量问题或没达到验收标准，返工费用由乙方自理。</w:t>
      </w:r>
    </w:p>
    <w:p>
      <w:pPr>
        <w:widowControl/>
        <w:autoSpaceDE w:val="0"/>
        <w:autoSpaceDN w:val="0"/>
        <w:adjustRightInd w:val="0"/>
        <w:spacing w:line="400" w:lineRule="exact"/>
        <w:ind w:left="424" w:leftChars="52" w:hanging="315" w:hangingChars="150"/>
        <w:rPr>
          <w:rFonts w:ascii="宋体" w:hAnsi="宋体" w:cs="宋体"/>
          <w:bCs/>
          <w:color w:val="auto"/>
          <w:szCs w:val="21"/>
          <w:highlight w:val="none"/>
        </w:rPr>
      </w:pPr>
      <w:r>
        <w:rPr>
          <w:rFonts w:hint="eastAsia" w:ascii="宋体" w:hAnsi="宋体" w:cs="宋体"/>
          <w:bCs/>
          <w:color w:val="auto"/>
          <w:szCs w:val="21"/>
          <w:highlight w:val="none"/>
        </w:rPr>
        <w:t>5、本合同执行后所形成的成果、文档、数据均归甲方所有，乙方不得以任何方式复制、拷贝或向第三方提供及用于本合同以外的项目。</w:t>
      </w:r>
    </w:p>
    <w:p>
      <w:pPr>
        <w:widowControl/>
        <w:autoSpaceDE w:val="0"/>
        <w:autoSpaceDN w:val="0"/>
        <w:adjustRightInd w:val="0"/>
        <w:spacing w:line="400" w:lineRule="exact"/>
        <w:ind w:left="424" w:leftChars="52" w:hanging="315" w:hangingChars="150"/>
        <w:rPr>
          <w:rFonts w:ascii="宋体" w:hAnsi="宋体" w:cs="宋体"/>
          <w:bCs/>
          <w:color w:val="auto"/>
          <w:szCs w:val="21"/>
          <w:highlight w:val="none"/>
        </w:rPr>
      </w:pPr>
      <w:r>
        <w:rPr>
          <w:rFonts w:hint="eastAsia" w:ascii="宋体" w:hAnsi="宋体" w:cs="宋体"/>
          <w:bCs/>
          <w:color w:val="auto"/>
          <w:szCs w:val="21"/>
          <w:highlight w:val="none"/>
        </w:rPr>
        <w:t>6、对该项目所有的资料、底图、各种数据成果依据有关规定应予以设密的，乙方严格按保密资料进行管理，项目完成后，应销毁有关保密资料，违者应追究法律责任。</w:t>
      </w:r>
    </w:p>
    <w:p>
      <w:pPr>
        <w:widowControl/>
        <w:autoSpaceDE w:val="0"/>
        <w:autoSpaceDN w:val="0"/>
        <w:adjustRightInd w:val="0"/>
        <w:spacing w:line="400" w:lineRule="exact"/>
        <w:ind w:left="424" w:leftChars="52" w:hanging="315" w:hangingChars="150"/>
        <w:rPr>
          <w:rFonts w:ascii="宋体" w:hAnsi="宋体" w:cs="宋体"/>
          <w:bCs/>
          <w:color w:val="auto"/>
          <w:szCs w:val="21"/>
          <w:highlight w:val="none"/>
        </w:rPr>
      </w:pPr>
      <w:r>
        <w:rPr>
          <w:rFonts w:hint="eastAsia" w:ascii="宋体" w:hAnsi="宋体" w:cs="宋体"/>
          <w:color w:val="auto"/>
          <w:szCs w:val="21"/>
          <w:highlight w:val="none"/>
        </w:rPr>
        <w:t>7、乙方工作人员在项目履行过程中的安全作业及相关责任、赔偿等由乙方全权负责和承担，乙方应切实做好安全防范工作，避免在工作中出现人身与财产的意外损害。</w:t>
      </w:r>
    </w:p>
    <w:p>
      <w:pPr>
        <w:widowControl/>
        <w:autoSpaceDE w:val="0"/>
        <w:autoSpaceDN w:val="0"/>
        <w:adjustRightInd w:val="0"/>
        <w:spacing w:line="400" w:lineRule="exact"/>
        <w:ind w:left="424" w:leftChars="52" w:hanging="315" w:hangingChars="150"/>
        <w:rPr>
          <w:rFonts w:ascii="宋体" w:hAnsi="宋体" w:cs="宋体"/>
          <w:bCs/>
          <w:color w:val="auto"/>
          <w:szCs w:val="21"/>
          <w:highlight w:val="none"/>
        </w:rPr>
      </w:pPr>
      <w:r>
        <w:rPr>
          <w:rFonts w:hint="eastAsia" w:ascii="宋体" w:hAnsi="宋体" w:cs="宋体"/>
          <w:bCs/>
          <w:color w:val="auto"/>
          <w:szCs w:val="21"/>
          <w:highlight w:val="none"/>
        </w:rPr>
        <w:t>8、乙方负责项目实施过程中的事故（包括人员伤亡）处理和一切费用。</w:t>
      </w:r>
    </w:p>
    <w:p>
      <w:pPr>
        <w:spacing w:line="440" w:lineRule="exact"/>
        <w:rPr>
          <w:rFonts w:ascii="宋体" w:hAnsi="宋体" w:cs="宋体"/>
          <w:color w:val="auto"/>
          <w:szCs w:val="21"/>
          <w:highlight w:val="none"/>
        </w:rPr>
      </w:pPr>
      <w:r>
        <w:rPr>
          <w:rFonts w:hint="eastAsia" w:ascii="宋体" w:hAnsi="宋体" w:cs="宋体"/>
          <w:b/>
          <w:color w:val="auto"/>
          <w:szCs w:val="21"/>
          <w:highlight w:val="none"/>
        </w:rPr>
        <w:t>八、免责条款</w:t>
      </w:r>
    </w:p>
    <w:p>
      <w:pPr>
        <w:spacing w:line="440" w:lineRule="exact"/>
        <w:ind w:left="328" w:leftChars="156" w:firstLine="105" w:firstLineChars="50"/>
        <w:rPr>
          <w:rFonts w:ascii="宋体" w:hAnsi="宋体" w:cs="宋体"/>
          <w:color w:val="auto"/>
          <w:szCs w:val="21"/>
          <w:highlight w:val="none"/>
        </w:rPr>
      </w:pPr>
      <w:r>
        <w:rPr>
          <w:rFonts w:hint="eastAsia" w:ascii="宋体" w:hAnsi="宋体" w:cs="宋体"/>
          <w:color w:val="auto"/>
          <w:szCs w:val="21"/>
          <w:highlight w:val="none"/>
        </w:rPr>
        <w:t>乙方对甲方因软件遗失、被盗、被误用或被擅自修改、计算机设备故障、操作失误等情况造成的损失不负责任。</w:t>
      </w:r>
    </w:p>
    <w:p>
      <w:pPr>
        <w:spacing w:line="440" w:lineRule="exact"/>
        <w:rPr>
          <w:rFonts w:ascii="宋体" w:hAnsi="宋体" w:cs="宋体"/>
          <w:color w:val="auto"/>
          <w:szCs w:val="21"/>
          <w:highlight w:val="none"/>
        </w:rPr>
      </w:pPr>
      <w:r>
        <w:rPr>
          <w:rFonts w:hint="eastAsia" w:ascii="宋体" w:hAnsi="宋体" w:cs="宋体"/>
          <w:b/>
          <w:color w:val="auto"/>
          <w:szCs w:val="21"/>
          <w:highlight w:val="none"/>
        </w:rPr>
        <w:t>九、违约责任</w:t>
      </w:r>
    </w:p>
    <w:p>
      <w:pPr>
        <w:tabs>
          <w:tab w:val="left" w:pos="1080"/>
        </w:tabs>
        <w:spacing w:line="440" w:lineRule="exact"/>
        <w:ind w:left="439" w:leftChars="209"/>
        <w:rPr>
          <w:rFonts w:ascii="宋体" w:hAnsi="宋体" w:cs="宋体"/>
          <w:color w:val="auto"/>
          <w:szCs w:val="21"/>
          <w:highlight w:val="none"/>
        </w:rPr>
      </w:pPr>
      <w:r>
        <w:rPr>
          <w:rFonts w:hint="eastAsia" w:ascii="宋体" w:hAnsi="宋体" w:cs="宋体"/>
          <w:color w:val="auto"/>
          <w:szCs w:val="21"/>
          <w:highlight w:val="none"/>
        </w:rPr>
        <w:t>本合同签订生效即具有法律效力，双方必须严格遵守，如有一方违约，其必须承担违约责任并赔偿对方因此而遭受的全部损失。具体如下：</w:t>
      </w:r>
    </w:p>
    <w:p>
      <w:pPr>
        <w:tabs>
          <w:tab w:val="left" w:pos="900"/>
        </w:tabs>
        <w:spacing w:line="440" w:lineRule="exact"/>
        <w:ind w:left="806" w:leftChars="184" w:hanging="420" w:hangingChars="200"/>
        <w:rPr>
          <w:rFonts w:ascii="宋体" w:hAnsi="宋体" w:cs="宋体"/>
          <w:color w:val="auto"/>
          <w:szCs w:val="21"/>
          <w:highlight w:val="none"/>
        </w:rPr>
      </w:pPr>
      <w:r>
        <w:rPr>
          <w:rFonts w:hint="eastAsia" w:ascii="宋体" w:hAnsi="宋体" w:cs="宋体"/>
          <w:color w:val="auto"/>
          <w:szCs w:val="21"/>
          <w:highlight w:val="none"/>
        </w:rPr>
        <w:t>（1）乙方未按时交货（包括个性化改造），或所提交的成果达不到合同规定的指标，乙方应当承担违约方式和违约金额如下：每超期10天，扣合同金额的</w:t>
      </w:r>
      <w:r>
        <w:rPr>
          <w:rFonts w:hint="eastAsia" w:ascii="宋体" w:hAnsi="宋体" w:cs="宋体"/>
          <w:b/>
          <w:color w:val="auto"/>
          <w:szCs w:val="21"/>
          <w:highlight w:val="none"/>
          <w:u w:val="single"/>
        </w:rPr>
        <w:t xml:space="preserve">0.3 </w:t>
      </w:r>
      <w:r>
        <w:rPr>
          <w:rFonts w:hint="eastAsia" w:ascii="宋体" w:hAnsi="宋体" w:cs="宋体"/>
          <w:b/>
          <w:color w:val="auto"/>
          <w:szCs w:val="21"/>
          <w:highlight w:val="none"/>
        </w:rPr>
        <w:t>%</w:t>
      </w:r>
      <w:r>
        <w:rPr>
          <w:rFonts w:hint="eastAsia" w:ascii="宋体" w:hAnsi="宋体" w:cs="宋体"/>
          <w:color w:val="auto"/>
          <w:szCs w:val="21"/>
          <w:highlight w:val="none"/>
        </w:rPr>
        <w:t>；累计超期30天，甲方有权终止执行合同，并没收履约保证金。</w:t>
      </w:r>
    </w:p>
    <w:p>
      <w:pPr>
        <w:tabs>
          <w:tab w:val="left" w:pos="1080"/>
        </w:tabs>
        <w:spacing w:line="440" w:lineRule="exact"/>
        <w:ind w:left="821" w:leftChars="191" w:hanging="420" w:hangingChars="200"/>
        <w:rPr>
          <w:rFonts w:ascii="宋体" w:hAnsi="宋体" w:cs="宋体"/>
          <w:color w:val="auto"/>
          <w:szCs w:val="21"/>
          <w:highlight w:val="none"/>
        </w:rPr>
      </w:pPr>
      <w:r>
        <w:rPr>
          <w:rFonts w:hint="eastAsia" w:ascii="宋体" w:hAnsi="宋体" w:cs="宋体"/>
          <w:color w:val="auto"/>
          <w:szCs w:val="21"/>
          <w:highlight w:val="none"/>
        </w:rPr>
        <w:t>（2）甲方逾期支付货款的，自逾期之日起，向乙方每日偿付合同总价</w:t>
      </w:r>
      <w:r>
        <w:rPr>
          <w:rFonts w:hint="eastAsia" w:ascii="宋体" w:hAnsi="宋体" w:cs="宋体"/>
          <w:b/>
          <w:color w:val="auto"/>
          <w:szCs w:val="21"/>
          <w:highlight w:val="none"/>
          <w:u w:val="single"/>
        </w:rPr>
        <w:t xml:space="preserve">0.3 </w:t>
      </w:r>
      <w:r>
        <w:rPr>
          <w:rFonts w:hint="eastAsia" w:ascii="宋体" w:hAnsi="宋体" w:cs="宋体"/>
          <w:b/>
          <w:color w:val="auto"/>
          <w:szCs w:val="21"/>
          <w:highlight w:val="none"/>
        </w:rPr>
        <w:t>%</w:t>
      </w:r>
      <w:r>
        <w:rPr>
          <w:rFonts w:hint="eastAsia" w:ascii="宋体" w:hAnsi="宋体" w:cs="宋体"/>
          <w:color w:val="auto"/>
          <w:szCs w:val="21"/>
          <w:highlight w:val="none"/>
        </w:rPr>
        <w:t>的违约金；需方无正当理由拒绝付货款的，应向乙偿付合同总价</w:t>
      </w:r>
      <w:r>
        <w:rPr>
          <w:rFonts w:hint="eastAsia" w:ascii="宋体" w:hAnsi="宋体" w:cs="宋体"/>
          <w:b/>
          <w:color w:val="auto"/>
          <w:szCs w:val="21"/>
          <w:highlight w:val="none"/>
          <w:u w:val="single"/>
        </w:rPr>
        <w:t xml:space="preserve"> 5 </w:t>
      </w:r>
      <w:r>
        <w:rPr>
          <w:rFonts w:hint="eastAsia" w:ascii="宋体" w:hAnsi="宋体" w:cs="宋体"/>
          <w:b/>
          <w:color w:val="auto"/>
          <w:szCs w:val="21"/>
          <w:highlight w:val="none"/>
        </w:rPr>
        <w:t>%</w:t>
      </w:r>
      <w:r>
        <w:rPr>
          <w:rFonts w:hint="eastAsia" w:ascii="宋体" w:hAnsi="宋体" w:cs="宋体"/>
          <w:color w:val="auto"/>
          <w:szCs w:val="21"/>
          <w:highlight w:val="none"/>
        </w:rPr>
        <w:t>的违约金，违约金累计超过合同总价的</w:t>
      </w:r>
      <w:r>
        <w:rPr>
          <w:rFonts w:hint="eastAsia" w:ascii="宋体" w:hAnsi="宋体" w:cs="宋体"/>
          <w:b/>
          <w:color w:val="auto"/>
          <w:szCs w:val="21"/>
          <w:highlight w:val="none"/>
          <w:u w:val="single"/>
        </w:rPr>
        <w:t xml:space="preserve"> 5 </w:t>
      </w:r>
      <w:r>
        <w:rPr>
          <w:rFonts w:hint="eastAsia" w:ascii="宋体" w:hAnsi="宋体" w:cs="宋体"/>
          <w:b/>
          <w:color w:val="auto"/>
          <w:szCs w:val="21"/>
          <w:highlight w:val="none"/>
        </w:rPr>
        <w:t>%，</w:t>
      </w:r>
      <w:r>
        <w:rPr>
          <w:rFonts w:hint="eastAsia" w:ascii="宋体" w:hAnsi="宋体" w:cs="宋体"/>
          <w:color w:val="auto"/>
          <w:szCs w:val="21"/>
          <w:highlight w:val="none"/>
        </w:rPr>
        <w:t>乙方有权终止执行合同，并有权向甲方追偿相关损失。</w:t>
      </w:r>
    </w:p>
    <w:p>
      <w:pPr>
        <w:tabs>
          <w:tab w:val="left" w:pos="1080"/>
        </w:tabs>
        <w:spacing w:line="440" w:lineRule="exact"/>
        <w:rPr>
          <w:rFonts w:ascii="宋体" w:hAnsi="宋体" w:cs="宋体"/>
          <w:b/>
          <w:color w:val="auto"/>
          <w:szCs w:val="21"/>
          <w:highlight w:val="none"/>
        </w:rPr>
      </w:pPr>
      <w:r>
        <w:rPr>
          <w:rFonts w:hint="eastAsia" w:ascii="宋体" w:hAnsi="宋体" w:cs="宋体"/>
          <w:b/>
          <w:color w:val="auto"/>
          <w:szCs w:val="21"/>
          <w:highlight w:val="none"/>
        </w:rPr>
        <w:t>十、争议解决</w:t>
      </w:r>
    </w:p>
    <w:p>
      <w:pPr>
        <w:tabs>
          <w:tab w:val="left" w:pos="1080"/>
        </w:tabs>
        <w:spacing w:line="440" w:lineRule="exact"/>
        <w:ind w:left="328" w:leftChars="156"/>
        <w:rPr>
          <w:rFonts w:ascii="宋体" w:hAnsi="宋体" w:cs="宋体"/>
          <w:color w:val="auto"/>
          <w:szCs w:val="21"/>
          <w:highlight w:val="none"/>
        </w:rPr>
      </w:pPr>
      <w:r>
        <w:rPr>
          <w:rFonts w:hint="eastAsia" w:ascii="宋体" w:hAnsi="宋体" w:cs="宋体"/>
          <w:color w:val="auto"/>
          <w:szCs w:val="21"/>
          <w:highlight w:val="none"/>
        </w:rPr>
        <w:t>凡由本合同引起的或与解释或执行本合同有关的任何争议，双方应首先通过友好协商或调解解决。若协商或调解不成，双方约定：向甲方所在地的仲裁，仲裁应依据该委员会当时的仲裁规则进行；仲裁裁决是终局的，对双方都有约束力；仲裁费用应由败诉方承担，除非仲裁裁决另有裁定。</w:t>
      </w:r>
    </w:p>
    <w:p>
      <w:pPr>
        <w:spacing w:line="440" w:lineRule="exact"/>
        <w:rPr>
          <w:rFonts w:ascii="宋体" w:hAnsi="宋体" w:cs="宋体"/>
          <w:b/>
          <w:color w:val="auto"/>
          <w:szCs w:val="21"/>
          <w:highlight w:val="none"/>
        </w:rPr>
      </w:pPr>
      <w:r>
        <w:rPr>
          <w:rFonts w:hint="eastAsia" w:ascii="宋体" w:hAnsi="宋体" w:cs="宋体"/>
          <w:b/>
          <w:color w:val="auto"/>
          <w:szCs w:val="21"/>
          <w:highlight w:val="none"/>
        </w:rPr>
        <w:t>十一、合同生效及其他</w:t>
      </w:r>
    </w:p>
    <w:p>
      <w:pPr>
        <w:tabs>
          <w:tab w:val="left" w:pos="900"/>
        </w:tabs>
        <w:spacing w:line="440" w:lineRule="exact"/>
        <w:ind w:firstLine="210" w:firstLineChars="100"/>
        <w:rPr>
          <w:rFonts w:ascii="宋体" w:hAnsi="宋体" w:cs="宋体"/>
          <w:color w:val="auto"/>
          <w:szCs w:val="21"/>
          <w:highlight w:val="none"/>
        </w:rPr>
      </w:pPr>
      <w:r>
        <w:rPr>
          <w:rFonts w:hint="eastAsia" w:ascii="宋体" w:hAnsi="宋体" w:cs="宋体"/>
          <w:color w:val="auto"/>
          <w:szCs w:val="21"/>
          <w:highlight w:val="none"/>
        </w:rPr>
        <w:t>1、合同应在双方签字盖章并在甲方收到乙方提供的履约保证金后开始生效。</w:t>
      </w:r>
    </w:p>
    <w:p>
      <w:pPr>
        <w:tabs>
          <w:tab w:val="left" w:pos="900"/>
        </w:tabs>
        <w:spacing w:line="440" w:lineRule="exact"/>
        <w:ind w:firstLine="210" w:firstLineChars="100"/>
        <w:rPr>
          <w:rFonts w:ascii="宋体" w:hAnsi="宋体" w:cs="宋体"/>
          <w:color w:val="auto"/>
          <w:szCs w:val="21"/>
          <w:highlight w:val="none"/>
        </w:rPr>
      </w:pPr>
      <w:r>
        <w:rPr>
          <w:rFonts w:hint="eastAsia" w:ascii="宋体" w:hAnsi="宋体" w:cs="宋体"/>
          <w:color w:val="auto"/>
          <w:szCs w:val="21"/>
          <w:highlight w:val="none"/>
        </w:rPr>
        <w:t>2、本合同一式伍份，双方各执贰份，代理有限公司一份，具有同等法律效力。</w:t>
      </w:r>
    </w:p>
    <w:p>
      <w:pPr>
        <w:tabs>
          <w:tab w:val="left" w:pos="900"/>
        </w:tabs>
        <w:spacing w:line="440" w:lineRule="exact"/>
        <w:ind w:firstLine="210" w:firstLineChars="100"/>
        <w:rPr>
          <w:rFonts w:ascii="宋体" w:hAnsi="宋体" w:cs="宋体"/>
          <w:color w:val="auto"/>
          <w:szCs w:val="21"/>
          <w:highlight w:val="none"/>
        </w:rPr>
      </w:pPr>
      <w:r>
        <w:rPr>
          <w:rFonts w:hint="eastAsia" w:ascii="宋体" w:hAnsi="宋体" w:cs="宋体"/>
          <w:color w:val="auto"/>
          <w:szCs w:val="21"/>
          <w:highlight w:val="none"/>
        </w:rPr>
        <w:t>3、如需修改或补充合同内容，经协商，双方应签署书面修改或补充协议，该协议将作为本合同的一个组成部分。</w:t>
      </w:r>
    </w:p>
    <w:p>
      <w:pPr>
        <w:rPr>
          <w:rFonts w:ascii="黑体" w:hAnsi="宋体" w:eastAsia="黑体"/>
          <w:b/>
          <w:bCs/>
          <w:color w:val="auto"/>
          <w:sz w:val="36"/>
          <w:szCs w:val="36"/>
          <w:highlight w:val="none"/>
        </w:rPr>
      </w:pPr>
      <w:r>
        <w:rPr>
          <w:rFonts w:hint="eastAsia" w:ascii="黑体" w:hAnsi="宋体" w:eastAsia="黑体"/>
          <w:b/>
          <w:bCs/>
          <w:color w:val="auto"/>
          <w:sz w:val="36"/>
          <w:szCs w:val="36"/>
          <w:highlight w:val="none"/>
        </w:rPr>
        <w:br w:type="page"/>
      </w:r>
    </w:p>
    <w:p>
      <w:pPr>
        <w:pStyle w:val="3"/>
        <w:numPr>
          <w:ilvl w:val="0"/>
          <w:numId w:val="0"/>
        </w:numPr>
        <w:spacing w:before="120" w:after="120" w:line="500" w:lineRule="exact"/>
        <w:jc w:val="center"/>
        <w:rPr>
          <w:rFonts w:hAnsi="宋体"/>
          <w:color w:val="auto"/>
          <w:sz w:val="32"/>
          <w:szCs w:val="32"/>
          <w:highlight w:val="none"/>
        </w:rPr>
      </w:pPr>
      <w:bookmarkStart w:id="10" w:name="_Toc515307942"/>
      <w:r>
        <w:rPr>
          <w:rFonts w:hint="eastAsia" w:hAnsi="宋体"/>
          <w:color w:val="auto"/>
          <w:sz w:val="32"/>
          <w:szCs w:val="32"/>
          <w:highlight w:val="none"/>
        </w:rPr>
        <w:t>第四部分   合同格式</w:t>
      </w:r>
      <w:bookmarkEnd w:id="10"/>
    </w:p>
    <w:p>
      <w:pPr>
        <w:spacing w:line="420" w:lineRule="exact"/>
        <w:ind w:firstLine="435"/>
        <w:rPr>
          <w:rFonts w:ascii="宋体" w:hAnsi="宋体"/>
          <w:color w:val="auto"/>
          <w:sz w:val="22"/>
          <w:szCs w:val="22"/>
          <w:highlight w:val="none"/>
        </w:rPr>
      </w:pPr>
      <w:r>
        <w:rPr>
          <w:rFonts w:hint="eastAsia" w:ascii="宋体" w:hAnsi="宋体"/>
          <w:color w:val="auto"/>
          <w:sz w:val="22"/>
          <w:szCs w:val="22"/>
          <w:highlight w:val="none"/>
        </w:rPr>
        <w:t>甲方采购的</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（项目名称、项目编号）在国内公开招标，经评标委员会推荐，招标人决标</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为中标人。买、卖双方同意按照下面条款和条件，签署本合同。</w:t>
      </w:r>
    </w:p>
    <w:p>
      <w:pPr>
        <w:spacing w:line="420" w:lineRule="exact"/>
        <w:ind w:firstLine="508" w:firstLineChars="230"/>
        <w:rPr>
          <w:rFonts w:ascii="宋体" w:hAnsi="宋体"/>
          <w:b/>
          <w:bCs/>
          <w:color w:val="auto"/>
          <w:sz w:val="22"/>
          <w:szCs w:val="22"/>
          <w:highlight w:val="none"/>
        </w:rPr>
      </w:pPr>
      <w:r>
        <w:rPr>
          <w:rFonts w:hint="eastAsia" w:ascii="宋体" w:hAnsi="宋体"/>
          <w:b/>
          <w:bCs/>
          <w:color w:val="auto"/>
          <w:sz w:val="22"/>
          <w:szCs w:val="22"/>
          <w:highlight w:val="none"/>
        </w:rPr>
        <w:t>1．   合同文件</w:t>
      </w:r>
    </w:p>
    <w:p>
      <w:pPr>
        <w:spacing w:line="420" w:lineRule="exact"/>
        <w:ind w:firstLine="435"/>
        <w:rPr>
          <w:rFonts w:ascii="宋体" w:hAnsi="宋体"/>
          <w:color w:val="auto"/>
          <w:sz w:val="22"/>
          <w:szCs w:val="22"/>
          <w:highlight w:val="none"/>
        </w:rPr>
      </w:pPr>
      <w:r>
        <w:rPr>
          <w:rFonts w:hint="eastAsia" w:ascii="宋体" w:hAnsi="宋体"/>
          <w:color w:val="auto"/>
          <w:sz w:val="22"/>
          <w:szCs w:val="22"/>
          <w:highlight w:val="none"/>
        </w:rPr>
        <w:t xml:space="preserve">       下列文件构成本合同的组成部分：</w:t>
      </w:r>
    </w:p>
    <w:p>
      <w:pPr>
        <w:spacing w:line="420" w:lineRule="exact"/>
        <w:ind w:firstLine="435"/>
        <w:rPr>
          <w:rFonts w:ascii="宋体" w:hAnsi="宋体"/>
          <w:color w:val="auto"/>
          <w:sz w:val="22"/>
          <w:szCs w:val="22"/>
          <w:highlight w:val="none"/>
        </w:rPr>
      </w:pPr>
      <w:r>
        <w:rPr>
          <w:rFonts w:hint="eastAsia" w:ascii="宋体" w:hAnsi="宋体"/>
          <w:color w:val="auto"/>
          <w:sz w:val="22"/>
          <w:szCs w:val="22"/>
          <w:highlight w:val="none"/>
        </w:rPr>
        <w:t xml:space="preserve">   (1) 合同主要条款                </w:t>
      </w:r>
    </w:p>
    <w:p>
      <w:pPr>
        <w:spacing w:line="420" w:lineRule="exact"/>
        <w:ind w:firstLine="435"/>
        <w:rPr>
          <w:rFonts w:ascii="宋体" w:hAnsi="宋体"/>
          <w:color w:val="auto"/>
          <w:sz w:val="22"/>
          <w:szCs w:val="22"/>
          <w:highlight w:val="none"/>
        </w:rPr>
      </w:pPr>
      <w:r>
        <w:rPr>
          <w:rFonts w:hint="eastAsia" w:ascii="宋体" w:hAnsi="宋体"/>
          <w:color w:val="auto"/>
          <w:sz w:val="22"/>
          <w:szCs w:val="22"/>
          <w:highlight w:val="none"/>
        </w:rPr>
        <w:t xml:space="preserve">   (2) 中标通知书</w:t>
      </w:r>
    </w:p>
    <w:p>
      <w:pPr>
        <w:spacing w:line="420" w:lineRule="exact"/>
        <w:ind w:firstLine="435"/>
        <w:rPr>
          <w:rFonts w:ascii="宋体" w:hAnsi="宋体"/>
          <w:color w:val="auto"/>
          <w:sz w:val="22"/>
          <w:szCs w:val="22"/>
          <w:highlight w:val="none"/>
        </w:rPr>
      </w:pPr>
      <w:r>
        <w:rPr>
          <w:rFonts w:hint="eastAsia" w:ascii="宋体" w:hAnsi="宋体"/>
          <w:color w:val="auto"/>
          <w:sz w:val="22"/>
          <w:szCs w:val="22"/>
          <w:highlight w:val="none"/>
        </w:rPr>
        <w:t xml:space="preserve">   (3) 投标分项报价表               </w:t>
      </w:r>
    </w:p>
    <w:p>
      <w:pPr>
        <w:spacing w:line="420" w:lineRule="exact"/>
        <w:ind w:firstLine="435"/>
        <w:rPr>
          <w:rFonts w:ascii="宋体" w:hAnsi="宋体"/>
          <w:color w:val="auto"/>
          <w:sz w:val="22"/>
          <w:szCs w:val="22"/>
          <w:highlight w:val="none"/>
        </w:rPr>
      </w:pPr>
      <w:r>
        <w:rPr>
          <w:rFonts w:hint="eastAsia" w:ascii="宋体" w:hAnsi="宋体"/>
          <w:color w:val="auto"/>
          <w:sz w:val="22"/>
          <w:szCs w:val="22"/>
          <w:highlight w:val="none"/>
        </w:rPr>
        <w:t xml:space="preserve">   (4) 技术规格、商务条款偏离表           </w:t>
      </w:r>
    </w:p>
    <w:p>
      <w:pPr>
        <w:spacing w:line="420" w:lineRule="exact"/>
        <w:ind w:firstLine="435"/>
        <w:rPr>
          <w:rFonts w:ascii="宋体" w:hAnsi="宋体"/>
          <w:color w:val="auto"/>
          <w:sz w:val="22"/>
          <w:szCs w:val="22"/>
          <w:highlight w:val="none"/>
        </w:rPr>
      </w:pPr>
      <w:r>
        <w:rPr>
          <w:rFonts w:hint="eastAsia" w:ascii="宋体" w:hAnsi="宋体"/>
          <w:color w:val="auto"/>
          <w:sz w:val="22"/>
          <w:szCs w:val="22"/>
          <w:highlight w:val="none"/>
        </w:rPr>
        <w:t xml:space="preserve">   (5) 招标内容及要求</w:t>
      </w:r>
    </w:p>
    <w:p>
      <w:pPr>
        <w:spacing w:line="420" w:lineRule="exact"/>
        <w:ind w:firstLine="435"/>
        <w:rPr>
          <w:rFonts w:ascii="宋体" w:hAnsi="宋体"/>
          <w:color w:val="auto"/>
          <w:sz w:val="22"/>
          <w:szCs w:val="22"/>
          <w:highlight w:val="none"/>
        </w:rPr>
      </w:pPr>
      <w:r>
        <w:rPr>
          <w:rFonts w:hint="eastAsia" w:ascii="宋体" w:hAnsi="宋体"/>
          <w:color w:val="auto"/>
          <w:sz w:val="22"/>
          <w:szCs w:val="22"/>
          <w:highlight w:val="none"/>
        </w:rPr>
        <w:t xml:space="preserve">   (6) 合同补充条款或说明（如有的话）     </w:t>
      </w:r>
    </w:p>
    <w:p>
      <w:pPr>
        <w:spacing w:line="420" w:lineRule="exact"/>
        <w:ind w:firstLine="435"/>
        <w:rPr>
          <w:rFonts w:ascii="宋体" w:hAnsi="宋体"/>
          <w:color w:val="auto"/>
          <w:sz w:val="22"/>
          <w:szCs w:val="22"/>
          <w:highlight w:val="none"/>
        </w:rPr>
      </w:pPr>
      <w:r>
        <w:rPr>
          <w:rFonts w:hint="eastAsia" w:ascii="宋体" w:hAnsi="宋体"/>
          <w:color w:val="auto"/>
          <w:sz w:val="22"/>
          <w:szCs w:val="22"/>
          <w:highlight w:val="none"/>
        </w:rPr>
        <w:t xml:space="preserve">   (7) 履约保证金</w:t>
      </w:r>
    </w:p>
    <w:p>
      <w:pPr>
        <w:spacing w:line="420" w:lineRule="exact"/>
        <w:ind w:firstLine="435"/>
        <w:rPr>
          <w:rFonts w:ascii="宋体" w:hAnsi="宋体"/>
          <w:color w:val="auto"/>
          <w:sz w:val="22"/>
          <w:szCs w:val="22"/>
          <w:highlight w:val="none"/>
        </w:rPr>
      </w:pPr>
      <w:r>
        <w:rPr>
          <w:rFonts w:hint="eastAsia" w:ascii="宋体" w:hAnsi="宋体"/>
          <w:color w:val="auto"/>
          <w:sz w:val="22"/>
          <w:szCs w:val="22"/>
          <w:highlight w:val="none"/>
        </w:rPr>
        <w:t xml:space="preserve">   (8) 承诺书      （含询标记录和优惠条件）       </w:t>
      </w:r>
    </w:p>
    <w:p>
      <w:pPr>
        <w:tabs>
          <w:tab w:val="left" w:pos="540"/>
        </w:tabs>
        <w:spacing w:line="420" w:lineRule="exact"/>
        <w:ind w:firstLine="397"/>
        <w:rPr>
          <w:rFonts w:ascii="宋体" w:hAnsi="宋体"/>
          <w:b/>
          <w:bCs/>
          <w:color w:val="auto"/>
          <w:sz w:val="22"/>
          <w:szCs w:val="22"/>
          <w:highlight w:val="none"/>
        </w:rPr>
      </w:pPr>
      <w:r>
        <w:rPr>
          <w:rFonts w:hint="eastAsia" w:ascii="宋体" w:hAnsi="宋体"/>
          <w:b/>
          <w:bCs/>
          <w:color w:val="auto"/>
          <w:sz w:val="22"/>
          <w:szCs w:val="22"/>
          <w:highlight w:val="none"/>
        </w:rPr>
        <w:t xml:space="preserve"> 2．   合同范围和条件</w:t>
      </w:r>
    </w:p>
    <w:p>
      <w:pPr>
        <w:spacing w:line="420" w:lineRule="exact"/>
        <w:ind w:firstLine="1210" w:firstLineChars="550"/>
        <w:rPr>
          <w:rFonts w:ascii="宋体" w:hAnsi="宋体"/>
          <w:color w:val="auto"/>
          <w:sz w:val="22"/>
          <w:szCs w:val="22"/>
          <w:highlight w:val="none"/>
        </w:rPr>
      </w:pPr>
      <w:r>
        <w:rPr>
          <w:rFonts w:hint="eastAsia" w:ascii="宋体" w:hAnsi="宋体"/>
          <w:color w:val="auto"/>
          <w:sz w:val="22"/>
          <w:szCs w:val="22"/>
          <w:highlight w:val="none"/>
        </w:rPr>
        <w:t>本合同范围和条件应与上述合同文件规定的内容相一致。</w:t>
      </w:r>
    </w:p>
    <w:p>
      <w:pPr>
        <w:spacing w:line="420" w:lineRule="exact"/>
        <w:ind w:firstLine="435"/>
        <w:rPr>
          <w:rFonts w:ascii="宋体" w:hAnsi="宋体"/>
          <w:b/>
          <w:bCs/>
          <w:color w:val="auto"/>
          <w:sz w:val="22"/>
          <w:szCs w:val="22"/>
          <w:highlight w:val="none"/>
        </w:rPr>
      </w:pPr>
      <w:r>
        <w:rPr>
          <w:rFonts w:hint="eastAsia" w:ascii="宋体" w:hAnsi="宋体"/>
          <w:b/>
          <w:bCs/>
          <w:color w:val="auto"/>
          <w:sz w:val="22"/>
          <w:szCs w:val="22"/>
          <w:highlight w:val="none"/>
        </w:rPr>
        <w:t xml:space="preserve"> 3．   货物和数量</w:t>
      </w:r>
    </w:p>
    <w:p>
      <w:pPr>
        <w:spacing w:line="420" w:lineRule="exact"/>
        <w:ind w:firstLine="567"/>
        <w:rPr>
          <w:rFonts w:ascii="宋体" w:hAnsi="宋体"/>
          <w:color w:val="auto"/>
          <w:sz w:val="22"/>
          <w:szCs w:val="22"/>
          <w:highlight w:val="none"/>
        </w:rPr>
      </w:pPr>
      <w:r>
        <w:rPr>
          <w:rFonts w:hint="eastAsia" w:ascii="宋体" w:hAnsi="宋体"/>
          <w:color w:val="auto"/>
          <w:sz w:val="22"/>
          <w:szCs w:val="22"/>
          <w:highlight w:val="none"/>
        </w:rPr>
        <w:t xml:space="preserve">      本合同提供的服务及要求（详见招标内容及要求）。</w:t>
      </w:r>
    </w:p>
    <w:p>
      <w:pPr>
        <w:spacing w:line="420" w:lineRule="exact"/>
        <w:ind w:firstLine="435"/>
        <w:rPr>
          <w:rFonts w:ascii="宋体" w:hAnsi="宋体"/>
          <w:b/>
          <w:bCs/>
          <w:color w:val="auto"/>
          <w:sz w:val="22"/>
          <w:szCs w:val="22"/>
          <w:highlight w:val="none"/>
        </w:rPr>
      </w:pPr>
      <w:r>
        <w:rPr>
          <w:rFonts w:hint="eastAsia" w:ascii="宋体" w:hAnsi="宋体"/>
          <w:b/>
          <w:bCs/>
          <w:color w:val="auto"/>
          <w:sz w:val="22"/>
          <w:szCs w:val="22"/>
          <w:highlight w:val="none"/>
        </w:rPr>
        <w:t xml:space="preserve"> 4．   合同总价</w:t>
      </w:r>
    </w:p>
    <w:p>
      <w:pPr>
        <w:spacing w:line="420" w:lineRule="exact"/>
        <w:ind w:left="440" w:hanging="440" w:hangingChars="200"/>
        <w:rPr>
          <w:rFonts w:ascii="宋体" w:hAnsi="宋体"/>
          <w:color w:val="auto"/>
          <w:sz w:val="22"/>
          <w:szCs w:val="22"/>
          <w:highlight w:val="none"/>
        </w:rPr>
      </w:pPr>
      <w:r>
        <w:rPr>
          <w:rFonts w:hint="eastAsia" w:ascii="宋体" w:hAnsi="宋体"/>
          <w:color w:val="auto"/>
          <w:sz w:val="22"/>
          <w:szCs w:val="22"/>
          <w:highlight w:val="none"/>
        </w:rPr>
        <w:t xml:space="preserve">           本合同总价为</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人民币，（分项价格详见投标分项报价表）。</w:t>
      </w:r>
    </w:p>
    <w:p>
      <w:pPr>
        <w:spacing w:line="420" w:lineRule="exact"/>
        <w:ind w:firstLine="435"/>
        <w:rPr>
          <w:rFonts w:ascii="宋体" w:hAnsi="宋体"/>
          <w:b/>
          <w:bCs/>
          <w:color w:val="auto"/>
          <w:sz w:val="22"/>
          <w:szCs w:val="22"/>
          <w:highlight w:val="none"/>
        </w:rPr>
      </w:pPr>
      <w:r>
        <w:rPr>
          <w:rFonts w:hint="eastAsia" w:ascii="宋体" w:hAnsi="宋体"/>
          <w:b/>
          <w:bCs/>
          <w:color w:val="auto"/>
          <w:sz w:val="22"/>
          <w:szCs w:val="22"/>
          <w:highlight w:val="none"/>
        </w:rPr>
        <w:t xml:space="preserve"> 5．   付款方式</w:t>
      </w:r>
    </w:p>
    <w:p>
      <w:pPr>
        <w:spacing w:line="420" w:lineRule="exact"/>
        <w:ind w:firstLine="567"/>
        <w:rPr>
          <w:rFonts w:ascii="宋体" w:hAnsi="宋体"/>
          <w:color w:val="auto"/>
          <w:sz w:val="22"/>
          <w:szCs w:val="22"/>
          <w:highlight w:val="none"/>
        </w:rPr>
      </w:pPr>
      <w:r>
        <w:rPr>
          <w:rFonts w:hint="eastAsia" w:ascii="宋体" w:hAnsi="宋体"/>
          <w:color w:val="auto"/>
          <w:sz w:val="22"/>
          <w:szCs w:val="22"/>
          <w:highlight w:val="none"/>
        </w:rPr>
        <w:t xml:space="preserve">      本合同的付款方式在合同主要条款中已规定。</w:t>
      </w:r>
    </w:p>
    <w:p>
      <w:pPr>
        <w:spacing w:line="420" w:lineRule="exact"/>
        <w:ind w:firstLine="567"/>
        <w:rPr>
          <w:rFonts w:ascii="宋体" w:hAnsi="宋体"/>
          <w:color w:val="auto"/>
          <w:sz w:val="22"/>
          <w:szCs w:val="22"/>
          <w:highlight w:val="none"/>
        </w:rPr>
      </w:pPr>
      <w:r>
        <w:rPr>
          <w:rFonts w:hint="eastAsia" w:ascii="宋体" w:hAnsi="宋体"/>
          <w:b/>
          <w:bCs/>
          <w:color w:val="auto"/>
          <w:sz w:val="22"/>
          <w:szCs w:val="22"/>
          <w:highlight w:val="none"/>
        </w:rPr>
        <w:t>6．  交货时间及地点：</w:t>
      </w:r>
      <w:r>
        <w:rPr>
          <w:rFonts w:hint="eastAsia" w:ascii="宋体" w:hAnsi="宋体"/>
          <w:b/>
          <w:bCs/>
          <w:color w:val="auto"/>
          <w:sz w:val="22"/>
          <w:szCs w:val="22"/>
          <w:highlight w:val="none"/>
          <w:u w:val="single"/>
        </w:rPr>
        <w:t>时间在合同主要条款中已规定，采购人指定地点</w:t>
      </w:r>
      <w:r>
        <w:rPr>
          <w:rFonts w:hint="eastAsia" w:ascii="宋体" w:hAnsi="宋体"/>
          <w:b/>
          <w:bCs/>
          <w:color w:val="auto"/>
          <w:sz w:val="22"/>
          <w:szCs w:val="22"/>
          <w:highlight w:val="none"/>
        </w:rPr>
        <w:t>。</w:t>
      </w:r>
    </w:p>
    <w:p>
      <w:pPr>
        <w:spacing w:line="420" w:lineRule="exact"/>
        <w:ind w:firstLine="435"/>
        <w:rPr>
          <w:rFonts w:ascii="宋体" w:hAnsi="宋体"/>
          <w:b/>
          <w:bCs/>
          <w:color w:val="auto"/>
          <w:sz w:val="22"/>
          <w:szCs w:val="22"/>
          <w:highlight w:val="none"/>
        </w:rPr>
      </w:pPr>
      <w:r>
        <w:rPr>
          <w:rFonts w:hint="eastAsia" w:ascii="宋体" w:hAnsi="宋体"/>
          <w:b/>
          <w:bCs/>
          <w:color w:val="auto"/>
          <w:sz w:val="22"/>
          <w:szCs w:val="22"/>
          <w:highlight w:val="none"/>
        </w:rPr>
        <w:t xml:space="preserve"> 7．   合同生效</w:t>
      </w:r>
    </w:p>
    <w:p>
      <w:pPr>
        <w:spacing w:line="420" w:lineRule="exact"/>
        <w:ind w:firstLine="110" w:firstLineChars="50"/>
        <w:rPr>
          <w:rFonts w:ascii="宋体" w:hAnsi="宋体"/>
          <w:color w:val="auto"/>
          <w:sz w:val="22"/>
          <w:szCs w:val="22"/>
          <w:highlight w:val="none"/>
        </w:rPr>
      </w:pPr>
      <w:r>
        <w:rPr>
          <w:rFonts w:hint="eastAsia" w:ascii="宋体" w:hAnsi="宋体"/>
          <w:color w:val="auto"/>
          <w:sz w:val="22"/>
          <w:szCs w:val="22"/>
          <w:highlight w:val="none"/>
        </w:rPr>
        <w:t xml:space="preserve">          本合同经双方授权代表签署，买卖双方加盖印章后生效。</w:t>
      </w:r>
    </w:p>
    <w:p>
      <w:pPr>
        <w:spacing w:line="420" w:lineRule="exact"/>
        <w:ind w:firstLine="1210" w:firstLineChars="550"/>
        <w:rPr>
          <w:rFonts w:ascii="宋体" w:hAnsi="宋体"/>
          <w:color w:val="auto"/>
          <w:sz w:val="22"/>
          <w:szCs w:val="22"/>
          <w:highlight w:val="none"/>
        </w:rPr>
      </w:pPr>
      <w:r>
        <w:rPr>
          <w:rFonts w:hint="eastAsia" w:ascii="宋体" w:hAnsi="宋体"/>
          <w:color w:val="auto"/>
          <w:sz w:val="22"/>
          <w:szCs w:val="22"/>
          <w:highlight w:val="none"/>
        </w:rPr>
        <w:t>甲方：（印章）                        乙方：（印章）</w:t>
      </w:r>
    </w:p>
    <w:p>
      <w:pPr>
        <w:spacing w:line="420" w:lineRule="exact"/>
        <w:rPr>
          <w:rFonts w:ascii="宋体" w:hAnsi="宋体"/>
          <w:color w:val="auto"/>
          <w:sz w:val="22"/>
          <w:szCs w:val="22"/>
          <w:highlight w:val="none"/>
        </w:rPr>
      </w:pPr>
      <w:r>
        <w:rPr>
          <w:rFonts w:hint="eastAsia" w:ascii="宋体" w:hAnsi="宋体"/>
          <w:color w:val="auto"/>
          <w:sz w:val="22"/>
          <w:szCs w:val="22"/>
          <w:highlight w:val="none"/>
        </w:rPr>
        <w:t xml:space="preserve">           全权代表:（签字）                    全权代表:（签字）</w:t>
      </w:r>
    </w:p>
    <w:p>
      <w:pPr>
        <w:spacing w:line="420" w:lineRule="exact"/>
        <w:ind w:firstLine="1210" w:firstLineChars="550"/>
        <w:rPr>
          <w:rFonts w:ascii="宋体" w:hAnsi="宋体"/>
          <w:color w:val="auto"/>
          <w:sz w:val="22"/>
          <w:szCs w:val="22"/>
          <w:highlight w:val="none"/>
        </w:rPr>
      </w:pPr>
      <w:r>
        <w:rPr>
          <w:rFonts w:hint="eastAsia" w:ascii="宋体" w:hAnsi="宋体"/>
          <w:color w:val="auto"/>
          <w:sz w:val="22"/>
          <w:szCs w:val="22"/>
          <w:highlight w:val="none"/>
        </w:rPr>
        <w:t>地址：                               地址：</w:t>
      </w:r>
    </w:p>
    <w:p>
      <w:pPr>
        <w:spacing w:line="420" w:lineRule="exact"/>
        <w:ind w:firstLine="1210" w:firstLineChars="550"/>
        <w:rPr>
          <w:rFonts w:ascii="宋体" w:hAnsi="宋体"/>
          <w:color w:val="auto"/>
          <w:sz w:val="22"/>
          <w:szCs w:val="22"/>
          <w:highlight w:val="none"/>
        </w:rPr>
      </w:pPr>
      <w:r>
        <w:rPr>
          <w:rFonts w:hint="eastAsia" w:ascii="宋体" w:hAnsi="宋体"/>
          <w:color w:val="auto"/>
          <w:sz w:val="22"/>
          <w:szCs w:val="22"/>
          <w:highlight w:val="none"/>
        </w:rPr>
        <w:t>邮政编码：                           邮政编码：</w:t>
      </w:r>
    </w:p>
    <w:p>
      <w:pPr>
        <w:spacing w:line="420" w:lineRule="exact"/>
        <w:ind w:firstLine="1210" w:firstLineChars="550"/>
        <w:rPr>
          <w:rFonts w:ascii="宋体" w:hAnsi="宋体"/>
          <w:color w:val="auto"/>
          <w:sz w:val="22"/>
          <w:szCs w:val="22"/>
          <w:highlight w:val="none"/>
        </w:rPr>
      </w:pPr>
      <w:r>
        <w:rPr>
          <w:rFonts w:hint="eastAsia" w:ascii="宋体" w:hAnsi="宋体"/>
          <w:color w:val="auto"/>
          <w:sz w:val="22"/>
          <w:szCs w:val="22"/>
          <w:highlight w:val="none"/>
        </w:rPr>
        <w:t>电话：                               电话：</w:t>
      </w:r>
    </w:p>
    <w:p>
      <w:pPr>
        <w:spacing w:line="420" w:lineRule="exact"/>
        <w:ind w:firstLine="1210" w:firstLineChars="550"/>
        <w:rPr>
          <w:rFonts w:ascii="宋体" w:hAnsi="宋体"/>
          <w:color w:val="auto"/>
          <w:sz w:val="22"/>
          <w:szCs w:val="22"/>
          <w:highlight w:val="none"/>
        </w:rPr>
      </w:pPr>
      <w:r>
        <w:rPr>
          <w:rFonts w:hint="eastAsia" w:ascii="宋体" w:hAnsi="宋体"/>
          <w:color w:val="auto"/>
          <w:sz w:val="22"/>
          <w:szCs w:val="22"/>
          <w:highlight w:val="none"/>
        </w:rPr>
        <w:t>传真：                               传真：</w:t>
      </w:r>
    </w:p>
    <w:p>
      <w:pPr>
        <w:spacing w:line="420" w:lineRule="exact"/>
        <w:ind w:firstLine="1210" w:firstLineChars="550"/>
        <w:rPr>
          <w:rFonts w:ascii="宋体" w:hAnsi="宋体"/>
          <w:color w:val="auto"/>
          <w:sz w:val="22"/>
          <w:szCs w:val="22"/>
          <w:highlight w:val="none"/>
        </w:rPr>
      </w:pPr>
      <w:r>
        <w:rPr>
          <w:rFonts w:hint="eastAsia" w:ascii="宋体" w:hAnsi="宋体"/>
          <w:color w:val="auto"/>
          <w:sz w:val="22"/>
          <w:szCs w:val="22"/>
          <w:highlight w:val="none"/>
        </w:rPr>
        <w:t>开户银行：                           开户银行：</w:t>
      </w:r>
    </w:p>
    <w:p>
      <w:pPr>
        <w:spacing w:line="420" w:lineRule="exact"/>
        <w:ind w:firstLine="1210" w:firstLineChars="550"/>
        <w:rPr>
          <w:rFonts w:ascii="宋体" w:hAnsi="宋体"/>
          <w:color w:val="auto"/>
          <w:sz w:val="22"/>
          <w:szCs w:val="22"/>
          <w:highlight w:val="none"/>
        </w:rPr>
      </w:pPr>
      <w:r>
        <w:rPr>
          <w:rFonts w:hint="eastAsia" w:ascii="宋体" w:hAnsi="宋体"/>
          <w:color w:val="auto"/>
          <w:sz w:val="22"/>
          <w:szCs w:val="22"/>
          <w:highlight w:val="none"/>
        </w:rPr>
        <w:t>帐号：                               帐号：</w:t>
      </w:r>
    </w:p>
    <w:p>
      <w:pPr>
        <w:rPr>
          <w:rFonts w:ascii="黑体" w:hAnsi="宋体" w:eastAsia="黑体"/>
          <w:b/>
          <w:bCs/>
          <w:color w:val="auto"/>
          <w:sz w:val="36"/>
          <w:szCs w:val="36"/>
          <w:highlight w:val="none"/>
        </w:rPr>
      </w:pPr>
    </w:p>
    <w:p>
      <w:pPr>
        <w:spacing w:line="460" w:lineRule="exact"/>
        <w:rPr>
          <w:color w:val="auto"/>
          <w:highlight w:val="none"/>
        </w:rPr>
      </w:pPr>
    </w:p>
    <w:p>
      <w:pPr>
        <w:spacing w:line="460" w:lineRule="exact"/>
        <w:jc w:val="center"/>
        <w:rPr>
          <w:b/>
          <w:bCs/>
          <w:color w:val="auto"/>
          <w:sz w:val="36"/>
          <w:szCs w:val="36"/>
          <w:highlight w:val="none"/>
        </w:rPr>
      </w:pPr>
      <w:r>
        <w:rPr>
          <w:rFonts w:hint="eastAsia" w:ascii="黑体" w:hAnsi="宋体" w:eastAsia="黑体"/>
          <w:b/>
          <w:bCs/>
          <w:color w:val="auto"/>
          <w:sz w:val="36"/>
          <w:szCs w:val="36"/>
          <w:highlight w:val="none"/>
        </w:rPr>
        <w:t>第五部分    附件</w:t>
      </w:r>
    </w:p>
    <w:p>
      <w:pPr>
        <w:spacing w:line="460" w:lineRule="exact"/>
        <w:rPr>
          <w:color w:val="auto"/>
          <w:highlight w:val="none"/>
        </w:rPr>
      </w:pPr>
    </w:p>
    <w:p>
      <w:pPr>
        <w:spacing w:line="460" w:lineRule="exact"/>
        <w:rPr>
          <w:color w:val="auto"/>
          <w:highlight w:val="none"/>
        </w:rPr>
      </w:pPr>
      <w:r>
        <w:rPr>
          <w:rFonts w:hint="eastAsia"/>
          <w:color w:val="auto"/>
          <w:highlight w:val="none"/>
        </w:rPr>
        <w:t>附件一</w:t>
      </w:r>
    </w:p>
    <w:p>
      <w:pPr>
        <w:spacing w:line="460" w:lineRule="exact"/>
        <w:rPr>
          <w:color w:val="auto"/>
          <w:sz w:val="36"/>
          <w:szCs w:val="36"/>
          <w:highlight w:val="none"/>
        </w:rPr>
      </w:pPr>
      <w:r>
        <w:rPr>
          <w:rFonts w:hint="eastAsia"/>
          <w:color w:val="auto"/>
          <w:sz w:val="36"/>
          <w:szCs w:val="36"/>
          <w:highlight w:val="none"/>
        </w:rPr>
        <w:t xml:space="preserve">                       投 标 函</w:t>
      </w:r>
    </w:p>
    <w:p>
      <w:pPr>
        <w:spacing w:line="460" w:lineRule="exact"/>
        <w:rPr>
          <w:color w:val="auto"/>
          <w:highlight w:val="none"/>
        </w:rPr>
      </w:pPr>
    </w:p>
    <w:p>
      <w:pPr>
        <w:spacing w:line="460" w:lineRule="exact"/>
        <w:rPr>
          <w:color w:val="auto"/>
          <w:highlight w:val="none"/>
        </w:rPr>
      </w:pPr>
    </w:p>
    <w:p>
      <w:pPr>
        <w:autoSpaceDE w:val="0"/>
        <w:autoSpaceDN w:val="0"/>
        <w:adjustRightInd w:val="0"/>
        <w:snapToGrid w:val="0"/>
        <w:spacing w:line="480" w:lineRule="atLeast"/>
        <w:rPr>
          <w:rFonts w:ascii="宋体" w:hAnsi="宋体"/>
          <w:color w:val="auto"/>
          <w:sz w:val="22"/>
          <w:szCs w:val="22"/>
          <w:highlight w:val="none"/>
          <w:u w:val="single"/>
        </w:rPr>
      </w:pPr>
      <w:r>
        <w:rPr>
          <w:rFonts w:hint="eastAsia" w:ascii="宋体" w:hAnsi="宋体" w:cs="仿宋_GB2312"/>
          <w:color w:val="auto"/>
          <w:sz w:val="22"/>
          <w:szCs w:val="22"/>
          <w:highlight w:val="none"/>
          <w:u w:val="single"/>
          <w:lang w:val="zh-CN"/>
        </w:rPr>
        <w:t xml:space="preserve">           ：</w:t>
      </w:r>
    </w:p>
    <w:p>
      <w:pPr>
        <w:spacing w:line="440" w:lineRule="exact"/>
        <w:ind w:firstLine="550" w:firstLineChars="250"/>
        <w:rPr>
          <w:rFonts w:ascii="宋体" w:hAnsi="宋体"/>
          <w:color w:val="auto"/>
          <w:sz w:val="22"/>
          <w:szCs w:val="22"/>
          <w:highlight w:val="none"/>
        </w:rPr>
      </w:pPr>
      <w:r>
        <w:rPr>
          <w:rFonts w:ascii="宋体" w:hAnsi="宋体" w:cs="仿宋_GB2312"/>
          <w:color w:val="auto"/>
          <w:sz w:val="22"/>
          <w:szCs w:val="22"/>
          <w:highlight w:val="none"/>
          <w:lang w:val="zh-CN"/>
        </w:rPr>
        <w:t xml:space="preserve">    </w:t>
      </w:r>
      <w:r>
        <w:rPr>
          <w:rFonts w:hint="eastAsia" w:ascii="宋体" w:hAnsi="宋体"/>
          <w:color w:val="auto"/>
          <w:sz w:val="22"/>
          <w:szCs w:val="22"/>
          <w:highlight w:val="none"/>
        </w:rPr>
        <w:t>根据贵方为</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项目（项目编号:</w:t>
      </w:r>
      <w:r>
        <w:rPr>
          <w:rFonts w:hint="eastAsia" w:ascii="宋体" w:hAnsi="宋体"/>
          <w:b/>
          <w:color w:val="auto"/>
          <w:sz w:val="22"/>
          <w:szCs w:val="22"/>
          <w:highlight w:val="none"/>
          <w:u w:val="single"/>
        </w:rPr>
        <w:t xml:space="preserve">       </w:t>
      </w:r>
      <w:r>
        <w:rPr>
          <w:rFonts w:hint="eastAsia" w:ascii="宋体" w:hAnsi="宋体"/>
          <w:color w:val="auto"/>
          <w:sz w:val="22"/>
          <w:szCs w:val="22"/>
          <w:highlight w:val="none"/>
        </w:rPr>
        <w:t>）的投标邀请，我方</w:t>
      </w:r>
      <w:r>
        <w:rPr>
          <w:rFonts w:hint="eastAsia" w:ascii="宋体" w:hAnsi="宋体"/>
          <w:color w:val="auto"/>
          <w:sz w:val="22"/>
          <w:szCs w:val="22"/>
          <w:highlight w:val="none"/>
          <w:u w:val="single"/>
        </w:rPr>
        <w:t xml:space="preserve">           　　　      （投标人名称）</w:t>
      </w:r>
      <w:r>
        <w:rPr>
          <w:rFonts w:hint="eastAsia" w:ascii="宋体" w:hAnsi="宋体"/>
          <w:color w:val="auto"/>
          <w:sz w:val="22"/>
          <w:szCs w:val="22"/>
          <w:highlight w:val="none"/>
        </w:rPr>
        <w:t>作为投标人正式授权</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（授权代表全名，职务）代表我方处理有关本投标的一切事宜。</w:t>
      </w:r>
    </w:p>
    <w:p>
      <w:pPr>
        <w:pStyle w:val="16"/>
        <w:spacing w:after="120" w:line="440" w:lineRule="exact"/>
        <w:ind w:firstLine="440"/>
        <w:rPr>
          <w:rFonts w:ascii="宋体" w:hAnsi="宋体"/>
          <w:color w:val="auto"/>
          <w:sz w:val="22"/>
          <w:szCs w:val="22"/>
          <w:highlight w:val="none"/>
        </w:rPr>
      </w:pPr>
      <w:r>
        <w:rPr>
          <w:rFonts w:hint="eastAsia" w:ascii="宋体" w:hAnsi="宋体"/>
          <w:color w:val="auto"/>
          <w:sz w:val="22"/>
          <w:szCs w:val="22"/>
          <w:highlight w:val="none"/>
        </w:rPr>
        <w:t>在线上提交的电子投标文件中，包括如下内容：</w:t>
      </w:r>
    </w:p>
    <w:p>
      <w:pPr>
        <w:pStyle w:val="16"/>
        <w:spacing w:after="120" w:line="440" w:lineRule="exact"/>
        <w:ind w:firstLine="440"/>
        <w:rPr>
          <w:rFonts w:ascii="宋体" w:hAnsi="宋体"/>
          <w:color w:val="auto"/>
          <w:sz w:val="22"/>
          <w:szCs w:val="22"/>
          <w:highlight w:val="none"/>
        </w:rPr>
      </w:pPr>
      <w:r>
        <w:rPr>
          <w:rFonts w:hint="eastAsia" w:ascii="宋体" w:hAnsi="宋体"/>
          <w:color w:val="auto"/>
          <w:sz w:val="22"/>
          <w:szCs w:val="22"/>
          <w:highlight w:val="none"/>
        </w:rPr>
        <w:t>（—）按“投标文件的编制”要求编制投标文件的资格证明文件；</w:t>
      </w:r>
    </w:p>
    <w:p>
      <w:pPr>
        <w:pStyle w:val="16"/>
        <w:spacing w:after="120" w:line="440" w:lineRule="exact"/>
        <w:ind w:firstLine="440"/>
        <w:rPr>
          <w:rFonts w:ascii="宋体" w:hAnsi="宋体"/>
          <w:color w:val="auto"/>
          <w:sz w:val="22"/>
          <w:szCs w:val="22"/>
          <w:highlight w:val="none"/>
        </w:rPr>
      </w:pPr>
      <w:r>
        <w:rPr>
          <w:rFonts w:hint="eastAsia" w:ascii="宋体" w:hAnsi="宋体"/>
          <w:color w:val="auto"/>
          <w:sz w:val="22"/>
          <w:szCs w:val="22"/>
          <w:highlight w:val="none"/>
        </w:rPr>
        <w:t>（二）按“投标文件的编制”要求编制投标文件的技术资信标；</w:t>
      </w:r>
    </w:p>
    <w:p>
      <w:pPr>
        <w:pStyle w:val="16"/>
        <w:spacing w:after="120" w:line="440" w:lineRule="exact"/>
        <w:ind w:firstLine="440"/>
        <w:rPr>
          <w:rFonts w:ascii="宋体" w:hAnsi="宋体"/>
          <w:color w:val="auto"/>
          <w:sz w:val="22"/>
          <w:szCs w:val="22"/>
          <w:highlight w:val="none"/>
        </w:rPr>
      </w:pPr>
      <w:r>
        <w:rPr>
          <w:rFonts w:hint="eastAsia" w:ascii="宋体" w:hAnsi="宋体"/>
          <w:color w:val="auto"/>
          <w:sz w:val="22"/>
          <w:szCs w:val="22"/>
          <w:highlight w:val="none"/>
        </w:rPr>
        <w:t>（三）按“投标文件的编制”要求编制投标文件的“价格标”；</w:t>
      </w:r>
    </w:p>
    <w:p>
      <w:pPr>
        <w:pStyle w:val="16"/>
        <w:spacing w:after="120" w:line="440" w:lineRule="exact"/>
        <w:ind w:firstLine="440"/>
        <w:rPr>
          <w:rFonts w:ascii="宋体" w:hAnsi="宋体"/>
          <w:color w:val="auto"/>
          <w:sz w:val="22"/>
          <w:szCs w:val="22"/>
          <w:highlight w:val="none"/>
        </w:rPr>
      </w:pPr>
      <w:r>
        <w:rPr>
          <w:rFonts w:hint="eastAsia" w:ascii="宋体" w:hAnsi="宋体"/>
          <w:color w:val="auto"/>
          <w:sz w:val="22"/>
          <w:szCs w:val="22"/>
          <w:highlight w:val="none"/>
        </w:rPr>
        <w:t>我方己完全明白招标文件的所有条款要求，并重申以下几点：</w:t>
      </w:r>
    </w:p>
    <w:p>
      <w:pPr>
        <w:spacing w:line="440" w:lineRule="exact"/>
        <w:ind w:firstLine="330" w:firstLineChars="150"/>
        <w:rPr>
          <w:rFonts w:ascii="宋体" w:hAnsi="宋体"/>
          <w:color w:val="auto"/>
          <w:sz w:val="22"/>
          <w:szCs w:val="22"/>
          <w:highlight w:val="none"/>
        </w:rPr>
      </w:pPr>
      <w:r>
        <w:rPr>
          <w:rFonts w:hint="eastAsia" w:ascii="宋体" w:hAnsi="宋体"/>
          <w:color w:val="auto"/>
          <w:sz w:val="22"/>
          <w:szCs w:val="22"/>
          <w:highlight w:val="none"/>
        </w:rPr>
        <w:t>（一）本投标文件的有效期自投标截止日起</w:t>
      </w:r>
      <w:r>
        <w:rPr>
          <w:rFonts w:hint="eastAsia" w:ascii="宋体" w:hAnsi="宋体"/>
          <w:b/>
          <w:color w:val="auto"/>
          <w:sz w:val="22"/>
          <w:szCs w:val="22"/>
          <w:highlight w:val="none"/>
          <w:u w:val="single"/>
        </w:rPr>
        <w:t>90</w:t>
      </w:r>
      <w:r>
        <w:rPr>
          <w:rFonts w:hint="eastAsia" w:ascii="宋体" w:hAnsi="宋体"/>
          <w:color w:val="auto"/>
          <w:sz w:val="22"/>
          <w:szCs w:val="22"/>
          <w:highlight w:val="none"/>
        </w:rPr>
        <w:t>天内有效，如中标，有效期将延至合同终止日为止；</w:t>
      </w:r>
    </w:p>
    <w:p>
      <w:pPr>
        <w:spacing w:line="440" w:lineRule="exact"/>
        <w:ind w:left="1019" w:leftChars="171" w:hanging="660" w:hangingChars="300"/>
        <w:rPr>
          <w:rFonts w:ascii="宋体" w:hAnsi="宋体"/>
          <w:color w:val="auto"/>
          <w:sz w:val="22"/>
          <w:szCs w:val="22"/>
          <w:highlight w:val="none"/>
        </w:rPr>
      </w:pPr>
      <w:r>
        <w:rPr>
          <w:rFonts w:hint="eastAsia" w:ascii="宋体" w:hAnsi="宋体"/>
          <w:color w:val="auto"/>
          <w:sz w:val="22"/>
          <w:szCs w:val="22"/>
          <w:highlight w:val="none"/>
        </w:rPr>
        <w:t>（二）我方已详细研究了招标文件的所有内容包括修改书（如有）和所有已提供的参考资料以及有关附件，我方完全理解并同意放弃在此方面提出含糊意见或误解的一切权力；</w:t>
      </w:r>
    </w:p>
    <w:p>
      <w:pPr>
        <w:spacing w:line="440" w:lineRule="exact"/>
        <w:ind w:left="359" w:leftChars="171"/>
        <w:rPr>
          <w:rFonts w:ascii="宋体" w:hAnsi="宋体"/>
          <w:color w:val="auto"/>
          <w:sz w:val="22"/>
          <w:szCs w:val="22"/>
          <w:highlight w:val="none"/>
        </w:rPr>
      </w:pPr>
      <w:r>
        <w:rPr>
          <w:rFonts w:hint="eastAsia" w:ascii="宋体" w:hAnsi="宋体"/>
          <w:color w:val="auto"/>
          <w:sz w:val="22"/>
          <w:szCs w:val="22"/>
          <w:highlight w:val="none"/>
        </w:rPr>
        <w:t>（三）我方同意提供按照贵方可能要求的与投标有关的一切数据或资料；</w:t>
      </w:r>
    </w:p>
    <w:p>
      <w:pPr>
        <w:spacing w:line="440" w:lineRule="exact"/>
        <w:ind w:left="359" w:leftChars="171"/>
        <w:rPr>
          <w:rFonts w:ascii="宋体" w:hAnsi="宋体"/>
          <w:color w:val="auto"/>
          <w:sz w:val="22"/>
          <w:szCs w:val="22"/>
          <w:highlight w:val="none"/>
        </w:rPr>
      </w:pPr>
      <w:r>
        <w:rPr>
          <w:rFonts w:hint="eastAsia" w:ascii="宋体" w:hAnsi="宋体"/>
          <w:color w:val="auto"/>
          <w:sz w:val="22"/>
          <w:szCs w:val="22"/>
          <w:highlight w:val="none"/>
        </w:rPr>
        <w:t>（四）我方理解贵方不一定接受最低报价；</w:t>
      </w:r>
    </w:p>
    <w:p>
      <w:pPr>
        <w:spacing w:line="440" w:lineRule="exact"/>
        <w:ind w:left="1019" w:leftChars="171" w:hanging="660" w:hangingChars="300"/>
        <w:rPr>
          <w:rFonts w:ascii="宋体" w:hAnsi="宋体"/>
          <w:color w:val="auto"/>
          <w:sz w:val="22"/>
          <w:szCs w:val="22"/>
          <w:highlight w:val="none"/>
        </w:rPr>
      </w:pPr>
      <w:r>
        <w:rPr>
          <w:rFonts w:hint="eastAsia" w:ascii="宋体" w:hAnsi="宋体"/>
          <w:color w:val="auto"/>
          <w:sz w:val="22"/>
          <w:szCs w:val="22"/>
          <w:highlight w:val="none"/>
        </w:rPr>
        <w:t>（五）我方如果中标，将保证履行招标文件以及招标文件修改书（如有）中的全部责任和义务，按质、按量、按期完成《合同书》中的全部任务。</w:t>
      </w:r>
    </w:p>
    <w:p>
      <w:pPr>
        <w:spacing w:line="440" w:lineRule="exact"/>
        <w:ind w:left="315"/>
        <w:rPr>
          <w:rFonts w:ascii="宋体" w:hAnsi="宋体"/>
          <w:color w:val="auto"/>
          <w:sz w:val="22"/>
          <w:szCs w:val="22"/>
          <w:highlight w:val="none"/>
        </w:rPr>
      </w:pPr>
      <w:r>
        <w:rPr>
          <w:rFonts w:hint="eastAsia" w:ascii="宋体" w:hAnsi="宋体"/>
          <w:color w:val="auto"/>
          <w:sz w:val="22"/>
          <w:szCs w:val="22"/>
          <w:highlight w:val="none"/>
        </w:rPr>
        <w:t>（六）所有与本投标有关的函件请发往下列地址：</w:t>
      </w:r>
    </w:p>
    <w:p>
      <w:pPr>
        <w:autoSpaceDE w:val="0"/>
        <w:autoSpaceDN w:val="0"/>
        <w:adjustRightInd w:val="0"/>
        <w:snapToGrid w:val="0"/>
        <w:spacing w:line="480" w:lineRule="atLeast"/>
        <w:ind w:firstLine="450"/>
        <w:rPr>
          <w:rFonts w:ascii="宋体" w:hAnsi="宋体" w:cs="仿宋_GB2312"/>
          <w:color w:val="auto"/>
          <w:sz w:val="22"/>
          <w:szCs w:val="22"/>
          <w:highlight w:val="none"/>
          <w:lang w:val="zh-CN"/>
        </w:rPr>
      </w:pPr>
    </w:p>
    <w:p>
      <w:pPr>
        <w:autoSpaceDE w:val="0"/>
        <w:autoSpaceDN w:val="0"/>
        <w:adjustRightInd w:val="0"/>
        <w:snapToGrid w:val="0"/>
        <w:spacing w:line="480" w:lineRule="atLeast"/>
        <w:rPr>
          <w:rFonts w:ascii="宋体" w:hAnsi="宋体" w:cs="仿宋_GB2312"/>
          <w:color w:val="auto"/>
          <w:sz w:val="22"/>
          <w:szCs w:val="22"/>
          <w:highlight w:val="none"/>
          <w:lang w:val="zh-CN"/>
        </w:rPr>
      </w:pPr>
      <w:r>
        <w:rPr>
          <w:rFonts w:hint="eastAsia" w:ascii="宋体" w:hAnsi="宋体" w:cs="仿宋_GB2312"/>
          <w:color w:val="auto"/>
          <w:sz w:val="22"/>
          <w:szCs w:val="22"/>
          <w:highlight w:val="none"/>
          <w:lang w:val="zh-CN"/>
        </w:rPr>
        <w:t>地址：</w:t>
      </w:r>
      <w:r>
        <w:rPr>
          <w:rFonts w:ascii="宋体" w:hAnsi="宋体" w:cs="仿宋_GB2312"/>
          <w:color w:val="auto"/>
          <w:sz w:val="22"/>
          <w:szCs w:val="22"/>
          <w:highlight w:val="none"/>
          <w:u w:val="single"/>
          <w:lang w:val="zh-CN"/>
        </w:rPr>
        <w:t xml:space="preserve">                                 </w:t>
      </w:r>
    </w:p>
    <w:p>
      <w:pPr>
        <w:autoSpaceDE w:val="0"/>
        <w:autoSpaceDN w:val="0"/>
        <w:adjustRightInd w:val="0"/>
        <w:snapToGrid w:val="0"/>
        <w:spacing w:line="480" w:lineRule="atLeast"/>
        <w:rPr>
          <w:rFonts w:ascii="宋体" w:hAnsi="宋体" w:cs="仿宋_GB2312"/>
          <w:color w:val="auto"/>
          <w:sz w:val="22"/>
          <w:szCs w:val="22"/>
          <w:highlight w:val="none"/>
          <w:lang w:val="zh-CN"/>
        </w:rPr>
      </w:pPr>
      <w:r>
        <w:rPr>
          <w:rFonts w:hint="eastAsia" w:ascii="宋体" w:hAnsi="宋体" w:cs="仿宋_GB2312"/>
          <w:color w:val="auto"/>
          <w:sz w:val="22"/>
          <w:szCs w:val="22"/>
          <w:highlight w:val="none"/>
          <w:lang w:val="zh-CN"/>
        </w:rPr>
        <w:t>邮编：</w:t>
      </w:r>
      <w:r>
        <w:rPr>
          <w:rFonts w:ascii="宋体" w:hAnsi="宋体" w:cs="仿宋_GB2312"/>
          <w:color w:val="auto"/>
          <w:sz w:val="22"/>
          <w:szCs w:val="22"/>
          <w:highlight w:val="none"/>
          <w:u w:val="single"/>
          <w:lang w:val="zh-CN"/>
        </w:rPr>
        <w:t xml:space="preserve">               </w:t>
      </w:r>
      <w:r>
        <w:rPr>
          <w:rFonts w:hint="eastAsia" w:ascii="宋体" w:hAnsi="宋体" w:cs="仿宋_GB2312"/>
          <w:color w:val="auto"/>
          <w:sz w:val="22"/>
          <w:szCs w:val="22"/>
          <w:highlight w:val="none"/>
          <w:lang w:val="zh-CN"/>
        </w:rPr>
        <w:t>电话：</w:t>
      </w:r>
      <w:r>
        <w:rPr>
          <w:rFonts w:ascii="宋体" w:hAnsi="宋体" w:cs="仿宋_GB2312"/>
          <w:color w:val="auto"/>
          <w:sz w:val="22"/>
          <w:szCs w:val="22"/>
          <w:highlight w:val="none"/>
          <w:u w:val="single"/>
          <w:lang w:val="zh-CN"/>
        </w:rPr>
        <w:t xml:space="preserve">                 </w:t>
      </w:r>
      <w:r>
        <w:rPr>
          <w:rFonts w:hint="eastAsia" w:ascii="宋体" w:hAnsi="宋体" w:cs="仿宋_GB2312"/>
          <w:color w:val="auto"/>
          <w:sz w:val="22"/>
          <w:szCs w:val="22"/>
          <w:highlight w:val="none"/>
          <w:lang w:val="zh-CN"/>
        </w:rPr>
        <w:t>传真：</w:t>
      </w:r>
      <w:r>
        <w:rPr>
          <w:rFonts w:ascii="宋体" w:hAnsi="宋体" w:cs="仿宋_GB2312"/>
          <w:color w:val="auto"/>
          <w:sz w:val="22"/>
          <w:szCs w:val="22"/>
          <w:highlight w:val="none"/>
          <w:u w:val="single"/>
          <w:lang w:val="zh-CN"/>
        </w:rPr>
        <w:t xml:space="preserve">                 </w:t>
      </w:r>
    </w:p>
    <w:p>
      <w:pPr>
        <w:autoSpaceDE w:val="0"/>
        <w:autoSpaceDN w:val="0"/>
        <w:adjustRightInd w:val="0"/>
        <w:snapToGrid w:val="0"/>
        <w:spacing w:line="480" w:lineRule="atLeast"/>
        <w:ind w:firstLine="1980" w:firstLineChars="900"/>
        <w:rPr>
          <w:rFonts w:ascii="宋体" w:hAnsi="宋体" w:cs="仿宋_GB2312"/>
          <w:color w:val="auto"/>
          <w:sz w:val="22"/>
          <w:szCs w:val="22"/>
          <w:highlight w:val="none"/>
          <w:lang w:val="zh-CN"/>
        </w:rPr>
      </w:pPr>
    </w:p>
    <w:p>
      <w:pPr>
        <w:autoSpaceDE w:val="0"/>
        <w:autoSpaceDN w:val="0"/>
        <w:adjustRightInd w:val="0"/>
        <w:snapToGrid w:val="0"/>
        <w:spacing w:line="480" w:lineRule="atLeast"/>
        <w:jc w:val="left"/>
        <w:rPr>
          <w:rFonts w:ascii="宋体" w:hAnsi="宋体" w:cs="仿宋_GB2312"/>
          <w:color w:val="auto"/>
          <w:sz w:val="22"/>
          <w:szCs w:val="22"/>
          <w:highlight w:val="none"/>
          <w:lang w:val="zh-CN"/>
        </w:rPr>
      </w:pPr>
      <w:r>
        <w:rPr>
          <w:rFonts w:hint="eastAsia" w:ascii="宋体" w:hAnsi="宋体" w:cs="仿宋_GB2312"/>
          <w:color w:val="auto"/>
          <w:sz w:val="22"/>
          <w:szCs w:val="22"/>
          <w:highlight w:val="none"/>
          <w:lang w:val="zh-CN"/>
        </w:rPr>
        <w:t xml:space="preserve">供应商全称（盖章）：      </w:t>
      </w:r>
      <w:r>
        <w:rPr>
          <w:rFonts w:hint="eastAsia"/>
          <w:color w:val="auto"/>
          <w:highlight w:val="none"/>
        </w:rPr>
        <w:t>授权代表（签字或盖章）：</w:t>
      </w:r>
    </w:p>
    <w:p>
      <w:pPr>
        <w:autoSpaceDE w:val="0"/>
        <w:autoSpaceDN w:val="0"/>
        <w:adjustRightInd w:val="0"/>
        <w:snapToGrid w:val="0"/>
        <w:spacing w:line="480" w:lineRule="atLeast"/>
        <w:jc w:val="left"/>
        <w:rPr>
          <w:rFonts w:ascii="宋体" w:hAnsi="宋体" w:cs="仿宋_GB2312"/>
          <w:color w:val="auto"/>
          <w:sz w:val="22"/>
          <w:szCs w:val="22"/>
          <w:highlight w:val="none"/>
          <w:lang w:val="zh-CN"/>
        </w:rPr>
      </w:pPr>
      <w:r>
        <w:rPr>
          <w:rFonts w:hint="eastAsia" w:ascii="宋体" w:hAnsi="宋体" w:cs="仿宋_GB2312"/>
          <w:color w:val="auto"/>
          <w:sz w:val="22"/>
          <w:szCs w:val="22"/>
          <w:highlight w:val="none"/>
          <w:lang w:val="zh-CN"/>
        </w:rPr>
        <w:t>日期：</w:t>
      </w:r>
    </w:p>
    <w:p>
      <w:pPr>
        <w:spacing w:line="460" w:lineRule="exact"/>
        <w:rPr>
          <w:color w:val="auto"/>
          <w:highlight w:val="none"/>
        </w:rPr>
      </w:pPr>
    </w:p>
    <w:p>
      <w:pPr>
        <w:spacing w:line="460" w:lineRule="exact"/>
        <w:rPr>
          <w:color w:val="auto"/>
          <w:highlight w:val="none"/>
        </w:rPr>
      </w:pPr>
    </w:p>
    <w:p>
      <w:pPr>
        <w:spacing w:line="460" w:lineRule="exact"/>
        <w:rPr>
          <w:color w:val="auto"/>
          <w:highlight w:val="none"/>
        </w:rPr>
      </w:pPr>
      <w:r>
        <w:rPr>
          <w:rFonts w:hint="eastAsia"/>
          <w:color w:val="auto"/>
          <w:highlight w:val="none"/>
        </w:rPr>
        <w:t xml:space="preserve">附件二 </w:t>
      </w:r>
    </w:p>
    <w:p>
      <w:pPr>
        <w:spacing w:line="460" w:lineRule="exact"/>
        <w:jc w:val="center"/>
        <w:rPr>
          <w:color w:val="auto"/>
          <w:highlight w:val="none"/>
        </w:rPr>
      </w:pPr>
      <w:r>
        <w:rPr>
          <w:rFonts w:hint="eastAsia"/>
          <w:color w:val="auto"/>
          <w:highlight w:val="none"/>
        </w:rPr>
        <w:t>开标一览表</w:t>
      </w:r>
    </w:p>
    <w:p>
      <w:pPr>
        <w:spacing w:line="460" w:lineRule="exact"/>
        <w:rPr>
          <w:color w:val="auto"/>
          <w:highlight w:val="none"/>
        </w:rPr>
      </w:pPr>
      <w:r>
        <w:rPr>
          <w:rFonts w:hint="eastAsia"/>
          <w:color w:val="auto"/>
          <w:highlight w:val="none"/>
        </w:rPr>
        <w:t>招标编号：                                      （</w:t>
      </w:r>
      <w:r>
        <w:rPr>
          <w:color w:val="auto"/>
          <w:highlight w:val="none"/>
        </w:rPr>
        <w:t>价格单位：人民币元）</w:t>
      </w:r>
    </w:p>
    <w:tbl>
      <w:tblPr>
        <w:tblStyle w:val="69"/>
        <w:tblW w:w="98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4"/>
        <w:gridCol w:w="3875"/>
        <w:gridCol w:w="2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94" w:type="dxa"/>
            <w:vAlign w:val="center"/>
          </w:tcPr>
          <w:p>
            <w:pPr>
              <w:spacing w:line="460" w:lineRule="exact"/>
              <w:jc w:val="center"/>
              <w:rPr>
                <w:color w:val="auto"/>
                <w:highlight w:val="none"/>
              </w:rPr>
            </w:pPr>
            <w:r>
              <w:rPr>
                <w:rFonts w:hint="eastAsia"/>
                <w:color w:val="auto"/>
                <w:highlight w:val="none"/>
              </w:rPr>
              <w:t>投标</w:t>
            </w:r>
            <w:r>
              <w:rPr>
                <w:color w:val="auto"/>
                <w:highlight w:val="none"/>
              </w:rPr>
              <w:t>项目</w:t>
            </w:r>
          </w:p>
        </w:tc>
        <w:tc>
          <w:tcPr>
            <w:tcW w:w="3875" w:type="dxa"/>
            <w:vAlign w:val="center"/>
          </w:tcPr>
          <w:p>
            <w:pPr>
              <w:spacing w:line="460" w:lineRule="exact"/>
              <w:jc w:val="center"/>
              <w:rPr>
                <w:color w:val="auto"/>
                <w:highlight w:val="none"/>
              </w:rPr>
            </w:pPr>
            <w:r>
              <w:rPr>
                <w:rFonts w:hint="eastAsia"/>
                <w:color w:val="auto"/>
                <w:highlight w:val="none"/>
              </w:rPr>
              <w:t>完成期限</w:t>
            </w:r>
          </w:p>
        </w:tc>
        <w:tc>
          <w:tcPr>
            <w:tcW w:w="2539" w:type="dxa"/>
            <w:vAlign w:val="center"/>
          </w:tcPr>
          <w:p>
            <w:pPr>
              <w:spacing w:line="460" w:lineRule="exact"/>
              <w:jc w:val="center"/>
              <w:rPr>
                <w:color w:val="auto"/>
                <w:highlight w:val="none"/>
              </w:rPr>
            </w:pPr>
            <w:r>
              <w:rPr>
                <w:rFonts w:hint="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3394" w:type="dxa"/>
            <w:vAlign w:val="center"/>
          </w:tcPr>
          <w:p>
            <w:pPr>
              <w:spacing w:line="460" w:lineRule="exact"/>
              <w:rPr>
                <w:color w:val="auto"/>
                <w:highlight w:val="none"/>
              </w:rPr>
            </w:pPr>
          </w:p>
        </w:tc>
        <w:tc>
          <w:tcPr>
            <w:tcW w:w="3875" w:type="dxa"/>
            <w:vAlign w:val="center"/>
          </w:tcPr>
          <w:p>
            <w:pPr>
              <w:spacing w:line="460" w:lineRule="exact"/>
              <w:jc w:val="center"/>
              <w:rPr>
                <w:color w:val="auto"/>
                <w:highlight w:val="none"/>
              </w:rPr>
            </w:pPr>
          </w:p>
        </w:tc>
        <w:tc>
          <w:tcPr>
            <w:tcW w:w="2539" w:type="dxa"/>
            <w:vAlign w:val="center"/>
          </w:tcPr>
          <w:p>
            <w:pPr>
              <w:spacing w:line="4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3394" w:type="dxa"/>
            <w:vAlign w:val="center"/>
          </w:tcPr>
          <w:p>
            <w:pPr>
              <w:spacing w:line="460" w:lineRule="exact"/>
              <w:rPr>
                <w:color w:val="auto"/>
                <w:highlight w:val="none"/>
              </w:rPr>
            </w:pPr>
            <w:r>
              <w:rPr>
                <w:rFonts w:hint="eastAsia"/>
                <w:color w:val="auto"/>
                <w:highlight w:val="none"/>
              </w:rPr>
              <w:t>投标总报价</w:t>
            </w:r>
            <w:r>
              <w:rPr>
                <w:rFonts w:hint="eastAsia" w:hAnsi="宋体" w:cs="宋体"/>
                <w:bCs/>
                <w:color w:val="auto"/>
                <w:highlight w:val="none"/>
              </w:rPr>
              <w:t>（小写）</w:t>
            </w:r>
          </w:p>
        </w:tc>
        <w:tc>
          <w:tcPr>
            <w:tcW w:w="6414" w:type="dxa"/>
            <w:gridSpan w:val="2"/>
            <w:vAlign w:val="center"/>
          </w:tcPr>
          <w:p>
            <w:pPr>
              <w:spacing w:line="4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94" w:type="dxa"/>
            <w:vAlign w:val="center"/>
          </w:tcPr>
          <w:p>
            <w:pPr>
              <w:spacing w:line="460" w:lineRule="exact"/>
              <w:rPr>
                <w:color w:val="auto"/>
                <w:highlight w:val="none"/>
              </w:rPr>
            </w:pPr>
            <w:r>
              <w:rPr>
                <w:rFonts w:hint="eastAsia"/>
                <w:color w:val="auto"/>
                <w:highlight w:val="none"/>
              </w:rPr>
              <w:t>投标</w:t>
            </w:r>
            <w:r>
              <w:rPr>
                <w:color w:val="auto"/>
                <w:highlight w:val="none"/>
              </w:rPr>
              <w:t>总</w:t>
            </w:r>
            <w:r>
              <w:rPr>
                <w:rFonts w:hint="eastAsia"/>
                <w:color w:val="auto"/>
                <w:highlight w:val="none"/>
              </w:rPr>
              <w:t>报</w:t>
            </w:r>
            <w:r>
              <w:rPr>
                <w:color w:val="auto"/>
                <w:highlight w:val="none"/>
              </w:rPr>
              <w:t>价（大写）</w:t>
            </w:r>
          </w:p>
        </w:tc>
        <w:tc>
          <w:tcPr>
            <w:tcW w:w="6414" w:type="dxa"/>
            <w:gridSpan w:val="2"/>
            <w:vAlign w:val="center"/>
          </w:tcPr>
          <w:p>
            <w:pPr>
              <w:spacing w:line="460" w:lineRule="exact"/>
              <w:rPr>
                <w:color w:val="auto"/>
                <w:highlight w:val="none"/>
              </w:rPr>
            </w:pPr>
          </w:p>
        </w:tc>
      </w:tr>
    </w:tbl>
    <w:p>
      <w:pPr>
        <w:spacing w:line="460" w:lineRule="exact"/>
        <w:rPr>
          <w:color w:val="auto"/>
          <w:highlight w:val="none"/>
        </w:rPr>
      </w:pPr>
      <w:r>
        <w:rPr>
          <w:rFonts w:hint="eastAsia"/>
          <w:color w:val="auto"/>
          <w:highlight w:val="none"/>
        </w:rPr>
        <w:t>说明：（分</w:t>
      </w:r>
      <w:r>
        <w:rPr>
          <w:color w:val="auto"/>
          <w:highlight w:val="none"/>
        </w:rPr>
        <w:t>项报价要注明</w:t>
      </w:r>
      <w:r>
        <w:rPr>
          <w:rFonts w:hint="eastAsia"/>
          <w:color w:val="auto"/>
          <w:highlight w:val="none"/>
        </w:rPr>
        <w:t>）</w:t>
      </w:r>
    </w:p>
    <w:p>
      <w:pPr>
        <w:spacing w:line="460" w:lineRule="exact"/>
        <w:rPr>
          <w:color w:val="auto"/>
          <w:highlight w:val="none"/>
        </w:rPr>
      </w:pPr>
      <w:r>
        <w:rPr>
          <w:rFonts w:hint="eastAsia"/>
          <w:color w:val="auto"/>
          <w:highlight w:val="none"/>
        </w:rPr>
        <w:t>1. 此栏投标报价应与附件三“分项报价表”中的总计价相一致。</w:t>
      </w:r>
    </w:p>
    <w:p>
      <w:pPr>
        <w:spacing w:line="460" w:lineRule="exact"/>
        <w:rPr>
          <w:color w:val="auto"/>
          <w:highlight w:val="none"/>
        </w:rPr>
      </w:pPr>
      <w:r>
        <w:rPr>
          <w:rFonts w:hint="eastAsia"/>
          <w:color w:val="auto"/>
          <w:highlight w:val="none"/>
        </w:rPr>
        <w:t>2．全部报价均为税后工地价。</w:t>
      </w:r>
    </w:p>
    <w:p>
      <w:pPr>
        <w:spacing w:line="460" w:lineRule="exact"/>
        <w:rPr>
          <w:color w:val="auto"/>
          <w:highlight w:val="none"/>
        </w:rPr>
      </w:pPr>
      <w:r>
        <w:rPr>
          <w:rFonts w:hint="eastAsia"/>
          <w:color w:val="auto"/>
          <w:highlight w:val="none"/>
        </w:rPr>
        <w:t>3．投标报价包括招标代理服务费。</w:t>
      </w:r>
    </w:p>
    <w:p>
      <w:pPr>
        <w:spacing w:line="460" w:lineRule="exact"/>
        <w:rPr>
          <w:color w:val="auto"/>
          <w:highlight w:val="none"/>
        </w:rPr>
      </w:pPr>
    </w:p>
    <w:p>
      <w:pPr>
        <w:spacing w:line="460" w:lineRule="exact"/>
        <w:rPr>
          <w:color w:val="auto"/>
          <w:highlight w:val="none"/>
        </w:rPr>
      </w:pPr>
    </w:p>
    <w:p>
      <w:pPr>
        <w:spacing w:line="460" w:lineRule="exact"/>
        <w:rPr>
          <w:color w:val="auto"/>
          <w:highlight w:val="none"/>
        </w:rPr>
      </w:pPr>
    </w:p>
    <w:p>
      <w:pPr>
        <w:spacing w:line="460" w:lineRule="exact"/>
        <w:rPr>
          <w:color w:val="auto"/>
          <w:highlight w:val="none"/>
        </w:rPr>
      </w:pPr>
    </w:p>
    <w:p>
      <w:pPr>
        <w:spacing w:line="460" w:lineRule="exact"/>
        <w:rPr>
          <w:color w:val="auto"/>
          <w:highlight w:val="none"/>
        </w:rPr>
      </w:pPr>
    </w:p>
    <w:p>
      <w:pPr>
        <w:spacing w:line="460" w:lineRule="exact"/>
        <w:rPr>
          <w:color w:val="auto"/>
          <w:highlight w:val="none"/>
        </w:rPr>
      </w:pPr>
    </w:p>
    <w:p>
      <w:pPr>
        <w:spacing w:line="460" w:lineRule="exact"/>
        <w:rPr>
          <w:color w:val="auto"/>
          <w:highlight w:val="none"/>
        </w:rPr>
      </w:pPr>
    </w:p>
    <w:p>
      <w:pPr>
        <w:spacing w:line="460" w:lineRule="exact"/>
        <w:rPr>
          <w:color w:val="auto"/>
          <w:highlight w:val="none"/>
        </w:rPr>
      </w:pPr>
    </w:p>
    <w:p>
      <w:pPr>
        <w:spacing w:line="460" w:lineRule="exact"/>
        <w:rPr>
          <w:color w:val="auto"/>
          <w:highlight w:val="none"/>
        </w:rPr>
      </w:pPr>
      <w:r>
        <w:rPr>
          <w:rFonts w:hint="eastAsia"/>
          <w:color w:val="auto"/>
          <w:highlight w:val="none"/>
        </w:rPr>
        <w:t>投标人全称（公章）：</w:t>
      </w:r>
    </w:p>
    <w:p>
      <w:pPr>
        <w:spacing w:line="460" w:lineRule="exact"/>
        <w:rPr>
          <w:color w:val="auto"/>
          <w:highlight w:val="none"/>
        </w:rPr>
      </w:pPr>
      <w:r>
        <w:rPr>
          <w:rFonts w:hint="eastAsia"/>
          <w:color w:val="auto"/>
          <w:highlight w:val="none"/>
        </w:rPr>
        <w:t>法定代表人或授权代表（签字或盖章）：</w:t>
      </w:r>
    </w:p>
    <w:p>
      <w:pPr>
        <w:spacing w:line="460" w:lineRule="exact"/>
        <w:rPr>
          <w:color w:val="auto"/>
          <w:highlight w:val="none"/>
        </w:rPr>
      </w:pPr>
      <w:r>
        <w:rPr>
          <w:rFonts w:hint="eastAsia"/>
          <w:color w:val="auto"/>
          <w:highlight w:val="none"/>
        </w:rPr>
        <w:t>日期</w:t>
      </w:r>
    </w:p>
    <w:p>
      <w:pPr>
        <w:rPr>
          <w:color w:val="auto"/>
          <w:highlight w:val="none"/>
        </w:rPr>
      </w:pPr>
      <w:r>
        <w:rPr>
          <w:rFonts w:hint="eastAsia"/>
          <w:color w:val="auto"/>
          <w:highlight w:val="none"/>
        </w:rPr>
        <w:br w:type="page"/>
      </w:r>
    </w:p>
    <w:p>
      <w:pPr>
        <w:spacing w:line="380" w:lineRule="exact"/>
        <w:rPr>
          <w:rFonts w:ascii="楷体_GB2312" w:eastAsia="楷体_GB2312"/>
          <w:b/>
          <w:bCs/>
          <w:color w:val="auto"/>
          <w:sz w:val="22"/>
          <w:szCs w:val="22"/>
          <w:highlight w:val="none"/>
        </w:rPr>
      </w:pPr>
      <w:r>
        <w:rPr>
          <w:rFonts w:hint="eastAsia"/>
          <w:color w:val="auto"/>
          <w:highlight w:val="none"/>
        </w:rPr>
        <w:t>附件三</w:t>
      </w:r>
    </w:p>
    <w:p>
      <w:pPr>
        <w:spacing w:line="460" w:lineRule="exact"/>
        <w:jc w:val="center"/>
        <w:rPr>
          <w:color w:val="auto"/>
          <w:sz w:val="24"/>
          <w:szCs w:val="32"/>
          <w:highlight w:val="none"/>
        </w:rPr>
      </w:pPr>
      <w:r>
        <w:rPr>
          <w:rFonts w:hint="eastAsia"/>
          <w:color w:val="auto"/>
          <w:sz w:val="24"/>
          <w:szCs w:val="32"/>
          <w:highlight w:val="none"/>
        </w:rPr>
        <w:t>投标分项报价表</w:t>
      </w:r>
    </w:p>
    <w:p>
      <w:pPr>
        <w:spacing w:line="460" w:lineRule="exact"/>
        <w:rPr>
          <w:color w:val="auto"/>
          <w:highlight w:val="none"/>
        </w:rPr>
      </w:pPr>
      <w:r>
        <w:rPr>
          <w:rFonts w:hint="eastAsia"/>
          <w:color w:val="auto"/>
          <w:highlight w:val="none"/>
        </w:rPr>
        <w:t>项目名称：                                     项目编号：</w:t>
      </w:r>
    </w:p>
    <w:p>
      <w:pPr>
        <w:spacing w:line="460" w:lineRule="exact"/>
        <w:rPr>
          <w:color w:val="auto"/>
          <w:highlight w:val="none"/>
        </w:rPr>
      </w:pPr>
      <w:r>
        <w:rPr>
          <w:rFonts w:hint="eastAsia"/>
          <w:color w:val="auto"/>
          <w:highlight w:val="none"/>
        </w:rPr>
        <w:t>单位：元</w:t>
      </w:r>
    </w:p>
    <w:tbl>
      <w:tblPr>
        <w:tblStyle w:val="69"/>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13"/>
        <w:gridCol w:w="3431"/>
        <w:gridCol w:w="58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613" w:type="dxa"/>
            <w:vAlign w:val="center"/>
          </w:tcPr>
          <w:p>
            <w:pPr>
              <w:spacing w:line="460" w:lineRule="exact"/>
              <w:jc w:val="center"/>
              <w:rPr>
                <w:color w:val="auto"/>
                <w:highlight w:val="none"/>
              </w:rPr>
            </w:pPr>
            <w:r>
              <w:rPr>
                <w:color w:val="auto"/>
                <w:highlight w:val="none"/>
              </w:rPr>
              <w:t>序号</w:t>
            </w:r>
          </w:p>
        </w:tc>
        <w:tc>
          <w:tcPr>
            <w:tcW w:w="3431" w:type="dxa"/>
            <w:vAlign w:val="center"/>
          </w:tcPr>
          <w:p>
            <w:pPr>
              <w:spacing w:line="460" w:lineRule="exact"/>
              <w:jc w:val="center"/>
              <w:rPr>
                <w:color w:val="auto"/>
                <w:highlight w:val="none"/>
              </w:rPr>
            </w:pPr>
            <w:r>
              <w:rPr>
                <w:color w:val="auto"/>
                <w:highlight w:val="none"/>
              </w:rPr>
              <w:t>项目内容</w:t>
            </w:r>
          </w:p>
        </w:tc>
        <w:tc>
          <w:tcPr>
            <w:tcW w:w="5810" w:type="dxa"/>
            <w:vAlign w:val="center"/>
          </w:tcPr>
          <w:p>
            <w:pPr>
              <w:spacing w:line="460" w:lineRule="exact"/>
              <w:jc w:val="center"/>
              <w:rPr>
                <w:color w:val="auto"/>
                <w:highlight w:val="none"/>
              </w:rPr>
            </w:pPr>
            <w:r>
              <w:rPr>
                <w:color w:val="auto"/>
                <w:highlight w:val="none"/>
              </w:rPr>
              <w:t>报价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613" w:type="dxa"/>
            <w:vAlign w:val="center"/>
          </w:tcPr>
          <w:p>
            <w:pPr>
              <w:spacing w:line="460" w:lineRule="exact"/>
              <w:jc w:val="center"/>
              <w:rPr>
                <w:color w:val="auto"/>
                <w:highlight w:val="none"/>
              </w:rPr>
            </w:pPr>
            <w:r>
              <w:rPr>
                <w:color w:val="auto"/>
                <w:highlight w:val="none"/>
              </w:rPr>
              <w:t>1</w:t>
            </w:r>
          </w:p>
          <w:p>
            <w:pPr>
              <w:spacing w:line="460" w:lineRule="exact"/>
              <w:jc w:val="center"/>
              <w:rPr>
                <w:color w:val="auto"/>
                <w:highlight w:val="none"/>
              </w:rPr>
            </w:pPr>
          </w:p>
        </w:tc>
        <w:tc>
          <w:tcPr>
            <w:tcW w:w="3431" w:type="dxa"/>
            <w:vAlign w:val="center"/>
          </w:tcPr>
          <w:p>
            <w:pPr>
              <w:spacing w:line="460" w:lineRule="exact"/>
              <w:jc w:val="center"/>
              <w:rPr>
                <w:color w:val="auto"/>
                <w:highlight w:val="none"/>
              </w:rPr>
            </w:pPr>
          </w:p>
        </w:tc>
        <w:tc>
          <w:tcPr>
            <w:tcW w:w="5810" w:type="dxa"/>
            <w:vAlign w:val="center"/>
          </w:tcPr>
          <w:p>
            <w:pPr>
              <w:spacing w:line="460" w:lineRule="exact"/>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613" w:type="dxa"/>
            <w:vAlign w:val="center"/>
          </w:tcPr>
          <w:p>
            <w:pPr>
              <w:spacing w:line="460" w:lineRule="exact"/>
              <w:jc w:val="center"/>
              <w:rPr>
                <w:color w:val="auto"/>
                <w:highlight w:val="none"/>
              </w:rPr>
            </w:pPr>
            <w:r>
              <w:rPr>
                <w:color w:val="auto"/>
                <w:highlight w:val="none"/>
              </w:rPr>
              <w:t>2</w:t>
            </w:r>
          </w:p>
        </w:tc>
        <w:tc>
          <w:tcPr>
            <w:tcW w:w="3431" w:type="dxa"/>
            <w:vAlign w:val="center"/>
          </w:tcPr>
          <w:p>
            <w:pPr>
              <w:spacing w:line="460" w:lineRule="exact"/>
              <w:jc w:val="center"/>
              <w:rPr>
                <w:color w:val="auto"/>
                <w:highlight w:val="none"/>
              </w:rPr>
            </w:pPr>
          </w:p>
        </w:tc>
        <w:tc>
          <w:tcPr>
            <w:tcW w:w="5810" w:type="dxa"/>
            <w:vAlign w:val="center"/>
          </w:tcPr>
          <w:p>
            <w:pPr>
              <w:spacing w:line="460" w:lineRule="exact"/>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613" w:type="dxa"/>
            <w:vAlign w:val="center"/>
          </w:tcPr>
          <w:p>
            <w:pPr>
              <w:spacing w:line="460" w:lineRule="exact"/>
              <w:jc w:val="center"/>
              <w:rPr>
                <w:color w:val="auto"/>
                <w:highlight w:val="none"/>
              </w:rPr>
            </w:pPr>
            <w:r>
              <w:rPr>
                <w:rFonts w:hint="eastAsia"/>
                <w:color w:val="auto"/>
                <w:highlight w:val="none"/>
              </w:rPr>
              <w:t>3</w:t>
            </w:r>
          </w:p>
        </w:tc>
        <w:tc>
          <w:tcPr>
            <w:tcW w:w="3431" w:type="dxa"/>
            <w:vAlign w:val="center"/>
          </w:tcPr>
          <w:p>
            <w:pPr>
              <w:spacing w:line="460" w:lineRule="exact"/>
              <w:jc w:val="center"/>
              <w:rPr>
                <w:color w:val="auto"/>
                <w:highlight w:val="none"/>
              </w:rPr>
            </w:pPr>
          </w:p>
        </w:tc>
        <w:tc>
          <w:tcPr>
            <w:tcW w:w="5810" w:type="dxa"/>
            <w:vAlign w:val="center"/>
          </w:tcPr>
          <w:p>
            <w:pPr>
              <w:spacing w:line="460" w:lineRule="exact"/>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613" w:type="dxa"/>
            <w:vAlign w:val="center"/>
          </w:tcPr>
          <w:p>
            <w:pPr>
              <w:spacing w:line="460" w:lineRule="exact"/>
              <w:jc w:val="center"/>
              <w:rPr>
                <w:color w:val="auto"/>
                <w:highlight w:val="none"/>
              </w:rPr>
            </w:pPr>
            <w:r>
              <w:rPr>
                <w:rFonts w:hint="eastAsia"/>
                <w:color w:val="auto"/>
                <w:highlight w:val="none"/>
              </w:rPr>
              <w:t>4</w:t>
            </w:r>
          </w:p>
        </w:tc>
        <w:tc>
          <w:tcPr>
            <w:tcW w:w="3431" w:type="dxa"/>
            <w:vAlign w:val="center"/>
          </w:tcPr>
          <w:p>
            <w:pPr>
              <w:spacing w:line="460" w:lineRule="exact"/>
              <w:jc w:val="center"/>
              <w:rPr>
                <w:color w:val="auto"/>
                <w:highlight w:val="none"/>
              </w:rPr>
            </w:pPr>
          </w:p>
        </w:tc>
        <w:tc>
          <w:tcPr>
            <w:tcW w:w="5810" w:type="dxa"/>
            <w:vAlign w:val="center"/>
          </w:tcPr>
          <w:p>
            <w:pPr>
              <w:spacing w:line="460" w:lineRule="exact"/>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4044" w:type="dxa"/>
            <w:gridSpan w:val="2"/>
            <w:vAlign w:val="center"/>
          </w:tcPr>
          <w:p>
            <w:pPr>
              <w:spacing w:line="460" w:lineRule="exact"/>
              <w:jc w:val="center"/>
              <w:rPr>
                <w:color w:val="auto"/>
                <w:highlight w:val="none"/>
              </w:rPr>
            </w:pPr>
            <w:r>
              <w:rPr>
                <w:color w:val="auto"/>
                <w:highlight w:val="none"/>
              </w:rPr>
              <w:t>总    计   价</w:t>
            </w:r>
          </w:p>
        </w:tc>
        <w:tc>
          <w:tcPr>
            <w:tcW w:w="5810" w:type="dxa"/>
            <w:vAlign w:val="center"/>
          </w:tcPr>
          <w:p>
            <w:pPr>
              <w:spacing w:line="460" w:lineRule="exact"/>
              <w:jc w:val="center"/>
              <w:rPr>
                <w:color w:val="auto"/>
                <w:highlight w:val="none"/>
              </w:rPr>
            </w:pPr>
          </w:p>
        </w:tc>
      </w:tr>
    </w:tbl>
    <w:p>
      <w:pPr>
        <w:spacing w:line="380" w:lineRule="exact"/>
        <w:rPr>
          <w:rFonts w:ascii="楷体_GB2312" w:eastAsia="楷体_GB2312"/>
          <w:b/>
          <w:color w:val="auto"/>
          <w:sz w:val="22"/>
          <w:highlight w:val="none"/>
        </w:rPr>
      </w:pPr>
    </w:p>
    <w:p>
      <w:pPr>
        <w:spacing w:line="380" w:lineRule="exact"/>
        <w:rPr>
          <w:rFonts w:ascii="宋体" w:hAnsi="宋体" w:cs="宋体"/>
          <w:color w:val="auto"/>
          <w:szCs w:val="21"/>
          <w:highlight w:val="none"/>
        </w:rPr>
      </w:pPr>
      <w:r>
        <w:rPr>
          <w:rFonts w:hint="eastAsia" w:ascii="宋体" w:hAnsi="宋体" w:cs="宋体"/>
          <w:color w:val="auto"/>
          <w:szCs w:val="21"/>
          <w:highlight w:val="none"/>
        </w:rPr>
        <w:t>说明：</w:t>
      </w:r>
    </w:p>
    <w:p>
      <w:pPr>
        <w:numPr>
          <w:ilvl w:val="3"/>
          <w:numId w:val="46"/>
        </w:numPr>
        <w:tabs>
          <w:tab w:val="left" w:pos="900"/>
          <w:tab w:val="clear" w:pos="1680"/>
        </w:tabs>
        <w:spacing w:line="380" w:lineRule="exact"/>
        <w:ind w:left="900" w:hanging="360"/>
        <w:rPr>
          <w:rFonts w:ascii="宋体" w:hAnsi="宋体" w:cs="宋体"/>
          <w:color w:val="auto"/>
          <w:szCs w:val="21"/>
          <w:highlight w:val="none"/>
        </w:rPr>
      </w:pPr>
      <w:r>
        <w:rPr>
          <w:rFonts w:hint="eastAsia" w:ascii="宋体" w:hAnsi="宋体" w:cs="宋体"/>
          <w:color w:val="auto"/>
          <w:szCs w:val="21"/>
          <w:highlight w:val="none"/>
        </w:rPr>
        <w:t>投标分项报价表内总计价应与附件二中“开标一览表”投标总报价相一致。</w:t>
      </w:r>
    </w:p>
    <w:p>
      <w:pPr>
        <w:numPr>
          <w:ilvl w:val="3"/>
          <w:numId w:val="46"/>
        </w:numPr>
        <w:tabs>
          <w:tab w:val="left" w:pos="900"/>
          <w:tab w:val="clear" w:pos="1680"/>
        </w:tabs>
        <w:spacing w:line="380" w:lineRule="exact"/>
        <w:ind w:left="900" w:hanging="360"/>
        <w:rPr>
          <w:rFonts w:ascii="宋体" w:hAnsi="宋体" w:cs="宋体"/>
          <w:color w:val="auto"/>
          <w:szCs w:val="21"/>
          <w:highlight w:val="none"/>
        </w:rPr>
      </w:pPr>
      <w:r>
        <w:rPr>
          <w:rFonts w:hint="eastAsia" w:ascii="宋体" w:hAnsi="宋体" w:cs="宋体"/>
          <w:color w:val="auto"/>
          <w:szCs w:val="21"/>
          <w:highlight w:val="none"/>
        </w:rPr>
        <w:t>不提供此表的报价，视为没有实质性响应采购文件要求。</w:t>
      </w:r>
    </w:p>
    <w:p>
      <w:pPr>
        <w:numPr>
          <w:ilvl w:val="3"/>
          <w:numId w:val="46"/>
        </w:numPr>
        <w:tabs>
          <w:tab w:val="left" w:pos="900"/>
          <w:tab w:val="clear" w:pos="1680"/>
        </w:tabs>
        <w:spacing w:line="380" w:lineRule="exact"/>
        <w:ind w:left="900" w:hanging="360"/>
        <w:rPr>
          <w:rFonts w:ascii="宋体" w:hAnsi="宋体" w:cs="宋体"/>
          <w:color w:val="auto"/>
          <w:szCs w:val="21"/>
          <w:highlight w:val="none"/>
        </w:rPr>
      </w:pPr>
      <w:r>
        <w:rPr>
          <w:rFonts w:hint="eastAsia" w:ascii="宋体" w:hAnsi="宋体" w:cs="宋体"/>
          <w:color w:val="auto"/>
          <w:szCs w:val="21"/>
          <w:highlight w:val="none"/>
        </w:rPr>
        <w:t>投标人可根据此表格式适当修改/扩充/减少报价项目名称。</w:t>
      </w:r>
    </w:p>
    <w:p>
      <w:pPr>
        <w:spacing w:line="380" w:lineRule="exact"/>
        <w:ind w:firstLine="4200" w:firstLineChars="2000"/>
        <w:rPr>
          <w:rFonts w:ascii="宋体" w:hAnsi="宋体" w:cs="宋体"/>
          <w:color w:val="auto"/>
          <w:szCs w:val="21"/>
          <w:highlight w:val="none"/>
        </w:rPr>
      </w:pPr>
    </w:p>
    <w:p>
      <w:pPr>
        <w:spacing w:line="380" w:lineRule="exact"/>
        <w:ind w:left="718" w:leftChars="342"/>
        <w:rPr>
          <w:rFonts w:ascii="宋体" w:hAnsi="宋体" w:cs="宋体"/>
          <w:color w:val="auto"/>
          <w:szCs w:val="21"/>
          <w:highlight w:val="none"/>
        </w:rPr>
      </w:pPr>
      <w:r>
        <w:rPr>
          <w:rFonts w:hint="eastAsia" w:ascii="宋体" w:hAnsi="宋体" w:cs="宋体"/>
          <w:color w:val="auto"/>
          <w:szCs w:val="21"/>
          <w:highlight w:val="none"/>
        </w:rPr>
        <w:t>投标人全称（盖章）：</w:t>
      </w:r>
    </w:p>
    <w:p>
      <w:pPr>
        <w:spacing w:line="380" w:lineRule="exact"/>
        <w:ind w:left="718" w:leftChars="342"/>
        <w:rPr>
          <w:rFonts w:ascii="宋体" w:hAnsi="宋体" w:cs="宋体"/>
          <w:color w:val="auto"/>
          <w:szCs w:val="21"/>
          <w:highlight w:val="none"/>
        </w:rPr>
      </w:pPr>
      <w:r>
        <w:rPr>
          <w:rFonts w:hint="eastAsia" w:ascii="宋体" w:hAnsi="宋体" w:cs="宋体"/>
          <w:color w:val="auto"/>
          <w:szCs w:val="21"/>
          <w:highlight w:val="none"/>
        </w:rPr>
        <w:t>法定代表人或授权代表（签字）：</w:t>
      </w:r>
    </w:p>
    <w:p>
      <w:pPr>
        <w:spacing w:line="380" w:lineRule="exact"/>
        <w:ind w:left="718" w:leftChars="342"/>
        <w:rPr>
          <w:rFonts w:ascii="宋体" w:hAnsi="宋体" w:cs="宋体"/>
          <w:color w:val="auto"/>
          <w:szCs w:val="21"/>
          <w:highlight w:val="none"/>
        </w:rPr>
      </w:pPr>
      <w:r>
        <w:rPr>
          <w:rFonts w:hint="eastAsia" w:ascii="宋体" w:hAnsi="宋体" w:cs="宋体"/>
          <w:color w:val="auto"/>
          <w:szCs w:val="21"/>
          <w:highlight w:val="none"/>
        </w:rPr>
        <w:t>日 期：  年  月  日</w:t>
      </w:r>
    </w:p>
    <w:p>
      <w:pPr>
        <w:pStyle w:val="6"/>
        <w:rPr>
          <w:rFonts w:ascii="宋体" w:hAnsi="宋体" w:cs="宋体"/>
          <w:color w:val="auto"/>
          <w:sz w:val="21"/>
          <w:szCs w:val="21"/>
          <w:highlight w:val="none"/>
        </w:rPr>
        <w:sectPr>
          <w:headerReference r:id="rId8" w:type="default"/>
          <w:pgSz w:w="11906" w:h="16838"/>
          <w:pgMar w:top="1134" w:right="1134" w:bottom="1134" w:left="1134" w:header="851" w:footer="992" w:gutter="0"/>
          <w:cols w:space="720" w:num="1"/>
          <w:docGrid w:linePitch="312" w:charSpace="0"/>
        </w:sectPr>
      </w:pPr>
    </w:p>
    <w:p>
      <w:pPr>
        <w:spacing w:line="460" w:lineRule="exact"/>
        <w:rPr>
          <w:color w:val="auto"/>
          <w:highlight w:val="none"/>
        </w:rPr>
      </w:pPr>
      <w:r>
        <w:rPr>
          <w:rFonts w:hint="eastAsia"/>
          <w:color w:val="auto"/>
          <w:highlight w:val="none"/>
        </w:rPr>
        <w:t>附件四</w:t>
      </w:r>
    </w:p>
    <w:p>
      <w:pPr>
        <w:spacing w:line="560" w:lineRule="exact"/>
        <w:ind w:firstLine="435"/>
        <w:jc w:val="center"/>
        <w:outlineLvl w:val="2"/>
        <w:rPr>
          <w:rFonts w:ascii="宋体" w:hAnsi="宋体" w:cs="宋体"/>
          <w:b/>
          <w:bCs/>
          <w:color w:val="auto"/>
          <w:sz w:val="28"/>
          <w:szCs w:val="28"/>
          <w:highlight w:val="none"/>
        </w:rPr>
      </w:pPr>
      <w:r>
        <w:rPr>
          <w:rFonts w:hint="eastAsia" w:ascii="宋体" w:hAnsi="宋体" w:cs="宋体"/>
          <w:b/>
          <w:bCs/>
          <w:color w:val="auto"/>
          <w:sz w:val="28"/>
          <w:szCs w:val="28"/>
          <w:highlight w:val="none"/>
        </w:rPr>
        <w:t>技术规格（或商务）条款偏离表</w:t>
      </w:r>
    </w:p>
    <w:p>
      <w:pPr>
        <w:spacing w:line="460" w:lineRule="exact"/>
        <w:rPr>
          <w:color w:val="auto"/>
          <w:highlight w:val="none"/>
        </w:rPr>
      </w:pPr>
      <w:r>
        <w:rPr>
          <w:rFonts w:hint="eastAsia"/>
          <w:color w:val="auto"/>
          <w:highlight w:val="none"/>
        </w:rPr>
        <w:t xml:space="preserve">投标人名称：                        招标编号：                        </w:t>
      </w:r>
    </w:p>
    <w:tbl>
      <w:tblPr>
        <w:tblStyle w:val="69"/>
        <w:tblW w:w="98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1365"/>
        <w:gridCol w:w="2100"/>
        <w:gridCol w:w="1995"/>
        <w:gridCol w:w="1869"/>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944" w:type="dxa"/>
          </w:tcPr>
          <w:p>
            <w:pPr>
              <w:spacing w:line="460" w:lineRule="exact"/>
              <w:rPr>
                <w:color w:val="auto"/>
                <w:highlight w:val="none"/>
              </w:rPr>
            </w:pPr>
          </w:p>
        </w:tc>
        <w:tc>
          <w:tcPr>
            <w:tcW w:w="1365" w:type="dxa"/>
            <w:vAlign w:val="center"/>
          </w:tcPr>
          <w:p>
            <w:pPr>
              <w:spacing w:line="460" w:lineRule="exact"/>
              <w:rPr>
                <w:color w:val="auto"/>
                <w:highlight w:val="none"/>
              </w:rPr>
            </w:pPr>
            <w:r>
              <w:rPr>
                <w:rFonts w:hint="eastAsia"/>
                <w:color w:val="auto"/>
                <w:highlight w:val="none"/>
              </w:rPr>
              <w:t>序号</w:t>
            </w:r>
          </w:p>
        </w:tc>
        <w:tc>
          <w:tcPr>
            <w:tcW w:w="2100" w:type="dxa"/>
            <w:vAlign w:val="center"/>
          </w:tcPr>
          <w:p>
            <w:pPr>
              <w:spacing w:line="460" w:lineRule="exact"/>
              <w:rPr>
                <w:color w:val="auto"/>
                <w:highlight w:val="none"/>
              </w:rPr>
            </w:pPr>
            <w:r>
              <w:rPr>
                <w:rFonts w:hint="eastAsia"/>
                <w:color w:val="auto"/>
                <w:highlight w:val="none"/>
              </w:rPr>
              <w:t>采购文件</w:t>
            </w:r>
          </w:p>
          <w:p>
            <w:pPr>
              <w:spacing w:line="460" w:lineRule="exact"/>
              <w:rPr>
                <w:color w:val="auto"/>
                <w:highlight w:val="none"/>
              </w:rPr>
            </w:pPr>
            <w:r>
              <w:rPr>
                <w:rFonts w:hint="eastAsia"/>
                <w:color w:val="auto"/>
                <w:highlight w:val="none"/>
              </w:rPr>
              <w:t>条目号</w:t>
            </w:r>
          </w:p>
        </w:tc>
        <w:tc>
          <w:tcPr>
            <w:tcW w:w="1995" w:type="dxa"/>
            <w:vAlign w:val="center"/>
          </w:tcPr>
          <w:p>
            <w:pPr>
              <w:spacing w:line="460" w:lineRule="exact"/>
              <w:rPr>
                <w:color w:val="auto"/>
                <w:highlight w:val="none"/>
              </w:rPr>
            </w:pPr>
            <w:r>
              <w:rPr>
                <w:rFonts w:hint="eastAsia"/>
                <w:color w:val="auto"/>
                <w:highlight w:val="none"/>
              </w:rPr>
              <w:t>采购文件</w:t>
            </w:r>
          </w:p>
          <w:p>
            <w:pPr>
              <w:spacing w:line="460" w:lineRule="exact"/>
              <w:rPr>
                <w:color w:val="auto"/>
                <w:highlight w:val="none"/>
              </w:rPr>
            </w:pPr>
            <w:r>
              <w:rPr>
                <w:rFonts w:hint="eastAsia"/>
                <w:color w:val="auto"/>
                <w:highlight w:val="none"/>
              </w:rPr>
              <w:t>规范要求</w:t>
            </w:r>
          </w:p>
        </w:tc>
        <w:tc>
          <w:tcPr>
            <w:tcW w:w="1869" w:type="dxa"/>
            <w:vAlign w:val="center"/>
          </w:tcPr>
          <w:p>
            <w:pPr>
              <w:spacing w:line="460" w:lineRule="exact"/>
              <w:rPr>
                <w:color w:val="auto"/>
                <w:highlight w:val="none"/>
              </w:rPr>
            </w:pPr>
            <w:r>
              <w:rPr>
                <w:rFonts w:hint="eastAsia"/>
                <w:color w:val="auto"/>
                <w:highlight w:val="none"/>
              </w:rPr>
              <w:t>投标文件</w:t>
            </w:r>
          </w:p>
          <w:p>
            <w:pPr>
              <w:spacing w:line="460" w:lineRule="exact"/>
              <w:rPr>
                <w:color w:val="auto"/>
                <w:highlight w:val="none"/>
              </w:rPr>
            </w:pPr>
            <w:r>
              <w:rPr>
                <w:rFonts w:hint="eastAsia"/>
                <w:color w:val="auto"/>
                <w:highlight w:val="none"/>
              </w:rPr>
              <w:t>对应规范</w:t>
            </w:r>
          </w:p>
        </w:tc>
        <w:tc>
          <w:tcPr>
            <w:tcW w:w="1596" w:type="dxa"/>
            <w:vAlign w:val="center"/>
          </w:tcPr>
          <w:p>
            <w:pPr>
              <w:spacing w:line="460" w:lineRule="exact"/>
              <w:rPr>
                <w:color w:val="auto"/>
                <w:highlight w:val="none"/>
              </w:rPr>
            </w:pPr>
            <w:r>
              <w:rPr>
                <w:rFonts w:hint="eastAsia"/>
                <w:color w:val="auto"/>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944" w:type="dxa"/>
            <w:vMerge w:val="restart"/>
            <w:vAlign w:val="center"/>
          </w:tcPr>
          <w:p>
            <w:pPr>
              <w:spacing w:line="460" w:lineRule="exact"/>
              <w:rPr>
                <w:color w:val="auto"/>
                <w:highlight w:val="none"/>
              </w:rPr>
            </w:pPr>
            <w:r>
              <w:rPr>
                <w:rFonts w:hint="eastAsia"/>
                <w:color w:val="auto"/>
                <w:highlight w:val="none"/>
              </w:rPr>
              <w:t>技</w:t>
            </w:r>
          </w:p>
          <w:p>
            <w:pPr>
              <w:spacing w:line="460" w:lineRule="exact"/>
              <w:rPr>
                <w:color w:val="auto"/>
                <w:highlight w:val="none"/>
              </w:rPr>
            </w:pPr>
            <w:r>
              <w:rPr>
                <w:rFonts w:hint="eastAsia"/>
                <w:color w:val="auto"/>
                <w:highlight w:val="none"/>
              </w:rPr>
              <w:t>术</w:t>
            </w:r>
          </w:p>
          <w:p>
            <w:pPr>
              <w:spacing w:line="460" w:lineRule="exact"/>
              <w:rPr>
                <w:color w:val="auto"/>
                <w:highlight w:val="none"/>
              </w:rPr>
            </w:pPr>
            <w:r>
              <w:rPr>
                <w:rFonts w:hint="eastAsia"/>
                <w:color w:val="auto"/>
                <w:highlight w:val="none"/>
              </w:rPr>
              <w:t>规</w:t>
            </w:r>
          </w:p>
          <w:p>
            <w:pPr>
              <w:spacing w:line="460" w:lineRule="exact"/>
              <w:rPr>
                <w:color w:val="auto"/>
                <w:highlight w:val="none"/>
              </w:rPr>
            </w:pPr>
            <w:r>
              <w:rPr>
                <w:rFonts w:hint="eastAsia"/>
                <w:color w:val="auto"/>
                <w:highlight w:val="none"/>
              </w:rPr>
              <w:t>格</w:t>
            </w:r>
          </w:p>
        </w:tc>
        <w:tc>
          <w:tcPr>
            <w:tcW w:w="1365" w:type="dxa"/>
            <w:vAlign w:val="center"/>
          </w:tcPr>
          <w:p>
            <w:pPr>
              <w:spacing w:line="460" w:lineRule="exact"/>
              <w:rPr>
                <w:color w:val="auto"/>
                <w:highlight w:val="none"/>
              </w:rPr>
            </w:pPr>
          </w:p>
          <w:p>
            <w:pPr>
              <w:spacing w:line="460" w:lineRule="exact"/>
              <w:rPr>
                <w:color w:val="auto"/>
                <w:highlight w:val="none"/>
              </w:rPr>
            </w:pPr>
          </w:p>
        </w:tc>
        <w:tc>
          <w:tcPr>
            <w:tcW w:w="2100" w:type="dxa"/>
            <w:vAlign w:val="center"/>
          </w:tcPr>
          <w:p>
            <w:pPr>
              <w:spacing w:line="460" w:lineRule="exact"/>
              <w:rPr>
                <w:color w:val="auto"/>
                <w:highlight w:val="none"/>
              </w:rPr>
            </w:pPr>
          </w:p>
        </w:tc>
        <w:tc>
          <w:tcPr>
            <w:tcW w:w="1995" w:type="dxa"/>
            <w:vAlign w:val="center"/>
          </w:tcPr>
          <w:p>
            <w:pPr>
              <w:spacing w:line="460" w:lineRule="exact"/>
              <w:rPr>
                <w:color w:val="auto"/>
                <w:highlight w:val="none"/>
              </w:rPr>
            </w:pPr>
          </w:p>
        </w:tc>
        <w:tc>
          <w:tcPr>
            <w:tcW w:w="1869" w:type="dxa"/>
            <w:vAlign w:val="center"/>
          </w:tcPr>
          <w:p>
            <w:pPr>
              <w:spacing w:line="460" w:lineRule="exact"/>
              <w:rPr>
                <w:color w:val="auto"/>
                <w:highlight w:val="none"/>
              </w:rPr>
            </w:pPr>
          </w:p>
        </w:tc>
        <w:tc>
          <w:tcPr>
            <w:tcW w:w="1596" w:type="dxa"/>
            <w:vAlign w:val="center"/>
          </w:tcPr>
          <w:p>
            <w:pPr>
              <w:spacing w:line="4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4" w:type="dxa"/>
            <w:vMerge w:val="continue"/>
          </w:tcPr>
          <w:p>
            <w:pPr>
              <w:spacing w:line="460" w:lineRule="exact"/>
              <w:rPr>
                <w:color w:val="auto"/>
                <w:highlight w:val="none"/>
              </w:rPr>
            </w:pPr>
          </w:p>
        </w:tc>
        <w:tc>
          <w:tcPr>
            <w:tcW w:w="1365" w:type="dxa"/>
            <w:vAlign w:val="center"/>
          </w:tcPr>
          <w:p>
            <w:pPr>
              <w:spacing w:line="460" w:lineRule="exact"/>
              <w:rPr>
                <w:color w:val="auto"/>
                <w:highlight w:val="none"/>
              </w:rPr>
            </w:pPr>
          </w:p>
        </w:tc>
        <w:tc>
          <w:tcPr>
            <w:tcW w:w="2100" w:type="dxa"/>
            <w:vAlign w:val="center"/>
          </w:tcPr>
          <w:p>
            <w:pPr>
              <w:spacing w:line="460" w:lineRule="exact"/>
              <w:rPr>
                <w:color w:val="auto"/>
                <w:highlight w:val="none"/>
              </w:rPr>
            </w:pPr>
          </w:p>
        </w:tc>
        <w:tc>
          <w:tcPr>
            <w:tcW w:w="1995" w:type="dxa"/>
            <w:vAlign w:val="center"/>
          </w:tcPr>
          <w:p>
            <w:pPr>
              <w:spacing w:line="460" w:lineRule="exact"/>
              <w:rPr>
                <w:color w:val="auto"/>
                <w:highlight w:val="none"/>
              </w:rPr>
            </w:pPr>
          </w:p>
        </w:tc>
        <w:tc>
          <w:tcPr>
            <w:tcW w:w="1869" w:type="dxa"/>
            <w:vAlign w:val="center"/>
          </w:tcPr>
          <w:p>
            <w:pPr>
              <w:spacing w:line="460" w:lineRule="exact"/>
              <w:rPr>
                <w:color w:val="auto"/>
                <w:highlight w:val="none"/>
              </w:rPr>
            </w:pPr>
          </w:p>
        </w:tc>
        <w:tc>
          <w:tcPr>
            <w:tcW w:w="1596" w:type="dxa"/>
            <w:vAlign w:val="center"/>
          </w:tcPr>
          <w:p>
            <w:pPr>
              <w:spacing w:line="4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4" w:type="dxa"/>
            <w:vMerge w:val="continue"/>
          </w:tcPr>
          <w:p>
            <w:pPr>
              <w:spacing w:line="460" w:lineRule="exact"/>
              <w:rPr>
                <w:color w:val="auto"/>
                <w:highlight w:val="none"/>
              </w:rPr>
            </w:pPr>
          </w:p>
        </w:tc>
        <w:tc>
          <w:tcPr>
            <w:tcW w:w="1365" w:type="dxa"/>
            <w:vAlign w:val="center"/>
          </w:tcPr>
          <w:p>
            <w:pPr>
              <w:spacing w:line="460" w:lineRule="exact"/>
              <w:rPr>
                <w:color w:val="auto"/>
                <w:highlight w:val="none"/>
              </w:rPr>
            </w:pPr>
          </w:p>
        </w:tc>
        <w:tc>
          <w:tcPr>
            <w:tcW w:w="2100" w:type="dxa"/>
            <w:vAlign w:val="center"/>
          </w:tcPr>
          <w:p>
            <w:pPr>
              <w:spacing w:line="460" w:lineRule="exact"/>
              <w:rPr>
                <w:color w:val="auto"/>
                <w:highlight w:val="none"/>
              </w:rPr>
            </w:pPr>
          </w:p>
        </w:tc>
        <w:tc>
          <w:tcPr>
            <w:tcW w:w="1995" w:type="dxa"/>
            <w:vAlign w:val="center"/>
          </w:tcPr>
          <w:p>
            <w:pPr>
              <w:spacing w:line="460" w:lineRule="exact"/>
              <w:rPr>
                <w:color w:val="auto"/>
                <w:highlight w:val="none"/>
              </w:rPr>
            </w:pPr>
          </w:p>
        </w:tc>
        <w:tc>
          <w:tcPr>
            <w:tcW w:w="1869" w:type="dxa"/>
            <w:vAlign w:val="center"/>
          </w:tcPr>
          <w:p>
            <w:pPr>
              <w:spacing w:line="460" w:lineRule="exact"/>
              <w:rPr>
                <w:color w:val="auto"/>
                <w:highlight w:val="none"/>
              </w:rPr>
            </w:pPr>
          </w:p>
        </w:tc>
        <w:tc>
          <w:tcPr>
            <w:tcW w:w="1596" w:type="dxa"/>
            <w:vAlign w:val="center"/>
          </w:tcPr>
          <w:p>
            <w:pPr>
              <w:spacing w:line="4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4" w:type="dxa"/>
            <w:vMerge w:val="continue"/>
          </w:tcPr>
          <w:p>
            <w:pPr>
              <w:spacing w:line="460" w:lineRule="exact"/>
              <w:rPr>
                <w:color w:val="auto"/>
                <w:highlight w:val="none"/>
              </w:rPr>
            </w:pPr>
          </w:p>
        </w:tc>
        <w:tc>
          <w:tcPr>
            <w:tcW w:w="1365" w:type="dxa"/>
            <w:vAlign w:val="center"/>
          </w:tcPr>
          <w:p>
            <w:pPr>
              <w:spacing w:line="460" w:lineRule="exact"/>
              <w:rPr>
                <w:color w:val="auto"/>
                <w:highlight w:val="none"/>
              </w:rPr>
            </w:pPr>
          </w:p>
        </w:tc>
        <w:tc>
          <w:tcPr>
            <w:tcW w:w="2100" w:type="dxa"/>
            <w:vAlign w:val="center"/>
          </w:tcPr>
          <w:p>
            <w:pPr>
              <w:spacing w:line="460" w:lineRule="exact"/>
              <w:rPr>
                <w:color w:val="auto"/>
                <w:highlight w:val="none"/>
              </w:rPr>
            </w:pPr>
          </w:p>
        </w:tc>
        <w:tc>
          <w:tcPr>
            <w:tcW w:w="1995" w:type="dxa"/>
            <w:vAlign w:val="center"/>
          </w:tcPr>
          <w:p>
            <w:pPr>
              <w:spacing w:line="460" w:lineRule="exact"/>
              <w:rPr>
                <w:color w:val="auto"/>
                <w:highlight w:val="none"/>
              </w:rPr>
            </w:pPr>
          </w:p>
        </w:tc>
        <w:tc>
          <w:tcPr>
            <w:tcW w:w="1869" w:type="dxa"/>
            <w:vAlign w:val="center"/>
          </w:tcPr>
          <w:p>
            <w:pPr>
              <w:spacing w:line="460" w:lineRule="exact"/>
              <w:rPr>
                <w:color w:val="auto"/>
                <w:highlight w:val="none"/>
              </w:rPr>
            </w:pPr>
          </w:p>
        </w:tc>
        <w:tc>
          <w:tcPr>
            <w:tcW w:w="1596" w:type="dxa"/>
            <w:vAlign w:val="center"/>
          </w:tcPr>
          <w:p>
            <w:pPr>
              <w:spacing w:line="4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4" w:type="dxa"/>
            <w:vMerge w:val="continue"/>
          </w:tcPr>
          <w:p>
            <w:pPr>
              <w:spacing w:line="460" w:lineRule="exact"/>
              <w:rPr>
                <w:color w:val="auto"/>
                <w:highlight w:val="none"/>
              </w:rPr>
            </w:pPr>
          </w:p>
        </w:tc>
        <w:tc>
          <w:tcPr>
            <w:tcW w:w="1365" w:type="dxa"/>
            <w:vAlign w:val="center"/>
          </w:tcPr>
          <w:p>
            <w:pPr>
              <w:spacing w:line="460" w:lineRule="exact"/>
              <w:rPr>
                <w:color w:val="auto"/>
                <w:highlight w:val="none"/>
              </w:rPr>
            </w:pPr>
          </w:p>
        </w:tc>
        <w:tc>
          <w:tcPr>
            <w:tcW w:w="2100" w:type="dxa"/>
            <w:vAlign w:val="center"/>
          </w:tcPr>
          <w:p>
            <w:pPr>
              <w:spacing w:line="460" w:lineRule="exact"/>
              <w:rPr>
                <w:color w:val="auto"/>
                <w:highlight w:val="none"/>
              </w:rPr>
            </w:pPr>
          </w:p>
        </w:tc>
        <w:tc>
          <w:tcPr>
            <w:tcW w:w="1995" w:type="dxa"/>
            <w:vAlign w:val="center"/>
          </w:tcPr>
          <w:p>
            <w:pPr>
              <w:spacing w:line="460" w:lineRule="exact"/>
              <w:rPr>
                <w:color w:val="auto"/>
                <w:highlight w:val="none"/>
              </w:rPr>
            </w:pPr>
          </w:p>
        </w:tc>
        <w:tc>
          <w:tcPr>
            <w:tcW w:w="1869" w:type="dxa"/>
            <w:vAlign w:val="center"/>
          </w:tcPr>
          <w:p>
            <w:pPr>
              <w:spacing w:line="460" w:lineRule="exact"/>
              <w:rPr>
                <w:color w:val="auto"/>
                <w:highlight w:val="none"/>
              </w:rPr>
            </w:pPr>
          </w:p>
        </w:tc>
        <w:tc>
          <w:tcPr>
            <w:tcW w:w="1596" w:type="dxa"/>
            <w:vAlign w:val="center"/>
          </w:tcPr>
          <w:p>
            <w:pPr>
              <w:spacing w:line="4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944" w:type="dxa"/>
            <w:vMerge w:val="restart"/>
            <w:vAlign w:val="center"/>
          </w:tcPr>
          <w:p>
            <w:pPr>
              <w:spacing w:line="460" w:lineRule="exact"/>
              <w:rPr>
                <w:color w:val="auto"/>
                <w:highlight w:val="none"/>
              </w:rPr>
            </w:pPr>
            <w:r>
              <w:rPr>
                <w:rFonts w:hint="eastAsia"/>
                <w:color w:val="auto"/>
                <w:highlight w:val="none"/>
              </w:rPr>
              <w:t>商</w:t>
            </w:r>
          </w:p>
          <w:p>
            <w:pPr>
              <w:spacing w:line="460" w:lineRule="exact"/>
              <w:rPr>
                <w:color w:val="auto"/>
                <w:highlight w:val="none"/>
              </w:rPr>
            </w:pPr>
            <w:r>
              <w:rPr>
                <w:rFonts w:hint="eastAsia"/>
                <w:color w:val="auto"/>
                <w:highlight w:val="none"/>
              </w:rPr>
              <w:t>务</w:t>
            </w:r>
          </w:p>
          <w:p>
            <w:pPr>
              <w:spacing w:line="460" w:lineRule="exact"/>
              <w:rPr>
                <w:color w:val="auto"/>
                <w:highlight w:val="none"/>
              </w:rPr>
            </w:pPr>
            <w:r>
              <w:rPr>
                <w:rFonts w:hint="eastAsia"/>
                <w:color w:val="auto"/>
                <w:highlight w:val="none"/>
              </w:rPr>
              <w:t>条</w:t>
            </w:r>
          </w:p>
          <w:p>
            <w:pPr>
              <w:spacing w:line="460" w:lineRule="exact"/>
              <w:rPr>
                <w:color w:val="auto"/>
                <w:highlight w:val="none"/>
              </w:rPr>
            </w:pPr>
            <w:r>
              <w:rPr>
                <w:rFonts w:hint="eastAsia"/>
                <w:color w:val="auto"/>
                <w:highlight w:val="none"/>
              </w:rPr>
              <w:t>款</w:t>
            </w:r>
          </w:p>
        </w:tc>
        <w:tc>
          <w:tcPr>
            <w:tcW w:w="1365" w:type="dxa"/>
            <w:vAlign w:val="center"/>
          </w:tcPr>
          <w:p>
            <w:pPr>
              <w:spacing w:line="460" w:lineRule="exact"/>
              <w:rPr>
                <w:color w:val="auto"/>
                <w:highlight w:val="none"/>
              </w:rPr>
            </w:pPr>
          </w:p>
          <w:p>
            <w:pPr>
              <w:spacing w:line="460" w:lineRule="exact"/>
              <w:rPr>
                <w:color w:val="auto"/>
                <w:highlight w:val="none"/>
              </w:rPr>
            </w:pPr>
          </w:p>
        </w:tc>
        <w:tc>
          <w:tcPr>
            <w:tcW w:w="2100" w:type="dxa"/>
            <w:vAlign w:val="center"/>
          </w:tcPr>
          <w:p>
            <w:pPr>
              <w:spacing w:line="460" w:lineRule="exact"/>
              <w:rPr>
                <w:color w:val="auto"/>
                <w:highlight w:val="none"/>
              </w:rPr>
            </w:pPr>
          </w:p>
        </w:tc>
        <w:tc>
          <w:tcPr>
            <w:tcW w:w="1995" w:type="dxa"/>
            <w:vAlign w:val="center"/>
          </w:tcPr>
          <w:p>
            <w:pPr>
              <w:spacing w:line="460" w:lineRule="exact"/>
              <w:rPr>
                <w:color w:val="auto"/>
                <w:highlight w:val="none"/>
              </w:rPr>
            </w:pPr>
          </w:p>
        </w:tc>
        <w:tc>
          <w:tcPr>
            <w:tcW w:w="1869" w:type="dxa"/>
            <w:vAlign w:val="center"/>
          </w:tcPr>
          <w:p>
            <w:pPr>
              <w:spacing w:line="460" w:lineRule="exact"/>
              <w:rPr>
                <w:color w:val="auto"/>
                <w:highlight w:val="none"/>
              </w:rPr>
            </w:pPr>
          </w:p>
        </w:tc>
        <w:tc>
          <w:tcPr>
            <w:tcW w:w="1596" w:type="dxa"/>
            <w:vAlign w:val="center"/>
          </w:tcPr>
          <w:p>
            <w:pPr>
              <w:spacing w:line="4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4" w:type="dxa"/>
            <w:vMerge w:val="continue"/>
          </w:tcPr>
          <w:p>
            <w:pPr>
              <w:spacing w:line="460" w:lineRule="exact"/>
              <w:rPr>
                <w:color w:val="auto"/>
                <w:highlight w:val="none"/>
              </w:rPr>
            </w:pPr>
          </w:p>
        </w:tc>
        <w:tc>
          <w:tcPr>
            <w:tcW w:w="1365" w:type="dxa"/>
            <w:vAlign w:val="center"/>
          </w:tcPr>
          <w:p>
            <w:pPr>
              <w:spacing w:line="460" w:lineRule="exact"/>
              <w:rPr>
                <w:color w:val="auto"/>
                <w:highlight w:val="none"/>
              </w:rPr>
            </w:pPr>
          </w:p>
        </w:tc>
        <w:tc>
          <w:tcPr>
            <w:tcW w:w="2100" w:type="dxa"/>
            <w:vAlign w:val="center"/>
          </w:tcPr>
          <w:p>
            <w:pPr>
              <w:spacing w:line="460" w:lineRule="exact"/>
              <w:rPr>
                <w:color w:val="auto"/>
                <w:highlight w:val="none"/>
              </w:rPr>
            </w:pPr>
          </w:p>
        </w:tc>
        <w:tc>
          <w:tcPr>
            <w:tcW w:w="1995" w:type="dxa"/>
            <w:vAlign w:val="center"/>
          </w:tcPr>
          <w:p>
            <w:pPr>
              <w:spacing w:line="460" w:lineRule="exact"/>
              <w:rPr>
                <w:color w:val="auto"/>
                <w:highlight w:val="none"/>
              </w:rPr>
            </w:pPr>
          </w:p>
        </w:tc>
        <w:tc>
          <w:tcPr>
            <w:tcW w:w="1869" w:type="dxa"/>
            <w:vAlign w:val="center"/>
          </w:tcPr>
          <w:p>
            <w:pPr>
              <w:spacing w:line="460" w:lineRule="exact"/>
              <w:rPr>
                <w:color w:val="auto"/>
                <w:highlight w:val="none"/>
              </w:rPr>
            </w:pPr>
          </w:p>
        </w:tc>
        <w:tc>
          <w:tcPr>
            <w:tcW w:w="1596" w:type="dxa"/>
            <w:vAlign w:val="center"/>
          </w:tcPr>
          <w:p>
            <w:pPr>
              <w:spacing w:line="4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4" w:type="dxa"/>
            <w:vMerge w:val="continue"/>
          </w:tcPr>
          <w:p>
            <w:pPr>
              <w:spacing w:line="460" w:lineRule="exact"/>
              <w:rPr>
                <w:color w:val="auto"/>
                <w:highlight w:val="none"/>
              </w:rPr>
            </w:pPr>
          </w:p>
        </w:tc>
        <w:tc>
          <w:tcPr>
            <w:tcW w:w="1365" w:type="dxa"/>
            <w:vAlign w:val="center"/>
          </w:tcPr>
          <w:p>
            <w:pPr>
              <w:spacing w:line="460" w:lineRule="exact"/>
              <w:rPr>
                <w:color w:val="auto"/>
                <w:highlight w:val="none"/>
              </w:rPr>
            </w:pPr>
          </w:p>
        </w:tc>
        <w:tc>
          <w:tcPr>
            <w:tcW w:w="2100" w:type="dxa"/>
            <w:vAlign w:val="center"/>
          </w:tcPr>
          <w:p>
            <w:pPr>
              <w:spacing w:line="460" w:lineRule="exact"/>
              <w:rPr>
                <w:color w:val="auto"/>
                <w:highlight w:val="none"/>
              </w:rPr>
            </w:pPr>
          </w:p>
        </w:tc>
        <w:tc>
          <w:tcPr>
            <w:tcW w:w="1995" w:type="dxa"/>
            <w:vAlign w:val="center"/>
          </w:tcPr>
          <w:p>
            <w:pPr>
              <w:spacing w:line="460" w:lineRule="exact"/>
              <w:rPr>
                <w:color w:val="auto"/>
                <w:highlight w:val="none"/>
              </w:rPr>
            </w:pPr>
          </w:p>
        </w:tc>
        <w:tc>
          <w:tcPr>
            <w:tcW w:w="1869" w:type="dxa"/>
            <w:vAlign w:val="center"/>
          </w:tcPr>
          <w:p>
            <w:pPr>
              <w:spacing w:line="460" w:lineRule="exact"/>
              <w:rPr>
                <w:color w:val="auto"/>
                <w:highlight w:val="none"/>
              </w:rPr>
            </w:pPr>
          </w:p>
        </w:tc>
        <w:tc>
          <w:tcPr>
            <w:tcW w:w="1596" w:type="dxa"/>
            <w:vAlign w:val="center"/>
          </w:tcPr>
          <w:p>
            <w:pPr>
              <w:spacing w:line="4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4" w:type="dxa"/>
            <w:vMerge w:val="continue"/>
          </w:tcPr>
          <w:p>
            <w:pPr>
              <w:spacing w:line="460" w:lineRule="exact"/>
              <w:rPr>
                <w:color w:val="auto"/>
                <w:highlight w:val="none"/>
              </w:rPr>
            </w:pPr>
          </w:p>
        </w:tc>
        <w:tc>
          <w:tcPr>
            <w:tcW w:w="1365" w:type="dxa"/>
            <w:vAlign w:val="center"/>
          </w:tcPr>
          <w:p>
            <w:pPr>
              <w:spacing w:line="460" w:lineRule="exact"/>
              <w:rPr>
                <w:color w:val="auto"/>
                <w:highlight w:val="none"/>
              </w:rPr>
            </w:pPr>
          </w:p>
        </w:tc>
        <w:tc>
          <w:tcPr>
            <w:tcW w:w="2100" w:type="dxa"/>
            <w:vAlign w:val="center"/>
          </w:tcPr>
          <w:p>
            <w:pPr>
              <w:spacing w:line="460" w:lineRule="exact"/>
              <w:rPr>
                <w:color w:val="auto"/>
                <w:highlight w:val="none"/>
              </w:rPr>
            </w:pPr>
          </w:p>
        </w:tc>
        <w:tc>
          <w:tcPr>
            <w:tcW w:w="1995" w:type="dxa"/>
            <w:vAlign w:val="center"/>
          </w:tcPr>
          <w:p>
            <w:pPr>
              <w:spacing w:line="460" w:lineRule="exact"/>
              <w:rPr>
                <w:color w:val="auto"/>
                <w:highlight w:val="none"/>
              </w:rPr>
            </w:pPr>
          </w:p>
        </w:tc>
        <w:tc>
          <w:tcPr>
            <w:tcW w:w="1869" w:type="dxa"/>
            <w:vAlign w:val="center"/>
          </w:tcPr>
          <w:p>
            <w:pPr>
              <w:spacing w:line="460" w:lineRule="exact"/>
              <w:rPr>
                <w:color w:val="auto"/>
                <w:highlight w:val="none"/>
              </w:rPr>
            </w:pPr>
          </w:p>
        </w:tc>
        <w:tc>
          <w:tcPr>
            <w:tcW w:w="1596" w:type="dxa"/>
            <w:vAlign w:val="center"/>
          </w:tcPr>
          <w:p>
            <w:pPr>
              <w:spacing w:line="460" w:lineRule="exact"/>
              <w:rPr>
                <w:color w:val="auto"/>
                <w:highlight w:val="none"/>
              </w:rPr>
            </w:pPr>
          </w:p>
        </w:tc>
      </w:tr>
    </w:tbl>
    <w:p>
      <w:pPr>
        <w:spacing w:line="460" w:lineRule="exact"/>
        <w:rPr>
          <w:color w:val="auto"/>
          <w:highlight w:val="none"/>
        </w:rPr>
      </w:pPr>
      <w:r>
        <w:rPr>
          <w:rFonts w:hint="eastAsia"/>
          <w:color w:val="auto"/>
          <w:highlight w:val="none"/>
        </w:rPr>
        <w:t>注：1.没有填写此表视为完全响应采购文件要求。</w:t>
      </w:r>
    </w:p>
    <w:p>
      <w:pPr>
        <w:spacing w:line="460" w:lineRule="exact"/>
        <w:rPr>
          <w:color w:val="auto"/>
          <w:highlight w:val="none"/>
        </w:rPr>
      </w:pPr>
      <w:r>
        <w:rPr>
          <w:rFonts w:hint="eastAsia"/>
          <w:color w:val="auto"/>
          <w:highlight w:val="none"/>
        </w:rPr>
        <w:t>2.如出现偏离，投标人务必如实填写此表，“投标文件对应规范”及“说明”栏不得复制粘贴，所投产品必须对照采购文件要求详细填写说明，否则存在的风险由投标人自行承担。</w:t>
      </w:r>
    </w:p>
    <w:p>
      <w:pPr>
        <w:spacing w:line="460" w:lineRule="exact"/>
        <w:rPr>
          <w:color w:val="auto"/>
          <w:highlight w:val="none"/>
        </w:rPr>
      </w:pPr>
      <w:r>
        <w:rPr>
          <w:rFonts w:hint="eastAsia"/>
          <w:color w:val="auto"/>
          <w:highlight w:val="none"/>
        </w:rPr>
        <w:t>3.商务偏离和技术规格偏离必须分别填写。</w:t>
      </w:r>
    </w:p>
    <w:p>
      <w:pPr>
        <w:spacing w:line="460" w:lineRule="exact"/>
        <w:rPr>
          <w:color w:val="auto"/>
          <w:highlight w:val="none"/>
        </w:rPr>
      </w:pPr>
      <w:r>
        <w:rPr>
          <w:rFonts w:hint="eastAsia"/>
          <w:color w:val="auto"/>
          <w:highlight w:val="none"/>
        </w:rPr>
        <w:t>投标人全称（盖章）：</w:t>
      </w:r>
    </w:p>
    <w:p>
      <w:pPr>
        <w:spacing w:line="460" w:lineRule="exact"/>
        <w:rPr>
          <w:color w:val="auto"/>
          <w:highlight w:val="none"/>
        </w:rPr>
      </w:pPr>
      <w:r>
        <w:rPr>
          <w:rFonts w:hint="eastAsia"/>
          <w:color w:val="auto"/>
          <w:highlight w:val="none"/>
        </w:rPr>
        <w:t>法定代表人或授权代表（签字或盖章）：</w:t>
      </w:r>
    </w:p>
    <w:p>
      <w:pPr>
        <w:spacing w:line="460" w:lineRule="exact"/>
        <w:rPr>
          <w:color w:val="auto"/>
          <w:highlight w:val="none"/>
        </w:rPr>
        <w:sectPr>
          <w:pgSz w:w="11906" w:h="16838"/>
          <w:pgMar w:top="1134" w:right="1134" w:bottom="1134" w:left="1134" w:header="850" w:footer="992" w:gutter="0"/>
          <w:cols w:space="0" w:num="1"/>
          <w:docGrid w:linePitch="312" w:charSpace="0"/>
        </w:sectPr>
      </w:pPr>
      <w:r>
        <w:rPr>
          <w:rFonts w:hint="eastAsia"/>
          <w:color w:val="auto"/>
          <w:highlight w:val="none"/>
        </w:rPr>
        <w:t xml:space="preserve">日期：  年   月  日 </w:t>
      </w:r>
    </w:p>
    <w:p>
      <w:pPr>
        <w:spacing w:line="460" w:lineRule="exact"/>
        <w:rPr>
          <w:color w:val="auto"/>
          <w:highlight w:val="none"/>
        </w:rPr>
      </w:pPr>
      <w:r>
        <w:rPr>
          <w:rFonts w:hint="eastAsia"/>
          <w:color w:val="auto"/>
          <w:highlight w:val="none"/>
        </w:rPr>
        <w:t>附件五</w:t>
      </w:r>
    </w:p>
    <w:p>
      <w:pPr>
        <w:spacing w:line="460" w:lineRule="exact"/>
        <w:rPr>
          <w:color w:val="auto"/>
          <w:highlight w:val="none"/>
        </w:rPr>
      </w:pPr>
      <w:r>
        <w:rPr>
          <w:rFonts w:hint="eastAsia"/>
          <w:color w:val="auto"/>
          <w:highlight w:val="none"/>
        </w:rPr>
        <w:t xml:space="preserve">资格证明文件 </w:t>
      </w:r>
    </w:p>
    <w:p>
      <w:pPr>
        <w:spacing w:line="460" w:lineRule="exact"/>
        <w:jc w:val="center"/>
        <w:rPr>
          <w:rFonts w:ascii="黑体" w:eastAsia="黑体" w:cs="黑体"/>
          <w:b/>
          <w:color w:val="auto"/>
          <w:sz w:val="36"/>
          <w:szCs w:val="36"/>
          <w:highlight w:val="none"/>
        </w:rPr>
      </w:pPr>
      <w:r>
        <w:rPr>
          <w:rFonts w:hint="eastAsia" w:ascii="黑体" w:eastAsia="黑体" w:cs="黑体"/>
          <w:b/>
          <w:color w:val="auto"/>
          <w:sz w:val="36"/>
          <w:szCs w:val="36"/>
          <w:highlight w:val="none"/>
        </w:rPr>
        <w:t>（1）法定代表人授权书</w:t>
      </w:r>
    </w:p>
    <w:p>
      <w:pPr>
        <w:spacing w:line="460" w:lineRule="exact"/>
        <w:jc w:val="center"/>
        <w:rPr>
          <w:rFonts w:ascii="黑体" w:eastAsia="黑体" w:cs="黑体"/>
          <w:b/>
          <w:color w:val="auto"/>
          <w:sz w:val="32"/>
          <w:szCs w:val="32"/>
          <w:highlight w:val="none"/>
        </w:rPr>
      </w:pPr>
    </w:p>
    <w:p>
      <w:pPr>
        <w:spacing w:line="460" w:lineRule="exact"/>
        <w:rPr>
          <w:rFonts w:eastAsia="新宋体"/>
          <w:color w:val="auto"/>
          <w:sz w:val="22"/>
          <w:szCs w:val="22"/>
          <w:highlight w:val="none"/>
        </w:rPr>
      </w:pPr>
      <w:r>
        <w:rPr>
          <w:rFonts w:hint="eastAsia" w:eastAsia="新宋体"/>
          <w:color w:val="auto"/>
          <w:sz w:val="22"/>
          <w:highlight w:val="none"/>
        </w:rPr>
        <w:t>温州市园林绿化管理中心</w:t>
      </w:r>
      <w:r>
        <w:rPr>
          <w:rFonts w:hint="eastAsia" w:eastAsia="新宋体"/>
          <w:color w:val="auto"/>
          <w:sz w:val="22"/>
          <w:szCs w:val="22"/>
          <w:highlight w:val="none"/>
        </w:rPr>
        <w:t>：</w:t>
      </w:r>
    </w:p>
    <w:p>
      <w:pPr>
        <w:spacing w:line="460" w:lineRule="exact"/>
        <w:rPr>
          <w:rFonts w:eastAsia="新宋体"/>
          <w:color w:val="auto"/>
          <w:sz w:val="22"/>
          <w:szCs w:val="22"/>
          <w:highlight w:val="none"/>
          <w:u w:val="single"/>
        </w:rPr>
      </w:pPr>
    </w:p>
    <w:p>
      <w:pPr>
        <w:spacing w:line="460" w:lineRule="exact"/>
        <w:ind w:firstLine="550" w:firstLineChars="250"/>
        <w:rPr>
          <w:rFonts w:eastAsia="新宋体"/>
          <w:color w:val="auto"/>
          <w:sz w:val="22"/>
          <w:szCs w:val="22"/>
          <w:highlight w:val="none"/>
        </w:rPr>
      </w:pPr>
      <w:r>
        <w:rPr>
          <w:rFonts w:hint="eastAsia" w:eastAsia="新宋体"/>
          <w:color w:val="auto"/>
          <w:sz w:val="22"/>
          <w:szCs w:val="22"/>
          <w:highlight w:val="none"/>
        </w:rPr>
        <w:t>（投标供应商全称）法定代表人授权（全权代表姓名）为全权代表，参加贵方组织的（招标项目名称、编号）的招标活动，全权代表我方处理招标活动中的一切事宜。</w:t>
      </w:r>
    </w:p>
    <w:p>
      <w:pPr>
        <w:spacing w:line="460" w:lineRule="exact"/>
        <w:ind w:firstLine="2955"/>
        <w:rPr>
          <w:rFonts w:eastAsia="新宋体"/>
          <w:color w:val="auto"/>
          <w:sz w:val="22"/>
          <w:szCs w:val="22"/>
          <w:highlight w:val="none"/>
        </w:rPr>
      </w:pPr>
    </w:p>
    <w:p>
      <w:pPr>
        <w:spacing w:line="460" w:lineRule="exact"/>
        <w:ind w:firstLine="2955"/>
        <w:rPr>
          <w:rFonts w:eastAsia="新宋体"/>
          <w:color w:val="auto"/>
          <w:sz w:val="22"/>
          <w:szCs w:val="22"/>
          <w:highlight w:val="none"/>
        </w:rPr>
      </w:pPr>
    </w:p>
    <w:p>
      <w:pPr>
        <w:spacing w:line="460" w:lineRule="exact"/>
        <w:ind w:firstLine="4081" w:firstLineChars="1855"/>
        <w:rPr>
          <w:rFonts w:eastAsia="新宋体"/>
          <w:color w:val="auto"/>
          <w:sz w:val="22"/>
          <w:szCs w:val="22"/>
          <w:highlight w:val="none"/>
        </w:rPr>
      </w:pPr>
      <w:r>
        <w:rPr>
          <w:rFonts w:hint="eastAsia" w:eastAsia="新宋体"/>
          <w:color w:val="auto"/>
          <w:sz w:val="22"/>
          <w:szCs w:val="22"/>
          <w:highlight w:val="none"/>
        </w:rPr>
        <w:t>法定代表人(签字或盖章)：</w:t>
      </w:r>
    </w:p>
    <w:p>
      <w:pPr>
        <w:spacing w:line="460" w:lineRule="exact"/>
        <w:ind w:firstLine="2955"/>
        <w:rPr>
          <w:rFonts w:eastAsia="新宋体"/>
          <w:color w:val="auto"/>
          <w:sz w:val="22"/>
          <w:szCs w:val="22"/>
          <w:highlight w:val="none"/>
        </w:rPr>
      </w:pPr>
      <w:r>
        <w:rPr>
          <w:rFonts w:hint="eastAsia" w:eastAsia="新宋体"/>
          <w:color w:val="auto"/>
          <w:sz w:val="22"/>
          <w:szCs w:val="22"/>
          <w:highlight w:val="none"/>
        </w:rPr>
        <w:t xml:space="preserve">          投标供应商全称（公章）：</w:t>
      </w:r>
    </w:p>
    <w:p>
      <w:pPr>
        <w:spacing w:line="460" w:lineRule="exact"/>
        <w:ind w:firstLine="2955"/>
        <w:rPr>
          <w:rFonts w:eastAsia="新宋体"/>
          <w:color w:val="auto"/>
          <w:sz w:val="22"/>
          <w:szCs w:val="22"/>
          <w:highlight w:val="none"/>
        </w:rPr>
      </w:pPr>
      <w:r>
        <w:rPr>
          <w:rFonts w:hint="eastAsia" w:eastAsia="新宋体"/>
          <w:color w:val="auto"/>
          <w:sz w:val="22"/>
          <w:szCs w:val="22"/>
          <w:highlight w:val="none"/>
        </w:rPr>
        <w:t xml:space="preserve">          日期：     年    月   日</w:t>
      </w:r>
    </w:p>
    <w:p>
      <w:pPr>
        <w:spacing w:line="460" w:lineRule="exact"/>
        <w:rPr>
          <w:rFonts w:eastAsia="新宋体"/>
          <w:color w:val="auto"/>
          <w:sz w:val="22"/>
          <w:szCs w:val="22"/>
          <w:highlight w:val="none"/>
        </w:rPr>
      </w:pPr>
    </w:p>
    <w:p>
      <w:pPr>
        <w:spacing w:line="460" w:lineRule="exact"/>
        <w:rPr>
          <w:rFonts w:eastAsia="新宋体"/>
          <w:color w:val="auto"/>
          <w:sz w:val="22"/>
          <w:szCs w:val="22"/>
          <w:highlight w:val="none"/>
        </w:rPr>
      </w:pPr>
    </w:p>
    <w:p>
      <w:pPr>
        <w:spacing w:line="460" w:lineRule="exact"/>
        <w:ind w:firstLine="110" w:firstLineChars="50"/>
        <w:rPr>
          <w:rFonts w:eastAsia="新宋体"/>
          <w:color w:val="auto"/>
          <w:sz w:val="22"/>
          <w:szCs w:val="22"/>
          <w:highlight w:val="none"/>
        </w:rPr>
      </w:pPr>
      <w:r>
        <w:rPr>
          <w:rFonts w:hint="eastAsia" w:eastAsia="新宋体"/>
          <w:color w:val="auto"/>
          <w:sz w:val="22"/>
          <w:szCs w:val="22"/>
          <w:highlight w:val="none"/>
        </w:rPr>
        <w:t>附：</w:t>
      </w:r>
    </w:p>
    <w:p>
      <w:pPr>
        <w:spacing w:line="460" w:lineRule="exact"/>
        <w:ind w:firstLine="220" w:firstLineChars="100"/>
        <w:rPr>
          <w:rFonts w:eastAsia="新宋体"/>
          <w:color w:val="auto"/>
          <w:sz w:val="22"/>
          <w:szCs w:val="22"/>
          <w:highlight w:val="none"/>
        </w:rPr>
      </w:pPr>
      <w:r>
        <w:rPr>
          <w:rFonts w:hint="eastAsia" w:eastAsia="新宋体"/>
          <w:color w:val="auto"/>
          <w:sz w:val="22"/>
          <w:szCs w:val="22"/>
          <w:highlight w:val="none"/>
        </w:rPr>
        <w:t>授权代表（签字或盖章）：</w:t>
      </w:r>
    </w:p>
    <w:p>
      <w:pPr>
        <w:spacing w:line="460" w:lineRule="exact"/>
        <w:ind w:firstLine="220" w:firstLineChars="100"/>
        <w:rPr>
          <w:rFonts w:eastAsia="新宋体"/>
          <w:color w:val="auto"/>
          <w:sz w:val="22"/>
          <w:szCs w:val="22"/>
          <w:highlight w:val="none"/>
        </w:rPr>
      </w:pPr>
      <w:r>
        <w:rPr>
          <w:rFonts w:hint="eastAsia" w:eastAsia="新宋体"/>
          <w:color w:val="auto"/>
          <w:sz w:val="22"/>
          <w:szCs w:val="22"/>
          <w:highlight w:val="none"/>
        </w:rPr>
        <w:t>职务：</w:t>
      </w:r>
    </w:p>
    <w:p>
      <w:pPr>
        <w:spacing w:line="460" w:lineRule="exact"/>
        <w:ind w:firstLine="220" w:firstLineChars="100"/>
        <w:rPr>
          <w:rFonts w:eastAsia="新宋体"/>
          <w:color w:val="auto"/>
          <w:sz w:val="22"/>
          <w:szCs w:val="22"/>
          <w:highlight w:val="none"/>
        </w:rPr>
      </w:pPr>
      <w:r>
        <w:rPr>
          <w:rFonts w:hint="eastAsia" w:eastAsia="新宋体"/>
          <w:color w:val="auto"/>
          <w:sz w:val="22"/>
          <w:szCs w:val="22"/>
          <w:highlight w:val="none"/>
        </w:rPr>
        <w:t>详细通讯地址：</w:t>
      </w:r>
    </w:p>
    <w:p>
      <w:pPr>
        <w:spacing w:line="460" w:lineRule="exact"/>
        <w:ind w:firstLine="220" w:firstLineChars="100"/>
        <w:rPr>
          <w:rFonts w:eastAsia="新宋体"/>
          <w:color w:val="auto"/>
          <w:sz w:val="22"/>
          <w:szCs w:val="22"/>
          <w:highlight w:val="none"/>
        </w:rPr>
      </w:pPr>
      <w:r>
        <w:rPr>
          <w:rFonts w:hint="eastAsia" w:eastAsia="新宋体"/>
          <w:color w:val="auto"/>
          <w:sz w:val="22"/>
          <w:szCs w:val="22"/>
          <w:highlight w:val="none"/>
        </w:rPr>
        <w:t>电话：</w:t>
      </w:r>
    </w:p>
    <w:p>
      <w:pPr>
        <w:spacing w:line="460" w:lineRule="exact"/>
        <w:ind w:firstLine="220" w:firstLineChars="100"/>
        <w:rPr>
          <w:rFonts w:eastAsia="新宋体"/>
          <w:color w:val="auto"/>
          <w:sz w:val="22"/>
          <w:szCs w:val="22"/>
          <w:highlight w:val="none"/>
        </w:rPr>
      </w:pPr>
      <w:r>
        <w:rPr>
          <w:rFonts w:hint="eastAsia" w:eastAsia="新宋体"/>
          <w:color w:val="auto"/>
          <w:sz w:val="22"/>
          <w:szCs w:val="22"/>
          <w:highlight w:val="none"/>
        </w:rPr>
        <w:t>传真：</w:t>
      </w:r>
    </w:p>
    <w:p>
      <w:pPr>
        <w:spacing w:line="460" w:lineRule="exact"/>
        <w:ind w:firstLine="220" w:firstLineChars="100"/>
        <w:rPr>
          <w:rFonts w:eastAsia="新宋体"/>
          <w:color w:val="auto"/>
          <w:sz w:val="22"/>
          <w:szCs w:val="22"/>
          <w:highlight w:val="none"/>
        </w:rPr>
      </w:pPr>
      <w:r>
        <w:rPr>
          <w:rFonts w:hint="eastAsia" w:eastAsia="新宋体"/>
          <w:color w:val="auto"/>
          <w:sz w:val="22"/>
          <w:szCs w:val="22"/>
          <w:highlight w:val="none"/>
        </w:rPr>
        <w:t>邮政编码:</w:t>
      </w:r>
    </w:p>
    <w:p>
      <w:pPr>
        <w:spacing w:line="460" w:lineRule="exact"/>
        <w:rPr>
          <w:rFonts w:eastAsia="新宋体"/>
          <w:color w:val="auto"/>
          <w:sz w:val="22"/>
          <w:szCs w:val="22"/>
          <w:highlight w:val="none"/>
        </w:rPr>
      </w:pPr>
    </w:p>
    <w:p>
      <w:pPr>
        <w:spacing w:line="460" w:lineRule="exact"/>
        <w:rPr>
          <w:color w:val="auto"/>
          <w:highlight w:val="none"/>
        </w:rPr>
      </w:pPr>
    </w:p>
    <w:p>
      <w:pPr>
        <w:rPr>
          <w:color w:val="auto"/>
          <w:highlight w:val="none"/>
        </w:rPr>
      </w:pPr>
      <w:r>
        <w:rPr>
          <w:rFonts w:hint="eastAsia"/>
          <w:color w:val="auto"/>
          <w:highlight w:val="none"/>
        </w:rPr>
        <w:t>（二）企业法人营业执照正副本复印件（投标人为企业法人的），或事业法人代码证书或组织机构代码证书（投标人为事业法人或社会团体、组织的）；</w:t>
      </w:r>
    </w:p>
    <w:p>
      <w:pPr>
        <w:rPr>
          <w:color w:val="auto"/>
          <w:highlight w:val="none"/>
        </w:rPr>
      </w:pPr>
    </w:p>
    <w:p>
      <w:pPr>
        <w:rPr>
          <w:color w:val="auto"/>
          <w:highlight w:val="none"/>
        </w:rPr>
      </w:pPr>
      <w:r>
        <w:rPr>
          <w:rFonts w:hint="eastAsia"/>
          <w:color w:val="auto"/>
          <w:highlight w:val="none"/>
        </w:rPr>
        <w:t>（三）国家测绘与地理信息管理部门颁发的地理信息系统工程乙级及以上资质；</w:t>
      </w:r>
    </w:p>
    <w:p>
      <w:pPr>
        <w:rPr>
          <w:color w:val="auto"/>
          <w:highlight w:val="none"/>
        </w:rPr>
      </w:pPr>
    </w:p>
    <w:p>
      <w:pPr>
        <w:rPr>
          <w:color w:val="auto"/>
          <w:highlight w:val="none"/>
        </w:rPr>
      </w:pPr>
      <w:r>
        <w:rPr>
          <w:rFonts w:hint="eastAsia"/>
          <w:color w:val="auto"/>
          <w:highlight w:val="none"/>
        </w:rPr>
        <w:t>以上证书若为复印件，须加盖投标人公章。</w:t>
      </w:r>
    </w:p>
    <w:p>
      <w:pPr>
        <w:rPr>
          <w:color w:val="auto"/>
          <w:highlight w:val="none"/>
        </w:rPr>
      </w:pPr>
      <w:r>
        <w:rPr>
          <w:rFonts w:hint="eastAsia"/>
          <w:color w:val="auto"/>
          <w:highlight w:val="none"/>
        </w:rPr>
        <w:br w:type="page"/>
      </w:r>
    </w:p>
    <w:p>
      <w:pPr>
        <w:spacing w:line="380" w:lineRule="exact"/>
        <w:rPr>
          <w:rFonts w:ascii="宋体" w:hAnsi="宋体" w:cs="宋体"/>
          <w:b/>
          <w:color w:val="auto"/>
          <w:sz w:val="20"/>
          <w:szCs w:val="20"/>
          <w:highlight w:val="none"/>
        </w:rPr>
      </w:pPr>
      <w:r>
        <w:rPr>
          <w:rFonts w:hint="eastAsia" w:ascii="宋体" w:hAnsi="宋体" w:cs="宋体"/>
          <w:b/>
          <w:color w:val="auto"/>
          <w:sz w:val="20"/>
          <w:szCs w:val="20"/>
          <w:highlight w:val="none"/>
        </w:rPr>
        <w:t>附件六-1</w:t>
      </w:r>
    </w:p>
    <w:p>
      <w:pPr>
        <w:spacing w:line="360" w:lineRule="exact"/>
        <w:jc w:val="center"/>
        <w:rPr>
          <w:rFonts w:hint="eastAsia" w:ascii="宋体" w:hAnsi="宋体" w:cs="宋体"/>
          <w:b/>
          <w:color w:val="auto"/>
          <w:kern w:val="0"/>
          <w:sz w:val="20"/>
          <w:szCs w:val="20"/>
          <w:highlight w:val="none"/>
        </w:rPr>
      </w:pPr>
      <w:r>
        <w:rPr>
          <w:rFonts w:hint="eastAsia" w:ascii="宋体" w:hAnsi="宋体" w:cs="宋体"/>
          <w:b/>
          <w:color w:val="auto"/>
          <w:kern w:val="0"/>
          <w:sz w:val="20"/>
          <w:szCs w:val="20"/>
          <w:highlight w:val="none"/>
        </w:rPr>
        <w:t>2019年7月1日（以合同签订日期为准）以来承担过的绿地调查建库或监测类项目</w:t>
      </w:r>
    </w:p>
    <w:p>
      <w:pPr>
        <w:spacing w:line="360" w:lineRule="exact"/>
        <w:jc w:val="center"/>
        <w:rPr>
          <w:rFonts w:ascii="宋体" w:hAnsi="宋体" w:cs="宋体"/>
          <w:b/>
          <w:color w:val="auto"/>
          <w:kern w:val="0"/>
          <w:sz w:val="20"/>
          <w:szCs w:val="20"/>
          <w:highlight w:val="none"/>
        </w:rPr>
      </w:pPr>
      <w:r>
        <w:rPr>
          <w:rFonts w:hint="eastAsia" w:ascii="宋体" w:hAnsi="宋体" w:cs="宋体"/>
          <w:b/>
          <w:color w:val="auto"/>
          <w:kern w:val="0"/>
          <w:sz w:val="20"/>
          <w:szCs w:val="20"/>
          <w:highlight w:val="none"/>
          <w:lang w:val="en-US" w:eastAsia="zh-CN"/>
        </w:rPr>
        <w:t>业绩</w:t>
      </w:r>
      <w:r>
        <w:rPr>
          <w:rFonts w:hint="eastAsia" w:ascii="宋体" w:hAnsi="宋体" w:cs="宋体"/>
          <w:b/>
          <w:color w:val="auto"/>
          <w:kern w:val="0"/>
          <w:sz w:val="20"/>
          <w:szCs w:val="20"/>
          <w:highlight w:val="none"/>
        </w:rPr>
        <w:t>一览表</w:t>
      </w:r>
    </w:p>
    <w:p>
      <w:pPr>
        <w:ind w:firstLine="394" w:firstLineChars="196"/>
        <w:rPr>
          <w:rFonts w:ascii="宋体" w:hAnsi="宋体" w:cs="宋体"/>
          <w:color w:val="auto"/>
          <w:sz w:val="20"/>
          <w:szCs w:val="20"/>
          <w:highlight w:val="none"/>
        </w:rPr>
      </w:pPr>
      <w:r>
        <w:rPr>
          <w:rFonts w:hint="eastAsia" w:ascii="宋体" w:hAnsi="宋体" w:cs="宋体"/>
          <w:b/>
          <w:color w:val="auto"/>
          <w:sz w:val="20"/>
          <w:szCs w:val="20"/>
          <w:highlight w:val="none"/>
        </w:rPr>
        <w:t>项目名称：                                              项目编号：</w:t>
      </w:r>
      <w:r>
        <w:rPr>
          <w:rFonts w:hint="eastAsia" w:ascii="宋体" w:hAnsi="宋体" w:cs="宋体"/>
          <w:color w:val="auto"/>
          <w:sz w:val="20"/>
          <w:szCs w:val="20"/>
          <w:highlight w:val="none"/>
        </w:rPr>
        <w:t xml:space="preserve"> </w:t>
      </w:r>
    </w:p>
    <w:tbl>
      <w:tblPr>
        <w:tblStyle w:val="6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38"/>
        <w:gridCol w:w="2588"/>
        <w:gridCol w:w="1726"/>
        <w:gridCol w:w="1291"/>
        <w:gridCol w:w="1583"/>
        <w:gridCol w:w="17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8" w:type="dxa"/>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序号</w:t>
            </w:r>
          </w:p>
        </w:tc>
        <w:tc>
          <w:tcPr>
            <w:tcW w:w="2588" w:type="dxa"/>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项目名称</w:t>
            </w:r>
          </w:p>
        </w:tc>
        <w:tc>
          <w:tcPr>
            <w:tcW w:w="1726" w:type="dxa"/>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合同金额</w:t>
            </w:r>
          </w:p>
        </w:tc>
        <w:tc>
          <w:tcPr>
            <w:tcW w:w="1291" w:type="dxa"/>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合同签订时间</w:t>
            </w:r>
          </w:p>
        </w:tc>
        <w:tc>
          <w:tcPr>
            <w:tcW w:w="1583" w:type="dxa"/>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联系人、联系方式</w:t>
            </w:r>
          </w:p>
        </w:tc>
        <w:tc>
          <w:tcPr>
            <w:tcW w:w="1728" w:type="dxa"/>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8" w:type="dxa"/>
            <w:vAlign w:val="center"/>
          </w:tcPr>
          <w:p>
            <w:pPr>
              <w:jc w:val="center"/>
              <w:rPr>
                <w:rFonts w:ascii="宋体" w:hAnsi="宋体" w:cs="宋体"/>
                <w:color w:val="auto"/>
                <w:sz w:val="20"/>
                <w:szCs w:val="20"/>
                <w:highlight w:val="none"/>
              </w:rPr>
            </w:pPr>
          </w:p>
        </w:tc>
        <w:tc>
          <w:tcPr>
            <w:tcW w:w="2588" w:type="dxa"/>
            <w:vAlign w:val="center"/>
          </w:tcPr>
          <w:p>
            <w:pPr>
              <w:jc w:val="center"/>
              <w:rPr>
                <w:rFonts w:ascii="宋体" w:hAnsi="宋体" w:cs="宋体"/>
                <w:color w:val="auto"/>
                <w:sz w:val="20"/>
                <w:szCs w:val="20"/>
                <w:highlight w:val="none"/>
              </w:rPr>
            </w:pPr>
          </w:p>
        </w:tc>
        <w:tc>
          <w:tcPr>
            <w:tcW w:w="1726" w:type="dxa"/>
            <w:vAlign w:val="center"/>
          </w:tcPr>
          <w:p>
            <w:pPr>
              <w:jc w:val="center"/>
              <w:rPr>
                <w:rFonts w:ascii="宋体" w:hAnsi="宋体" w:cs="宋体"/>
                <w:color w:val="auto"/>
                <w:sz w:val="20"/>
                <w:szCs w:val="20"/>
                <w:highlight w:val="none"/>
              </w:rPr>
            </w:pPr>
          </w:p>
        </w:tc>
        <w:tc>
          <w:tcPr>
            <w:tcW w:w="1291" w:type="dxa"/>
            <w:vAlign w:val="center"/>
          </w:tcPr>
          <w:p>
            <w:pPr>
              <w:jc w:val="center"/>
              <w:rPr>
                <w:rFonts w:ascii="宋体" w:hAnsi="宋体" w:cs="宋体"/>
                <w:color w:val="auto"/>
                <w:sz w:val="20"/>
                <w:szCs w:val="20"/>
                <w:highlight w:val="none"/>
              </w:rPr>
            </w:pPr>
          </w:p>
        </w:tc>
        <w:tc>
          <w:tcPr>
            <w:tcW w:w="1583" w:type="dxa"/>
            <w:vAlign w:val="center"/>
          </w:tcPr>
          <w:p>
            <w:pPr>
              <w:jc w:val="center"/>
              <w:rPr>
                <w:rFonts w:ascii="宋体" w:hAnsi="宋体" w:cs="宋体"/>
                <w:color w:val="auto"/>
                <w:sz w:val="20"/>
                <w:szCs w:val="20"/>
                <w:highlight w:val="none"/>
              </w:rPr>
            </w:pPr>
          </w:p>
        </w:tc>
        <w:tc>
          <w:tcPr>
            <w:tcW w:w="1728" w:type="dxa"/>
            <w:vAlign w:val="center"/>
          </w:tcPr>
          <w:p>
            <w:pPr>
              <w:jc w:val="center"/>
              <w:rPr>
                <w:rFonts w:ascii="宋体" w:hAnsi="宋体" w:cs="宋体"/>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8" w:type="dxa"/>
            <w:vAlign w:val="center"/>
          </w:tcPr>
          <w:p>
            <w:pPr>
              <w:jc w:val="center"/>
              <w:rPr>
                <w:rFonts w:ascii="宋体" w:hAnsi="宋体" w:cs="宋体"/>
                <w:color w:val="auto"/>
                <w:sz w:val="20"/>
                <w:szCs w:val="20"/>
                <w:highlight w:val="none"/>
              </w:rPr>
            </w:pPr>
          </w:p>
        </w:tc>
        <w:tc>
          <w:tcPr>
            <w:tcW w:w="2588" w:type="dxa"/>
            <w:vAlign w:val="center"/>
          </w:tcPr>
          <w:p>
            <w:pPr>
              <w:jc w:val="center"/>
              <w:rPr>
                <w:rFonts w:ascii="宋体" w:hAnsi="宋体" w:cs="宋体"/>
                <w:color w:val="auto"/>
                <w:sz w:val="20"/>
                <w:szCs w:val="20"/>
                <w:highlight w:val="none"/>
              </w:rPr>
            </w:pPr>
          </w:p>
        </w:tc>
        <w:tc>
          <w:tcPr>
            <w:tcW w:w="1726" w:type="dxa"/>
            <w:vAlign w:val="center"/>
          </w:tcPr>
          <w:p>
            <w:pPr>
              <w:jc w:val="center"/>
              <w:rPr>
                <w:rFonts w:ascii="宋体" w:hAnsi="宋体" w:cs="宋体"/>
                <w:color w:val="auto"/>
                <w:sz w:val="20"/>
                <w:szCs w:val="20"/>
                <w:highlight w:val="none"/>
              </w:rPr>
            </w:pPr>
          </w:p>
        </w:tc>
        <w:tc>
          <w:tcPr>
            <w:tcW w:w="1291" w:type="dxa"/>
            <w:vAlign w:val="center"/>
          </w:tcPr>
          <w:p>
            <w:pPr>
              <w:jc w:val="center"/>
              <w:rPr>
                <w:rFonts w:ascii="宋体" w:hAnsi="宋体" w:cs="宋体"/>
                <w:color w:val="auto"/>
                <w:sz w:val="20"/>
                <w:szCs w:val="20"/>
                <w:highlight w:val="none"/>
              </w:rPr>
            </w:pPr>
          </w:p>
        </w:tc>
        <w:tc>
          <w:tcPr>
            <w:tcW w:w="1583" w:type="dxa"/>
            <w:vAlign w:val="center"/>
          </w:tcPr>
          <w:p>
            <w:pPr>
              <w:jc w:val="center"/>
              <w:rPr>
                <w:rFonts w:ascii="宋体" w:hAnsi="宋体" w:cs="宋体"/>
                <w:color w:val="auto"/>
                <w:sz w:val="20"/>
                <w:szCs w:val="20"/>
                <w:highlight w:val="none"/>
              </w:rPr>
            </w:pPr>
          </w:p>
        </w:tc>
        <w:tc>
          <w:tcPr>
            <w:tcW w:w="1728" w:type="dxa"/>
            <w:vAlign w:val="center"/>
          </w:tcPr>
          <w:p>
            <w:pPr>
              <w:jc w:val="center"/>
              <w:rPr>
                <w:rFonts w:ascii="宋体" w:hAnsi="宋体" w:cs="宋体"/>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8" w:type="dxa"/>
            <w:vAlign w:val="center"/>
          </w:tcPr>
          <w:p>
            <w:pPr>
              <w:jc w:val="center"/>
              <w:rPr>
                <w:rFonts w:ascii="宋体" w:hAnsi="宋体" w:cs="宋体"/>
                <w:color w:val="auto"/>
                <w:sz w:val="20"/>
                <w:szCs w:val="20"/>
                <w:highlight w:val="none"/>
              </w:rPr>
            </w:pPr>
          </w:p>
        </w:tc>
        <w:tc>
          <w:tcPr>
            <w:tcW w:w="2588" w:type="dxa"/>
            <w:vAlign w:val="center"/>
          </w:tcPr>
          <w:p>
            <w:pPr>
              <w:jc w:val="center"/>
              <w:rPr>
                <w:rFonts w:ascii="宋体" w:hAnsi="宋体" w:cs="宋体"/>
                <w:color w:val="auto"/>
                <w:sz w:val="20"/>
                <w:szCs w:val="20"/>
                <w:highlight w:val="none"/>
              </w:rPr>
            </w:pPr>
          </w:p>
        </w:tc>
        <w:tc>
          <w:tcPr>
            <w:tcW w:w="1726" w:type="dxa"/>
            <w:vAlign w:val="center"/>
          </w:tcPr>
          <w:p>
            <w:pPr>
              <w:jc w:val="center"/>
              <w:rPr>
                <w:rFonts w:ascii="宋体" w:hAnsi="宋体" w:cs="宋体"/>
                <w:color w:val="auto"/>
                <w:sz w:val="20"/>
                <w:szCs w:val="20"/>
                <w:highlight w:val="none"/>
              </w:rPr>
            </w:pPr>
          </w:p>
        </w:tc>
        <w:tc>
          <w:tcPr>
            <w:tcW w:w="1291" w:type="dxa"/>
            <w:vAlign w:val="center"/>
          </w:tcPr>
          <w:p>
            <w:pPr>
              <w:jc w:val="center"/>
              <w:rPr>
                <w:rFonts w:ascii="宋体" w:hAnsi="宋体" w:cs="宋体"/>
                <w:color w:val="auto"/>
                <w:sz w:val="20"/>
                <w:szCs w:val="20"/>
                <w:highlight w:val="none"/>
              </w:rPr>
            </w:pPr>
          </w:p>
        </w:tc>
        <w:tc>
          <w:tcPr>
            <w:tcW w:w="1583" w:type="dxa"/>
            <w:vAlign w:val="center"/>
          </w:tcPr>
          <w:p>
            <w:pPr>
              <w:jc w:val="center"/>
              <w:rPr>
                <w:rFonts w:ascii="宋体" w:hAnsi="宋体" w:cs="宋体"/>
                <w:color w:val="auto"/>
                <w:sz w:val="20"/>
                <w:szCs w:val="20"/>
                <w:highlight w:val="none"/>
              </w:rPr>
            </w:pPr>
          </w:p>
        </w:tc>
        <w:tc>
          <w:tcPr>
            <w:tcW w:w="1728" w:type="dxa"/>
            <w:vAlign w:val="center"/>
          </w:tcPr>
          <w:p>
            <w:pPr>
              <w:jc w:val="center"/>
              <w:rPr>
                <w:rFonts w:ascii="宋体" w:hAnsi="宋体" w:cs="宋体"/>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8" w:type="dxa"/>
            <w:vAlign w:val="center"/>
          </w:tcPr>
          <w:p>
            <w:pPr>
              <w:jc w:val="center"/>
              <w:rPr>
                <w:rFonts w:ascii="宋体" w:hAnsi="宋体" w:cs="宋体"/>
                <w:color w:val="auto"/>
                <w:sz w:val="20"/>
                <w:szCs w:val="20"/>
                <w:highlight w:val="none"/>
              </w:rPr>
            </w:pPr>
          </w:p>
        </w:tc>
        <w:tc>
          <w:tcPr>
            <w:tcW w:w="2588" w:type="dxa"/>
            <w:vAlign w:val="center"/>
          </w:tcPr>
          <w:p>
            <w:pPr>
              <w:jc w:val="center"/>
              <w:rPr>
                <w:rFonts w:ascii="宋体" w:hAnsi="宋体" w:cs="宋体"/>
                <w:color w:val="auto"/>
                <w:sz w:val="20"/>
                <w:szCs w:val="20"/>
                <w:highlight w:val="none"/>
              </w:rPr>
            </w:pPr>
          </w:p>
        </w:tc>
        <w:tc>
          <w:tcPr>
            <w:tcW w:w="1726" w:type="dxa"/>
            <w:vAlign w:val="center"/>
          </w:tcPr>
          <w:p>
            <w:pPr>
              <w:jc w:val="center"/>
              <w:rPr>
                <w:rFonts w:ascii="宋体" w:hAnsi="宋体" w:cs="宋体"/>
                <w:color w:val="auto"/>
                <w:sz w:val="20"/>
                <w:szCs w:val="20"/>
                <w:highlight w:val="none"/>
              </w:rPr>
            </w:pPr>
          </w:p>
        </w:tc>
        <w:tc>
          <w:tcPr>
            <w:tcW w:w="1291" w:type="dxa"/>
            <w:vAlign w:val="center"/>
          </w:tcPr>
          <w:p>
            <w:pPr>
              <w:jc w:val="center"/>
              <w:rPr>
                <w:rFonts w:ascii="宋体" w:hAnsi="宋体" w:cs="宋体"/>
                <w:color w:val="auto"/>
                <w:sz w:val="20"/>
                <w:szCs w:val="20"/>
                <w:highlight w:val="none"/>
              </w:rPr>
            </w:pPr>
          </w:p>
        </w:tc>
        <w:tc>
          <w:tcPr>
            <w:tcW w:w="1583" w:type="dxa"/>
            <w:vAlign w:val="center"/>
          </w:tcPr>
          <w:p>
            <w:pPr>
              <w:jc w:val="center"/>
              <w:rPr>
                <w:rFonts w:ascii="宋体" w:hAnsi="宋体" w:cs="宋体"/>
                <w:color w:val="auto"/>
                <w:sz w:val="20"/>
                <w:szCs w:val="20"/>
                <w:highlight w:val="none"/>
              </w:rPr>
            </w:pPr>
          </w:p>
        </w:tc>
        <w:tc>
          <w:tcPr>
            <w:tcW w:w="1728" w:type="dxa"/>
            <w:vAlign w:val="center"/>
          </w:tcPr>
          <w:p>
            <w:pPr>
              <w:jc w:val="center"/>
              <w:rPr>
                <w:rFonts w:ascii="宋体" w:hAnsi="宋体" w:cs="宋体"/>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8" w:type="dxa"/>
            <w:vAlign w:val="center"/>
          </w:tcPr>
          <w:p>
            <w:pPr>
              <w:jc w:val="center"/>
              <w:rPr>
                <w:rFonts w:ascii="宋体" w:hAnsi="宋体" w:cs="宋体"/>
                <w:color w:val="auto"/>
                <w:sz w:val="20"/>
                <w:szCs w:val="20"/>
                <w:highlight w:val="none"/>
              </w:rPr>
            </w:pPr>
          </w:p>
        </w:tc>
        <w:tc>
          <w:tcPr>
            <w:tcW w:w="2588" w:type="dxa"/>
            <w:vAlign w:val="center"/>
          </w:tcPr>
          <w:p>
            <w:pPr>
              <w:jc w:val="center"/>
              <w:rPr>
                <w:rFonts w:ascii="宋体" w:hAnsi="宋体" w:cs="宋体"/>
                <w:color w:val="auto"/>
                <w:sz w:val="20"/>
                <w:szCs w:val="20"/>
                <w:highlight w:val="none"/>
              </w:rPr>
            </w:pPr>
          </w:p>
        </w:tc>
        <w:tc>
          <w:tcPr>
            <w:tcW w:w="1726" w:type="dxa"/>
            <w:vAlign w:val="center"/>
          </w:tcPr>
          <w:p>
            <w:pPr>
              <w:jc w:val="center"/>
              <w:rPr>
                <w:rFonts w:ascii="宋体" w:hAnsi="宋体" w:cs="宋体"/>
                <w:color w:val="auto"/>
                <w:sz w:val="20"/>
                <w:szCs w:val="20"/>
                <w:highlight w:val="none"/>
              </w:rPr>
            </w:pPr>
          </w:p>
        </w:tc>
        <w:tc>
          <w:tcPr>
            <w:tcW w:w="1291" w:type="dxa"/>
            <w:vAlign w:val="center"/>
          </w:tcPr>
          <w:p>
            <w:pPr>
              <w:jc w:val="center"/>
              <w:rPr>
                <w:rFonts w:ascii="宋体" w:hAnsi="宋体" w:cs="宋体"/>
                <w:color w:val="auto"/>
                <w:sz w:val="20"/>
                <w:szCs w:val="20"/>
                <w:highlight w:val="none"/>
              </w:rPr>
            </w:pPr>
          </w:p>
        </w:tc>
        <w:tc>
          <w:tcPr>
            <w:tcW w:w="1583" w:type="dxa"/>
            <w:vAlign w:val="center"/>
          </w:tcPr>
          <w:p>
            <w:pPr>
              <w:jc w:val="center"/>
              <w:rPr>
                <w:rFonts w:ascii="宋体" w:hAnsi="宋体" w:cs="宋体"/>
                <w:color w:val="auto"/>
                <w:sz w:val="20"/>
                <w:szCs w:val="20"/>
                <w:highlight w:val="none"/>
              </w:rPr>
            </w:pPr>
          </w:p>
        </w:tc>
        <w:tc>
          <w:tcPr>
            <w:tcW w:w="1728" w:type="dxa"/>
            <w:vAlign w:val="center"/>
          </w:tcPr>
          <w:p>
            <w:pPr>
              <w:jc w:val="center"/>
              <w:rPr>
                <w:rFonts w:ascii="宋体" w:hAnsi="宋体" w:cs="宋体"/>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8" w:type="dxa"/>
            <w:vAlign w:val="center"/>
          </w:tcPr>
          <w:p>
            <w:pPr>
              <w:jc w:val="center"/>
              <w:rPr>
                <w:rFonts w:ascii="宋体" w:hAnsi="宋体" w:cs="宋体"/>
                <w:color w:val="auto"/>
                <w:sz w:val="20"/>
                <w:szCs w:val="20"/>
                <w:highlight w:val="none"/>
              </w:rPr>
            </w:pPr>
          </w:p>
        </w:tc>
        <w:tc>
          <w:tcPr>
            <w:tcW w:w="2588" w:type="dxa"/>
            <w:vAlign w:val="center"/>
          </w:tcPr>
          <w:p>
            <w:pPr>
              <w:jc w:val="center"/>
              <w:rPr>
                <w:rFonts w:ascii="宋体" w:hAnsi="宋体" w:cs="宋体"/>
                <w:color w:val="auto"/>
                <w:sz w:val="20"/>
                <w:szCs w:val="20"/>
                <w:highlight w:val="none"/>
              </w:rPr>
            </w:pPr>
          </w:p>
        </w:tc>
        <w:tc>
          <w:tcPr>
            <w:tcW w:w="1726" w:type="dxa"/>
            <w:vAlign w:val="center"/>
          </w:tcPr>
          <w:p>
            <w:pPr>
              <w:jc w:val="center"/>
              <w:rPr>
                <w:rFonts w:ascii="宋体" w:hAnsi="宋体" w:cs="宋体"/>
                <w:color w:val="auto"/>
                <w:sz w:val="20"/>
                <w:szCs w:val="20"/>
                <w:highlight w:val="none"/>
              </w:rPr>
            </w:pPr>
          </w:p>
        </w:tc>
        <w:tc>
          <w:tcPr>
            <w:tcW w:w="1291" w:type="dxa"/>
            <w:vAlign w:val="center"/>
          </w:tcPr>
          <w:p>
            <w:pPr>
              <w:jc w:val="center"/>
              <w:rPr>
                <w:rFonts w:ascii="宋体" w:hAnsi="宋体" w:cs="宋体"/>
                <w:color w:val="auto"/>
                <w:sz w:val="20"/>
                <w:szCs w:val="20"/>
                <w:highlight w:val="none"/>
              </w:rPr>
            </w:pPr>
          </w:p>
        </w:tc>
        <w:tc>
          <w:tcPr>
            <w:tcW w:w="1583" w:type="dxa"/>
            <w:vAlign w:val="center"/>
          </w:tcPr>
          <w:p>
            <w:pPr>
              <w:jc w:val="center"/>
              <w:rPr>
                <w:rFonts w:ascii="宋体" w:hAnsi="宋体" w:cs="宋体"/>
                <w:color w:val="auto"/>
                <w:sz w:val="20"/>
                <w:szCs w:val="20"/>
                <w:highlight w:val="none"/>
              </w:rPr>
            </w:pPr>
          </w:p>
        </w:tc>
        <w:tc>
          <w:tcPr>
            <w:tcW w:w="1728" w:type="dxa"/>
            <w:vAlign w:val="center"/>
          </w:tcPr>
          <w:p>
            <w:pPr>
              <w:jc w:val="center"/>
              <w:rPr>
                <w:rFonts w:ascii="宋体" w:hAnsi="宋体" w:cs="宋体"/>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8" w:type="dxa"/>
            <w:vAlign w:val="center"/>
          </w:tcPr>
          <w:p>
            <w:pPr>
              <w:jc w:val="center"/>
              <w:rPr>
                <w:rFonts w:ascii="宋体" w:hAnsi="宋体" w:cs="宋体"/>
                <w:color w:val="auto"/>
                <w:sz w:val="20"/>
                <w:szCs w:val="20"/>
                <w:highlight w:val="none"/>
              </w:rPr>
            </w:pPr>
          </w:p>
        </w:tc>
        <w:tc>
          <w:tcPr>
            <w:tcW w:w="2588" w:type="dxa"/>
            <w:vAlign w:val="center"/>
          </w:tcPr>
          <w:p>
            <w:pPr>
              <w:jc w:val="center"/>
              <w:rPr>
                <w:rFonts w:ascii="宋体" w:hAnsi="宋体" w:cs="宋体"/>
                <w:color w:val="auto"/>
                <w:sz w:val="20"/>
                <w:szCs w:val="20"/>
                <w:highlight w:val="none"/>
              </w:rPr>
            </w:pPr>
          </w:p>
        </w:tc>
        <w:tc>
          <w:tcPr>
            <w:tcW w:w="1726" w:type="dxa"/>
            <w:vAlign w:val="center"/>
          </w:tcPr>
          <w:p>
            <w:pPr>
              <w:jc w:val="center"/>
              <w:rPr>
                <w:rFonts w:ascii="宋体" w:hAnsi="宋体" w:cs="宋体"/>
                <w:color w:val="auto"/>
                <w:sz w:val="20"/>
                <w:szCs w:val="20"/>
                <w:highlight w:val="none"/>
              </w:rPr>
            </w:pPr>
          </w:p>
        </w:tc>
        <w:tc>
          <w:tcPr>
            <w:tcW w:w="1291" w:type="dxa"/>
            <w:vAlign w:val="center"/>
          </w:tcPr>
          <w:p>
            <w:pPr>
              <w:jc w:val="center"/>
              <w:rPr>
                <w:rFonts w:ascii="宋体" w:hAnsi="宋体" w:cs="宋体"/>
                <w:color w:val="auto"/>
                <w:sz w:val="20"/>
                <w:szCs w:val="20"/>
                <w:highlight w:val="none"/>
              </w:rPr>
            </w:pPr>
          </w:p>
        </w:tc>
        <w:tc>
          <w:tcPr>
            <w:tcW w:w="1583" w:type="dxa"/>
            <w:vAlign w:val="center"/>
          </w:tcPr>
          <w:p>
            <w:pPr>
              <w:jc w:val="center"/>
              <w:rPr>
                <w:rFonts w:ascii="宋体" w:hAnsi="宋体" w:cs="宋体"/>
                <w:color w:val="auto"/>
                <w:sz w:val="20"/>
                <w:szCs w:val="20"/>
                <w:highlight w:val="none"/>
              </w:rPr>
            </w:pPr>
          </w:p>
        </w:tc>
        <w:tc>
          <w:tcPr>
            <w:tcW w:w="1728" w:type="dxa"/>
            <w:vAlign w:val="center"/>
          </w:tcPr>
          <w:p>
            <w:pPr>
              <w:jc w:val="center"/>
              <w:rPr>
                <w:rFonts w:ascii="宋体" w:hAnsi="宋体" w:cs="宋体"/>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8" w:type="dxa"/>
            <w:vAlign w:val="center"/>
          </w:tcPr>
          <w:p>
            <w:pPr>
              <w:jc w:val="center"/>
              <w:rPr>
                <w:rFonts w:ascii="宋体" w:hAnsi="宋体" w:cs="宋体"/>
                <w:color w:val="auto"/>
                <w:sz w:val="20"/>
                <w:szCs w:val="20"/>
                <w:highlight w:val="none"/>
              </w:rPr>
            </w:pPr>
          </w:p>
        </w:tc>
        <w:tc>
          <w:tcPr>
            <w:tcW w:w="2588" w:type="dxa"/>
            <w:vAlign w:val="center"/>
          </w:tcPr>
          <w:p>
            <w:pPr>
              <w:jc w:val="center"/>
              <w:rPr>
                <w:rFonts w:ascii="宋体" w:hAnsi="宋体" w:cs="宋体"/>
                <w:color w:val="auto"/>
                <w:sz w:val="20"/>
                <w:szCs w:val="20"/>
                <w:highlight w:val="none"/>
              </w:rPr>
            </w:pPr>
          </w:p>
        </w:tc>
        <w:tc>
          <w:tcPr>
            <w:tcW w:w="1726" w:type="dxa"/>
            <w:vAlign w:val="center"/>
          </w:tcPr>
          <w:p>
            <w:pPr>
              <w:jc w:val="center"/>
              <w:rPr>
                <w:rFonts w:ascii="宋体" w:hAnsi="宋体" w:cs="宋体"/>
                <w:color w:val="auto"/>
                <w:sz w:val="20"/>
                <w:szCs w:val="20"/>
                <w:highlight w:val="none"/>
              </w:rPr>
            </w:pPr>
          </w:p>
        </w:tc>
        <w:tc>
          <w:tcPr>
            <w:tcW w:w="1291" w:type="dxa"/>
            <w:vAlign w:val="center"/>
          </w:tcPr>
          <w:p>
            <w:pPr>
              <w:jc w:val="center"/>
              <w:rPr>
                <w:rFonts w:ascii="宋体" w:hAnsi="宋体" w:cs="宋体"/>
                <w:color w:val="auto"/>
                <w:sz w:val="20"/>
                <w:szCs w:val="20"/>
                <w:highlight w:val="none"/>
              </w:rPr>
            </w:pPr>
          </w:p>
        </w:tc>
        <w:tc>
          <w:tcPr>
            <w:tcW w:w="1583" w:type="dxa"/>
            <w:vAlign w:val="center"/>
          </w:tcPr>
          <w:p>
            <w:pPr>
              <w:jc w:val="center"/>
              <w:rPr>
                <w:rFonts w:ascii="宋体" w:hAnsi="宋体" w:cs="宋体"/>
                <w:color w:val="auto"/>
                <w:sz w:val="20"/>
                <w:szCs w:val="20"/>
                <w:highlight w:val="none"/>
              </w:rPr>
            </w:pPr>
          </w:p>
        </w:tc>
        <w:tc>
          <w:tcPr>
            <w:tcW w:w="1728" w:type="dxa"/>
            <w:vAlign w:val="center"/>
          </w:tcPr>
          <w:p>
            <w:pPr>
              <w:jc w:val="center"/>
              <w:rPr>
                <w:rFonts w:ascii="宋体" w:hAnsi="宋体" w:cs="宋体"/>
                <w:color w:val="auto"/>
                <w:sz w:val="20"/>
                <w:szCs w:val="20"/>
                <w:highlight w:val="none"/>
              </w:rPr>
            </w:pPr>
          </w:p>
        </w:tc>
      </w:tr>
    </w:tbl>
    <w:p>
      <w:pPr>
        <w:spacing w:line="380" w:lineRule="exact"/>
        <w:rPr>
          <w:rFonts w:ascii="宋体" w:hAnsi="宋体" w:cs="宋体"/>
          <w:color w:val="auto"/>
          <w:sz w:val="20"/>
          <w:szCs w:val="20"/>
          <w:highlight w:val="none"/>
        </w:rPr>
      </w:pPr>
    </w:p>
    <w:p>
      <w:pPr>
        <w:spacing w:line="380" w:lineRule="exact"/>
        <w:rPr>
          <w:rFonts w:hint="eastAsia" w:ascii="宋体" w:hAnsi="宋体" w:cs="宋体"/>
          <w:color w:val="auto"/>
          <w:sz w:val="20"/>
          <w:szCs w:val="20"/>
          <w:highlight w:val="none"/>
        </w:rPr>
      </w:pPr>
      <w:r>
        <w:rPr>
          <w:rFonts w:hint="eastAsia" w:ascii="宋体" w:hAnsi="宋体" w:cs="宋体"/>
          <w:color w:val="auto"/>
          <w:sz w:val="20"/>
          <w:szCs w:val="20"/>
          <w:highlight w:val="none"/>
        </w:rPr>
        <w:t>注：1、每项业绩须提供证明文件，业绩证明文件以合同或中标通知书为准（提供复印件，并加盖公章）</w:t>
      </w:r>
    </w:p>
    <w:p>
      <w:pPr>
        <w:spacing w:line="380" w:lineRule="exact"/>
        <w:ind w:firstLine="400" w:firstLineChars="200"/>
        <w:rPr>
          <w:rFonts w:hint="eastAsia" w:ascii="宋体" w:hAnsi="宋体" w:cs="宋体"/>
          <w:color w:val="auto"/>
          <w:sz w:val="20"/>
          <w:szCs w:val="20"/>
          <w:highlight w:val="none"/>
        </w:rPr>
      </w:pPr>
      <w:r>
        <w:rPr>
          <w:rFonts w:hint="eastAsia" w:ascii="宋体" w:hAnsi="宋体" w:cs="宋体"/>
          <w:color w:val="auto"/>
          <w:sz w:val="20"/>
          <w:szCs w:val="20"/>
          <w:highlight w:val="none"/>
        </w:rPr>
        <w:t>2、本表可在不改变格式的情况下根据具体需要自行增减。</w:t>
      </w:r>
    </w:p>
    <w:p>
      <w:pPr>
        <w:spacing w:line="380" w:lineRule="exact"/>
        <w:ind w:firstLine="402" w:firstLineChars="200"/>
        <w:rPr>
          <w:rFonts w:ascii="宋体" w:hAnsi="宋体" w:cs="宋体"/>
          <w:b/>
          <w:bCs/>
          <w:color w:val="auto"/>
          <w:sz w:val="20"/>
          <w:szCs w:val="20"/>
          <w:highlight w:val="none"/>
          <w:u w:val="single"/>
        </w:rPr>
      </w:pPr>
      <w:r>
        <w:rPr>
          <w:rFonts w:hint="eastAsia" w:ascii="宋体" w:hAnsi="宋体" w:cs="宋体"/>
          <w:b/>
          <w:bCs/>
          <w:color w:val="auto"/>
          <w:sz w:val="20"/>
          <w:szCs w:val="20"/>
          <w:highlight w:val="none"/>
          <w:u w:val="single"/>
        </w:rPr>
        <w:t>3. 投标人不按此要求填写此项内容或未提供相应的证明材料将视为无业绩，不计入资信部分评分范围。</w:t>
      </w:r>
    </w:p>
    <w:p>
      <w:pPr>
        <w:spacing w:line="380" w:lineRule="exact"/>
        <w:ind w:firstLine="4000" w:firstLineChars="2000"/>
        <w:rPr>
          <w:rFonts w:ascii="宋体" w:hAnsi="宋体" w:cs="宋体"/>
          <w:color w:val="auto"/>
          <w:sz w:val="20"/>
          <w:szCs w:val="20"/>
          <w:highlight w:val="none"/>
        </w:rPr>
      </w:pPr>
      <w:r>
        <w:rPr>
          <w:rFonts w:hint="eastAsia" w:ascii="宋体" w:hAnsi="宋体" w:cs="宋体"/>
          <w:color w:val="auto"/>
          <w:sz w:val="20"/>
          <w:szCs w:val="20"/>
          <w:highlight w:val="none"/>
        </w:rPr>
        <w:t>投标人全称（盖章）：</w:t>
      </w:r>
    </w:p>
    <w:p>
      <w:pPr>
        <w:spacing w:line="380" w:lineRule="exact"/>
        <w:ind w:firstLine="4000" w:firstLineChars="2000"/>
        <w:rPr>
          <w:rFonts w:ascii="宋体" w:hAnsi="宋体" w:cs="宋体"/>
          <w:color w:val="auto"/>
          <w:sz w:val="20"/>
          <w:szCs w:val="20"/>
          <w:highlight w:val="none"/>
        </w:rPr>
      </w:pPr>
      <w:r>
        <w:rPr>
          <w:rFonts w:hint="eastAsia" w:ascii="宋体" w:hAnsi="宋体" w:cs="宋体"/>
          <w:color w:val="auto"/>
          <w:sz w:val="20"/>
          <w:szCs w:val="20"/>
          <w:highlight w:val="none"/>
        </w:rPr>
        <w:t>法定代表人或授权代表（签字）：</w:t>
      </w:r>
    </w:p>
    <w:p>
      <w:pPr>
        <w:spacing w:line="380" w:lineRule="exact"/>
        <w:ind w:firstLine="4000" w:firstLineChars="2000"/>
        <w:rPr>
          <w:rFonts w:ascii="宋体" w:hAnsi="宋体" w:cs="宋体"/>
          <w:color w:val="auto"/>
          <w:sz w:val="20"/>
          <w:szCs w:val="20"/>
          <w:highlight w:val="none"/>
        </w:rPr>
      </w:pPr>
      <w:r>
        <w:rPr>
          <w:rFonts w:hint="eastAsia" w:ascii="宋体" w:hAnsi="宋体" w:cs="宋体"/>
          <w:color w:val="auto"/>
          <w:sz w:val="20"/>
          <w:szCs w:val="20"/>
          <w:highlight w:val="none"/>
        </w:rPr>
        <w:t>日期：  年   月  日</w:t>
      </w:r>
    </w:p>
    <w:p>
      <w:pPr>
        <w:spacing w:line="360" w:lineRule="exact"/>
        <w:jc w:val="center"/>
        <w:rPr>
          <w:rFonts w:ascii="宋体" w:hAnsi="宋体" w:cs="宋体"/>
          <w:b/>
          <w:color w:val="auto"/>
          <w:sz w:val="20"/>
          <w:szCs w:val="20"/>
          <w:highlight w:val="none"/>
        </w:rPr>
      </w:pPr>
    </w:p>
    <w:p>
      <w:pPr>
        <w:spacing w:line="360" w:lineRule="exact"/>
        <w:jc w:val="center"/>
        <w:rPr>
          <w:rFonts w:ascii="宋体" w:hAnsi="宋体" w:cs="宋体"/>
          <w:b/>
          <w:color w:val="auto"/>
          <w:sz w:val="20"/>
          <w:szCs w:val="20"/>
          <w:highlight w:val="none"/>
        </w:rPr>
      </w:pPr>
    </w:p>
    <w:p>
      <w:pPr>
        <w:rPr>
          <w:color w:val="auto"/>
          <w:highlight w:val="none"/>
        </w:rPr>
      </w:pPr>
      <w:r>
        <w:rPr>
          <w:rFonts w:hint="eastAsia"/>
          <w:color w:val="auto"/>
          <w:highlight w:val="none"/>
        </w:rPr>
        <w:br w:type="page"/>
      </w:r>
    </w:p>
    <w:p>
      <w:pPr>
        <w:spacing w:line="360" w:lineRule="exact"/>
        <w:jc w:val="left"/>
        <w:rPr>
          <w:rFonts w:ascii="宋体" w:hAnsi="宋体" w:cs="宋体"/>
          <w:b/>
          <w:color w:val="auto"/>
          <w:sz w:val="20"/>
          <w:szCs w:val="20"/>
          <w:highlight w:val="none"/>
        </w:rPr>
      </w:pPr>
      <w:r>
        <w:rPr>
          <w:rFonts w:hint="eastAsia" w:ascii="宋体" w:hAnsi="宋体" w:cs="宋体"/>
          <w:b/>
          <w:color w:val="auto"/>
          <w:sz w:val="20"/>
          <w:szCs w:val="20"/>
          <w:highlight w:val="none"/>
        </w:rPr>
        <w:t>附件六-2</w:t>
      </w:r>
    </w:p>
    <w:p>
      <w:pPr>
        <w:spacing w:line="360" w:lineRule="exact"/>
        <w:jc w:val="center"/>
        <w:rPr>
          <w:rFonts w:ascii="宋体" w:hAnsi="宋体" w:cs="宋体"/>
          <w:b/>
          <w:color w:val="auto"/>
          <w:kern w:val="0"/>
          <w:sz w:val="20"/>
          <w:szCs w:val="20"/>
          <w:highlight w:val="none"/>
        </w:rPr>
      </w:pPr>
      <w:r>
        <w:rPr>
          <w:rFonts w:hint="eastAsia" w:ascii="宋体" w:hAnsi="宋体" w:cs="宋体"/>
          <w:b/>
          <w:color w:val="auto"/>
          <w:kern w:val="0"/>
          <w:sz w:val="20"/>
          <w:szCs w:val="20"/>
          <w:highlight w:val="none"/>
        </w:rPr>
        <w:t>2019年7月1日（以合同签订日期为准）以来承担过智慧园林软件相关项目</w:t>
      </w:r>
    </w:p>
    <w:p>
      <w:pPr>
        <w:spacing w:line="360" w:lineRule="exact"/>
        <w:jc w:val="center"/>
        <w:rPr>
          <w:rFonts w:ascii="宋体" w:hAnsi="宋体" w:cs="宋体"/>
          <w:b/>
          <w:color w:val="auto"/>
          <w:kern w:val="0"/>
          <w:sz w:val="20"/>
          <w:szCs w:val="20"/>
          <w:highlight w:val="none"/>
        </w:rPr>
      </w:pPr>
      <w:r>
        <w:rPr>
          <w:rFonts w:hint="eastAsia" w:ascii="宋体" w:hAnsi="宋体" w:cs="宋体"/>
          <w:b/>
          <w:color w:val="auto"/>
          <w:kern w:val="0"/>
          <w:sz w:val="20"/>
          <w:szCs w:val="20"/>
          <w:highlight w:val="none"/>
        </w:rPr>
        <w:t>业绩一览表</w:t>
      </w:r>
    </w:p>
    <w:p>
      <w:pPr>
        <w:ind w:firstLine="394" w:firstLineChars="196"/>
        <w:rPr>
          <w:rFonts w:ascii="宋体" w:hAnsi="宋体" w:cs="宋体"/>
          <w:color w:val="auto"/>
          <w:sz w:val="20"/>
          <w:szCs w:val="20"/>
          <w:highlight w:val="none"/>
        </w:rPr>
      </w:pPr>
      <w:r>
        <w:rPr>
          <w:rFonts w:hint="eastAsia" w:ascii="宋体" w:hAnsi="宋体" w:cs="宋体"/>
          <w:b/>
          <w:color w:val="auto"/>
          <w:sz w:val="20"/>
          <w:szCs w:val="20"/>
          <w:highlight w:val="none"/>
        </w:rPr>
        <w:t>项目名称：                                              项目编号：</w:t>
      </w:r>
      <w:r>
        <w:rPr>
          <w:rFonts w:hint="eastAsia" w:ascii="宋体" w:hAnsi="宋体" w:cs="宋体"/>
          <w:color w:val="auto"/>
          <w:sz w:val="20"/>
          <w:szCs w:val="20"/>
          <w:highlight w:val="none"/>
        </w:rPr>
        <w:t xml:space="preserve"> </w:t>
      </w:r>
    </w:p>
    <w:tbl>
      <w:tblPr>
        <w:tblStyle w:val="6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38"/>
        <w:gridCol w:w="2588"/>
        <w:gridCol w:w="1726"/>
        <w:gridCol w:w="1291"/>
        <w:gridCol w:w="1583"/>
        <w:gridCol w:w="17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8" w:type="dxa"/>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序号</w:t>
            </w:r>
          </w:p>
        </w:tc>
        <w:tc>
          <w:tcPr>
            <w:tcW w:w="2588" w:type="dxa"/>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项目名称</w:t>
            </w:r>
          </w:p>
        </w:tc>
        <w:tc>
          <w:tcPr>
            <w:tcW w:w="1726" w:type="dxa"/>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合同金额</w:t>
            </w:r>
          </w:p>
        </w:tc>
        <w:tc>
          <w:tcPr>
            <w:tcW w:w="1291" w:type="dxa"/>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合同签订时间</w:t>
            </w:r>
          </w:p>
        </w:tc>
        <w:tc>
          <w:tcPr>
            <w:tcW w:w="1583" w:type="dxa"/>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联系人、联系方式</w:t>
            </w:r>
          </w:p>
        </w:tc>
        <w:tc>
          <w:tcPr>
            <w:tcW w:w="1728" w:type="dxa"/>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8" w:type="dxa"/>
            <w:vAlign w:val="center"/>
          </w:tcPr>
          <w:p>
            <w:pPr>
              <w:jc w:val="center"/>
              <w:rPr>
                <w:rFonts w:ascii="宋体" w:hAnsi="宋体" w:cs="宋体"/>
                <w:color w:val="auto"/>
                <w:sz w:val="20"/>
                <w:szCs w:val="20"/>
                <w:highlight w:val="none"/>
              </w:rPr>
            </w:pPr>
          </w:p>
        </w:tc>
        <w:tc>
          <w:tcPr>
            <w:tcW w:w="2588" w:type="dxa"/>
            <w:vAlign w:val="center"/>
          </w:tcPr>
          <w:p>
            <w:pPr>
              <w:jc w:val="center"/>
              <w:rPr>
                <w:rFonts w:ascii="宋体" w:hAnsi="宋体" w:cs="宋体"/>
                <w:color w:val="auto"/>
                <w:sz w:val="20"/>
                <w:szCs w:val="20"/>
                <w:highlight w:val="none"/>
              </w:rPr>
            </w:pPr>
          </w:p>
        </w:tc>
        <w:tc>
          <w:tcPr>
            <w:tcW w:w="1726" w:type="dxa"/>
            <w:vAlign w:val="center"/>
          </w:tcPr>
          <w:p>
            <w:pPr>
              <w:jc w:val="center"/>
              <w:rPr>
                <w:rFonts w:ascii="宋体" w:hAnsi="宋体" w:cs="宋体"/>
                <w:color w:val="auto"/>
                <w:sz w:val="20"/>
                <w:szCs w:val="20"/>
                <w:highlight w:val="none"/>
              </w:rPr>
            </w:pPr>
          </w:p>
        </w:tc>
        <w:tc>
          <w:tcPr>
            <w:tcW w:w="1291" w:type="dxa"/>
            <w:vAlign w:val="center"/>
          </w:tcPr>
          <w:p>
            <w:pPr>
              <w:jc w:val="center"/>
              <w:rPr>
                <w:rFonts w:ascii="宋体" w:hAnsi="宋体" w:cs="宋体"/>
                <w:color w:val="auto"/>
                <w:sz w:val="20"/>
                <w:szCs w:val="20"/>
                <w:highlight w:val="none"/>
              </w:rPr>
            </w:pPr>
          </w:p>
        </w:tc>
        <w:tc>
          <w:tcPr>
            <w:tcW w:w="1583" w:type="dxa"/>
            <w:vAlign w:val="center"/>
          </w:tcPr>
          <w:p>
            <w:pPr>
              <w:jc w:val="center"/>
              <w:rPr>
                <w:rFonts w:ascii="宋体" w:hAnsi="宋体" w:cs="宋体"/>
                <w:color w:val="auto"/>
                <w:sz w:val="20"/>
                <w:szCs w:val="20"/>
                <w:highlight w:val="none"/>
              </w:rPr>
            </w:pPr>
          </w:p>
        </w:tc>
        <w:tc>
          <w:tcPr>
            <w:tcW w:w="1728" w:type="dxa"/>
            <w:vAlign w:val="center"/>
          </w:tcPr>
          <w:p>
            <w:pPr>
              <w:jc w:val="center"/>
              <w:rPr>
                <w:rFonts w:ascii="宋体" w:hAnsi="宋体" w:cs="宋体"/>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8" w:type="dxa"/>
            <w:vAlign w:val="center"/>
          </w:tcPr>
          <w:p>
            <w:pPr>
              <w:jc w:val="center"/>
              <w:rPr>
                <w:rFonts w:ascii="宋体" w:hAnsi="宋体" w:cs="宋体"/>
                <w:color w:val="auto"/>
                <w:sz w:val="20"/>
                <w:szCs w:val="20"/>
                <w:highlight w:val="none"/>
              </w:rPr>
            </w:pPr>
          </w:p>
        </w:tc>
        <w:tc>
          <w:tcPr>
            <w:tcW w:w="2588" w:type="dxa"/>
            <w:vAlign w:val="center"/>
          </w:tcPr>
          <w:p>
            <w:pPr>
              <w:jc w:val="center"/>
              <w:rPr>
                <w:rFonts w:ascii="宋体" w:hAnsi="宋体" w:cs="宋体"/>
                <w:color w:val="auto"/>
                <w:sz w:val="20"/>
                <w:szCs w:val="20"/>
                <w:highlight w:val="none"/>
              </w:rPr>
            </w:pPr>
          </w:p>
        </w:tc>
        <w:tc>
          <w:tcPr>
            <w:tcW w:w="1726" w:type="dxa"/>
            <w:vAlign w:val="center"/>
          </w:tcPr>
          <w:p>
            <w:pPr>
              <w:jc w:val="center"/>
              <w:rPr>
                <w:rFonts w:ascii="宋体" w:hAnsi="宋体" w:cs="宋体"/>
                <w:color w:val="auto"/>
                <w:sz w:val="20"/>
                <w:szCs w:val="20"/>
                <w:highlight w:val="none"/>
              </w:rPr>
            </w:pPr>
          </w:p>
        </w:tc>
        <w:tc>
          <w:tcPr>
            <w:tcW w:w="1291" w:type="dxa"/>
            <w:vAlign w:val="center"/>
          </w:tcPr>
          <w:p>
            <w:pPr>
              <w:jc w:val="center"/>
              <w:rPr>
                <w:rFonts w:ascii="宋体" w:hAnsi="宋体" w:cs="宋体"/>
                <w:color w:val="auto"/>
                <w:sz w:val="20"/>
                <w:szCs w:val="20"/>
                <w:highlight w:val="none"/>
              </w:rPr>
            </w:pPr>
          </w:p>
        </w:tc>
        <w:tc>
          <w:tcPr>
            <w:tcW w:w="1583" w:type="dxa"/>
            <w:vAlign w:val="center"/>
          </w:tcPr>
          <w:p>
            <w:pPr>
              <w:jc w:val="center"/>
              <w:rPr>
                <w:rFonts w:ascii="宋体" w:hAnsi="宋体" w:cs="宋体"/>
                <w:color w:val="auto"/>
                <w:sz w:val="20"/>
                <w:szCs w:val="20"/>
                <w:highlight w:val="none"/>
              </w:rPr>
            </w:pPr>
          </w:p>
        </w:tc>
        <w:tc>
          <w:tcPr>
            <w:tcW w:w="1728" w:type="dxa"/>
            <w:vAlign w:val="center"/>
          </w:tcPr>
          <w:p>
            <w:pPr>
              <w:jc w:val="center"/>
              <w:rPr>
                <w:rFonts w:ascii="宋体" w:hAnsi="宋体" w:cs="宋体"/>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8" w:type="dxa"/>
            <w:vAlign w:val="center"/>
          </w:tcPr>
          <w:p>
            <w:pPr>
              <w:jc w:val="center"/>
              <w:rPr>
                <w:rFonts w:ascii="宋体" w:hAnsi="宋体" w:cs="宋体"/>
                <w:color w:val="auto"/>
                <w:sz w:val="20"/>
                <w:szCs w:val="20"/>
                <w:highlight w:val="none"/>
              </w:rPr>
            </w:pPr>
          </w:p>
        </w:tc>
        <w:tc>
          <w:tcPr>
            <w:tcW w:w="2588" w:type="dxa"/>
            <w:vAlign w:val="center"/>
          </w:tcPr>
          <w:p>
            <w:pPr>
              <w:jc w:val="center"/>
              <w:rPr>
                <w:rFonts w:ascii="宋体" w:hAnsi="宋体" w:cs="宋体"/>
                <w:color w:val="auto"/>
                <w:sz w:val="20"/>
                <w:szCs w:val="20"/>
                <w:highlight w:val="none"/>
              </w:rPr>
            </w:pPr>
          </w:p>
        </w:tc>
        <w:tc>
          <w:tcPr>
            <w:tcW w:w="1726" w:type="dxa"/>
            <w:vAlign w:val="center"/>
          </w:tcPr>
          <w:p>
            <w:pPr>
              <w:jc w:val="center"/>
              <w:rPr>
                <w:rFonts w:ascii="宋体" w:hAnsi="宋体" w:cs="宋体"/>
                <w:color w:val="auto"/>
                <w:sz w:val="20"/>
                <w:szCs w:val="20"/>
                <w:highlight w:val="none"/>
              </w:rPr>
            </w:pPr>
          </w:p>
        </w:tc>
        <w:tc>
          <w:tcPr>
            <w:tcW w:w="1291" w:type="dxa"/>
            <w:vAlign w:val="center"/>
          </w:tcPr>
          <w:p>
            <w:pPr>
              <w:jc w:val="center"/>
              <w:rPr>
                <w:rFonts w:ascii="宋体" w:hAnsi="宋体" w:cs="宋体"/>
                <w:color w:val="auto"/>
                <w:sz w:val="20"/>
                <w:szCs w:val="20"/>
                <w:highlight w:val="none"/>
              </w:rPr>
            </w:pPr>
          </w:p>
        </w:tc>
        <w:tc>
          <w:tcPr>
            <w:tcW w:w="1583" w:type="dxa"/>
            <w:vAlign w:val="center"/>
          </w:tcPr>
          <w:p>
            <w:pPr>
              <w:jc w:val="center"/>
              <w:rPr>
                <w:rFonts w:ascii="宋体" w:hAnsi="宋体" w:cs="宋体"/>
                <w:color w:val="auto"/>
                <w:sz w:val="20"/>
                <w:szCs w:val="20"/>
                <w:highlight w:val="none"/>
              </w:rPr>
            </w:pPr>
          </w:p>
        </w:tc>
        <w:tc>
          <w:tcPr>
            <w:tcW w:w="1728" w:type="dxa"/>
            <w:vAlign w:val="center"/>
          </w:tcPr>
          <w:p>
            <w:pPr>
              <w:jc w:val="center"/>
              <w:rPr>
                <w:rFonts w:ascii="宋体" w:hAnsi="宋体" w:cs="宋体"/>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8" w:type="dxa"/>
            <w:vAlign w:val="center"/>
          </w:tcPr>
          <w:p>
            <w:pPr>
              <w:jc w:val="center"/>
              <w:rPr>
                <w:rFonts w:ascii="宋体" w:hAnsi="宋体" w:cs="宋体"/>
                <w:color w:val="auto"/>
                <w:sz w:val="20"/>
                <w:szCs w:val="20"/>
                <w:highlight w:val="none"/>
              </w:rPr>
            </w:pPr>
          </w:p>
        </w:tc>
        <w:tc>
          <w:tcPr>
            <w:tcW w:w="2588" w:type="dxa"/>
            <w:vAlign w:val="center"/>
          </w:tcPr>
          <w:p>
            <w:pPr>
              <w:jc w:val="center"/>
              <w:rPr>
                <w:rFonts w:ascii="宋体" w:hAnsi="宋体" w:cs="宋体"/>
                <w:color w:val="auto"/>
                <w:sz w:val="20"/>
                <w:szCs w:val="20"/>
                <w:highlight w:val="none"/>
              </w:rPr>
            </w:pPr>
          </w:p>
        </w:tc>
        <w:tc>
          <w:tcPr>
            <w:tcW w:w="1726" w:type="dxa"/>
            <w:vAlign w:val="center"/>
          </w:tcPr>
          <w:p>
            <w:pPr>
              <w:jc w:val="center"/>
              <w:rPr>
                <w:rFonts w:ascii="宋体" w:hAnsi="宋体" w:cs="宋体"/>
                <w:color w:val="auto"/>
                <w:sz w:val="20"/>
                <w:szCs w:val="20"/>
                <w:highlight w:val="none"/>
              </w:rPr>
            </w:pPr>
          </w:p>
        </w:tc>
        <w:tc>
          <w:tcPr>
            <w:tcW w:w="1291" w:type="dxa"/>
            <w:vAlign w:val="center"/>
          </w:tcPr>
          <w:p>
            <w:pPr>
              <w:jc w:val="center"/>
              <w:rPr>
                <w:rFonts w:ascii="宋体" w:hAnsi="宋体" w:cs="宋体"/>
                <w:color w:val="auto"/>
                <w:sz w:val="20"/>
                <w:szCs w:val="20"/>
                <w:highlight w:val="none"/>
              </w:rPr>
            </w:pPr>
          </w:p>
        </w:tc>
        <w:tc>
          <w:tcPr>
            <w:tcW w:w="1583" w:type="dxa"/>
            <w:vAlign w:val="center"/>
          </w:tcPr>
          <w:p>
            <w:pPr>
              <w:jc w:val="center"/>
              <w:rPr>
                <w:rFonts w:ascii="宋体" w:hAnsi="宋体" w:cs="宋体"/>
                <w:color w:val="auto"/>
                <w:sz w:val="20"/>
                <w:szCs w:val="20"/>
                <w:highlight w:val="none"/>
              </w:rPr>
            </w:pPr>
          </w:p>
        </w:tc>
        <w:tc>
          <w:tcPr>
            <w:tcW w:w="1728" w:type="dxa"/>
            <w:vAlign w:val="center"/>
          </w:tcPr>
          <w:p>
            <w:pPr>
              <w:jc w:val="center"/>
              <w:rPr>
                <w:rFonts w:ascii="宋体" w:hAnsi="宋体" w:cs="宋体"/>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8" w:type="dxa"/>
            <w:vAlign w:val="center"/>
          </w:tcPr>
          <w:p>
            <w:pPr>
              <w:jc w:val="center"/>
              <w:rPr>
                <w:rFonts w:ascii="宋体" w:hAnsi="宋体" w:cs="宋体"/>
                <w:color w:val="auto"/>
                <w:sz w:val="20"/>
                <w:szCs w:val="20"/>
                <w:highlight w:val="none"/>
              </w:rPr>
            </w:pPr>
          </w:p>
        </w:tc>
        <w:tc>
          <w:tcPr>
            <w:tcW w:w="2588" w:type="dxa"/>
            <w:vAlign w:val="center"/>
          </w:tcPr>
          <w:p>
            <w:pPr>
              <w:jc w:val="center"/>
              <w:rPr>
                <w:rFonts w:ascii="宋体" w:hAnsi="宋体" w:cs="宋体"/>
                <w:color w:val="auto"/>
                <w:sz w:val="20"/>
                <w:szCs w:val="20"/>
                <w:highlight w:val="none"/>
              </w:rPr>
            </w:pPr>
          </w:p>
        </w:tc>
        <w:tc>
          <w:tcPr>
            <w:tcW w:w="1726" w:type="dxa"/>
            <w:vAlign w:val="center"/>
          </w:tcPr>
          <w:p>
            <w:pPr>
              <w:jc w:val="center"/>
              <w:rPr>
                <w:rFonts w:ascii="宋体" w:hAnsi="宋体" w:cs="宋体"/>
                <w:color w:val="auto"/>
                <w:sz w:val="20"/>
                <w:szCs w:val="20"/>
                <w:highlight w:val="none"/>
              </w:rPr>
            </w:pPr>
          </w:p>
        </w:tc>
        <w:tc>
          <w:tcPr>
            <w:tcW w:w="1291" w:type="dxa"/>
            <w:vAlign w:val="center"/>
          </w:tcPr>
          <w:p>
            <w:pPr>
              <w:jc w:val="center"/>
              <w:rPr>
                <w:rFonts w:ascii="宋体" w:hAnsi="宋体" w:cs="宋体"/>
                <w:color w:val="auto"/>
                <w:sz w:val="20"/>
                <w:szCs w:val="20"/>
                <w:highlight w:val="none"/>
              </w:rPr>
            </w:pPr>
          </w:p>
        </w:tc>
        <w:tc>
          <w:tcPr>
            <w:tcW w:w="1583" w:type="dxa"/>
            <w:vAlign w:val="center"/>
          </w:tcPr>
          <w:p>
            <w:pPr>
              <w:jc w:val="center"/>
              <w:rPr>
                <w:rFonts w:ascii="宋体" w:hAnsi="宋体" w:cs="宋体"/>
                <w:color w:val="auto"/>
                <w:sz w:val="20"/>
                <w:szCs w:val="20"/>
                <w:highlight w:val="none"/>
              </w:rPr>
            </w:pPr>
          </w:p>
        </w:tc>
        <w:tc>
          <w:tcPr>
            <w:tcW w:w="1728" w:type="dxa"/>
            <w:vAlign w:val="center"/>
          </w:tcPr>
          <w:p>
            <w:pPr>
              <w:jc w:val="center"/>
              <w:rPr>
                <w:rFonts w:ascii="宋体" w:hAnsi="宋体" w:cs="宋体"/>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8" w:type="dxa"/>
            <w:vAlign w:val="center"/>
          </w:tcPr>
          <w:p>
            <w:pPr>
              <w:jc w:val="center"/>
              <w:rPr>
                <w:rFonts w:ascii="宋体" w:hAnsi="宋体" w:cs="宋体"/>
                <w:color w:val="auto"/>
                <w:sz w:val="20"/>
                <w:szCs w:val="20"/>
                <w:highlight w:val="none"/>
              </w:rPr>
            </w:pPr>
          </w:p>
        </w:tc>
        <w:tc>
          <w:tcPr>
            <w:tcW w:w="2588" w:type="dxa"/>
            <w:vAlign w:val="center"/>
          </w:tcPr>
          <w:p>
            <w:pPr>
              <w:jc w:val="center"/>
              <w:rPr>
                <w:rFonts w:ascii="宋体" w:hAnsi="宋体" w:cs="宋体"/>
                <w:color w:val="auto"/>
                <w:sz w:val="20"/>
                <w:szCs w:val="20"/>
                <w:highlight w:val="none"/>
              </w:rPr>
            </w:pPr>
          </w:p>
        </w:tc>
        <w:tc>
          <w:tcPr>
            <w:tcW w:w="1726" w:type="dxa"/>
            <w:vAlign w:val="center"/>
          </w:tcPr>
          <w:p>
            <w:pPr>
              <w:jc w:val="center"/>
              <w:rPr>
                <w:rFonts w:ascii="宋体" w:hAnsi="宋体" w:cs="宋体"/>
                <w:color w:val="auto"/>
                <w:sz w:val="20"/>
                <w:szCs w:val="20"/>
                <w:highlight w:val="none"/>
              </w:rPr>
            </w:pPr>
          </w:p>
        </w:tc>
        <w:tc>
          <w:tcPr>
            <w:tcW w:w="1291" w:type="dxa"/>
            <w:vAlign w:val="center"/>
          </w:tcPr>
          <w:p>
            <w:pPr>
              <w:jc w:val="center"/>
              <w:rPr>
                <w:rFonts w:ascii="宋体" w:hAnsi="宋体" w:cs="宋体"/>
                <w:color w:val="auto"/>
                <w:sz w:val="20"/>
                <w:szCs w:val="20"/>
                <w:highlight w:val="none"/>
              </w:rPr>
            </w:pPr>
          </w:p>
        </w:tc>
        <w:tc>
          <w:tcPr>
            <w:tcW w:w="1583" w:type="dxa"/>
            <w:vAlign w:val="center"/>
          </w:tcPr>
          <w:p>
            <w:pPr>
              <w:jc w:val="center"/>
              <w:rPr>
                <w:rFonts w:ascii="宋体" w:hAnsi="宋体" w:cs="宋体"/>
                <w:color w:val="auto"/>
                <w:sz w:val="20"/>
                <w:szCs w:val="20"/>
                <w:highlight w:val="none"/>
              </w:rPr>
            </w:pPr>
          </w:p>
        </w:tc>
        <w:tc>
          <w:tcPr>
            <w:tcW w:w="1728" w:type="dxa"/>
            <w:vAlign w:val="center"/>
          </w:tcPr>
          <w:p>
            <w:pPr>
              <w:jc w:val="center"/>
              <w:rPr>
                <w:rFonts w:ascii="宋体" w:hAnsi="宋体" w:cs="宋体"/>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8" w:type="dxa"/>
            <w:vAlign w:val="center"/>
          </w:tcPr>
          <w:p>
            <w:pPr>
              <w:jc w:val="center"/>
              <w:rPr>
                <w:rFonts w:ascii="宋体" w:hAnsi="宋体" w:cs="宋体"/>
                <w:color w:val="auto"/>
                <w:sz w:val="20"/>
                <w:szCs w:val="20"/>
                <w:highlight w:val="none"/>
              </w:rPr>
            </w:pPr>
          </w:p>
        </w:tc>
        <w:tc>
          <w:tcPr>
            <w:tcW w:w="2588" w:type="dxa"/>
            <w:vAlign w:val="center"/>
          </w:tcPr>
          <w:p>
            <w:pPr>
              <w:jc w:val="center"/>
              <w:rPr>
                <w:rFonts w:ascii="宋体" w:hAnsi="宋体" w:cs="宋体"/>
                <w:color w:val="auto"/>
                <w:sz w:val="20"/>
                <w:szCs w:val="20"/>
                <w:highlight w:val="none"/>
              </w:rPr>
            </w:pPr>
          </w:p>
        </w:tc>
        <w:tc>
          <w:tcPr>
            <w:tcW w:w="1726" w:type="dxa"/>
            <w:vAlign w:val="center"/>
          </w:tcPr>
          <w:p>
            <w:pPr>
              <w:jc w:val="center"/>
              <w:rPr>
                <w:rFonts w:ascii="宋体" w:hAnsi="宋体" w:cs="宋体"/>
                <w:color w:val="auto"/>
                <w:sz w:val="20"/>
                <w:szCs w:val="20"/>
                <w:highlight w:val="none"/>
              </w:rPr>
            </w:pPr>
          </w:p>
        </w:tc>
        <w:tc>
          <w:tcPr>
            <w:tcW w:w="1291" w:type="dxa"/>
            <w:vAlign w:val="center"/>
          </w:tcPr>
          <w:p>
            <w:pPr>
              <w:jc w:val="center"/>
              <w:rPr>
                <w:rFonts w:ascii="宋体" w:hAnsi="宋体" w:cs="宋体"/>
                <w:color w:val="auto"/>
                <w:sz w:val="20"/>
                <w:szCs w:val="20"/>
                <w:highlight w:val="none"/>
              </w:rPr>
            </w:pPr>
          </w:p>
        </w:tc>
        <w:tc>
          <w:tcPr>
            <w:tcW w:w="1583" w:type="dxa"/>
            <w:vAlign w:val="center"/>
          </w:tcPr>
          <w:p>
            <w:pPr>
              <w:jc w:val="center"/>
              <w:rPr>
                <w:rFonts w:ascii="宋体" w:hAnsi="宋体" w:cs="宋体"/>
                <w:color w:val="auto"/>
                <w:sz w:val="20"/>
                <w:szCs w:val="20"/>
                <w:highlight w:val="none"/>
              </w:rPr>
            </w:pPr>
          </w:p>
        </w:tc>
        <w:tc>
          <w:tcPr>
            <w:tcW w:w="1728" w:type="dxa"/>
            <w:vAlign w:val="center"/>
          </w:tcPr>
          <w:p>
            <w:pPr>
              <w:jc w:val="center"/>
              <w:rPr>
                <w:rFonts w:ascii="宋体" w:hAnsi="宋体" w:cs="宋体"/>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8" w:type="dxa"/>
            <w:vAlign w:val="center"/>
          </w:tcPr>
          <w:p>
            <w:pPr>
              <w:jc w:val="center"/>
              <w:rPr>
                <w:rFonts w:ascii="宋体" w:hAnsi="宋体" w:cs="宋体"/>
                <w:color w:val="auto"/>
                <w:sz w:val="20"/>
                <w:szCs w:val="20"/>
                <w:highlight w:val="none"/>
              </w:rPr>
            </w:pPr>
          </w:p>
        </w:tc>
        <w:tc>
          <w:tcPr>
            <w:tcW w:w="2588" w:type="dxa"/>
            <w:vAlign w:val="center"/>
          </w:tcPr>
          <w:p>
            <w:pPr>
              <w:jc w:val="center"/>
              <w:rPr>
                <w:rFonts w:ascii="宋体" w:hAnsi="宋体" w:cs="宋体"/>
                <w:color w:val="auto"/>
                <w:sz w:val="20"/>
                <w:szCs w:val="20"/>
                <w:highlight w:val="none"/>
              </w:rPr>
            </w:pPr>
          </w:p>
        </w:tc>
        <w:tc>
          <w:tcPr>
            <w:tcW w:w="1726" w:type="dxa"/>
            <w:vAlign w:val="center"/>
          </w:tcPr>
          <w:p>
            <w:pPr>
              <w:jc w:val="center"/>
              <w:rPr>
                <w:rFonts w:ascii="宋体" w:hAnsi="宋体" w:cs="宋体"/>
                <w:color w:val="auto"/>
                <w:sz w:val="20"/>
                <w:szCs w:val="20"/>
                <w:highlight w:val="none"/>
              </w:rPr>
            </w:pPr>
          </w:p>
        </w:tc>
        <w:tc>
          <w:tcPr>
            <w:tcW w:w="1291" w:type="dxa"/>
            <w:vAlign w:val="center"/>
          </w:tcPr>
          <w:p>
            <w:pPr>
              <w:jc w:val="center"/>
              <w:rPr>
                <w:rFonts w:ascii="宋体" w:hAnsi="宋体" w:cs="宋体"/>
                <w:color w:val="auto"/>
                <w:sz w:val="20"/>
                <w:szCs w:val="20"/>
                <w:highlight w:val="none"/>
              </w:rPr>
            </w:pPr>
          </w:p>
        </w:tc>
        <w:tc>
          <w:tcPr>
            <w:tcW w:w="1583" w:type="dxa"/>
            <w:vAlign w:val="center"/>
          </w:tcPr>
          <w:p>
            <w:pPr>
              <w:jc w:val="center"/>
              <w:rPr>
                <w:rFonts w:ascii="宋体" w:hAnsi="宋体" w:cs="宋体"/>
                <w:color w:val="auto"/>
                <w:sz w:val="20"/>
                <w:szCs w:val="20"/>
                <w:highlight w:val="none"/>
              </w:rPr>
            </w:pPr>
          </w:p>
        </w:tc>
        <w:tc>
          <w:tcPr>
            <w:tcW w:w="1728" w:type="dxa"/>
            <w:vAlign w:val="center"/>
          </w:tcPr>
          <w:p>
            <w:pPr>
              <w:jc w:val="center"/>
              <w:rPr>
                <w:rFonts w:ascii="宋体" w:hAnsi="宋体" w:cs="宋体"/>
                <w:color w:val="auto"/>
                <w:sz w:val="20"/>
                <w:szCs w:val="20"/>
                <w:highlight w:val="none"/>
              </w:rPr>
            </w:pPr>
          </w:p>
        </w:tc>
      </w:tr>
    </w:tbl>
    <w:p>
      <w:pPr>
        <w:spacing w:line="380" w:lineRule="exact"/>
        <w:rPr>
          <w:rFonts w:ascii="宋体" w:hAnsi="宋体" w:cs="宋体"/>
          <w:color w:val="auto"/>
          <w:sz w:val="20"/>
          <w:szCs w:val="20"/>
          <w:highlight w:val="none"/>
        </w:rPr>
      </w:pPr>
    </w:p>
    <w:p>
      <w:pPr>
        <w:spacing w:line="380" w:lineRule="exact"/>
        <w:ind w:left="500" w:hanging="500" w:hangingChars="250"/>
        <w:rPr>
          <w:rFonts w:ascii="宋体" w:hAnsi="宋体" w:cs="宋体"/>
          <w:color w:val="auto"/>
          <w:sz w:val="20"/>
          <w:szCs w:val="20"/>
          <w:highlight w:val="none"/>
        </w:rPr>
      </w:pPr>
      <w:r>
        <w:rPr>
          <w:rFonts w:hint="eastAsia" w:ascii="宋体" w:hAnsi="宋体" w:cs="宋体"/>
          <w:color w:val="auto"/>
          <w:sz w:val="20"/>
          <w:szCs w:val="20"/>
          <w:highlight w:val="none"/>
        </w:rPr>
        <w:t>注：1、每项业绩须提供证明文件，业绩证明文件以合同或中标通知书为准（提供复印件，并加盖公章）</w:t>
      </w:r>
    </w:p>
    <w:p>
      <w:pPr>
        <w:spacing w:line="380" w:lineRule="exact"/>
        <w:ind w:firstLine="450"/>
        <w:rPr>
          <w:rFonts w:ascii="宋体" w:hAnsi="宋体" w:cs="宋体"/>
          <w:color w:val="auto"/>
          <w:sz w:val="20"/>
          <w:szCs w:val="20"/>
          <w:highlight w:val="none"/>
        </w:rPr>
      </w:pPr>
      <w:r>
        <w:rPr>
          <w:rFonts w:hint="eastAsia" w:ascii="宋体" w:hAnsi="宋体" w:cs="宋体"/>
          <w:color w:val="auto"/>
          <w:sz w:val="20"/>
          <w:szCs w:val="20"/>
          <w:highlight w:val="none"/>
        </w:rPr>
        <w:t>2、本表可在不改变格式的情况下根据具体需要自行增减。</w:t>
      </w:r>
    </w:p>
    <w:p>
      <w:pPr>
        <w:spacing w:line="380" w:lineRule="exact"/>
        <w:ind w:firstLine="450"/>
        <w:rPr>
          <w:rFonts w:ascii="宋体" w:hAnsi="宋体" w:cs="宋体"/>
          <w:color w:val="auto"/>
          <w:sz w:val="20"/>
          <w:szCs w:val="20"/>
          <w:highlight w:val="none"/>
        </w:rPr>
      </w:pPr>
      <w:r>
        <w:rPr>
          <w:rFonts w:hint="eastAsia" w:ascii="宋体" w:hAnsi="宋体" w:cs="宋体"/>
          <w:b/>
          <w:color w:val="auto"/>
          <w:sz w:val="20"/>
          <w:szCs w:val="20"/>
          <w:highlight w:val="none"/>
          <w:u w:val="thick"/>
        </w:rPr>
        <w:t>3. 投标人不按此要求填写此项内容或未提供相应的证明材料将视为无业绩，不计入资信部分评分范围</w:t>
      </w:r>
      <w:r>
        <w:rPr>
          <w:rFonts w:hint="eastAsia" w:ascii="宋体" w:hAnsi="宋体" w:cs="宋体"/>
          <w:b/>
          <w:color w:val="auto"/>
          <w:sz w:val="20"/>
          <w:szCs w:val="20"/>
          <w:highlight w:val="none"/>
        </w:rPr>
        <w:t>。</w:t>
      </w:r>
    </w:p>
    <w:p>
      <w:pPr>
        <w:spacing w:line="380" w:lineRule="exact"/>
        <w:rPr>
          <w:rFonts w:ascii="宋体" w:hAnsi="宋体" w:cs="宋体"/>
          <w:b/>
          <w:bCs/>
          <w:color w:val="auto"/>
          <w:sz w:val="20"/>
          <w:szCs w:val="20"/>
          <w:highlight w:val="none"/>
        </w:rPr>
      </w:pPr>
    </w:p>
    <w:p>
      <w:pPr>
        <w:spacing w:line="380" w:lineRule="exact"/>
        <w:ind w:firstLine="4000" w:firstLineChars="2000"/>
        <w:rPr>
          <w:rFonts w:ascii="宋体" w:hAnsi="宋体" w:cs="宋体"/>
          <w:color w:val="auto"/>
          <w:sz w:val="20"/>
          <w:szCs w:val="20"/>
          <w:highlight w:val="none"/>
        </w:rPr>
      </w:pPr>
      <w:r>
        <w:rPr>
          <w:rFonts w:hint="eastAsia" w:ascii="宋体" w:hAnsi="宋体" w:cs="宋体"/>
          <w:color w:val="auto"/>
          <w:sz w:val="20"/>
          <w:szCs w:val="20"/>
          <w:highlight w:val="none"/>
        </w:rPr>
        <w:t>投标人全称（盖章）：</w:t>
      </w:r>
    </w:p>
    <w:p>
      <w:pPr>
        <w:spacing w:line="380" w:lineRule="exact"/>
        <w:ind w:firstLine="4000" w:firstLineChars="2000"/>
        <w:rPr>
          <w:rFonts w:ascii="宋体" w:hAnsi="宋体" w:cs="宋体"/>
          <w:color w:val="auto"/>
          <w:sz w:val="20"/>
          <w:szCs w:val="20"/>
          <w:highlight w:val="none"/>
        </w:rPr>
      </w:pPr>
      <w:r>
        <w:rPr>
          <w:rFonts w:hint="eastAsia" w:ascii="宋体" w:hAnsi="宋体" w:cs="宋体"/>
          <w:color w:val="auto"/>
          <w:sz w:val="20"/>
          <w:szCs w:val="20"/>
          <w:highlight w:val="none"/>
        </w:rPr>
        <w:t>法定代表人或授权代表（签字）：</w:t>
      </w:r>
    </w:p>
    <w:p>
      <w:pPr>
        <w:spacing w:line="380" w:lineRule="exact"/>
        <w:ind w:firstLine="4000" w:firstLineChars="2000"/>
        <w:rPr>
          <w:rFonts w:ascii="宋体" w:hAnsi="宋体" w:cs="宋体"/>
          <w:color w:val="auto"/>
          <w:sz w:val="20"/>
          <w:szCs w:val="20"/>
          <w:highlight w:val="none"/>
        </w:rPr>
      </w:pPr>
      <w:r>
        <w:rPr>
          <w:rFonts w:hint="eastAsia" w:ascii="宋体" w:hAnsi="宋体" w:cs="宋体"/>
          <w:color w:val="auto"/>
          <w:sz w:val="20"/>
          <w:szCs w:val="20"/>
          <w:highlight w:val="none"/>
        </w:rPr>
        <w:t>日期：  年   月  日</w:t>
      </w:r>
    </w:p>
    <w:p>
      <w:pPr>
        <w:rPr>
          <w:color w:val="auto"/>
          <w:highlight w:val="none"/>
        </w:rPr>
      </w:pPr>
      <w:r>
        <w:rPr>
          <w:rFonts w:hint="eastAsia"/>
          <w:color w:val="auto"/>
          <w:highlight w:val="none"/>
        </w:rPr>
        <w:br w:type="page"/>
      </w:r>
    </w:p>
    <w:p>
      <w:pPr>
        <w:rPr>
          <w:color w:val="auto"/>
          <w:highlight w:val="none"/>
        </w:rPr>
      </w:pPr>
      <w:r>
        <w:rPr>
          <w:rFonts w:hint="eastAsia"/>
          <w:color w:val="auto"/>
          <w:highlight w:val="none"/>
        </w:rPr>
        <w:t>附件七</w:t>
      </w:r>
    </w:p>
    <w:p>
      <w:pPr>
        <w:jc w:val="center"/>
        <w:rPr>
          <w:rFonts w:ascii="宋体" w:hAnsi="宋体" w:cs="宋体"/>
          <w:b/>
          <w:color w:val="auto"/>
          <w:sz w:val="28"/>
          <w:highlight w:val="none"/>
        </w:rPr>
      </w:pPr>
      <w:r>
        <w:rPr>
          <w:rFonts w:hint="eastAsia" w:ascii="宋体" w:hAnsi="宋体" w:cs="宋体"/>
          <w:b/>
          <w:color w:val="auto"/>
          <w:sz w:val="28"/>
          <w:highlight w:val="none"/>
        </w:rPr>
        <w:t>项目管理机构配备及主要人员名单一览表</w:t>
      </w:r>
    </w:p>
    <w:p>
      <w:pPr>
        <w:rPr>
          <w:rFonts w:ascii="宋体" w:hAnsi="宋体" w:cs="宋体"/>
          <w:b/>
          <w:color w:val="auto"/>
          <w:sz w:val="24"/>
          <w:highlight w:val="none"/>
        </w:rPr>
      </w:pPr>
    </w:p>
    <w:p>
      <w:pPr>
        <w:rPr>
          <w:rFonts w:ascii="宋体" w:hAnsi="宋体" w:cs="宋体"/>
          <w:color w:val="auto"/>
          <w:sz w:val="22"/>
          <w:highlight w:val="none"/>
        </w:rPr>
      </w:pPr>
      <w:r>
        <w:rPr>
          <w:rFonts w:hint="eastAsia" w:ascii="宋体" w:hAnsi="宋体" w:cs="宋体"/>
          <w:b/>
          <w:color w:val="auto"/>
          <w:sz w:val="24"/>
          <w:highlight w:val="none"/>
        </w:rPr>
        <w:t>项目名称：</w:t>
      </w:r>
      <w:r>
        <w:rPr>
          <w:rFonts w:hint="eastAsia" w:ascii="宋体" w:hAnsi="宋体" w:cs="宋体"/>
          <w:b/>
          <w:color w:val="auto"/>
          <w:sz w:val="22"/>
          <w:highlight w:val="none"/>
        </w:rPr>
        <w:t xml:space="preserve">                                         项目编号：</w:t>
      </w:r>
      <w:r>
        <w:rPr>
          <w:rFonts w:hint="eastAsia" w:ascii="宋体" w:hAnsi="宋体" w:cs="宋体"/>
          <w:color w:val="auto"/>
          <w:sz w:val="22"/>
          <w:highlight w:val="none"/>
        </w:rPr>
        <w:t xml:space="preserve"> </w:t>
      </w:r>
    </w:p>
    <w:tbl>
      <w:tblPr>
        <w:tblStyle w:val="6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6"/>
        <w:gridCol w:w="958"/>
        <w:gridCol w:w="958"/>
        <w:gridCol w:w="767"/>
        <w:gridCol w:w="767"/>
        <w:gridCol w:w="1340"/>
        <w:gridCol w:w="1326"/>
        <w:gridCol w:w="1825"/>
        <w:gridCol w:w="11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5" w:hRule="atLeast"/>
          <w:jc w:val="center"/>
        </w:trPr>
        <w:tc>
          <w:tcPr>
            <w:tcW w:w="766" w:type="dxa"/>
            <w:vAlign w:val="center"/>
          </w:tcPr>
          <w:p>
            <w:pPr>
              <w:spacing w:line="360" w:lineRule="auto"/>
              <w:jc w:val="center"/>
              <w:rPr>
                <w:rFonts w:ascii="宋体" w:hAnsi="宋体" w:cs="宋体"/>
                <w:color w:val="auto"/>
                <w:sz w:val="22"/>
                <w:highlight w:val="none"/>
              </w:rPr>
            </w:pPr>
            <w:r>
              <w:rPr>
                <w:rFonts w:hint="eastAsia" w:ascii="宋体" w:hAnsi="宋体" w:cs="宋体"/>
                <w:color w:val="auto"/>
                <w:sz w:val="22"/>
                <w:highlight w:val="none"/>
              </w:rPr>
              <w:t>序号</w:t>
            </w:r>
          </w:p>
        </w:tc>
        <w:tc>
          <w:tcPr>
            <w:tcW w:w="958" w:type="dxa"/>
            <w:vAlign w:val="center"/>
          </w:tcPr>
          <w:p>
            <w:pPr>
              <w:spacing w:line="360" w:lineRule="auto"/>
              <w:jc w:val="center"/>
              <w:rPr>
                <w:rFonts w:ascii="宋体" w:hAnsi="宋体" w:cs="宋体"/>
                <w:color w:val="auto"/>
                <w:sz w:val="22"/>
                <w:highlight w:val="none"/>
              </w:rPr>
            </w:pPr>
            <w:r>
              <w:rPr>
                <w:rFonts w:hint="eastAsia" w:ascii="宋体" w:hAnsi="宋体" w:cs="宋体"/>
                <w:color w:val="auto"/>
                <w:sz w:val="22"/>
                <w:highlight w:val="none"/>
              </w:rPr>
              <w:t>姓名</w:t>
            </w:r>
          </w:p>
        </w:tc>
        <w:tc>
          <w:tcPr>
            <w:tcW w:w="958" w:type="dxa"/>
            <w:vAlign w:val="center"/>
          </w:tcPr>
          <w:p>
            <w:pPr>
              <w:spacing w:line="360" w:lineRule="auto"/>
              <w:jc w:val="center"/>
              <w:rPr>
                <w:rFonts w:ascii="宋体" w:hAnsi="宋体" w:cs="宋体"/>
                <w:color w:val="auto"/>
                <w:sz w:val="22"/>
                <w:highlight w:val="none"/>
              </w:rPr>
            </w:pPr>
            <w:r>
              <w:rPr>
                <w:rFonts w:hint="eastAsia" w:ascii="宋体" w:hAnsi="宋体" w:cs="宋体"/>
                <w:color w:val="auto"/>
                <w:sz w:val="22"/>
                <w:highlight w:val="none"/>
              </w:rPr>
              <w:t>性别</w:t>
            </w:r>
          </w:p>
        </w:tc>
        <w:tc>
          <w:tcPr>
            <w:tcW w:w="767" w:type="dxa"/>
            <w:vAlign w:val="center"/>
          </w:tcPr>
          <w:p>
            <w:pPr>
              <w:spacing w:line="360" w:lineRule="auto"/>
              <w:jc w:val="center"/>
              <w:rPr>
                <w:rFonts w:ascii="宋体" w:hAnsi="宋体" w:cs="宋体"/>
                <w:color w:val="auto"/>
                <w:sz w:val="22"/>
                <w:highlight w:val="none"/>
              </w:rPr>
            </w:pPr>
            <w:r>
              <w:rPr>
                <w:rFonts w:hint="eastAsia" w:ascii="宋体" w:hAnsi="宋体" w:cs="宋体"/>
                <w:color w:val="auto"/>
                <w:sz w:val="22"/>
                <w:highlight w:val="none"/>
              </w:rPr>
              <w:t>年龄</w:t>
            </w:r>
          </w:p>
        </w:tc>
        <w:tc>
          <w:tcPr>
            <w:tcW w:w="767" w:type="dxa"/>
            <w:vAlign w:val="center"/>
          </w:tcPr>
          <w:p>
            <w:pPr>
              <w:spacing w:line="360" w:lineRule="auto"/>
              <w:jc w:val="center"/>
              <w:rPr>
                <w:rFonts w:ascii="宋体" w:hAnsi="宋体" w:cs="宋体"/>
                <w:color w:val="auto"/>
                <w:sz w:val="22"/>
                <w:highlight w:val="none"/>
              </w:rPr>
            </w:pPr>
            <w:r>
              <w:rPr>
                <w:rFonts w:hint="eastAsia" w:ascii="宋体" w:hAnsi="宋体" w:cs="宋体"/>
                <w:color w:val="auto"/>
                <w:sz w:val="22"/>
                <w:highlight w:val="none"/>
              </w:rPr>
              <w:t>学历</w:t>
            </w:r>
          </w:p>
        </w:tc>
        <w:tc>
          <w:tcPr>
            <w:tcW w:w="1340" w:type="dxa"/>
            <w:vAlign w:val="center"/>
          </w:tcPr>
          <w:p>
            <w:pPr>
              <w:spacing w:line="280" w:lineRule="exact"/>
              <w:jc w:val="center"/>
              <w:rPr>
                <w:rFonts w:ascii="宋体" w:hAnsi="宋体" w:cs="宋体"/>
                <w:color w:val="auto"/>
                <w:sz w:val="22"/>
                <w:highlight w:val="none"/>
              </w:rPr>
            </w:pPr>
            <w:r>
              <w:rPr>
                <w:rFonts w:hint="eastAsia" w:ascii="宋体" w:hAnsi="宋体" w:cs="宋体"/>
                <w:color w:val="auto"/>
                <w:sz w:val="22"/>
                <w:highlight w:val="none"/>
              </w:rPr>
              <w:t>职称/职务</w:t>
            </w:r>
          </w:p>
        </w:tc>
        <w:tc>
          <w:tcPr>
            <w:tcW w:w="1326" w:type="dxa"/>
            <w:vAlign w:val="center"/>
          </w:tcPr>
          <w:p>
            <w:pPr>
              <w:spacing w:line="280" w:lineRule="exact"/>
              <w:jc w:val="center"/>
              <w:rPr>
                <w:rFonts w:ascii="宋体" w:hAnsi="宋体" w:cs="宋体"/>
                <w:color w:val="auto"/>
                <w:sz w:val="22"/>
                <w:highlight w:val="none"/>
              </w:rPr>
            </w:pPr>
            <w:r>
              <w:rPr>
                <w:rFonts w:hint="eastAsia" w:ascii="宋体" w:hAnsi="宋体" w:cs="宋体"/>
                <w:color w:val="auto"/>
                <w:highlight w:val="none"/>
              </w:rPr>
              <w:t>本工程中的岗位</w:t>
            </w:r>
          </w:p>
        </w:tc>
        <w:tc>
          <w:tcPr>
            <w:tcW w:w="1825" w:type="dxa"/>
            <w:vAlign w:val="center"/>
          </w:tcPr>
          <w:p>
            <w:pPr>
              <w:spacing w:line="360" w:lineRule="auto"/>
              <w:jc w:val="center"/>
              <w:rPr>
                <w:rFonts w:ascii="宋体" w:hAnsi="宋体" w:cs="宋体"/>
                <w:color w:val="auto"/>
                <w:sz w:val="22"/>
                <w:highlight w:val="none"/>
              </w:rPr>
            </w:pPr>
            <w:r>
              <w:rPr>
                <w:rFonts w:hint="eastAsia" w:ascii="宋体" w:hAnsi="宋体" w:cs="宋体"/>
                <w:color w:val="auto"/>
                <w:sz w:val="22"/>
                <w:highlight w:val="none"/>
              </w:rPr>
              <w:t>从事专业年限</w:t>
            </w:r>
          </w:p>
        </w:tc>
        <w:tc>
          <w:tcPr>
            <w:tcW w:w="1147" w:type="dxa"/>
            <w:vAlign w:val="center"/>
          </w:tcPr>
          <w:p>
            <w:pPr>
              <w:spacing w:line="360" w:lineRule="auto"/>
              <w:jc w:val="center"/>
              <w:rPr>
                <w:rFonts w:ascii="宋体" w:hAnsi="宋体" w:cs="宋体"/>
                <w:color w:val="auto"/>
                <w:sz w:val="22"/>
                <w:highlight w:val="none"/>
              </w:rPr>
            </w:pPr>
            <w:r>
              <w:rPr>
                <w:rFonts w:hint="eastAsia" w:ascii="宋体" w:hAnsi="宋体" w:cs="宋体"/>
                <w:color w:val="auto"/>
                <w:sz w:val="2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1340" w:type="dxa"/>
            <w:vAlign w:val="center"/>
          </w:tcPr>
          <w:p>
            <w:pPr>
              <w:spacing w:line="360" w:lineRule="auto"/>
              <w:jc w:val="center"/>
              <w:rPr>
                <w:rFonts w:ascii="宋体" w:hAnsi="宋体" w:cs="宋体"/>
                <w:color w:val="auto"/>
                <w:sz w:val="22"/>
                <w:highlight w:val="none"/>
              </w:rPr>
            </w:pPr>
          </w:p>
        </w:tc>
        <w:tc>
          <w:tcPr>
            <w:tcW w:w="1326" w:type="dxa"/>
            <w:vAlign w:val="center"/>
          </w:tcPr>
          <w:p>
            <w:pPr>
              <w:spacing w:line="360" w:lineRule="auto"/>
              <w:jc w:val="center"/>
              <w:rPr>
                <w:rFonts w:ascii="宋体" w:hAnsi="宋体" w:cs="宋体"/>
                <w:color w:val="auto"/>
                <w:sz w:val="22"/>
                <w:highlight w:val="none"/>
              </w:rPr>
            </w:pPr>
          </w:p>
        </w:tc>
        <w:tc>
          <w:tcPr>
            <w:tcW w:w="1825" w:type="dxa"/>
          </w:tcPr>
          <w:p>
            <w:pPr>
              <w:spacing w:line="360" w:lineRule="auto"/>
              <w:jc w:val="center"/>
              <w:rPr>
                <w:rFonts w:ascii="宋体" w:hAnsi="宋体" w:cs="宋体"/>
                <w:color w:val="auto"/>
                <w:sz w:val="22"/>
                <w:highlight w:val="none"/>
              </w:rPr>
            </w:pPr>
          </w:p>
        </w:tc>
        <w:tc>
          <w:tcPr>
            <w:tcW w:w="1147" w:type="dxa"/>
            <w:vAlign w:val="center"/>
          </w:tcPr>
          <w:p>
            <w:pPr>
              <w:spacing w:line="360" w:lineRule="auto"/>
              <w:jc w:val="center"/>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1340" w:type="dxa"/>
            <w:vAlign w:val="center"/>
          </w:tcPr>
          <w:p>
            <w:pPr>
              <w:spacing w:line="360" w:lineRule="auto"/>
              <w:jc w:val="center"/>
              <w:rPr>
                <w:rFonts w:ascii="宋体" w:hAnsi="宋体" w:cs="宋体"/>
                <w:color w:val="auto"/>
                <w:sz w:val="22"/>
                <w:highlight w:val="none"/>
              </w:rPr>
            </w:pPr>
          </w:p>
        </w:tc>
        <w:tc>
          <w:tcPr>
            <w:tcW w:w="1326" w:type="dxa"/>
            <w:vAlign w:val="center"/>
          </w:tcPr>
          <w:p>
            <w:pPr>
              <w:spacing w:line="360" w:lineRule="auto"/>
              <w:jc w:val="center"/>
              <w:rPr>
                <w:rFonts w:ascii="宋体" w:hAnsi="宋体" w:cs="宋体"/>
                <w:color w:val="auto"/>
                <w:sz w:val="22"/>
                <w:highlight w:val="none"/>
              </w:rPr>
            </w:pPr>
          </w:p>
        </w:tc>
        <w:tc>
          <w:tcPr>
            <w:tcW w:w="1825" w:type="dxa"/>
          </w:tcPr>
          <w:p>
            <w:pPr>
              <w:spacing w:line="360" w:lineRule="auto"/>
              <w:jc w:val="center"/>
              <w:rPr>
                <w:rFonts w:ascii="宋体" w:hAnsi="宋体" w:cs="宋体"/>
                <w:color w:val="auto"/>
                <w:sz w:val="22"/>
                <w:highlight w:val="none"/>
              </w:rPr>
            </w:pPr>
          </w:p>
        </w:tc>
        <w:tc>
          <w:tcPr>
            <w:tcW w:w="1147" w:type="dxa"/>
            <w:vAlign w:val="center"/>
          </w:tcPr>
          <w:p>
            <w:pPr>
              <w:spacing w:line="360" w:lineRule="auto"/>
              <w:jc w:val="center"/>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1340" w:type="dxa"/>
            <w:vAlign w:val="center"/>
          </w:tcPr>
          <w:p>
            <w:pPr>
              <w:spacing w:line="360" w:lineRule="auto"/>
              <w:jc w:val="center"/>
              <w:rPr>
                <w:rFonts w:ascii="宋体" w:hAnsi="宋体" w:cs="宋体"/>
                <w:color w:val="auto"/>
                <w:sz w:val="22"/>
                <w:highlight w:val="none"/>
              </w:rPr>
            </w:pPr>
          </w:p>
        </w:tc>
        <w:tc>
          <w:tcPr>
            <w:tcW w:w="1326" w:type="dxa"/>
            <w:vAlign w:val="center"/>
          </w:tcPr>
          <w:p>
            <w:pPr>
              <w:spacing w:line="360" w:lineRule="auto"/>
              <w:jc w:val="center"/>
              <w:rPr>
                <w:rFonts w:ascii="宋体" w:hAnsi="宋体" w:cs="宋体"/>
                <w:color w:val="auto"/>
                <w:sz w:val="22"/>
                <w:highlight w:val="none"/>
              </w:rPr>
            </w:pPr>
          </w:p>
        </w:tc>
        <w:tc>
          <w:tcPr>
            <w:tcW w:w="1825" w:type="dxa"/>
          </w:tcPr>
          <w:p>
            <w:pPr>
              <w:spacing w:line="360" w:lineRule="auto"/>
              <w:jc w:val="center"/>
              <w:rPr>
                <w:rFonts w:ascii="宋体" w:hAnsi="宋体" w:cs="宋体"/>
                <w:color w:val="auto"/>
                <w:sz w:val="22"/>
                <w:highlight w:val="none"/>
              </w:rPr>
            </w:pPr>
          </w:p>
        </w:tc>
        <w:tc>
          <w:tcPr>
            <w:tcW w:w="1147" w:type="dxa"/>
            <w:vAlign w:val="center"/>
          </w:tcPr>
          <w:p>
            <w:pPr>
              <w:spacing w:line="360" w:lineRule="auto"/>
              <w:jc w:val="center"/>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1340" w:type="dxa"/>
            <w:vAlign w:val="center"/>
          </w:tcPr>
          <w:p>
            <w:pPr>
              <w:spacing w:line="360" w:lineRule="auto"/>
              <w:jc w:val="center"/>
              <w:rPr>
                <w:rFonts w:ascii="宋体" w:hAnsi="宋体" w:cs="宋体"/>
                <w:color w:val="auto"/>
                <w:sz w:val="22"/>
                <w:highlight w:val="none"/>
              </w:rPr>
            </w:pPr>
          </w:p>
        </w:tc>
        <w:tc>
          <w:tcPr>
            <w:tcW w:w="1326" w:type="dxa"/>
            <w:vAlign w:val="center"/>
          </w:tcPr>
          <w:p>
            <w:pPr>
              <w:spacing w:line="360" w:lineRule="auto"/>
              <w:jc w:val="center"/>
              <w:rPr>
                <w:rFonts w:ascii="宋体" w:hAnsi="宋体" w:cs="宋体"/>
                <w:color w:val="auto"/>
                <w:sz w:val="22"/>
                <w:highlight w:val="none"/>
              </w:rPr>
            </w:pPr>
          </w:p>
        </w:tc>
        <w:tc>
          <w:tcPr>
            <w:tcW w:w="1825" w:type="dxa"/>
          </w:tcPr>
          <w:p>
            <w:pPr>
              <w:spacing w:line="360" w:lineRule="auto"/>
              <w:jc w:val="center"/>
              <w:rPr>
                <w:rFonts w:ascii="宋体" w:hAnsi="宋体" w:cs="宋体"/>
                <w:color w:val="auto"/>
                <w:sz w:val="22"/>
                <w:highlight w:val="none"/>
              </w:rPr>
            </w:pPr>
          </w:p>
        </w:tc>
        <w:tc>
          <w:tcPr>
            <w:tcW w:w="1147" w:type="dxa"/>
            <w:vAlign w:val="center"/>
          </w:tcPr>
          <w:p>
            <w:pPr>
              <w:spacing w:line="360" w:lineRule="auto"/>
              <w:jc w:val="center"/>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1340" w:type="dxa"/>
            <w:vAlign w:val="center"/>
          </w:tcPr>
          <w:p>
            <w:pPr>
              <w:spacing w:line="360" w:lineRule="auto"/>
              <w:jc w:val="center"/>
              <w:rPr>
                <w:rFonts w:ascii="宋体" w:hAnsi="宋体" w:cs="宋体"/>
                <w:color w:val="auto"/>
                <w:sz w:val="22"/>
                <w:highlight w:val="none"/>
              </w:rPr>
            </w:pPr>
          </w:p>
        </w:tc>
        <w:tc>
          <w:tcPr>
            <w:tcW w:w="1326" w:type="dxa"/>
            <w:vAlign w:val="center"/>
          </w:tcPr>
          <w:p>
            <w:pPr>
              <w:spacing w:line="360" w:lineRule="auto"/>
              <w:jc w:val="center"/>
              <w:rPr>
                <w:rFonts w:ascii="宋体" w:hAnsi="宋体" w:cs="宋体"/>
                <w:color w:val="auto"/>
                <w:sz w:val="22"/>
                <w:highlight w:val="none"/>
              </w:rPr>
            </w:pPr>
          </w:p>
        </w:tc>
        <w:tc>
          <w:tcPr>
            <w:tcW w:w="1825" w:type="dxa"/>
          </w:tcPr>
          <w:p>
            <w:pPr>
              <w:spacing w:line="360" w:lineRule="auto"/>
              <w:jc w:val="center"/>
              <w:rPr>
                <w:rFonts w:ascii="宋体" w:hAnsi="宋体" w:cs="宋体"/>
                <w:color w:val="auto"/>
                <w:sz w:val="22"/>
                <w:highlight w:val="none"/>
              </w:rPr>
            </w:pPr>
          </w:p>
        </w:tc>
        <w:tc>
          <w:tcPr>
            <w:tcW w:w="1147" w:type="dxa"/>
            <w:vAlign w:val="center"/>
          </w:tcPr>
          <w:p>
            <w:pPr>
              <w:spacing w:line="360" w:lineRule="auto"/>
              <w:jc w:val="center"/>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1340" w:type="dxa"/>
            <w:vAlign w:val="center"/>
          </w:tcPr>
          <w:p>
            <w:pPr>
              <w:spacing w:line="360" w:lineRule="auto"/>
              <w:jc w:val="center"/>
              <w:rPr>
                <w:rFonts w:ascii="宋体" w:hAnsi="宋体" w:cs="宋体"/>
                <w:color w:val="auto"/>
                <w:sz w:val="22"/>
                <w:highlight w:val="none"/>
              </w:rPr>
            </w:pPr>
          </w:p>
        </w:tc>
        <w:tc>
          <w:tcPr>
            <w:tcW w:w="1326" w:type="dxa"/>
            <w:vAlign w:val="center"/>
          </w:tcPr>
          <w:p>
            <w:pPr>
              <w:spacing w:line="360" w:lineRule="auto"/>
              <w:jc w:val="center"/>
              <w:rPr>
                <w:rFonts w:ascii="宋体" w:hAnsi="宋体" w:cs="宋体"/>
                <w:color w:val="auto"/>
                <w:sz w:val="22"/>
                <w:highlight w:val="none"/>
              </w:rPr>
            </w:pPr>
          </w:p>
        </w:tc>
        <w:tc>
          <w:tcPr>
            <w:tcW w:w="1825" w:type="dxa"/>
          </w:tcPr>
          <w:p>
            <w:pPr>
              <w:spacing w:line="360" w:lineRule="auto"/>
              <w:jc w:val="center"/>
              <w:rPr>
                <w:rFonts w:ascii="宋体" w:hAnsi="宋体" w:cs="宋体"/>
                <w:color w:val="auto"/>
                <w:sz w:val="22"/>
                <w:highlight w:val="none"/>
              </w:rPr>
            </w:pPr>
          </w:p>
        </w:tc>
        <w:tc>
          <w:tcPr>
            <w:tcW w:w="1147" w:type="dxa"/>
            <w:vAlign w:val="center"/>
          </w:tcPr>
          <w:p>
            <w:pPr>
              <w:spacing w:line="360" w:lineRule="auto"/>
              <w:jc w:val="center"/>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1340" w:type="dxa"/>
            <w:vAlign w:val="center"/>
          </w:tcPr>
          <w:p>
            <w:pPr>
              <w:spacing w:line="360" w:lineRule="auto"/>
              <w:jc w:val="center"/>
              <w:rPr>
                <w:rFonts w:ascii="宋体" w:hAnsi="宋体" w:cs="宋体"/>
                <w:color w:val="auto"/>
                <w:sz w:val="22"/>
                <w:highlight w:val="none"/>
              </w:rPr>
            </w:pPr>
          </w:p>
        </w:tc>
        <w:tc>
          <w:tcPr>
            <w:tcW w:w="1326" w:type="dxa"/>
            <w:vAlign w:val="center"/>
          </w:tcPr>
          <w:p>
            <w:pPr>
              <w:spacing w:line="360" w:lineRule="auto"/>
              <w:jc w:val="center"/>
              <w:rPr>
                <w:rFonts w:ascii="宋体" w:hAnsi="宋体" w:cs="宋体"/>
                <w:color w:val="auto"/>
                <w:sz w:val="22"/>
                <w:highlight w:val="none"/>
              </w:rPr>
            </w:pPr>
          </w:p>
        </w:tc>
        <w:tc>
          <w:tcPr>
            <w:tcW w:w="1825" w:type="dxa"/>
          </w:tcPr>
          <w:p>
            <w:pPr>
              <w:spacing w:line="360" w:lineRule="auto"/>
              <w:jc w:val="center"/>
              <w:rPr>
                <w:rFonts w:ascii="宋体" w:hAnsi="宋体" w:cs="宋体"/>
                <w:color w:val="auto"/>
                <w:sz w:val="22"/>
                <w:highlight w:val="none"/>
              </w:rPr>
            </w:pPr>
          </w:p>
        </w:tc>
        <w:tc>
          <w:tcPr>
            <w:tcW w:w="1147" w:type="dxa"/>
            <w:vAlign w:val="center"/>
          </w:tcPr>
          <w:p>
            <w:pPr>
              <w:spacing w:line="360" w:lineRule="auto"/>
              <w:jc w:val="center"/>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1340" w:type="dxa"/>
            <w:vAlign w:val="center"/>
          </w:tcPr>
          <w:p>
            <w:pPr>
              <w:spacing w:line="360" w:lineRule="auto"/>
              <w:jc w:val="center"/>
              <w:rPr>
                <w:rFonts w:ascii="宋体" w:hAnsi="宋体" w:cs="宋体"/>
                <w:color w:val="auto"/>
                <w:sz w:val="22"/>
                <w:highlight w:val="none"/>
              </w:rPr>
            </w:pPr>
          </w:p>
        </w:tc>
        <w:tc>
          <w:tcPr>
            <w:tcW w:w="1326" w:type="dxa"/>
            <w:vAlign w:val="center"/>
          </w:tcPr>
          <w:p>
            <w:pPr>
              <w:spacing w:line="360" w:lineRule="auto"/>
              <w:jc w:val="center"/>
              <w:rPr>
                <w:rFonts w:ascii="宋体" w:hAnsi="宋体" w:cs="宋体"/>
                <w:color w:val="auto"/>
                <w:sz w:val="22"/>
                <w:highlight w:val="none"/>
              </w:rPr>
            </w:pPr>
          </w:p>
        </w:tc>
        <w:tc>
          <w:tcPr>
            <w:tcW w:w="1825" w:type="dxa"/>
          </w:tcPr>
          <w:p>
            <w:pPr>
              <w:spacing w:line="360" w:lineRule="auto"/>
              <w:jc w:val="center"/>
              <w:rPr>
                <w:rFonts w:ascii="宋体" w:hAnsi="宋体" w:cs="宋体"/>
                <w:color w:val="auto"/>
                <w:sz w:val="22"/>
                <w:highlight w:val="none"/>
              </w:rPr>
            </w:pPr>
          </w:p>
        </w:tc>
        <w:tc>
          <w:tcPr>
            <w:tcW w:w="1147" w:type="dxa"/>
            <w:vAlign w:val="center"/>
          </w:tcPr>
          <w:p>
            <w:pPr>
              <w:spacing w:line="360" w:lineRule="auto"/>
              <w:jc w:val="center"/>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1340" w:type="dxa"/>
            <w:vAlign w:val="center"/>
          </w:tcPr>
          <w:p>
            <w:pPr>
              <w:spacing w:line="360" w:lineRule="auto"/>
              <w:jc w:val="center"/>
              <w:rPr>
                <w:rFonts w:ascii="宋体" w:hAnsi="宋体" w:cs="宋体"/>
                <w:color w:val="auto"/>
                <w:sz w:val="22"/>
                <w:highlight w:val="none"/>
              </w:rPr>
            </w:pPr>
          </w:p>
        </w:tc>
        <w:tc>
          <w:tcPr>
            <w:tcW w:w="1326" w:type="dxa"/>
            <w:vAlign w:val="center"/>
          </w:tcPr>
          <w:p>
            <w:pPr>
              <w:spacing w:line="360" w:lineRule="auto"/>
              <w:jc w:val="center"/>
              <w:rPr>
                <w:rFonts w:ascii="宋体" w:hAnsi="宋体" w:cs="宋体"/>
                <w:color w:val="auto"/>
                <w:sz w:val="22"/>
                <w:highlight w:val="none"/>
              </w:rPr>
            </w:pPr>
          </w:p>
        </w:tc>
        <w:tc>
          <w:tcPr>
            <w:tcW w:w="1825" w:type="dxa"/>
          </w:tcPr>
          <w:p>
            <w:pPr>
              <w:spacing w:line="360" w:lineRule="auto"/>
              <w:jc w:val="center"/>
              <w:rPr>
                <w:rFonts w:ascii="宋体" w:hAnsi="宋体" w:cs="宋体"/>
                <w:color w:val="auto"/>
                <w:sz w:val="22"/>
                <w:highlight w:val="none"/>
              </w:rPr>
            </w:pPr>
          </w:p>
        </w:tc>
        <w:tc>
          <w:tcPr>
            <w:tcW w:w="1147" w:type="dxa"/>
            <w:vAlign w:val="center"/>
          </w:tcPr>
          <w:p>
            <w:pPr>
              <w:spacing w:line="360" w:lineRule="auto"/>
              <w:jc w:val="center"/>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1340" w:type="dxa"/>
            <w:vAlign w:val="center"/>
          </w:tcPr>
          <w:p>
            <w:pPr>
              <w:spacing w:line="360" w:lineRule="auto"/>
              <w:jc w:val="center"/>
              <w:rPr>
                <w:rFonts w:ascii="宋体" w:hAnsi="宋体" w:cs="宋体"/>
                <w:color w:val="auto"/>
                <w:sz w:val="22"/>
                <w:highlight w:val="none"/>
              </w:rPr>
            </w:pPr>
          </w:p>
        </w:tc>
        <w:tc>
          <w:tcPr>
            <w:tcW w:w="1326" w:type="dxa"/>
            <w:vAlign w:val="center"/>
          </w:tcPr>
          <w:p>
            <w:pPr>
              <w:spacing w:line="360" w:lineRule="auto"/>
              <w:jc w:val="center"/>
              <w:rPr>
                <w:rFonts w:ascii="宋体" w:hAnsi="宋体" w:cs="宋体"/>
                <w:color w:val="auto"/>
                <w:sz w:val="22"/>
                <w:highlight w:val="none"/>
              </w:rPr>
            </w:pPr>
          </w:p>
        </w:tc>
        <w:tc>
          <w:tcPr>
            <w:tcW w:w="1825" w:type="dxa"/>
          </w:tcPr>
          <w:p>
            <w:pPr>
              <w:spacing w:line="360" w:lineRule="auto"/>
              <w:jc w:val="center"/>
              <w:rPr>
                <w:rFonts w:ascii="宋体" w:hAnsi="宋体" w:cs="宋体"/>
                <w:color w:val="auto"/>
                <w:sz w:val="22"/>
                <w:highlight w:val="none"/>
              </w:rPr>
            </w:pPr>
          </w:p>
        </w:tc>
        <w:tc>
          <w:tcPr>
            <w:tcW w:w="1147" w:type="dxa"/>
            <w:vAlign w:val="center"/>
          </w:tcPr>
          <w:p>
            <w:pPr>
              <w:spacing w:line="360" w:lineRule="auto"/>
              <w:jc w:val="center"/>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1340" w:type="dxa"/>
            <w:vAlign w:val="center"/>
          </w:tcPr>
          <w:p>
            <w:pPr>
              <w:spacing w:line="360" w:lineRule="auto"/>
              <w:jc w:val="center"/>
              <w:rPr>
                <w:rFonts w:ascii="宋体" w:hAnsi="宋体" w:cs="宋体"/>
                <w:color w:val="auto"/>
                <w:sz w:val="22"/>
                <w:highlight w:val="none"/>
              </w:rPr>
            </w:pPr>
          </w:p>
        </w:tc>
        <w:tc>
          <w:tcPr>
            <w:tcW w:w="1326" w:type="dxa"/>
            <w:vAlign w:val="center"/>
          </w:tcPr>
          <w:p>
            <w:pPr>
              <w:spacing w:line="360" w:lineRule="auto"/>
              <w:jc w:val="center"/>
              <w:rPr>
                <w:rFonts w:ascii="宋体" w:hAnsi="宋体" w:cs="宋体"/>
                <w:color w:val="auto"/>
                <w:sz w:val="22"/>
                <w:highlight w:val="none"/>
              </w:rPr>
            </w:pPr>
          </w:p>
        </w:tc>
        <w:tc>
          <w:tcPr>
            <w:tcW w:w="1825" w:type="dxa"/>
          </w:tcPr>
          <w:p>
            <w:pPr>
              <w:spacing w:line="360" w:lineRule="auto"/>
              <w:jc w:val="center"/>
              <w:rPr>
                <w:rFonts w:ascii="宋体" w:hAnsi="宋体" w:cs="宋体"/>
                <w:color w:val="auto"/>
                <w:sz w:val="22"/>
                <w:highlight w:val="none"/>
              </w:rPr>
            </w:pPr>
          </w:p>
        </w:tc>
        <w:tc>
          <w:tcPr>
            <w:tcW w:w="1147" w:type="dxa"/>
            <w:vAlign w:val="center"/>
          </w:tcPr>
          <w:p>
            <w:pPr>
              <w:spacing w:line="360" w:lineRule="auto"/>
              <w:jc w:val="center"/>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1340" w:type="dxa"/>
            <w:vAlign w:val="center"/>
          </w:tcPr>
          <w:p>
            <w:pPr>
              <w:spacing w:line="360" w:lineRule="auto"/>
              <w:jc w:val="center"/>
              <w:rPr>
                <w:rFonts w:ascii="宋体" w:hAnsi="宋体" w:cs="宋体"/>
                <w:color w:val="auto"/>
                <w:sz w:val="22"/>
                <w:highlight w:val="none"/>
              </w:rPr>
            </w:pPr>
          </w:p>
        </w:tc>
        <w:tc>
          <w:tcPr>
            <w:tcW w:w="1326" w:type="dxa"/>
            <w:vAlign w:val="center"/>
          </w:tcPr>
          <w:p>
            <w:pPr>
              <w:spacing w:line="360" w:lineRule="auto"/>
              <w:jc w:val="center"/>
              <w:rPr>
                <w:rFonts w:ascii="宋体" w:hAnsi="宋体" w:cs="宋体"/>
                <w:color w:val="auto"/>
                <w:sz w:val="22"/>
                <w:highlight w:val="none"/>
              </w:rPr>
            </w:pPr>
          </w:p>
        </w:tc>
        <w:tc>
          <w:tcPr>
            <w:tcW w:w="1825" w:type="dxa"/>
          </w:tcPr>
          <w:p>
            <w:pPr>
              <w:spacing w:line="360" w:lineRule="auto"/>
              <w:jc w:val="center"/>
              <w:rPr>
                <w:rFonts w:ascii="宋体" w:hAnsi="宋体" w:cs="宋体"/>
                <w:color w:val="auto"/>
                <w:sz w:val="22"/>
                <w:highlight w:val="none"/>
              </w:rPr>
            </w:pPr>
          </w:p>
        </w:tc>
        <w:tc>
          <w:tcPr>
            <w:tcW w:w="1147" w:type="dxa"/>
            <w:vAlign w:val="center"/>
          </w:tcPr>
          <w:p>
            <w:pPr>
              <w:spacing w:line="360" w:lineRule="auto"/>
              <w:jc w:val="center"/>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1340" w:type="dxa"/>
            <w:vAlign w:val="center"/>
          </w:tcPr>
          <w:p>
            <w:pPr>
              <w:spacing w:line="360" w:lineRule="auto"/>
              <w:jc w:val="center"/>
              <w:rPr>
                <w:rFonts w:ascii="宋体" w:hAnsi="宋体" w:cs="宋体"/>
                <w:color w:val="auto"/>
                <w:sz w:val="22"/>
                <w:highlight w:val="none"/>
              </w:rPr>
            </w:pPr>
          </w:p>
        </w:tc>
        <w:tc>
          <w:tcPr>
            <w:tcW w:w="1326" w:type="dxa"/>
            <w:vAlign w:val="center"/>
          </w:tcPr>
          <w:p>
            <w:pPr>
              <w:spacing w:line="360" w:lineRule="auto"/>
              <w:jc w:val="center"/>
              <w:rPr>
                <w:rFonts w:ascii="宋体" w:hAnsi="宋体" w:cs="宋体"/>
                <w:color w:val="auto"/>
                <w:sz w:val="22"/>
                <w:highlight w:val="none"/>
              </w:rPr>
            </w:pPr>
          </w:p>
        </w:tc>
        <w:tc>
          <w:tcPr>
            <w:tcW w:w="1825" w:type="dxa"/>
          </w:tcPr>
          <w:p>
            <w:pPr>
              <w:spacing w:line="360" w:lineRule="auto"/>
              <w:jc w:val="center"/>
              <w:rPr>
                <w:rFonts w:ascii="宋体" w:hAnsi="宋体" w:cs="宋体"/>
                <w:color w:val="auto"/>
                <w:sz w:val="22"/>
                <w:highlight w:val="none"/>
              </w:rPr>
            </w:pPr>
          </w:p>
        </w:tc>
        <w:tc>
          <w:tcPr>
            <w:tcW w:w="1147" w:type="dxa"/>
            <w:vAlign w:val="center"/>
          </w:tcPr>
          <w:p>
            <w:pPr>
              <w:spacing w:line="360" w:lineRule="auto"/>
              <w:jc w:val="center"/>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1340" w:type="dxa"/>
            <w:vAlign w:val="center"/>
          </w:tcPr>
          <w:p>
            <w:pPr>
              <w:spacing w:line="360" w:lineRule="auto"/>
              <w:jc w:val="center"/>
              <w:rPr>
                <w:rFonts w:ascii="宋体" w:hAnsi="宋体" w:cs="宋体"/>
                <w:color w:val="auto"/>
                <w:sz w:val="22"/>
                <w:highlight w:val="none"/>
              </w:rPr>
            </w:pPr>
          </w:p>
        </w:tc>
        <w:tc>
          <w:tcPr>
            <w:tcW w:w="1326" w:type="dxa"/>
            <w:vAlign w:val="center"/>
          </w:tcPr>
          <w:p>
            <w:pPr>
              <w:spacing w:line="360" w:lineRule="auto"/>
              <w:jc w:val="center"/>
              <w:rPr>
                <w:rFonts w:ascii="宋体" w:hAnsi="宋体" w:cs="宋体"/>
                <w:color w:val="auto"/>
                <w:sz w:val="22"/>
                <w:highlight w:val="none"/>
              </w:rPr>
            </w:pPr>
          </w:p>
        </w:tc>
        <w:tc>
          <w:tcPr>
            <w:tcW w:w="1825" w:type="dxa"/>
          </w:tcPr>
          <w:p>
            <w:pPr>
              <w:spacing w:line="360" w:lineRule="auto"/>
              <w:jc w:val="center"/>
              <w:rPr>
                <w:rFonts w:ascii="宋体" w:hAnsi="宋体" w:cs="宋体"/>
                <w:color w:val="auto"/>
                <w:sz w:val="22"/>
                <w:highlight w:val="none"/>
              </w:rPr>
            </w:pPr>
          </w:p>
        </w:tc>
        <w:tc>
          <w:tcPr>
            <w:tcW w:w="1147" w:type="dxa"/>
            <w:vAlign w:val="center"/>
          </w:tcPr>
          <w:p>
            <w:pPr>
              <w:spacing w:line="360" w:lineRule="auto"/>
              <w:jc w:val="center"/>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1340" w:type="dxa"/>
            <w:vAlign w:val="center"/>
          </w:tcPr>
          <w:p>
            <w:pPr>
              <w:spacing w:line="360" w:lineRule="auto"/>
              <w:jc w:val="center"/>
              <w:rPr>
                <w:rFonts w:ascii="宋体" w:hAnsi="宋体" w:cs="宋体"/>
                <w:color w:val="auto"/>
                <w:sz w:val="22"/>
                <w:highlight w:val="none"/>
              </w:rPr>
            </w:pPr>
          </w:p>
        </w:tc>
        <w:tc>
          <w:tcPr>
            <w:tcW w:w="1326" w:type="dxa"/>
            <w:vAlign w:val="center"/>
          </w:tcPr>
          <w:p>
            <w:pPr>
              <w:spacing w:line="360" w:lineRule="auto"/>
              <w:jc w:val="center"/>
              <w:rPr>
                <w:rFonts w:ascii="宋体" w:hAnsi="宋体" w:cs="宋体"/>
                <w:color w:val="auto"/>
                <w:sz w:val="22"/>
                <w:highlight w:val="none"/>
              </w:rPr>
            </w:pPr>
          </w:p>
        </w:tc>
        <w:tc>
          <w:tcPr>
            <w:tcW w:w="1825" w:type="dxa"/>
          </w:tcPr>
          <w:p>
            <w:pPr>
              <w:spacing w:line="360" w:lineRule="auto"/>
              <w:jc w:val="center"/>
              <w:rPr>
                <w:rFonts w:ascii="宋体" w:hAnsi="宋体" w:cs="宋体"/>
                <w:color w:val="auto"/>
                <w:sz w:val="22"/>
                <w:highlight w:val="none"/>
              </w:rPr>
            </w:pPr>
          </w:p>
        </w:tc>
        <w:tc>
          <w:tcPr>
            <w:tcW w:w="1147" w:type="dxa"/>
            <w:vAlign w:val="center"/>
          </w:tcPr>
          <w:p>
            <w:pPr>
              <w:spacing w:line="360" w:lineRule="auto"/>
              <w:jc w:val="center"/>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1340" w:type="dxa"/>
            <w:vAlign w:val="center"/>
          </w:tcPr>
          <w:p>
            <w:pPr>
              <w:spacing w:line="360" w:lineRule="auto"/>
              <w:jc w:val="center"/>
              <w:rPr>
                <w:rFonts w:ascii="宋体" w:hAnsi="宋体" w:cs="宋体"/>
                <w:color w:val="auto"/>
                <w:sz w:val="22"/>
                <w:highlight w:val="none"/>
              </w:rPr>
            </w:pPr>
          </w:p>
        </w:tc>
        <w:tc>
          <w:tcPr>
            <w:tcW w:w="1326" w:type="dxa"/>
            <w:vAlign w:val="center"/>
          </w:tcPr>
          <w:p>
            <w:pPr>
              <w:spacing w:line="360" w:lineRule="auto"/>
              <w:jc w:val="center"/>
              <w:rPr>
                <w:rFonts w:ascii="宋体" w:hAnsi="宋体" w:cs="宋体"/>
                <w:color w:val="auto"/>
                <w:sz w:val="22"/>
                <w:highlight w:val="none"/>
              </w:rPr>
            </w:pPr>
          </w:p>
        </w:tc>
        <w:tc>
          <w:tcPr>
            <w:tcW w:w="1825" w:type="dxa"/>
          </w:tcPr>
          <w:p>
            <w:pPr>
              <w:spacing w:line="360" w:lineRule="auto"/>
              <w:jc w:val="center"/>
              <w:rPr>
                <w:rFonts w:ascii="宋体" w:hAnsi="宋体" w:cs="宋体"/>
                <w:color w:val="auto"/>
                <w:sz w:val="22"/>
                <w:highlight w:val="none"/>
              </w:rPr>
            </w:pPr>
          </w:p>
        </w:tc>
        <w:tc>
          <w:tcPr>
            <w:tcW w:w="1147" w:type="dxa"/>
            <w:vAlign w:val="center"/>
          </w:tcPr>
          <w:p>
            <w:pPr>
              <w:spacing w:line="360" w:lineRule="auto"/>
              <w:jc w:val="center"/>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1340" w:type="dxa"/>
            <w:vAlign w:val="center"/>
          </w:tcPr>
          <w:p>
            <w:pPr>
              <w:spacing w:line="360" w:lineRule="auto"/>
              <w:jc w:val="center"/>
              <w:rPr>
                <w:rFonts w:ascii="宋体" w:hAnsi="宋体" w:cs="宋体"/>
                <w:color w:val="auto"/>
                <w:sz w:val="22"/>
                <w:highlight w:val="none"/>
              </w:rPr>
            </w:pPr>
          </w:p>
        </w:tc>
        <w:tc>
          <w:tcPr>
            <w:tcW w:w="1326" w:type="dxa"/>
            <w:vAlign w:val="center"/>
          </w:tcPr>
          <w:p>
            <w:pPr>
              <w:spacing w:line="360" w:lineRule="auto"/>
              <w:jc w:val="center"/>
              <w:rPr>
                <w:rFonts w:ascii="宋体" w:hAnsi="宋体" w:cs="宋体"/>
                <w:color w:val="auto"/>
                <w:sz w:val="22"/>
                <w:highlight w:val="none"/>
              </w:rPr>
            </w:pPr>
          </w:p>
        </w:tc>
        <w:tc>
          <w:tcPr>
            <w:tcW w:w="1825" w:type="dxa"/>
          </w:tcPr>
          <w:p>
            <w:pPr>
              <w:spacing w:line="360" w:lineRule="auto"/>
              <w:jc w:val="center"/>
              <w:rPr>
                <w:rFonts w:ascii="宋体" w:hAnsi="宋体" w:cs="宋体"/>
                <w:color w:val="auto"/>
                <w:sz w:val="22"/>
                <w:highlight w:val="none"/>
              </w:rPr>
            </w:pPr>
          </w:p>
        </w:tc>
        <w:tc>
          <w:tcPr>
            <w:tcW w:w="1147" w:type="dxa"/>
            <w:vAlign w:val="center"/>
          </w:tcPr>
          <w:p>
            <w:pPr>
              <w:spacing w:line="360" w:lineRule="auto"/>
              <w:jc w:val="center"/>
              <w:rPr>
                <w:rFonts w:ascii="宋体" w:hAnsi="宋体" w:cs="宋体"/>
                <w:color w:val="auto"/>
                <w:sz w:val="22"/>
                <w:highlight w:val="none"/>
              </w:rPr>
            </w:pPr>
          </w:p>
        </w:tc>
      </w:tr>
    </w:tbl>
    <w:p>
      <w:pPr>
        <w:pStyle w:val="36"/>
        <w:spacing w:line="400" w:lineRule="atLeast"/>
        <w:ind w:left="660" w:hanging="660" w:hangingChars="300"/>
        <w:rPr>
          <w:rFonts w:hAnsi="宋体" w:cs="宋体"/>
          <w:color w:val="auto"/>
          <w:sz w:val="22"/>
          <w:highlight w:val="none"/>
        </w:rPr>
      </w:pPr>
      <w:r>
        <w:rPr>
          <w:rFonts w:hint="eastAsia" w:hAnsi="宋体" w:cs="宋体"/>
          <w:color w:val="auto"/>
          <w:sz w:val="22"/>
          <w:highlight w:val="none"/>
        </w:rPr>
        <w:t>注：此表仅提供了表格形式，投标人可按此表格复制。</w:t>
      </w:r>
    </w:p>
    <w:p>
      <w:pPr>
        <w:pStyle w:val="36"/>
        <w:spacing w:line="400" w:lineRule="atLeast"/>
        <w:ind w:left="660" w:hanging="660" w:hangingChars="300"/>
        <w:rPr>
          <w:rFonts w:hAnsi="宋体" w:cs="宋体"/>
          <w:color w:val="auto"/>
          <w:sz w:val="22"/>
          <w:highlight w:val="none"/>
        </w:rPr>
      </w:pPr>
    </w:p>
    <w:p>
      <w:pPr>
        <w:pStyle w:val="36"/>
        <w:spacing w:line="400" w:lineRule="atLeast"/>
        <w:ind w:left="660" w:hanging="660" w:hangingChars="300"/>
        <w:rPr>
          <w:rFonts w:hAnsi="宋体" w:cs="宋体"/>
          <w:color w:val="auto"/>
          <w:sz w:val="22"/>
          <w:highlight w:val="none"/>
        </w:rPr>
      </w:pPr>
    </w:p>
    <w:p>
      <w:pPr>
        <w:spacing w:line="380" w:lineRule="exact"/>
        <w:ind w:firstLine="4400" w:firstLineChars="2000"/>
        <w:rPr>
          <w:rFonts w:ascii="宋体" w:hAnsi="宋体" w:cs="宋体"/>
          <w:color w:val="auto"/>
          <w:sz w:val="22"/>
          <w:szCs w:val="22"/>
          <w:highlight w:val="none"/>
        </w:rPr>
      </w:pPr>
      <w:r>
        <w:rPr>
          <w:rFonts w:hint="eastAsia" w:ascii="宋体" w:hAnsi="宋体" w:cs="宋体"/>
          <w:color w:val="auto"/>
          <w:sz w:val="22"/>
          <w:szCs w:val="22"/>
          <w:highlight w:val="none"/>
        </w:rPr>
        <w:t>投标人全称（盖章）：</w:t>
      </w:r>
    </w:p>
    <w:p>
      <w:pPr>
        <w:spacing w:line="380" w:lineRule="exact"/>
        <w:ind w:firstLine="4400" w:firstLineChars="2000"/>
        <w:rPr>
          <w:rFonts w:ascii="宋体" w:hAnsi="宋体" w:cs="宋体"/>
          <w:color w:val="auto"/>
          <w:sz w:val="22"/>
          <w:szCs w:val="22"/>
          <w:highlight w:val="none"/>
        </w:rPr>
      </w:pPr>
      <w:r>
        <w:rPr>
          <w:rFonts w:hint="eastAsia" w:ascii="宋体" w:hAnsi="宋体" w:cs="宋体"/>
          <w:color w:val="auto"/>
          <w:sz w:val="22"/>
          <w:szCs w:val="22"/>
          <w:highlight w:val="none"/>
        </w:rPr>
        <w:t>法定代表人或授权代表（签字）：</w:t>
      </w:r>
    </w:p>
    <w:p>
      <w:pPr>
        <w:jc w:val="center"/>
        <w:rPr>
          <w:rFonts w:ascii="宋体" w:hAnsi="宋体" w:cs="宋体"/>
          <w:color w:val="auto"/>
          <w:sz w:val="22"/>
          <w:szCs w:val="22"/>
          <w:highlight w:val="none"/>
        </w:rPr>
      </w:pPr>
      <w:r>
        <w:rPr>
          <w:rFonts w:hint="eastAsia" w:ascii="宋体" w:hAnsi="宋体" w:cs="宋体"/>
          <w:color w:val="auto"/>
          <w:sz w:val="22"/>
          <w:szCs w:val="22"/>
          <w:highlight w:val="none"/>
        </w:rPr>
        <w:t xml:space="preserve">           日期：  年   月  日</w:t>
      </w:r>
    </w:p>
    <w:p>
      <w:pPr>
        <w:rPr>
          <w:rFonts w:ascii="楷体_GB2312" w:eastAsia="楷体_GB2312"/>
          <w:color w:val="auto"/>
          <w:sz w:val="22"/>
          <w:szCs w:val="22"/>
          <w:highlight w:val="none"/>
        </w:rPr>
      </w:pPr>
    </w:p>
    <w:p>
      <w:pPr>
        <w:rPr>
          <w:rFonts w:ascii="宋体" w:hAnsi="宋体" w:cs="宋体"/>
          <w:b/>
          <w:bCs/>
          <w:color w:val="auto"/>
          <w:sz w:val="22"/>
          <w:szCs w:val="22"/>
          <w:highlight w:val="none"/>
        </w:rPr>
      </w:pPr>
      <w:r>
        <w:rPr>
          <w:rFonts w:hint="eastAsia" w:ascii="宋体" w:hAnsi="宋体" w:cs="宋体"/>
          <w:b/>
          <w:bCs/>
          <w:color w:val="auto"/>
          <w:sz w:val="22"/>
          <w:szCs w:val="22"/>
          <w:highlight w:val="none"/>
        </w:rPr>
        <w:t>附件八</w:t>
      </w:r>
    </w:p>
    <w:p>
      <w:pPr>
        <w:spacing w:after="120" w:afterLines="50" w:line="360" w:lineRule="auto"/>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拟派本项目负责人简历表</w:t>
      </w:r>
    </w:p>
    <w:p>
      <w:pPr>
        <w:rPr>
          <w:rFonts w:ascii="宋体" w:hAnsi="宋体" w:cs="宋体"/>
          <w:color w:val="auto"/>
          <w:sz w:val="22"/>
          <w:szCs w:val="22"/>
          <w:highlight w:val="none"/>
        </w:rPr>
      </w:pPr>
      <w:r>
        <w:rPr>
          <w:rFonts w:hint="eastAsia" w:ascii="宋体" w:hAnsi="宋体" w:cs="宋体"/>
          <w:color w:val="auto"/>
          <w:sz w:val="22"/>
          <w:szCs w:val="22"/>
          <w:highlight w:val="none"/>
        </w:rPr>
        <w:t xml:space="preserve">    </w:t>
      </w:r>
      <w:r>
        <w:rPr>
          <w:rFonts w:hint="eastAsia" w:ascii="宋体" w:hAnsi="宋体" w:cs="宋体"/>
          <w:b/>
          <w:color w:val="auto"/>
          <w:sz w:val="22"/>
          <w:szCs w:val="22"/>
          <w:highlight w:val="none"/>
        </w:rPr>
        <w:t>项目名称：                                         项目编号：</w:t>
      </w:r>
      <w:r>
        <w:rPr>
          <w:rFonts w:hint="eastAsia" w:ascii="宋体" w:hAnsi="宋体" w:cs="宋体"/>
          <w:color w:val="auto"/>
          <w:sz w:val="22"/>
          <w:szCs w:val="22"/>
          <w:highlight w:val="none"/>
        </w:rPr>
        <w:t xml:space="preserve"> </w:t>
      </w:r>
    </w:p>
    <w:tbl>
      <w:tblPr>
        <w:tblStyle w:val="6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95"/>
        <w:gridCol w:w="2769"/>
        <w:gridCol w:w="2373"/>
        <w:gridCol w:w="26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095" w:type="dxa"/>
            <w:vAlign w:val="center"/>
          </w:tcPr>
          <w:p>
            <w:pPr>
              <w:spacing w:line="360" w:lineRule="auto"/>
              <w:jc w:val="center"/>
              <w:rPr>
                <w:rFonts w:ascii="宋体" w:hAnsi="宋体" w:cs="宋体"/>
                <w:color w:val="auto"/>
                <w:sz w:val="22"/>
                <w:szCs w:val="22"/>
                <w:highlight w:val="none"/>
              </w:rPr>
            </w:pPr>
            <w:r>
              <w:rPr>
                <w:rFonts w:hint="eastAsia" w:ascii="宋体" w:hAnsi="宋体" w:cs="宋体"/>
                <w:color w:val="auto"/>
                <w:sz w:val="22"/>
                <w:szCs w:val="22"/>
                <w:highlight w:val="none"/>
              </w:rPr>
              <w:t>姓       名</w:t>
            </w:r>
          </w:p>
        </w:tc>
        <w:tc>
          <w:tcPr>
            <w:tcW w:w="2769" w:type="dxa"/>
            <w:vAlign w:val="center"/>
          </w:tcPr>
          <w:p>
            <w:pPr>
              <w:spacing w:line="360" w:lineRule="auto"/>
              <w:jc w:val="center"/>
              <w:rPr>
                <w:rFonts w:ascii="宋体" w:hAnsi="宋体" w:cs="宋体"/>
                <w:color w:val="auto"/>
                <w:sz w:val="22"/>
                <w:szCs w:val="22"/>
                <w:highlight w:val="none"/>
              </w:rPr>
            </w:pPr>
          </w:p>
        </w:tc>
        <w:tc>
          <w:tcPr>
            <w:tcW w:w="2373" w:type="dxa"/>
            <w:vAlign w:val="center"/>
          </w:tcPr>
          <w:p>
            <w:pPr>
              <w:spacing w:line="360" w:lineRule="auto"/>
              <w:jc w:val="center"/>
              <w:rPr>
                <w:rFonts w:ascii="宋体" w:hAnsi="宋体" w:cs="宋体"/>
                <w:color w:val="auto"/>
                <w:sz w:val="22"/>
                <w:szCs w:val="22"/>
                <w:highlight w:val="none"/>
              </w:rPr>
            </w:pPr>
            <w:r>
              <w:rPr>
                <w:rFonts w:hint="eastAsia" w:ascii="宋体" w:hAnsi="宋体" w:cs="宋体"/>
                <w:color w:val="auto"/>
                <w:sz w:val="22"/>
                <w:szCs w:val="22"/>
                <w:highlight w:val="none"/>
              </w:rPr>
              <w:t>身份证号码</w:t>
            </w:r>
          </w:p>
        </w:tc>
        <w:tc>
          <w:tcPr>
            <w:tcW w:w="2617" w:type="dxa"/>
            <w:vAlign w:val="center"/>
          </w:tcPr>
          <w:p>
            <w:pPr>
              <w:spacing w:line="360" w:lineRule="auto"/>
              <w:rPr>
                <w:rFonts w:ascii="宋体" w:hAnsi="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095" w:type="dxa"/>
            <w:vAlign w:val="center"/>
          </w:tcPr>
          <w:p>
            <w:pPr>
              <w:spacing w:line="360" w:lineRule="auto"/>
              <w:jc w:val="center"/>
              <w:rPr>
                <w:rFonts w:ascii="宋体" w:hAnsi="宋体" w:cs="宋体"/>
                <w:color w:val="auto"/>
                <w:sz w:val="22"/>
                <w:szCs w:val="22"/>
                <w:highlight w:val="none"/>
              </w:rPr>
            </w:pPr>
            <w:r>
              <w:rPr>
                <w:rFonts w:hint="eastAsia" w:ascii="宋体" w:hAnsi="宋体" w:cs="宋体"/>
                <w:color w:val="auto"/>
                <w:sz w:val="22"/>
                <w:szCs w:val="22"/>
                <w:highlight w:val="none"/>
              </w:rPr>
              <w:t>文 化 程 度</w:t>
            </w:r>
          </w:p>
        </w:tc>
        <w:tc>
          <w:tcPr>
            <w:tcW w:w="2769" w:type="dxa"/>
            <w:vAlign w:val="center"/>
          </w:tcPr>
          <w:p>
            <w:pPr>
              <w:spacing w:line="360" w:lineRule="auto"/>
              <w:jc w:val="center"/>
              <w:rPr>
                <w:rFonts w:ascii="宋体" w:hAnsi="宋体" w:cs="宋体"/>
                <w:color w:val="auto"/>
                <w:sz w:val="22"/>
                <w:szCs w:val="22"/>
                <w:highlight w:val="none"/>
              </w:rPr>
            </w:pPr>
          </w:p>
        </w:tc>
        <w:tc>
          <w:tcPr>
            <w:tcW w:w="2373" w:type="dxa"/>
            <w:vAlign w:val="center"/>
          </w:tcPr>
          <w:p>
            <w:pPr>
              <w:spacing w:line="360" w:lineRule="auto"/>
              <w:jc w:val="center"/>
              <w:rPr>
                <w:rFonts w:ascii="宋体" w:hAnsi="宋体" w:cs="宋体"/>
                <w:color w:val="auto"/>
                <w:sz w:val="22"/>
                <w:szCs w:val="22"/>
                <w:highlight w:val="none"/>
              </w:rPr>
            </w:pPr>
            <w:r>
              <w:rPr>
                <w:rFonts w:hint="eastAsia" w:ascii="宋体" w:hAnsi="宋体" w:cs="宋体"/>
                <w:color w:val="auto"/>
                <w:sz w:val="22"/>
                <w:szCs w:val="22"/>
                <w:highlight w:val="none"/>
              </w:rPr>
              <w:t>技 术 职 称</w:t>
            </w:r>
          </w:p>
        </w:tc>
        <w:tc>
          <w:tcPr>
            <w:tcW w:w="2617" w:type="dxa"/>
            <w:vAlign w:val="center"/>
          </w:tcPr>
          <w:p>
            <w:pPr>
              <w:spacing w:line="360" w:lineRule="auto"/>
              <w:rPr>
                <w:rFonts w:ascii="宋体" w:hAnsi="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095" w:type="dxa"/>
            <w:vAlign w:val="center"/>
          </w:tcPr>
          <w:p>
            <w:pPr>
              <w:spacing w:line="360" w:lineRule="auto"/>
              <w:jc w:val="center"/>
              <w:rPr>
                <w:rFonts w:ascii="宋体" w:hAnsi="宋体" w:cs="宋体"/>
                <w:color w:val="auto"/>
                <w:sz w:val="22"/>
                <w:szCs w:val="22"/>
                <w:highlight w:val="none"/>
              </w:rPr>
            </w:pPr>
            <w:r>
              <w:rPr>
                <w:rFonts w:hint="eastAsia" w:ascii="宋体" w:hAnsi="宋体" w:cs="宋体"/>
                <w:color w:val="auto"/>
                <w:sz w:val="22"/>
                <w:szCs w:val="22"/>
                <w:highlight w:val="none"/>
              </w:rPr>
              <w:t>毕业院校、专业</w:t>
            </w:r>
          </w:p>
        </w:tc>
        <w:tc>
          <w:tcPr>
            <w:tcW w:w="2769" w:type="dxa"/>
            <w:vAlign w:val="center"/>
          </w:tcPr>
          <w:p>
            <w:pPr>
              <w:spacing w:line="360" w:lineRule="auto"/>
              <w:jc w:val="center"/>
              <w:rPr>
                <w:rFonts w:ascii="宋体" w:hAnsi="宋体" w:cs="宋体"/>
                <w:color w:val="auto"/>
                <w:sz w:val="22"/>
                <w:szCs w:val="22"/>
                <w:highlight w:val="none"/>
              </w:rPr>
            </w:pPr>
          </w:p>
        </w:tc>
        <w:tc>
          <w:tcPr>
            <w:tcW w:w="2373" w:type="dxa"/>
            <w:vAlign w:val="center"/>
          </w:tcPr>
          <w:p>
            <w:pPr>
              <w:spacing w:line="360" w:lineRule="auto"/>
              <w:jc w:val="center"/>
              <w:rPr>
                <w:rFonts w:ascii="宋体" w:hAnsi="宋体" w:cs="宋体"/>
                <w:color w:val="auto"/>
                <w:sz w:val="22"/>
                <w:szCs w:val="22"/>
                <w:highlight w:val="none"/>
              </w:rPr>
            </w:pPr>
            <w:r>
              <w:rPr>
                <w:rFonts w:hint="eastAsia" w:ascii="宋体" w:hAnsi="宋体" w:cs="宋体"/>
                <w:color w:val="auto"/>
                <w:sz w:val="22"/>
                <w:szCs w:val="22"/>
                <w:highlight w:val="none"/>
              </w:rPr>
              <w:t>毕 业 时 间</w:t>
            </w:r>
          </w:p>
        </w:tc>
        <w:tc>
          <w:tcPr>
            <w:tcW w:w="2617" w:type="dxa"/>
            <w:vAlign w:val="center"/>
          </w:tcPr>
          <w:p>
            <w:pPr>
              <w:spacing w:line="360" w:lineRule="auto"/>
              <w:rPr>
                <w:rFonts w:ascii="宋体" w:hAnsi="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095" w:type="dxa"/>
            <w:vAlign w:val="center"/>
          </w:tcPr>
          <w:p>
            <w:pPr>
              <w:spacing w:line="360" w:lineRule="auto"/>
              <w:jc w:val="center"/>
              <w:rPr>
                <w:rFonts w:ascii="宋体" w:hAnsi="宋体" w:cs="宋体"/>
                <w:color w:val="auto"/>
                <w:sz w:val="22"/>
                <w:szCs w:val="22"/>
                <w:highlight w:val="none"/>
              </w:rPr>
            </w:pPr>
            <w:r>
              <w:rPr>
                <w:rFonts w:hint="eastAsia" w:ascii="宋体" w:hAnsi="宋体" w:cs="宋体"/>
                <w:color w:val="auto"/>
                <w:sz w:val="22"/>
                <w:szCs w:val="22"/>
                <w:highlight w:val="none"/>
              </w:rPr>
              <w:t>现 任 职 务</w:t>
            </w:r>
          </w:p>
        </w:tc>
        <w:tc>
          <w:tcPr>
            <w:tcW w:w="2769" w:type="dxa"/>
            <w:vAlign w:val="center"/>
          </w:tcPr>
          <w:p>
            <w:pPr>
              <w:spacing w:line="360" w:lineRule="auto"/>
              <w:jc w:val="center"/>
              <w:rPr>
                <w:rFonts w:ascii="宋体" w:hAnsi="宋体" w:cs="宋体"/>
                <w:color w:val="auto"/>
                <w:sz w:val="22"/>
                <w:szCs w:val="22"/>
                <w:highlight w:val="none"/>
              </w:rPr>
            </w:pPr>
          </w:p>
        </w:tc>
        <w:tc>
          <w:tcPr>
            <w:tcW w:w="2373" w:type="dxa"/>
            <w:vAlign w:val="center"/>
          </w:tcPr>
          <w:p>
            <w:pPr>
              <w:spacing w:line="360" w:lineRule="auto"/>
              <w:jc w:val="center"/>
              <w:rPr>
                <w:rFonts w:ascii="宋体" w:hAnsi="宋体" w:cs="宋体"/>
                <w:color w:val="auto"/>
                <w:sz w:val="22"/>
                <w:szCs w:val="22"/>
                <w:highlight w:val="none"/>
              </w:rPr>
            </w:pPr>
            <w:r>
              <w:rPr>
                <w:rFonts w:hint="eastAsia" w:ascii="宋体" w:hAnsi="宋体" w:cs="宋体"/>
                <w:color w:val="auto"/>
                <w:sz w:val="22"/>
                <w:szCs w:val="22"/>
                <w:highlight w:val="none"/>
              </w:rPr>
              <w:t>从事专业工作时间</w:t>
            </w:r>
          </w:p>
        </w:tc>
        <w:tc>
          <w:tcPr>
            <w:tcW w:w="2617" w:type="dxa"/>
            <w:vAlign w:val="center"/>
          </w:tcPr>
          <w:p>
            <w:pPr>
              <w:spacing w:line="360" w:lineRule="auto"/>
              <w:rPr>
                <w:rFonts w:ascii="宋体" w:hAnsi="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095" w:type="dxa"/>
            <w:vAlign w:val="center"/>
          </w:tcPr>
          <w:p>
            <w:pPr>
              <w:spacing w:line="360" w:lineRule="auto"/>
              <w:jc w:val="center"/>
              <w:rPr>
                <w:rFonts w:ascii="宋体" w:hAnsi="宋体" w:cs="宋体"/>
                <w:color w:val="auto"/>
                <w:sz w:val="22"/>
                <w:szCs w:val="22"/>
                <w:highlight w:val="none"/>
              </w:rPr>
            </w:pPr>
            <w:r>
              <w:rPr>
                <w:rFonts w:hint="eastAsia" w:ascii="宋体" w:hAnsi="宋体" w:cs="宋体"/>
                <w:color w:val="auto"/>
                <w:sz w:val="22"/>
                <w:szCs w:val="22"/>
                <w:highlight w:val="none"/>
              </w:rPr>
              <w:t>资格证书号</w:t>
            </w:r>
          </w:p>
        </w:tc>
        <w:tc>
          <w:tcPr>
            <w:tcW w:w="2769" w:type="dxa"/>
            <w:vAlign w:val="center"/>
          </w:tcPr>
          <w:p>
            <w:pPr>
              <w:spacing w:line="360" w:lineRule="auto"/>
              <w:jc w:val="center"/>
              <w:rPr>
                <w:rFonts w:ascii="宋体" w:hAnsi="宋体" w:cs="宋体"/>
                <w:color w:val="auto"/>
                <w:sz w:val="22"/>
                <w:szCs w:val="22"/>
                <w:highlight w:val="none"/>
              </w:rPr>
            </w:pPr>
          </w:p>
        </w:tc>
        <w:tc>
          <w:tcPr>
            <w:tcW w:w="2373" w:type="dxa"/>
            <w:vAlign w:val="center"/>
          </w:tcPr>
          <w:p>
            <w:pPr>
              <w:spacing w:line="360" w:lineRule="auto"/>
              <w:jc w:val="center"/>
              <w:rPr>
                <w:rFonts w:ascii="宋体" w:hAnsi="宋体" w:cs="宋体"/>
                <w:color w:val="auto"/>
                <w:sz w:val="22"/>
                <w:szCs w:val="22"/>
                <w:highlight w:val="none"/>
              </w:rPr>
            </w:pPr>
            <w:r>
              <w:rPr>
                <w:rFonts w:hint="eastAsia" w:ascii="宋体" w:hAnsi="宋体" w:cs="宋体"/>
                <w:color w:val="auto"/>
                <w:sz w:val="22"/>
                <w:szCs w:val="22"/>
                <w:highlight w:val="none"/>
              </w:rPr>
              <w:t>岗位证书号</w:t>
            </w:r>
          </w:p>
        </w:tc>
        <w:tc>
          <w:tcPr>
            <w:tcW w:w="2617" w:type="dxa"/>
            <w:vAlign w:val="center"/>
          </w:tcPr>
          <w:p>
            <w:pPr>
              <w:spacing w:line="360" w:lineRule="auto"/>
              <w:rPr>
                <w:rFonts w:ascii="宋体" w:hAnsi="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04" w:hRule="atLeast"/>
          <w:jc w:val="center"/>
        </w:trPr>
        <w:tc>
          <w:tcPr>
            <w:tcW w:w="9854" w:type="dxa"/>
            <w:gridSpan w:val="4"/>
          </w:tcPr>
          <w:p>
            <w:pPr>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工作简历：</w:t>
            </w:r>
          </w:p>
        </w:tc>
      </w:tr>
    </w:tbl>
    <w:p>
      <w:pPr>
        <w:spacing w:before="240" w:beforeLines="100"/>
        <w:rPr>
          <w:rFonts w:ascii="宋体" w:hAnsi="宋体" w:cs="宋体"/>
          <w:color w:val="auto"/>
          <w:sz w:val="22"/>
          <w:szCs w:val="22"/>
          <w:highlight w:val="none"/>
        </w:rPr>
      </w:pPr>
      <w:r>
        <w:rPr>
          <w:rFonts w:hint="eastAsia" w:ascii="宋体" w:hAnsi="宋体" w:cs="宋体"/>
          <w:color w:val="auto"/>
          <w:sz w:val="22"/>
          <w:szCs w:val="22"/>
          <w:highlight w:val="none"/>
        </w:rPr>
        <w:t>注：本表后须附执业资格证书、职称证书等材料复印件，加盖投标人公章。</w:t>
      </w:r>
    </w:p>
    <w:p>
      <w:pPr>
        <w:spacing w:line="380" w:lineRule="exact"/>
        <w:ind w:firstLine="4400" w:firstLineChars="2000"/>
        <w:rPr>
          <w:rFonts w:ascii="宋体" w:hAnsi="宋体" w:cs="宋体"/>
          <w:color w:val="auto"/>
          <w:sz w:val="22"/>
          <w:szCs w:val="22"/>
          <w:highlight w:val="none"/>
        </w:rPr>
      </w:pPr>
      <w:r>
        <w:rPr>
          <w:rFonts w:hint="eastAsia" w:ascii="宋体" w:hAnsi="宋体" w:cs="宋体"/>
          <w:color w:val="auto"/>
          <w:sz w:val="22"/>
          <w:szCs w:val="22"/>
          <w:highlight w:val="none"/>
        </w:rPr>
        <w:t>投标人全称（公章）：</w:t>
      </w:r>
    </w:p>
    <w:p>
      <w:pPr>
        <w:spacing w:line="380" w:lineRule="exact"/>
        <w:ind w:firstLine="4400" w:firstLineChars="2000"/>
        <w:rPr>
          <w:rFonts w:ascii="宋体" w:hAnsi="宋体" w:cs="宋体"/>
          <w:color w:val="auto"/>
          <w:sz w:val="22"/>
          <w:szCs w:val="22"/>
          <w:highlight w:val="none"/>
        </w:rPr>
      </w:pPr>
      <w:r>
        <w:rPr>
          <w:rFonts w:hint="eastAsia" w:ascii="宋体" w:hAnsi="宋体" w:cs="宋体"/>
          <w:color w:val="auto"/>
          <w:sz w:val="22"/>
          <w:szCs w:val="22"/>
          <w:highlight w:val="none"/>
        </w:rPr>
        <w:t>法定代表人或授权代表（签字或盖章）：</w:t>
      </w:r>
    </w:p>
    <w:p>
      <w:pPr>
        <w:spacing w:line="380" w:lineRule="exact"/>
        <w:ind w:firstLine="4400" w:firstLineChars="2000"/>
        <w:rPr>
          <w:rFonts w:ascii="宋体" w:hAnsi="宋体" w:cs="宋体"/>
          <w:color w:val="auto"/>
          <w:sz w:val="22"/>
          <w:szCs w:val="22"/>
          <w:highlight w:val="none"/>
        </w:rPr>
      </w:pPr>
      <w:r>
        <w:rPr>
          <w:rFonts w:hint="eastAsia" w:ascii="宋体" w:hAnsi="宋体" w:cs="宋体"/>
          <w:color w:val="auto"/>
          <w:sz w:val="22"/>
          <w:szCs w:val="22"/>
          <w:highlight w:val="none"/>
        </w:rPr>
        <w:t>日期：</w:t>
      </w:r>
    </w:p>
    <w:p>
      <w:pP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br w:type="page"/>
      </w:r>
    </w:p>
    <w:p>
      <w:pPr>
        <w:keepNext w:val="0"/>
        <w:keepLines w:val="0"/>
        <w:pageBreakBefore w:val="0"/>
        <w:kinsoku/>
        <w:wordWrap/>
        <w:overflowPunct/>
        <w:topLinePunct w:val="0"/>
        <w:autoSpaceDE/>
        <w:autoSpaceDN/>
        <w:bidi w:val="0"/>
        <w:adjustRightInd/>
        <w:spacing w:line="360" w:lineRule="auto"/>
        <w:jc w:val="both"/>
        <w:textAlignment w:val="auto"/>
        <w:rPr>
          <w:rFonts w:hint="default" w:hAnsi="仿宋_GB2312" w:cs="仿宋_GB2312"/>
          <w:b/>
          <w:color w:val="auto"/>
          <w:kern w:val="0"/>
          <w:sz w:val="32"/>
          <w:szCs w:val="32"/>
          <w:highlight w:val="none"/>
          <w:lang w:val="en-US" w:eastAsia="zh-CN"/>
        </w:rPr>
      </w:pPr>
      <w:r>
        <w:rPr>
          <w:rFonts w:hint="eastAsia" w:ascii="宋体" w:hAnsi="宋体" w:eastAsia="宋体" w:cs="宋体"/>
          <w:b/>
          <w:bCs/>
          <w:color w:val="auto"/>
          <w:sz w:val="22"/>
          <w:szCs w:val="22"/>
          <w:highlight w:val="none"/>
          <w:lang w:val="en-US" w:eastAsia="zh-CN"/>
        </w:rPr>
        <w:t xml:space="preserve">附件九 </w:t>
      </w:r>
      <w:r>
        <w:rPr>
          <w:rFonts w:hint="eastAsia" w:ascii="宋体" w:hAnsi="宋体" w:eastAsia="宋体" w:cs="宋体"/>
          <w:b/>
          <w:bCs/>
          <w:color w:val="auto"/>
          <w:sz w:val="22"/>
          <w:szCs w:val="22"/>
          <w:highlight w:val="none"/>
          <w:lang w:val="zh-CN"/>
        </w:rPr>
        <w:t>联合协议</w:t>
      </w:r>
    </w:p>
    <w:p>
      <w:pPr>
        <w:keepNext w:val="0"/>
        <w:keepLines w:val="0"/>
        <w:pageBreakBefore w:val="0"/>
        <w:kinsoku/>
        <w:wordWrap/>
        <w:overflowPunct/>
        <w:topLinePunct w:val="0"/>
        <w:autoSpaceDE/>
        <w:autoSpaceDN/>
        <w:bidi w:val="0"/>
        <w:adjustRightInd/>
        <w:spacing w:line="360" w:lineRule="auto"/>
        <w:jc w:val="center"/>
        <w:textAlignment w:val="auto"/>
        <w:rPr>
          <w:rFonts w:ascii="仿宋_GB2312" w:hAnsi="仿宋_GB2312" w:eastAsia="仿宋_GB2312" w:cs="仿宋_GB2312"/>
          <w:b/>
          <w:color w:val="auto"/>
          <w:kern w:val="0"/>
          <w:sz w:val="28"/>
          <w:szCs w:val="28"/>
          <w:highlight w:val="none"/>
          <w:lang w:val="zh-CN"/>
        </w:rPr>
      </w:pPr>
      <w:r>
        <w:rPr>
          <w:rFonts w:hint="eastAsia" w:ascii="仿宋_GB2312" w:hAnsi="仿宋_GB2312" w:eastAsia="仿宋_GB2312" w:cs="仿宋_GB2312"/>
          <w:b/>
          <w:color w:val="auto"/>
          <w:kern w:val="0"/>
          <w:sz w:val="28"/>
          <w:szCs w:val="28"/>
          <w:highlight w:val="none"/>
          <w:lang w:val="zh-CN"/>
        </w:rPr>
        <w:t>联合协议</w:t>
      </w:r>
    </w:p>
    <w:p>
      <w:pPr>
        <w:keepNext w:val="0"/>
        <w:keepLines w:val="0"/>
        <w:pageBreakBefore w:val="0"/>
        <w:widowControl/>
        <w:kinsoku/>
        <w:wordWrap/>
        <w:overflowPunct/>
        <w:topLinePunct w:val="0"/>
        <w:autoSpaceDE/>
        <w:autoSpaceDN/>
        <w:bidi w:val="0"/>
        <w:adjustRightInd/>
        <w:spacing w:line="360" w:lineRule="auto"/>
        <w:ind w:firstLine="442" w:firstLineChars="200"/>
        <w:jc w:val="left"/>
        <w:textAlignment w:val="auto"/>
        <w:rPr>
          <w:rFonts w:ascii="仿宋_GB2312" w:hAnsi="仿宋" w:eastAsia="仿宋_GB2312" w:cs="仿宋_GB2312"/>
          <w:b/>
          <w:color w:val="auto"/>
          <w:sz w:val="22"/>
          <w:szCs w:val="18"/>
          <w:highlight w:val="none"/>
        </w:rPr>
      </w:pPr>
      <w:r>
        <w:rPr>
          <w:rFonts w:hint="eastAsia" w:ascii="仿宋_GB2312" w:hAnsi="仿宋" w:eastAsia="仿宋_GB2312" w:cs="仿宋_GB2312"/>
          <w:b/>
          <w:color w:val="auto"/>
          <w:sz w:val="22"/>
          <w:szCs w:val="18"/>
          <w:highlight w:val="none"/>
        </w:rPr>
        <w:t>（以联合体形式投标的，提供联合协议；本项目不接受联合体投标或者投标人不以联合体形式投标的，则不需要提供）</w:t>
      </w:r>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ascii="仿宋_GB2312" w:hAnsi="仿宋" w:eastAsia="仿宋_GB2312" w:cs="仿宋_GB2312"/>
          <w:color w:val="auto"/>
          <w:kern w:val="0"/>
          <w:sz w:val="22"/>
          <w:szCs w:val="18"/>
          <w:highlight w:val="none"/>
          <w:lang w:val="zh-CN"/>
        </w:rPr>
      </w:pPr>
      <w:r>
        <w:rPr>
          <w:rFonts w:hint="eastAsia" w:ascii="仿宋_GB2312" w:hAnsi="仿宋" w:eastAsia="仿宋_GB2312" w:cs="仿宋_GB2312"/>
          <w:color w:val="auto"/>
          <w:kern w:val="0"/>
          <w:sz w:val="22"/>
          <w:szCs w:val="18"/>
          <w:highlight w:val="none"/>
          <w:u w:val="single"/>
        </w:rPr>
        <w:t>（联合体所有成员名称）</w:t>
      </w:r>
      <w:r>
        <w:rPr>
          <w:rFonts w:hint="eastAsia" w:ascii="仿宋_GB2312" w:hAnsi="仿宋" w:eastAsia="仿宋_GB2312" w:cs="仿宋_GB2312"/>
          <w:color w:val="auto"/>
          <w:kern w:val="0"/>
          <w:sz w:val="22"/>
          <w:szCs w:val="18"/>
          <w:highlight w:val="none"/>
        </w:rPr>
        <w:t>自愿</w:t>
      </w:r>
      <w:r>
        <w:rPr>
          <w:rFonts w:hint="eastAsia" w:ascii="仿宋_GB2312" w:hAnsi="仿宋" w:eastAsia="仿宋_GB2312" w:cs="仿宋_GB2312"/>
          <w:color w:val="auto"/>
          <w:kern w:val="0"/>
          <w:sz w:val="22"/>
          <w:szCs w:val="18"/>
          <w:highlight w:val="none"/>
          <w:lang w:val="zh-CN"/>
        </w:rPr>
        <w:t>组成一个联合体，以一个投标人的身份</w:t>
      </w:r>
      <w:r>
        <w:rPr>
          <w:rFonts w:hint="eastAsia" w:ascii="仿宋_GB2312" w:hAnsi="仿宋" w:eastAsia="仿宋_GB2312" w:cs="仿宋_GB2312"/>
          <w:color w:val="auto"/>
          <w:kern w:val="0"/>
          <w:sz w:val="22"/>
          <w:szCs w:val="18"/>
          <w:highlight w:val="none"/>
        </w:rPr>
        <w:t>参加</w:t>
      </w:r>
      <w:r>
        <w:rPr>
          <w:rFonts w:hint="eastAsia" w:ascii="仿宋_GB2312" w:hAnsi="仿宋" w:eastAsia="仿宋_GB2312" w:cs="仿宋_GB2312"/>
          <w:color w:val="auto"/>
          <w:sz w:val="22"/>
          <w:szCs w:val="18"/>
          <w:highlight w:val="none"/>
        </w:rPr>
        <w:t>（项目名称）【招标编号：</w:t>
      </w:r>
      <w:r>
        <w:rPr>
          <w:rFonts w:hint="eastAsia" w:ascii="仿宋_GB2312" w:hAnsi="仿宋" w:eastAsia="仿宋_GB2312"/>
          <w:color w:val="auto"/>
          <w:sz w:val="22"/>
          <w:szCs w:val="18"/>
          <w:highlight w:val="none"/>
        </w:rPr>
        <w:t>（采购编号）</w:t>
      </w:r>
      <w:r>
        <w:rPr>
          <w:rFonts w:hint="eastAsia" w:ascii="仿宋_GB2312" w:hAnsi="仿宋" w:eastAsia="仿宋_GB2312" w:cs="仿宋_GB2312"/>
          <w:color w:val="auto"/>
          <w:sz w:val="22"/>
          <w:szCs w:val="18"/>
          <w:highlight w:val="none"/>
        </w:rPr>
        <w:t>】</w:t>
      </w:r>
      <w:r>
        <w:rPr>
          <w:rFonts w:hint="eastAsia" w:ascii="仿宋_GB2312" w:hAnsi="仿宋" w:eastAsia="仿宋_GB2312" w:cs="仿宋_GB2312"/>
          <w:color w:val="auto"/>
          <w:kern w:val="0"/>
          <w:sz w:val="22"/>
          <w:szCs w:val="18"/>
          <w:highlight w:val="none"/>
          <w:lang w:val="zh-CN"/>
        </w:rPr>
        <w:t>投标。</w:t>
      </w:r>
      <w:r>
        <w:rPr>
          <w:rFonts w:ascii="仿宋_GB2312" w:hAnsi="仿宋" w:eastAsia="仿宋_GB2312" w:cs="仿宋_GB2312"/>
          <w:color w:val="auto"/>
          <w:kern w:val="0"/>
          <w:sz w:val="22"/>
          <w:szCs w:val="18"/>
          <w:highlight w:val="none"/>
          <w:lang w:val="zh-CN"/>
        </w:rPr>
        <w:t xml:space="preserve"> </w:t>
      </w:r>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ascii="仿宋_GB2312" w:hAnsi="仿宋" w:eastAsia="仿宋_GB2312" w:cs="仿宋_GB2312"/>
          <w:color w:val="auto"/>
          <w:kern w:val="0"/>
          <w:sz w:val="22"/>
          <w:szCs w:val="18"/>
          <w:highlight w:val="none"/>
          <w:lang w:val="zh-CN"/>
        </w:rPr>
      </w:pPr>
      <w:r>
        <w:rPr>
          <w:rFonts w:hint="eastAsia" w:ascii="仿宋_GB2312" w:hAnsi="仿宋" w:eastAsia="仿宋_GB2312" w:cs="仿宋_GB2312"/>
          <w:color w:val="auto"/>
          <w:kern w:val="0"/>
          <w:sz w:val="22"/>
          <w:szCs w:val="18"/>
          <w:highlight w:val="none"/>
          <w:lang w:val="zh-CN"/>
        </w:rPr>
        <w:t>一、各方一致决定，</w:t>
      </w:r>
      <w:r>
        <w:rPr>
          <w:rFonts w:hint="eastAsia" w:ascii="仿宋_GB2312" w:hAnsi="仿宋" w:eastAsia="仿宋_GB2312" w:cs="仿宋_GB2312"/>
          <w:color w:val="auto"/>
          <w:kern w:val="0"/>
          <w:sz w:val="22"/>
          <w:szCs w:val="18"/>
          <w:highlight w:val="none"/>
          <w:u w:val="single"/>
        </w:rPr>
        <w:t>（某联合体成员名称）</w:t>
      </w:r>
      <w:r>
        <w:rPr>
          <w:rFonts w:hint="eastAsia" w:ascii="仿宋_GB2312" w:hAnsi="仿宋" w:eastAsia="仿宋_GB2312" w:cs="仿宋_GB2312"/>
          <w:color w:val="auto"/>
          <w:kern w:val="0"/>
          <w:sz w:val="22"/>
          <w:szCs w:val="18"/>
          <w:highlight w:val="none"/>
        </w:rPr>
        <w:t>为联合体</w:t>
      </w:r>
      <w:r>
        <w:rPr>
          <w:rFonts w:hint="eastAsia" w:ascii="仿宋_GB2312" w:hAnsi="仿宋" w:eastAsia="仿宋_GB2312" w:cs="仿宋_GB2312"/>
          <w:color w:val="auto"/>
          <w:kern w:val="0"/>
          <w:sz w:val="22"/>
          <w:szCs w:val="18"/>
          <w:highlight w:val="none"/>
          <w:lang w:val="zh-CN"/>
        </w:rPr>
        <w:t>牵头人</w:t>
      </w:r>
      <w:r>
        <w:rPr>
          <w:rFonts w:hint="eastAsia" w:ascii="仿宋_GB2312" w:hAnsi="仿宋" w:eastAsia="仿宋_GB2312" w:cs="Arial"/>
          <w:color w:val="auto"/>
          <w:sz w:val="22"/>
          <w:szCs w:val="18"/>
          <w:highlight w:val="none"/>
        </w:rPr>
        <w:t>，代表所有联合体成员负责投标和合同实施阶段的主办、协调工作</w:t>
      </w:r>
      <w:r>
        <w:rPr>
          <w:rFonts w:hint="eastAsia" w:ascii="仿宋_GB2312" w:hAnsi="仿宋" w:eastAsia="仿宋_GB2312" w:cs="仿宋_GB2312"/>
          <w:color w:val="auto"/>
          <w:kern w:val="0"/>
          <w:sz w:val="22"/>
          <w:szCs w:val="18"/>
          <w:highlight w:val="none"/>
          <w:lang w:val="zh-CN"/>
        </w:rPr>
        <w:t>。</w:t>
      </w:r>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ascii="仿宋_GB2312" w:hAnsi="仿宋" w:eastAsia="仿宋_GB2312" w:cs="仿宋_GB2312"/>
          <w:color w:val="auto"/>
          <w:kern w:val="0"/>
          <w:sz w:val="22"/>
          <w:szCs w:val="18"/>
          <w:highlight w:val="none"/>
          <w:lang w:val="zh-CN"/>
        </w:rPr>
      </w:pPr>
      <w:r>
        <w:rPr>
          <w:rFonts w:hint="eastAsia" w:ascii="仿宋_GB2312" w:hAnsi="仿宋" w:eastAsia="仿宋_GB2312" w:cs="仿宋_GB2312"/>
          <w:color w:val="auto"/>
          <w:kern w:val="0"/>
          <w:sz w:val="22"/>
          <w:szCs w:val="18"/>
          <w:highlight w:val="none"/>
          <w:lang w:val="zh-CN"/>
        </w:rPr>
        <w:t>二、</w:t>
      </w:r>
      <w:r>
        <w:rPr>
          <w:rFonts w:hint="eastAsia" w:ascii="仿宋_GB2312" w:hAnsi="仿宋" w:eastAsia="仿宋_GB2312" w:cs="Arial"/>
          <w:color w:val="auto"/>
          <w:sz w:val="22"/>
          <w:szCs w:val="18"/>
          <w:highlight w:val="none"/>
        </w:rPr>
        <w:t>所有联合体成员各方签署授权书，授权书载明的</w:t>
      </w:r>
      <w:r>
        <w:rPr>
          <w:rFonts w:hint="eastAsia" w:ascii="仿宋_GB2312" w:hAnsi="仿宋" w:eastAsia="仿宋_GB2312" w:cs="仿宋_GB2312"/>
          <w:color w:val="auto"/>
          <w:kern w:val="0"/>
          <w:sz w:val="22"/>
          <w:szCs w:val="18"/>
          <w:highlight w:val="none"/>
          <w:lang w:val="zh-CN"/>
        </w:rPr>
        <w:t>授权代表根据招标文件规定及投标内容而对采购人、采购机构所作的任何合法承诺，包括书面澄清及相应等均对联合投标各方产生约束力。</w:t>
      </w:r>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ascii="仿宋_GB2312" w:hAnsi="仿宋" w:eastAsia="仿宋_GB2312" w:cs="仿宋_GB2312"/>
          <w:color w:val="auto"/>
          <w:kern w:val="0"/>
          <w:sz w:val="22"/>
          <w:szCs w:val="18"/>
          <w:highlight w:val="none"/>
          <w:lang w:val="zh-CN"/>
        </w:rPr>
      </w:pPr>
      <w:r>
        <w:rPr>
          <w:rFonts w:hint="eastAsia" w:ascii="仿宋_GB2312" w:hAnsi="仿宋" w:eastAsia="仿宋_GB2312" w:cs="仿宋_GB2312"/>
          <w:color w:val="auto"/>
          <w:kern w:val="0"/>
          <w:sz w:val="22"/>
          <w:szCs w:val="18"/>
          <w:highlight w:val="none"/>
          <w:lang w:val="zh-CN"/>
        </w:rPr>
        <w:t>三、本次联合投标中，分工如下：</w:t>
      </w:r>
      <w:r>
        <w:rPr>
          <w:rFonts w:hint="eastAsia" w:ascii="仿宋_GB2312" w:hAnsi="仿宋" w:eastAsia="仿宋_GB2312" w:cs="仿宋_GB2312"/>
          <w:color w:val="auto"/>
          <w:kern w:val="0"/>
          <w:sz w:val="22"/>
          <w:szCs w:val="18"/>
          <w:highlight w:val="none"/>
          <w:u w:val="single"/>
        </w:rPr>
        <w:t>（联合体其中一方成员名称）</w:t>
      </w:r>
      <w:r>
        <w:rPr>
          <w:rFonts w:hint="eastAsia" w:ascii="仿宋_GB2312" w:hAnsi="仿宋" w:eastAsia="仿宋_GB2312" w:cs="仿宋_GB2312"/>
          <w:color w:val="auto"/>
          <w:kern w:val="0"/>
          <w:sz w:val="22"/>
          <w:szCs w:val="18"/>
          <w:highlight w:val="none"/>
          <w:lang w:val="zh-CN"/>
        </w:rPr>
        <w:t>承担的工作和义务为：</w:t>
      </w:r>
      <w:r>
        <w:rPr>
          <w:rFonts w:ascii="仿宋_GB2312" w:hAnsi="仿宋" w:eastAsia="仿宋_GB2312"/>
          <w:color w:val="auto"/>
          <w:sz w:val="20"/>
          <w:szCs w:val="18"/>
          <w:highlight w:val="none"/>
          <w:u w:val="single"/>
        </w:rPr>
        <w:t xml:space="preserve">             </w:t>
      </w:r>
      <w:r>
        <w:rPr>
          <w:rFonts w:hint="eastAsia" w:ascii="仿宋_GB2312" w:hAnsi="仿宋" w:eastAsia="仿宋_GB2312" w:cs="仿宋_GB2312"/>
          <w:color w:val="auto"/>
          <w:kern w:val="0"/>
          <w:sz w:val="22"/>
          <w:szCs w:val="18"/>
          <w:highlight w:val="none"/>
          <w:lang w:val="zh-CN"/>
        </w:rPr>
        <w:t>；</w:t>
      </w:r>
      <w:r>
        <w:rPr>
          <w:rFonts w:ascii="仿宋_GB2312" w:hAnsi="仿宋" w:eastAsia="仿宋_GB2312" w:cs="仿宋_GB2312"/>
          <w:color w:val="auto"/>
          <w:kern w:val="0"/>
          <w:sz w:val="22"/>
          <w:szCs w:val="18"/>
          <w:highlight w:val="none"/>
          <w:lang w:val="zh-CN"/>
        </w:rPr>
        <w:t>……。</w:t>
      </w:r>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ascii="仿宋_GB2312" w:hAnsi="仿宋" w:eastAsia="仿宋_GB2312" w:cs="仿宋_GB2312"/>
          <w:b/>
          <w:color w:val="auto"/>
          <w:kern w:val="0"/>
          <w:sz w:val="22"/>
          <w:szCs w:val="18"/>
          <w:highlight w:val="none"/>
          <w:lang w:val="zh-CN"/>
        </w:rPr>
      </w:pPr>
      <w:r>
        <w:rPr>
          <w:rFonts w:hint="eastAsia" w:ascii="仿宋_GB2312" w:hAnsi="仿宋" w:eastAsia="仿宋_GB2312" w:cs="仿宋_GB2312"/>
          <w:color w:val="auto"/>
          <w:kern w:val="0"/>
          <w:sz w:val="22"/>
          <w:szCs w:val="18"/>
          <w:highlight w:val="none"/>
          <w:lang w:val="zh-CN"/>
        </w:rPr>
        <w:t>四、</w:t>
      </w:r>
      <w:r>
        <w:rPr>
          <w:rFonts w:hint="eastAsia" w:ascii="仿宋_GB2312" w:hAnsi="仿宋" w:eastAsia="仿宋_GB2312" w:cs="仿宋_GB2312"/>
          <w:color w:val="auto"/>
          <w:kern w:val="0"/>
          <w:sz w:val="22"/>
          <w:szCs w:val="18"/>
          <w:highlight w:val="none"/>
          <w:u w:val="single"/>
        </w:rPr>
        <w:t>（联合体其中一方成员名称）</w:t>
      </w:r>
      <w:r>
        <w:rPr>
          <w:rFonts w:hint="eastAsia" w:ascii="仿宋_GB2312" w:hAnsi="仿宋" w:eastAsia="仿宋_GB2312" w:cs="仿宋_GB2312"/>
          <w:color w:val="auto"/>
          <w:kern w:val="0"/>
          <w:sz w:val="22"/>
          <w:szCs w:val="18"/>
          <w:highlight w:val="none"/>
          <w:lang w:val="en-US" w:eastAsia="zh-CN"/>
        </w:rPr>
        <w:t>为</w:t>
      </w:r>
      <w:r>
        <w:rPr>
          <w:rFonts w:hint="eastAsia" w:ascii="仿宋_GB2312" w:hAnsi="仿宋" w:eastAsia="仿宋_GB2312" w:cs="仿宋_GB2312"/>
          <w:color w:val="auto"/>
          <w:kern w:val="0"/>
          <w:sz w:val="22"/>
          <w:szCs w:val="18"/>
          <w:highlight w:val="none"/>
        </w:rPr>
        <w:t>由小微企业，其合同份额占到合同总金额</w:t>
      </w:r>
      <w:r>
        <w:rPr>
          <w:rFonts w:ascii="仿宋_GB2312" w:hAnsi="仿宋" w:eastAsia="仿宋_GB2312" w:cs="仿宋_GB2312"/>
          <w:color w:val="auto"/>
          <w:kern w:val="0"/>
          <w:sz w:val="22"/>
          <w:szCs w:val="18"/>
          <w:highlight w:val="none"/>
          <w:u w:val="single"/>
        </w:rPr>
        <w:t xml:space="preserve">     </w:t>
      </w:r>
      <w:r>
        <w:rPr>
          <w:rFonts w:ascii="仿宋_GB2312" w:hAnsi="仿宋" w:eastAsia="仿宋_GB2312" w:cs="仿宋_GB2312"/>
          <w:color w:val="auto"/>
          <w:kern w:val="0"/>
          <w:sz w:val="22"/>
          <w:szCs w:val="18"/>
          <w:highlight w:val="none"/>
        </w:rPr>
        <w:t>%以上；</w:t>
      </w:r>
      <w:r>
        <w:rPr>
          <w:rFonts w:hint="eastAsia" w:ascii="仿宋_GB2312" w:hAnsi="仿宋" w:eastAsia="仿宋_GB2312" w:cs="仿宋_GB2312"/>
          <w:color w:val="auto"/>
          <w:kern w:val="0"/>
          <w:sz w:val="22"/>
          <w:szCs w:val="18"/>
          <w:highlight w:val="none"/>
          <w:lang w:val="zh-CN"/>
        </w:rPr>
        <w:t>……。</w:t>
      </w:r>
      <w:r>
        <w:rPr>
          <w:rFonts w:hint="eastAsia" w:ascii="仿宋_GB2312" w:hAnsi="仿宋" w:eastAsia="仿宋_GB2312" w:cs="仿宋_GB2312"/>
          <w:b/>
          <w:color w:val="auto"/>
          <w:kern w:val="0"/>
          <w:sz w:val="22"/>
          <w:szCs w:val="18"/>
          <w:highlight w:val="none"/>
          <w:lang w:val="zh-CN"/>
        </w:rPr>
        <w:t>（未预留份额专门面向中小企业采购的的采购项目，以及预留份额中的非预留部分采购包，接受联合体投标的，联合体其中一方提供的</w:t>
      </w:r>
      <w:r>
        <w:rPr>
          <w:rFonts w:hint="eastAsia" w:ascii="仿宋_GB2312" w:hAnsi="仿宋" w:eastAsia="仿宋_GB2312" w:cs="仿宋_GB2312"/>
          <w:b/>
          <w:color w:val="auto"/>
          <w:kern w:val="0"/>
          <w:sz w:val="22"/>
          <w:szCs w:val="18"/>
          <w:highlight w:val="none"/>
          <w:lang w:val="en-US" w:eastAsia="zh-CN"/>
        </w:rPr>
        <w:t>服务为</w:t>
      </w:r>
      <w:r>
        <w:rPr>
          <w:rFonts w:hint="eastAsia" w:ascii="仿宋_GB2312" w:hAnsi="仿宋" w:eastAsia="仿宋_GB2312" w:cs="仿宋_GB2312"/>
          <w:b/>
          <w:color w:val="auto"/>
          <w:kern w:val="0"/>
          <w:sz w:val="22"/>
          <w:szCs w:val="18"/>
          <w:highlight w:val="none"/>
          <w:lang w:val="zh-CN"/>
        </w:rPr>
        <w:t>小微企业</w:t>
      </w:r>
      <w:r>
        <w:rPr>
          <w:rFonts w:hint="eastAsia" w:ascii="仿宋_GB2312" w:hAnsi="仿宋" w:eastAsia="仿宋_GB2312" w:cs="仿宋_GB2312"/>
          <w:b/>
          <w:color w:val="auto"/>
          <w:kern w:val="0"/>
          <w:sz w:val="22"/>
          <w:szCs w:val="18"/>
          <w:highlight w:val="none"/>
          <w:lang w:val="en-US" w:eastAsia="zh-CN"/>
        </w:rPr>
        <w:t>提供</w:t>
      </w:r>
      <w:r>
        <w:rPr>
          <w:rFonts w:hint="eastAsia" w:ascii="仿宋_GB2312" w:hAnsi="仿宋" w:eastAsia="仿宋_GB2312" w:cs="仿宋_GB2312"/>
          <w:b/>
          <w:color w:val="auto"/>
          <w:kern w:val="0"/>
          <w:sz w:val="22"/>
          <w:szCs w:val="18"/>
          <w:highlight w:val="none"/>
          <w:lang w:val="zh-CN"/>
        </w:rPr>
        <w:t>，且其合同份额占到合同总金额</w:t>
      </w:r>
      <w:r>
        <w:rPr>
          <w:rFonts w:ascii="仿宋_GB2312" w:hAnsi="仿宋" w:eastAsia="仿宋_GB2312" w:cs="仿宋_GB2312"/>
          <w:b/>
          <w:color w:val="auto"/>
          <w:kern w:val="0"/>
          <w:sz w:val="22"/>
          <w:szCs w:val="18"/>
          <w:highlight w:val="none"/>
          <w:lang w:val="zh-CN"/>
        </w:rPr>
        <w:t xml:space="preserve"> 30%以上</w:t>
      </w:r>
      <w:r>
        <w:rPr>
          <w:rFonts w:hint="eastAsia" w:ascii="仿宋_GB2312" w:hAnsi="仿宋" w:eastAsia="仿宋_GB2312" w:cs="仿宋_GB2312"/>
          <w:b/>
          <w:color w:val="auto"/>
          <w:kern w:val="0"/>
          <w:sz w:val="22"/>
          <w:szCs w:val="18"/>
          <w:highlight w:val="none"/>
          <w:lang w:val="zh-CN"/>
        </w:rPr>
        <w:t>，对联合体报价给予</w:t>
      </w:r>
      <w:r>
        <w:rPr>
          <w:rFonts w:hint="eastAsia" w:ascii="仿宋_GB2312" w:hAnsi="仿宋" w:eastAsia="仿宋_GB2312" w:cs="仿宋_GB2312"/>
          <w:b/>
          <w:color w:val="auto"/>
          <w:kern w:val="0"/>
          <w:sz w:val="22"/>
          <w:szCs w:val="18"/>
          <w:highlight w:val="none"/>
          <w:lang w:val="en-US" w:eastAsia="zh-CN"/>
        </w:rPr>
        <w:t>6</w:t>
      </w:r>
      <w:r>
        <w:rPr>
          <w:rFonts w:ascii="仿宋_GB2312" w:hAnsi="仿宋" w:eastAsia="仿宋_GB2312" w:cs="仿宋_GB2312"/>
          <w:b/>
          <w:color w:val="auto"/>
          <w:kern w:val="0"/>
          <w:sz w:val="22"/>
          <w:szCs w:val="18"/>
          <w:highlight w:val="none"/>
          <w:lang w:val="zh-CN"/>
        </w:rPr>
        <w:t>%的扣除</w:t>
      </w:r>
      <w:r>
        <w:rPr>
          <w:rFonts w:hint="eastAsia" w:ascii="仿宋_GB2312" w:hAnsi="仿宋" w:eastAsia="仿宋_GB2312" w:cs="仿宋_GB2312"/>
          <w:b/>
          <w:color w:val="auto"/>
          <w:kern w:val="0"/>
          <w:sz w:val="22"/>
          <w:szCs w:val="18"/>
          <w:highlight w:val="none"/>
          <w:lang w:val="zh-CN"/>
        </w:rPr>
        <w:t>，</w:t>
      </w:r>
      <w:r>
        <w:rPr>
          <w:rFonts w:ascii="仿宋_GB2312" w:hAnsi="仿宋" w:eastAsia="仿宋_GB2312" w:cs="仿宋_GB2312"/>
          <w:b/>
          <w:color w:val="auto"/>
          <w:kern w:val="0"/>
          <w:sz w:val="22"/>
          <w:szCs w:val="18"/>
          <w:highlight w:val="none"/>
          <w:lang w:val="zh-CN"/>
        </w:rPr>
        <w:t>须提供</w:t>
      </w:r>
      <w:r>
        <w:rPr>
          <w:rFonts w:hint="eastAsia" w:ascii="仿宋_GB2312" w:hAnsi="仿宋" w:eastAsia="仿宋_GB2312" w:cs="仿宋_GB2312"/>
          <w:b/>
          <w:color w:val="auto"/>
          <w:kern w:val="0"/>
          <w:sz w:val="22"/>
          <w:szCs w:val="18"/>
          <w:highlight w:val="none"/>
          <w:lang w:val="zh-CN"/>
        </w:rPr>
        <w:t>《</w:t>
      </w:r>
      <w:r>
        <w:rPr>
          <w:rFonts w:ascii="仿宋_GB2312" w:hAnsi="仿宋" w:eastAsia="仿宋_GB2312" w:cs="仿宋_GB2312"/>
          <w:b/>
          <w:color w:val="auto"/>
          <w:kern w:val="0"/>
          <w:sz w:val="22"/>
          <w:szCs w:val="18"/>
          <w:highlight w:val="none"/>
          <w:lang w:val="zh-CN"/>
        </w:rPr>
        <w:t>中小企业声明函</w:t>
      </w:r>
      <w:r>
        <w:rPr>
          <w:rFonts w:hint="eastAsia" w:ascii="仿宋_GB2312" w:hAnsi="仿宋" w:eastAsia="仿宋_GB2312" w:cs="仿宋_GB2312"/>
          <w:b/>
          <w:color w:val="auto"/>
          <w:kern w:val="0"/>
          <w:sz w:val="22"/>
          <w:szCs w:val="18"/>
          <w:highlight w:val="none"/>
          <w:lang w:val="zh-CN"/>
        </w:rPr>
        <w:t>》。）</w:t>
      </w:r>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ascii="仿宋_GB2312" w:hAnsi="仿宋" w:eastAsia="仿宋_GB2312" w:cs="仿宋_GB2312"/>
          <w:color w:val="auto"/>
          <w:kern w:val="0"/>
          <w:sz w:val="22"/>
          <w:szCs w:val="18"/>
          <w:highlight w:val="none"/>
          <w:lang w:val="zh-CN"/>
        </w:rPr>
      </w:pPr>
      <w:r>
        <w:rPr>
          <w:rFonts w:hint="eastAsia" w:ascii="仿宋_GB2312" w:hAnsi="仿宋" w:eastAsia="仿宋_GB2312" w:cs="仿宋_GB2312"/>
          <w:color w:val="auto"/>
          <w:kern w:val="0"/>
          <w:sz w:val="22"/>
          <w:szCs w:val="18"/>
          <w:highlight w:val="none"/>
          <w:lang w:val="zh-CN"/>
        </w:rPr>
        <w:t>五、如果中标，</w:t>
      </w:r>
      <w:r>
        <w:rPr>
          <w:rFonts w:hint="eastAsia" w:ascii="仿宋_GB2312" w:hAnsi="仿宋" w:eastAsia="仿宋_GB2312"/>
          <w:color w:val="auto"/>
          <w:sz w:val="22"/>
          <w:szCs w:val="18"/>
          <w:highlight w:val="none"/>
        </w:rPr>
        <w:t>联合体各成员方共同与采购人签订合同，并就采购合同约定的事项对采购人承担连带责任。</w:t>
      </w:r>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ascii="仿宋_GB2312" w:hAnsi="仿宋" w:eastAsia="仿宋_GB2312" w:cs="仿宋_GB2312"/>
          <w:color w:val="auto"/>
          <w:kern w:val="0"/>
          <w:sz w:val="22"/>
          <w:szCs w:val="18"/>
          <w:highlight w:val="none"/>
          <w:lang w:val="zh-CN"/>
        </w:rPr>
      </w:pPr>
      <w:r>
        <w:rPr>
          <w:rFonts w:hint="eastAsia" w:ascii="仿宋_GB2312" w:hAnsi="仿宋" w:eastAsia="仿宋_GB2312" w:cs="仿宋_GB2312"/>
          <w:color w:val="auto"/>
          <w:kern w:val="0"/>
          <w:sz w:val="22"/>
          <w:szCs w:val="18"/>
          <w:highlight w:val="none"/>
          <w:lang w:val="zh-CN"/>
        </w:rPr>
        <w:t>六、有关本次联合投标的其他事宜：</w:t>
      </w:r>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ascii="仿宋_GB2312" w:hAnsi="仿宋" w:eastAsia="仿宋_GB2312" w:cs="仿宋_GB2312"/>
          <w:color w:val="auto"/>
          <w:kern w:val="0"/>
          <w:sz w:val="22"/>
          <w:szCs w:val="18"/>
          <w:highlight w:val="none"/>
          <w:lang w:val="zh-CN"/>
        </w:rPr>
      </w:pPr>
      <w:r>
        <w:rPr>
          <w:rFonts w:ascii="仿宋_GB2312" w:hAnsi="仿宋" w:eastAsia="仿宋_GB2312" w:cs="仿宋_GB2312"/>
          <w:color w:val="auto"/>
          <w:kern w:val="0"/>
          <w:sz w:val="22"/>
          <w:szCs w:val="18"/>
          <w:highlight w:val="none"/>
          <w:lang w:val="zh-CN"/>
        </w:rPr>
        <w:t>1、联合体各方不再单独参加或者与其</w:t>
      </w:r>
      <w:r>
        <w:rPr>
          <w:rFonts w:hint="eastAsia" w:ascii="仿宋_GB2312" w:hAnsi="仿宋" w:eastAsia="仿宋_GB2312" w:cs="仿宋_GB2312"/>
          <w:color w:val="auto"/>
          <w:kern w:val="0"/>
          <w:sz w:val="22"/>
          <w:szCs w:val="18"/>
          <w:highlight w:val="none"/>
          <w:lang w:val="zh-CN"/>
        </w:rPr>
        <w:t>他供应商另外组成联合体参加同一合同项下的政府采购活动。</w:t>
      </w:r>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ascii="仿宋_GB2312" w:hAnsi="仿宋" w:eastAsia="仿宋_GB2312" w:cs="仿宋_GB2312"/>
          <w:color w:val="auto"/>
          <w:kern w:val="0"/>
          <w:sz w:val="22"/>
          <w:szCs w:val="18"/>
          <w:highlight w:val="none"/>
          <w:lang w:val="zh-CN"/>
        </w:rPr>
      </w:pPr>
      <w:r>
        <w:rPr>
          <w:rFonts w:ascii="仿宋_GB2312" w:hAnsi="仿宋" w:eastAsia="仿宋_GB2312" w:cs="仿宋_GB2312"/>
          <w:color w:val="auto"/>
          <w:kern w:val="0"/>
          <w:sz w:val="22"/>
          <w:szCs w:val="18"/>
          <w:highlight w:val="none"/>
          <w:lang w:val="zh-CN"/>
        </w:rPr>
        <w:t>2、联合体中有同类资质的各方按照联合体分工承担相同工作的，按照资质等级较低的供应商确定资质等级。</w:t>
      </w:r>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ascii="仿宋_GB2312" w:hAnsi="仿宋" w:eastAsia="仿宋_GB2312" w:cs="仿宋_GB2312"/>
          <w:color w:val="auto"/>
          <w:kern w:val="0"/>
          <w:sz w:val="22"/>
          <w:szCs w:val="18"/>
          <w:highlight w:val="none"/>
          <w:lang w:val="zh-CN"/>
        </w:rPr>
      </w:pPr>
      <w:r>
        <w:rPr>
          <w:rFonts w:ascii="仿宋_GB2312" w:hAnsi="仿宋" w:eastAsia="仿宋_GB2312" w:cs="仿宋_GB2312"/>
          <w:color w:val="auto"/>
          <w:kern w:val="0"/>
          <w:sz w:val="22"/>
          <w:szCs w:val="18"/>
          <w:highlight w:val="none"/>
          <w:lang w:val="zh-CN"/>
        </w:rPr>
        <w:t>3、本协议提交采购人、采购机构后，联合体各方不得以任何形式对上述内容进行修改或撤销。</w:t>
      </w:r>
    </w:p>
    <w:p>
      <w:pPr>
        <w:keepNext w:val="0"/>
        <w:keepLines w:val="0"/>
        <w:pageBreakBefore w:val="0"/>
        <w:kinsoku/>
        <w:wordWrap/>
        <w:overflowPunct/>
        <w:topLinePunct w:val="0"/>
        <w:autoSpaceDE/>
        <w:autoSpaceDN/>
        <w:bidi w:val="0"/>
        <w:adjustRightInd/>
        <w:snapToGrid w:val="0"/>
        <w:spacing w:line="360" w:lineRule="auto"/>
        <w:ind w:firstLine="4620" w:firstLineChars="2100"/>
        <w:textAlignment w:val="auto"/>
        <w:rPr>
          <w:rFonts w:ascii="仿宋_GB2312" w:hAnsi="仿宋" w:eastAsia="仿宋_GB2312" w:cs="仿宋_GB2312"/>
          <w:color w:val="auto"/>
          <w:kern w:val="0"/>
          <w:sz w:val="22"/>
          <w:szCs w:val="18"/>
          <w:highlight w:val="none"/>
          <w:lang w:val="zh-CN"/>
        </w:rPr>
      </w:pPr>
      <w:r>
        <w:rPr>
          <w:rFonts w:hint="eastAsia" w:ascii="仿宋_GB2312" w:hAnsi="仿宋" w:eastAsia="仿宋_GB2312" w:cs="仿宋_GB2312"/>
          <w:color w:val="auto"/>
          <w:kern w:val="0"/>
          <w:sz w:val="22"/>
          <w:szCs w:val="18"/>
          <w:highlight w:val="none"/>
          <w:lang w:val="zh-CN"/>
        </w:rPr>
        <w:t>联合体成员名称</w:t>
      </w:r>
      <w:r>
        <w:rPr>
          <w:rFonts w:ascii="仿宋_GB2312" w:hAnsi="仿宋" w:eastAsia="仿宋_GB2312" w:cs="仿宋_GB2312"/>
          <w:color w:val="auto"/>
          <w:kern w:val="0"/>
          <w:sz w:val="22"/>
          <w:szCs w:val="18"/>
          <w:highlight w:val="none"/>
          <w:lang w:val="zh-CN"/>
        </w:rPr>
        <w:t>(</w:t>
      </w:r>
      <w:r>
        <w:rPr>
          <w:rFonts w:hint="eastAsia" w:ascii="仿宋_GB2312" w:hAnsi="仿宋_GB2312" w:eastAsia="仿宋_GB2312" w:cs="仿宋_GB2312"/>
          <w:color w:val="auto"/>
          <w:kern w:val="0"/>
          <w:sz w:val="22"/>
          <w:szCs w:val="18"/>
          <w:highlight w:val="none"/>
          <w:lang w:val="en-US" w:eastAsia="zh-CN"/>
        </w:rPr>
        <w:t>法人</w:t>
      </w:r>
      <w:r>
        <w:rPr>
          <w:rFonts w:hint="eastAsia" w:ascii="仿宋_GB2312" w:hAnsi="仿宋_GB2312" w:eastAsia="仿宋_GB2312" w:cs="仿宋_GB2312"/>
          <w:color w:val="auto"/>
          <w:kern w:val="0"/>
          <w:sz w:val="22"/>
          <w:szCs w:val="18"/>
          <w:highlight w:val="none"/>
          <w:lang w:val="zh-CN"/>
        </w:rPr>
        <w:t>章</w:t>
      </w:r>
      <w:r>
        <w:rPr>
          <w:rFonts w:ascii="仿宋_GB2312" w:hAnsi="仿宋" w:eastAsia="仿宋_GB2312" w:cs="仿宋_GB2312"/>
          <w:color w:val="auto"/>
          <w:kern w:val="0"/>
          <w:sz w:val="22"/>
          <w:szCs w:val="18"/>
          <w:highlight w:val="none"/>
          <w:lang w:val="zh-CN"/>
        </w:rPr>
        <w:t>/公章)：</w:t>
      </w:r>
    </w:p>
    <w:p>
      <w:pPr>
        <w:keepNext w:val="0"/>
        <w:keepLines w:val="0"/>
        <w:pageBreakBefore w:val="0"/>
        <w:kinsoku/>
        <w:wordWrap/>
        <w:overflowPunct/>
        <w:topLinePunct w:val="0"/>
        <w:autoSpaceDE/>
        <w:autoSpaceDN/>
        <w:bidi w:val="0"/>
        <w:adjustRightInd/>
        <w:snapToGrid w:val="0"/>
        <w:spacing w:line="360" w:lineRule="auto"/>
        <w:ind w:firstLine="5280" w:firstLineChars="2400"/>
        <w:textAlignment w:val="auto"/>
        <w:rPr>
          <w:color w:val="auto"/>
          <w:sz w:val="20"/>
          <w:szCs w:val="18"/>
          <w:highlight w:val="none"/>
        </w:rPr>
      </w:pPr>
      <w:r>
        <w:rPr>
          <w:rFonts w:hint="eastAsia" w:ascii="仿宋_GB2312" w:hAnsi="仿宋" w:eastAsia="仿宋_GB2312" w:cs="仿宋_GB2312"/>
          <w:color w:val="auto"/>
          <w:kern w:val="0"/>
          <w:sz w:val="22"/>
          <w:szCs w:val="18"/>
          <w:highlight w:val="none"/>
          <w:lang w:val="zh-CN"/>
        </w:rPr>
        <w:t>……</w:t>
      </w:r>
    </w:p>
    <w:p>
      <w:pPr>
        <w:keepNext w:val="0"/>
        <w:keepLines w:val="0"/>
        <w:pageBreakBefore w:val="0"/>
        <w:kinsoku/>
        <w:wordWrap/>
        <w:overflowPunct/>
        <w:topLinePunct w:val="0"/>
        <w:autoSpaceDE/>
        <w:autoSpaceDN/>
        <w:bidi w:val="0"/>
        <w:adjustRightInd/>
        <w:snapToGrid w:val="0"/>
        <w:spacing w:line="360" w:lineRule="auto"/>
        <w:textAlignment w:val="auto"/>
        <w:rPr>
          <w:rFonts w:ascii="仿宋_GB2312" w:hAnsi="仿宋" w:eastAsia="仿宋_GB2312" w:cs="仿宋_GB2312"/>
          <w:color w:val="auto"/>
          <w:kern w:val="0"/>
          <w:sz w:val="22"/>
          <w:szCs w:val="18"/>
          <w:highlight w:val="none"/>
          <w:lang w:val="zh-CN"/>
        </w:rPr>
      </w:pPr>
      <w:r>
        <w:rPr>
          <w:rFonts w:ascii="仿宋_GB2312" w:hAnsi="仿宋" w:eastAsia="仿宋_GB2312" w:cs="仿宋_GB2312"/>
          <w:color w:val="auto"/>
          <w:kern w:val="0"/>
          <w:sz w:val="22"/>
          <w:szCs w:val="18"/>
          <w:highlight w:val="none"/>
          <w:lang w:val="zh-CN"/>
        </w:rPr>
        <w:t xml:space="preserve">                                               日期：  年  月   日</w:t>
      </w:r>
    </w:p>
    <w:p>
      <w:pPr>
        <w:rPr>
          <w:rFonts w:hint="eastAsia" w:ascii="宋体" w:hAnsi="宋体" w:eastAsia="宋体" w:cs="宋体"/>
          <w:b/>
          <w:bCs/>
          <w:color w:val="auto"/>
          <w:sz w:val="22"/>
          <w:szCs w:val="22"/>
          <w:highlight w:val="none"/>
          <w:lang w:val="en-US" w:eastAsia="zh-CN"/>
        </w:rPr>
      </w:pPr>
      <w:r>
        <w:rPr>
          <w:color w:val="auto"/>
          <w:highlight w:val="none"/>
          <w:lang w:val="zh-CN"/>
        </w:rPr>
        <w:br w:type="page"/>
      </w:r>
      <w:r>
        <w:rPr>
          <w:rFonts w:hint="eastAsia" w:ascii="宋体" w:hAnsi="宋体" w:eastAsia="宋体" w:cs="宋体"/>
          <w:b/>
          <w:bCs/>
          <w:color w:val="auto"/>
          <w:sz w:val="22"/>
          <w:szCs w:val="22"/>
          <w:highlight w:val="none"/>
          <w:lang w:val="en-US" w:eastAsia="zh-CN"/>
        </w:rPr>
        <w:t>附件十 关于符合《中华人民共和国政府采购法》第二十二条规定条件的承诺函</w:t>
      </w:r>
    </w:p>
    <w:p>
      <w:pPr>
        <w:widowControl w:val="0"/>
        <w:spacing w:line="360" w:lineRule="auto"/>
        <w:jc w:val="center"/>
        <w:rPr>
          <w:rFonts w:hint="eastAsia" w:ascii="黑体" w:hAnsi="Times New Roman" w:eastAsia="黑体" w:cs="黑体"/>
          <w:b/>
          <w:color w:val="auto"/>
          <w:sz w:val="36"/>
          <w:szCs w:val="36"/>
          <w:highlight w:val="none"/>
        </w:rPr>
      </w:pPr>
      <w:r>
        <w:rPr>
          <w:rFonts w:hint="eastAsia" w:ascii="黑体" w:hAnsi="Times New Roman" w:eastAsia="黑体" w:cs="黑体"/>
          <w:b/>
          <w:color w:val="auto"/>
          <w:sz w:val="36"/>
          <w:szCs w:val="36"/>
          <w:highlight w:val="none"/>
        </w:rPr>
        <w:t>关于符合《中华人民共和国政府采购法》第二十二条规定条件的承诺函</w:t>
      </w:r>
    </w:p>
    <w:p>
      <w:pPr>
        <w:widowControl w:val="0"/>
        <w:spacing w:line="360" w:lineRule="auto"/>
        <w:rPr>
          <w:rFonts w:hint="eastAsia" w:ascii="Arial" w:hAnsi="Arial" w:eastAsia="宋体" w:cs="Arial"/>
          <w:bCs/>
          <w:color w:val="auto"/>
          <w:szCs w:val="21"/>
          <w:highlight w:val="none"/>
          <w:lang w:eastAsia="zh-CN"/>
        </w:rPr>
      </w:pPr>
      <w:r>
        <w:rPr>
          <w:rFonts w:hint="eastAsia" w:ascii="Arial" w:hAnsi="Arial" w:eastAsia="宋体" w:cs="Arial"/>
          <w:bCs/>
          <w:color w:val="auto"/>
          <w:szCs w:val="21"/>
          <w:highlight w:val="none"/>
          <w:u w:val="single"/>
        </w:rPr>
        <w:t>温州市发展和改革委员会</w:t>
      </w:r>
      <w:r>
        <w:rPr>
          <w:rFonts w:hint="eastAsia" w:ascii="Arial" w:hAnsi="Arial" w:eastAsia="宋体" w:cs="Arial"/>
          <w:bCs/>
          <w:color w:val="auto"/>
          <w:szCs w:val="21"/>
          <w:highlight w:val="none"/>
          <w:u w:val="single"/>
          <w:lang w:eastAsia="zh-CN"/>
        </w:rPr>
        <w:t>：</w:t>
      </w:r>
    </w:p>
    <w:p>
      <w:pPr>
        <w:widowControl w:val="0"/>
        <w:spacing w:line="360" w:lineRule="auto"/>
        <w:ind w:firstLine="420" w:firstLineChars="200"/>
        <w:rPr>
          <w:rFonts w:ascii="Arial" w:hAnsi="Arial" w:cs="Arial"/>
          <w:bCs/>
          <w:color w:val="auto"/>
          <w:szCs w:val="21"/>
          <w:highlight w:val="none"/>
        </w:rPr>
      </w:pPr>
      <w:r>
        <w:rPr>
          <w:rFonts w:ascii="Arial" w:hAnsi="Arial" w:cs="Arial"/>
          <w:bCs/>
          <w:color w:val="auto"/>
          <w:szCs w:val="21"/>
          <w:highlight w:val="none"/>
        </w:rPr>
        <w:t>我公司参与</w:t>
      </w:r>
      <w:r>
        <w:rPr>
          <w:rFonts w:ascii="Arial" w:hAnsi="Arial" w:cs="Arial"/>
          <w:bCs/>
          <w:color w:val="auto"/>
          <w:szCs w:val="21"/>
          <w:highlight w:val="none"/>
          <w:u w:val="single"/>
        </w:rPr>
        <w:t xml:space="preserve">      （项目名称）                    </w:t>
      </w:r>
      <w:r>
        <w:rPr>
          <w:rFonts w:ascii="Arial" w:hAnsi="Arial" w:cs="Arial"/>
          <w:bCs/>
          <w:color w:val="auto"/>
          <w:szCs w:val="21"/>
          <w:highlight w:val="none"/>
        </w:rPr>
        <w:t>（项目编号：</w:t>
      </w:r>
      <w:r>
        <w:rPr>
          <w:rFonts w:ascii="Arial" w:hAnsi="Arial" w:cs="Arial"/>
          <w:bCs/>
          <w:color w:val="auto"/>
          <w:szCs w:val="21"/>
          <w:highlight w:val="none"/>
          <w:u w:val="single"/>
        </w:rPr>
        <w:t xml:space="preserve">             </w:t>
      </w:r>
      <w:r>
        <w:rPr>
          <w:rFonts w:ascii="Arial" w:hAnsi="Arial" w:cs="Arial"/>
          <w:bCs/>
          <w:color w:val="auto"/>
          <w:szCs w:val="21"/>
          <w:highlight w:val="none"/>
        </w:rPr>
        <w:t>）投标，</w:t>
      </w:r>
    </w:p>
    <w:p>
      <w:pPr>
        <w:widowControl w:val="0"/>
        <w:spacing w:line="360" w:lineRule="auto"/>
        <w:rPr>
          <w:rFonts w:ascii="Arial" w:hAnsi="Arial" w:cs="Arial"/>
          <w:bCs/>
          <w:color w:val="auto"/>
          <w:szCs w:val="21"/>
          <w:highlight w:val="none"/>
        </w:rPr>
      </w:pPr>
      <w:r>
        <w:rPr>
          <w:rFonts w:ascii="Arial" w:hAnsi="Arial" w:cs="Arial"/>
          <w:bCs/>
          <w:color w:val="auto"/>
          <w:szCs w:val="21"/>
          <w:highlight w:val="none"/>
        </w:rPr>
        <w:t>郑重承诺具备以下条件：</w:t>
      </w:r>
    </w:p>
    <w:p>
      <w:pPr>
        <w:widowControl w:val="0"/>
        <w:spacing w:line="500" w:lineRule="exact"/>
        <w:ind w:firstLine="420" w:firstLineChars="200"/>
        <w:jc w:val="both"/>
        <w:rPr>
          <w:rFonts w:ascii="Arial" w:hAnsi="Arial" w:cs="Arial"/>
          <w:bCs/>
          <w:color w:val="auto"/>
          <w:szCs w:val="21"/>
          <w:highlight w:val="none"/>
        </w:rPr>
      </w:pPr>
      <w:r>
        <w:rPr>
          <w:rFonts w:ascii="Arial" w:hAnsi="Arial" w:cs="Arial"/>
          <w:bCs/>
          <w:color w:val="auto"/>
          <w:kern w:val="2"/>
          <w:szCs w:val="21"/>
          <w:highlight w:val="none"/>
        </w:rPr>
        <w:t>1.具有独立承担民事责任的能力</w:t>
      </w:r>
      <w:r>
        <w:rPr>
          <w:rFonts w:ascii="Arial" w:hAnsi="Arial" w:cs="Arial"/>
          <w:bCs/>
          <w:color w:val="auto"/>
          <w:szCs w:val="21"/>
          <w:highlight w:val="none"/>
        </w:rPr>
        <w:t>；</w:t>
      </w:r>
    </w:p>
    <w:p>
      <w:pPr>
        <w:widowControl w:val="0"/>
        <w:spacing w:line="500" w:lineRule="exact"/>
        <w:ind w:firstLine="420" w:firstLineChars="200"/>
        <w:jc w:val="both"/>
        <w:rPr>
          <w:rFonts w:ascii="Arial" w:hAnsi="Arial" w:cs="Arial"/>
          <w:bCs/>
          <w:color w:val="auto"/>
          <w:szCs w:val="21"/>
          <w:highlight w:val="none"/>
        </w:rPr>
      </w:pPr>
      <w:r>
        <w:rPr>
          <w:rFonts w:ascii="Arial" w:hAnsi="Arial" w:cs="Arial"/>
          <w:bCs/>
          <w:color w:val="auto"/>
          <w:kern w:val="2"/>
          <w:szCs w:val="21"/>
          <w:highlight w:val="none"/>
        </w:rPr>
        <w:t>2.具有良好的商业信誉和健全的财务会计制度</w:t>
      </w:r>
      <w:r>
        <w:rPr>
          <w:rFonts w:ascii="Arial" w:hAnsi="Arial" w:cs="Arial"/>
          <w:bCs/>
          <w:color w:val="auto"/>
          <w:szCs w:val="21"/>
          <w:highlight w:val="none"/>
        </w:rPr>
        <w:t>；</w:t>
      </w:r>
    </w:p>
    <w:p>
      <w:pPr>
        <w:widowControl w:val="0"/>
        <w:spacing w:line="500" w:lineRule="exact"/>
        <w:ind w:firstLine="420" w:firstLineChars="200"/>
        <w:jc w:val="both"/>
        <w:rPr>
          <w:rFonts w:ascii="Arial" w:hAnsi="Arial" w:cs="Arial"/>
          <w:bCs/>
          <w:color w:val="auto"/>
          <w:szCs w:val="21"/>
          <w:highlight w:val="none"/>
        </w:rPr>
      </w:pPr>
      <w:r>
        <w:rPr>
          <w:rFonts w:ascii="Arial" w:hAnsi="Arial" w:cs="Arial"/>
          <w:bCs/>
          <w:color w:val="auto"/>
          <w:kern w:val="2"/>
          <w:szCs w:val="21"/>
          <w:highlight w:val="none"/>
        </w:rPr>
        <w:t>3.具有履行合同所必需的设备和专业技术能力</w:t>
      </w:r>
      <w:r>
        <w:rPr>
          <w:rFonts w:ascii="Arial" w:hAnsi="Arial" w:cs="Arial"/>
          <w:bCs/>
          <w:color w:val="auto"/>
          <w:szCs w:val="21"/>
          <w:highlight w:val="none"/>
        </w:rPr>
        <w:t>；</w:t>
      </w:r>
      <w:r>
        <w:rPr>
          <w:rFonts w:ascii="Arial" w:hAnsi="Arial" w:cs="Arial"/>
          <w:bCs/>
          <w:color w:val="auto"/>
          <w:kern w:val="2"/>
          <w:szCs w:val="21"/>
          <w:highlight w:val="none"/>
        </w:rPr>
        <w:t xml:space="preserve"> </w:t>
      </w:r>
    </w:p>
    <w:p>
      <w:pPr>
        <w:widowControl w:val="0"/>
        <w:spacing w:line="500" w:lineRule="exact"/>
        <w:ind w:firstLine="420" w:firstLineChars="200"/>
        <w:jc w:val="both"/>
        <w:rPr>
          <w:rFonts w:ascii="Arial" w:hAnsi="Arial" w:cs="Arial"/>
          <w:bCs/>
          <w:color w:val="auto"/>
          <w:szCs w:val="21"/>
          <w:highlight w:val="none"/>
        </w:rPr>
      </w:pPr>
      <w:r>
        <w:rPr>
          <w:rFonts w:ascii="Arial" w:hAnsi="Arial" w:cs="Arial"/>
          <w:bCs/>
          <w:color w:val="auto"/>
          <w:kern w:val="2"/>
          <w:szCs w:val="21"/>
          <w:highlight w:val="none"/>
        </w:rPr>
        <w:t>4.有依法缴纳税收和社会保障资金的良好记录</w:t>
      </w:r>
      <w:r>
        <w:rPr>
          <w:rFonts w:ascii="Arial" w:hAnsi="Arial" w:cs="Arial"/>
          <w:bCs/>
          <w:color w:val="auto"/>
          <w:szCs w:val="21"/>
          <w:highlight w:val="none"/>
        </w:rPr>
        <w:t>；</w:t>
      </w:r>
      <w:r>
        <w:rPr>
          <w:rFonts w:ascii="Arial" w:hAnsi="Arial" w:cs="Arial"/>
          <w:bCs/>
          <w:color w:val="auto"/>
          <w:kern w:val="2"/>
          <w:szCs w:val="21"/>
          <w:highlight w:val="none"/>
        </w:rPr>
        <w:t xml:space="preserve"> </w:t>
      </w:r>
    </w:p>
    <w:p>
      <w:pPr>
        <w:snapToGrid w:val="0"/>
        <w:spacing w:line="460" w:lineRule="exact"/>
        <w:ind w:firstLine="420" w:firstLineChars="200"/>
        <w:rPr>
          <w:rFonts w:ascii="Arial" w:hAnsi="Arial" w:cs="Arial"/>
          <w:color w:val="auto"/>
          <w:szCs w:val="21"/>
          <w:highlight w:val="none"/>
        </w:rPr>
      </w:pPr>
      <w:r>
        <w:rPr>
          <w:rFonts w:ascii="Arial" w:hAnsi="Arial" w:cs="Arial"/>
          <w:color w:val="auto"/>
          <w:szCs w:val="21"/>
          <w:highlight w:val="none"/>
        </w:rPr>
        <w:t>5. 参加政府采购活动前三年内，在经营活动中没有重大违法记录（包括行贿犯罪记录）；</w:t>
      </w:r>
    </w:p>
    <w:p>
      <w:pPr>
        <w:snapToGrid w:val="0"/>
        <w:spacing w:line="460" w:lineRule="exact"/>
        <w:ind w:firstLine="420" w:firstLineChars="200"/>
        <w:rPr>
          <w:rFonts w:ascii="Arial" w:hAnsi="Arial" w:cs="Arial"/>
          <w:color w:val="auto"/>
          <w:highlight w:val="none"/>
        </w:rPr>
      </w:pPr>
      <w:r>
        <w:rPr>
          <w:rFonts w:ascii="Arial" w:hAnsi="Arial" w:cs="Arial"/>
          <w:color w:val="auto"/>
          <w:szCs w:val="21"/>
          <w:highlight w:val="none"/>
        </w:rPr>
        <w:t>6.</w:t>
      </w:r>
      <w:r>
        <w:rPr>
          <w:rFonts w:ascii="Arial" w:hAnsi="Arial" w:cs="Arial"/>
          <w:color w:val="auto"/>
          <w:highlight w:val="none"/>
        </w:rPr>
        <w:t>未被信用中国网站（www.creditchina.gov.cn）列入失信被执行人、重大税收违法件当事人名单，未被中国政府采购网（www.ccgp.gov.cn）列入政府采购严重违法失信行为记录名单：以采购代理机构在开标当日查询记录为准。</w:t>
      </w:r>
    </w:p>
    <w:p>
      <w:pPr>
        <w:snapToGrid w:val="0"/>
        <w:spacing w:line="460" w:lineRule="exact"/>
        <w:ind w:firstLine="420" w:firstLineChars="200"/>
        <w:rPr>
          <w:rFonts w:ascii="Arial" w:hAnsi="Arial" w:cs="Arial"/>
          <w:color w:val="auto"/>
          <w:szCs w:val="21"/>
          <w:highlight w:val="none"/>
        </w:rPr>
      </w:pPr>
      <w:r>
        <w:rPr>
          <w:rFonts w:ascii="Arial" w:hAnsi="Arial" w:cs="Arial"/>
          <w:color w:val="auto"/>
          <w:szCs w:val="21"/>
          <w:highlight w:val="none"/>
        </w:rPr>
        <w:t>7.未被建设行政主管部门限制参加投标或有不良行为记录公示但已满期限的；</w:t>
      </w:r>
    </w:p>
    <w:p>
      <w:pPr>
        <w:snapToGrid w:val="0"/>
        <w:spacing w:line="460" w:lineRule="exact"/>
        <w:ind w:firstLine="420" w:firstLineChars="200"/>
        <w:rPr>
          <w:rFonts w:ascii="Arial" w:hAnsi="Arial" w:cs="Arial"/>
          <w:b/>
          <w:color w:val="auto"/>
          <w:szCs w:val="21"/>
          <w:highlight w:val="none"/>
        </w:rPr>
      </w:pPr>
      <w:r>
        <w:rPr>
          <w:rFonts w:ascii="Arial" w:hAnsi="Arial" w:cs="Arial"/>
          <w:color w:val="auto"/>
          <w:szCs w:val="21"/>
          <w:highlight w:val="none"/>
        </w:rPr>
        <w:t>8.不存在</w:t>
      </w:r>
      <w:r>
        <w:rPr>
          <w:rFonts w:hint="eastAsia" w:ascii="Arial" w:hAnsi="Arial" w:cs="Arial"/>
          <w:color w:val="auto"/>
          <w:szCs w:val="21"/>
          <w:highlight w:val="none"/>
          <w:lang w:val="en-US" w:eastAsia="zh-CN"/>
        </w:rPr>
        <w:t>招标</w:t>
      </w:r>
      <w:r>
        <w:rPr>
          <w:rFonts w:ascii="Arial" w:hAnsi="Arial" w:cs="Arial"/>
          <w:color w:val="auto"/>
          <w:szCs w:val="21"/>
          <w:highlight w:val="none"/>
        </w:rPr>
        <w:t>文件及相关法律法规规定的限制投标情形。</w:t>
      </w:r>
    </w:p>
    <w:p>
      <w:pPr>
        <w:snapToGrid w:val="0"/>
        <w:spacing w:line="460" w:lineRule="exact"/>
        <w:ind w:firstLine="422" w:firstLineChars="200"/>
        <w:rPr>
          <w:rFonts w:ascii="Arial" w:hAnsi="Arial" w:cs="Arial"/>
          <w:b/>
          <w:color w:val="auto"/>
          <w:szCs w:val="21"/>
          <w:highlight w:val="none"/>
        </w:rPr>
      </w:pPr>
      <w:r>
        <w:rPr>
          <w:rFonts w:ascii="Arial" w:hAnsi="Arial" w:cs="Arial"/>
          <w:b/>
          <w:color w:val="auto"/>
          <w:szCs w:val="21"/>
          <w:highlight w:val="none"/>
        </w:rPr>
        <w:t>本公司对上述承诺的真实性负责。上述承诺如有虚假，将按“提供虚假材料谋取中标、成交”情形，由采购人取消我公司任何资格（投标/中标/签订合同），且由采购单位/采购代理机构报告至政府采购监管部门。一经监管部门查证属实，将按照《中华人民共和国政府采购法》第七十七条“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规定予以处理。</w:t>
      </w:r>
    </w:p>
    <w:p>
      <w:pPr>
        <w:snapToGrid w:val="0"/>
        <w:spacing w:line="460" w:lineRule="exact"/>
        <w:ind w:firstLine="422" w:firstLineChars="200"/>
        <w:rPr>
          <w:rFonts w:ascii="Arial" w:hAnsi="Arial" w:cs="Arial"/>
          <w:b/>
          <w:color w:val="auto"/>
          <w:szCs w:val="21"/>
          <w:highlight w:val="none"/>
        </w:rPr>
      </w:pPr>
      <w:r>
        <w:rPr>
          <w:rFonts w:ascii="Arial" w:hAnsi="Arial" w:cs="Arial"/>
          <w:b/>
          <w:color w:val="auto"/>
          <w:szCs w:val="21"/>
          <w:highlight w:val="none"/>
        </w:rPr>
        <w:t>我单位已知晓前述法律规定，对此无任何异议。</w:t>
      </w:r>
    </w:p>
    <w:p>
      <w:pPr>
        <w:snapToGrid w:val="0"/>
        <w:spacing w:line="460" w:lineRule="exact"/>
        <w:ind w:firstLine="422" w:firstLineChars="200"/>
        <w:rPr>
          <w:rFonts w:ascii="Arial" w:hAnsi="Arial" w:cs="Arial"/>
          <w:b/>
          <w:color w:val="auto"/>
          <w:szCs w:val="21"/>
          <w:highlight w:val="none"/>
        </w:rPr>
      </w:pPr>
      <w:r>
        <w:rPr>
          <w:rFonts w:ascii="Arial" w:hAnsi="Arial" w:cs="Arial"/>
          <w:b/>
          <w:color w:val="auto"/>
          <w:szCs w:val="21"/>
          <w:highlight w:val="none"/>
        </w:rPr>
        <w:t>特此承诺！</w:t>
      </w:r>
    </w:p>
    <w:p>
      <w:pPr>
        <w:tabs>
          <w:tab w:val="left" w:pos="9180"/>
        </w:tabs>
        <w:spacing w:line="440" w:lineRule="exact"/>
        <w:ind w:firstLine="420" w:firstLineChars="200"/>
        <w:rPr>
          <w:rFonts w:ascii="Arial" w:hAnsi="Arial" w:cs="Arial"/>
          <w:snapToGrid w:val="0"/>
          <w:color w:val="auto"/>
          <w:szCs w:val="21"/>
          <w:highlight w:val="none"/>
        </w:rPr>
      </w:pPr>
      <w:r>
        <w:rPr>
          <w:rFonts w:ascii="Arial" w:hAnsi="Arial" w:cs="Arial"/>
          <w:snapToGrid w:val="0"/>
          <w:color w:val="auto"/>
          <w:szCs w:val="21"/>
          <w:highlight w:val="none"/>
        </w:rPr>
        <w:t>注：（1）参加政府采购活动的时间是指供应商参加本项目的政府采购活动时间为准（具体以投标截止时间为准）。</w:t>
      </w:r>
    </w:p>
    <w:p>
      <w:pPr>
        <w:tabs>
          <w:tab w:val="left" w:pos="9180"/>
        </w:tabs>
        <w:spacing w:line="440" w:lineRule="exact"/>
        <w:ind w:firstLine="840" w:firstLineChars="400"/>
        <w:rPr>
          <w:rFonts w:ascii="Arial" w:hAnsi="Arial" w:cs="Arial"/>
          <w:snapToGrid w:val="0"/>
          <w:color w:val="auto"/>
          <w:szCs w:val="21"/>
          <w:highlight w:val="none"/>
        </w:rPr>
      </w:pPr>
      <w:r>
        <w:rPr>
          <w:rFonts w:ascii="Arial" w:hAnsi="Arial" w:cs="Arial"/>
          <w:snapToGrid w:val="0"/>
          <w:color w:val="auto"/>
          <w:szCs w:val="21"/>
          <w:highlight w:val="none"/>
        </w:rPr>
        <w:t>（2）本承诺函必须提供。</w:t>
      </w:r>
    </w:p>
    <w:p>
      <w:pPr>
        <w:spacing w:line="480" w:lineRule="auto"/>
        <w:ind w:firstLine="3780" w:firstLineChars="1800"/>
        <w:rPr>
          <w:rFonts w:ascii="Arial" w:hAnsi="Arial" w:cs="Arial"/>
          <w:bCs/>
          <w:color w:val="auto"/>
          <w:szCs w:val="21"/>
          <w:highlight w:val="none"/>
        </w:rPr>
      </w:pPr>
      <w:r>
        <w:rPr>
          <w:rFonts w:ascii="Arial" w:hAnsi="Arial" w:cs="Arial"/>
          <w:bCs/>
          <w:color w:val="auto"/>
          <w:szCs w:val="21"/>
          <w:highlight w:val="none"/>
        </w:rPr>
        <w:t xml:space="preserve">   </w:t>
      </w:r>
      <w:r>
        <w:rPr>
          <w:rFonts w:hint="eastAsia" w:ascii="Arial" w:hAnsi="Arial" w:cs="Arial"/>
          <w:bCs/>
          <w:color w:val="auto"/>
          <w:szCs w:val="21"/>
          <w:highlight w:val="none"/>
          <w:lang w:val="en-US" w:eastAsia="zh-CN"/>
        </w:rPr>
        <w:t>联合体成员名称</w:t>
      </w:r>
      <w:r>
        <w:rPr>
          <w:rFonts w:ascii="Arial" w:hAnsi="Arial" w:cs="Arial"/>
          <w:bCs/>
          <w:color w:val="auto"/>
          <w:szCs w:val="21"/>
          <w:highlight w:val="none"/>
        </w:rPr>
        <w:t>（</w:t>
      </w:r>
      <w:r>
        <w:rPr>
          <w:rFonts w:hint="eastAsia" w:ascii="Arial" w:hAnsi="Arial" w:cs="Arial"/>
          <w:bCs/>
          <w:color w:val="auto"/>
          <w:szCs w:val="21"/>
          <w:highlight w:val="none"/>
          <w:lang w:val="en-US" w:eastAsia="zh-CN"/>
        </w:rPr>
        <w:t>联合体各方</w:t>
      </w:r>
      <w:r>
        <w:rPr>
          <w:rFonts w:ascii="Arial" w:hAnsi="Arial" w:cs="Arial"/>
          <w:bCs/>
          <w:color w:val="auto"/>
          <w:szCs w:val="21"/>
          <w:highlight w:val="none"/>
        </w:rPr>
        <w:t>盖章）：</w:t>
      </w:r>
    </w:p>
    <w:p>
      <w:pPr>
        <w:pStyle w:val="28"/>
        <w:rPr>
          <w:color w:val="auto"/>
          <w:highlight w:val="none"/>
        </w:rPr>
      </w:pPr>
    </w:p>
    <w:p>
      <w:pPr>
        <w:spacing w:line="480" w:lineRule="auto"/>
        <w:ind w:firstLine="5250" w:firstLineChars="2500"/>
        <w:rPr>
          <w:rFonts w:ascii="Arial" w:hAnsi="Arial" w:cs="Arial"/>
          <w:color w:val="auto"/>
          <w:highlight w:val="none"/>
        </w:rPr>
      </w:pPr>
      <w:r>
        <w:rPr>
          <w:rFonts w:ascii="Arial" w:hAnsi="Arial" w:cs="Arial"/>
          <w:bCs/>
          <w:color w:val="auto"/>
          <w:szCs w:val="21"/>
          <w:highlight w:val="none"/>
        </w:rPr>
        <w:t>日    期：</w:t>
      </w:r>
    </w:p>
    <w:p>
      <w:pPr>
        <w:pStyle w:val="27"/>
        <w:rPr>
          <w:color w:val="auto"/>
          <w:highlight w:val="none"/>
          <w:lang w:val="zh-CN"/>
        </w:rPr>
        <w:sectPr>
          <w:pgSz w:w="11906" w:h="16838"/>
          <w:pgMar w:top="1276" w:right="1418" w:bottom="1247" w:left="1418" w:header="851" w:footer="992" w:gutter="0"/>
          <w:pgNumType w:fmt="decimal"/>
          <w:cols w:space="720" w:num="1"/>
          <w:docGrid w:linePitch="312" w:charSpace="0"/>
        </w:sectPr>
      </w:pPr>
    </w:p>
    <w:p>
      <w:pPr>
        <w:spacing w:line="380" w:lineRule="exact"/>
        <w:rPr>
          <w:rFonts w:hint="eastAsia" w:eastAsia="宋体"/>
          <w:color w:val="auto"/>
          <w:highlight w:val="none"/>
          <w:lang w:eastAsia="zh-CN"/>
        </w:rPr>
      </w:pPr>
      <w:r>
        <w:rPr>
          <w:rFonts w:hint="eastAsia"/>
          <w:color w:val="auto"/>
          <w:highlight w:val="none"/>
        </w:rPr>
        <w:t>附件</w:t>
      </w:r>
      <w:r>
        <w:rPr>
          <w:rFonts w:hint="eastAsia"/>
          <w:color w:val="auto"/>
          <w:highlight w:val="none"/>
          <w:lang w:val="en-US" w:eastAsia="zh-CN"/>
        </w:rPr>
        <w:t>十</w:t>
      </w:r>
    </w:p>
    <w:p>
      <w:pPr>
        <w:spacing w:line="360" w:lineRule="auto"/>
        <w:jc w:val="center"/>
        <w:rPr>
          <w:rFonts w:ascii="楷体_GB2312" w:hAnsi="宋体" w:eastAsia="楷体_GB2312" w:cs="Arial"/>
          <w:bCs/>
          <w:color w:val="auto"/>
          <w:sz w:val="24"/>
          <w:highlight w:val="none"/>
          <w:u w:val="single"/>
        </w:rPr>
      </w:pPr>
      <w:r>
        <w:rPr>
          <w:rFonts w:hint="eastAsia" w:ascii="黑体" w:hAnsi="宋体" w:eastAsia="黑体"/>
          <w:b/>
          <w:color w:val="auto"/>
          <w:sz w:val="36"/>
          <w:szCs w:val="36"/>
          <w:highlight w:val="none"/>
        </w:rPr>
        <w:t>a节能环保产品声明函</w:t>
      </w:r>
    </w:p>
    <w:p>
      <w:pPr>
        <w:spacing w:line="360" w:lineRule="auto"/>
        <w:ind w:firstLine="560" w:firstLineChars="200"/>
        <w:rPr>
          <w:rFonts w:ascii="楷体_GB2312" w:hAnsi="宋体" w:eastAsia="楷体_GB2312"/>
          <w:bCs/>
          <w:color w:val="auto"/>
          <w:sz w:val="28"/>
          <w:szCs w:val="28"/>
          <w:highlight w:val="none"/>
        </w:rPr>
      </w:pPr>
    </w:p>
    <w:p>
      <w:pPr>
        <w:spacing w:line="360" w:lineRule="auto"/>
        <w:ind w:firstLine="560" w:firstLineChars="200"/>
        <w:rPr>
          <w:rFonts w:ascii="楷体" w:hAnsi="楷体" w:eastAsia="楷体"/>
          <w:bCs/>
          <w:color w:val="auto"/>
          <w:sz w:val="28"/>
          <w:szCs w:val="28"/>
          <w:highlight w:val="none"/>
        </w:rPr>
      </w:pPr>
      <w:r>
        <w:rPr>
          <w:rFonts w:hint="eastAsia" w:ascii="楷体" w:hAnsi="楷体" w:eastAsia="楷体"/>
          <w:bCs/>
          <w:color w:val="auto"/>
          <w:sz w:val="28"/>
          <w:szCs w:val="28"/>
          <w:highlight w:val="none"/>
        </w:rPr>
        <w:t>本公司郑重声明，根据《节能产品政府采购实施意见》（财库〔2004〕185号，不含该期清单）、《关于环境标志产品政府采购实施的意见》（财库〔2006〕90号，不含该期清单）的规定，本公司同时满足以下条件：</w:t>
      </w:r>
    </w:p>
    <w:p>
      <w:pPr>
        <w:spacing w:line="360" w:lineRule="auto"/>
        <w:ind w:firstLine="560" w:firstLineChars="200"/>
        <w:rPr>
          <w:rFonts w:ascii="楷体" w:hAnsi="楷体" w:eastAsia="楷体"/>
          <w:bCs/>
          <w:color w:val="auto"/>
          <w:sz w:val="28"/>
          <w:szCs w:val="28"/>
          <w:highlight w:val="none"/>
        </w:rPr>
      </w:pPr>
      <w:r>
        <w:rPr>
          <w:rFonts w:hint="eastAsia" w:ascii="楷体" w:hAnsi="楷体" w:eastAsia="楷体"/>
          <w:bCs/>
          <w:color w:val="auto"/>
          <w:sz w:val="28"/>
          <w:szCs w:val="28"/>
          <w:highlight w:val="none"/>
        </w:rPr>
        <w:t>1. 此次采购项目中本公司所列节能或环保产品均已录入最新一期财政部、环境保护部公布的“环境标志产品政府采购清单”或最新一期财政部、发展改革委公布的“节能产品政府采购清单”。</w:t>
      </w:r>
    </w:p>
    <w:p>
      <w:pPr>
        <w:spacing w:line="360" w:lineRule="auto"/>
        <w:ind w:firstLine="560" w:firstLineChars="200"/>
        <w:rPr>
          <w:rFonts w:ascii="楷体_GB2312" w:hAnsi="宋体" w:eastAsia="楷体_GB2312"/>
          <w:bCs/>
          <w:color w:val="auto"/>
          <w:sz w:val="28"/>
          <w:szCs w:val="28"/>
          <w:highlight w:val="none"/>
        </w:rPr>
      </w:pPr>
      <w:r>
        <w:rPr>
          <w:rFonts w:hint="eastAsia" w:ascii="楷体" w:hAnsi="楷体" w:eastAsia="楷体"/>
          <w:bCs/>
          <w:color w:val="auto"/>
          <w:sz w:val="28"/>
          <w:szCs w:val="28"/>
          <w:highlight w:val="none"/>
        </w:rPr>
        <w:t>2.本公司参加______单位的______项目采购活动提供的环保或节能产品，产品金额占采购项目总金额50%（含）以上</w:t>
      </w:r>
      <w:r>
        <w:rPr>
          <w:rFonts w:hint="eastAsia" w:ascii="楷体_GB2312" w:hAnsi="宋体" w:eastAsia="楷体_GB2312"/>
          <w:bCs/>
          <w:color w:val="auto"/>
          <w:sz w:val="28"/>
          <w:szCs w:val="28"/>
          <w:highlight w:val="none"/>
        </w:rPr>
        <w:t>。</w:t>
      </w:r>
    </w:p>
    <w:p>
      <w:pPr>
        <w:spacing w:line="360" w:lineRule="auto"/>
        <w:ind w:firstLine="560" w:firstLineChars="200"/>
        <w:rPr>
          <w:rFonts w:ascii="楷体" w:hAnsi="楷体" w:eastAsia="楷体"/>
          <w:bCs/>
          <w:color w:val="auto"/>
          <w:sz w:val="28"/>
          <w:szCs w:val="28"/>
          <w:highlight w:val="none"/>
        </w:rPr>
      </w:pPr>
      <w:r>
        <w:rPr>
          <w:rFonts w:hint="eastAsia" w:ascii="楷体" w:hAnsi="楷体" w:eastAsia="楷体"/>
          <w:bCs/>
          <w:color w:val="auto"/>
          <w:sz w:val="28"/>
          <w:szCs w:val="28"/>
          <w:highlight w:val="none"/>
        </w:rPr>
        <w:t>本公司对上述声明的真实性负责。如有虚假，将依法承担相应法律责任。</w:t>
      </w:r>
    </w:p>
    <w:p>
      <w:pPr>
        <w:spacing w:line="360" w:lineRule="auto"/>
        <w:rPr>
          <w:rFonts w:ascii="楷体" w:hAnsi="楷体" w:eastAsia="楷体"/>
          <w:bCs/>
          <w:color w:val="auto"/>
          <w:sz w:val="28"/>
          <w:szCs w:val="28"/>
          <w:highlight w:val="none"/>
        </w:rPr>
      </w:pPr>
    </w:p>
    <w:p>
      <w:pPr>
        <w:spacing w:line="360" w:lineRule="auto"/>
        <w:rPr>
          <w:rFonts w:ascii="楷体" w:hAnsi="楷体" w:eastAsia="楷体"/>
          <w:bCs/>
          <w:color w:val="auto"/>
          <w:sz w:val="28"/>
          <w:szCs w:val="28"/>
          <w:highlight w:val="none"/>
        </w:rPr>
      </w:pPr>
      <w:r>
        <w:rPr>
          <w:rFonts w:hint="eastAsia" w:ascii="楷体" w:hAnsi="楷体" w:eastAsia="楷体"/>
          <w:bCs/>
          <w:color w:val="auto"/>
          <w:sz w:val="28"/>
          <w:szCs w:val="28"/>
          <w:highlight w:val="none"/>
        </w:rPr>
        <w:t xml:space="preserve">投标人名称（公章）：        </w:t>
      </w:r>
    </w:p>
    <w:p>
      <w:pPr>
        <w:spacing w:line="360" w:lineRule="auto"/>
        <w:rPr>
          <w:rFonts w:ascii="仿宋_GB2312" w:eastAsia="仿宋_GB2312"/>
          <w:color w:val="auto"/>
          <w:sz w:val="28"/>
          <w:szCs w:val="28"/>
          <w:highlight w:val="none"/>
        </w:rPr>
      </w:pPr>
      <w:r>
        <w:rPr>
          <w:rFonts w:hint="eastAsia" w:ascii="楷体" w:hAnsi="楷体" w:eastAsia="楷体"/>
          <w:bCs/>
          <w:color w:val="auto"/>
          <w:sz w:val="28"/>
          <w:szCs w:val="28"/>
          <w:highlight w:val="none"/>
        </w:rPr>
        <w:t xml:space="preserve">日 期：           </w:t>
      </w:r>
    </w:p>
    <w:p>
      <w:pPr>
        <w:spacing w:line="240" w:lineRule="atLeast"/>
        <w:rPr>
          <w:rFonts w:ascii="新宋体" w:hAnsi="新宋体" w:eastAsia="新宋体"/>
          <w:b/>
          <w:bCs/>
          <w:color w:val="auto"/>
          <w:szCs w:val="21"/>
          <w:highlight w:val="none"/>
        </w:rPr>
      </w:pPr>
    </w:p>
    <w:p>
      <w:pPr>
        <w:spacing w:line="240" w:lineRule="atLeast"/>
        <w:rPr>
          <w:rFonts w:ascii="新宋体" w:hAnsi="新宋体" w:eastAsia="新宋体"/>
          <w:b/>
          <w:bCs/>
          <w:color w:val="auto"/>
          <w:szCs w:val="21"/>
          <w:highlight w:val="none"/>
        </w:rPr>
      </w:pPr>
    </w:p>
    <w:p>
      <w:pPr>
        <w:spacing w:line="240" w:lineRule="atLeast"/>
        <w:rPr>
          <w:rFonts w:ascii="新宋体" w:hAnsi="新宋体" w:eastAsia="新宋体"/>
          <w:b/>
          <w:bCs/>
          <w:color w:val="auto"/>
          <w:szCs w:val="21"/>
          <w:highlight w:val="none"/>
        </w:rPr>
      </w:pPr>
    </w:p>
    <w:p>
      <w:pPr>
        <w:spacing w:line="240" w:lineRule="atLeast"/>
        <w:jc w:val="center"/>
        <w:rPr>
          <w:rFonts w:ascii="黑体" w:hAnsi="宋体" w:eastAsia="黑体"/>
          <w:b/>
          <w:color w:val="auto"/>
          <w:sz w:val="36"/>
          <w:szCs w:val="36"/>
          <w:highlight w:val="none"/>
        </w:rPr>
      </w:pPr>
      <w:r>
        <w:rPr>
          <w:rFonts w:hint="eastAsia" w:ascii="黑体" w:hAnsi="宋体" w:eastAsia="黑体"/>
          <w:b/>
          <w:color w:val="auto"/>
          <w:sz w:val="36"/>
          <w:szCs w:val="36"/>
          <w:highlight w:val="none"/>
        </w:rPr>
        <w:t>b节能（环保）产品清单</w:t>
      </w:r>
    </w:p>
    <w:p>
      <w:pPr>
        <w:pStyle w:val="3"/>
        <w:numPr>
          <w:ilvl w:val="0"/>
          <w:numId w:val="0"/>
        </w:numPr>
        <w:spacing w:after="240" w:line="360" w:lineRule="auto"/>
        <w:jc w:val="center"/>
        <w:rPr>
          <w:rFonts w:eastAsia="新宋体"/>
          <w:color w:val="auto"/>
          <w:sz w:val="36"/>
          <w:szCs w:val="36"/>
          <w:highlight w:val="none"/>
        </w:rPr>
      </w:pPr>
      <w:r>
        <w:rPr>
          <w:rFonts w:hint="eastAsia" w:ascii="黑体" w:hAnsi="宋体" w:eastAsia="黑体"/>
          <w:color w:val="auto"/>
          <w:sz w:val="36"/>
          <w:szCs w:val="36"/>
          <w:highlight w:val="none"/>
        </w:rPr>
        <w:br w:type="page"/>
      </w:r>
      <w:r>
        <w:rPr>
          <w:rFonts w:hint="eastAsia" w:ascii="黑体" w:hAnsi="宋体" w:eastAsia="黑体"/>
          <w:color w:val="auto"/>
          <w:kern w:val="2"/>
          <w:sz w:val="36"/>
          <w:szCs w:val="36"/>
          <w:highlight w:val="none"/>
        </w:rPr>
        <w:t>第六部分   招标内容及要求</w:t>
      </w:r>
    </w:p>
    <w:p>
      <w:pPr>
        <w:pStyle w:val="761"/>
        <w:spacing w:before="156" w:after="156"/>
        <w:ind w:left="0" w:firstLine="0"/>
        <w:rPr>
          <w:rFonts w:ascii="宋体" w:hAnsi="宋体" w:eastAsia="宋体"/>
          <w:color w:val="auto"/>
          <w:sz w:val="22"/>
          <w:szCs w:val="22"/>
          <w:highlight w:val="none"/>
        </w:rPr>
      </w:pPr>
      <w:bookmarkStart w:id="11" w:name="_Toc283295067"/>
      <w:bookmarkStart w:id="12" w:name="_Toc288036609"/>
      <w:bookmarkStart w:id="13" w:name="_Toc305168170"/>
      <w:bookmarkStart w:id="14" w:name="_Toc302389799"/>
      <w:bookmarkStart w:id="15" w:name="_Toc305950146"/>
      <w:bookmarkStart w:id="16" w:name="_Toc302735384"/>
      <w:bookmarkStart w:id="17" w:name="_Toc244284245"/>
      <w:r>
        <w:rPr>
          <w:rFonts w:hint="eastAsia" w:ascii="宋体" w:hAnsi="宋体" w:eastAsia="宋体"/>
          <w:color w:val="auto"/>
          <w:sz w:val="22"/>
          <w:szCs w:val="22"/>
          <w:highlight w:val="none"/>
        </w:rPr>
        <w:t>项目概况</w:t>
      </w:r>
    </w:p>
    <w:p>
      <w:pPr>
        <w:pStyle w:val="762"/>
        <w:ind w:firstLine="440"/>
        <w:rPr>
          <w:rFonts w:ascii="宋体" w:hAnsi="宋体"/>
          <w:color w:val="auto"/>
          <w:kern w:val="0"/>
          <w:sz w:val="22"/>
          <w:szCs w:val="22"/>
          <w:highlight w:val="none"/>
        </w:rPr>
      </w:pPr>
      <w:bookmarkStart w:id="18" w:name="_Toc7094913"/>
      <w:r>
        <w:rPr>
          <w:rFonts w:hint="eastAsia" w:ascii="宋体" w:hAnsi="宋体"/>
          <w:color w:val="auto"/>
          <w:kern w:val="0"/>
          <w:sz w:val="22"/>
          <w:szCs w:val="22"/>
          <w:highlight w:val="none"/>
        </w:rPr>
        <w:t>近年来，国家“十四五”规划及各地创建“国家园林城市”、“国家生态园林城市”、“国家森林城市”、“美丽中国”等标准的陆续出台，标志着政府对园林绿化的规划布局越来越重视。</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2</w:t>
      </w:r>
      <w:r>
        <w:rPr>
          <w:rFonts w:ascii="宋体" w:hAnsi="宋体"/>
          <w:color w:val="auto"/>
          <w:kern w:val="0"/>
          <w:sz w:val="22"/>
          <w:szCs w:val="22"/>
          <w:highlight w:val="none"/>
        </w:rPr>
        <w:t>021年</w:t>
      </w:r>
      <w:r>
        <w:rPr>
          <w:rFonts w:hint="eastAsia" w:ascii="宋体" w:hAnsi="宋体"/>
          <w:color w:val="auto"/>
          <w:kern w:val="0"/>
          <w:sz w:val="22"/>
          <w:szCs w:val="22"/>
          <w:highlight w:val="none"/>
        </w:rPr>
        <w:t>9月温州市发布了《温州市新型城市基础设施建设试点工作要求》。按照</w:t>
      </w:r>
      <w:r>
        <w:rPr>
          <w:rFonts w:ascii="宋体" w:hAnsi="宋体"/>
          <w:color w:val="auto"/>
          <w:kern w:val="0"/>
          <w:sz w:val="22"/>
          <w:szCs w:val="22"/>
          <w:highlight w:val="none"/>
        </w:rPr>
        <w:t>新城建要求</w:t>
      </w:r>
      <w:r>
        <w:rPr>
          <w:rFonts w:hint="eastAsia" w:ascii="宋体" w:hAnsi="宋体"/>
          <w:color w:val="auto"/>
          <w:kern w:val="0"/>
          <w:sz w:val="22"/>
          <w:szCs w:val="22"/>
          <w:highlight w:val="none"/>
        </w:rPr>
        <w:t>，推进数字园林建设。创新管理模式，整合基础数据、监管数据和行业运行数据，探索形成智能化、规范化、集约化的数字园林系统。实现对道路及周围绿地GPS定位、绿线划定、公园布局、古树名木保护、园林绿化和绿道建设等的监督管理，推动建立基于CIM基础平台的数字公园和绿道系统，提升科学化、动态化、精细化以及互动式建设管理水平。</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根据《温州市城市绿化条例》强调：“城市绿化行政主管部门应当加强城市绿化资源调查、监测和监控，建立城市绿化管理信息系统，定期公布城市绿化建设、保护和管理的相关信息”。</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 xml:space="preserve">虽然政府对园林绿化越来越重视，但目前仍然存着不少问题，如：公共绿地的管养职责难以明确，养护资金分配不均衡。发现占（毁）绿情况，难以对发现的问题进行整改，后续执法取证难以追溯、求证。当公众发现古树名木损坏时，无渠道进行申报等。 </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园林绿化作为城市综合服务的重要组成部分，园林养护工作已是绿色城市、文明城市不可或缺部分，良好的园林成效能够提升城市公众在城市生活中的获得感和体验感。</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因此，在各级政府要求推进数字化改革的大背景下，顺应政府数字化改革趋势，</w:t>
      </w:r>
      <w:r>
        <w:rPr>
          <w:rFonts w:ascii="宋体" w:hAnsi="宋体"/>
          <w:color w:val="auto"/>
          <w:kern w:val="0"/>
          <w:sz w:val="22"/>
          <w:szCs w:val="22"/>
          <w:highlight w:val="none"/>
        </w:rPr>
        <w:t>建立</w:t>
      </w:r>
      <w:r>
        <w:rPr>
          <w:rFonts w:hint="eastAsia" w:ascii="宋体" w:hAnsi="宋体"/>
          <w:color w:val="auto"/>
          <w:kern w:val="0"/>
          <w:sz w:val="22"/>
          <w:szCs w:val="22"/>
          <w:highlight w:val="none"/>
        </w:rPr>
        <w:t>温州市绿地在线</w:t>
      </w:r>
      <w:r>
        <w:rPr>
          <w:rFonts w:ascii="宋体" w:hAnsi="宋体"/>
          <w:color w:val="auto"/>
          <w:kern w:val="0"/>
          <w:sz w:val="22"/>
          <w:szCs w:val="22"/>
          <w:highlight w:val="none"/>
        </w:rPr>
        <w:t>系统，实现园林行业综合监管和整体调度，加强</w:t>
      </w:r>
      <w:r>
        <w:rPr>
          <w:rFonts w:hint="eastAsia" w:ascii="宋体" w:hAnsi="宋体"/>
          <w:color w:val="auto"/>
          <w:kern w:val="0"/>
          <w:sz w:val="22"/>
          <w:szCs w:val="22"/>
          <w:highlight w:val="none"/>
        </w:rPr>
        <w:t>温州市综合行政执法局和温州市园林绿化管理中心</w:t>
      </w:r>
      <w:r>
        <w:rPr>
          <w:rFonts w:ascii="宋体" w:hAnsi="宋体"/>
          <w:color w:val="auto"/>
          <w:kern w:val="0"/>
          <w:sz w:val="22"/>
          <w:szCs w:val="22"/>
          <w:highlight w:val="none"/>
        </w:rPr>
        <w:t>对</w:t>
      </w:r>
      <w:r>
        <w:rPr>
          <w:rFonts w:hint="eastAsia" w:ascii="宋体" w:hAnsi="宋体"/>
          <w:color w:val="auto"/>
          <w:kern w:val="0"/>
          <w:sz w:val="22"/>
          <w:szCs w:val="22"/>
          <w:highlight w:val="none"/>
        </w:rPr>
        <w:t>全市</w:t>
      </w:r>
      <w:r>
        <w:rPr>
          <w:rFonts w:ascii="宋体" w:hAnsi="宋体"/>
          <w:color w:val="auto"/>
          <w:kern w:val="0"/>
          <w:sz w:val="22"/>
          <w:szCs w:val="22"/>
          <w:highlight w:val="none"/>
        </w:rPr>
        <w:t>园林行业的掌控力度。</w:t>
      </w:r>
    </w:p>
    <w:p>
      <w:pPr>
        <w:pStyle w:val="762"/>
        <w:ind w:firstLine="440"/>
        <w:rPr>
          <w:rFonts w:ascii="宋体" w:hAnsi="宋体"/>
          <w:color w:val="auto"/>
          <w:kern w:val="0"/>
          <w:sz w:val="22"/>
          <w:szCs w:val="22"/>
          <w:highlight w:val="none"/>
        </w:rPr>
      </w:pPr>
    </w:p>
    <w:p>
      <w:pPr>
        <w:pStyle w:val="761"/>
        <w:spacing w:before="156" w:after="156"/>
        <w:ind w:left="0" w:firstLine="0"/>
        <w:rPr>
          <w:rFonts w:ascii="宋体" w:hAnsi="宋体" w:eastAsia="宋体"/>
          <w:color w:val="auto"/>
          <w:sz w:val="22"/>
          <w:szCs w:val="22"/>
          <w:highlight w:val="none"/>
        </w:rPr>
      </w:pPr>
      <w:r>
        <w:rPr>
          <w:rFonts w:hint="eastAsia" w:ascii="宋体" w:hAnsi="宋体" w:eastAsia="宋体"/>
          <w:bCs w:val="0"/>
          <w:color w:val="auto"/>
          <w:sz w:val="22"/>
          <w:szCs w:val="22"/>
          <w:highlight w:val="none"/>
        </w:rPr>
        <w:t>项目</w:t>
      </w:r>
      <w:bookmarkEnd w:id="18"/>
      <w:r>
        <w:rPr>
          <w:rFonts w:hint="eastAsia" w:ascii="宋体" w:hAnsi="宋体" w:eastAsia="宋体"/>
          <w:bCs w:val="0"/>
          <w:color w:val="auto"/>
          <w:sz w:val="22"/>
          <w:szCs w:val="22"/>
          <w:highlight w:val="none"/>
        </w:rPr>
        <w:t>目标</w:t>
      </w:r>
    </w:p>
    <w:p>
      <w:pPr>
        <w:pStyle w:val="762"/>
        <w:ind w:firstLine="440"/>
        <w:rPr>
          <w:rFonts w:hint="eastAsia" w:ascii="宋体" w:hAnsi="宋体"/>
          <w:color w:val="auto"/>
          <w:kern w:val="0"/>
          <w:sz w:val="22"/>
          <w:szCs w:val="22"/>
          <w:highlight w:val="none"/>
        </w:rPr>
      </w:pPr>
      <w:r>
        <w:rPr>
          <w:rFonts w:hint="eastAsia" w:ascii="宋体" w:hAnsi="宋体"/>
          <w:color w:val="auto"/>
          <w:kern w:val="0"/>
          <w:sz w:val="22"/>
          <w:szCs w:val="22"/>
          <w:highlight w:val="none"/>
        </w:rPr>
        <w:t>以省、市数字化改革工作要求为指导，以“创建国家生态园林城市、提高园林行业管理效率、提升园林养护精细化能力”为导向，打造市县一体化园林服务模式为目标。</w:t>
      </w:r>
      <w:r>
        <w:rPr>
          <w:rFonts w:ascii="宋体" w:hAnsi="宋体"/>
          <w:color w:val="auto"/>
          <w:kern w:val="0"/>
          <w:sz w:val="22"/>
          <w:szCs w:val="22"/>
          <w:highlight w:val="none"/>
        </w:rPr>
        <w:t>基于智慧园林服务体系，集成</w:t>
      </w:r>
      <w:r>
        <w:rPr>
          <w:rFonts w:hint="eastAsia" w:ascii="宋体" w:hAnsi="宋体"/>
          <w:color w:val="auto"/>
          <w:kern w:val="0"/>
          <w:sz w:val="22"/>
          <w:szCs w:val="22"/>
          <w:highlight w:val="none"/>
        </w:rPr>
        <w:t>智慧管理、智慧养护、智慧服务一体化，通过构建“资源管控一件事、创园监督一件事、养护监管一件事、涉绿项目一件事、公众服务一件事”的城市园林五件事，形成市、区县、乡镇街道三级贯通，</w:t>
      </w:r>
      <w:r>
        <w:rPr>
          <w:rFonts w:ascii="宋体" w:hAnsi="宋体"/>
          <w:color w:val="auto"/>
          <w:kern w:val="0"/>
          <w:sz w:val="22"/>
          <w:szCs w:val="22"/>
          <w:highlight w:val="none"/>
        </w:rPr>
        <w:t>全面提升</w:t>
      </w:r>
      <w:r>
        <w:rPr>
          <w:rFonts w:hint="eastAsia" w:ascii="宋体" w:hAnsi="宋体"/>
          <w:color w:val="auto"/>
          <w:kern w:val="0"/>
          <w:sz w:val="22"/>
          <w:szCs w:val="22"/>
          <w:highlight w:val="none"/>
        </w:rPr>
        <w:t>温州市</w:t>
      </w:r>
      <w:r>
        <w:rPr>
          <w:rFonts w:ascii="宋体" w:hAnsi="宋体"/>
          <w:color w:val="auto"/>
          <w:kern w:val="0"/>
          <w:sz w:val="22"/>
          <w:szCs w:val="22"/>
          <w:highlight w:val="none"/>
        </w:rPr>
        <w:t>园林</w:t>
      </w:r>
      <w:r>
        <w:rPr>
          <w:rFonts w:hint="eastAsia" w:ascii="宋体" w:hAnsi="宋体"/>
          <w:color w:val="auto"/>
          <w:kern w:val="0"/>
          <w:sz w:val="22"/>
          <w:szCs w:val="22"/>
          <w:highlight w:val="none"/>
        </w:rPr>
        <w:t>绿化管理水平</w:t>
      </w:r>
      <w:r>
        <w:rPr>
          <w:rFonts w:ascii="宋体" w:hAnsi="宋体"/>
          <w:color w:val="auto"/>
          <w:kern w:val="0"/>
          <w:sz w:val="22"/>
          <w:szCs w:val="22"/>
          <w:highlight w:val="none"/>
        </w:rPr>
        <w:t>，加快推进</w:t>
      </w:r>
      <w:r>
        <w:rPr>
          <w:rFonts w:hint="eastAsia" w:ascii="宋体" w:hAnsi="宋体"/>
          <w:color w:val="auto"/>
          <w:kern w:val="0"/>
          <w:sz w:val="22"/>
          <w:szCs w:val="22"/>
          <w:highlight w:val="none"/>
        </w:rPr>
        <w:t>园林管理</w:t>
      </w:r>
      <w:r>
        <w:rPr>
          <w:rFonts w:ascii="宋体" w:hAnsi="宋体"/>
          <w:color w:val="auto"/>
          <w:kern w:val="0"/>
          <w:sz w:val="22"/>
          <w:szCs w:val="22"/>
          <w:highlight w:val="none"/>
        </w:rPr>
        <w:t>数字化，</w:t>
      </w:r>
      <w:r>
        <w:rPr>
          <w:rFonts w:hint="eastAsia" w:ascii="宋体" w:hAnsi="宋体"/>
          <w:color w:val="auto"/>
          <w:kern w:val="0"/>
          <w:sz w:val="22"/>
          <w:szCs w:val="22"/>
          <w:highlight w:val="none"/>
        </w:rPr>
        <w:t>通过园林要素和事件的智能化识别、跟踪、分析和管理，实现园林管理精细化、智能化，有效支撑国家园林城市复评与生态园林城市工作。</w:t>
      </w:r>
    </w:p>
    <w:p>
      <w:pPr>
        <w:pStyle w:val="761"/>
        <w:spacing w:before="156" w:after="156"/>
        <w:ind w:left="0" w:firstLine="0"/>
        <w:rPr>
          <w:rFonts w:hint="eastAsia" w:ascii="宋体" w:hAnsi="宋体" w:eastAsia="宋体"/>
          <w:color w:val="auto"/>
          <w:sz w:val="22"/>
          <w:szCs w:val="22"/>
          <w:highlight w:val="none"/>
        </w:rPr>
      </w:pPr>
      <w:bookmarkStart w:id="19" w:name="_Toc7094915"/>
      <w:r>
        <w:rPr>
          <w:rFonts w:hint="eastAsia" w:ascii="宋体" w:hAnsi="宋体" w:eastAsia="宋体"/>
          <w:color w:val="auto"/>
          <w:sz w:val="22"/>
          <w:szCs w:val="22"/>
          <w:highlight w:val="none"/>
        </w:rPr>
        <w:t>工作内容</w:t>
      </w:r>
    </w:p>
    <w:bookmarkEnd w:id="19"/>
    <w:p>
      <w:pPr>
        <w:pStyle w:val="763"/>
        <w:spacing w:before="156" w:after="156"/>
        <w:ind w:left="0" w:firstLine="0"/>
        <w:rPr>
          <w:rFonts w:ascii="宋体" w:hAnsi="宋体" w:cs="宋体"/>
          <w:color w:val="auto"/>
          <w:sz w:val="22"/>
          <w:szCs w:val="22"/>
          <w:highlight w:val="none"/>
        </w:rPr>
      </w:pPr>
      <w:r>
        <w:rPr>
          <w:rFonts w:hint="eastAsia" w:ascii="宋体" w:hAnsi="宋体" w:eastAsia="宋体"/>
          <w:color w:val="auto"/>
          <w:sz w:val="22"/>
          <w:szCs w:val="22"/>
          <w:highlight w:val="none"/>
        </w:rPr>
        <w:t>温州市区绿化资源数据动态更新工作</w:t>
      </w:r>
    </w:p>
    <w:p>
      <w:pPr>
        <w:pStyle w:val="766"/>
        <w:spacing w:before="156" w:after="156"/>
        <w:ind w:left="720"/>
        <w:rPr>
          <w:rFonts w:ascii="宋体" w:hAnsi="宋体" w:eastAsia="宋体"/>
          <w:color w:val="auto"/>
          <w:sz w:val="22"/>
          <w:szCs w:val="22"/>
          <w:highlight w:val="none"/>
        </w:rPr>
      </w:pPr>
      <w:r>
        <w:rPr>
          <w:rFonts w:ascii="宋体" w:hAnsi="宋体" w:eastAsia="宋体"/>
          <w:color w:val="auto"/>
          <w:sz w:val="22"/>
          <w:szCs w:val="22"/>
          <w:highlight w:val="none"/>
        </w:rPr>
        <w:t>对2022年新增建成区范围开展绿地</w:t>
      </w:r>
      <w:r>
        <w:rPr>
          <w:rFonts w:hint="eastAsia" w:ascii="宋体" w:hAnsi="宋体" w:eastAsia="宋体"/>
          <w:color w:val="auto"/>
          <w:sz w:val="22"/>
          <w:szCs w:val="22"/>
          <w:highlight w:val="none"/>
        </w:rPr>
        <w:t>普查</w:t>
      </w:r>
      <w:r>
        <w:rPr>
          <w:rFonts w:ascii="宋体" w:hAnsi="宋体" w:eastAsia="宋体"/>
          <w:color w:val="auto"/>
          <w:sz w:val="22"/>
          <w:szCs w:val="22"/>
          <w:highlight w:val="none"/>
        </w:rPr>
        <w:t>建库</w:t>
      </w:r>
    </w:p>
    <w:p>
      <w:pPr>
        <w:pStyle w:val="762"/>
        <w:ind w:firstLine="440"/>
        <w:rPr>
          <w:rFonts w:hint="eastAsia" w:ascii="宋体" w:hAnsi="宋体"/>
          <w:color w:val="auto"/>
          <w:kern w:val="0"/>
          <w:sz w:val="22"/>
          <w:szCs w:val="22"/>
          <w:highlight w:val="none"/>
        </w:rPr>
      </w:pPr>
      <w:r>
        <w:rPr>
          <w:rFonts w:hint="eastAsia" w:ascii="宋体" w:hAnsi="宋体"/>
          <w:color w:val="auto"/>
          <w:kern w:val="0"/>
          <w:sz w:val="22"/>
          <w:szCs w:val="22"/>
          <w:highlight w:val="none"/>
        </w:rPr>
        <w:t>对</w:t>
      </w:r>
      <w:r>
        <w:rPr>
          <w:rFonts w:ascii="宋体" w:hAnsi="宋体"/>
          <w:color w:val="auto"/>
          <w:kern w:val="0"/>
          <w:sz w:val="22"/>
          <w:szCs w:val="22"/>
          <w:highlight w:val="none"/>
        </w:rPr>
        <w:t>2022</w:t>
      </w:r>
      <w:r>
        <w:rPr>
          <w:rFonts w:hint="eastAsia" w:ascii="宋体" w:hAnsi="宋体"/>
          <w:color w:val="auto"/>
          <w:kern w:val="0"/>
          <w:sz w:val="22"/>
          <w:szCs w:val="22"/>
          <w:highlight w:val="none"/>
        </w:rPr>
        <w:t>年温州市区新增建成区（以下简称“扩展区”）进行全面的园林绿地资源现场普查，完成扩展区绿地现状、绿化覆盖、各类绿地（包括但不限于：公园绿地、道路绿地、居住绿地、</w:t>
      </w:r>
      <w:r>
        <w:rPr>
          <w:rFonts w:ascii="宋体" w:hAnsi="宋体"/>
          <w:color w:val="auto"/>
          <w:kern w:val="0"/>
          <w:sz w:val="22"/>
          <w:szCs w:val="22"/>
          <w:highlight w:val="none"/>
        </w:rPr>
        <w:t>单位绿地</w:t>
      </w:r>
      <w:r>
        <w:rPr>
          <w:rFonts w:hint="eastAsia" w:ascii="宋体" w:hAnsi="宋体"/>
          <w:color w:val="auto"/>
          <w:kern w:val="0"/>
          <w:sz w:val="22"/>
          <w:szCs w:val="22"/>
          <w:highlight w:val="none"/>
        </w:rPr>
        <w:t>、</w:t>
      </w:r>
      <w:r>
        <w:rPr>
          <w:rFonts w:ascii="宋体" w:hAnsi="宋体"/>
          <w:color w:val="auto"/>
          <w:kern w:val="0"/>
          <w:sz w:val="22"/>
          <w:szCs w:val="22"/>
          <w:highlight w:val="none"/>
        </w:rPr>
        <w:t>分车绿带</w:t>
      </w:r>
      <w:r>
        <w:rPr>
          <w:rFonts w:hint="eastAsia" w:ascii="宋体" w:hAnsi="宋体"/>
          <w:color w:val="auto"/>
          <w:kern w:val="0"/>
          <w:sz w:val="22"/>
          <w:szCs w:val="22"/>
          <w:highlight w:val="none"/>
        </w:rPr>
        <w:t>等）等数据的普查建库工作。</w:t>
      </w:r>
    </w:p>
    <w:p>
      <w:pPr>
        <w:pStyle w:val="766"/>
        <w:spacing w:before="156" w:after="156"/>
        <w:ind w:left="720"/>
        <w:rPr>
          <w:rFonts w:ascii="宋体" w:hAnsi="宋体" w:eastAsia="宋体"/>
          <w:color w:val="auto"/>
          <w:sz w:val="22"/>
          <w:szCs w:val="22"/>
          <w:highlight w:val="none"/>
        </w:rPr>
      </w:pPr>
      <w:r>
        <w:rPr>
          <w:rFonts w:hint="eastAsia" w:ascii="宋体" w:hAnsi="宋体" w:eastAsia="宋体"/>
          <w:color w:val="auto"/>
          <w:sz w:val="22"/>
          <w:szCs w:val="22"/>
          <w:highlight w:val="none"/>
        </w:rPr>
        <w:t>对温州市区的现有园林绿地数据开展年度更新</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获取温州市区最新的0.5米及以上高分辨率影像、1：2000及以上大比例尺地形图、20</w:t>
      </w:r>
      <w:r>
        <w:rPr>
          <w:rFonts w:ascii="宋体" w:hAnsi="宋体"/>
          <w:color w:val="auto"/>
          <w:kern w:val="0"/>
          <w:sz w:val="22"/>
          <w:szCs w:val="22"/>
          <w:highlight w:val="none"/>
        </w:rPr>
        <w:t>21</w:t>
      </w:r>
      <w:r>
        <w:rPr>
          <w:rFonts w:hint="eastAsia" w:ascii="宋体" w:hAnsi="宋体"/>
          <w:color w:val="auto"/>
          <w:kern w:val="0"/>
          <w:sz w:val="22"/>
          <w:szCs w:val="22"/>
          <w:highlight w:val="none"/>
        </w:rPr>
        <w:t>年温州市区一区两率监测成果、</w:t>
      </w:r>
      <w:r>
        <w:rPr>
          <w:rFonts w:ascii="宋体" w:hAnsi="宋体"/>
          <w:color w:val="auto"/>
          <w:kern w:val="0"/>
          <w:sz w:val="22"/>
          <w:szCs w:val="22"/>
          <w:highlight w:val="none"/>
        </w:rPr>
        <w:t>竣工测绘成果</w:t>
      </w:r>
      <w:r>
        <w:rPr>
          <w:rFonts w:hint="eastAsia" w:ascii="宋体" w:hAnsi="宋体"/>
          <w:color w:val="auto"/>
          <w:kern w:val="0"/>
          <w:sz w:val="22"/>
          <w:szCs w:val="22"/>
          <w:highlight w:val="none"/>
        </w:rPr>
        <w:t>、城市已批用地红线、城市控制性详细规划等数据，针对温州鹿城区、龙湾区、瓯海区和洞头区所辖的建成区范围2</w:t>
      </w:r>
      <w:r>
        <w:rPr>
          <w:rFonts w:ascii="宋体" w:hAnsi="宋体"/>
          <w:color w:val="auto"/>
          <w:kern w:val="0"/>
          <w:sz w:val="22"/>
          <w:szCs w:val="22"/>
          <w:highlight w:val="none"/>
        </w:rPr>
        <w:t>75.90</w:t>
      </w:r>
      <w:r>
        <w:rPr>
          <w:rFonts w:hint="eastAsia" w:ascii="宋体" w:hAnsi="宋体"/>
          <w:color w:val="auto"/>
          <w:kern w:val="0"/>
          <w:sz w:val="22"/>
          <w:szCs w:val="22"/>
          <w:highlight w:val="none"/>
        </w:rPr>
        <w:t>平方公里（以下简称“更新区”），对现有的数据进行校核更新，对发生变化的绿地进行更新测绘，并进行绿地分类和属性赋值等建库工作，使温州市绿化绿化资源数据现势性达到项目时间节点的要求。</w:t>
      </w:r>
    </w:p>
    <w:p>
      <w:pPr>
        <w:pStyle w:val="766"/>
        <w:spacing w:before="156" w:after="156"/>
        <w:ind w:left="720"/>
        <w:rPr>
          <w:rFonts w:ascii="宋体" w:hAnsi="宋体" w:eastAsia="宋体"/>
          <w:color w:val="auto"/>
          <w:sz w:val="22"/>
          <w:szCs w:val="22"/>
          <w:highlight w:val="none"/>
        </w:rPr>
      </w:pPr>
      <w:r>
        <w:rPr>
          <w:rFonts w:hint="eastAsia" w:ascii="宋体" w:hAnsi="宋体" w:eastAsia="宋体"/>
          <w:color w:val="auto"/>
          <w:sz w:val="22"/>
          <w:szCs w:val="22"/>
          <w:highlight w:val="none"/>
        </w:rPr>
        <w:t>东瓯大道、瓯海大道绿地测量工作</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对温州市东瓯大道、瓯海大道上的道路绿地（包括高架桥下绿地）及两侧的行道树和防护绿地进行全面普查及测绘。其中东瓯大道北起瓯北双塔路口，南至过境公路，全程约7公里；瓯海大道（瓯海段、龙湾段）西起福州路西300米，东至机场路转盘段，全程约27公里。分别统计出相应的绿地面积和行道树数量，出具成果报告和图件，并将数据成果更新至</w:t>
      </w:r>
      <w:r>
        <w:rPr>
          <w:rFonts w:ascii="宋体" w:hAnsi="宋体"/>
          <w:color w:val="auto"/>
          <w:kern w:val="0"/>
          <w:sz w:val="22"/>
          <w:szCs w:val="22"/>
          <w:highlight w:val="none"/>
        </w:rPr>
        <w:t>系统平台</w:t>
      </w:r>
      <w:r>
        <w:rPr>
          <w:rFonts w:hint="eastAsia" w:ascii="宋体" w:hAnsi="宋体"/>
          <w:color w:val="auto"/>
          <w:kern w:val="0"/>
          <w:sz w:val="22"/>
          <w:szCs w:val="22"/>
          <w:highlight w:val="none"/>
        </w:rPr>
        <w:t>。</w:t>
      </w:r>
    </w:p>
    <w:p>
      <w:pPr>
        <w:pStyle w:val="766"/>
        <w:spacing w:before="156" w:after="156"/>
        <w:ind w:left="720"/>
        <w:rPr>
          <w:rFonts w:ascii="宋体" w:hAnsi="宋体" w:eastAsia="宋体"/>
          <w:color w:val="auto"/>
          <w:sz w:val="22"/>
          <w:szCs w:val="22"/>
          <w:highlight w:val="none"/>
        </w:rPr>
      </w:pPr>
      <w:r>
        <w:rPr>
          <w:rFonts w:hint="eastAsia" w:ascii="宋体" w:hAnsi="宋体" w:eastAsia="宋体"/>
          <w:color w:val="auto"/>
          <w:sz w:val="22"/>
          <w:szCs w:val="22"/>
          <w:highlight w:val="none"/>
        </w:rPr>
        <w:t>建设项目</w:t>
      </w:r>
      <w:r>
        <w:rPr>
          <w:rFonts w:ascii="宋体" w:hAnsi="宋体" w:eastAsia="宋体"/>
          <w:color w:val="auto"/>
          <w:sz w:val="22"/>
          <w:szCs w:val="22"/>
          <w:highlight w:val="none"/>
        </w:rPr>
        <w:t>竣工</w:t>
      </w:r>
      <w:r>
        <w:rPr>
          <w:rFonts w:hint="eastAsia" w:ascii="宋体" w:hAnsi="宋体" w:eastAsia="宋体"/>
          <w:color w:val="auto"/>
          <w:sz w:val="22"/>
          <w:szCs w:val="22"/>
          <w:highlight w:val="none"/>
        </w:rPr>
        <w:t>测绘</w:t>
      </w:r>
      <w:r>
        <w:rPr>
          <w:rFonts w:ascii="宋体" w:hAnsi="宋体" w:eastAsia="宋体"/>
          <w:color w:val="auto"/>
          <w:sz w:val="22"/>
          <w:szCs w:val="22"/>
          <w:highlight w:val="none"/>
        </w:rPr>
        <w:t>成果季度更新</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为</w:t>
      </w:r>
      <w:r>
        <w:rPr>
          <w:rFonts w:ascii="宋体" w:hAnsi="宋体"/>
          <w:color w:val="auto"/>
          <w:kern w:val="0"/>
          <w:sz w:val="22"/>
          <w:szCs w:val="22"/>
          <w:highlight w:val="none"/>
        </w:rPr>
        <w:t>减少</w:t>
      </w:r>
      <w:r>
        <w:rPr>
          <w:rFonts w:hint="eastAsia" w:ascii="宋体" w:hAnsi="宋体"/>
          <w:color w:val="auto"/>
          <w:kern w:val="0"/>
          <w:sz w:val="22"/>
          <w:szCs w:val="22"/>
          <w:highlight w:val="none"/>
        </w:rPr>
        <w:t>绿地资源数据</w:t>
      </w:r>
      <w:r>
        <w:rPr>
          <w:rFonts w:ascii="宋体" w:hAnsi="宋体"/>
          <w:color w:val="auto"/>
          <w:kern w:val="0"/>
          <w:sz w:val="22"/>
          <w:szCs w:val="22"/>
          <w:highlight w:val="none"/>
        </w:rPr>
        <w:t>采集</w:t>
      </w:r>
      <w:r>
        <w:rPr>
          <w:rFonts w:hint="eastAsia" w:ascii="宋体" w:hAnsi="宋体"/>
          <w:color w:val="auto"/>
          <w:kern w:val="0"/>
          <w:sz w:val="22"/>
          <w:szCs w:val="22"/>
          <w:highlight w:val="none"/>
        </w:rPr>
        <w:t>更新</w:t>
      </w:r>
      <w:r>
        <w:rPr>
          <w:rFonts w:ascii="宋体" w:hAnsi="宋体"/>
          <w:color w:val="auto"/>
          <w:kern w:val="0"/>
          <w:sz w:val="22"/>
          <w:szCs w:val="22"/>
          <w:highlight w:val="none"/>
        </w:rPr>
        <w:t>工作量</w:t>
      </w:r>
      <w:r>
        <w:rPr>
          <w:rFonts w:hint="eastAsia" w:ascii="宋体" w:hAnsi="宋体"/>
          <w:color w:val="auto"/>
          <w:kern w:val="0"/>
          <w:sz w:val="22"/>
          <w:szCs w:val="22"/>
          <w:highlight w:val="none"/>
        </w:rPr>
        <w:t>，避免财政资金浪费</w:t>
      </w:r>
      <w:r>
        <w:rPr>
          <w:rFonts w:ascii="宋体" w:hAnsi="宋体"/>
          <w:color w:val="auto"/>
          <w:kern w:val="0"/>
          <w:sz w:val="22"/>
          <w:szCs w:val="22"/>
          <w:highlight w:val="none"/>
        </w:rPr>
        <w:t>，提升对相关</w:t>
      </w:r>
      <w:r>
        <w:rPr>
          <w:rFonts w:hint="eastAsia" w:ascii="宋体" w:hAnsi="宋体"/>
          <w:color w:val="auto"/>
          <w:kern w:val="0"/>
          <w:sz w:val="22"/>
          <w:szCs w:val="22"/>
          <w:highlight w:val="none"/>
        </w:rPr>
        <w:t>绿地资源</w:t>
      </w:r>
      <w:r>
        <w:rPr>
          <w:rFonts w:ascii="宋体" w:hAnsi="宋体"/>
          <w:color w:val="auto"/>
          <w:kern w:val="0"/>
          <w:sz w:val="22"/>
          <w:szCs w:val="22"/>
          <w:highlight w:val="none"/>
        </w:rPr>
        <w:t>应用部门的服务水平，保持数据的</w:t>
      </w:r>
      <w:r>
        <w:rPr>
          <w:rFonts w:hint="eastAsia" w:ascii="宋体" w:hAnsi="宋体"/>
          <w:color w:val="auto"/>
          <w:kern w:val="0"/>
          <w:sz w:val="22"/>
          <w:szCs w:val="22"/>
          <w:highlight w:val="none"/>
        </w:rPr>
        <w:t>有序管理、</w:t>
      </w:r>
      <w:r>
        <w:rPr>
          <w:rFonts w:ascii="宋体" w:hAnsi="宋体"/>
          <w:color w:val="auto"/>
          <w:kern w:val="0"/>
          <w:sz w:val="22"/>
          <w:szCs w:val="22"/>
          <w:highlight w:val="none"/>
        </w:rPr>
        <w:t>持续</w:t>
      </w:r>
      <w:r>
        <w:rPr>
          <w:rFonts w:hint="eastAsia" w:ascii="宋体" w:hAnsi="宋体"/>
          <w:color w:val="auto"/>
          <w:kern w:val="0"/>
          <w:sz w:val="22"/>
          <w:szCs w:val="22"/>
          <w:highlight w:val="none"/>
        </w:rPr>
        <w:t>动态</w:t>
      </w:r>
      <w:r>
        <w:rPr>
          <w:rFonts w:ascii="宋体" w:hAnsi="宋体"/>
          <w:color w:val="auto"/>
          <w:kern w:val="0"/>
          <w:sz w:val="22"/>
          <w:szCs w:val="22"/>
          <w:highlight w:val="none"/>
        </w:rPr>
        <w:t>更新和准确性，</w:t>
      </w:r>
      <w:r>
        <w:rPr>
          <w:rFonts w:hint="eastAsia" w:ascii="宋体" w:hAnsi="宋体"/>
          <w:color w:val="auto"/>
          <w:kern w:val="0"/>
          <w:sz w:val="22"/>
          <w:szCs w:val="22"/>
          <w:highlight w:val="none"/>
        </w:rPr>
        <w:t>建立绿地资源动态更新机制，定期通过温州市住房和城乡建设局、温州市自然资源和规划局、温州市城市建设档案馆等</w:t>
      </w:r>
      <w:r>
        <w:rPr>
          <w:rFonts w:ascii="宋体" w:hAnsi="宋体"/>
          <w:color w:val="auto"/>
          <w:kern w:val="0"/>
          <w:sz w:val="22"/>
          <w:szCs w:val="22"/>
          <w:highlight w:val="none"/>
        </w:rPr>
        <w:t>相关部门</w:t>
      </w:r>
      <w:r>
        <w:rPr>
          <w:rFonts w:hint="eastAsia" w:ascii="宋体" w:hAnsi="宋体"/>
          <w:color w:val="auto"/>
          <w:kern w:val="0"/>
          <w:sz w:val="22"/>
          <w:szCs w:val="22"/>
          <w:highlight w:val="none"/>
        </w:rPr>
        <w:t>共享获取2021年、2</w:t>
      </w:r>
      <w:r>
        <w:rPr>
          <w:rFonts w:ascii="宋体" w:hAnsi="宋体"/>
          <w:color w:val="auto"/>
          <w:kern w:val="0"/>
          <w:sz w:val="22"/>
          <w:szCs w:val="22"/>
          <w:highlight w:val="none"/>
        </w:rPr>
        <w:t>022年</w:t>
      </w:r>
      <w:r>
        <w:rPr>
          <w:rFonts w:hint="eastAsia" w:ascii="宋体" w:hAnsi="宋体"/>
          <w:color w:val="auto"/>
          <w:kern w:val="0"/>
          <w:sz w:val="22"/>
          <w:szCs w:val="22"/>
          <w:highlight w:val="none"/>
        </w:rPr>
        <w:t>涉绿项目竣工测绘成果，依据该成果开展数据更新建库，通过和原有绿化资源成果比对分析，并发布至系统平台。</w:t>
      </w:r>
    </w:p>
    <w:p>
      <w:pPr>
        <w:pStyle w:val="766"/>
        <w:spacing w:before="156" w:after="156"/>
        <w:ind w:left="720"/>
        <w:rPr>
          <w:rFonts w:ascii="宋体" w:hAnsi="宋体" w:eastAsia="宋体"/>
          <w:color w:val="auto"/>
          <w:sz w:val="22"/>
          <w:szCs w:val="22"/>
          <w:highlight w:val="none"/>
        </w:rPr>
      </w:pPr>
      <w:r>
        <w:rPr>
          <w:rFonts w:hint="eastAsia" w:ascii="宋体" w:hAnsi="宋体" w:eastAsia="宋体"/>
          <w:color w:val="auto"/>
          <w:sz w:val="22"/>
          <w:szCs w:val="22"/>
          <w:highlight w:val="none"/>
        </w:rPr>
        <w:t>古树名木健康状况年度确认</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对温州市区已建档的6</w:t>
      </w:r>
      <w:r>
        <w:rPr>
          <w:rFonts w:ascii="宋体" w:hAnsi="宋体"/>
          <w:color w:val="auto"/>
          <w:kern w:val="0"/>
          <w:sz w:val="22"/>
          <w:szCs w:val="22"/>
          <w:highlight w:val="none"/>
        </w:rPr>
        <w:t>75</w:t>
      </w:r>
      <w:r>
        <w:rPr>
          <w:rFonts w:hint="eastAsia" w:ascii="宋体" w:hAnsi="宋体"/>
          <w:color w:val="auto"/>
          <w:kern w:val="0"/>
          <w:sz w:val="22"/>
          <w:szCs w:val="22"/>
          <w:highlight w:val="none"/>
        </w:rPr>
        <w:t>株古树名木及93株后备古树名木的信息进行核实更新，主要包括其空间位置、树种、保护编号、树龄、树高、胸围、冠幅、生长状态、生长环境、管养单位、保护性措施等属性信息，并需进行拍照核实确认。</w:t>
      </w:r>
    </w:p>
    <w:p>
      <w:pPr>
        <w:pStyle w:val="766"/>
        <w:spacing w:before="156" w:after="156"/>
        <w:ind w:left="720"/>
        <w:rPr>
          <w:rFonts w:ascii="宋体" w:hAnsi="宋体" w:eastAsia="宋体"/>
          <w:color w:val="auto"/>
          <w:sz w:val="22"/>
          <w:szCs w:val="22"/>
          <w:highlight w:val="none"/>
        </w:rPr>
      </w:pPr>
      <w:r>
        <w:rPr>
          <w:rFonts w:hint="eastAsia" w:ascii="宋体" w:hAnsi="宋体" w:eastAsia="宋体"/>
          <w:color w:val="auto"/>
          <w:sz w:val="22"/>
          <w:szCs w:val="22"/>
          <w:highlight w:val="none"/>
        </w:rPr>
        <w:t>涉绿单位信息核实更新</w:t>
      </w:r>
    </w:p>
    <w:p>
      <w:pPr>
        <w:pStyle w:val="762"/>
        <w:ind w:firstLine="440"/>
        <w:rPr>
          <w:rFonts w:ascii="宋体" w:hAnsi="宋体"/>
          <w:color w:val="auto"/>
          <w:kern w:val="0"/>
          <w:sz w:val="22"/>
          <w:szCs w:val="22"/>
          <w:highlight w:val="none"/>
        </w:rPr>
      </w:pPr>
      <w:r>
        <w:rPr>
          <w:rFonts w:ascii="宋体" w:hAnsi="宋体"/>
          <w:color w:val="auto"/>
          <w:kern w:val="0"/>
          <w:sz w:val="22"/>
          <w:szCs w:val="22"/>
          <w:highlight w:val="none"/>
        </w:rPr>
        <w:t>收集用地红线资料，精确核实</w:t>
      </w:r>
      <w:r>
        <w:rPr>
          <w:rFonts w:hint="eastAsia" w:ascii="宋体" w:hAnsi="宋体"/>
          <w:color w:val="auto"/>
          <w:kern w:val="0"/>
          <w:sz w:val="22"/>
          <w:szCs w:val="22"/>
          <w:highlight w:val="none"/>
        </w:rPr>
        <w:t>温州建成区范围内的各居住区、公共服务单位、道路的空间位置及范围，并更新统计绿地面积、绿地率、绿化覆盖率等相关绿地指标。</w:t>
      </w:r>
    </w:p>
    <w:p>
      <w:pPr>
        <w:pStyle w:val="766"/>
        <w:spacing w:before="156" w:after="156"/>
        <w:ind w:left="720"/>
        <w:rPr>
          <w:rFonts w:ascii="宋体" w:hAnsi="宋体" w:eastAsia="宋体"/>
          <w:color w:val="auto"/>
          <w:sz w:val="22"/>
          <w:szCs w:val="22"/>
          <w:highlight w:val="none"/>
        </w:rPr>
      </w:pPr>
      <w:r>
        <w:rPr>
          <w:rFonts w:hint="eastAsia" w:ascii="宋体" w:hAnsi="宋体" w:eastAsia="宋体"/>
          <w:color w:val="auto"/>
          <w:sz w:val="22"/>
          <w:szCs w:val="22"/>
          <w:highlight w:val="none"/>
        </w:rPr>
        <w:t>城市公园及广场精细化测绘更新</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对温州市建成区所有公园及广场进行精细化测绘更新，对公园范围内的道路、硬化地面、水系、建筑、绿地、停车场等进行区分，对公园、广场附属的亭、公厕、古建筑、知名景点等进行空间化处理，并根据业主需求，完善公园相关信息，实现对城市公园、广场的精细化管理。</w:t>
      </w:r>
    </w:p>
    <w:p>
      <w:pPr>
        <w:pStyle w:val="766"/>
        <w:spacing w:before="156" w:after="156"/>
        <w:ind w:left="720"/>
        <w:rPr>
          <w:rFonts w:ascii="宋体" w:hAnsi="宋体" w:eastAsia="宋体"/>
          <w:color w:val="auto"/>
          <w:sz w:val="22"/>
          <w:szCs w:val="22"/>
          <w:highlight w:val="none"/>
        </w:rPr>
      </w:pPr>
      <w:r>
        <w:rPr>
          <w:rFonts w:hint="eastAsia" w:ascii="宋体" w:hAnsi="宋体" w:eastAsia="宋体"/>
          <w:color w:val="auto"/>
          <w:sz w:val="22"/>
          <w:szCs w:val="22"/>
          <w:highlight w:val="none"/>
        </w:rPr>
        <w:t>行道树普查更新</w:t>
      </w:r>
    </w:p>
    <w:p>
      <w:pPr>
        <w:pStyle w:val="762"/>
        <w:ind w:firstLine="440"/>
        <w:rPr>
          <w:rFonts w:ascii="宋体" w:hAnsi="宋体"/>
          <w:color w:val="auto"/>
          <w:kern w:val="0"/>
          <w:sz w:val="22"/>
          <w:szCs w:val="22"/>
          <w:highlight w:val="none"/>
        </w:rPr>
      </w:pPr>
      <w:r>
        <w:rPr>
          <w:rFonts w:ascii="宋体" w:hAnsi="宋体"/>
          <w:color w:val="auto"/>
          <w:kern w:val="0"/>
          <w:sz w:val="22"/>
          <w:szCs w:val="22"/>
          <w:highlight w:val="none"/>
        </w:rPr>
        <w:t>完成对</w:t>
      </w:r>
      <w:r>
        <w:rPr>
          <w:rFonts w:hint="eastAsia" w:ascii="宋体" w:hAnsi="宋体"/>
          <w:color w:val="auto"/>
          <w:kern w:val="0"/>
          <w:sz w:val="22"/>
          <w:szCs w:val="22"/>
          <w:highlight w:val="none"/>
        </w:rPr>
        <w:t>温州市区</w:t>
      </w:r>
      <w:r>
        <w:rPr>
          <w:rFonts w:ascii="宋体" w:hAnsi="宋体"/>
          <w:color w:val="auto"/>
          <w:kern w:val="0"/>
          <w:sz w:val="22"/>
          <w:szCs w:val="22"/>
          <w:highlight w:val="none"/>
        </w:rPr>
        <w:t>建成区范围内的行道树的普查更新，现场调查行道树的</w:t>
      </w:r>
      <w:r>
        <w:rPr>
          <w:rFonts w:hint="eastAsia" w:ascii="宋体" w:hAnsi="宋体"/>
          <w:color w:val="auto"/>
          <w:kern w:val="0"/>
          <w:sz w:val="22"/>
          <w:szCs w:val="22"/>
          <w:highlight w:val="none"/>
        </w:rPr>
        <w:t>树种、棵数、树龄、胸径、树高、种植间距、树穴规格、树穴样式等信息，并进行拍照核实确认。对存在死亡、病株、残株、缺失等问题的行道树，需单独记录其空间位置及具体情况。</w:t>
      </w:r>
    </w:p>
    <w:p>
      <w:pPr>
        <w:pStyle w:val="766"/>
        <w:spacing w:before="156" w:after="156"/>
        <w:ind w:left="720"/>
        <w:rPr>
          <w:rFonts w:ascii="宋体" w:hAnsi="宋体"/>
          <w:color w:val="auto"/>
          <w:kern w:val="0"/>
          <w:sz w:val="22"/>
          <w:szCs w:val="22"/>
          <w:highlight w:val="none"/>
        </w:rPr>
      </w:pPr>
      <w:r>
        <w:rPr>
          <w:rFonts w:hint="eastAsia" w:ascii="宋体" w:hAnsi="宋体" w:eastAsia="宋体"/>
          <w:color w:val="auto"/>
          <w:sz w:val="22"/>
          <w:szCs w:val="22"/>
          <w:highlight w:val="none"/>
        </w:rPr>
        <w:t>城市绿道普查更新</w:t>
      </w:r>
    </w:p>
    <w:p>
      <w:pPr>
        <w:pStyle w:val="762"/>
        <w:ind w:firstLine="440"/>
        <w:rPr>
          <w:rFonts w:hint="eastAsia" w:ascii="宋体" w:hAnsi="宋体"/>
          <w:color w:val="auto"/>
          <w:kern w:val="0"/>
          <w:sz w:val="22"/>
          <w:szCs w:val="22"/>
          <w:highlight w:val="none"/>
        </w:rPr>
      </w:pPr>
      <w:r>
        <w:rPr>
          <w:rFonts w:hint="eastAsia" w:ascii="宋体" w:hAnsi="宋体"/>
          <w:color w:val="auto"/>
          <w:kern w:val="0"/>
          <w:sz w:val="22"/>
          <w:szCs w:val="22"/>
          <w:highlight w:val="none"/>
        </w:rPr>
        <w:t>收集最新城市绿道成果，完成新建城市绿道的空间信息采集更新、属性信息（包含绿道名称、绿道分类、绿道起止点、绿道长度、主要配套设施等）排查及建库，并完成对已建档城市绿道的核实更新。</w:t>
      </w:r>
    </w:p>
    <w:p>
      <w:pPr>
        <w:pStyle w:val="766"/>
        <w:spacing w:before="156" w:after="156"/>
        <w:ind w:left="720"/>
        <w:rPr>
          <w:rFonts w:hint="eastAsia" w:ascii="宋体" w:hAnsi="宋体" w:eastAsia="宋体"/>
          <w:color w:val="auto"/>
          <w:sz w:val="22"/>
          <w:szCs w:val="22"/>
          <w:highlight w:val="none"/>
        </w:rPr>
      </w:pPr>
      <w:r>
        <w:rPr>
          <w:rFonts w:hint="eastAsia" w:ascii="宋体" w:hAnsi="宋体" w:eastAsia="宋体"/>
          <w:color w:val="auto"/>
          <w:sz w:val="22"/>
          <w:szCs w:val="22"/>
          <w:highlight w:val="none"/>
        </w:rPr>
        <w:t>绿化指标统计分析</w:t>
      </w:r>
    </w:p>
    <w:p>
      <w:pPr>
        <w:pStyle w:val="762"/>
        <w:ind w:firstLine="440"/>
        <w:rPr>
          <w:rFonts w:hint="eastAsia" w:ascii="宋体" w:hAnsi="宋体"/>
          <w:color w:val="auto"/>
          <w:kern w:val="0"/>
          <w:sz w:val="22"/>
          <w:szCs w:val="22"/>
          <w:highlight w:val="none"/>
        </w:rPr>
      </w:pPr>
      <w:r>
        <w:rPr>
          <w:rFonts w:hint="eastAsia" w:ascii="宋体" w:hAnsi="宋体"/>
          <w:color w:val="auto"/>
          <w:kern w:val="0"/>
          <w:sz w:val="22"/>
          <w:szCs w:val="22"/>
          <w:highlight w:val="none"/>
        </w:rPr>
        <w:t>根据国家园林城市系列考核标准，统计城市绿地率、绿化覆盖率、公园绿化活动场地服务半径覆盖率、城市绿道服务半径覆盖率等相关绿化指标，并录入系统平台。</w:t>
      </w:r>
    </w:p>
    <w:p>
      <w:pPr>
        <w:pStyle w:val="766"/>
        <w:spacing w:before="156" w:after="156"/>
        <w:ind w:left="720"/>
        <w:rPr>
          <w:rFonts w:hint="eastAsia" w:ascii="宋体" w:hAnsi="宋体" w:eastAsia="宋体"/>
          <w:color w:val="auto"/>
          <w:sz w:val="22"/>
          <w:szCs w:val="22"/>
          <w:highlight w:val="none"/>
        </w:rPr>
      </w:pPr>
      <w:r>
        <w:rPr>
          <w:rFonts w:ascii="宋体" w:hAnsi="宋体" w:eastAsia="宋体"/>
          <w:color w:val="auto"/>
          <w:sz w:val="22"/>
          <w:szCs w:val="22"/>
          <w:highlight w:val="none"/>
        </w:rPr>
        <w:t>绿地对比分析报告</w:t>
      </w:r>
    </w:p>
    <w:p>
      <w:pPr>
        <w:pStyle w:val="762"/>
        <w:ind w:firstLine="440"/>
        <w:rPr>
          <w:rFonts w:hint="eastAsia" w:ascii="宋体" w:hAnsi="宋体"/>
          <w:color w:val="auto"/>
          <w:kern w:val="0"/>
          <w:sz w:val="22"/>
          <w:szCs w:val="22"/>
          <w:highlight w:val="none"/>
        </w:rPr>
      </w:pPr>
      <w:r>
        <w:rPr>
          <w:rFonts w:hint="eastAsia" w:ascii="宋体" w:hAnsi="宋体"/>
          <w:color w:val="auto"/>
          <w:kern w:val="0"/>
          <w:sz w:val="22"/>
          <w:szCs w:val="22"/>
          <w:highlight w:val="none"/>
        </w:rPr>
        <w:t>通过运用</w:t>
      </w:r>
      <w:r>
        <w:rPr>
          <w:rFonts w:ascii="宋体" w:hAnsi="宋体"/>
          <w:color w:val="auto"/>
          <w:kern w:val="0"/>
          <w:sz w:val="22"/>
          <w:szCs w:val="22"/>
          <w:highlight w:val="none"/>
        </w:rPr>
        <w:t>GIS技术</w:t>
      </w:r>
      <w:r>
        <w:rPr>
          <w:rFonts w:hint="eastAsia" w:ascii="宋体" w:hAnsi="宋体"/>
          <w:color w:val="auto"/>
          <w:kern w:val="0"/>
          <w:sz w:val="22"/>
          <w:szCs w:val="22"/>
          <w:highlight w:val="none"/>
        </w:rPr>
        <w:t>，与2</w:t>
      </w:r>
      <w:r>
        <w:rPr>
          <w:rFonts w:ascii="宋体" w:hAnsi="宋体"/>
          <w:color w:val="auto"/>
          <w:kern w:val="0"/>
          <w:sz w:val="22"/>
          <w:szCs w:val="22"/>
          <w:highlight w:val="none"/>
        </w:rPr>
        <w:t>021年</w:t>
      </w:r>
      <w:r>
        <w:rPr>
          <w:rFonts w:hint="eastAsia" w:ascii="宋体" w:hAnsi="宋体"/>
          <w:color w:val="auto"/>
          <w:kern w:val="0"/>
          <w:sz w:val="22"/>
          <w:szCs w:val="22"/>
          <w:highlight w:val="none"/>
        </w:rPr>
        <w:t>历史数据成果比对，分析出园林绿化资源年度新增范围和减少范围，并出具成果报告，录入系统平台。</w:t>
      </w:r>
    </w:p>
    <w:p>
      <w:pPr>
        <w:pStyle w:val="763"/>
        <w:spacing w:before="156" w:after="156"/>
        <w:ind w:left="0" w:firstLine="0"/>
        <w:rPr>
          <w:rFonts w:ascii="宋体" w:hAnsi="宋体" w:cs="宋体"/>
          <w:color w:val="auto"/>
          <w:sz w:val="22"/>
          <w:szCs w:val="22"/>
          <w:highlight w:val="none"/>
        </w:rPr>
      </w:pPr>
      <w:bookmarkStart w:id="20" w:name="_Toc99293576"/>
      <w:bookmarkStart w:id="21" w:name="_Toc107500731"/>
      <w:r>
        <w:rPr>
          <w:rFonts w:hint="eastAsia" w:ascii="新宋体" w:hAnsi="新宋体" w:eastAsia="新宋体" w:cs="楷体"/>
          <w:color w:val="auto"/>
          <w:sz w:val="22"/>
          <w:highlight w:val="none"/>
        </w:rPr>
        <w:t>城市绿地在线应用（园林涉绿“五”件事）</w:t>
      </w:r>
      <w:bookmarkEnd w:id="20"/>
      <w:bookmarkEnd w:id="21"/>
    </w:p>
    <w:p>
      <w:pPr>
        <w:pStyle w:val="766"/>
        <w:spacing w:before="156" w:after="156"/>
        <w:ind w:left="720"/>
        <w:rPr>
          <w:rFonts w:hint="eastAsia" w:ascii="宋体" w:hAnsi="宋体" w:eastAsia="宋体"/>
          <w:color w:val="auto"/>
          <w:sz w:val="22"/>
          <w:szCs w:val="22"/>
          <w:highlight w:val="none"/>
        </w:rPr>
      </w:pPr>
      <w:bookmarkStart w:id="22" w:name="_Toc99293577"/>
      <w:bookmarkStart w:id="23" w:name="_Toc107500732"/>
      <w:r>
        <w:rPr>
          <w:rFonts w:hint="eastAsia" w:ascii="宋体" w:hAnsi="宋体" w:eastAsia="宋体"/>
          <w:color w:val="auto"/>
          <w:sz w:val="22"/>
          <w:szCs w:val="22"/>
          <w:highlight w:val="none"/>
        </w:rPr>
        <w:t>资源管控一件事</w:t>
      </w:r>
      <w:bookmarkEnd w:id="22"/>
      <w:r>
        <w:rPr>
          <w:rFonts w:hint="eastAsia" w:ascii="宋体" w:hAnsi="宋体" w:eastAsia="宋体"/>
          <w:color w:val="auto"/>
          <w:sz w:val="22"/>
          <w:szCs w:val="22"/>
          <w:highlight w:val="none"/>
        </w:rPr>
        <w:t>（城市绿地资源管控）</w:t>
      </w:r>
      <w:bookmarkEnd w:id="23"/>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基于温州市智慧园林系统建立一张权威、现势性高的园林资源底图，将全市1</w:t>
      </w:r>
      <w:r>
        <w:rPr>
          <w:rFonts w:ascii="宋体" w:hAnsi="宋体"/>
          <w:color w:val="auto"/>
          <w:kern w:val="0"/>
          <w:sz w:val="22"/>
          <w:szCs w:val="22"/>
          <w:highlight w:val="none"/>
        </w:rPr>
        <w:t>8</w:t>
      </w:r>
      <w:r>
        <w:rPr>
          <w:rFonts w:hint="eastAsia" w:ascii="宋体" w:hAnsi="宋体"/>
          <w:color w:val="auto"/>
          <w:kern w:val="0"/>
          <w:sz w:val="22"/>
          <w:szCs w:val="22"/>
          <w:highlight w:val="none"/>
        </w:rPr>
        <w:t>年至今年普查的园林专题数据进行集中展示，实现园林全行业数据汇总和实时在线汇总分析，并集成实时监控视频资源，实现“园林资源，一图尽览”，并对接并结合温州市智慧城管平台。</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（1）绿地资源现状</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根据相应标准，对原有绿地总览信息进行补充，由各区县添加总览数据（数据标准由市园林绿化中心提供，数据处理由各县（市）</w:t>
      </w:r>
      <w:r>
        <w:rPr>
          <w:rFonts w:ascii="宋体" w:hAnsi="宋体"/>
          <w:color w:val="auto"/>
          <w:kern w:val="0"/>
          <w:sz w:val="22"/>
          <w:szCs w:val="22"/>
          <w:highlight w:val="none"/>
        </w:rPr>
        <w:t>完成</w:t>
      </w:r>
      <w:r>
        <w:rPr>
          <w:rFonts w:hint="eastAsia" w:ascii="宋体" w:hAnsi="宋体"/>
          <w:color w:val="auto"/>
          <w:kern w:val="0"/>
          <w:sz w:val="22"/>
          <w:szCs w:val="22"/>
          <w:highlight w:val="none"/>
        </w:rPr>
        <w:t>），主要</w:t>
      </w:r>
      <w:r>
        <w:rPr>
          <w:rFonts w:ascii="宋体" w:hAnsi="宋体"/>
          <w:color w:val="auto"/>
          <w:kern w:val="0"/>
          <w:sz w:val="22"/>
          <w:szCs w:val="22"/>
          <w:highlight w:val="none"/>
        </w:rPr>
        <w:t>包括</w:t>
      </w:r>
      <w:r>
        <w:rPr>
          <w:rFonts w:hint="eastAsia" w:ascii="宋体" w:hAnsi="宋体"/>
          <w:color w:val="auto"/>
          <w:kern w:val="0"/>
          <w:sz w:val="22"/>
          <w:szCs w:val="22"/>
          <w:highlight w:val="none"/>
        </w:rPr>
        <w:t>瑞安、永嘉等，实现对全市生态园林城市建设的现状进行宏观展示。</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1、绿化资源</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整合包括2021-2022年新标准下的绿化资源和2021年前的历年园林绿地普查数据资源，分析历年绿化普查情况。</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2、绿道一张图</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整合2021、2022绿道数据，通过系统进行空间化展示绿道位置。</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3、乔木资源管理</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依托建成区范围内城市行道树木、古树名木及后备资源，建立乔木管理系统，从植物属性、空间分布、责任单位、管护安排及记录等维度形成一树一档案。并以地图的形式展示乔木种类、分布、生长情况等。</w:t>
      </w:r>
    </w:p>
    <w:p>
      <w:pPr>
        <w:pStyle w:val="762"/>
        <w:ind w:firstLine="440"/>
        <w:rPr>
          <w:rFonts w:ascii="宋体" w:hAnsi="宋体"/>
          <w:color w:val="auto"/>
          <w:kern w:val="0"/>
          <w:sz w:val="22"/>
          <w:szCs w:val="22"/>
          <w:highlight w:val="none"/>
        </w:rPr>
      </w:pPr>
      <w:r>
        <w:rPr>
          <w:rFonts w:ascii="宋体" w:hAnsi="宋体"/>
          <w:color w:val="auto"/>
          <w:kern w:val="0"/>
          <w:sz w:val="22"/>
          <w:szCs w:val="22"/>
          <w:highlight w:val="none"/>
        </w:rPr>
        <w:t>4</w:t>
      </w:r>
      <w:r>
        <w:rPr>
          <w:rFonts w:hint="eastAsia" w:ascii="宋体" w:hAnsi="宋体"/>
          <w:color w:val="auto"/>
          <w:kern w:val="0"/>
          <w:sz w:val="22"/>
          <w:szCs w:val="22"/>
          <w:highlight w:val="none"/>
        </w:rPr>
        <w:t>、古树名木监管</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基于已建成的温州市智慧园林系统和本期建设的对温州市</w:t>
      </w:r>
      <w:r>
        <w:rPr>
          <w:rFonts w:ascii="宋体" w:hAnsi="宋体"/>
          <w:color w:val="auto"/>
          <w:kern w:val="0"/>
          <w:sz w:val="22"/>
          <w:szCs w:val="22"/>
          <w:highlight w:val="none"/>
        </w:rPr>
        <w:t>建成</w:t>
      </w:r>
      <w:r>
        <w:rPr>
          <w:rFonts w:hint="eastAsia" w:ascii="宋体" w:hAnsi="宋体"/>
          <w:color w:val="auto"/>
          <w:kern w:val="0"/>
          <w:sz w:val="22"/>
          <w:szCs w:val="22"/>
          <w:highlight w:val="none"/>
        </w:rPr>
        <w:t>区</w:t>
      </w:r>
      <w:r>
        <w:rPr>
          <w:rFonts w:ascii="宋体" w:hAnsi="宋体"/>
          <w:color w:val="auto"/>
          <w:kern w:val="0"/>
          <w:sz w:val="22"/>
          <w:szCs w:val="22"/>
          <w:highlight w:val="none"/>
        </w:rPr>
        <w:t>10</w:t>
      </w:r>
      <w:r>
        <w:rPr>
          <w:rFonts w:hint="eastAsia" w:ascii="宋体" w:hAnsi="宋体"/>
          <w:color w:val="auto"/>
          <w:kern w:val="0"/>
          <w:sz w:val="22"/>
          <w:szCs w:val="22"/>
          <w:highlight w:val="none"/>
        </w:rPr>
        <w:t>颗古树名木进行动态监管，实时分析监测的古树名木信息，并结合日常养护监管情况分析当前古树名木的生态周期，为今后的管理工作提供基础。</w:t>
      </w:r>
    </w:p>
    <w:p>
      <w:pPr>
        <w:pStyle w:val="762"/>
        <w:ind w:firstLine="440"/>
        <w:rPr>
          <w:rFonts w:ascii="宋体" w:hAnsi="宋体"/>
          <w:color w:val="auto"/>
          <w:kern w:val="0"/>
          <w:sz w:val="22"/>
          <w:szCs w:val="22"/>
          <w:highlight w:val="none"/>
        </w:rPr>
      </w:pPr>
      <w:r>
        <w:rPr>
          <w:rFonts w:ascii="宋体" w:hAnsi="宋体"/>
          <w:color w:val="auto"/>
          <w:kern w:val="0"/>
          <w:sz w:val="22"/>
          <w:szCs w:val="22"/>
          <w:highlight w:val="none"/>
        </w:rPr>
        <w:t>5</w:t>
      </w:r>
      <w:r>
        <w:rPr>
          <w:rFonts w:hint="eastAsia" w:ascii="宋体" w:hAnsi="宋体"/>
          <w:color w:val="auto"/>
          <w:kern w:val="0"/>
          <w:sz w:val="22"/>
          <w:szCs w:val="22"/>
          <w:highlight w:val="none"/>
        </w:rPr>
        <w:t>、专题图制作</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可进行园林专题制作，进行自动化、智能化制图和输出。</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（2）空间查询分析</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系统支持对空间数据的查询功能，利用工具可在系统图层中进行选取，选取的内容信息会在信息栏中进行显示。如统计行道树当前区域内多少棵、需要多少养护经费等，并支持导出。</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（3）历史变迁分析</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结合历年普查、业务数据，将历年来的核心指标数据进行动态展示，包括绿地面积、绿化覆盖面积、绿地率、绿化覆盖率、公园绿地服务面积、公园绿化人均服务面积、服务半径覆盖率等指标进行直观化展示。更好的辅助管理人员对城市园林绿化数据动态年鉴变化数据，为后续规划、设计提供数据支撑。</w:t>
      </w:r>
    </w:p>
    <w:p>
      <w:pPr>
        <w:pStyle w:val="762"/>
        <w:ind w:firstLine="440"/>
        <w:rPr>
          <w:color w:val="auto"/>
          <w:highlight w:val="none"/>
        </w:rPr>
      </w:pPr>
      <w:r>
        <w:rPr>
          <w:rFonts w:hint="eastAsia" w:ascii="宋体" w:hAnsi="宋体"/>
          <w:color w:val="auto"/>
          <w:kern w:val="0"/>
          <w:sz w:val="22"/>
          <w:szCs w:val="22"/>
          <w:highlight w:val="none"/>
        </w:rPr>
        <w:t>（4）</w:t>
      </w:r>
      <w:r>
        <w:rPr>
          <w:rFonts w:hint="eastAsia"/>
          <w:color w:val="auto"/>
          <w:highlight w:val="none"/>
        </w:rPr>
        <w:t>绿地资源规划</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对接资规局展示近3年绿地规划数据，包括国土空间规划、绿地专项规划等。</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结合园林绿地指标数据，对园林绿地指标进行分析，通过对园林绿化现状与规划信息对比，分析绿地系统规划实施情况，依据城市绿地分布现状、城市绿地统计分析以及专题图数据进行空间分析，辅助建设项目选址。</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（5）避灾险地分析</w:t>
      </w:r>
    </w:p>
    <w:p>
      <w:pPr>
        <w:pStyle w:val="762"/>
        <w:ind w:firstLine="440"/>
        <w:rPr>
          <w:rFonts w:hint="eastAsia" w:ascii="宋体" w:hAnsi="宋体"/>
          <w:color w:val="auto"/>
          <w:kern w:val="0"/>
          <w:sz w:val="22"/>
          <w:szCs w:val="22"/>
          <w:highlight w:val="none"/>
        </w:rPr>
      </w:pPr>
      <w:r>
        <w:rPr>
          <w:rFonts w:hint="eastAsia" w:ascii="宋体" w:hAnsi="宋体"/>
          <w:color w:val="auto"/>
          <w:kern w:val="0"/>
          <w:sz w:val="22"/>
          <w:szCs w:val="22"/>
          <w:highlight w:val="none"/>
        </w:rPr>
        <w:t>系统支持对防灾避险绿地进行面积统计及对应位置信息分布与查询，管理人员可以从系统快速了解避灾险地情况。</w:t>
      </w:r>
    </w:p>
    <w:p>
      <w:pPr>
        <w:pStyle w:val="766"/>
        <w:spacing w:before="156" w:after="156"/>
        <w:ind w:left="720"/>
        <w:rPr>
          <w:rFonts w:ascii="宋体" w:hAnsi="宋体" w:eastAsia="宋体"/>
          <w:color w:val="auto"/>
          <w:sz w:val="22"/>
          <w:szCs w:val="22"/>
          <w:highlight w:val="none"/>
        </w:rPr>
      </w:pPr>
      <w:bookmarkStart w:id="24" w:name="_Toc107500733"/>
      <w:bookmarkStart w:id="25" w:name="_Toc101361239"/>
      <w:r>
        <w:rPr>
          <w:rFonts w:hint="eastAsia" w:ascii="宋体" w:hAnsi="宋体" w:eastAsia="宋体"/>
          <w:color w:val="auto"/>
          <w:sz w:val="22"/>
          <w:szCs w:val="22"/>
          <w:highlight w:val="none"/>
        </w:rPr>
        <w:t>创园监督一件事</w:t>
      </w:r>
      <w:bookmarkEnd w:id="24"/>
      <w:bookmarkEnd w:id="25"/>
    </w:p>
    <w:p>
      <w:pPr>
        <w:pStyle w:val="762"/>
        <w:ind w:firstLine="440"/>
        <w:rPr>
          <w:rFonts w:hint="eastAsia" w:ascii="宋体" w:hAnsi="宋体"/>
          <w:color w:val="auto"/>
          <w:kern w:val="0"/>
          <w:sz w:val="22"/>
          <w:szCs w:val="22"/>
          <w:highlight w:val="none"/>
        </w:rPr>
      </w:pPr>
      <w:r>
        <w:rPr>
          <w:rFonts w:hint="eastAsia" w:ascii="宋体" w:hAnsi="宋体"/>
          <w:color w:val="auto"/>
          <w:kern w:val="0"/>
          <w:sz w:val="22"/>
          <w:szCs w:val="22"/>
          <w:highlight w:val="none"/>
        </w:rPr>
        <w:t>通过一体化智能化公共数据平台获取多种信息资源，打破各委办局信息线下各自发送、重复发送的弊端，基于创园指标智能分析算法模型，结合区县、街道上报，历年普查等各数据资源，动态分析创园各类指标实际情况，使后续更加广泛，更有针对性的对未达标情况进行专项整治。同步将数据推送至一体化智能化公共数据平台，实现同整个智慧城市的信息共享、业务协同、互联互通。</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（1）创园监督管理</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根据《国家园林城市评选标准》4类1</w:t>
      </w:r>
      <w:r>
        <w:rPr>
          <w:rFonts w:ascii="宋体" w:hAnsi="宋体"/>
          <w:color w:val="auto"/>
          <w:kern w:val="0"/>
          <w:sz w:val="22"/>
          <w:szCs w:val="22"/>
          <w:highlight w:val="none"/>
        </w:rPr>
        <w:t>8</w:t>
      </w:r>
      <w:r>
        <w:rPr>
          <w:rFonts w:hint="eastAsia" w:ascii="宋体" w:hAnsi="宋体"/>
          <w:color w:val="auto"/>
          <w:kern w:val="0"/>
          <w:sz w:val="22"/>
          <w:szCs w:val="22"/>
          <w:highlight w:val="none"/>
        </w:rPr>
        <w:t>个评选指标，分析我市国家园林城市创建现状，找出指标差距，并推送给相应责任部门；责任部门在接到任务后，反馈任务完成进展，并与温州市</w:t>
      </w:r>
      <w:r>
        <w:rPr>
          <w:rFonts w:ascii="宋体" w:hAnsi="宋体"/>
          <w:color w:val="auto"/>
          <w:kern w:val="0"/>
          <w:sz w:val="22"/>
          <w:szCs w:val="22"/>
          <w:highlight w:val="none"/>
        </w:rPr>
        <w:t>数字城管</w:t>
      </w:r>
      <w:r>
        <w:rPr>
          <w:rFonts w:hint="eastAsia" w:ascii="宋体" w:hAnsi="宋体"/>
          <w:color w:val="auto"/>
          <w:kern w:val="0"/>
          <w:sz w:val="22"/>
          <w:szCs w:val="22"/>
          <w:highlight w:val="none"/>
        </w:rPr>
        <w:t>平台进行对接，包括创园指标结果、业务流转结果等。</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（2</w:t>
      </w:r>
      <w:r>
        <w:rPr>
          <w:rFonts w:ascii="宋体" w:hAnsi="宋体"/>
          <w:color w:val="auto"/>
          <w:kern w:val="0"/>
          <w:sz w:val="22"/>
          <w:szCs w:val="22"/>
          <w:highlight w:val="none"/>
        </w:rPr>
        <w:t>）</w:t>
      </w:r>
      <w:r>
        <w:rPr>
          <w:rFonts w:hint="eastAsia" w:ascii="宋体" w:hAnsi="宋体"/>
          <w:color w:val="auto"/>
          <w:kern w:val="0"/>
          <w:sz w:val="22"/>
          <w:szCs w:val="22"/>
          <w:highlight w:val="none"/>
        </w:rPr>
        <w:t>创园指标一张屏</w:t>
      </w:r>
    </w:p>
    <w:p>
      <w:pPr>
        <w:pStyle w:val="762"/>
        <w:ind w:firstLine="440"/>
        <w:rPr>
          <w:rFonts w:ascii="宋体" w:hAnsi="宋体"/>
          <w:color w:val="auto"/>
          <w:kern w:val="0"/>
          <w:sz w:val="22"/>
          <w:szCs w:val="22"/>
          <w:highlight w:val="none"/>
        </w:rPr>
      </w:pPr>
      <w:r>
        <w:rPr>
          <w:rFonts w:ascii="宋体" w:hAnsi="宋体"/>
          <w:color w:val="auto"/>
          <w:kern w:val="0"/>
          <w:sz w:val="22"/>
          <w:szCs w:val="22"/>
          <w:highlight w:val="none"/>
        </w:rPr>
        <w:t>依托智慧城管</w:t>
      </w:r>
      <w:r>
        <w:rPr>
          <w:rFonts w:hint="eastAsia" w:ascii="宋体" w:hAnsi="宋体"/>
          <w:color w:val="auto"/>
          <w:kern w:val="0"/>
          <w:sz w:val="22"/>
          <w:szCs w:val="22"/>
          <w:highlight w:val="none"/>
        </w:rPr>
        <w:t>平台建设创园指标一张屏，通过系统呈现我市创园指标情况，实现对全市生态园林城市建设的现状进行宏观展示，方便后续根据差距内容有针对的进行完善</w:t>
      </w:r>
      <w:r>
        <w:rPr>
          <w:rFonts w:ascii="宋体" w:hAnsi="宋体"/>
          <w:color w:val="auto"/>
          <w:kern w:val="0"/>
          <w:sz w:val="22"/>
          <w:szCs w:val="22"/>
          <w:highlight w:val="none"/>
        </w:rPr>
        <w:t>。</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（3）创园任务分解、监督</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根据《国家园林城市评选标准》4类1</w:t>
      </w:r>
      <w:r>
        <w:rPr>
          <w:rFonts w:ascii="宋体" w:hAnsi="宋体"/>
          <w:color w:val="auto"/>
          <w:kern w:val="0"/>
          <w:sz w:val="22"/>
          <w:szCs w:val="22"/>
          <w:highlight w:val="none"/>
        </w:rPr>
        <w:t>8</w:t>
      </w:r>
      <w:r>
        <w:rPr>
          <w:rFonts w:hint="eastAsia" w:ascii="宋体" w:hAnsi="宋体"/>
          <w:color w:val="auto"/>
          <w:kern w:val="0"/>
          <w:sz w:val="22"/>
          <w:szCs w:val="22"/>
          <w:highlight w:val="none"/>
        </w:rPr>
        <w:t>个评选指标，分析我市国家园林城市创建现状，找出指标差距。逐个分解创园任务安排并设定任务情况反馈周期，并推送给相应责任部门。针对评选指标，建立创园任务模板，在下达创园任务时，可自动生成任务，并支持自定义修改。</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（4）创园任务接收、反馈</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责任部门在接到任务后，按任务反馈要求及时反馈任务完成情况，从而实现创园工作的闭环监督管理。反馈内容包括：文本、图片、视频、文件等内容。市国家园林城市创建办公室根据反馈内容，结合国园创建指标，开展评价任务完成情况。</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（5）创建申报（</w:t>
      </w:r>
      <w:r>
        <w:rPr>
          <w:rFonts w:ascii="宋体" w:hAnsi="宋体"/>
          <w:color w:val="auto"/>
          <w:kern w:val="0"/>
          <w:sz w:val="22"/>
          <w:szCs w:val="22"/>
          <w:highlight w:val="none"/>
        </w:rPr>
        <w:t>园林式单位和园林式小区</w:t>
      </w:r>
      <w:r>
        <w:rPr>
          <w:rFonts w:hint="eastAsia" w:ascii="宋体" w:hAnsi="宋体"/>
          <w:color w:val="auto"/>
          <w:kern w:val="0"/>
          <w:sz w:val="22"/>
          <w:szCs w:val="22"/>
          <w:highlight w:val="none"/>
        </w:rPr>
        <w:t>）</w:t>
      </w:r>
    </w:p>
    <w:p>
      <w:pPr>
        <w:pStyle w:val="762"/>
        <w:ind w:firstLine="440"/>
        <w:rPr>
          <w:rFonts w:hint="eastAsia" w:ascii="宋体" w:hAnsi="宋体"/>
          <w:color w:val="auto"/>
          <w:kern w:val="0"/>
          <w:sz w:val="22"/>
          <w:szCs w:val="22"/>
          <w:highlight w:val="none"/>
        </w:rPr>
      </w:pPr>
      <w:r>
        <w:rPr>
          <w:rFonts w:hint="eastAsia" w:ascii="宋体" w:hAnsi="宋体"/>
          <w:color w:val="auto"/>
          <w:kern w:val="0"/>
          <w:sz w:val="22"/>
          <w:szCs w:val="22"/>
          <w:highlight w:val="none"/>
        </w:rPr>
        <w:t>对接省内园林创建评比申报系统，实现各市县评比材料填报和报送工作。并将各市县创建评比指标通过一屏的形式进行呈现，直观了解哪项指标达标或不足。</w:t>
      </w:r>
    </w:p>
    <w:p>
      <w:pPr>
        <w:pStyle w:val="766"/>
        <w:spacing w:before="156" w:after="156"/>
        <w:ind w:left="720"/>
        <w:rPr>
          <w:rFonts w:ascii="宋体" w:hAnsi="宋体" w:eastAsia="宋体"/>
          <w:color w:val="auto"/>
          <w:sz w:val="22"/>
          <w:szCs w:val="22"/>
          <w:highlight w:val="none"/>
        </w:rPr>
      </w:pPr>
      <w:bookmarkStart w:id="26" w:name="_Toc107500734"/>
      <w:r>
        <w:rPr>
          <w:rFonts w:hint="eastAsia" w:ascii="宋体" w:hAnsi="宋体" w:eastAsia="宋体"/>
          <w:color w:val="auto"/>
          <w:sz w:val="22"/>
          <w:szCs w:val="22"/>
          <w:highlight w:val="none"/>
        </w:rPr>
        <w:t>绿地养护监管一件事</w:t>
      </w:r>
      <w:bookmarkEnd w:id="26"/>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建立园林养护网格化精细管理，健全养护管理标准和养护考核标准，形成日养护、月考核的养护监督常态化局面，通过多层手段规范园林行业管理乱象，实现管理标准化、专业化。</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w:t>
      </w:r>
      <w:r>
        <w:rPr>
          <w:rFonts w:ascii="宋体" w:hAnsi="宋体"/>
          <w:color w:val="auto"/>
          <w:kern w:val="0"/>
          <w:sz w:val="22"/>
          <w:szCs w:val="22"/>
          <w:highlight w:val="none"/>
        </w:rPr>
        <w:t>1</w:t>
      </w:r>
      <w:r>
        <w:rPr>
          <w:rFonts w:hint="eastAsia" w:ascii="宋体" w:hAnsi="宋体"/>
          <w:color w:val="auto"/>
          <w:kern w:val="0"/>
          <w:sz w:val="22"/>
          <w:szCs w:val="22"/>
          <w:highlight w:val="none"/>
        </w:rPr>
        <w:t>）绿地养护监管</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按照市县一体化要求，建立绿地养护监管系统，为园林管理部门提供精细化管理模式，加强养护人员管理、病虫害管理等。</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w:t>
      </w:r>
      <w:r>
        <w:rPr>
          <w:rFonts w:ascii="宋体" w:hAnsi="宋体"/>
          <w:color w:val="auto"/>
          <w:kern w:val="0"/>
          <w:sz w:val="22"/>
          <w:szCs w:val="22"/>
          <w:highlight w:val="none"/>
        </w:rPr>
        <w:t>2</w:t>
      </w:r>
      <w:r>
        <w:rPr>
          <w:rFonts w:hint="eastAsia" w:ascii="宋体" w:hAnsi="宋体"/>
          <w:color w:val="auto"/>
          <w:kern w:val="0"/>
          <w:sz w:val="22"/>
          <w:szCs w:val="22"/>
          <w:highlight w:val="none"/>
        </w:rPr>
        <w:t>）养护经费核算</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通过系统分析历年所需养护经费，并对未来所需养护资金给出相应建议，辅助园林管理部门合理分配养护资金，节约财政养护资金支出。</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w:t>
      </w:r>
      <w:r>
        <w:rPr>
          <w:rFonts w:ascii="宋体" w:hAnsi="宋体"/>
          <w:color w:val="auto"/>
          <w:kern w:val="0"/>
          <w:sz w:val="22"/>
          <w:szCs w:val="22"/>
          <w:highlight w:val="none"/>
        </w:rPr>
        <w:t>3</w:t>
      </w:r>
      <w:r>
        <w:rPr>
          <w:rFonts w:hint="eastAsia" w:ascii="宋体" w:hAnsi="宋体"/>
          <w:color w:val="auto"/>
          <w:kern w:val="0"/>
          <w:sz w:val="22"/>
          <w:szCs w:val="22"/>
          <w:highlight w:val="none"/>
        </w:rPr>
        <w:t>）园林养护管理</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建设园林养护管理，为养护过程提供精细化管理模式，加强养护过程管理、人员管理、病虫害管理等。</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1、养护网格化管理</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将全市的养护企业进行网格化区分，将区域关联到企业，实现发现养护问题时能快速寻到所属企业。</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2、养护计划管理</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对养护计划进行电子化管理，并带有查询、编辑、附件上传等功能。养护计划信息可根据需要推送到相关人员终端系统，并可查阅各人员阅读状态。</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3、养护人员管理</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通过对养护人员的信息、考勤、请假、奖惩、统计等管理，可有效保证了养护工作的实施与养护质量，做到管理有层次，计划有目标，工作有落实，过程有控制、考核有依据、质量有保障。</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4、实时监控管理</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通过移动设备或定位手环，实现工作人员的工作管理，包括违规信息记录、在岗状态管理、历史定位记录等。</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5、养护结果分析</w:t>
      </w:r>
    </w:p>
    <w:p>
      <w:pPr>
        <w:pStyle w:val="762"/>
        <w:ind w:firstLine="440"/>
        <w:rPr>
          <w:rFonts w:hint="eastAsia" w:ascii="宋体" w:hAnsi="宋体"/>
          <w:color w:val="auto"/>
          <w:kern w:val="0"/>
          <w:sz w:val="22"/>
          <w:szCs w:val="22"/>
          <w:highlight w:val="none"/>
        </w:rPr>
      </w:pPr>
      <w:r>
        <w:rPr>
          <w:rFonts w:hint="eastAsia" w:ascii="宋体" w:hAnsi="宋体"/>
          <w:color w:val="auto"/>
          <w:kern w:val="0"/>
          <w:sz w:val="22"/>
          <w:szCs w:val="22"/>
          <w:highlight w:val="none"/>
        </w:rPr>
        <w:t>基于绿地养护监管系统，对系统产生的各类数据进行动态、可视化分析。</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w:t>
      </w:r>
      <w:r>
        <w:rPr>
          <w:rFonts w:ascii="宋体" w:hAnsi="宋体"/>
          <w:color w:val="auto"/>
          <w:kern w:val="0"/>
          <w:sz w:val="22"/>
          <w:szCs w:val="22"/>
          <w:highlight w:val="none"/>
        </w:rPr>
        <w:t>4</w:t>
      </w:r>
      <w:r>
        <w:rPr>
          <w:rFonts w:hint="eastAsia" w:ascii="宋体" w:hAnsi="宋体"/>
          <w:color w:val="auto"/>
          <w:kern w:val="0"/>
          <w:sz w:val="22"/>
          <w:szCs w:val="22"/>
          <w:highlight w:val="none"/>
        </w:rPr>
        <w:t>）园林考核系统流程调整</w:t>
      </w:r>
    </w:p>
    <w:p>
      <w:pPr>
        <w:pStyle w:val="762"/>
        <w:ind w:firstLine="440"/>
        <w:rPr>
          <w:rFonts w:hint="eastAsia" w:ascii="宋体" w:hAnsi="宋体"/>
          <w:color w:val="auto"/>
          <w:kern w:val="0"/>
          <w:sz w:val="22"/>
          <w:szCs w:val="22"/>
          <w:highlight w:val="none"/>
        </w:rPr>
      </w:pPr>
      <w:r>
        <w:rPr>
          <w:rFonts w:hint="eastAsia" w:ascii="宋体" w:hAnsi="宋体"/>
          <w:color w:val="auto"/>
          <w:kern w:val="0"/>
          <w:sz w:val="22"/>
          <w:szCs w:val="22"/>
          <w:highlight w:val="none"/>
        </w:rPr>
        <w:t>基于现有园林考核系统，调整原有业务流程，结合日常巡查、领导批示、公众举报、城管接入等多种园林事件发现渠道，全面掌握园林事件发生情况，明确园林事件处置责任主体，制定覆盖园林绿化各级管理部门的闭环处理流程，开展监督管理和考核评价，汇总统计各类支付考核报表和考核养护费支付表，提高城市园林绿化监管水平。</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w:t>
      </w:r>
      <w:r>
        <w:rPr>
          <w:rFonts w:ascii="宋体" w:hAnsi="宋体"/>
          <w:color w:val="auto"/>
          <w:kern w:val="0"/>
          <w:sz w:val="22"/>
          <w:szCs w:val="22"/>
          <w:highlight w:val="none"/>
        </w:rPr>
        <w:t>5</w:t>
      </w:r>
      <w:r>
        <w:rPr>
          <w:rFonts w:hint="eastAsia" w:ascii="宋体" w:hAnsi="宋体"/>
          <w:color w:val="auto"/>
          <w:kern w:val="0"/>
          <w:sz w:val="22"/>
          <w:szCs w:val="22"/>
          <w:highlight w:val="none"/>
        </w:rPr>
        <w:t>）养护知识库</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通过日常巡查养护、考核和公众发现的病害，建立养护知识信息数据库，及时准确掌握有病虫害发生及流行动态。主要包括病虫害管理、病虫害防治方法管理、病虫害防治记录管理等功能。</w:t>
      </w:r>
    </w:p>
    <w:p>
      <w:pPr>
        <w:pStyle w:val="766"/>
        <w:spacing w:before="156" w:after="156"/>
        <w:ind w:left="720"/>
        <w:rPr>
          <w:rFonts w:ascii="宋体" w:hAnsi="宋体" w:eastAsia="宋体"/>
          <w:color w:val="auto"/>
          <w:sz w:val="22"/>
          <w:szCs w:val="22"/>
          <w:highlight w:val="none"/>
        </w:rPr>
      </w:pPr>
      <w:bookmarkStart w:id="27" w:name="_Toc107500735"/>
      <w:r>
        <w:rPr>
          <w:rFonts w:hint="eastAsia" w:ascii="宋体" w:hAnsi="宋体" w:eastAsia="宋体"/>
          <w:color w:val="auto"/>
          <w:sz w:val="22"/>
          <w:szCs w:val="22"/>
          <w:highlight w:val="none"/>
        </w:rPr>
        <w:t>涉绿项目一件事（涉绿项目全过程管理）</w:t>
      </w:r>
      <w:bookmarkEnd w:id="27"/>
    </w:p>
    <w:p>
      <w:pPr>
        <w:pStyle w:val="762"/>
        <w:ind w:firstLine="440"/>
        <w:rPr>
          <w:rFonts w:hint="eastAsia" w:ascii="宋体" w:hAnsi="宋体"/>
          <w:color w:val="auto"/>
          <w:kern w:val="0"/>
          <w:sz w:val="22"/>
          <w:szCs w:val="22"/>
          <w:highlight w:val="none"/>
        </w:rPr>
      </w:pPr>
      <w:r>
        <w:rPr>
          <w:rFonts w:hint="eastAsia" w:ascii="宋体" w:hAnsi="宋体"/>
          <w:color w:val="auto"/>
          <w:kern w:val="0"/>
          <w:sz w:val="22"/>
          <w:szCs w:val="22"/>
          <w:highlight w:val="none"/>
        </w:rPr>
        <w:t>基于现有涉绿项目协同管理系统，建立涉绿项目全过程管理系统，针对涉绿工程建设项目管理和绿化事件处置管理等业务进行系统化管理，能够对城市的绿地资源进行动态的管理。实现绿化工程项目管理、档案管理及绿地占绿执法等功能，实现园林绿化工作的电子化、精细化管理。</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（1）工程项目对接</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同步对接浙江省城市建设综合管理服务平台，获取平台内各类园林绿化项目，包括项目基本信息、建设信息、管养单位信息、景观信息以及平面图、设计图、竣工图等附件，为后续占绿执法做好数据基础。</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w:t>
      </w:r>
      <w:r>
        <w:rPr>
          <w:rFonts w:ascii="宋体" w:hAnsi="宋体"/>
          <w:color w:val="auto"/>
          <w:kern w:val="0"/>
          <w:sz w:val="22"/>
          <w:szCs w:val="22"/>
          <w:highlight w:val="none"/>
        </w:rPr>
        <w:t>2</w:t>
      </w:r>
      <w:r>
        <w:rPr>
          <w:rFonts w:hint="eastAsia" w:ascii="宋体" w:hAnsi="宋体"/>
          <w:color w:val="auto"/>
          <w:kern w:val="0"/>
          <w:sz w:val="22"/>
          <w:szCs w:val="22"/>
          <w:highlight w:val="none"/>
        </w:rPr>
        <w:t>）涉绿项目管理</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实现对合同基本信息管理。可以对合同的基本信息进行新增、修改、删除等操作；并可随时调阅查看。但本功能需要一定权限的用户才有能使用本模块的功能。</w:t>
      </w:r>
    </w:p>
    <w:p>
      <w:pPr>
        <w:pStyle w:val="762"/>
        <w:ind w:firstLine="440"/>
        <w:rPr>
          <w:rFonts w:hint="eastAsia" w:ascii="宋体" w:hAnsi="宋体"/>
          <w:color w:val="auto"/>
          <w:kern w:val="0"/>
          <w:sz w:val="22"/>
          <w:szCs w:val="22"/>
          <w:highlight w:val="none"/>
        </w:rPr>
      </w:pPr>
      <w:r>
        <w:rPr>
          <w:rFonts w:hint="eastAsia" w:ascii="宋体" w:hAnsi="宋体"/>
          <w:color w:val="auto"/>
          <w:kern w:val="0"/>
          <w:sz w:val="22"/>
          <w:szCs w:val="22"/>
          <w:highlight w:val="none"/>
        </w:rPr>
        <w:t>提供工程设计图纸管理、设计方案管理、竣工材料管理等功能，实现绿化工程的设计审查、设计方案审核与竣工验收管理。</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w:t>
      </w:r>
      <w:r>
        <w:rPr>
          <w:rFonts w:ascii="宋体" w:hAnsi="宋体"/>
          <w:color w:val="auto"/>
          <w:kern w:val="0"/>
          <w:sz w:val="22"/>
          <w:szCs w:val="22"/>
          <w:highlight w:val="none"/>
        </w:rPr>
        <w:t>3</w:t>
      </w:r>
      <w:r>
        <w:rPr>
          <w:rFonts w:hint="eastAsia" w:ascii="宋体" w:hAnsi="宋体"/>
          <w:color w:val="auto"/>
          <w:kern w:val="0"/>
          <w:sz w:val="22"/>
          <w:szCs w:val="22"/>
          <w:highlight w:val="none"/>
        </w:rPr>
        <w:t>）占绿取证管理</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1、绿线对比（未经批准擅自占用公共绿地）</w:t>
      </w:r>
    </w:p>
    <w:p>
      <w:pPr>
        <w:pStyle w:val="762"/>
        <w:ind w:firstLine="440"/>
        <w:rPr>
          <w:rFonts w:hint="eastAsia" w:ascii="宋体" w:hAnsi="宋体"/>
          <w:color w:val="auto"/>
          <w:kern w:val="0"/>
          <w:sz w:val="22"/>
          <w:szCs w:val="22"/>
          <w:highlight w:val="none"/>
        </w:rPr>
      </w:pPr>
      <w:r>
        <w:rPr>
          <w:rFonts w:hint="eastAsia" w:ascii="宋体" w:hAnsi="宋体"/>
          <w:color w:val="auto"/>
          <w:kern w:val="0"/>
          <w:sz w:val="22"/>
          <w:szCs w:val="22"/>
          <w:highlight w:val="none"/>
        </w:rPr>
        <w:t>基于城市绿线数据，并叠加对接获取的涉绿项目，系统将自动提相关工作人员对数据进行空间化处理，处理完成后自动与绿线进行比对，分析占绿情况，为后续占绿补绿环节做好准备。</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2、占绿对比（未经批准擅自减少绿地）</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对比分析设计、立项、建设、竣工等各阶段绿化情况，分析违法违章毁绿占绿，对发现存在占绿毁绿情况的，协同执法局进行相关行政执法处理。</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3、补绿费用（面积）测算</w:t>
      </w:r>
    </w:p>
    <w:p>
      <w:pPr>
        <w:pStyle w:val="762"/>
        <w:ind w:firstLine="440"/>
        <w:rPr>
          <w:rFonts w:hint="eastAsia" w:ascii="宋体" w:hAnsi="宋体"/>
          <w:color w:val="auto"/>
          <w:kern w:val="0"/>
          <w:sz w:val="22"/>
          <w:szCs w:val="22"/>
          <w:highlight w:val="none"/>
        </w:rPr>
      </w:pPr>
      <w:r>
        <w:rPr>
          <w:rFonts w:hint="eastAsia" w:ascii="宋体" w:hAnsi="宋体"/>
          <w:color w:val="auto"/>
          <w:kern w:val="0"/>
          <w:sz w:val="22"/>
          <w:szCs w:val="22"/>
          <w:highlight w:val="none"/>
        </w:rPr>
        <w:t>当系统内的涉绿工程项目被计算出“占绿”时，事件信息登记后会根据问题的类别自动与系统中相关功能进行关联，系统将根据实际面积分析所需补绿面积或补绿费用。</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w:t>
      </w:r>
      <w:r>
        <w:rPr>
          <w:rFonts w:ascii="宋体" w:hAnsi="宋体"/>
          <w:color w:val="auto"/>
          <w:kern w:val="0"/>
          <w:sz w:val="22"/>
          <w:szCs w:val="22"/>
          <w:highlight w:val="none"/>
        </w:rPr>
        <w:t>4</w:t>
      </w:r>
      <w:r>
        <w:rPr>
          <w:rFonts w:hint="eastAsia" w:ascii="宋体" w:hAnsi="宋体"/>
          <w:color w:val="auto"/>
          <w:kern w:val="0"/>
          <w:sz w:val="22"/>
          <w:szCs w:val="22"/>
          <w:highlight w:val="none"/>
        </w:rPr>
        <w:t>）占绿执法管理</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基于园林项目全过程管理，协同规划、执法、街道部门，制定“一张绿线规划管到底”长效工作机制，基于项目设计备案，竣工验收实测数据与绿线规划空间比对，对于违法违章毁绿占绿，做到事前可预防、事后可发现。与规划、执法、街道部门做到数据实时共享、业务协同。</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1、占绿审批对接</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对接执法局市民中心占绿审批窗口数据，获取各类占绿信息，对已经通过审批的占绿行为将自动关联到对应的工程项目信息上，并自动关闭占绿执法流程。对于存在占绿行为未审批的事项才开启占绿执法流程。</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2、智慧城管案卷对接</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对于确认需要采取占绿执法措施的案件，将推送至温州市智慧城管平台进行立案，由园林绿化管理中心人员协同执法人员根据占绿情况对问题进行执法整改，并将整改结果反馈至智慧城管平台，实现数据的互联互通。</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3、整改反馈</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对未整改到位的项目，由相关部门对整改的情况提出修改意见，继续由整改人员进行整改工作，直至完成整改。</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（5）工程移交管理</w:t>
      </w:r>
    </w:p>
    <w:p>
      <w:pPr>
        <w:pStyle w:val="762"/>
        <w:ind w:firstLine="440"/>
        <w:rPr>
          <w:rFonts w:hint="eastAsia" w:ascii="宋体" w:hAnsi="宋体"/>
          <w:color w:val="auto"/>
          <w:kern w:val="0"/>
          <w:sz w:val="22"/>
          <w:szCs w:val="22"/>
          <w:highlight w:val="none"/>
        </w:rPr>
      </w:pPr>
      <w:r>
        <w:rPr>
          <w:rFonts w:hint="eastAsia" w:ascii="宋体" w:hAnsi="宋体"/>
          <w:color w:val="auto"/>
          <w:kern w:val="0"/>
          <w:sz w:val="22"/>
          <w:szCs w:val="22"/>
          <w:highlight w:val="none"/>
        </w:rPr>
        <w:t>实现对施工部门移交至养护部门的工程进行记录管理。主要内容包括新增、修改、删除移交工程收件记录信息等。同时可对记录人员、记录清单资料、记录的时间节点进行掌握。</w:t>
      </w:r>
    </w:p>
    <w:p>
      <w:pPr>
        <w:pStyle w:val="766"/>
        <w:spacing w:before="156" w:after="156"/>
        <w:ind w:left="720"/>
        <w:rPr>
          <w:rFonts w:ascii="宋体" w:hAnsi="宋体" w:eastAsia="宋体"/>
          <w:color w:val="auto"/>
          <w:sz w:val="22"/>
          <w:szCs w:val="22"/>
          <w:highlight w:val="none"/>
        </w:rPr>
      </w:pPr>
      <w:bookmarkStart w:id="28" w:name="_Toc99293580"/>
      <w:bookmarkStart w:id="29" w:name="_Toc107500736"/>
      <w:r>
        <w:rPr>
          <w:rFonts w:hint="eastAsia" w:ascii="宋体" w:hAnsi="宋体" w:eastAsia="宋体"/>
          <w:color w:val="auto"/>
          <w:sz w:val="22"/>
          <w:szCs w:val="22"/>
          <w:highlight w:val="none"/>
        </w:rPr>
        <w:t>公众服务一件事</w:t>
      </w:r>
      <w:bookmarkEnd w:id="28"/>
      <w:r>
        <w:rPr>
          <w:rFonts w:hint="eastAsia" w:ascii="宋体" w:hAnsi="宋体" w:eastAsia="宋体"/>
          <w:color w:val="auto"/>
          <w:sz w:val="22"/>
          <w:szCs w:val="22"/>
          <w:highlight w:val="none"/>
        </w:rPr>
        <w:t>（智慧园林公众服务）</w:t>
      </w:r>
      <w:bookmarkEnd w:id="29"/>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对原有的智慧园林公众服务系统进行升级，实现基于浙里办就可访问该系统，并新增与公众多互动的模块，包括认种认养、植物医院等，提升公众对园林的认识程度。</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（1）认种认养</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将有特色、有代表性的古树名木面向社会征集养护人，让市民参与到古树的日常管养、保护、监管中来，打造市民“护绿使者”荣誉机制，加强市民对于绿色家园的参与感。</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（2）植物医院</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基于智慧园林（二期）的病虫害识别知识库，将病害信息与子植物信息进行关联，公众通过植物可以查询到对应的病害信息，也可通过病害信息查询到易发生该类病害的植物，提升系统的灵活性。</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1、植物知识库</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系统将收录各类植物的主要病害和预防方法，公众通过系统就能查询到所需要了解的植物信息，提送公众的园林知识水平。</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2、在线咨询</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 xml:space="preserve">对于系统内查询不到的植物信息，公众可发起在线咨询进行问题留言，由相关专家来进行解答，提升了公众对园林的参与程度，也变相的提升了系统的活跃度。 </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3、病害专家鉴定</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优化病害算法模型，</w:t>
      </w:r>
      <w:r>
        <w:rPr>
          <w:rFonts w:ascii="宋体" w:hAnsi="宋体"/>
          <w:color w:val="auto"/>
          <w:kern w:val="0"/>
          <w:sz w:val="22"/>
          <w:szCs w:val="22"/>
          <w:highlight w:val="none"/>
        </w:rPr>
        <w:t>用户对于系统本次识别结果不满意或不准确时，还可以</w:t>
      </w:r>
      <w:r>
        <w:rPr>
          <w:rFonts w:hint="eastAsia" w:ascii="宋体" w:hAnsi="宋体"/>
          <w:color w:val="auto"/>
          <w:kern w:val="0"/>
          <w:sz w:val="22"/>
          <w:szCs w:val="22"/>
          <w:highlight w:val="none"/>
        </w:rPr>
        <w:t>通过</w:t>
      </w:r>
      <w:r>
        <w:rPr>
          <w:rFonts w:ascii="宋体" w:hAnsi="宋体"/>
          <w:color w:val="auto"/>
          <w:kern w:val="0"/>
          <w:sz w:val="22"/>
          <w:szCs w:val="22"/>
          <w:highlight w:val="none"/>
        </w:rPr>
        <w:t>鉴定模块由病虫害高手进行鉴定</w:t>
      </w:r>
      <w:r>
        <w:rPr>
          <w:rFonts w:hint="eastAsia" w:ascii="宋体" w:hAnsi="宋体"/>
          <w:color w:val="auto"/>
          <w:kern w:val="0"/>
          <w:sz w:val="22"/>
          <w:szCs w:val="22"/>
          <w:highlight w:val="none"/>
        </w:rPr>
        <w:t>，</w:t>
      </w:r>
      <w:r>
        <w:rPr>
          <w:rFonts w:ascii="宋体" w:hAnsi="宋体"/>
          <w:color w:val="auto"/>
          <w:kern w:val="0"/>
          <w:sz w:val="22"/>
          <w:szCs w:val="22"/>
          <w:highlight w:val="none"/>
        </w:rPr>
        <w:t>通过用户使用高手鉴定的点击率，可以用于对后台识别算法准确率的反馈，重新调节模型的参数</w:t>
      </w:r>
      <w:r>
        <w:rPr>
          <w:rFonts w:hint="eastAsia" w:ascii="宋体" w:hAnsi="宋体"/>
          <w:color w:val="auto"/>
          <w:kern w:val="0"/>
          <w:sz w:val="22"/>
          <w:szCs w:val="22"/>
          <w:highlight w:val="none"/>
        </w:rPr>
        <w:t>。</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4、图像分析识别</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基于图像分析服务，对工作人员现场采集、公众拍摄等特定目标进行识别和分析，并结合病害转接鉴定功能，对病害问题、死株缺株等情况进行深层次的分析识别。</w:t>
      </w:r>
    </w:p>
    <w:p>
      <w:pPr>
        <w:pStyle w:val="763"/>
        <w:spacing w:before="156" w:after="156"/>
        <w:ind w:left="0" w:firstLine="0"/>
        <w:rPr>
          <w:rFonts w:ascii="新宋体" w:hAnsi="新宋体" w:eastAsia="新宋体" w:cs="楷体"/>
          <w:color w:val="auto"/>
          <w:sz w:val="22"/>
          <w:highlight w:val="none"/>
        </w:rPr>
      </w:pPr>
      <w:r>
        <w:rPr>
          <w:rFonts w:hint="eastAsia" w:ascii="新宋体" w:hAnsi="新宋体" w:eastAsia="新宋体" w:cs="楷体"/>
          <w:color w:val="auto"/>
          <w:sz w:val="22"/>
          <w:highlight w:val="none"/>
        </w:rPr>
        <w:t>公众系统运营</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为提高园林公众系统的活跃度，通过与其他各类相关官微、新媒体大号、等综合媒体平台建立合作推送机制，同步推广，保持系统内容的广泛曝光，吸引公众关注。</w:t>
      </w:r>
    </w:p>
    <w:p>
      <w:pPr>
        <w:pStyle w:val="762"/>
        <w:ind w:firstLine="440"/>
        <w:rPr>
          <w:rFonts w:hint="eastAsia" w:ascii="宋体" w:hAnsi="宋体"/>
          <w:color w:val="auto"/>
          <w:kern w:val="0"/>
          <w:sz w:val="22"/>
          <w:szCs w:val="22"/>
          <w:highlight w:val="none"/>
        </w:rPr>
      </w:pPr>
    </w:p>
    <w:tbl>
      <w:tblPr>
        <w:tblStyle w:val="69"/>
        <w:tblW w:w="84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6"/>
        <w:gridCol w:w="7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096" w:type="dxa"/>
            <w:shd w:val="clear" w:color="auto" w:fill="BFBFBF"/>
            <w:noWrap w:val="0"/>
            <w:vAlign w:val="center"/>
          </w:tcPr>
          <w:p>
            <w:pPr>
              <w:widowControl/>
              <w:jc w:val="center"/>
              <w:rPr>
                <w:rFonts w:ascii="等线" w:hAnsi="宋体" w:eastAsia="等线"/>
                <w:b/>
                <w:bCs/>
                <w:color w:val="auto"/>
                <w:sz w:val="22"/>
                <w:szCs w:val="22"/>
                <w:highlight w:val="none"/>
              </w:rPr>
            </w:pPr>
            <w:r>
              <w:rPr>
                <w:rFonts w:hint="eastAsia" w:ascii="等线" w:hAnsi="宋体" w:eastAsia="等线"/>
                <w:b/>
                <w:bCs/>
                <w:color w:val="auto"/>
                <w:sz w:val="22"/>
                <w:szCs w:val="22"/>
                <w:highlight w:val="none"/>
              </w:rPr>
              <w:t>序号</w:t>
            </w:r>
          </w:p>
        </w:tc>
        <w:tc>
          <w:tcPr>
            <w:tcW w:w="7351" w:type="dxa"/>
            <w:shd w:val="clear" w:color="auto" w:fill="BFBFBF"/>
            <w:noWrap w:val="0"/>
            <w:vAlign w:val="center"/>
          </w:tcPr>
          <w:p>
            <w:pPr>
              <w:widowControl/>
              <w:jc w:val="center"/>
              <w:rPr>
                <w:rFonts w:ascii="等线" w:hAnsi="宋体" w:eastAsia="等线"/>
                <w:b/>
                <w:bCs/>
                <w:color w:val="auto"/>
                <w:sz w:val="22"/>
                <w:szCs w:val="22"/>
                <w:highlight w:val="none"/>
              </w:rPr>
            </w:pPr>
            <w:r>
              <w:rPr>
                <w:rFonts w:hint="eastAsia" w:ascii="等线" w:hAnsi="宋体" w:eastAsia="等线"/>
                <w:b/>
                <w:bCs/>
                <w:color w:val="auto"/>
                <w:sz w:val="22"/>
                <w:szCs w:val="22"/>
                <w:highlight w:val="none"/>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096" w:type="dxa"/>
            <w:shd w:val="clear" w:color="auto" w:fill="auto"/>
            <w:noWrap w:val="0"/>
            <w:vAlign w:val="center"/>
          </w:tcPr>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1</w:t>
            </w:r>
          </w:p>
        </w:tc>
        <w:tc>
          <w:tcPr>
            <w:tcW w:w="7351" w:type="dxa"/>
            <w:shd w:val="clear" w:color="auto" w:fill="auto"/>
            <w:noWrap w:val="0"/>
            <w:vAlign w:val="center"/>
          </w:tcPr>
          <w:p>
            <w:pPr>
              <w:pStyle w:val="762"/>
              <w:ind w:firstLine="0" w:firstLineChars="0"/>
              <w:rPr>
                <w:rFonts w:ascii="宋体" w:hAnsi="宋体"/>
                <w:color w:val="auto"/>
                <w:kern w:val="0"/>
                <w:sz w:val="22"/>
                <w:szCs w:val="22"/>
                <w:highlight w:val="none"/>
              </w:rPr>
            </w:pPr>
            <w:r>
              <w:rPr>
                <w:rFonts w:hint="eastAsia" w:ascii="宋体" w:hAnsi="宋体"/>
                <w:color w:val="auto"/>
                <w:kern w:val="0"/>
                <w:sz w:val="22"/>
                <w:szCs w:val="22"/>
                <w:highlight w:val="none"/>
              </w:rPr>
              <w:t>编辑1</w:t>
            </w:r>
            <w:r>
              <w:rPr>
                <w:rFonts w:ascii="宋体" w:hAnsi="宋体"/>
                <w:color w:val="auto"/>
                <w:kern w:val="0"/>
                <w:sz w:val="22"/>
                <w:szCs w:val="22"/>
                <w:highlight w:val="none"/>
              </w:rPr>
              <w:t>0</w:t>
            </w:r>
            <w:r>
              <w:rPr>
                <w:rFonts w:hint="eastAsia" w:ascii="宋体" w:hAnsi="宋体"/>
                <w:color w:val="auto"/>
                <w:kern w:val="0"/>
                <w:sz w:val="22"/>
                <w:szCs w:val="22"/>
                <w:highlight w:val="none"/>
              </w:rPr>
              <w:t>篇原创文章，其中任选2篇结合便民地图宣传发布。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1096" w:type="dxa"/>
            <w:shd w:val="clear" w:color="auto" w:fill="auto"/>
            <w:noWrap w:val="0"/>
            <w:vAlign w:val="center"/>
          </w:tcPr>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2</w:t>
            </w:r>
          </w:p>
        </w:tc>
        <w:tc>
          <w:tcPr>
            <w:tcW w:w="7351" w:type="dxa"/>
            <w:shd w:val="clear" w:color="auto" w:fill="auto"/>
            <w:noWrap w:val="0"/>
            <w:vAlign w:val="center"/>
          </w:tcPr>
          <w:p>
            <w:pPr>
              <w:pStyle w:val="762"/>
              <w:ind w:firstLine="0" w:firstLineChars="0"/>
              <w:rPr>
                <w:rFonts w:ascii="宋体" w:hAnsi="宋体"/>
                <w:color w:val="auto"/>
                <w:kern w:val="0"/>
                <w:sz w:val="22"/>
                <w:szCs w:val="22"/>
                <w:highlight w:val="none"/>
              </w:rPr>
            </w:pPr>
            <w:r>
              <w:rPr>
                <w:rFonts w:hint="eastAsia" w:ascii="宋体" w:hAnsi="宋体"/>
                <w:color w:val="auto"/>
                <w:kern w:val="0"/>
                <w:sz w:val="22"/>
                <w:szCs w:val="22"/>
                <w:highlight w:val="none"/>
              </w:rPr>
              <w:t>推送给多家常规合作媒体如“温州网”、“温州发布”“温州旅</w:t>
            </w:r>
            <w:r>
              <w:rPr>
                <w:rFonts w:ascii="宋体" w:hAnsi="宋体"/>
                <w:color w:val="auto"/>
                <w:kern w:val="0"/>
                <w:sz w:val="22"/>
                <w:szCs w:val="22"/>
                <w:highlight w:val="none"/>
              </w:rPr>
              <w:t>游</w:t>
            </w:r>
            <w:r>
              <w:rPr>
                <w:rFonts w:hint="eastAsia" w:ascii="宋体" w:hAnsi="宋体"/>
                <w:color w:val="auto"/>
                <w:kern w:val="0"/>
                <w:sz w:val="22"/>
                <w:szCs w:val="22"/>
                <w:highlight w:val="none"/>
              </w:rPr>
              <w:t>”等微</w:t>
            </w:r>
            <w:r>
              <w:rPr>
                <w:rFonts w:ascii="宋体" w:hAnsi="宋体"/>
                <w:color w:val="auto"/>
                <w:kern w:val="0"/>
                <w:sz w:val="22"/>
                <w:szCs w:val="22"/>
                <w:highlight w:val="none"/>
              </w:rPr>
              <w:t>信公众号</w:t>
            </w:r>
            <w:r>
              <w:rPr>
                <w:rFonts w:hint="eastAsia" w:ascii="宋体" w:hAnsi="宋体"/>
                <w:color w:val="auto"/>
                <w:kern w:val="0"/>
                <w:sz w:val="22"/>
                <w:szCs w:val="22"/>
                <w:highlight w:val="none"/>
              </w:rPr>
              <w:t>联合发布。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096" w:type="dxa"/>
            <w:shd w:val="clear" w:color="auto" w:fill="auto"/>
            <w:noWrap w:val="0"/>
            <w:vAlign w:val="center"/>
          </w:tcPr>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3</w:t>
            </w:r>
          </w:p>
        </w:tc>
        <w:tc>
          <w:tcPr>
            <w:tcW w:w="7351" w:type="dxa"/>
            <w:shd w:val="clear" w:color="auto" w:fill="auto"/>
            <w:noWrap w:val="0"/>
            <w:vAlign w:val="center"/>
          </w:tcPr>
          <w:p>
            <w:pPr>
              <w:pStyle w:val="762"/>
              <w:ind w:firstLine="0" w:firstLineChars="0"/>
              <w:rPr>
                <w:rFonts w:hint="eastAsia" w:ascii="宋体" w:hAnsi="宋体"/>
                <w:color w:val="auto"/>
                <w:kern w:val="0"/>
                <w:sz w:val="22"/>
                <w:szCs w:val="22"/>
                <w:highlight w:val="none"/>
              </w:rPr>
            </w:pPr>
            <w:r>
              <w:rPr>
                <w:rFonts w:hint="eastAsia" w:ascii="宋体" w:hAnsi="宋体"/>
                <w:color w:val="auto"/>
                <w:kern w:val="0"/>
                <w:sz w:val="22"/>
                <w:szCs w:val="22"/>
                <w:highlight w:val="none"/>
              </w:rPr>
              <w:t>每周推送一篇原创或转载的文章（经过浙江政务新媒体管理平台审核）。</w:t>
            </w:r>
          </w:p>
        </w:tc>
      </w:tr>
    </w:tbl>
    <w:p>
      <w:pPr>
        <w:pStyle w:val="762"/>
        <w:ind w:firstLine="0" w:firstLineChars="0"/>
        <w:rPr>
          <w:rFonts w:hint="eastAsia"/>
          <w:color w:val="auto"/>
          <w:highlight w:val="none"/>
        </w:rPr>
      </w:pPr>
    </w:p>
    <w:p>
      <w:pPr>
        <w:pStyle w:val="763"/>
        <w:spacing w:before="156" w:after="156"/>
        <w:ind w:left="0" w:firstLine="0"/>
        <w:rPr>
          <w:rFonts w:ascii="宋体" w:hAnsi="宋体" w:cs="宋体"/>
          <w:color w:val="auto"/>
          <w:sz w:val="22"/>
          <w:szCs w:val="22"/>
          <w:highlight w:val="none"/>
        </w:rPr>
      </w:pPr>
      <w:r>
        <w:rPr>
          <w:rFonts w:hint="eastAsia" w:ascii="新宋体" w:hAnsi="新宋体" w:eastAsia="新宋体" w:cs="楷体"/>
          <w:color w:val="auto"/>
          <w:sz w:val="22"/>
          <w:highlight w:val="none"/>
        </w:rPr>
        <w:t>系统数据运行维护工作</w:t>
      </w:r>
    </w:p>
    <w:p>
      <w:pPr>
        <w:pStyle w:val="766"/>
        <w:spacing w:before="156" w:after="156"/>
        <w:ind w:left="720"/>
        <w:rPr>
          <w:rFonts w:hint="eastAsia" w:ascii="宋体" w:hAnsi="宋体" w:eastAsia="宋体"/>
          <w:color w:val="auto"/>
          <w:sz w:val="22"/>
          <w:szCs w:val="22"/>
          <w:highlight w:val="none"/>
        </w:rPr>
      </w:pPr>
      <w:r>
        <w:rPr>
          <w:rFonts w:hint="eastAsia" w:ascii="宋体" w:hAnsi="宋体" w:eastAsia="宋体"/>
          <w:color w:val="auto"/>
          <w:sz w:val="22"/>
          <w:szCs w:val="22"/>
          <w:highlight w:val="none"/>
        </w:rPr>
        <w:t>数据录入</w:t>
      </w:r>
    </w:p>
    <w:p>
      <w:pPr>
        <w:pStyle w:val="759"/>
        <w:spacing w:line="360" w:lineRule="auto"/>
        <w:ind w:firstLine="440"/>
        <w:rPr>
          <w:rFonts w:ascii="宋体" w:hAnsi="宋体" w:cs="楷体"/>
          <w:color w:val="auto"/>
          <w:sz w:val="22"/>
          <w:szCs w:val="22"/>
          <w:highlight w:val="none"/>
        </w:rPr>
      </w:pPr>
      <w:r>
        <w:rPr>
          <w:rFonts w:hint="eastAsia" w:ascii="宋体" w:hAnsi="宋体" w:cs="楷体"/>
          <w:color w:val="auto"/>
          <w:sz w:val="22"/>
          <w:szCs w:val="22"/>
          <w:highlight w:val="none"/>
        </w:rPr>
        <w:t>（1）做好</w:t>
      </w:r>
      <w:r>
        <w:rPr>
          <w:rFonts w:ascii="宋体" w:hAnsi="宋体" w:cs="楷体"/>
          <w:color w:val="auto"/>
          <w:sz w:val="22"/>
          <w:szCs w:val="22"/>
          <w:highlight w:val="none"/>
        </w:rPr>
        <w:t>园林数据更新</w:t>
      </w:r>
      <w:r>
        <w:rPr>
          <w:rFonts w:hint="eastAsia" w:ascii="宋体" w:hAnsi="宋体" w:cs="楷体"/>
          <w:color w:val="auto"/>
          <w:sz w:val="22"/>
          <w:szCs w:val="22"/>
          <w:highlight w:val="none"/>
        </w:rPr>
        <w:t>成果</w:t>
      </w:r>
      <w:r>
        <w:rPr>
          <w:rFonts w:ascii="宋体" w:hAnsi="宋体" w:cs="楷体"/>
          <w:color w:val="auto"/>
          <w:sz w:val="22"/>
          <w:szCs w:val="22"/>
          <w:highlight w:val="none"/>
        </w:rPr>
        <w:t>的</w:t>
      </w:r>
      <w:r>
        <w:rPr>
          <w:rFonts w:hint="eastAsia" w:ascii="宋体" w:hAnsi="宋体" w:cs="楷体"/>
          <w:color w:val="auto"/>
          <w:sz w:val="22"/>
          <w:szCs w:val="22"/>
          <w:highlight w:val="none"/>
        </w:rPr>
        <w:t>处理</w:t>
      </w:r>
      <w:r>
        <w:rPr>
          <w:rFonts w:ascii="宋体" w:hAnsi="宋体" w:cs="楷体"/>
          <w:color w:val="auto"/>
          <w:sz w:val="22"/>
          <w:szCs w:val="22"/>
          <w:highlight w:val="none"/>
        </w:rPr>
        <w:t>、入库、</w:t>
      </w:r>
      <w:r>
        <w:rPr>
          <w:rFonts w:hint="eastAsia" w:ascii="宋体" w:hAnsi="宋体" w:cs="楷体"/>
          <w:color w:val="auto"/>
          <w:sz w:val="22"/>
          <w:szCs w:val="22"/>
          <w:highlight w:val="none"/>
        </w:rPr>
        <w:t>配图</w:t>
      </w:r>
      <w:r>
        <w:rPr>
          <w:rFonts w:ascii="宋体" w:hAnsi="宋体" w:cs="楷体"/>
          <w:color w:val="auto"/>
          <w:sz w:val="22"/>
          <w:szCs w:val="22"/>
          <w:highlight w:val="none"/>
        </w:rPr>
        <w:t>与发布工作，</w:t>
      </w:r>
      <w:r>
        <w:rPr>
          <w:rFonts w:hint="eastAsia" w:ascii="宋体" w:hAnsi="宋体" w:cs="楷体"/>
          <w:color w:val="auto"/>
          <w:sz w:val="22"/>
          <w:szCs w:val="22"/>
          <w:highlight w:val="none"/>
        </w:rPr>
        <w:t>保证“城市绿地”各应用系统更新数据及时上线，确保系统正常运行。</w:t>
      </w:r>
    </w:p>
    <w:p>
      <w:pPr>
        <w:pStyle w:val="759"/>
        <w:spacing w:line="360" w:lineRule="auto"/>
        <w:ind w:firstLine="440"/>
        <w:rPr>
          <w:rFonts w:hint="eastAsia" w:ascii="宋体" w:hAnsi="宋体" w:cs="楷体"/>
          <w:color w:val="auto"/>
          <w:sz w:val="22"/>
          <w:szCs w:val="22"/>
          <w:highlight w:val="none"/>
        </w:rPr>
      </w:pPr>
      <w:r>
        <w:rPr>
          <w:rFonts w:hint="eastAsia" w:ascii="宋体" w:hAnsi="宋体" w:cs="楷体"/>
          <w:color w:val="auto"/>
          <w:sz w:val="22"/>
          <w:szCs w:val="22"/>
          <w:highlight w:val="none"/>
        </w:rPr>
        <w:t>（2）为用户在日常使用数据时遇到的问题提供技术支持服务，对需要统计的相关园林绿地指标提供技术协助，如绿地率、覆盖率等指标统计，确保数据成果得到高效利用。</w:t>
      </w:r>
    </w:p>
    <w:p>
      <w:pPr>
        <w:pStyle w:val="766"/>
        <w:spacing w:before="156" w:after="156"/>
        <w:ind w:left="720"/>
        <w:rPr>
          <w:rFonts w:ascii="宋体" w:hAnsi="宋体" w:eastAsia="宋体"/>
          <w:color w:val="auto"/>
          <w:sz w:val="22"/>
          <w:szCs w:val="22"/>
          <w:highlight w:val="none"/>
        </w:rPr>
      </w:pPr>
      <w:r>
        <w:rPr>
          <w:rFonts w:hint="eastAsia" w:ascii="宋体" w:hAnsi="宋体" w:eastAsia="宋体"/>
          <w:color w:val="auto"/>
          <w:sz w:val="22"/>
          <w:szCs w:val="22"/>
          <w:highlight w:val="none"/>
        </w:rPr>
        <w:t>软件维护</w:t>
      </w:r>
    </w:p>
    <w:p>
      <w:pPr>
        <w:pStyle w:val="759"/>
        <w:spacing w:line="360" w:lineRule="auto"/>
        <w:ind w:firstLine="440"/>
        <w:rPr>
          <w:rFonts w:hint="eastAsia" w:ascii="宋体" w:hAnsi="宋体" w:cs="楷体"/>
          <w:color w:val="auto"/>
          <w:sz w:val="22"/>
          <w:szCs w:val="22"/>
          <w:highlight w:val="none"/>
        </w:rPr>
      </w:pPr>
      <w:r>
        <w:rPr>
          <w:rFonts w:hint="eastAsia" w:ascii="宋体" w:hAnsi="宋体" w:cs="楷体"/>
          <w:color w:val="auto"/>
          <w:sz w:val="22"/>
          <w:szCs w:val="22"/>
          <w:highlight w:val="none"/>
        </w:rPr>
        <w:t>（</w:t>
      </w:r>
      <w:r>
        <w:rPr>
          <w:rFonts w:ascii="宋体" w:hAnsi="宋体" w:cs="楷体"/>
          <w:color w:val="auto"/>
          <w:sz w:val="22"/>
          <w:szCs w:val="22"/>
          <w:highlight w:val="none"/>
        </w:rPr>
        <w:t>1</w:t>
      </w:r>
      <w:r>
        <w:rPr>
          <w:rFonts w:hint="eastAsia" w:ascii="宋体" w:hAnsi="宋体" w:cs="楷体"/>
          <w:color w:val="auto"/>
          <w:sz w:val="22"/>
          <w:szCs w:val="22"/>
          <w:highlight w:val="none"/>
        </w:rPr>
        <w:t>）对数据、系统、GIS软件、数据库进行集成和调优，提升运行及服务性能和效率；</w:t>
      </w:r>
    </w:p>
    <w:p>
      <w:pPr>
        <w:pStyle w:val="759"/>
        <w:spacing w:line="360" w:lineRule="auto"/>
        <w:ind w:firstLine="440"/>
        <w:rPr>
          <w:rFonts w:hint="eastAsia" w:ascii="宋体" w:hAnsi="宋体" w:cs="楷体"/>
          <w:color w:val="auto"/>
          <w:sz w:val="22"/>
          <w:szCs w:val="22"/>
          <w:highlight w:val="none"/>
        </w:rPr>
      </w:pPr>
      <w:r>
        <w:rPr>
          <w:rFonts w:hint="eastAsia" w:ascii="宋体" w:hAnsi="宋体" w:cs="楷体"/>
          <w:color w:val="auto"/>
          <w:sz w:val="22"/>
          <w:szCs w:val="22"/>
          <w:highlight w:val="none"/>
        </w:rPr>
        <w:t>（</w:t>
      </w:r>
      <w:r>
        <w:rPr>
          <w:rFonts w:ascii="宋体" w:hAnsi="宋体" w:cs="楷体"/>
          <w:color w:val="auto"/>
          <w:sz w:val="22"/>
          <w:szCs w:val="22"/>
          <w:highlight w:val="none"/>
        </w:rPr>
        <w:t>2</w:t>
      </w:r>
      <w:r>
        <w:rPr>
          <w:rFonts w:hint="eastAsia" w:ascii="宋体" w:hAnsi="宋体" w:cs="楷体"/>
          <w:color w:val="auto"/>
          <w:sz w:val="22"/>
          <w:szCs w:val="22"/>
          <w:highlight w:val="none"/>
        </w:rPr>
        <w:t>）定期清理系统产生的临时数据和运行日志记录，确保系统数据库运行高效；</w:t>
      </w:r>
    </w:p>
    <w:p>
      <w:pPr>
        <w:pStyle w:val="759"/>
        <w:spacing w:line="360" w:lineRule="auto"/>
        <w:ind w:firstLine="440"/>
        <w:rPr>
          <w:rFonts w:hint="eastAsia" w:ascii="宋体" w:hAnsi="宋体" w:cs="楷体"/>
          <w:color w:val="auto"/>
          <w:sz w:val="22"/>
          <w:szCs w:val="22"/>
          <w:highlight w:val="none"/>
        </w:rPr>
      </w:pPr>
      <w:r>
        <w:rPr>
          <w:rFonts w:hint="eastAsia" w:ascii="宋体" w:hAnsi="宋体" w:cs="楷体"/>
          <w:color w:val="auto"/>
          <w:sz w:val="22"/>
          <w:szCs w:val="22"/>
          <w:highlight w:val="none"/>
        </w:rPr>
        <w:t>（</w:t>
      </w:r>
      <w:r>
        <w:rPr>
          <w:rFonts w:ascii="宋体" w:hAnsi="宋体" w:cs="楷体"/>
          <w:color w:val="auto"/>
          <w:sz w:val="22"/>
          <w:szCs w:val="22"/>
          <w:highlight w:val="none"/>
        </w:rPr>
        <w:t>3</w:t>
      </w:r>
      <w:r>
        <w:rPr>
          <w:rFonts w:hint="eastAsia" w:ascii="宋体" w:hAnsi="宋体" w:cs="楷体"/>
          <w:color w:val="auto"/>
          <w:sz w:val="22"/>
          <w:szCs w:val="22"/>
          <w:highlight w:val="none"/>
        </w:rPr>
        <w:t>）对“城市绿地”各业务系统中的业务数据库做好及时备份维护工作，确保业务数据库安全正常运行；</w:t>
      </w:r>
    </w:p>
    <w:p>
      <w:pPr>
        <w:pStyle w:val="759"/>
        <w:spacing w:line="360" w:lineRule="auto"/>
        <w:ind w:firstLine="440"/>
        <w:rPr>
          <w:rFonts w:hint="eastAsia" w:ascii="宋体" w:hAnsi="宋体" w:cs="楷体"/>
          <w:color w:val="auto"/>
          <w:sz w:val="22"/>
          <w:szCs w:val="22"/>
          <w:highlight w:val="none"/>
        </w:rPr>
      </w:pPr>
      <w:r>
        <w:rPr>
          <w:rFonts w:hint="eastAsia" w:ascii="宋体" w:hAnsi="宋体" w:cs="楷体"/>
          <w:color w:val="auto"/>
          <w:sz w:val="22"/>
          <w:szCs w:val="22"/>
          <w:highlight w:val="none"/>
        </w:rPr>
        <w:t>（</w:t>
      </w:r>
      <w:r>
        <w:rPr>
          <w:rFonts w:ascii="宋体" w:hAnsi="宋体" w:cs="楷体"/>
          <w:color w:val="auto"/>
          <w:sz w:val="22"/>
          <w:szCs w:val="22"/>
          <w:highlight w:val="none"/>
        </w:rPr>
        <w:t>4</w:t>
      </w:r>
      <w:r>
        <w:rPr>
          <w:rFonts w:hint="eastAsia" w:ascii="宋体" w:hAnsi="宋体" w:cs="楷体"/>
          <w:color w:val="auto"/>
          <w:sz w:val="22"/>
          <w:szCs w:val="22"/>
          <w:highlight w:val="none"/>
        </w:rPr>
        <w:t>）做好202</w:t>
      </w:r>
      <w:r>
        <w:rPr>
          <w:rFonts w:ascii="宋体" w:hAnsi="宋体" w:cs="楷体"/>
          <w:color w:val="auto"/>
          <w:sz w:val="22"/>
          <w:szCs w:val="22"/>
          <w:highlight w:val="none"/>
        </w:rPr>
        <w:t>2</w:t>
      </w:r>
      <w:r>
        <w:rPr>
          <w:rFonts w:hint="eastAsia" w:ascii="宋体" w:hAnsi="宋体" w:cs="楷体"/>
          <w:color w:val="auto"/>
          <w:sz w:val="22"/>
          <w:szCs w:val="22"/>
          <w:highlight w:val="none"/>
        </w:rPr>
        <w:t>年度系统的日常运行维护、日常巡检和问题处理，保证各系统持续稳定运行；</w:t>
      </w:r>
    </w:p>
    <w:p>
      <w:pPr>
        <w:pStyle w:val="759"/>
        <w:spacing w:line="360" w:lineRule="auto"/>
        <w:ind w:firstLine="440"/>
        <w:rPr>
          <w:rFonts w:hint="eastAsia" w:ascii="宋体" w:hAnsi="宋体" w:cs="楷体"/>
          <w:color w:val="auto"/>
          <w:sz w:val="22"/>
          <w:szCs w:val="22"/>
          <w:highlight w:val="none"/>
        </w:rPr>
      </w:pPr>
      <w:r>
        <w:rPr>
          <w:rFonts w:hint="eastAsia" w:ascii="宋体" w:hAnsi="宋体" w:cs="楷体"/>
          <w:color w:val="auto"/>
          <w:sz w:val="22"/>
          <w:szCs w:val="22"/>
          <w:highlight w:val="none"/>
        </w:rPr>
        <w:t>（</w:t>
      </w:r>
      <w:r>
        <w:rPr>
          <w:rFonts w:ascii="宋体" w:hAnsi="宋体" w:cs="楷体"/>
          <w:color w:val="auto"/>
          <w:sz w:val="22"/>
          <w:szCs w:val="22"/>
          <w:highlight w:val="none"/>
        </w:rPr>
        <w:t>5</w:t>
      </w:r>
      <w:r>
        <w:rPr>
          <w:rFonts w:hint="eastAsia" w:ascii="宋体" w:hAnsi="宋体" w:cs="楷体"/>
          <w:color w:val="auto"/>
          <w:sz w:val="22"/>
          <w:szCs w:val="22"/>
          <w:highlight w:val="none"/>
        </w:rPr>
        <w:t>）辅助甲方工作人员做好各类系统应用和数据调用的培训、技术指导工作；</w:t>
      </w:r>
    </w:p>
    <w:p>
      <w:pPr>
        <w:pStyle w:val="759"/>
        <w:spacing w:line="360" w:lineRule="auto"/>
        <w:ind w:firstLine="440"/>
        <w:rPr>
          <w:rFonts w:hint="eastAsia" w:ascii="宋体" w:hAnsi="宋体" w:eastAsia="宋体" w:cs="楷体"/>
          <w:color w:val="auto"/>
          <w:sz w:val="22"/>
          <w:szCs w:val="22"/>
          <w:highlight w:val="none"/>
          <w:lang w:eastAsia="zh-CN"/>
        </w:rPr>
      </w:pPr>
      <w:r>
        <w:rPr>
          <w:rFonts w:hint="eastAsia" w:ascii="宋体" w:hAnsi="宋体" w:cs="楷体"/>
          <w:color w:val="auto"/>
          <w:sz w:val="22"/>
          <w:szCs w:val="22"/>
          <w:highlight w:val="none"/>
        </w:rPr>
        <w:t>（</w:t>
      </w:r>
      <w:r>
        <w:rPr>
          <w:rFonts w:ascii="宋体" w:hAnsi="宋体" w:cs="楷体"/>
          <w:color w:val="auto"/>
          <w:sz w:val="22"/>
          <w:szCs w:val="22"/>
          <w:highlight w:val="none"/>
        </w:rPr>
        <w:t>6</w:t>
      </w:r>
      <w:r>
        <w:rPr>
          <w:rFonts w:hint="eastAsia" w:ascii="宋体" w:hAnsi="宋体" w:cs="楷体"/>
          <w:color w:val="auto"/>
          <w:sz w:val="22"/>
          <w:szCs w:val="22"/>
          <w:highlight w:val="none"/>
        </w:rPr>
        <w:t>）接到使用故障反馈时，做到小问题1-2小时内解决，大问题1-2天内解决</w:t>
      </w:r>
      <w:r>
        <w:rPr>
          <w:rFonts w:hint="eastAsia" w:ascii="宋体" w:hAnsi="宋体" w:eastAsia="宋体" w:cs="楷体"/>
          <w:color w:val="auto"/>
          <w:sz w:val="22"/>
          <w:szCs w:val="22"/>
          <w:highlight w:val="none"/>
          <w:lang w:eastAsia="zh-CN"/>
        </w:rPr>
        <w:t>；</w:t>
      </w:r>
    </w:p>
    <w:p>
      <w:pPr>
        <w:pStyle w:val="759"/>
        <w:spacing w:line="360" w:lineRule="auto"/>
        <w:ind w:firstLine="440"/>
        <w:rPr>
          <w:rFonts w:hint="default" w:ascii="宋体" w:hAnsi="宋体" w:eastAsia="宋体" w:cs="楷体"/>
          <w:color w:val="auto"/>
          <w:sz w:val="22"/>
          <w:szCs w:val="22"/>
          <w:highlight w:val="none"/>
          <w:lang w:val="en-US" w:eastAsia="zh-CN"/>
        </w:rPr>
      </w:pPr>
      <w:r>
        <w:rPr>
          <w:rFonts w:hint="eastAsia" w:ascii="宋体" w:hAnsi="宋体" w:eastAsia="宋体" w:cs="楷体"/>
          <w:color w:val="auto"/>
          <w:sz w:val="22"/>
          <w:szCs w:val="22"/>
          <w:highlight w:val="none"/>
          <w:lang w:eastAsia="zh-CN"/>
        </w:rPr>
        <w:t>（</w:t>
      </w:r>
      <w:r>
        <w:rPr>
          <w:rFonts w:hint="eastAsia" w:ascii="宋体" w:hAnsi="宋体" w:eastAsia="宋体" w:cs="楷体"/>
          <w:color w:val="auto"/>
          <w:sz w:val="22"/>
          <w:szCs w:val="22"/>
          <w:highlight w:val="none"/>
          <w:lang w:val="en-US" w:eastAsia="zh-CN"/>
        </w:rPr>
        <w:t>7</w:t>
      </w:r>
      <w:r>
        <w:rPr>
          <w:rFonts w:hint="eastAsia" w:ascii="宋体" w:hAnsi="宋体" w:eastAsia="宋体" w:cs="楷体"/>
          <w:color w:val="auto"/>
          <w:sz w:val="22"/>
          <w:szCs w:val="22"/>
          <w:highlight w:val="none"/>
          <w:lang w:eastAsia="zh-CN"/>
        </w:rPr>
        <w:t>）</w:t>
      </w:r>
      <w:r>
        <w:rPr>
          <w:rFonts w:hint="eastAsia" w:ascii="宋体" w:hAnsi="宋体" w:eastAsia="宋体" w:cs="楷体"/>
          <w:color w:val="auto"/>
          <w:sz w:val="22"/>
          <w:szCs w:val="22"/>
          <w:highlight w:val="none"/>
          <w:lang w:val="en-US" w:eastAsia="zh-CN"/>
        </w:rPr>
        <w:t>系统上线浙里办和浙政钉。</w:t>
      </w:r>
    </w:p>
    <w:p>
      <w:pPr>
        <w:pStyle w:val="763"/>
        <w:spacing w:before="156" w:after="156"/>
        <w:ind w:left="0" w:firstLine="0"/>
        <w:rPr>
          <w:rFonts w:ascii="宋体" w:hAnsi="宋体" w:cs="宋体"/>
          <w:color w:val="auto"/>
          <w:sz w:val="22"/>
          <w:szCs w:val="22"/>
          <w:highlight w:val="none"/>
        </w:rPr>
      </w:pPr>
      <w:r>
        <w:rPr>
          <w:rFonts w:hint="eastAsia" w:ascii="新宋体" w:hAnsi="新宋体" w:eastAsia="新宋体" w:cs="楷体"/>
          <w:color w:val="auto"/>
          <w:sz w:val="22"/>
          <w:highlight w:val="none"/>
        </w:rPr>
        <w:t>系统网络及硬件租赁及维护工作</w:t>
      </w:r>
    </w:p>
    <w:p>
      <w:pPr>
        <w:pStyle w:val="766"/>
        <w:spacing w:before="156" w:after="156"/>
        <w:ind w:left="720"/>
        <w:rPr>
          <w:rFonts w:hint="eastAsia" w:ascii="宋体" w:hAnsi="宋体" w:eastAsia="宋体"/>
          <w:color w:val="auto"/>
          <w:sz w:val="22"/>
          <w:szCs w:val="22"/>
          <w:highlight w:val="none"/>
        </w:rPr>
      </w:pPr>
      <w:r>
        <w:rPr>
          <w:rFonts w:hint="eastAsia" w:ascii="宋体" w:hAnsi="宋体" w:eastAsia="宋体"/>
          <w:color w:val="auto"/>
          <w:sz w:val="22"/>
          <w:szCs w:val="22"/>
          <w:highlight w:val="none"/>
        </w:rPr>
        <w:t>网络</w:t>
      </w:r>
      <w:r>
        <w:rPr>
          <w:rFonts w:ascii="宋体" w:hAnsi="宋体" w:eastAsia="宋体"/>
          <w:color w:val="auto"/>
          <w:sz w:val="22"/>
          <w:szCs w:val="22"/>
          <w:highlight w:val="none"/>
        </w:rPr>
        <w:t>租赁</w:t>
      </w:r>
    </w:p>
    <w:p>
      <w:pPr>
        <w:pStyle w:val="759"/>
        <w:spacing w:line="360" w:lineRule="auto"/>
        <w:ind w:firstLine="440"/>
        <w:rPr>
          <w:rFonts w:hint="eastAsia" w:ascii="宋体" w:hAnsi="宋体" w:cs="楷体"/>
          <w:color w:val="auto"/>
          <w:sz w:val="22"/>
          <w:szCs w:val="22"/>
          <w:highlight w:val="none"/>
        </w:rPr>
      </w:pPr>
      <w:r>
        <w:rPr>
          <w:rFonts w:hint="eastAsia" w:ascii="宋体" w:hAnsi="宋体" w:cs="楷体"/>
          <w:color w:val="auto"/>
          <w:sz w:val="22"/>
          <w:szCs w:val="22"/>
          <w:highlight w:val="none"/>
        </w:rPr>
        <w:t>（1）做好系统高效稳定运行的网络支撑，向移动租用2条100M数字链路；</w:t>
      </w:r>
    </w:p>
    <w:p>
      <w:pPr>
        <w:pStyle w:val="759"/>
        <w:spacing w:line="360" w:lineRule="auto"/>
        <w:ind w:firstLine="440"/>
        <w:rPr>
          <w:rFonts w:ascii="宋体" w:hAnsi="宋体" w:cs="楷体"/>
          <w:color w:val="auto"/>
          <w:sz w:val="22"/>
          <w:szCs w:val="22"/>
          <w:highlight w:val="none"/>
        </w:rPr>
      </w:pPr>
      <w:r>
        <w:rPr>
          <w:rFonts w:hint="eastAsia" w:ascii="宋体" w:hAnsi="宋体" w:cs="楷体"/>
          <w:color w:val="auto"/>
          <w:sz w:val="22"/>
          <w:szCs w:val="22"/>
          <w:highlight w:val="none"/>
        </w:rPr>
        <w:t>（2）</w:t>
      </w:r>
      <w:r>
        <w:rPr>
          <w:rFonts w:hint="eastAsia" w:ascii="宋体" w:hAnsi="宋体" w:cs="楷体"/>
          <w:color w:val="auto"/>
          <w:sz w:val="22"/>
          <w:highlight w:val="none"/>
        </w:rPr>
        <w:t>与公园管理单位做好对接，为20个前端人流统计监控点和100个公园前端监控点提供高效、稳定的网络支持和运维保障，为其提供流量包年服务（包年</w:t>
      </w:r>
      <w:r>
        <w:rPr>
          <w:rFonts w:ascii="宋体" w:hAnsi="宋体" w:cs="楷体"/>
          <w:color w:val="auto"/>
          <w:sz w:val="22"/>
          <w:highlight w:val="none"/>
        </w:rPr>
        <w:t>期限至</w:t>
      </w:r>
      <w:r>
        <w:rPr>
          <w:rFonts w:hint="eastAsia" w:ascii="宋体" w:hAnsi="宋体" w:cs="楷体"/>
          <w:color w:val="auto"/>
          <w:sz w:val="22"/>
          <w:highlight w:val="none"/>
        </w:rPr>
        <w:t>2</w:t>
      </w:r>
      <w:r>
        <w:rPr>
          <w:rFonts w:ascii="宋体" w:hAnsi="宋体" w:cs="楷体"/>
          <w:color w:val="auto"/>
          <w:sz w:val="22"/>
          <w:highlight w:val="none"/>
        </w:rPr>
        <w:t>022年12</w:t>
      </w:r>
      <w:r>
        <w:rPr>
          <w:rFonts w:hint="eastAsia" w:ascii="宋体" w:hAnsi="宋体" w:cs="楷体"/>
          <w:color w:val="auto"/>
          <w:sz w:val="22"/>
          <w:highlight w:val="none"/>
        </w:rPr>
        <w:t>月3</w:t>
      </w:r>
      <w:r>
        <w:rPr>
          <w:rFonts w:ascii="宋体" w:hAnsi="宋体" w:cs="楷体"/>
          <w:color w:val="auto"/>
          <w:sz w:val="22"/>
          <w:highlight w:val="none"/>
        </w:rPr>
        <w:t>1日）</w:t>
      </w:r>
      <w:r>
        <w:rPr>
          <w:rFonts w:hint="eastAsia" w:ascii="宋体" w:hAnsi="宋体" w:cs="楷体"/>
          <w:color w:val="auto"/>
          <w:sz w:val="22"/>
          <w:highlight w:val="none"/>
        </w:rPr>
        <w:t>（不包含光纤线路人为的损坏）</w:t>
      </w:r>
      <w:r>
        <w:rPr>
          <w:rFonts w:hint="eastAsia" w:ascii="宋体" w:hAnsi="宋体" w:cs="楷体"/>
          <w:color w:val="auto"/>
          <w:sz w:val="22"/>
          <w:szCs w:val="22"/>
          <w:highlight w:val="none"/>
        </w:rPr>
        <w:t>。</w:t>
      </w:r>
    </w:p>
    <w:p>
      <w:pPr>
        <w:pStyle w:val="759"/>
        <w:spacing w:line="360" w:lineRule="auto"/>
        <w:ind w:firstLine="440"/>
        <w:rPr>
          <w:rFonts w:ascii="宋体" w:hAnsi="宋体" w:cs="楷体"/>
          <w:color w:val="auto"/>
          <w:sz w:val="22"/>
          <w:highlight w:val="none"/>
        </w:rPr>
      </w:pPr>
      <w:r>
        <w:rPr>
          <w:rFonts w:hint="eastAsia" w:ascii="宋体" w:hAnsi="宋体" w:cs="楷体"/>
          <w:color w:val="auto"/>
          <w:sz w:val="22"/>
          <w:szCs w:val="22"/>
          <w:highlight w:val="none"/>
        </w:rPr>
        <w:t>（</w:t>
      </w:r>
      <w:r>
        <w:rPr>
          <w:rFonts w:ascii="宋体" w:hAnsi="宋体" w:cs="楷体"/>
          <w:color w:val="auto"/>
          <w:sz w:val="22"/>
          <w:highlight w:val="none"/>
        </w:rPr>
        <w:t>3</w:t>
      </w:r>
      <w:r>
        <w:rPr>
          <w:rFonts w:hint="eastAsia" w:ascii="宋体" w:hAnsi="宋体" w:cs="楷体"/>
          <w:color w:val="auto"/>
          <w:sz w:val="22"/>
          <w:highlight w:val="none"/>
        </w:rPr>
        <w:t>）本项目预算已经包含前期系统运行所产生的移动流量资费，投标单位中标后，需要根据这次项目的流量包年预算与移动公司协商补交前期（20</w:t>
      </w:r>
      <w:r>
        <w:rPr>
          <w:rFonts w:ascii="宋体" w:hAnsi="宋体" w:cs="楷体"/>
          <w:color w:val="auto"/>
          <w:sz w:val="22"/>
          <w:highlight w:val="none"/>
        </w:rPr>
        <w:t>22</w:t>
      </w:r>
      <w:r>
        <w:rPr>
          <w:rFonts w:hint="eastAsia" w:ascii="宋体" w:hAnsi="宋体" w:cs="楷体"/>
          <w:color w:val="auto"/>
          <w:sz w:val="22"/>
          <w:highlight w:val="none"/>
        </w:rPr>
        <w:t>年1月1日至202</w:t>
      </w:r>
      <w:r>
        <w:rPr>
          <w:rFonts w:ascii="宋体" w:hAnsi="宋体" w:cs="楷体"/>
          <w:color w:val="auto"/>
          <w:sz w:val="22"/>
          <w:highlight w:val="none"/>
        </w:rPr>
        <w:t>2</w:t>
      </w:r>
      <w:r>
        <w:rPr>
          <w:rFonts w:hint="eastAsia" w:ascii="宋体" w:hAnsi="宋体" w:cs="楷体"/>
          <w:color w:val="auto"/>
          <w:sz w:val="22"/>
          <w:highlight w:val="none"/>
        </w:rPr>
        <w:t>年</w:t>
      </w:r>
      <w:r>
        <w:rPr>
          <w:rFonts w:ascii="宋体" w:hAnsi="宋体" w:cs="楷体"/>
          <w:color w:val="auto"/>
          <w:sz w:val="22"/>
          <w:highlight w:val="none"/>
        </w:rPr>
        <w:t>8</w:t>
      </w:r>
      <w:r>
        <w:rPr>
          <w:rFonts w:hint="eastAsia" w:ascii="宋体" w:hAnsi="宋体" w:cs="楷体"/>
          <w:color w:val="auto"/>
          <w:sz w:val="22"/>
          <w:highlight w:val="none"/>
        </w:rPr>
        <w:t>月3</w:t>
      </w:r>
      <w:r>
        <w:rPr>
          <w:rFonts w:ascii="宋体" w:hAnsi="宋体" w:cs="楷体"/>
          <w:color w:val="auto"/>
          <w:sz w:val="22"/>
          <w:highlight w:val="none"/>
        </w:rPr>
        <w:t>1</w:t>
      </w:r>
      <w:r>
        <w:rPr>
          <w:rFonts w:hint="eastAsia" w:ascii="宋体" w:hAnsi="宋体" w:cs="楷体"/>
          <w:color w:val="auto"/>
          <w:sz w:val="22"/>
          <w:highlight w:val="none"/>
        </w:rPr>
        <w:t>日）所欠流量资费（每月约8000元），如产生其他的额外费用由中标方负责，招标人对此不负责。</w:t>
      </w:r>
    </w:p>
    <w:p>
      <w:pPr>
        <w:pStyle w:val="766"/>
        <w:spacing w:before="156" w:after="156"/>
        <w:ind w:left="720"/>
        <w:rPr>
          <w:rFonts w:ascii="宋体" w:hAnsi="宋体" w:eastAsia="宋体"/>
          <w:color w:val="auto"/>
          <w:sz w:val="22"/>
          <w:szCs w:val="22"/>
          <w:highlight w:val="none"/>
        </w:rPr>
      </w:pPr>
      <w:r>
        <w:rPr>
          <w:rFonts w:hint="eastAsia" w:ascii="宋体" w:hAnsi="宋体" w:eastAsia="宋体"/>
          <w:color w:val="auto"/>
          <w:sz w:val="22"/>
          <w:szCs w:val="22"/>
          <w:highlight w:val="none"/>
        </w:rPr>
        <w:t>人流量分析平台升级</w:t>
      </w:r>
    </w:p>
    <w:p>
      <w:pPr>
        <w:pStyle w:val="759"/>
        <w:spacing w:line="360" w:lineRule="auto"/>
        <w:ind w:firstLine="440"/>
        <w:rPr>
          <w:rFonts w:hint="eastAsia" w:ascii="宋体" w:hAnsi="宋体" w:cs="楷体"/>
          <w:color w:val="auto"/>
          <w:sz w:val="22"/>
          <w:szCs w:val="22"/>
          <w:highlight w:val="none"/>
        </w:rPr>
      </w:pPr>
      <w:r>
        <w:rPr>
          <w:rFonts w:hint="eastAsia" w:ascii="宋体" w:hAnsi="宋体" w:cs="楷体"/>
          <w:color w:val="auto"/>
          <w:sz w:val="22"/>
          <w:szCs w:val="22"/>
          <w:highlight w:val="none"/>
        </w:rPr>
        <w:t>原有的人流量分析平台由于服务器升级目前已经无法正常使用，需对原有平台进行升级，能够正确分析人流量、区域密度等，具体要求如下：</w:t>
      </w:r>
    </w:p>
    <w:tbl>
      <w:tblPr>
        <w:tblStyle w:val="69"/>
        <w:tblW w:w="8212" w:type="dxa"/>
        <w:tblInd w:w="118" w:type="dxa"/>
        <w:tblLayout w:type="autofit"/>
        <w:tblCellMar>
          <w:top w:w="0" w:type="dxa"/>
          <w:left w:w="108" w:type="dxa"/>
          <w:bottom w:w="0" w:type="dxa"/>
          <w:right w:w="108" w:type="dxa"/>
        </w:tblCellMar>
      </w:tblPr>
      <w:tblGrid>
        <w:gridCol w:w="972"/>
        <w:gridCol w:w="1091"/>
        <w:gridCol w:w="6149"/>
      </w:tblGrid>
      <w:tr>
        <w:tblPrEx>
          <w:tblCellMar>
            <w:top w:w="0" w:type="dxa"/>
            <w:left w:w="108" w:type="dxa"/>
            <w:bottom w:w="0" w:type="dxa"/>
            <w:right w:w="108" w:type="dxa"/>
          </w:tblCellMar>
        </w:tblPrEx>
        <w:trPr>
          <w:trHeight w:val="468" w:hRule="atLeast"/>
        </w:trPr>
        <w:tc>
          <w:tcPr>
            <w:tcW w:w="972"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序号</w:t>
            </w:r>
          </w:p>
        </w:tc>
        <w:tc>
          <w:tcPr>
            <w:tcW w:w="1091"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项目名称</w:t>
            </w:r>
          </w:p>
        </w:tc>
        <w:tc>
          <w:tcPr>
            <w:tcW w:w="6149"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技术参数</w:t>
            </w:r>
          </w:p>
        </w:tc>
      </w:tr>
      <w:tr>
        <w:tblPrEx>
          <w:tblCellMar>
            <w:top w:w="0" w:type="dxa"/>
            <w:left w:w="108" w:type="dxa"/>
            <w:bottom w:w="0" w:type="dxa"/>
            <w:right w:w="108" w:type="dxa"/>
          </w:tblCellMar>
        </w:tblPrEx>
        <w:trPr>
          <w:trHeight w:val="468" w:hRule="atLeast"/>
        </w:trPr>
        <w:tc>
          <w:tcPr>
            <w:tcW w:w="972" w:type="dxa"/>
            <w:vMerge w:val="continue"/>
            <w:tcBorders>
              <w:top w:val="single" w:color="000000" w:sz="8" w:space="0"/>
              <w:left w:val="single" w:color="000000" w:sz="8" w:space="0"/>
              <w:bottom w:val="single" w:color="000000" w:sz="4" w:space="0"/>
              <w:right w:val="single" w:color="000000" w:sz="4" w:space="0"/>
            </w:tcBorders>
            <w:noWrap w:val="0"/>
            <w:vAlign w:val="center"/>
          </w:tcPr>
          <w:p>
            <w:pPr>
              <w:widowControl/>
              <w:jc w:val="left"/>
              <w:rPr>
                <w:rFonts w:ascii="宋体" w:hAnsi="宋体" w:cs="宋体"/>
                <w:color w:val="auto"/>
                <w:kern w:val="0"/>
                <w:sz w:val="20"/>
                <w:szCs w:val="20"/>
                <w:highlight w:val="none"/>
              </w:rPr>
            </w:pPr>
          </w:p>
        </w:tc>
        <w:tc>
          <w:tcPr>
            <w:tcW w:w="1091"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20"/>
                <w:szCs w:val="20"/>
                <w:highlight w:val="none"/>
              </w:rPr>
            </w:pPr>
          </w:p>
        </w:tc>
        <w:tc>
          <w:tcPr>
            <w:tcW w:w="6149"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6120" w:hRule="atLeast"/>
        </w:trPr>
        <w:tc>
          <w:tcPr>
            <w:tcW w:w="9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109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auto"/>
                <w:kern w:val="0"/>
                <w:sz w:val="20"/>
                <w:szCs w:val="20"/>
                <w:highlight w:val="none"/>
              </w:rPr>
            </w:pPr>
            <w:r>
              <w:rPr>
                <w:rFonts w:hint="eastAsia" w:ascii="宋体" w:hAnsi="宋体"/>
                <w:color w:val="auto"/>
                <w:sz w:val="22"/>
                <w:szCs w:val="22"/>
                <w:highlight w:val="none"/>
              </w:rPr>
              <w:t>人流量分析平台</w:t>
            </w:r>
          </w:p>
        </w:tc>
        <w:tc>
          <w:tcPr>
            <w:tcW w:w="6149" w:type="dxa"/>
            <w:tcBorders>
              <w:top w:val="single" w:color="auto" w:sz="4" w:space="0"/>
              <w:left w:val="nil"/>
              <w:bottom w:val="single" w:color="auto" w:sz="4" w:space="0"/>
              <w:right w:val="single" w:color="auto" w:sz="4" w:space="0"/>
            </w:tcBorders>
            <w:shd w:val="clear" w:color="auto" w:fill="auto"/>
            <w:noWrap w:val="0"/>
            <w:vAlign w:val="center"/>
          </w:tcPr>
          <w:p>
            <w:pPr>
              <w:pStyle w:val="759"/>
              <w:widowControl/>
              <w:numPr>
                <w:ilvl w:val="0"/>
                <w:numId w:val="47"/>
              </w:numPr>
              <w:spacing w:before="80" w:after="80"/>
              <w:ind w:firstLineChars="0"/>
              <w:rPr>
                <w:rFonts w:ascii="宋体" w:hAnsi="宋体"/>
                <w:color w:val="auto"/>
                <w:highlight w:val="none"/>
              </w:rPr>
            </w:pPr>
            <w:r>
              <w:rPr>
                <w:rFonts w:hint="eastAsia" w:ascii="宋体" w:hAnsi="宋体"/>
                <w:color w:val="auto"/>
                <w:highlight w:val="none"/>
              </w:rPr>
              <w:t>支持对用户、角色、组织、区域、人员、车辆、卡片、设备等基础资源进行管理调配。</w:t>
            </w:r>
          </w:p>
          <w:p>
            <w:pPr>
              <w:pStyle w:val="759"/>
              <w:widowControl/>
              <w:numPr>
                <w:ilvl w:val="0"/>
                <w:numId w:val="47"/>
              </w:numPr>
              <w:spacing w:before="80" w:after="80"/>
              <w:ind w:firstLineChars="0"/>
              <w:rPr>
                <w:rFonts w:ascii="宋体" w:hAnsi="宋体"/>
                <w:color w:val="auto"/>
                <w:highlight w:val="none"/>
              </w:rPr>
            </w:pPr>
            <w:r>
              <w:rPr>
                <w:rFonts w:hint="eastAsia"/>
                <w:b/>
                <w:color w:val="auto"/>
                <w:highlight w:val="none"/>
              </w:rPr>
              <w:t>★</w:t>
            </w:r>
            <w:r>
              <w:rPr>
                <w:rFonts w:hint="eastAsia" w:ascii="宋体" w:hAnsi="宋体"/>
                <w:color w:val="auto"/>
                <w:highlight w:val="none"/>
              </w:rPr>
              <w:t>支持AD域。（公安部检测报告证明）</w:t>
            </w:r>
          </w:p>
          <w:p>
            <w:pPr>
              <w:pStyle w:val="759"/>
              <w:widowControl/>
              <w:numPr>
                <w:ilvl w:val="0"/>
                <w:numId w:val="47"/>
              </w:numPr>
              <w:spacing w:before="80" w:after="80"/>
              <w:ind w:firstLineChars="0"/>
              <w:rPr>
                <w:rFonts w:ascii="宋体" w:hAnsi="宋体"/>
                <w:color w:val="auto"/>
                <w:highlight w:val="none"/>
              </w:rPr>
            </w:pPr>
            <w:r>
              <w:rPr>
                <w:rFonts w:hint="eastAsia" w:ascii="宋体" w:hAnsi="宋体"/>
                <w:color w:val="auto"/>
                <w:highlight w:val="none"/>
              </w:rPr>
              <w:t>支持身份认证和信息防篡改校验，供内部程序对授权信息的访问。</w:t>
            </w:r>
          </w:p>
          <w:p>
            <w:pPr>
              <w:pStyle w:val="759"/>
              <w:widowControl/>
              <w:numPr>
                <w:ilvl w:val="0"/>
                <w:numId w:val="47"/>
              </w:numPr>
              <w:spacing w:before="80" w:after="80"/>
              <w:ind w:firstLineChars="0"/>
              <w:rPr>
                <w:rFonts w:ascii="宋体" w:hAnsi="宋体"/>
                <w:color w:val="auto"/>
                <w:szCs w:val="21"/>
                <w:highlight w:val="none"/>
              </w:rPr>
            </w:pPr>
            <w:r>
              <w:rPr>
                <w:rFonts w:hint="eastAsia" w:ascii="宋体" w:hAnsi="宋体"/>
                <w:color w:val="auto"/>
                <w:szCs w:val="21"/>
                <w:highlight w:val="none"/>
              </w:rPr>
              <w:t>支持以中心管理服务为核心的网络拓扑结构，支持对系统中的分组、服务器、组件等统计概览、查看；</w:t>
            </w:r>
          </w:p>
          <w:p>
            <w:pPr>
              <w:pStyle w:val="759"/>
              <w:widowControl/>
              <w:numPr>
                <w:ilvl w:val="0"/>
                <w:numId w:val="47"/>
              </w:numPr>
              <w:spacing w:before="80" w:after="80"/>
              <w:ind w:firstLineChars="0"/>
              <w:rPr>
                <w:rFonts w:ascii="宋体" w:hAnsi="宋体"/>
                <w:color w:val="auto"/>
                <w:szCs w:val="21"/>
                <w:highlight w:val="none"/>
              </w:rPr>
            </w:pPr>
            <w:r>
              <w:rPr>
                <w:rFonts w:hint="eastAsia" w:ascii="宋体" w:hAnsi="宋体"/>
                <w:color w:val="auto"/>
                <w:szCs w:val="21"/>
                <w:highlight w:val="none"/>
              </w:rPr>
              <w:t>支持多色彩（红、橙、黄）展示运行告警状态，支持告警统计、概览、处理，支持告警记录查看、查询，支持告警单条、批量处理；支持系统最近7天每日告警数统计，支持评分量化系统监控指数，显示系统运行状态。</w:t>
            </w:r>
          </w:p>
          <w:p>
            <w:pPr>
              <w:pStyle w:val="759"/>
              <w:numPr>
                <w:ilvl w:val="0"/>
                <w:numId w:val="47"/>
              </w:numPr>
              <w:ind w:firstLineChars="0"/>
              <w:jc w:val="left"/>
              <w:rPr>
                <w:rFonts w:ascii="宋体" w:hAnsi="宋体"/>
                <w:color w:val="auto"/>
                <w:highlight w:val="none"/>
              </w:rPr>
            </w:pPr>
            <w:r>
              <w:rPr>
                <w:rFonts w:hint="eastAsia" w:ascii="宋体" w:hAnsi="宋体"/>
                <w:color w:val="auto"/>
                <w:highlight w:val="none"/>
              </w:rPr>
              <w:t>支持对当前预览的窗格和监控点画面进行视图保存，用于后续预览该视图。</w:t>
            </w:r>
          </w:p>
          <w:p>
            <w:pPr>
              <w:pStyle w:val="759"/>
              <w:widowControl/>
              <w:numPr>
                <w:ilvl w:val="0"/>
                <w:numId w:val="47"/>
              </w:numPr>
              <w:spacing w:before="80" w:after="80"/>
              <w:ind w:firstLineChars="0"/>
              <w:rPr>
                <w:rFonts w:ascii="宋体" w:hAnsi="宋体"/>
                <w:color w:val="auto"/>
                <w:highlight w:val="none"/>
              </w:rPr>
            </w:pPr>
            <w:r>
              <w:rPr>
                <w:rFonts w:hint="eastAsia" w:ascii="宋体" w:hAnsi="宋体"/>
                <w:b/>
                <w:color w:val="auto"/>
                <w:highlight w:val="none"/>
              </w:rPr>
              <w:t>★</w:t>
            </w:r>
            <w:r>
              <w:rPr>
                <w:rFonts w:hint="eastAsia" w:ascii="宋体" w:hAnsi="宋体"/>
                <w:color w:val="auto"/>
                <w:highlight w:val="none"/>
              </w:rPr>
              <w:t>支持设备录像回传至中心存储，支持计划回传和手动回传两种模式。（公安部检测报告证明）</w:t>
            </w:r>
          </w:p>
          <w:p>
            <w:pPr>
              <w:pStyle w:val="759"/>
              <w:numPr>
                <w:ilvl w:val="0"/>
                <w:numId w:val="47"/>
              </w:numPr>
              <w:ind w:firstLineChars="0"/>
              <w:jc w:val="left"/>
              <w:rPr>
                <w:rFonts w:ascii="宋体" w:hAnsi="宋体"/>
                <w:color w:val="auto"/>
                <w:highlight w:val="none"/>
              </w:rPr>
            </w:pPr>
            <w:r>
              <w:rPr>
                <w:rFonts w:hint="eastAsia" w:ascii="宋体" w:hAnsi="宋体"/>
                <w:b/>
                <w:color w:val="auto"/>
                <w:highlight w:val="none"/>
              </w:rPr>
              <w:t>★</w:t>
            </w:r>
            <w:r>
              <w:rPr>
                <w:rFonts w:hint="eastAsia" w:ascii="宋体" w:hAnsi="宋体"/>
                <w:color w:val="auto"/>
                <w:highlight w:val="none"/>
              </w:rPr>
              <w:t>支持在视频预览、录像回放、即时回放、录像剪辑、手动录像和录像下载时叠加水印。（公安部检测报告证明）</w:t>
            </w:r>
          </w:p>
          <w:p>
            <w:pPr>
              <w:pStyle w:val="759"/>
              <w:widowControl/>
              <w:numPr>
                <w:ilvl w:val="0"/>
                <w:numId w:val="47"/>
              </w:numPr>
              <w:spacing w:before="80" w:after="80"/>
              <w:ind w:firstLineChars="0"/>
              <w:jc w:val="left"/>
              <w:rPr>
                <w:rFonts w:ascii="宋体" w:hAnsi="宋体"/>
                <w:color w:val="auto"/>
                <w:highlight w:val="none"/>
              </w:rPr>
            </w:pPr>
            <w:r>
              <w:rPr>
                <w:rFonts w:hint="eastAsia" w:ascii="宋体" w:hAnsi="宋体"/>
                <w:b/>
                <w:color w:val="auto"/>
                <w:highlight w:val="none"/>
              </w:rPr>
              <w:t>★</w:t>
            </w:r>
            <w:r>
              <w:rPr>
                <w:rFonts w:hint="eastAsia" w:ascii="宋体" w:hAnsi="宋体"/>
                <w:color w:val="auto"/>
                <w:highlight w:val="none"/>
              </w:rPr>
              <w:t>支持按统计组查看实时客流数据，包括去重前进客量、去重前出客量、去重后进客量、去重后出客量；（公安部检测报告证明）</w:t>
            </w:r>
          </w:p>
          <w:p>
            <w:pPr>
              <w:pStyle w:val="759"/>
              <w:widowControl/>
              <w:numPr>
                <w:ilvl w:val="0"/>
                <w:numId w:val="47"/>
              </w:numPr>
              <w:spacing w:before="80" w:after="80"/>
              <w:ind w:firstLineChars="0"/>
              <w:jc w:val="left"/>
              <w:rPr>
                <w:rFonts w:ascii="宋体" w:hAnsi="宋体"/>
                <w:color w:val="auto"/>
                <w:highlight w:val="none"/>
              </w:rPr>
            </w:pPr>
            <w:r>
              <w:rPr>
                <w:rFonts w:hint="eastAsia" w:ascii="宋体" w:hAnsi="宋体"/>
                <w:b/>
                <w:color w:val="auto"/>
                <w:highlight w:val="none"/>
              </w:rPr>
              <w:t>★</w:t>
            </w:r>
            <w:r>
              <w:rPr>
                <w:rFonts w:hint="eastAsia" w:ascii="宋体" w:hAnsi="宋体"/>
                <w:color w:val="auto"/>
                <w:highlight w:val="none"/>
              </w:rPr>
              <w:t>支持按监控点查看客流量统计数据，包括进客量、出客量、保有量、总览。（公安部检测报告证明）</w:t>
            </w:r>
          </w:p>
          <w:p>
            <w:pPr>
              <w:pStyle w:val="759"/>
              <w:widowControl/>
              <w:numPr>
                <w:ilvl w:val="0"/>
                <w:numId w:val="47"/>
              </w:numPr>
              <w:spacing w:before="80" w:after="80"/>
              <w:ind w:firstLineChars="0"/>
              <w:jc w:val="left"/>
              <w:rPr>
                <w:rFonts w:hint="eastAsia" w:ascii="宋体" w:hAnsi="宋体"/>
                <w:color w:val="auto"/>
                <w:highlight w:val="none"/>
              </w:rPr>
            </w:pPr>
            <w:r>
              <w:rPr>
                <w:rFonts w:hint="eastAsia" w:ascii="宋体" w:hAnsi="宋体"/>
                <w:color w:val="auto"/>
                <w:highlight w:val="none"/>
              </w:rPr>
              <w:t>客流统计数据支持按照日、周、月、季、年、特殊日及自定义日期查看；支持按照柱状图、趋势图、列表三种形式展示；支持数据导出及图片保存。</w:t>
            </w:r>
          </w:p>
        </w:tc>
      </w:tr>
    </w:tbl>
    <w:p>
      <w:pPr>
        <w:pStyle w:val="759"/>
        <w:spacing w:line="360" w:lineRule="auto"/>
        <w:ind w:firstLine="440"/>
        <w:rPr>
          <w:rFonts w:hint="eastAsia" w:ascii="宋体" w:hAnsi="宋体" w:cs="楷体"/>
          <w:color w:val="auto"/>
          <w:sz w:val="22"/>
          <w:highlight w:val="none"/>
        </w:rPr>
      </w:pPr>
    </w:p>
    <w:p>
      <w:pPr>
        <w:pStyle w:val="766"/>
        <w:spacing w:before="156" w:after="156"/>
        <w:ind w:left="720"/>
        <w:rPr>
          <w:rFonts w:ascii="宋体" w:hAnsi="宋体" w:eastAsia="宋体"/>
          <w:color w:val="auto"/>
          <w:sz w:val="22"/>
          <w:szCs w:val="22"/>
          <w:highlight w:val="none"/>
        </w:rPr>
      </w:pPr>
      <w:r>
        <w:rPr>
          <w:rFonts w:hint="eastAsia" w:ascii="宋体" w:hAnsi="宋体" w:eastAsia="宋体"/>
          <w:color w:val="auto"/>
          <w:sz w:val="22"/>
          <w:szCs w:val="22"/>
          <w:highlight w:val="none"/>
        </w:rPr>
        <w:t>硬件</w:t>
      </w:r>
      <w:r>
        <w:rPr>
          <w:rFonts w:ascii="宋体" w:hAnsi="宋体" w:eastAsia="宋体"/>
          <w:color w:val="auto"/>
          <w:sz w:val="22"/>
          <w:szCs w:val="22"/>
          <w:highlight w:val="none"/>
        </w:rPr>
        <w:t>采购</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对温州市</w:t>
      </w:r>
      <w:r>
        <w:rPr>
          <w:rFonts w:ascii="宋体" w:hAnsi="宋体"/>
          <w:color w:val="auto"/>
          <w:kern w:val="0"/>
          <w:sz w:val="22"/>
          <w:szCs w:val="22"/>
          <w:highlight w:val="none"/>
        </w:rPr>
        <w:t>建成</w:t>
      </w:r>
      <w:r>
        <w:rPr>
          <w:rFonts w:hint="eastAsia" w:ascii="宋体" w:hAnsi="宋体"/>
          <w:color w:val="auto"/>
          <w:kern w:val="0"/>
          <w:sz w:val="22"/>
          <w:szCs w:val="22"/>
          <w:highlight w:val="none"/>
        </w:rPr>
        <w:t>区</w:t>
      </w:r>
      <w:r>
        <w:rPr>
          <w:rFonts w:ascii="宋体" w:hAnsi="宋体"/>
          <w:color w:val="auto"/>
          <w:kern w:val="0"/>
          <w:sz w:val="22"/>
          <w:szCs w:val="22"/>
          <w:highlight w:val="none"/>
        </w:rPr>
        <w:t>10</w:t>
      </w:r>
      <w:r>
        <w:rPr>
          <w:rFonts w:hint="eastAsia" w:ascii="宋体" w:hAnsi="宋体"/>
          <w:color w:val="auto"/>
          <w:kern w:val="0"/>
          <w:sz w:val="22"/>
          <w:szCs w:val="22"/>
          <w:highlight w:val="none"/>
        </w:rPr>
        <w:t>颗古树名木进行动态监管。</w:t>
      </w:r>
    </w:p>
    <w:p>
      <w:pPr>
        <w:pStyle w:val="762"/>
        <w:ind w:firstLine="440"/>
        <w:rPr>
          <w:rFonts w:ascii="宋体" w:hAnsi="宋体"/>
          <w:color w:val="auto"/>
          <w:kern w:val="0"/>
          <w:sz w:val="22"/>
          <w:szCs w:val="22"/>
          <w:highlight w:val="none"/>
        </w:rPr>
      </w:pPr>
      <w:r>
        <w:rPr>
          <w:rFonts w:hint="eastAsia" w:ascii="宋体" w:hAnsi="宋体"/>
          <w:color w:val="auto"/>
          <w:kern w:val="0"/>
          <w:sz w:val="22"/>
          <w:szCs w:val="22"/>
          <w:highlight w:val="none"/>
        </w:rPr>
        <w:t>采购北斗定位和环境监测物联网设备，实时获取试点古树名木实时位置、</w:t>
      </w:r>
      <w:r>
        <w:rPr>
          <w:rFonts w:ascii="宋体" w:hAnsi="宋体"/>
          <w:color w:val="auto"/>
          <w:kern w:val="0"/>
          <w:sz w:val="22"/>
          <w:szCs w:val="22"/>
          <w:highlight w:val="none"/>
        </w:rPr>
        <w:t>倾角、</w:t>
      </w:r>
      <w:r>
        <w:rPr>
          <w:rFonts w:hint="eastAsia" w:ascii="宋体" w:hAnsi="宋体"/>
          <w:color w:val="auto"/>
          <w:kern w:val="0"/>
          <w:sz w:val="22"/>
          <w:szCs w:val="22"/>
          <w:highlight w:val="none"/>
        </w:rPr>
        <w:t>振动信息，以及监测古树名木土壤氮磷钾含量、</w:t>
      </w:r>
      <w:r>
        <w:rPr>
          <w:rFonts w:ascii="宋体" w:hAnsi="宋体"/>
          <w:color w:val="auto"/>
          <w:kern w:val="0"/>
          <w:sz w:val="22"/>
          <w:szCs w:val="22"/>
          <w:highlight w:val="none"/>
        </w:rPr>
        <w:t>土壤温湿度、土壤PH值和空气温湿度等</w:t>
      </w:r>
      <w:r>
        <w:rPr>
          <w:rFonts w:hint="eastAsia" w:ascii="宋体" w:hAnsi="宋体"/>
          <w:color w:val="auto"/>
          <w:kern w:val="0"/>
          <w:sz w:val="22"/>
          <w:szCs w:val="22"/>
          <w:highlight w:val="none"/>
        </w:rPr>
        <w:t>信息，防止古树名木倾斜</w:t>
      </w:r>
      <w:r>
        <w:rPr>
          <w:rFonts w:ascii="宋体" w:hAnsi="宋体"/>
          <w:color w:val="auto"/>
          <w:kern w:val="0"/>
          <w:sz w:val="22"/>
          <w:szCs w:val="22"/>
          <w:highlight w:val="none"/>
        </w:rPr>
        <w:t>、</w:t>
      </w:r>
      <w:r>
        <w:rPr>
          <w:rFonts w:hint="eastAsia" w:ascii="宋体" w:hAnsi="宋体"/>
          <w:color w:val="auto"/>
          <w:kern w:val="0"/>
          <w:sz w:val="22"/>
          <w:szCs w:val="22"/>
          <w:highlight w:val="none"/>
        </w:rPr>
        <w:t>移位和神秘“失踪”，实现对“不健康”的古树名木进行预警，提醒管理员及时处理，实现株株有档案，棵棵有人管。采购</w:t>
      </w:r>
      <w:r>
        <w:rPr>
          <w:rFonts w:ascii="宋体" w:hAnsi="宋体"/>
          <w:color w:val="auto"/>
          <w:kern w:val="0"/>
          <w:sz w:val="22"/>
          <w:szCs w:val="22"/>
          <w:highlight w:val="none"/>
        </w:rPr>
        <w:t>的设备具体技术参数如下：</w:t>
      </w:r>
    </w:p>
    <w:tbl>
      <w:tblPr>
        <w:tblStyle w:val="69"/>
        <w:tblW w:w="8212" w:type="dxa"/>
        <w:tblInd w:w="118" w:type="dxa"/>
        <w:tblLayout w:type="autofit"/>
        <w:tblCellMar>
          <w:top w:w="0" w:type="dxa"/>
          <w:left w:w="108" w:type="dxa"/>
          <w:bottom w:w="0" w:type="dxa"/>
          <w:right w:w="108" w:type="dxa"/>
        </w:tblCellMar>
      </w:tblPr>
      <w:tblGrid>
        <w:gridCol w:w="972"/>
        <w:gridCol w:w="1091"/>
        <w:gridCol w:w="6149"/>
      </w:tblGrid>
      <w:tr>
        <w:tblPrEx>
          <w:tblCellMar>
            <w:top w:w="0" w:type="dxa"/>
            <w:left w:w="108" w:type="dxa"/>
            <w:bottom w:w="0" w:type="dxa"/>
            <w:right w:w="108" w:type="dxa"/>
          </w:tblCellMar>
        </w:tblPrEx>
        <w:trPr>
          <w:trHeight w:val="312" w:hRule="atLeast"/>
        </w:trPr>
        <w:tc>
          <w:tcPr>
            <w:tcW w:w="972"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序号</w:t>
            </w:r>
          </w:p>
        </w:tc>
        <w:tc>
          <w:tcPr>
            <w:tcW w:w="1091"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项目名称</w:t>
            </w:r>
          </w:p>
        </w:tc>
        <w:tc>
          <w:tcPr>
            <w:tcW w:w="6149"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技术参数</w:t>
            </w:r>
          </w:p>
        </w:tc>
      </w:tr>
      <w:tr>
        <w:tblPrEx>
          <w:tblCellMar>
            <w:top w:w="0" w:type="dxa"/>
            <w:left w:w="108" w:type="dxa"/>
            <w:bottom w:w="0" w:type="dxa"/>
            <w:right w:w="108" w:type="dxa"/>
          </w:tblCellMar>
        </w:tblPrEx>
        <w:trPr>
          <w:trHeight w:val="312" w:hRule="atLeast"/>
        </w:trPr>
        <w:tc>
          <w:tcPr>
            <w:tcW w:w="972" w:type="dxa"/>
            <w:vMerge w:val="continue"/>
            <w:tcBorders>
              <w:top w:val="single" w:color="000000" w:sz="8" w:space="0"/>
              <w:left w:val="single" w:color="000000" w:sz="8" w:space="0"/>
              <w:bottom w:val="single" w:color="000000" w:sz="4" w:space="0"/>
              <w:right w:val="single" w:color="000000" w:sz="4" w:space="0"/>
            </w:tcBorders>
            <w:noWrap w:val="0"/>
            <w:vAlign w:val="center"/>
          </w:tcPr>
          <w:p>
            <w:pPr>
              <w:widowControl/>
              <w:jc w:val="left"/>
              <w:rPr>
                <w:rFonts w:ascii="宋体" w:hAnsi="宋体" w:cs="宋体"/>
                <w:color w:val="auto"/>
                <w:kern w:val="0"/>
                <w:sz w:val="20"/>
                <w:szCs w:val="20"/>
                <w:highlight w:val="none"/>
              </w:rPr>
            </w:pPr>
          </w:p>
        </w:tc>
        <w:tc>
          <w:tcPr>
            <w:tcW w:w="1091"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20"/>
                <w:szCs w:val="20"/>
                <w:highlight w:val="none"/>
              </w:rPr>
            </w:pPr>
          </w:p>
        </w:tc>
        <w:tc>
          <w:tcPr>
            <w:tcW w:w="6149"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6120" w:hRule="atLeast"/>
        </w:trPr>
        <w:tc>
          <w:tcPr>
            <w:tcW w:w="9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109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远程控制终端</w:t>
            </w:r>
          </w:p>
        </w:tc>
        <w:tc>
          <w:tcPr>
            <w:tcW w:w="6149"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1、供电方式：内置锂电池/AC220V/太阳能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2、采集周期：0.5~24小时，可设置                                          </w:t>
            </w:r>
            <w:r>
              <w:rPr>
                <w:rFonts w:ascii="宋体" w:hAnsi="宋体" w:cs="宋体"/>
                <w:color w:val="auto"/>
                <w:kern w:val="0"/>
                <w:sz w:val="20"/>
                <w:szCs w:val="20"/>
                <w:highlight w:val="none"/>
              </w:rPr>
              <w:t>3</w:t>
            </w:r>
            <w:r>
              <w:rPr>
                <w:rFonts w:hint="eastAsia" w:ascii="宋体" w:hAnsi="宋体" w:cs="宋体"/>
                <w:color w:val="auto"/>
                <w:kern w:val="0"/>
                <w:sz w:val="20"/>
                <w:szCs w:val="20"/>
                <w:highlight w:val="none"/>
              </w:rPr>
              <w:t>、通讯方式：双向/GPRS/4G/5G</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4、工作温度：-45℃~80℃                                          </w:t>
            </w:r>
            <w:r>
              <w:rPr>
                <w:rFonts w:ascii="宋体" w:hAnsi="宋体" w:cs="宋体"/>
                <w:color w:val="auto"/>
                <w:kern w:val="0"/>
                <w:sz w:val="20"/>
                <w:szCs w:val="20"/>
                <w:highlight w:val="none"/>
              </w:rPr>
              <w:t>5</w:t>
            </w:r>
            <w:r>
              <w:rPr>
                <w:rFonts w:hint="eastAsia" w:ascii="宋体" w:hAnsi="宋体" w:cs="宋体"/>
                <w:color w:val="auto"/>
                <w:kern w:val="0"/>
                <w:sz w:val="20"/>
                <w:szCs w:val="20"/>
                <w:highlight w:val="none"/>
              </w:rPr>
              <w:t>、功耗：≤12V/0.7mA</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6、防护等级：IP67</w:t>
            </w:r>
            <w:r>
              <w:rPr>
                <w:rFonts w:hint="eastAsia" w:ascii="宋体" w:hAnsi="宋体" w:cs="宋体"/>
                <w:color w:val="auto"/>
                <w:kern w:val="0"/>
                <w:sz w:val="20"/>
                <w:szCs w:val="20"/>
                <w:highlight w:val="none"/>
              </w:rPr>
              <w:br w:type="textWrapping"/>
            </w:r>
            <w:r>
              <w:rPr>
                <w:rFonts w:ascii="宋体" w:hAnsi="宋体" w:cs="宋体"/>
                <w:color w:val="auto"/>
                <w:kern w:val="0"/>
                <w:sz w:val="20"/>
                <w:szCs w:val="20"/>
                <w:highlight w:val="none"/>
              </w:rPr>
              <w:t>7</w:t>
            </w:r>
            <w:r>
              <w:rPr>
                <w:rFonts w:hint="eastAsia" w:ascii="宋体" w:hAnsi="宋体" w:cs="宋体"/>
                <w:color w:val="auto"/>
                <w:kern w:val="0"/>
                <w:sz w:val="20"/>
                <w:szCs w:val="20"/>
                <w:highlight w:val="none"/>
              </w:rPr>
              <w:t xml:space="preserve">、输入电源：9-24V DC  </w:t>
            </w:r>
          </w:p>
          <w:p>
            <w:pPr>
              <w:widowControl/>
              <w:jc w:val="left"/>
              <w:rPr>
                <w:rFonts w:ascii="宋体" w:hAnsi="宋体" w:cs="宋体"/>
                <w:color w:val="auto"/>
                <w:kern w:val="0"/>
                <w:sz w:val="20"/>
                <w:szCs w:val="20"/>
                <w:highlight w:val="none"/>
              </w:rPr>
            </w:pPr>
            <w:r>
              <w:rPr>
                <w:rFonts w:ascii="宋体" w:hAnsi="宋体" w:cs="宋体"/>
                <w:color w:val="auto"/>
                <w:kern w:val="0"/>
                <w:sz w:val="20"/>
                <w:szCs w:val="20"/>
                <w:highlight w:val="none"/>
              </w:rPr>
              <w:t>8</w:t>
            </w:r>
            <w:r>
              <w:rPr>
                <w:rFonts w:hint="eastAsia" w:ascii="宋体" w:hAnsi="宋体" w:cs="宋体"/>
                <w:color w:val="auto"/>
                <w:kern w:val="0"/>
                <w:sz w:val="20"/>
                <w:szCs w:val="20"/>
                <w:highlight w:val="none"/>
              </w:rPr>
              <w:t>、树木</w:t>
            </w:r>
            <w:r>
              <w:rPr>
                <w:rFonts w:ascii="宋体" w:hAnsi="宋体" w:cs="宋体"/>
                <w:color w:val="auto"/>
                <w:kern w:val="0"/>
                <w:sz w:val="20"/>
                <w:szCs w:val="20"/>
                <w:highlight w:val="none"/>
              </w:rPr>
              <w:t>定位</w:t>
            </w:r>
          </w:p>
          <w:p>
            <w:pPr>
              <w:widowControl/>
              <w:jc w:val="left"/>
              <w:rPr>
                <w:rFonts w:hint="eastAsia" w:ascii="宋体" w:hAnsi="宋体" w:cs="宋体"/>
                <w:color w:val="auto"/>
                <w:kern w:val="0"/>
                <w:sz w:val="20"/>
                <w:szCs w:val="20"/>
                <w:highlight w:val="none"/>
              </w:rPr>
            </w:pPr>
            <w:r>
              <w:rPr>
                <w:rFonts w:ascii="宋体" w:hAnsi="宋体" w:cs="宋体"/>
                <w:color w:val="auto"/>
                <w:kern w:val="0"/>
                <w:sz w:val="20"/>
                <w:szCs w:val="20"/>
                <w:highlight w:val="none"/>
              </w:rPr>
              <w:t>9</w:t>
            </w:r>
            <w:r>
              <w:rPr>
                <w:rFonts w:hint="eastAsia" w:ascii="宋体" w:hAnsi="宋体" w:cs="宋体"/>
                <w:color w:val="auto"/>
                <w:kern w:val="0"/>
                <w:sz w:val="20"/>
                <w:szCs w:val="20"/>
                <w:highlight w:val="none"/>
              </w:rPr>
              <w:t>、树木倾角</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测量范围：0°~180°</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测量精度：±1°(算法可进一步优化)</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输出速率：1Hz-800Hz；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工作温度：-45℃ ~85℃；</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w:t>
            </w:r>
            <w:r>
              <w:rPr>
                <w:rFonts w:ascii="宋体" w:hAnsi="宋体" w:cs="宋体"/>
                <w:color w:val="auto"/>
                <w:kern w:val="0"/>
                <w:sz w:val="20"/>
                <w:szCs w:val="20"/>
                <w:highlight w:val="none"/>
              </w:rPr>
              <w:t>0</w:t>
            </w:r>
            <w:r>
              <w:rPr>
                <w:rFonts w:hint="eastAsia" w:ascii="宋体" w:hAnsi="宋体" w:cs="宋体"/>
                <w:color w:val="auto"/>
                <w:kern w:val="0"/>
                <w:sz w:val="20"/>
                <w:szCs w:val="20"/>
                <w:highlight w:val="none"/>
              </w:rPr>
              <w:t>、树木振动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监测方式：实时振动监测</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功耗：5V&lt;20uA；</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报警阈值：3-10g可调。</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报警方式：主动报警</w:t>
            </w:r>
          </w:p>
        </w:tc>
      </w:tr>
      <w:tr>
        <w:tblPrEx>
          <w:tblCellMar>
            <w:top w:w="0" w:type="dxa"/>
            <w:left w:w="108" w:type="dxa"/>
            <w:bottom w:w="0" w:type="dxa"/>
            <w:right w:w="108" w:type="dxa"/>
          </w:tblCellMar>
        </w:tblPrEx>
        <w:trPr>
          <w:trHeight w:val="1125" w:hRule="atLeast"/>
        </w:trPr>
        <w:tc>
          <w:tcPr>
            <w:tcW w:w="97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109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土壤监测设备</w:t>
            </w:r>
          </w:p>
        </w:tc>
        <w:tc>
          <w:tcPr>
            <w:tcW w:w="614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1、氮磷钾</w:t>
            </w:r>
          </w:p>
          <w:p>
            <w:pPr>
              <w:widowControl/>
              <w:jc w:val="left"/>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输出信号：rs485</w:t>
            </w:r>
          </w:p>
          <w:p>
            <w:pPr>
              <w:widowControl/>
              <w:jc w:val="left"/>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精度：±2%F.S</w:t>
            </w:r>
          </w:p>
          <w:p>
            <w:pPr>
              <w:widowControl/>
              <w:jc w:val="left"/>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分辨率：1mg/kg（mg/l)</w:t>
            </w:r>
          </w:p>
          <w:p>
            <w:pPr>
              <w:widowControl/>
              <w:jc w:val="left"/>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供电电源：12V-24VDC</w:t>
            </w:r>
          </w:p>
          <w:p>
            <w:pPr>
              <w:widowControl/>
              <w:jc w:val="left"/>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范围：0-1999mg/kg</w:t>
            </w:r>
          </w:p>
          <w:p>
            <w:pPr>
              <w:widowControl/>
              <w:jc w:val="left"/>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波特率：2400/4800/9600</w:t>
            </w:r>
          </w:p>
          <w:p>
            <w:pPr>
              <w:widowControl/>
              <w:jc w:val="left"/>
              <w:rPr>
                <w:rFonts w:ascii="宋体" w:hAnsi="宋体" w:cs="宋体"/>
                <w:color w:val="auto"/>
                <w:kern w:val="0"/>
                <w:sz w:val="20"/>
                <w:szCs w:val="20"/>
                <w:highlight w:val="none"/>
              </w:rPr>
            </w:pPr>
            <w:r>
              <w:rPr>
                <w:rFonts w:ascii="宋体" w:hAnsi="宋体" w:cs="宋体"/>
                <w:color w:val="auto"/>
                <w:kern w:val="0"/>
                <w:sz w:val="20"/>
                <w:szCs w:val="20"/>
                <w:highlight w:val="none"/>
              </w:rPr>
              <w:t>2</w:t>
            </w:r>
            <w:r>
              <w:rPr>
                <w:rFonts w:hint="eastAsia" w:ascii="宋体" w:hAnsi="宋体" w:cs="宋体"/>
                <w:color w:val="auto"/>
                <w:kern w:val="0"/>
                <w:sz w:val="20"/>
                <w:szCs w:val="20"/>
                <w:highlight w:val="none"/>
              </w:rPr>
              <w:t>、土壤温湿度</w:t>
            </w:r>
          </w:p>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br w:type="page"/>
            </w:r>
            <w:r>
              <w:rPr>
                <w:rFonts w:hint="eastAsia" w:ascii="宋体" w:hAnsi="宋体" w:cs="宋体"/>
                <w:color w:val="auto"/>
                <w:kern w:val="0"/>
                <w:sz w:val="20"/>
                <w:szCs w:val="20"/>
                <w:highlight w:val="none"/>
              </w:rPr>
              <w:t>测量参数：土壤容积含水率，土壤温度；</w:t>
            </w:r>
            <w:r>
              <w:rPr>
                <w:rFonts w:hint="eastAsia" w:ascii="宋体" w:hAnsi="宋体" w:cs="宋体"/>
                <w:color w:val="auto"/>
                <w:kern w:val="0"/>
                <w:sz w:val="20"/>
                <w:szCs w:val="20"/>
                <w:highlight w:val="none"/>
              </w:rPr>
              <w:br w:type="page"/>
            </w:r>
          </w:p>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测量单位：%( m3/m3)；</w:t>
            </w:r>
          </w:p>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br w:type="page"/>
            </w:r>
            <w:r>
              <w:rPr>
                <w:rFonts w:hint="eastAsia" w:ascii="宋体" w:hAnsi="宋体" w:cs="宋体"/>
                <w:color w:val="auto"/>
                <w:kern w:val="0"/>
                <w:sz w:val="20"/>
                <w:szCs w:val="20"/>
                <w:highlight w:val="none"/>
              </w:rPr>
              <w:t>水分量程：0～100%（可选择30%，50%等量程或定做任意量程）；</w:t>
            </w:r>
            <w:r>
              <w:rPr>
                <w:rFonts w:hint="eastAsia" w:ascii="宋体" w:hAnsi="宋体" w:cs="宋体"/>
                <w:color w:val="auto"/>
                <w:kern w:val="0"/>
                <w:sz w:val="20"/>
                <w:szCs w:val="20"/>
                <w:highlight w:val="none"/>
              </w:rPr>
              <w:br w:type="page"/>
            </w:r>
          </w:p>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温度量程：－30～70℃（可定做0～50℃或其他任意量程）；</w:t>
            </w:r>
            <w:r>
              <w:rPr>
                <w:rFonts w:hint="eastAsia" w:ascii="宋体" w:hAnsi="宋体" w:cs="宋体"/>
                <w:color w:val="auto"/>
                <w:kern w:val="0"/>
                <w:sz w:val="20"/>
                <w:szCs w:val="20"/>
                <w:highlight w:val="none"/>
              </w:rPr>
              <w:br w:type="page"/>
            </w:r>
          </w:p>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测量精度：2%/FS；±0.2℃；</w:t>
            </w:r>
            <w:r>
              <w:rPr>
                <w:rFonts w:hint="eastAsia" w:ascii="宋体" w:hAnsi="宋体" w:cs="宋体"/>
                <w:color w:val="auto"/>
                <w:kern w:val="0"/>
                <w:sz w:val="20"/>
                <w:szCs w:val="20"/>
                <w:highlight w:val="none"/>
              </w:rPr>
              <w:br w:type="page"/>
            </w:r>
            <w:r>
              <w:rPr>
                <w:rFonts w:hint="eastAsia" w:ascii="宋体" w:hAnsi="宋体" w:cs="宋体"/>
                <w:color w:val="auto"/>
                <w:kern w:val="0"/>
                <w:sz w:val="20"/>
                <w:szCs w:val="20"/>
                <w:highlight w:val="none"/>
              </w:rPr>
              <w:t>工作范围：－40℃～80℃；</w:t>
            </w:r>
            <w:r>
              <w:rPr>
                <w:rFonts w:hint="eastAsia" w:ascii="宋体" w:hAnsi="宋体" w:cs="宋体"/>
                <w:color w:val="auto"/>
                <w:kern w:val="0"/>
                <w:sz w:val="20"/>
                <w:szCs w:val="20"/>
                <w:highlight w:val="none"/>
              </w:rPr>
              <w:br w:type="page"/>
            </w:r>
          </w:p>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输出信号：RS485；</w:t>
            </w:r>
            <w:r>
              <w:rPr>
                <w:rFonts w:hint="eastAsia" w:ascii="宋体" w:hAnsi="宋体" w:cs="宋体"/>
                <w:color w:val="auto"/>
                <w:kern w:val="0"/>
                <w:sz w:val="20"/>
                <w:szCs w:val="20"/>
                <w:highlight w:val="none"/>
              </w:rPr>
              <w:br w:type="page"/>
            </w:r>
          </w:p>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供电电压：9～24V；</w:t>
            </w:r>
            <w:r>
              <w:rPr>
                <w:rFonts w:hint="eastAsia" w:ascii="宋体" w:hAnsi="宋体" w:cs="宋体"/>
                <w:color w:val="auto"/>
                <w:kern w:val="0"/>
                <w:sz w:val="20"/>
                <w:szCs w:val="20"/>
                <w:highlight w:val="none"/>
              </w:rPr>
              <w:br w:type="page"/>
            </w:r>
          </w:p>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稳定时间：＜1秒；</w:t>
            </w:r>
            <w:r>
              <w:rPr>
                <w:rFonts w:hint="eastAsia" w:ascii="宋体" w:hAnsi="宋体" w:cs="宋体"/>
                <w:color w:val="auto"/>
                <w:kern w:val="0"/>
                <w:sz w:val="20"/>
                <w:szCs w:val="20"/>
                <w:highlight w:val="none"/>
              </w:rPr>
              <w:br w:type="page"/>
            </w:r>
          </w:p>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响应时间：＜1秒。</w:t>
            </w:r>
          </w:p>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br w:type="page"/>
            </w:r>
            <w:r>
              <w:rPr>
                <w:rFonts w:hint="eastAsia" w:ascii="宋体" w:hAnsi="宋体" w:cs="宋体"/>
                <w:color w:val="auto"/>
                <w:kern w:val="0"/>
                <w:sz w:val="20"/>
                <w:szCs w:val="20"/>
                <w:highlight w:val="none"/>
              </w:rPr>
              <w:br w:type="page"/>
            </w:r>
            <w:r>
              <w:rPr>
                <w:rFonts w:ascii="宋体" w:hAnsi="宋体" w:cs="宋体"/>
                <w:color w:val="auto"/>
                <w:kern w:val="0"/>
                <w:sz w:val="20"/>
                <w:szCs w:val="20"/>
                <w:highlight w:val="none"/>
              </w:rPr>
              <w:t>3</w:t>
            </w:r>
            <w:r>
              <w:rPr>
                <w:rFonts w:hint="eastAsia" w:ascii="宋体" w:hAnsi="宋体" w:cs="宋体"/>
                <w:color w:val="auto"/>
                <w:kern w:val="0"/>
                <w:sz w:val="20"/>
                <w:szCs w:val="20"/>
                <w:highlight w:val="none"/>
              </w:rPr>
              <w:t>、土壤PH值</w:t>
            </w:r>
            <w:r>
              <w:rPr>
                <w:rFonts w:hint="eastAsia" w:ascii="宋体" w:hAnsi="宋体" w:cs="宋体"/>
                <w:color w:val="auto"/>
                <w:kern w:val="0"/>
                <w:sz w:val="20"/>
                <w:szCs w:val="20"/>
                <w:highlight w:val="none"/>
              </w:rPr>
              <w:br w:type="page"/>
            </w:r>
          </w:p>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测量范围：0-14pH；</w:t>
            </w:r>
            <w:r>
              <w:rPr>
                <w:rFonts w:hint="eastAsia" w:ascii="宋体" w:hAnsi="宋体" w:cs="宋体"/>
                <w:color w:val="auto"/>
                <w:kern w:val="0"/>
                <w:sz w:val="20"/>
                <w:szCs w:val="20"/>
                <w:highlight w:val="none"/>
              </w:rPr>
              <w:br w:type="page"/>
            </w:r>
          </w:p>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准 确 度：±0.3pH；</w:t>
            </w:r>
            <w:r>
              <w:rPr>
                <w:rFonts w:hint="eastAsia" w:ascii="宋体" w:hAnsi="宋体" w:cs="宋体"/>
                <w:color w:val="auto"/>
                <w:kern w:val="0"/>
                <w:sz w:val="20"/>
                <w:szCs w:val="20"/>
                <w:highlight w:val="none"/>
              </w:rPr>
              <w:br w:type="page"/>
            </w:r>
          </w:p>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分 辨 率：0.01pH；</w:t>
            </w:r>
            <w:r>
              <w:rPr>
                <w:rFonts w:hint="eastAsia" w:ascii="宋体" w:hAnsi="宋体" w:cs="宋体"/>
                <w:color w:val="auto"/>
                <w:kern w:val="0"/>
                <w:sz w:val="20"/>
                <w:szCs w:val="20"/>
                <w:highlight w:val="none"/>
              </w:rPr>
              <w:br w:type="page"/>
            </w:r>
          </w:p>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反应时间：＜10秒(水中)</w:t>
            </w:r>
            <w:r>
              <w:rPr>
                <w:rFonts w:hint="eastAsia" w:ascii="宋体" w:hAnsi="宋体" w:cs="宋体"/>
                <w:color w:val="auto"/>
                <w:kern w:val="0"/>
                <w:sz w:val="20"/>
                <w:szCs w:val="20"/>
                <w:highlight w:val="none"/>
              </w:rPr>
              <w:br w:type="page"/>
            </w:r>
          </w:p>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供电方式： 12V-24V ；</w:t>
            </w:r>
          </w:p>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br w:type="page"/>
            </w:r>
            <w:r>
              <w:rPr>
                <w:rFonts w:hint="eastAsia" w:ascii="宋体" w:hAnsi="宋体" w:cs="宋体"/>
                <w:color w:val="auto"/>
                <w:kern w:val="0"/>
                <w:sz w:val="20"/>
                <w:szCs w:val="20"/>
                <w:highlight w:val="none"/>
              </w:rPr>
              <w:t>输出形式：RS232，RS485/MODBUS；</w:t>
            </w:r>
            <w:r>
              <w:rPr>
                <w:rFonts w:hint="eastAsia" w:ascii="宋体" w:hAnsi="宋体" w:cs="宋体"/>
                <w:color w:val="auto"/>
                <w:kern w:val="0"/>
                <w:sz w:val="20"/>
                <w:szCs w:val="20"/>
                <w:highlight w:val="none"/>
              </w:rPr>
              <w:br w:type="page"/>
            </w:r>
          </w:p>
          <w:p>
            <w:pPr>
              <w:widowControl/>
              <w:jc w:val="left"/>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工作环境：温度0~80℃</w:t>
            </w:r>
            <w:r>
              <w:rPr>
                <w:rFonts w:hint="eastAsia" w:ascii="宋体" w:hAnsi="宋体" w:cs="宋体"/>
                <w:color w:val="auto"/>
                <w:kern w:val="0"/>
                <w:sz w:val="20"/>
                <w:szCs w:val="20"/>
                <w:highlight w:val="none"/>
              </w:rPr>
              <w:br w:type="page"/>
            </w:r>
            <w:r>
              <w:rPr>
                <w:rFonts w:hint="eastAsia" w:ascii="宋体" w:hAnsi="宋体" w:cs="宋体"/>
                <w:color w:val="auto"/>
                <w:kern w:val="0"/>
                <w:sz w:val="20"/>
                <w:szCs w:val="20"/>
                <w:highlight w:val="none"/>
              </w:rPr>
              <w:t xml:space="preserve">  湿度0~95%RH；                                                                               </w:t>
            </w:r>
            <w:r>
              <w:rPr>
                <w:rFonts w:hint="eastAsia" w:ascii="宋体" w:hAnsi="宋体" w:cs="宋体"/>
                <w:color w:val="auto"/>
                <w:kern w:val="0"/>
                <w:sz w:val="20"/>
                <w:szCs w:val="20"/>
                <w:highlight w:val="none"/>
              </w:rPr>
              <w:br w:type="page"/>
            </w:r>
          </w:p>
        </w:tc>
      </w:tr>
      <w:tr>
        <w:tblPrEx>
          <w:tblCellMar>
            <w:top w:w="0" w:type="dxa"/>
            <w:left w:w="108" w:type="dxa"/>
            <w:bottom w:w="0" w:type="dxa"/>
            <w:right w:w="108" w:type="dxa"/>
          </w:tblCellMar>
        </w:tblPrEx>
        <w:trPr>
          <w:trHeight w:val="312" w:hRule="exact"/>
        </w:trPr>
        <w:tc>
          <w:tcPr>
            <w:tcW w:w="972"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109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空气监测设备</w:t>
            </w:r>
          </w:p>
        </w:tc>
        <w:tc>
          <w:tcPr>
            <w:tcW w:w="6149"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1、空气温湿度                                                          温度范围:-40℃~85℃</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精度：0.2℃</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湿度范围：0-100%RH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精度：2%/FS                                                                                                                   2、光照强度 </w:t>
            </w:r>
          </w:p>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供电：12-24VDC </w:t>
            </w:r>
          </w:p>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耗电：≤0.15W   </w:t>
            </w:r>
          </w:p>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精度：±5%  </w:t>
            </w:r>
          </w:p>
          <w:p>
            <w:pPr>
              <w:widowControl/>
              <w:jc w:val="left"/>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输出信号：RS485 </w:t>
            </w:r>
          </w:p>
        </w:tc>
      </w:tr>
      <w:tr>
        <w:tblPrEx>
          <w:tblCellMar>
            <w:top w:w="0" w:type="dxa"/>
            <w:left w:w="108" w:type="dxa"/>
            <w:bottom w:w="0" w:type="dxa"/>
            <w:right w:w="108" w:type="dxa"/>
          </w:tblCellMar>
        </w:tblPrEx>
        <w:trPr>
          <w:trHeight w:val="624" w:hRule="atLeast"/>
        </w:trPr>
        <w:tc>
          <w:tcPr>
            <w:tcW w:w="97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0"/>
                <w:szCs w:val="20"/>
                <w:highlight w:val="none"/>
              </w:rPr>
            </w:pPr>
          </w:p>
        </w:tc>
        <w:tc>
          <w:tcPr>
            <w:tcW w:w="10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0"/>
                <w:szCs w:val="20"/>
                <w:highlight w:val="none"/>
              </w:rPr>
            </w:pPr>
          </w:p>
        </w:tc>
        <w:tc>
          <w:tcPr>
            <w:tcW w:w="614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624" w:hRule="atLeast"/>
        </w:trPr>
        <w:tc>
          <w:tcPr>
            <w:tcW w:w="97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0"/>
                <w:szCs w:val="20"/>
                <w:highlight w:val="none"/>
              </w:rPr>
            </w:pPr>
          </w:p>
        </w:tc>
        <w:tc>
          <w:tcPr>
            <w:tcW w:w="10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0"/>
                <w:szCs w:val="20"/>
                <w:highlight w:val="none"/>
              </w:rPr>
            </w:pPr>
          </w:p>
        </w:tc>
        <w:tc>
          <w:tcPr>
            <w:tcW w:w="614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624" w:hRule="atLeast"/>
        </w:trPr>
        <w:tc>
          <w:tcPr>
            <w:tcW w:w="97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0"/>
                <w:szCs w:val="20"/>
                <w:highlight w:val="none"/>
              </w:rPr>
            </w:pPr>
          </w:p>
        </w:tc>
        <w:tc>
          <w:tcPr>
            <w:tcW w:w="10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0"/>
                <w:szCs w:val="20"/>
                <w:highlight w:val="none"/>
              </w:rPr>
            </w:pPr>
          </w:p>
        </w:tc>
        <w:tc>
          <w:tcPr>
            <w:tcW w:w="614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624" w:hRule="atLeast"/>
        </w:trPr>
        <w:tc>
          <w:tcPr>
            <w:tcW w:w="97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0"/>
                <w:szCs w:val="20"/>
                <w:highlight w:val="none"/>
              </w:rPr>
            </w:pPr>
          </w:p>
        </w:tc>
        <w:tc>
          <w:tcPr>
            <w:tcW w:w="10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0"/>
                <w:szCs w:val="20"/>
                <w:highlight w:val="none"/>
              </w:rPr>
            </w:pPr>
          </w:p>
        </w:tc>
        <w:tc>
          <w:tcPr>
            <w:tcW w:w="614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624" w:hRule="atLeast"/>
        </w:trPr>
        <w:tc>
          <w:tcPr>
            <w:tcW w:w="97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0"/>
                <w:szCs w:val="20"/>
                <w:highlight w:val="none"/>
              </w:rPr>
            </w:pPr>
          </w:p>
        </w:tc>
        <w:tc>
          <w:tcPr>
            <w:tcW w:w="10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0"/>
                <w:szCs w:val="20"/>
                <w:highlight w:val="none"/>
              </w:rPr>
            </w:pPr>
          </w:p>
        </w:tc>
        <w:tc>
          <w:tcPr>
            <w:tcW w:w="614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624" w:hRule="atLeast"/>
        </w:trPr>
        <w:tc>
          <w:tcPr>
            <w:tcW w:w="97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0"/>
                <w:szCs w:val="20"/>
                <w:highlight w:val="none"/>
              </w:rPr>
            </w:pPr>
          </w:p>
        </w:tc>
        <w:tc>
          <w:tcPr>
            <w:tcW w:w="10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0"/>
                <w:szCs w:val="20"/>
                <w:highlight w:val="none"/>
              </w:rPr>
            </w:pPr>
          </w:p>
        </w:tc>
        <w:tc>
          <w:tcPr>
            <w:tcW w:w="614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624" w:hRule="atLeast"/>
        </w:trPr>
        <w:tc>
          <w:tcPr>
            <w:tcW w:w="97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0"/>
                <w:szCs w:val="20"/>
                <w:highlight w:val="none"/>
              </w:rPr>
            </w:pPr>
          </w:p>
        </w:tc>
        <w:tc>
          <w:tcPr>
            <w:tcW w:w="10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0"/>
                <w:szCs w:val="20"/>
                <w:highlight w:val="none"/>
              </w:rPr>
            </w:pPr>
          </w:p>
        </w:tc>
        <w:tc>
          <w:tcPr>
            <w:tcW w:w="614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624" w:hRule="atLeast"/>
        </w:trPr>
        <w:tc>
          <w:tcPr>
            <w:tcW w:w="97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0"/>
                <w:szCs w:val="20"/>
                <w:highlight w:val="none"/>
              </w:rPr>
            </w:pPr>
          </w:p>
        </w:tc>
        <w:tc>
          <w:tcPr>
            <w:tcW w:w="10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0"/>
                <w:szCs w:val="20"/>
                <w:highlight w:val="none"/>
              </w:rPr>
            </w:pPr>
          </w:p>
        </w:tc>
        <w:tc>
          <w:tcPr>
            <w:tcW w:w="614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624" w:hRule="atLeast"/>
        </w:trPr>
        <w:tc>
          <w:tcPr>
            <w:tcW w:w="97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0"/>
                <w:szCs w:val="20"/>
                <w:highlight w:val="none"/>
              </w:rPr>
            </w:pPr>
          </w:p>
        </w:tc>
        <w:tc>
          <w:tcPr>
            <w:tcW w:w="10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0"/>
                <w:szCs w:val="20"/>
                <w:highlight w:val="none"/>
              </w:rPr>
            </w:pPr>
          </w:p>
        </w:tc>
        <w:tc>
          <w:tcPr>
            <w:tcW w:w="614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auto"/>
                <w:kern w:val="0"/>
                <w:sz w:val="20"/>
                <w:szCs w:val="20"/>
                <w:highlight w:val="none"/>
              </w:rPr>
            </w:pPr>
          </w:p>
        </w:tc>
      </w:tr>
      <w:tr>
        <w:tblPrEx>
          <w:tblCellMar>
            <w:top w:w="0" w:type="dxa"/>
            <w:left w:w="108" w:type="dxa"/>
            <w:bottom w:w="0" w:type="dxa"/>
            <w:right w:w="108" w:type="dxa"/>
          </w:tblCellMar>
        </w:tblPrEx>
        <w:trPr>
          <w:trHeight w:val="312" w:hRule="atLeast"/>
        </w:trPr>
        <w:tc>
          <w:tcPr>
            <w:tcW w:w="97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0"/>
                <w:szCs w:val="20"/>
                <w:highlight w:val="none"/>
              </w:rPr>
            </w:pPr>
          </w:p>
        </w:tc>
        <w:tc>
          <w:tcPr>
            <w:tcW w:w="10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0"/>
                <w:szCs w:val="20"/>
                <w:highlight w:val="none"/>
              </w:rPr>
            </w:pPr>
          </w:p>
        </w:tc>
        <w:tc>
          <w:tcPr>
            <w:tcW w:w="614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auto"/>
                <w:kern w:val="0"/>
                <w:sz w:val="20"/>
                <w:szCs w:val="20"/>
                <w:highlight w:val="none"/>
              </w:rPr>
            </w:pPr>
          </w:p>
        </w:tc>
      </w:tr>
    </w:tbl>
    <w:p>
      <w:pPr>
        <w:pStyle w:val="759"/>
        <w:spacing w:line="360" w:lineRule="auto"/>
        <w:ind w:firstLine="0" w:firstLineChars="0"/>
        <w:rPr>
          <w:rFonts w:hint="eastAsia" w:ascii="宋体" w:hAnsi="宋体" w:cs="楷体"/>
          <w:color w:val="auto"/>
          <w:sz w:val="22"/>
          <w:szCs w:val="22"/>
          <w:highlight w:val="none"/>
        </w:rPr>
      </w:pPr>
    </w:p>
    <w:p>
      <w:pPr>
        <w:pStyle w:val="766"/>
        <w:spacing w:before="156" w:after="156"/>
        <w:ind w:left="720"/>
        <w:rPr>
          <w:rFonts w:hint="eastAsia" w:ascii="宋体" w:hAnsi="宋体" w:eastAsia="宋体"/>
          <w:color w:val="auto"/>
          <w:sz w:val="22"/>
          <w:szCs w:val="22"/>
          <w:highlight w:val="none"/>
        </w:rPr>
      </w:pPr>
      <w:r>
        <w:rPr>
          <w:rFonts w:hint="eastAsia" w:ascii="宋体" w:hAnsi="宋体" w:eastAsia="宋体"/>
          <w:color w:val="auto"/>
          <w:sz w:val="22"/>
          <w:szCs w:val="22"/>
          <w:highlight w:val="none"/>
        </w:rPr>
        <w:t>硬件</w:t>
      </w:r>
      <w:r>
        <w:rPr>
          <w:rFonts w:ascii="宋体" w:hAnsi="宋体" w:eastAsia="宋体"/>
          <w:color w:val="auto"/>
          <w:sz w:val="22"/>
          <w:szCs w:val="22"/>
          <w:highlight w:val="none"/>
        </w:rPr>
        <w:t>维护</w:t>
      </w:r>
    </w:p>
    <w:p>
      <w:pPr>
        <w:pStyle w:val="759"/>
        <w:spacing w:line="360" w:lineRule="auto"/>
        <w:ind w:firstLine="440"/>
        <w:rPr>
          <w:rFonts w:ascii="宋体" w:hAnsi="宋体" w:cs="楷体"/>
          <w:color w:val="auto"/>
          <w:sz w:val="22"/>
          <w:highlight w:val="none"/>
        </w:rPr>
      </w:pPr>
      <w:r>
        <w:rPr>
          <w:rFonts w:hint="eastAsia" w:ascii="宋体" w:hAnsi="宋体" w:cs="楷体"/>
          <w:color w:val="auto"/>
          <w:sz w:val="22"/>
          <w:szCs w:val="22"/>
          <w:highlight w:val="none"/>
        </w:rPr>
        <w:t>（</w:t>
      </w:r>
      <w:r>
        <w:rPr>
          <w:rFonts w:hint="eastAsia" w:ascii="宋体" w:hAnsi="宋体" w:cs="楷体"/>
          <w:color w:val="auto"/>
          <w:sz w:val="22"/>
          <w:highlight w:val="none"/>
        </w:rPr>
        <w:t>1）对系统以及服务器、交换机、投影仪、工作站、</w:t>
      </w:r>
      <w:r>
        <w:rPr>
          <w:rFonts w:ascii="宋体" w:hAnsi="宋体" w:cs="楷体"/>
          <w:color w:val="auto"/>
          <w:sz w:val="22"/>
          <w:highlight w:val="none"/>
        </w:rPr>
        <w:t>电视机</w:t>
      </w:r>
      <w:r>
        <w:rPr>
          <w:rFonts w:hint="eastAsia" w:ascii="宋体" w:hAnsi="宋体" w:cs="楷体"/>
          <w:color w:val="auto"/>
          <w:sz w:val="22"/>
          <w:highlight w:val="none"/>
        </w:rPr>
        <w:t>等进行日常维护保障，保障各系统运行所需硬件设备7*24小时不间断稳定运行。一般故障1-2小时内解决，重大故障及时报告并提出应急预案（不包括</w:t>
      </w:r>
      <w:r>
        <w:rPr>
          <w:rFonts w:ascii="宋体" w:hAnsi="宋体" w:cs="楷体"/>
          <w:color w:val="auto"/>
          <w:sz w:val="22"/>
          <w:highlight w:val="none"/>
        </w:rPr>
        <w:t>设备硬件的保修）</w:t>
      </w:r>
      <w:r>
        <w:rPr>
          <w:rFonts w:hint="eastAsia" w:ascii="宋体" w:hAnsi="宋体" w:cs="楷体"/>
          <w:color w:val="auto"/>
          <w:sz w:val="22"/>
          <w:highlight w:val="none"/>
        </w:rPr>
        <w:t>；</w:t>
      </w:r>
    </w:p>
    <w:p>
      <w:pPr>
        <w:pStyle w:val="759"/>
        <w:spacing w:line="360" w:lineRule="auto"/>
        <w:ind w:firstLine="440"/>
        <w:rPr>
          <w:rFonts w:ascii="宋体" w:hAnsi="宋体" w:cs="楷体"/>
          <w:color w:val="auto"/>
          <w:sz w:val="22"/>
          <w:highlight w:val="none"/>
        </w:rPr>
      </w:pPr>
      <w:r>
        <w:rPr>
          <w:rFonts w:hint="eastAsia" w:ascii="宋体" w:hAnsi="宋体" w:cs="楷体"/>
          <w:color w:val="auto"/>
          <w:sz w:val="22"/>
          <w:szCs w:val="22"/>
          <w:highlight w:val="none"/>
        </w:rPr>
        <w:t>（</w:t>
      </w:r>
      <w:r>
        <w:rPr>
          <w:rFonts w:hint="eastAsia" w:ascii="宋体" w:hAnsi="宋体" w:cs="楷体"/>
          <w:color w:val="auto"/>
          <w:sz w:val="22"/>
          <w:highlight w:val="none"/>
        </w:rPr>
        <w:t>2）对系统前端20个人流统计摄像头及其电源提供安装调试、保障服务（不包括设备硬件的保修）；</w:t>
      </w:r>
    </w:p>
    <w:p>
      <w:pPr>
        <w:pStyle w:val="759"/>
        <w:spacing w:line="360" w:lineRule="auto"/>
        <w:ind w:firstLine="440"/>
        <w:rPr>
          <w:rFonts w:ascii="宋体" w:hAnsi="宋体" w:cs="楷体"/>
          <w:color w:val="auto"/>
          <w:sz w:val="22"/>
          <w:highlight w:val="none"/>
        </w:rPr>
      </w:pPr>
      <w:r>
        <w:rPr>
          <w:rFonts w:hint="eastAsia" w:ascii="宋体" w:hAnsi="宋体" w:cs="楷体"/>
          <w:color w:val="auto"/>
          <w:sz w:val="22"/>
          <w:szCs w:val="22"/>
          <w:highlight w:val="none"/>
        </w:rPr>
        <w:t>（</w:t>
      </w:r>
      <w:r>
        <w:rPr>
          <w:rFonts w:ascii="宋体" w:hAnsi="宋体" w:cs="宋体"/>
          <w:color w:val="auto"/>
          <w:sz w:val="22"/>
          <w:highlight w:val="none"/>
        </w:rPr>
        <w:t>3</w:t>
      </w:r>
      <w:r>
        <w:rPr>
          <w:rFonts w:hint="eastAsia" w:ascii="宋体" w:hAnsi="宋体" w:cs="宋体"/>
          <w:color w:val="auto"/>
          <w:sz w:val="22"/>
          <w:highlight w:val="none"/>
        </w:rPr>
        <w:t>）</w:t>
      </w:r>
      <w:r>
        <w:rPr>
          <w:rFonts w:hint="eastAsia" w:ascii="宋体" w:hAnsi="宋体" w:cs="楷体"/>
          <w:color w:val="auto"/>
          <w:sz w:val="22"/>
          <w:highlight w:val="none"/>
        </w:rPr>
        <w:t>出现网络中断时及时与网络运营商沟通解决，保障7*24连续网络服务。</w:t>
      </w:r>
    </w:p>
    <w:p>
      <w:pPr>
        <w:pStyle w:val="763"/>
        <w:spacing w:before="156" w:after="156"/>
        <w:ind w:left="0" w:firstLine="0"/>
        <w:rPr>
          <w:rFonts w:ascii="宋体" w:hAnsi="宋体" w:cs="宋体"/>
          <w:color w:val="auto"/>
          <w:sz w:val="22"/>
          <w:szCs w:val="22"/>
          <w:highlight w:val="none"/>
        </w:rPr>
      </w:pPr>
      <w:r>
        <w:rPr>
          <w:rFonts w:hint="eastAsia" w:ascii="新宋体" w:hAnsi="新宋体" w:eastAsia="新宋体" w:cs="楷体"/>
          <w:color w:val="auto"/>
          <w:sz w:val="22"/>
          <w:highlight w:val="none"/>
        </w:rPr>
        <w:t>共享交换接口</w:t>
      </w:r>
      <w:r>
        <w:rPr>
          <w:rFonts w:ascii="新宋体" w:hAnsi="新宋体" w:eastAsia="新宋体" w:cs="楷体"/>
          <w:color w:val="auto"/>
          <w:sz w:val="22"/>
          <w:highlight w:val="none"/>
        </w:rPr>
        <w:t>建设</w:t>
      </w:r>
    </w:p>
    <w:p>
      <w:pPr>
        <w:pStyle w:val="762"/>
        <w:ind w:firstLine="440"/>
        <w:rPr>
          <w:rFonts w:ascii="宋体" w:hAnsi="宋体"/>
          <w:color w:val="auto"/>
          <w:sz w:val="22"/>
          <w:szCs w:val="22"/>
          <w:highlight w:val="none"/>
        </w:rPr>
      </w:pPr>
      <w:r>
        <w:rPr>
          <w:rFonts w:hint="eastAsia" w:ascii="宋体" w:hAnsi="宋体"/>
          <w:color w:val="auto"/>
          <w:sz w:val="22"/>
          <w:szCs w:val="22"/>
          <w:highlight w:val="none"/>
        </w:rPr>
        <w:t>（1）与浙江省城市建设综合管理服务平台，获取平台内各类园林绿化项目，为后续业务开展做好数据支撑；</w:t>
      </w:r>
    </w:p>
    <w:p>
      <w:pPr>
        <w:pStyle w:val="762"/>
        <w:ind w:firstLine="440"/>
        <w:rPr>
          <w:rFonts w:ascii="宋体" w:hAnsi="宋体"/>
          <w:color w:val="auto"/>
          <w:sz w:val="22"/>
          <w:szCs w:val="22"/>
          <w:highlight w:val="none"/>
        </w:rPr>
      </w:pPr>
      <w:r>
        <w:rPr>
          <w:rFonts w:hint="eastAsia" w:ascii="宋体" w:hAnsi="宋体"/>
          <w:color w:val="auto"/>
          <w:sz w:val="22"/>
          <w:szCs w:val="22"/>
          <w:highlight w:val="none"/>
        </w:rPr>
        <w:t>（2）与“雪亮工程”视频对接，包括干道、绿化带、花坛、公共场所绿化设施的监控视频，方便后续进行园林管控；</w:t>
      </w:r>
    </w:p>
    <w:p>
      <w:pPr>
        <w:pStyle w:val="762"/>
        <w:ind w:firstLine="440"/>
        <w:rPr>
          <w:rFonts w:ascii="宋体" w:hAnsi="宋体"/>
          <w:color w:val="auto"/>
          <w:sz w:val="22"/>
          <w:szCs w:val="22"/>
          <w:highlight w:val="none"/>
        </w:rPr>
      </w:pPr>
      <w:r>
        <w:rPr>
          <w:rFonts w:hint="eastAsia" w:ascii="宋体" w:hAnsi="宋体"/>
          <w:color w:val="auto"/>
          <w:sz w:val="22"/>
          <w:szCs w:val="22"/>
          <w:highlight w:val="none"/>
        </w:rPr>
        <w:t>（3）与市民中心占绿审批窗口对接，获取各区县占绿审批数据，供后续占绿补绿分析使用；</w:t>
      </w:r>
    </w:p>
    <w:p>
      <w:pPr>
        <w:pStyle w:val="762"/>
        <w:ind w:firstLine="440"/>
        <w:rPr>
          <w:rFonts w:ascii="宋体" w:hAnsi="宋体"/>
          <w:color w:val="auto"/>
          <w:sz w:val="22"/>
          <w:szCs w:val="22"/>
          <w:highlight w:val="none"/>
        </w:rPr>
      </w:pPr>
      <w:r>
        <w:rPr>
          <w:rFonts w:hint="eastAsia" w:ascii="宋体" w:hAnsi="宋体"/>
          <w:color w:val="auto"/>
          <w:sz w:val="22"/>
          <w:szCs w:val="22"/>
          <w:highlight w:val="none"/>
        </w:rPr>
        <w:t>（4）与数字城管对接，获取公众上报、数字城管派件数据，同步将占绿分析数据、执法事件反馈至系统，形成工单协同和占绿执法业务协同。</w:t>
      </w:r>
    </w:p>
    <w:p>
      <w:pPr>
        <w:pStyle w:val="762"/>
        <w:ind w:firstLine="440"/>
        <w:rPr>
          <w:rFonts w:ascii="宋体" w:hAnsi="宋体"/>
          <w:color w:val="auto"/>
          <w:sz w:val="22"/>
          <w:szCs w:val="22"/>
          <w:highlight w:val="none"/>
        </w:rPr>
      </w:pPr>
      <w:r>
        <w:rPr>
          <w:rFonts w:hint="eastAsia" w:ascii="宋体" w:hAnsi="宋体"/>
          <w:color w:val="auto"/>
          <w:sz w:val="22"/>
          <w:szCs w:val="22"/>
          <w:highlight w:val="none"/>
        </w:rPr>
        <w:t>（</w:t>
      </w:r>
      <w:r>
        <w:rPr>
          <w:rFonts w:ascii="宋体" w:hAnsi="宋体"/>
          <w:color w:val="auto"/>
          <w:sz w:val="22"/>
          <w:szCs w:val="22"/>
          <w:highlight w:val="none"/>
        </w:rPr>
        <w:t>5</w:t>
      </w:r>
      <w:r>
        <w:rPr>
          <w:rFonts w:hint="eastAsia" w:ascii="宋体" w:hAnsi="宋体"/>
          <w:color w:val="auto"/>
          <w:sz w:val="22"/>
          <w:szCs w:val="22"/>
          <w:highlight w:val="none"/>
        </w:rPr>
        <w:t>）与数字城管用户体系对接，获取数字城管用户体系，相关用户无需注册就可登录本系统进行数据浏览、事件处理等。</w:t>
      </w:r>
    </w:p>
    <w:p>
      <w:pPr>
        <w:pStyle w:val="762"/>
        <w:ind w:firstLine="440"/>
        <w:rPr>
          <w:rFonts w:ascii="宋体" w:hAnsi="宋体"/>
          <w:color w:val="auto"/>
          <w:sz w:val="22"/>
          <w:szCs w:val="22"/>
          <w:highlight w:val="none"/>
        </w:rPr>
      </w:pPr>
      <w:r>
        <w:rPr>
          <w:rFonts w:hint="eastAsia" w:ascii="宋体" w:hAnsi="宋体"/>
          <w:color w:val="auto"/>
          <w:sz w:val="22"/>
          <w:szCs w:val="22"/>
          <w:highlight w:val="none"/>
        </w:rPr>
        <w:t>（</w:t>
      </w:r>
      <w:r>
        <w:rPr>
          <w:rFonts w:ascii="宋体" w:hAnsi="宋体"/>
          <w:color w:val="auto"/>
          <w:sz w:val="22"/>
          <w:szCs w:val="22"/>
          <w:highlight w:val="none"/>
        </w:rPr>
        <w:t>6</w:t>
      </w:r>
      <w:r>
        <w:rPr>
          <w:rFonts w:hint="eastAsia" w:ascii="宋体" w:hAnsi="宋体"/>
          <w:color w:val="auto"/>
          <w:sz w:val="22"/>
          <w:szCs w:val="22"/>
          <w:highlight w:val="none"/>
        </w:rPr>
        <w:t>）与一体化智能化数据共享平台对接，主要包括城市公共地理空间框架服务、数据共享交换服务等。系统依托一体化智能化数据共享平台提供的服务接口，实现同整个智慧城市的信息共享、业务协同、互联互通。</w:t>
      </w:r>
    </w:p>
    <w:p>
      <w:pPr>
        <w:pStyle w:val="761"/>
        <w:spacing w:before="156" w:after="156"/>
        <w:ind w:left="0" w:firstLine="0"/>
        <w:rPr>
          <w:rFonts w:hint="eastAsia" w:ascii="宋体" w:hAnsi="宋体" w:eastAsia="宋体"/>
          <w:color w:val="auto"/>
          <w:sz w:val="22"/>
          <w:szCs w:val="22"/>
          <w:highlight w:val="none"/>
        </w:rPr>
      </w:pPr>
      <w:r>
        <w:rPr>
          <w:rFonts w:hint="eastAsia" w:ascii="宋体" w:hAnsi="宋体" w:eastAsia="宋体"/>
          <w:color w:val="auto"/>
          <w:sz w:val="22"/>
          <w:szCs w:val="22"/>
          <w:highlight w:val="none"/>
        </w:rPr>
        <w:t>智慧</w:t>
      </w:r>
      <w:r>
        <w:rPr>
          <w:rFonts w:ascii="宋体" w:hAnsi="宋体" w:eastAsia="宋体"/>
          <w:color w:val="auto"/>
          <w:sz w:val="22"/>
          <w:szCs w:val="22"/>
          <w:highlight w:val="none"/>
        </w:rPr>
        <w:t>园林数据更新工作</w:t>
      </w:r>
      <w:r>
        <w:rPr>
          <w:rFonts w:hint="eastAsia" w:ascii="宋体" w:hAnsi="宋体" w:eastAsia="宋体"/>
          <w:color w:val="auto"/>
          <w:sz w:val="22"/>
          <w:szCs w:val="22"/>
          <w:highlight w:val="none"/>
        </w:rPr>
        <w:t>技术要求</w:t>
      </w:r>
    </w:p>
    <w:p>
      <w:pPr>
        <w:pStyle w:val="763"/>
        <w:spacing w:before="156" w:after="156"/>
        <w:ind w:left="0" w:firstLine="0"/>
        <w:rPr>
          <w:rFonts w:ascii="宋体" w:hAnsi="宋体" w:eastAsia="宋体"/>
          <w:color w:val="auto"/>
          <w:sz w:val="22"/>
          <w:szCs w:val="22"/>
          <w:highlight w:val="none"/>
        </w:rPr>
      </w:pPr>
      <w:bookmarkStart w:id="30" w:name="_Toc7094917"/>
      <w:r>
        <w:rPr>
          <w:rFonts w:hint="eastAsia" w:ascii="宋体" w:hAnsi="宋体" w:eastAsia="宋体"/>
          <w:color w:val="auto"/>
          <w:sz w:val="22"/>
          <w:szCs w:val="22"/>
          <w:highlight w:val="none"/>
        </w:rPr>
        <w:t>技术标准</w:t>
      </w:r>
      <w:bookmarkEnd w:id="30"/>
      <w:r>
        <w:rPr>
          <w:rFonts w:hint="eastAsia" w:ascii="宋体" w:hAnsi="宋体" w:eastAsia="宋体"/>
          <w:color w:val="auto"/>
          <w:sz w:val="22"/>
          <w:szCs w:val="22"/>
          <w:highlight w:val="none"/>
        </w:rPr>
        <w:t>（包括但不限于此）</w:t>
      </w:r>
    </w:p>
    <w:p>
      <w:pPr>
        <w:pStyle w:val="762"/>
        <w:ind w:firstLine="440"/>
        <w:rPr>
          <w:rFonts w:ascii="宋体" w:hAnsi="宋体"/>
          <w:color w:val="auto"/>
          <w:sz w:val="22"/>
          <w:szCs w:val="22"/>
          <w:highlight w:val="none"/>
        </w:rPr>
      </w:pPr>
      <w:r>
        <w:rPr>
          <w:rFonts w:hint="eastAsia" w:ascii="宋体" w:hAnsi="宋体"/>
          <w:color w:val="auto"/>
          <w:sz w:val="22"/>
          <w:szCs w:val="22"/>
          <w:highlight w:val="none"/>
        </w:rPr>
        <w:t>数据更新技术要求参照如下标准进行：</w:t>
      </w:r>
    </w:p>
    <w:p>
      <w:pPr>
        <w:pStyle w:val="762"/>
        <w:ind w:firstLine="440"/>
        <w:rPr>
          <w:rFonts w:ascii="宋体" w:hAnsi="宋体"/>
          <w:color w:val="auto"/>
          <w:sz w:val="22"/>
          <w:szCs w:val="22"/>
          <w:highlight w:val="none"/>
        </w:rPr>
      </w:pPr>
      <w:r>
        <w:rPr>
          <w:rFonts w:hint="eastAsia" w:ascii="宋体" w:hAnsi="宋体"/>
          <w:color w:val="auto"/>
          <w:sz w:val="22"/>
          <w:szCs w:val="22"/>
          <w:highlight w:val="none"/>
        </w:rPr>
        <w:t>（1）《</w:t>
      </w:r>
      <w:r>
        <w:rPr>
          <w:rFonts w:ascii="宋体" w:hAnsi="宋体"/>
          <w:color w:val="auto"/>
          <w:sz w:val="22"/>
          <w:szCs w:val="22"/>
          <w:highlight w:val="none"/>
        </w:rPr>
        <w:t>城市绿地分类标准》(CJJ/T 85-2017)</w:t>
      </w:r>
      <w:r>
        <w:rPr>
          <w:rFonts w:hint="eastAsia" w:ascii="宋体" w:hAnsi="宋体"/>
          <w:color w:val="auto"/>
          <w:sz w:val="22"/>
          <w:szCs w:val="22"/>
          <w:highlight w:val="none"/>
        </w:rPr>
        <w:t>；</w:t>
      </w:r>
      <w:r>
        <w:rPr>
          <w:rFonts w:ascii="宋体" w:hAnsi="宋体"/>
          <w:color w:val="auto"/>
          <w:sz w:val="22"/>
          <w:szCs w:val="22"/>
          <w:highlight w:val="none"/>
        </w:rPr>
        <w:t> </w:t>
      </w:r>
    </w:p>
    <w:p>
      <w:pPr>
        <w:pStyle w:val="762"/>
        <w:ind w:firstLine="440"/>
        <w:rPr>
          <w:rFonts w:ascii="宋体" w:hAnsi="宋体"/>
          <w:color w:val="auto"/>
          <w:sz w:val="22"/>
          <w:szCs w:val="22"/>
          <w:highlight w:val="none"/>
        </w:rPr>
      </w:pPr>
      <w:r>
        <w:rPr>
          <w:rFonts w:hint="eastAsia" w:ascii="宋体" w:hAnsi="宋体"/>
          <w:color w:val="auto"/>
          <w:sz w:val="22"/>
          <w:szCs w:val="22"/>
          <w:highlight w:val="none"/>
        </w:rPr>
        <w:t>（2）《浙江省城镇建成区调查技术规程》 浙江省住房和城乡建设厅、浙江省测绘与地理信息局、浙江大学、2014.3；</w:t>
      </w:r>
    </w:p>
    <w:p>
      <w:pPr>
        <w:pStyle w:val="762"/>
        <w:ind w:firstLine="440"/>
        <w:rPr>
          <w:rFonts w:ascii="宋体" w:hAnsi="宋体"/>
          <w:color w:val="auto"/>
          <w:sz w:val="22"/>
          <w:szCs w:val="22"/>
          <w:highlight w:val="none"/>
        </w:rPr>
      </w:pPr>
      <w:r>
        <w:rPr>
          <w:rFonts w:hint="eastAsia" w:ascii="宋体" w:hAnsi="宋体"/>
          <w:color w:val="auto"/>
          <w:sz w:val="22"/>
          <w:szCs w:val="22"/>
          <w:highlight w:val="none"/>
        </w:rPr>
        <w:t>（3）《浙江省城市建成区绿化覆盖率及绿地率调查技术规程（试行）》浙江省住房和城乡建设厅、浙江省测绘与地理信息局、浙江大学、2014.12；</w:t>
      </w:r>
    </w:p>
    <w:p>
      <w:pPr>
        <w:pStyle w:val="762"/>
        <w:ind w:firstLine="440"/>
        <w:rPr>
          <w:rFonts w:ascii="宋体" w:hAnsi="宋体"/>
          <w:color w:val="auto"/>
          <w:sz w:val="22"/>
          <w:szCs w:val="22"/>
          <w:highlight w:val="none"/>
        </w:rPr>
      </w:pPr>
      <w:r>
        <w:rPr>
          <w:rFonts w:hint="eastAsia" w:ascii="宋体" w:hAnsi="宋体"/>
          <w:color w:val="auto"/>
          <w:sz w:val="22"/>
          <w:szCs w:val="22"/>
          <w:highlight w:val="none"/>
        </w:rPr>
        <w:t>（4）《中华人民共和国行政区划代码》（GB/T 2260-2015）；</w:t>
      </w:r>
    </w:p>
    <w:p>
      <w:pPr>
        <w:pStyle w:val="762"/>
        <w:ind w:firstLine="440"/>
        <w:rPr>
          <w:rFonts w:ascii="宋体" w:hAnsi="宋体"/>
          <w:color w:val="auto"/>
          <w:sz w:val="22"/>
          <w:szCs w:val="22"/>
          <w:highlight w:val="none"/>
        </w:rPr>
      </w:pPr>
      <w:r>
        <w:rPr>
          <w:rFonts w:hint="eastAsia" w:ascii="宋体" w:hAnsi="宋体"/>
          <w:color w:val="auto"/>
          <w:sz w:val="22"/>
          <w:szCs w:val="22"/>
          <w:highlight w:val="none"/>
        </w:rPr>
        <w:t>（5）《城市测量规范》（CJJ/T 8-2011）；</w:t>
      </w:r>
    </w:p>
    <w:p>
      <w:pPr>
        <w:pStyle w:val="762"/>
        <w:ind w:firstLine="440"/>
        <w:rPr>
          <w:rFonts w:ascii="宋体" w:hAnsi="宋体"/>
          <w:color w:val="auto"/>
          <w:sz w:val="22"/>
          <w:szCs w:val="22"/>
          <w:highlight w:val="none"/>
        </w:rPr>
      </w:pPr>
      <w:r>
        <w:rPr>
          <w:rFonts w:hint="eastAsia" w:ascii="宋体" w:hAnsi="宋体"/>
          <w:color w:val="auto"/>
          <w:sz w:val="22"/>
          <w:szCs w:val="22"/>
          <w:highlight w:val="none"/>
        </w:rPr>
        <w:t>（6）《1:500  1:1000  1:2000数字地形图测绘规范》（DB33/T552-2014）；</w:t>
      </w:r>
    </w:p>
    <w:p>
      <w:pPr>
        <w:pStyle w:val="762"/>
        <w:ind w:firstLine="440"/>
        <w:rPr>
          <w:rFonts w:ascii="宋体" w:hAnsi="宋体"/>
          <w:color w:val="auto"/>
          <w:sz w:val="22"/>
          <w:szCs w:val="22"/>
          <w:highlight w:val="none"/>
        </w:rPr>
      </w:pPr>
      <w:r>
        <w:rPr>
          <w:rFonts w:hint="eastAsia" w:ascii="宋体" w:hAnsi="宋体"/>
          <w:color w:val="auto"/>
          <w:sz w:val="22"/>
          <w:szCs w:val="22"/>
          <w:highlight w:val="none"/>
        </w:rPr>
        <w:t>（7）</w:t>
      </w:r>
      <w:r>
        <w:rPr>
          <w:rFonts w:hint="eastAsia" w:ascii="新宋体" w:hAnsi="新宋体" w:eastAsia="新宋体"/>
          <w:color w:val="auto"/>
          <w:sz w:val="22"/>
          <w:szCs w:val="22"/>
          <w:highlight w:val="none"/>
        </w:rPr>
        <w:t>《国家基本比例尺地图图式第一部分：1∶500  1∶1000  1∶2000地形图图式》（GB/T 20257.1-2017）</w:t>
      </w:r>
      <w:r>
        <w:rPr>
          <w:rFonts w:hint="eastAsia" w:ascii="宋体" w:hAnsi="宋体"/>
          <w:color w:val="auto"/>
          <w:sz w:val="22"/>
          <w:szCs w:val="22"/>
          <w:highlight w:val="none"/>
        </w:rPr>
        <w:t>；</w:t>
      </w:r>
    </w:p>
    <w:p>
      <w:pPr>
        <w:pStyle w:val="762"/>
        <w:ind w:firstLine="440"/>
        <w:rPr>
          <w:rFonts w:ascii="宋体" w:hAnsi="宋体"/>
          <w:color w:val="auto"/>
          <w:sz w:val="22"/>
          <w:szCs w:val="22"/>
          <w:highlight w:val="none"/>
        </w:rPr>
      </w:pPr>
      <w:r>
        <w:rPr>
          <w:rFonts w:hint="eastAsia" w:ascii="宋体" w:hAnsi="宋体"/>
          <w:color w:val="auto"/>
          <w:sz w:val="22"/>
          <w:szCs w:val="22"/>
          <w:highlight w:val="none"/>
        </w:rPr>
        <w:t>（8）《卫星定位城市测量技术规范》（CJJ/T 73-2010）；</w:t>
      </w:r>
    </w:p>
    <w:p>
      <w:pPr>
        <w:pStyle w:val="762"/>
        <w:ind w:firstLine="440"/>
        <w:rPr>
          <w:rFonts w:ascii="宋体" w:hAnsi="宋体"/>
          <w:color w:val="auto"/>
          <w:sz w:val="22"/>
          <w:szCs w:val="22"/>
          <w:highlight w:val="none"/>
        </w:rPr>
      </w:pPr>
      <w:r>
        <w:rPr>
          <w:rFonts w:hint="eastAsia" w:ascii="宋体" w:hAnsi="宋体"/>
          <w:color w:val="auto"/>
          <w:sz w:val="22"/>
          <w:szCs w:val="22"/>
          <w:highlight w:val="none"/>
        </w:rPr>
        <w:t>（9）《全球定位系统实时动态测量（RTK）规范》（CH/T 2009-2010）；</w:t>
      </w:r>
    </w:p>
    <w:p>
      <w:pPr>
        <w:pStyle w:val="762"/>
        <w:ind w:firstLine="440"/>
        <w:rPr>
          <w:rFonts w:ascii="宋体" w:hAnsi="宋体"/>
          <w:color w:val="auto"/>
          <w:sz w:val="22"/>
          <w:szCs w:val="22"/>
          <w:highlight w:val="none"/>
        </w:rPr>
      </w:pPr>
      <w:r>
        <w:rPr>
          <w:rFonts w:hint="eastAsia" w:ascii="宋体" w:hAnsi="宋体"/>
          <w:color w:val="auto"/>
          <w:sz w:val="22"/>
          <w:szCs w:val="22"/>
          <w:highlight w:val="none"/>
        </w:rPr>
        <w:t>（1</w:t>
      </w:r>
      <w:r>
        <w:rPr>
          <w:rFonts w:ascii="宋体" w:hAnsi="宋体"/>
          <w:color w:val="auto"/>
          <w:sz w:val="22"/>
          <w:szCs w:val="22"/>
          <w:highlight w:val="none"/>
        </w:rPr>
        <w:t>0</w:t>
      </w:r>
      <w:r>
        <w:rPr>
          <w:rFonts w:hint="eastAsia" w:ascii="宋体" w:hAnsi="宋体"/>
          <w:color w:val="auto"/>
          <w:sz w:val="22"/>
          <w:szCs w:val="22"/>
          <w:highlight w:val="none"/>
        </w:rPr>
        <w:t>）《测绘成果质量检查与验收》（GB/T 24356-2009）。</w:t>
      </w:r>
    </w:p>
    <w:p>
      <w:pPr>
        <w:pStyle w:val="763"/>
        <w:spacing w:before="156" w:after="156"/>
        <w:ind w:left="0" w:firstLine="0"/>
        <w:rPr>
          <w:rFonts w:ascii="宋体" w:hAnsi="宋体" w:eastAsia="宋体"/>
          <w:color w:val="auto"/>
          <w:sz w:val="22"/>
          <w:szCs w:val="22"/>
          <w:highlight w:val="none"/>
        </w:rPr>
      </w:pPr>
      <w:r>
        <w:rPr>
          <w:rFonts w:hint="eastAsia" w:ascii="宋体" w:hAnsi="宋体" w:eastAsia="宋体"/>
          <w:color w:val="auto"/>
          <w:sz w:val="22"/>
          <w:szCs w:val="22"/>
          <w:highlight w:val="none"/>
        </w:rPr>
        <w:t>数学基础</w:t>
      </w:r>
    </w:p>
    <w:p>
      <w:pPr>
        <w:pStyle w:val="762"/>
        <w:ind w:firstLine="480"/>
        <w:rPr>
          <w:rFonts w:hint="eastAsia" w:ascii="Cambria" w:hAnsi="Cambria"/>
          <w:color w:val="auto"/>
          <w:highlight w:val="none"/>
        </w:rPr>
      </w:pPr>
      <w:r>
        <w:rPr>
          <w:rFonts w:hint="eastAsia" w:ascii="Cambria" w:hAnsi="Cambria"/>
          <w:color w:val="auto"/>
          <w:highlight w:val="none"/>
        </w:rPr>
        <w:t>（1）</w:t>
      </w:r>
      <w:r>
        <w:rPr>
          <w:rFonts w:hint="eastAsia" w:ascii="宋体" w:hAnsi="宋体" w:cs="宋体"/>
          <w:color w:val="auto"/>
          <w:sz w:val="22"/>
          <w:szCs w:val="22"/>
          <w:highlight w:val="none"/>
        </w:rPr>
        <w:t>本次数据成果采用的数学基础包括：平面坐标系采用温州2</w:t>
      </w:r>
      <w:r>
        <w:rPr>
          <w:rFonts w:ascii="宋体" w:hAnsi="宋体" w:cs="宋体"/>
          <w:color w:val="auto"/>
          <w:sz w:val="22"/>
          <w:szCs w:val="22"/>
          <w:highlight w:val="none"/>
        </w:rPr>
        <w:t>000坐标系及</w:t>
      </w:r>
      <w:r>
        <w:rPr>
          <w:rFonts w:hint="eastAsia" w:ascii="宋体" w:hAnsi="宋体" w:cs="宋体"/>
          <w:color w:val="auto"/>
          <w:sz w:val="22"/>
          <w:szCs w:val="22"/>
          <w:highlight w:val="none"/>
        </w:rPr>
        <w:t>2</w:t>
      </w:r>
      <w:r>
        <w:rPr>
          <w:rFonts w:ascii="宋体" w:hAnsi="宋体" w:cs="宋体"/>
          <w:color w:val="auto"/>
          <w:sz w:val="22"/>
          <w:szCs w:val="22"/>
          <w:highlight w:val="none"/>
        </w:rPr>
        <w:t>000国家大地坐标系各一套</w:t>
      </w:r>
      <w:r>
        <w:rPr>
          <w:rFonts w:hint="eastAsia" w:ascii="宋体" w:hAnsi="宋体" w:cs="宋体"/>
          <w:color w:val="auto"/>
          <w:sz w:val="22"/>
          <w:szCs w:val="22"/>
          <w:highlight w:val="none"/>
        </w:rPr>
        <w:t>，</w:t>
      </w:r>
      <w:r>
        <w:rPr>
          <w:rFonts w:ascii="宋体" w:hAnsi="宋体" w:cs="宋体"/>
          <w:color w:val="auto"/>
          <w:sz w:val="22"/>
          <w:szCs w:val="22"/>
          <w:highlight w:val="none"/>
        </w:rPr>
        <w:t>坐标单位采用</w:t>
      </w:r>
      <w:r>
        <w:rPr>
          <w:rFonts w:hint="eastAsia" w:ascii="宋体" w:hAnsi="宋体" w:cs="宋体"/>
          <w:color w:val="auto"/>
          <w:sz w:val="22"/>
          <w:szCs w:val="22"/>
          <w:highlight w:val="none"/>
        </w:rPr>
        <w:t>“米”；</w:t>
      </w:r>
    </w:p>
    <w:p>
      <w:pPr>
        <w:pStyle w:val="762"/>
        <w:ind w:firstLine="440"/>
        <w:rPr>
          <w:rFonts w:hint="eastAsia" w:ascii="宋体" w:hAnsi="宋体" w:cs="宋体"/>
          <w:color w:val="auto"/>
          <w:sz w:val="22"/>
          <w:szCs w:val="22"/>
          <w:highlight w:val="none"/>
        </w:rPr>
      </w:pPr>
      <w:r>
        <w:rPr>
          <w:rFonts w:hint="eastAsia" w:ascii="宋体" w:hAnsi="宋体" w:cs="宋体"/>
          <w:color w:val="auto"/>
          <w:sz w:val="22"/>
          <w:szCs w:val="22"/>
          <w:highlight w:val="none"/>
        </w:rPr>
        <w:t>（</w:t>
      </w:r>
      <w:r>
        <w:rPr>
          <w:rFonts w:ascii="宋体" w:hAnsi="宋体" w:cs="宋体"/>
          <w:color w:val="auto"/>
          <w:sz w:val="22"/>
          <w:szCs w:val="22"/>
          <w:highlight w:val="none"/>
        </w:rPr>
        <w:t>2</w:t>
      </w:r>
      <w:r>
        <w:rPr>
          <w:rFonts w:hint="eastAsia" w:ascii="宋体" w:hAnsi="宋体" w:cs="宋体"/>
          <w:color w:val="auto"/>
          <w:sz w:val="22"/>
          <w:szCs w:val="22"/>
          <w:highlight w:val="none"/>
        </w:rPr>
        <w:t>）绿化覆盖现状和绿地现状信息属性项面积单位：平方米（m</w:t>
      </w:r>
      <w:r>
        <w:rPr>
          <w:rFonts w:ascii="宋体" w:hAnsi="宋体" w:cs="宋体"/>
          <w:color w:val="auto"/>
          <w:sz w:val="22"/>
          <w:szCs w:val="22"/>
          <w:highlight w:val="none"/>
          <w:vertAlign w:val="superscript"/>
        </w:rPr>
        <w:t>2</w:t>
      </w:r>
      <w:r>
        <w:rPr>
          <w:rFonts w:hint="eastAsia" w:ascii="宋体" w:hAnsi="宋体" w:cs="宋体"/>
          <w:color w:val="auto"/>
          <w:sz w:val="22"/>
          <w:szCs w:val="22"/>
          <w:highlight w:val="none"/>
        </w:rPr>
        <w:t>）；</w:t>
      </w:r>
    </w:p>
    <w:p>
      <w:pPr>
        <w:pStyle w:val="762"/>
        <w:ind w:firstLine="440"/>
        <w:rPr>
          <w:rFonts w:hint="eastAsia" w:ascii="宋体" w:hAnsi="宋体" w:cs="宋体"/>
          <w:color w:val="auto"/>
          <w:sz w:val="22"/>
          <w:szCs w:val="22"/>
          <w:highlight w:val="none"/>
        </w:rPr>
      </w:pPr>
      <w:r>
        <w:rPr>
          <w:rFonts w:hint="eastAsia" w:ascii="宋体" w:hAnsi="宋体" w:cs="宋体"/>
          <w:color w:val="auto"/>
          <w:sz w:val="22"/>
          <w:szCs w:val="22"/>
          <w:highlight w:val="none"/>
        </w:rPr>
        <w:t>（</w:t>
      </w:r>
      <w:r>
        <w:rPr>
          <w:rFonts w:ascii="宋体" w:hAnsi="宋体" w:cs="宋体"/>
          <w:color w:val="auto"/>
          <w:sz w:val="22"/>
          <w:szCs w:val="22"/>
          <w:highlight w:val="none"/>
        </w:rPr>
        <w:t>3</w:t>
      </w:r>
      <w:r>
        <w:rPr>
          <w:rFonts w:hint="eastAsia" w:ascii="宋体" w:hAnsi="宋体" w:cs="宋体"/>
          <w:color w:val="auto"/>
          <w:sz w:val="22"/>
          <w:szCs w:val="22"/>
          <w:highlight w:val="none"/>
        </w:rPr>
        <w:t>）绿地要素面积统计单位：公顷（hm</w:t>
      </w:r>
      <w:r>
        <w:rPr>
          <w:rFonts w:ascii="宋体" w:hAnsi="宋体" w:cs="宋体"/>
          <w:color w:val="auto"/>
          <w:sz w:val="22"/>
          <w:szCs w:val="22"/>
          <w:highlight w:val="none"/>
          <w:vertAlign w:val="superscript"/>
        </w:rPr>
        <w:t>2</w:t>
      </w:r>
      <w:r>
        <w:rPr>
          <w:rFonts w:hint="eastAsia" w:ascii="宋体" w:hAnsi="宋体" w:cs="宋体"/>
          <w:color w:val="auto"/>
          <w:sz w:val="22"/>
          <w:szCs w:val="22"/>
          <w:highlight w:val="none"/>
        </w:rPr>
        <w:t>）；</w:t>
      </w:r>
    </w:p>
    <w:p>
      <w:pPr>
        <w:pStyle w:val="762"/>
        <w:ind w:firstLine="440"/>
        <w:rPr>
          <w:rFonts w:ascii="宋体" w:hAnsi="宋体" w:cs="宋体"/>
          <w:color w:val="auto"/>
          <w:sz w:val="22"/>
          <w:szCs w:val="22"/>
          <w:highlight w:val="none"/>
        </w:rPr>
      </w:pPr>
      <w:r>
        <w:rPr>
          <w:rFonts w:hint="eastAsia" w:ascii="宋体" w:hAnsi="宋体" w:cs="宋体"/>
          <w:color w:val="auto"/>
          <w:sz w:val="22"/>
          <w:szCs w:val="22"/>
          <w:highlight w:val="none"/>
        </w:rPr>
        <w:t>（</w:t>
      </w:r>
      <w:r>
        <w:rPr>
          <w:rFonts w:ascii="宋体" w:hAnsi="宋体" w:cs="宋体"/>
          <w:color w:val="auto"/>
          <w:sz w:val="22"/>
          <w:szCs w:val="22"/>
          <w:highlight w:val="none"/>
        </w:rPr>
        <w:t>4</w:t>
      </w:r>
      <w:r>
        <w:rPr>
          <w:rFonts w:hint="eastAsia" w:ascii="宋体" w:hAnsi="宋体" w:cs="宋体"/>
          <w:color w:val="auto"/>
          <w:sz w:val="22"/>
          <w:szCs w:val="22"/>
          <w:highlight w:val="none"/>
        </w:rPr>
        <w:t>）建成区面积统计单位：平方公里（km</w:t>
      </w:r>
      <w:r>
        <w:rPr>
          <w:rFonts w:ascii="宋体" w:hAnsi="宋体" w:cs="宋体"/>
          <w:color w:val="auto"/>
          <w:sz w:val="22"/>
          <w:szCs w:val="22"/>
          <w:highlight w:val="none"/>
          <w:vertAlign w:val="superscript"/>
        </w:rPr>
        <w:t>2</w:t>
      </w:r>
      <w:r>
        <w:rPr>
          <w:rFonts w:hint="eastAsia" w:ascii="宋体" w:hAnsi="宋体" w:cs="宋体"/>
          <w:color w:val="auto"/>
          <w:sz w:val="22"/>
          <w:szCs w:val="22"/>
          <w:highlight w:val="none"/>
        </w:rPr>
        <w:t>）。</w:t>
      </w:r>
    </w:p>
    <w:p>
      <w:pPr>
        <w:pStyle w:val="763"/>
        <w:spacing w:before="156" w:after="156"/>
        <w:ind w:left="0" w:firstLine="0"/>
        <w:rPr>
          <w:rFonts w:ascii="宋体" w:hAnsi="宋体" w:eastAsia="宋体"/>
          <w:color w:val="auto"/>
          <w:sz w:val="22"/>
          <w:szCs w:val="22"/>
          <w:highlight w:val="none"/>
        </w:rPr>
      </w:pPr>
      <w:r>
        <w:rPr>
          <w:rFonts w:hint="eastAsia" w:ascii="宋体" w:hAnsi="宋体" w:eastAsia="宋体"/>
          <w:color w:val="auto"/>
          <w:sz w:val="22"/>
          <w:szCs w:val="22"/>
          <w:highlight w:val="none"/>
        </w:rPr>
        <w:t>精度要求</w:t>
      </w:r>
    </w:p>
    <w:p>
      <w:pPr>
        <w:pStyle w:val="762"/>
        <w:ind w:firstLine="440"/>
        <w:rPr>
          <w:rFonts w:hint="eastAsia" w:ascii="宋体" w:hAnsi="宋体" w:cs="宋体"/>
          <w:color w:val="auto"/>
          <w:sz w:val="22"/>
          <w:szCs w:val="22"/>
          <w:highlight w:val="none"/>
        </w:rPr>
      </w:pPr>
      <w:r>
        <w:rPr>
          <w:rFonts w:hint="eastAsia" w:ascii="宋体" w:hAnsi="宋体" w:cs="宋体"/>
          <w:color w:val="auto"/>
          <w:sz w:val="22"/>
          <w:szCs w:val="22"/>
          <w:highlight w:val="none"/>
        </w:rPr>
        <w:t>（1）收集采用的</w:t>
      </w:r>
      <w:r>
        <w:rPr>
          <w:rFonts w:ascii="宋体" w:hAnsi="宋体" w:cs="宋体"/>
          <w:color w:val="auto"/>
          <w:sz w:val="22"/>
          <w:szCs w:val="22"/>
          <w:highlight w:val="none"/>
        </w:rPr>
        <w:t>遥感影像平面坐标中误差应不超过2米</w:t>
      </w:r>
      <w:r>
        <w:rPr>
          <w:rFonts w:hint="eastAsia" w:ascii="宋体" w:hAnsi="宋体" w:cs="宋体"/>
          <w:color w:val="auto"/>
          <w:sz w:val="22"/>
          <w:szCs w:val="22"/>
          <w:highlight w:val="none"/>
        </w:rPr>
        <w:t>；</w:t>
      </w:r>
    </w:p>
    <w:p>
      <w:pPr>
        <w:pStyle w:val="762"/>
        <w:ind w:firstLine="440"/>
        <w:rPr>
          <w:rFonts w:hint="eastAsia" w:ascii="宋体" w:hAnsi="宋体" w:cs="宋体"/>
          <w:color w:val="auto"/>
          <w:sz w:val="22"/>
          <w:szCs w:val="22"/>
          <w:highlight w:val="none"/>
        </w:rPr>
      </w:pPr>
      <w:r>
        <w:rPr>
          <w:rFonts w:hint="eastAsia" w:ascii="宋体" w:hAnsi="宋体" w:cs="宋体"/>
          <w:color w:val="auto"/>
          <w:sz w:val="22"/>
          <w:szCs w:val="22"/>
          <w:highlight w:val="none"/>
        </w:rPr>
        <w:t>（</w:t>
      </w:r>
      <w:r>
        <w:rPr>
          <w:rFonts w:ascii="宋体" w:hAnsi="宋体" w:cs="宋体"/>
          <w:color w:val="auto"/>
          <w:sz w:val="22"/>
          <w:szCs w:val="22"/>
          <w:highlight w:val="none"/>
        </w:rPr>
        <w:t>2</w:t>
      </w:r>
      <w:r>
        <w:rPr>
          <w:rFonts w:hint="eastAsia" w:ascii="宋体" w:hAnsi="宋体" w:cs="宋体"/>
          <w:color w:val="auto"/>
          <w:sz w:val="22"/>
          <w:szCs w:val="22"/>
          <w:highlight w:val="none"/>
        </w:rPr>
        <w:t>）</w:t>
      </w:r>
      <w:r>
        <w:rPr>
          <w:rFonts w:ascii="宋体" w:hAnsi="宋体" w:cs="宋体"/>
          <w:color w:val="auto"/>
          <w:sz w:val="22"/>
          <w:szCs w:val="22"/>
          <w:highlight w:val="none"/>
        </w:rPr>
        <w:t>图形数据与所采用的影像数据套合差应不超过 2.5 米，对于行道树可以适度放宽至</w:t>
      </w:r>
      <w:r>
        <w:rPr>
          <w:rFonts w:hint="eastAsia" w:ascii="宋体" w:hAnsi="宋体" w:cs="宋体"/>
          <w:color w:val="auto"/>
          <w:sz w:val="22"/>
          <w:szCs w:val="22"/>
          <w:highlight w:val="none"/>
        </w:rPr>
        <w:t>2倍中误差；</w:t>
      </w:r>
    </w:p>
    <w:p>
      <w:pPr>
        <w:pStyle w:val="762"/>
        <w:ind w:firstLine="440"/>
        <w:rPr>
          <w:rFonts w:hint="eastAsia" w:ascii="宋体" w:hAnsi="宋体" w:cs="宋体"/>
          <w:color w:val="auto"/>
          <w:sz w:val="22"/>
          <w:szCs w:val="22"/>
          <w:highlight w:val="none"/>
        </w:rPr>
      </w:pPr>
      <w:r>
        <w:rPr>
          <w:rFonts w:ascii="宋体" w:hAnsi="宋体" w:cs="宋体"/>
          <w:color w:val="auto"/>
          <w:sz w:val="22"/>
          <w:szCs w:val="22"/>
          <w:highlight w:val="none"/>
        </w:rPr>
        <w:t>（3）外业调查采集边界信息时，平面位置中误差不超过1米。</w:t>
      </w:r>
    </w:p>
    <w:p>
      <w:pPr>
        <w:pStyle w:val="763"/>
        <w:spacing w:before="156" w:after="156"/>
        <w:ind w:left="0" w:firstLine="0"/>
        <w:rPr>
          <w:rFonts w:ascii="宋体" w:hAnsi="宋体" w:eastAsia="宋体"/>
          <w:color w:val="auto"/>
          <w:sz w:val="22"/>
          <w:szCs w:val="22"/>
          <w:highlight w:val="none"/>
        </w:rPr>
      </w:pPr>
      <w:bookmarkStart w:id="31" w:name="_Toc22287"/>
      <w:bookmarkStart w:id="32" w:name="_Toc7094918"/>
      <w:bookmarkStart w:id="33" w:name="_Toc5909"/>
      <w:r>
        <w:rPr>
          <w:rFonts w:hint="eastAsia" w:ascii="宋体" w:hAnsi="宋体" w:eastAsia="宋体"/>
          <w:color w:val="auto"/>
          <w:sz w:val="22"/>
          <w:szCs w:val="22"/>
          <w:highlight w:val="none"/>
        </w:rPr>
        <w:t>数据成果时间节点</w:t>
      </w:r>
      <w:bookmarkEnd w:id="31"/>
      <w:bookmarkEnd w:id="32"/>
      <w:bookmarkEnd w:id="33"/>
    </w:p>
    <w:p>
      <w:pPr>
        <w:pStyle w:val="762"/>
        <w:ind w:firstLine="440"/>
        <w:rPr>
          <w:rFonts w:ascii="宋体" w:hAnsi="宋体" w:cs="宋体"/>
          <w:color w:val="auto"/>
          <w:sz w:val="22"/>
          <w:szCs w:val="22"/>
          <w:highlight w:val="none"/>
        </w:rPr>
      </w:pPr>
      <w:r>
        <w:rPr>
          <w:rFonts w:hint="eastAsia" w:ascii="宋体" w:hAnsi="宋体" w:cs="宋体"/>
          <w:color w:val="auto"/>
          <w:sz w:val="22"/>
          <w:szCs w:val="22"/>
          <w:highlight w:val="none"/>
        </w:rPr>
        <w:t>本次温州市绿化资源普查更新的标准时点为202</w:t>
      </w:r>
      <w:r>
        <w:rPr>
          <w:rFonts w:ascii="宋体" w:hAnsi="宋体" w:cs="宋体"/>
          <w:color w:val="auto"/>
          <w:sz w:val="22"/>
          <w:szCs w:val="22"/>
          <w:highlight w:val="none"/>
        </w:rPr>
        <w:t>2</w:t>
      </w:r>
      <w:r>
        <w:rPr>
          <w:rFonts w:hint="eastAsia" w:ascii="宋体" w:hAnsi="宋体" w:cs="宋体"/>
          <w:color w:val="auto"/>
          <w:sz w:val="22"/>
          <w:szCs w:val="22"/>
          <w:highlight w:val="none"/>
        </w:rPr>
        <w:t>年</w:t>
      </w:r>
      <w:r>
        <w:rPr>
          <w:rFonts w:ascii="宋体" w:hAnsi="宋体" w:cs="宋体"/>
          <w:color w:val="auto"/>
          <w:sz w:val="22"/>
          <w:szCs w:val="22"/>
          <w:highlight w:val="none"/>
        </w:rPr>
        <w:t>7</w:t>
      </w:r>
      <w:r>
        <w:rPr>
          <w:rFonts w:hint="eastAsia" w:ascii="宋体" w:hAnsi="宋体" w:cs="宋体"/>
          <w:color w:val="auto"/>
          <w:sz w:val="22"/>
          <w:szCs w:val="22"/>
          <w:highlight w:val="none"/>
        </w:rPr>
        <w:t>月30日。</w:t>
      </w:r>
    </w:p>
    <w:p>
      <w:pPr>
        <w:pStyle w:val="763"/>
        <w:spacing w:before="156" w:after="156"/>
        <w:ind w:left="0" w:firstLine="0"/>
        <w:rPr>
          <w:rFonts w:ascii="宋体" w:hAnsi="宋体" w:eastAsia="宋体"/>
          <w:color w:val="auto"/>
          <w:sz w:val="22"/>
          <w:szCs w:val="22"/>
          <w:highlight w:val="none"/>
        </w:rPr>
      </w:pPr>
      <w:bookmarkStart w:id="34" w:name="_Toc7094919"/>
      <w:r>
        <w:rPr>
          <w:rFonts w:hint="eastAsia" w:ascii="宋体" w:hAnsi="宋体" w:eastAsia="宋体"/>
          <w:color w:val="auto"/>
          <w:sz w:val="22"/>
          <w:szCs w:val="22"/>
          <w:highlight w:val="none"/>
        </w:rPr>
        <w:t>数据成果要求</w:t>
      </w:r>
      <w:bookmarkEnd w:id="34"/>
    </w:p>
    <w:p>
      <w:pPr>
        <w:pStyle w:val="762"/>
        <w:ind w:firstLine="440"/>
        <w:rPr>
          <w:rFonts w:ascii="宋体" w:hAnsi="宋体" w:cs="宋体"/>
          <w:color w:val="auto"/>
          <w:sz w:val="22"/>
          <w:szCs w:val="22"/>
          <w:highlight w:val="none"/>
        </w:rPr>
      </w:pPr>
      <w:r>
        <w:rPr>
          <w:rFonts w:hint="eastAsia" w:ascii="宋体" w:hAnsi="宋体" w:cs="宋体"/>
          <w:color w:val="auto"/>
          <w:sz w:val="22"/>
          <w:szCs w:val="22"/>
          <w:highlight w:val="none"/>
        </w:rPr>
        <w:t>（1）此次温州市区绿化资源数据动态更新工作采用Esri File Geodatabase进行成果的存储，成果命名为“温州市绿化资源普查成果20</w:t>
      </w:r>
      <w:r>
        <w:rPr>
          <w:rFonts w:ascii="宋体" w:hAnsi="宋体" w:cs="宋体"/>
          <w:color w:val="auto"/>
          <w:sz w:val="22"/>
          <w:szCs w:val="22"/>
          <w:highlight w:val="none"/>
        </w:rPr>
        <w:t>22</w:t>
      </w:r>
      <w:r>
        <w:rPr>
          <w:rFonts w:hint="eastAsia" w:ascii="宋体" w:hAnsi="宋体" w:cs="宋体"/>
          <w:color w:val="auto"/>
          <w:sz w:val="22"/>
          <w:szCs w:val="22"/>
          <w:highlight w:val="none"/>
        </w:rPr>
        <w:t>年更新.gdb”，具体属性与分层组织按以下表执行。</w:t>
      </w:r>
    </w:p>
    <w:p>
      <w:pPr>
        <w:pStyle w:val="765"/>
        <w:spacing w:line="240" w:lineRule="auto"/>
        <w:ind w:firstLine="0" w:firstLineChars="0"/>
        <w:jc w:val="center"/>
        <w:rPr>
          <w:rFonts w:ascii="宋体" w:hAnsi="宋体" w:eastAsia="宋体" w:cs="宋体"/>
          <w:b/>
          <w:color w:val="auto"/>
          <w:sz w:val="22"/>
          <w:szCs w:val="22"/>
          <w:highlight w:val="none"/>
        </w:rPr>
      </w:pPr>
      <w:bookmarkStart w:id="35" w:name="_Toc8295"/>
      <w:bookmarkStart w:id="36" w:name="_Toc15481"/>
      <w:r>
        <w:rPr>
          <w:rFonts w:hint="eastAsia" w:ascii="宋体" w:hAnsi="宋体" w:eastAsia="宋体" w:cs="宋体"/>
          <w:b/>
          <w:color w:val="auto"/>
          <w:sz w:val="22"/>
          <w:szCs w:val="22"/>
          <w:highlight w:val="none"/>
        </w:rPr>
        <w:t>成果数据分层与命名总表图</w:t>
      </w:r>
      <w:bookmarkEnd w:id="35"/>
      <w:bookmarkEnd w:id="36"/>
    </w:p>
    <w:tbl>
      <w:tblPr>
        <w:tblStyle w:val="69"/>
        <w:tblW w:w="8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2"/>
        <w:gridCol w:w="1559"/>
        <w:gridCol w:w="1391"/>
        <w:gridCol w:w="1299"/>
        <w:gridCol w:w="1236"/>
        <w:gridCol w:w="1362"/>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tblHeader/>
          <w:jc w:val="center"/>
        </w:trPr>
        <w:tc>
          <w:tcPr>
            <w:tcW w:w="1042" w:type="dxa"/>
            <w:tcBorders>
              <w:top w:val="single" w:color="000000" w:sz="8" w:space="0"/>
              <w:left w:val="single" w:color="000000" w:sz="8" w:space="0"/>
              <w:bottom w:val="single" w:color="000000" w:sz="8" w:space="0"/>
              <w:right w:val="single" w:color="000000" w:sz="8" w:space="0"/>
            </w:tcBorders>
            <w:shd w:val="pct10" w:color="auto" w:fill="FFFFFF"/>
            <w:noWrap w:val="0"/>
            <w:vAlign w:val="center"/>
          </w:tcPr>
          <w:p>
            <w:pPr>
              <w:pStyle w:val="765"/>
              <w:spacing w:line="240" w:lineRule="auto"/>
              <w:ind w:firstLine="0" w:firstLineChars="0"/>
              <w:jc w:val="center"/>
              <w:rPr>
                <w:rFonts w:ascii="宋体" w:hAnsi="宋体" w:eastAsia="宋体"/>
                <w:b/>
                <w:color w:val="auto"/>
                <w:sz w:val="22"/>
                <w:szCs w:val="22"/>
                <w:highlight w:val="none"/>
              </w:rPr>
            </w:pPr>
            <w:r>
              <w:rPr>
                <w:rFonts w:hint="eastAsia" w:ascii="宋体" w:hAnsi="宋体" w:eastAsia="宋体"/>
                <w:b/>
                <w:color w:val="auto"/>
                <w:sz w:val="22"/>
                <w:szCs w:val="22"/>
                <w:highlight w:val="none"/>
              </w:rPr>
              <w:t>成果</w:t>
            </w:r>
          </w:p>
          <w:p>
            <w:pPr>
              <w:pStyle w:val="765"/>
              <w:spacing w:line="240" w:lineRule="auto"/>
              <w:ind w:firstLine="0" w:firstLineChars="0"/>
              <w:jc w:val="center"/>
              <w:rPr>
                <w:rFonts w:ascii="宋体" w:hAnsi="宋体" w:eastAsia="宋体"/>
                <w:b/>
                <w:color w:val="auto"/>
                <w:sz w:val="22"/>
                <w:szCs w:val="22"/>
                <w:highlight w:val="none"/>
              </w:rPr>
            </w:pPr>
            <w:r>
              <w:rPr>
                <w:rFonts w:hint="eastAsia" w:ascii="宋体" w:hAnsi="宋体" w:eastAsia="宋体"/>
                <w:b/>
                <w:color w:val="auto"/>
                <w:sz w:val="22"/>
                <w:szCs w:val="22"/>
                <w:highlight w:val="none"/>
              </w:rPr>
              <w:t>数据集</w:t>
            </w:r>
          </w:p>
        </w:tc>
        <w:tc>
          <w:tcPr>
            <w:tcW w:w="1559" w:type="dxa"/>
            <w:tcBorders>
              <w:top w:val="single" w:color="000000" w:sz="8" w:space="0"/>
              <w:left w:val="single" w:color="000000" w:sz="8" w:space="0"/>
              <w:bottom w:val="single" w:color="000000" w:sz="8" w:space="0"/>
              <w:right w:val="single" w:color="000000" w:sz="8" w:space="0"/>
            </w:tcBorders>
            <w:shd w:val="pct10" w:color="auto" w:fill="FFFFFF"/>
            <w:noWrap w:val="0"/>
            <w:vAlign w:val="center"/>
          </w:tcPr>
          <w:p>
            <w:pPr>
              <w:pStyle w:val="765"/>
              <w:spacing w:line="240" w:lineRule="auto"/>
              <w:ind w:firstLine="0" w:firstLineChars="0"/>
              <w:jc w:val="center"/>
              <w:rPr>
                <w:rFonts w:ascii="宋体" w:hAnsi="宋体" w:eastAsia="宋体"/>
                <w:color w:val="auto"/>
                <w:sz w:val="22"/>
                <w:szCs w:val="22"/>
                <w:highlight w:val="none"/>
              </w:rPr>
            </w:pPr>
            <w:r>
              <w:rPr>
                <w:rFonts w:hint="eastAsia" w:ascii="宋体" w:hAnsi="宋体" w:eastAsia="宋体"/>
                <w:b/>
                <w:color w:val="auto"/>
                <w:sz w:val="22"/>
                <w:szCs w:val="22"/>
                <w:highlight w:val="none"/>
              </w:rPr>
              <w:t>内容</w:t>
            </w:r>
          </w:p>
        </w:tc>
        <w:tc>
          <w:tcPr>
            <w:tcW w:w="5288" w:type="dxa"/>
            <w:gridSpan w:val="4"/>
            <w:tcBorders>
              <w:top w:val="single" w:color="000000" w:sz="8" w:space="0"/>
              <w:left w:val="single" w:color="000000" w:sz="8" w:space="0"/>
              <w:bottom w:val="single" w:color="000000" w:sz="8" w:space="0"/>
              <w:right w:val="single" w:color="000000" w:sz="8" w:space="0"/>
            </w:tcBorders>
            <w:shd w:val="pct10" w:color="auto" w:fill="FFFFFF"/>
            <w:noWrap w:val="0"/>
            <w:vAlign w:val="center"/>
          </w:tcPr>
          <w:p>
            <w:pPr>
              <w:pStyle w:val="765"/>
              <w:spacing w:line="240" w:lineRule="auto"/>
              <w:ind w:firstLine="0" w:firstLineChars="0"/>
              <w:jc w:val="center"/>
              <w:rPr>
                <w:rFonts w:ascii="宋体" w:hAnsi="宋体" w:eastAsia="宋体"/>
                <w:color w:val="auto"/>
                <w:sz w:val="22"/>
                <w:szCs w:val="22"/>
                <w:highlight w:val="none"/>
              </w:rPr>
            </w:pPr>
            <w:r>
              <w:rPr>
                <w:rFonts w:hint="eastAsia" w:ascii="宋体" w:hAnsi="宋体" w:eastAsia="宋体"/>
                <w:b/>
                <w:color w:val="auto"/>
                <w:sz w:val="22"/>
                <w:szCs w:val="22"/>
                <w:highlight w:val="none"/>
              </w:rPr>
              <w:t>数据分层</w:t>
            </w:r>
          </w:p>
        </w:tc>
        <w:tc>
          <w:tcPr>
            <w:tcW w:w="713" w:type="dxa"/>
            <w:tcBorders>
              <w:top w:val="single" w:color="000000" w:sz="8" w:space="0"/>
              <w:left w:val="single" w:color="000000" w:sz="8" w:space="0"/>
              <w:bottom w:val="single" w:color="000000" w:sz="8" w:space="0"/>
              <w:right w:val="single" w:color="000000" w:sz="8" w:space="0"/>
            </w:tcBorders>
            <w:shd w:val="pct10" w:color="auto" w:fill="FFFFFF"/>
            <w:noWrap w:val="0"/>
            <w:vAlign w:val="center"/>
          </w:tcPr>
          <w:p>
            <w:pPr>
              <w:pStyle w:val="765"/>
              <w:spacing w:line="240" w:lineRule="auto"/>
              <w:ind w:firstLine="0" w:firstLineChars="0"/>
              <w:jc w:val="center"/>
              <w:rPr>
                <w:rFonts w:ascii="宋体" w:hAnsi="宋体" w:eastAsia="宋体"/>
                <w:color w:val="auto"/>
                <w:sz w:val="22"/>
                <w:szCs w:val="22"/>
                <w:highlight w:val="none"/>
              </w:rPr>
            </w:pPr>
            <w:r>
              <w:rPr>
                <w:rFonts w:hint="eastAsia" w:ascii="宋体" w:hAnsi="宋体" w:eastAsia="宋体"/>
                <w:b/>
                <w:color w:val="auto"/>
                <w:sz w:val="22"/>
                <w:szCs w:val="22"/>
                <w:highlight w:val="none"/>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42" w:type="dxa"/>
            <w:vMerge w:val="restart"/>
            <w:tcBorders>
              <w:top w:val="single" w:color="000000" w:sz="8" w:space="0"/>
              <w:left w:val="single" w:color="000000" w:sz="8" w:space="0"/>
              <w:right w:val="single" w:color="000000" w:sz="8" w:space="0"/>
            </w:tcBorders>
            <w:shd w:val="clear" w:color="auto" w:fill="FFFFFF"/>
            <w:noWrap w:val="0"/>
            <w:vAlign w:val="center"/>
          </w:tcPr>
          <w:p>
            <w:pPr>
              <w:jc w:val="center"/>
              <w:rPr>
                <w:rFonts w:ascii="宋体" w:hAnsi="宋体"/>
                <w:b/>
                <w:bCs/>
                <w:color w:val="auto"/>
                <w:sz w:val="22"/>
                <w:highlight w:val="none"/>
              </w:rPr>
            </w:pPr>
            <w:r>
              <w:rPr>
                <w:rFonts w:hint="eastAsia" w:ascii="宋体" w:hAnsi="宋体"/>
                <w:b/>
                <w:bCs/>
                <w:color w:val="auto"/>
                <w:sz w:val="22"/>
                <w:highlight w:val="none"/>
              </w:rPr>
              <w:t>温州市绿化资源普查成果20</w:t>
            </w:r>
            <w:r>
              <w:rPr>
                <w:rFonts w:ascii="宋体" w:hAnsi="宋体"/>
                <w:b/>
                <w:bCs/>
                <w:color w:val="auto"/>
                <w:sz w:val="22"/>
                <w:highlight w:val="none"/>
              </w:rPr>
              <w:t>21</w:t>
            </w:r>
            <w:r>
              <w:rPr>
                <w:rFonts w:hint="eastAsia" w:ascii="宋体" w:hAnsi="宋体"/>
                <w:b/>
                <w:bCs/>
                <w:color w:val="auto"/>
                <w:sz w:val="22"/>
                <w:highlight w:val="none"/>
              </w:rPr>
              <w:t>年更新.gdb</w:t>
            </w:r>
          </w:p>
        </w:tc>
        <w:tc>
          <w:tcPr>
            <w:tcW w:w="155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普查范围</w:t>
            </w:r>
          </w:p>
        </w:tc>
        <w:tc>
          <w:tcPr>
            <w:tcW w:w="5288" w:type="dxa"/>
            <w:gridSpan w:val="4"/>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温州市绿化资源普查</w:t>
            </w:r>
          </w:p>
          <w:p>
            <w:pPr>
              <w:jc w:val="center"/>
              <w:rPr>
                <w:rFonts w:ascii="宋体" w:hAnsi="宋体"/>
                <w:color w:val="auto"/>
                <w:sz w:val="22"/>
                <w:highlight w:val="none"/>
              </w:rPr>
            </w:pPr>
            <w:r>
              <w:rPr>
                <w:rFonts w:hint="eastAsia" w:ascii="宋体" w:hAnsi="宋体"/>
                <w:color w:val="auto"/>
                <w:sz w:val="22"/>
                <w:highlight w:val="none"/>
              </w:rPr>
              <w:t>范围</w:t>
            </w:r>
          </w:p>
        </w:tc>
        <w:tc>
          <w:tcPr>
            <w:tcW w:w="71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42" w:type="dxa"/>
            <w:vMerge w:val="continue"/>
            <w:tcBorders>
              <w:left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p>
        </w:tc>
        <w:tc>
          <w:tcPr>
            <w:tcW w:w="1559" w:type="dxa"/>
            <w:vMerge w:val="restart"/>
            <w:tcBorders>
              <w:left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绿地现状</w:t>
            </w:r>
          </w:p>
        </w:tc>
        <w:tc>
          <w:tcPr>
            <w:tcW w:w="1391" w:type="dxa"/>
            <w:vMerge w:val="restart"/>
            <w:tcBorders>
              <w:top w:val="single" w:color="000000" w:sz="8" w:space="0"/>
              <w:left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p>
          <w:p>
            <w:pPr>
              <w:jc w:val="center"/>
              <w:rPr>
                <w:rFonts w:ascii="宋体" w:hAnsi="宋体"/>
                <w:color w:val="auto"/>
                <w:sz w:val="22"/>
                <w:highlight w:val="none"/>
              </w:rPr>
            </w:pPr>
            <w:r>
              <w:rPr>
                <w:rFonts w:ascii="宋体" w:hAnsi="宋体"/>
                <w:color w:val="auto"/>
                <w:sz w:val="22"/>
                <w:highlight w:val="none"/>
              </w:rPr>
              <w:t>绿地现状</w:t>
            </w:r>
          </w:p>
          <w:p>
            <w:pPr>
              <w:rPr>
                <w:rFonts w:ascii="宋体" w:hAnsi="宋体"/>
                <w:color w:val="auto"/>
                <w:sz w:val="22"/>
                <w:highlight w:val="none"/>
              </w:rPr>
            </w:pPr>
          </w:p>
          <w:p>
            <w:pPr>
              <w:jc w:val="center"/>
              <w:rPr>
                <w:rFonts w:ascii="宋体" w:hAnsi="宋体"/>
                <w:color w:val="auto"/>
                <w:sz w:val="22"/>
                <w:highlight w:val="none"/>
              </w:rPr>
            </w:pPr>
          </w:p>
        </w:tc>
        <w:tc>
          <w:tcPr>
            <w:tcW w:w="129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公园绿地</w:t>
            </w:r>
          </w:p>
        </w:tc>
        <w:tc>
          <w:tcPr>
            <w:tcW w:w="2598"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w:t>
            </w:r>
          </w:p>
        </w:tc>
        <w:tc>
          <w:tcPr>
            <w:tcW w:w="71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42" w:type="dxa"/>
            <w:vMerge w:val="continue"/>
            <w:tcBorders>
              <w:left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p>
        </w:tc>
        <w:tc>
          <w:tcPr>
            <w:tcW w:w="1559" w:type="dxa"/>
            <w:vMerge w:val="continue"/>
            <w:tcBorders>
              <w:left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p>
        </w:tc>
        <w:tc>
          <w:tcPr>
            <w:tcW w:w="1391" w:type="dxa"/>
            <w:vMerge w:val="continue"/>
            <w:tcBorders>
              <w:left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p>
        </w:tc>
        <w:tc>
          <w:tcPr>
            <w:tcW w:w="129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防护绿地</w:t>
            </w:r>
          </w:p>
        </w:tc>
        <w:tc>
          <w:tcPr>
            <w:tcW w:w="2598"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w:t>
            </w:r>
          </w:p>
        </w:tc>
        <w:tc>
          <w:tcPr>
            <w:tcW w:w="71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42" w:type="dxa"/>
            <w:vMerge w:val="continue"/>
            <w:tcBorders>
              <w:left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p>
        </w:tc>
        <w:tc>
          <w:tcPr>
            <w:tcW w:w="1559" w:type="dxa"/>
            <w:vMerge w:val="continue"/>
            <w:tcBorders>
              <w:left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p>
        </w:tc>
        <w:tc>
          <w:tcPr>
            <w:tcW w:w="1391" w:type="dxa"/>
            <w:vMerge w:val="continue"/>
            <w:tcBorders>
              <w:left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p>
        </w:tc>
        <w:tc>
          <w:tcPr>
            <w:tcW w:w="129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广场用地</w:t>
            </w:r>
          </w:p>
        </w:tc>
        <w:tc>
          <w:tcPr>
            <w:tcW w:w="2598"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w:t>
            </w:r>
          </w:p>
        </w:tc>
        <w:tc>
          <w:tcPr>
            <w:tcW w:w="71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42" w:type="dxa"/>
            <w:vMerge w:val="continue"/>
            <w:tcBorders>
              <w:left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p>
        </w:tc>
        <w:tc>
          <w:tcPr>
            <w:tcW w:w="1559" w:type="dxa"/>
            <w:vMerge w:val="continue"/>
            <w:tcBorders>
              <w:left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p>
        </w:tc>
        <w:tc>
          <w:tcPr>
            <w:tcW w:w="1391" w:type="dxa"/>
            <w:vMerge w:val="continue"/>
            <w:tcBorders>
              <w:left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p>
        </w:tc>
        <w:tc>
          <w:tcPr>
            <w:tcW w:w="1299" w:type="dxa"/>
            <w:vMerge w:val="restart"/>
            <w:tcBorders>
              <w:top w:val="single" w:color="000000" w:sz="8" w:space="0"/>
              <w:left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附属绿地</w:t>
            </w:r>
          </w:p>
        </w:tc>
        <w:tc>
          <w:tcPr>
            <w:tcW w:w="12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居住绿地</w:t>
            </w:r>
          </w:p>
        </w:tc>
        <w:tc>
          <w:tcPr>
            <w:tcW w:w="136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w:t>
            </w:r>
          </w:p>
        </w:tc>
        <w:tc>
          <w:tcPr>
            <w:tcW w:w="713" w:type="dxa"/>
            <w:tcBorders>
              <w:top w:val="single" w:color="000000" w:sz="8" w:space="0"/>
              <w:left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42" w:type="dxa"/>
            <w:vMerge w:val="continue"/>
            <w:tcBorders>
              <w:left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p>
        </w:tc>
        <w:tc>
          <w:tcPr>
            <w:tcW w:w="1559" w:type="dxa"/>
            <w:vMerge w:val="continue"/>
            <w:tcBorders>
              <w:left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p>
        </w:tc>
        <w:tc>
          <w:tcPr>
            <w:tcW w:w="1391" w:type="dxa"/>
            <w:vMerge w:val="continue"/>
            <w:tcBorders>
              <w:left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p>
        </w:tc>
        <w:tc>
          <w:tcPr>
            <w:tcW w:w="1299" w:type="dxa"/>
            <w:vMerge w:val="continue"/>
            <w:tcBorders>
              <w:left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p>
        </w:tc>
        <w:tc>
          <w:tcPr>
            <w:tcW w:w="12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单位绿地</w:t>
            </w:r>
          </w:p>
        </w:tc>
        <w:tc>
          <w:tcPr>
            <w:tcW w:w="136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w:t>
            </w:r>
          </w:p>
        </w:tc>
        <w:tc>
          <w:tcPr>
            <w:tcW w:w="713" w:type="dxa"/>
            <w:tcBorders>
              <w:left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42" w:type="dxa"/>
            <w:vMerge w:val="continue"/>
            <w:tcBorders>
              <w:left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p>
        </w:tc>
        <w:tc>
          <w:tcPr>
            <w:tcW w:w="1559" w:type="dxa"/>
            <w:vMerge w:val="continue"/>
            <w:tcBorders>
              <w:left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p>
        </w:tc>
        <w:tc>
          <w:tcPr>
            <w:tcW w:w="1391" w:type="dxa"/>
            <w:vMerge w:val="continue"/>
            <w:tcBorders>
              <w:left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p>
        </w:tc>
        <w:tc>
          <w:tcPr>
            <w:tcW w:w="1299" w:type="dxa"/>
            <w:vMerge w:val="continue"/>
            <w:tcBorders>
              <w:left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p>
        </w:tc>
        <w:tc>
          <w:tcPr>
            <w:tcW w:w="1236" w:type="dxa"/>
            <w:vMerge w:val="restart"/>
            <w:tcBorders>
              <w:top w:val="single" w:color="000000" w:sz="8" w:space="0"/>
              <w:left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道路绿地</w:t>
            </w:r>
          </w:p>
        </w:tc>
        <w:tc>
          <w:tcPr>
            <w:tcW w:w="136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分车绿带</w:t>
            </w:r>
          </w:p>
        </w:tc>
        <w:tc>
          <w:tcPr>
            <w:tcW w:w="713" w:type="dxa"/>
            <w:tcBorders>
              <w:left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42" w:type="dxa"/>
            <w:vMerge w:val="continue"/>
            <w:tcBorders>
              <w:left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p>
        </w:tc>
        <w:tc>
          <w:tcPr>
            <w:tcW w:w="1559" w:type="dxa"/>
            <w:vMerge w:val="continue"/>
            <w:tcBorders>
              <w:left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p>
        </w:tc>
        <w:tc>
          <w:tcPr>
            <w:tcW w:w="1391" w:type="dxa"/>
            <w:vMerge w:val="continue"/>
            <w:tcBorders>
              <w:left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p>
        </w:tc>
        <w:tc>
          <w:tcPr>
            <w:tcW w:w="1299" w:type="dxa"/>
            <w:vMerge w:val="continue"/>
            <w:tcBorders>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p>
        </w:tc>
        <w:tc>
          <w:tcPr>
            <w:tcW w:w="1236" w:type="dxa"/>
            <w:vMerge w:val="continue"/>
            <w:tcBorders>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p>
        </w:tc>
        <w:tc>
          <w:tcPr>
            <w:tcW w:w="136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行道树</w:t>
            </w:r>
          </w:p>
        </w:tc>
        <w:tc>
          <w:tcPr>
            <w:tcW w:w="713" w:type="dxa"/>
            <w:tcBorders>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42" w:type="dxa"/>
            <w:vMerge w:val="continue"/>
            <w:tcBorders>
              <w:left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p>
        </w:tc>
        <w:tc>
          <w:tcPr>
            <w:tcW w:w="1559" w:type="dxa"/>
            <w:vMerge w:val="continue"/>
            <w:tcBorders>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p>
        </w:tc>
        <w:tc>
          <w:tcPr>
            <w:tcW w:w="1391" w:type="dxa"/>
            <w:vMerge w:val="continue"/>
            <w:tcBorders>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p>
        </w:tc>
        <w:tc>
          <w:tcPr>
            <w:tcW w:w="129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区域绿地</w:t>
            </w:r>
          </w:p>
        </w:tc>
        <w:tc>
          <w:tcPr>
            <w:tcW w:w="2598"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w:t>
            </w:r>
          </w:p>
        </w:tc>
        <w:tc>
          <w:tcPr>
            <w:tcW w:w="71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042" w:type="dxa"/>
            <w:vMerge w:val="continue"/>
            <w:tcBorders>
              <w:left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绿化覆盖</w:t>
            </w:r>
          </w:p>
        </w:tc>
        <w:tc>
          <w:tcPr>
            <w:tcW w:w="5288" w:type="dxa"/>
            <w:gridSpan w:val="4"/>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绿化覆盖</w:t>
            </w:r>
          </w:p>
        </w:tc>
        <w:tc>
          <w:tcPr>
            <w:tcW w:w="71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42" w:type="dxa"/>
            <w:vMerge w:val="continue"/>
            <w:tcBorders>
              <w:left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p>
        </w:tc>
        <w:tc>
          <w:tcPr>
            <w:tcW w:w="1559" w:type="dxa"/>
            <w:vMerge w:val="restart"/>
            <w:tcBorders>
              <w:top w:val="single" w:color="000000" w:sz="8" w:space="0"/>
              <w:left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古树名木</w:t>
            </w:r>
          </w:p>
        </w:tc>
        <w:tc>
          <w:tcPr>
            <w:tcW w:w="5288" w:type="dxa"/>
            <w:gridSpan w:val="4"/>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古树名木点</w:t>
            </w:r>
          </w:p>
        </w:tc>
        <w:tc>
          <w:tcPr>
            <w:tcW w:w="71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42" w:type="dxa"/>
            <w:vMerge w:val="continue"/>
            <w:tcBorders>
              <w:left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p>
        </w:tc>
        <w:tc>
          <w:tcPr>
            <w:tcW w:w="1559" w:type="dxa"/>
            <w:vMerge w:val="continue"/>
            <w:tcBorders>
              <w:left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p>
        </w:tc>
        <w:tc>
          <w:tcPr>
            <w:tcW w:w="5288" w:type="dxa"/>
            <w:gridSpan w:val="4"/>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古树名木覆盖面</w:t>
            </w:r>
          </w:p>
        </w:tc>
        <w:tc>
          <w:tcPr>
            <w:tcW w:w="71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42" w:type="dxa"/>
            <w:vMerge w:val="continue"/>
            <w:tcBorders>
              <w:left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p>
        </w:tc>
        <w:tc>
          <w:tcPr>
            <w:tcW w:w="1559" w:type="dxa"/>
            <w:vMerge w:val="continue"/>
            <w:tcBorders>
              <w:left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p>
        </w:tc>
        <w:tc>
          <w:tcPr>
            <w:tcW w:w="5288" w:type="dxa"/>
            <w:gridSpan w:val="4"/>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后备古树名木点</w:t>
            </w:r>
          </w:p>
        </w:tc>
        <w:tc>
          <w:tcPr>
            <w:tcW w:w="71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42" w:type="dxa"/>
            <w:vMerge w:val="continue"/>
            <w:tcBorders>
              <w:left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p>
        </w:tc>
        <w:tc>
          <w:tcPr>
            <w:tcW w:w="1559" w:type="dxa"/>
            <w:vMerge w:val="continue"/>
            <w:tcBorders>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p>
        </w:tc>
        <w:tc>
          <w:tcPr>
            <w:tcW w:w="5288" w:type="dxa"/>
            <w:gridSpan w:val="4"/>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后备古树名木覆盖面</w:t>
            </w:r>
          </w:p>
        </w:tc>
        <w:tc>
          <w:tcPr>
            <w:tcW w:w="71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42" w:type="dxa"/>
            <w:vMerge w:val="continue"/>
            <w:tcBorders>
              <w:left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p>
        </w:tc>
        <w:tc>
          <w:tcPr>
            <w:tcW w:w="1559" w:type="dxa"/>
            <w:vMerge w:val="restart"/>
            <w:tcBorders>
              <w:top w:val="single" w:color="000000" w:sz="8" w:space="0"/>
              <w:left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绿地统计辅助图斑</w:t>
            </w:r>
          </w:p>
        </w:tc>
        <w:tc>
          <w:tcPr>
            <w:tcW w:w="5288" w:type="dxa"/>
            <w:gridSpan w:val="4"/>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居住区面</w:t>
            </w:r>
          </w:p>
        </w:tc>
        <w:tc>
          <w:tcPr>
            <w:tcW w:w="71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42" w:type="dxa"/>
            <w:vMerge w:val="continue"/>
            <w:tcBorders>
              <w:left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p>
        </w:tc>
        <w:tc>
          <w:tcPr>
            <w:tcW w:w="1559" w:type="dxa"/>
            <w:vMerge w:val="continue"/>
            <w:tcBorders>
              <w:left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p>
        </w:tc>
        <w:tc>
          <w:tcPr>
            <w:tcW w:w="5288" w:type="dxa"/>
            <w:gridSpan w:val="4"/>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公共服务单位面</w:t>
            </w:r>
          </w:p>
        </w:tc>
        <w:tc>
          <w:tcPr>
            <w:tcW w:w="71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42" w:type="dxa"/>
            <w:vMerge w:val="continue"/>
            <w:tcBorders>
              <w:left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p>
        </w:tc>
        <w:tc>
          <w:tcPr>
            <w:tcW w:w="1559" w:type="dxa"/>
            <w:vMerge w:val="continue"/>
            <w:tcBorders>
              <w:left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p>
        </w:tc>
        <w:tc>
          <w:tcPr>
            <w:tcW w:w="5288" w:type="dxa"/>
            <w:gridSpan w:val="4"/>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道路面</w:t>
            </w:r>
          </w:p>
        </w:tc>
        <w:tc>
          <w:tcPr>
            <w:tcW w:w="71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42" w:type="dxa"/>
            <w:vMerge w:val="continue"/>
            <w:tcBorders>
              <w:left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p>
        </w:tc>
        <w:tc>
          <w:tcPr>
            <w:tcW w:w="1559" w:type="dxa"/>
            <w:vMerge w:val="continue"/>
            <w:tcBorders>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p>
        </w:tc>
        <w:tc>
          <w:tcPr>
            <w:tcW w:w="5288" w:type="dxa"/>
            <w:gridSpan w:val="4"/>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ascii="宋体" w:hAnsi="宋体"/>
                <w:color w:val="auto"/>
                <w:sz w:val="22"/>
                <w:highlight w:val="none"/>
              </w:rPr>
              <w:t>人行道</w:t>
            </w:r>
            <w:r>
              <w:rPr>
                <w:rFonts w:hint="eastAsia" w:ascii="宋体" w:hAnsi="宋体"/>
                <w:color w:val="auto"/>
                <w:sz w:val="22"/>
                <w:highlight w:val="none"/>
              </w:rPr>
              <w:t>、</w:t>
            </w:r>
            <w:r>
              <w:rPr>
                <w:rFonts w:ascii="宋体" w:hAnsi="宋体"/>
                <w:color w:val="auto"/>
                <w:sz w:val="22"/>
                <w:highlight w:val="none"/>
              </w:rPr>
              <w:t>自行车道线</w:t>
            </w:r>
          </w:p>
        </w:tc>
        <w:tc>
          <w:tcPr>
            <w:tcW w:w="71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42" w:type="dxa"/>
            <w:vMerge w:val="continue"/>
            <w:tcBorders>
              <w:left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p>
        </w:tc>
        <w:tc>
          <w:tcPr>
            <w:tcW w:w="1559" w:type="dxa"/>
            <w:vMerge w:val="restar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城市公园</w:t>
            </w:r>
          </w:p>
        </w:tc>
        <w:tc>
          <w:tcPr>
            <w:tcW w:w="5288" w:type="dxa"/>
            <w:gridSpan w:val="4"/>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公园范围面</w:t>
            </w:r>
          </w:p>
        </w:tc>
        <w:tc>
          <w:tcPr>
            <w:tcW w:w="71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42" w:type="dxa"/>
            <w:vMerge w:val="continue"/>
            <w:tcBorders>
              <w:left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p>
        </w:tc>
        <w:tc>
          <w:tcPr>
            <w:tcW w:w="1559"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p>
        </w:tc>
        <w:tc>
          <w:tcPr>
            <w:tcW w:w="5288" w:type="dxa"/>
            <w:gridSpan w:val="4"/>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主要公园精细图斑</w:t>
            </w:r>
          </w:p>
        </w:tc>
        <w:tc>
          <w:tcPr>
            <w:tcW w:w="71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42" w:type="dxa"/>
            <w:vMerge w:val="continue"/>
            <w:tcBorders>
              <w:left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p>
        </w:tc>
        <w:tc>
          <w:tcPr>
            <w:tcW w:w="1559"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p>
        </w:tc>
        <w:tc>
          <w:tcPr>
            <w:tcW w:w="5288" w:type="dxa"/>
            <w:gridSpan w:val="4"/>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公园配套设施</w:t>
            </w:r>
          </w:p>
        </w:tc>
        <w:tc>
          <w:tcPr>
            <w:tcW w:w="71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42" w:type="dxa"/>
            <w:vMerge w:val="continue"/>
            <w:tcBorders>
              <w:left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p>
        </w:tc>
        <w:tc>
          <w:tcPr>
            <w:tcW w:w="1559" w:type="dxa"/>
            <w:vMerge w:val="restart"/>
            <w:tcBorders>
              <w:top w:val="single" w:color="000000" w:sz="8" w:space="0"/>
              <w:left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ascii="宋体" w:hAnsi="宋体"/>
                <w:color w:val="auto"/>
                <w:sz w:val="22"/>
                <w:highlight w:val="none"/>
              </w:rPr>
              <w:t>行道树</w:t>
            </w:r>
          </w:p>
        </w:tc>
        <w:tc>
          <w:tcPr>
            <w:tcW w:w="5288" w:type="dxa"/>
            <w:gridSpan w:val="4"/>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行道树</w:t>
            </w:r>
          </w:p>
        </w:tc>
        <w:tc>
          <w:tcPr>
            <w:tcW w:w="71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42" w:type="dxa"/>
            <w:vMerge w:val="continue"/>
            <w:tcBorders>
              <w:left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p>
        </w:tc>
        <w:tc>
          <w:tcPr>
            <w:tcW w:w="1559" w:type="dxa"/>
            <w:vMerge w:val="continue"/>
            <w:tcBorders>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p>
        </w:tc>
        <w:tc>
          <w:tcPr>
            <w:tcW w:w="5288" w:type="dxa"/>
            <w:gridSpan w:val="4"/>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问题行道树</w:t>
            </w:r>
          </w:p>
        </w:tc>
        <w:tc>
          <w:tcPr>
            <w:tcW w:w="71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42" w:type="dxa"/>
            <w:vMerge w:val="continue"/>
            <w:tcBorders>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p>
        </w:tc>
        <w:tc>
          <w:tcPr>
            <w:tcW w:w="1559" w:type="dxa"/>
            <w:tcBorders>
              <w:top w:val="single" w:color="000000" w:sz="8" w:space="0"/>
              <w:left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ascii="宋体" w:hAnsi="宋体"/>
                <w:color w:val="auto"/>
                <w:sz w:val="22"/>
                <w:highlight w:val="none"/>
              </w:rPr>
              <w:t>城市绿道</w:t>
            </w:r>
          </w:p>
        </w:tc>
        <w:tc>
          <w:tcPr>
            <w:tcW w:w="5288" w:type="dxa"/>
            <w:gridSpan w:val="4"/>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城市绿道</w:t>
            </w:r>
          </w:p>
        </w:tc>
        <w:tc>
          <w:tcPr>
            <w:tcW w:w="71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color w:val="auto"/>
                <w:sz w:val="22"/>
                <w:highlight w:val="none"/>
              </w:rPr>
            </w:pPr>
            <w:r>
              <w:rPr>
                <w:rFonts w:hint="eastAsia" w:ascii="宋体" w:hAnsi="宋体"/>
                <w:color w:val="auto"/>
                <w:sz w:val="22"/>
                <w:highlight w:val="none"/>
              </w:rPr>
              <w:t>线</w:t>
            </w:r>
          </w:p>
        </w:tc>
      </w:tr>
    </w:tbl>
    <w:p>
      <w:pPr>
        <w:pStyle w:val="762"/>
        <w:ind w:firstLine="440"/>
        <w:rPr>
          <w:rFonts w:hint="eastAsia" w:ascii="宋体" w:hAnsi="宋体" w:cs="宋体"/>
          <w:color w:val="auto"/>
          <w:sz w:val="22"/>
          <w:szCs w:val="22"/>
          <w:highlight w:val="none"/>
        </w:rPr>
      </w:pPr>
    </w:p>
    <w:p>
      <w:pPr>
        <w:pStyle w:val="761"/>
        <w:spacing w:before="156" w:after="156"/>
        <w:ind w:left="0" w:firstLine="0"/>
        <w:rPr>
          <w:rFonts w:ascii="宋体" w:hAnsi="宋体" w:eastAsia="宋体"/>
          <w:bCs w:val="0"/>
          <w:color w:val="auto"/>
          <w:sz w:val="22"/>
          <w:szCs w:val="22"/>
          <w:highlight w:val="none"/>
        </w:rPr>
      </w:pPr>
      <w:bookmarkStart w:id="37" w:name="_Toc7094920"/>
      <w:r>
        <w:rPr>
          <w:rFonts w:hint="eastAsia" w:ascii="宋体" w:hAnsi="宋体" w:eastAsia="宋体"/>
          <w:bCs w:val="0"/>
          <w:color w:val="auto"/>
          <w:sz w:val="22"/>
          <w:szCs w:val="22"/>
          <w:highlight w:val="none"/>
        </w:rPr>
        <w:t>项目</w:t>
      </w:r>
      <w:bookmarkEnd w:id="37"/>
      <w:r>
        <w:rPr>
          <w:rFonts w:hint="eastAsia" w:ascii="宋体" w:hAnsi="宋体" w:eastAsia="宋体"/>
          <w:bCs w:val="0"/>
          <w:color w:val="auto"/>
          <w:sz w:val="22"/>
          <w:szCs w:val="22"/>
          <w:highlight w:val="none"/>
        </w:rPr>
        <w:t>工期要求</w:t>
      </w:r>
    </w:p>
    <w:p>
      <w:pPr>
        <w:pStyle w:val="762"/>
        <w:ind w:firstLine="440"/>
        <w:jc w:val="left"/>
        <w:rPr>
          <w:rFonts w:ascii="宋体" w:hAnsi="宋体"/>
          <w:color w:val="auto"/>
          <w:sz w:val="22"/>
          <w:szCs w:val="22"/>
          <w:highlight w:val="none"/>
        </w:rPr>
      </w:pPr>
      <w:r>
        <w:rPr>
          <w:rFonts w:hint="eastAsia" w:ascii="宋体" w:hAnsi="宋体"/>
          <w:color w:val="auto"/>
          <w:sz w:val="22"/>
          <w:szCs w:val="22"/>
          <w:highlight w:val="none"/>
        </w:rPr>
        <w:t>（1）</w:t>
      </w:r>
      <w:r>
        <w:rPr>
          <w:rFonts w:ascii="宋体" w:hAnsi="宋体"/>
          <w:color w:val="auto"/>
          <w:sz w:val="22"/>
          <w:szCs w:val="22"/>
          <w:highlight w:val="none"/>
        </w:rPr>
        <w:t>2022</w:t>
      </w:r>
      <w:r>
        <w:rPr>
          <w:rFonts w:hint="eastAsia" w:ascii="宋体" w:hAnsi="宋体"/>
          <w:color w:val="auto"/>
          <w:sz w:val="22"/>
          <w:szCs w:val="22"/>
          <w:highlight w:val="none"/>
        </w:rPr>
        <w:t>年</w:t>
      </w:r>
      <w:r>
        <w:rPr>
          <w:rFonts w:ascii="宋体" w:hAnsi="宋体"/>
          <w:color w:val="auto"/>
          <w:sz w:val="22"/>
          <w:szCs w:val="22"/>
          <w:highlight w:val="none"/>
        </w:rPr>
        <w:t>9</w:t>
      </w:r>
      <w:r>
        <w:rPr>
          <w:rFonts w:hint="eastAsia" w:ascii="宋体" w:hAnsi="宋体"/>
          <w:color w:val="auto"/>
          <w:sz w:val="22"/>
          <w:szCs w:val="22"/>
          <w:highlight w:val="none"/>
        </w:rPr>
        <w:t>月</w:t>
      </w:r>
      <w:r>
        <w:rPr>
          <w:rFonts w:ascii="宋体" w:hAnsi="宋体"/>
          <w:color w:val="auto"/>
          <w:sz w:val="22"/>
          <w:szCs w:val="22"/>
          <w:highlight w:val="none"/>
        </w:rPr>
        <w:t>30</w:t>
      </w:r>
      <w:r>
        <w:rPr>
          <w:rFonts w:hint="eastAsia" w:ascii="宋体" w:hAnsi="宋体"/>
          <w:color w:val="auto"/>
          <w:sz w:val="22"/>
          <w:szCs w:val="22"/>
          <w:highlight w:val="none"/>
        </w:rPr>
        <w:t>日前，需完成东瓯大道、瓯海大道绿地测量工作，出具成果报告和图件，并将数据成果更新至系统平台。</w:t>
      </w:r>
    </w:p>
    <w:p>
      <w:pPr>
        <w:pStyle w:val="762"/>
        <w:ind w:firstLine="440"/>
        <w:jc w:val="left"/>
        <w:rPr>
          <w:rFonts w:ascii="宋体" w:hAnsi="宋体"/>
          <w:color w:val="auto"/>
          <w:sz w:val="22"/>
          <w:szCs w:val="22"/>
          <w:highlight w:val="none"/>
        </w:rPr>
      </w:pPr>
      <w:r>
        <w:rPr>
          <w:rFonts w:hint="eastAsia" w:ascii="宋体" w:hAnsi="宋体"/>
          <w:color w:val="auto"/>
          <w:sz w:val="22"/>
          <w:szCs w:val="22"/>
          <w:highlight w:val="none"/>
        </w:rPr>
        <w:t>（2）2</w:t>
      </w:r>
      <w:r>
        <w:rPr>
          <w:rFonts w:ascii="宋体" w:hAnsi="宋体"/>
          <w:color w:val="auto"/>
          <w:sz w:val="22"/>
          <w:szCs w:val="22"/>
          <w:highlight w:val="none"/>
        </w:rPr>
        <w:t>022年</w:t>
      </w:r>
      <w:r>
        <w:rPr>
          <w:rFonts w:hint="eastAsia" w:ascii="宋体" w:hAnsi="宋体"/>
          <w:color w:val="auto"/>
          <w:sz w:val="22"/>
          <w:szCs w:val="22"/>
          <w:highlight w:val="none"/>
        </w:rPr>
        <w:t>1</w:t>
      </w:r>
      <w:r>
        <w:rPr>
          <w:rFonts w:ascii="宋体" w:hAnsi="宋体"/>
          <w:color w:val="auto"/>
          <w:sz w:val="22"/>
          <w:szCs w:val="22"/>
          <w:highlight w:val="none"/>
        </w:rPr>
        <w:t>0月30日前</w:t>
      </w:r>
      <w:r>
        <w:rPr>
          <w:rFonts w:hint="eastAsia" w:ascii="宋体" w:hAnsi="宋体"/>
          <w:color w:val="auto"/>
          <w:sz w:val="22"/>
          <w:szCs w:val="22"/>
          <w:highlight w:val="none"/>
        </w:rPr>
        <w:t>，需完成温州市区绿化资源数据动态更新工作，并经浙江省测绘质量检验中心质量检验合格。</w:t>
      </w:r>
    </w:p>
    <w:p>
      <w:pPr>
        <w:pStyle w:val="762"/>
        <w:ind w:firstLine="440"/>
        <w:jc w:val="left"/>
        <w:rPr>
          <w:rFonts w:ascii="宋体" w:hAnsi="宋体"/>
          <w:color w:val="auto"/>
          <w:sz w:val="22"/>
          <w:szCs w:val="22"/>
          <w:highlight w:val="none"/>
        </w:rPr>
      </w:pPr>
      <w:r>
        <w:rPr>
          <w:rFonts w:hint="eastAsia" w:ascii="宋体" w:hAnsi="宋体"/>
          <w:color w:val="auto"/>
          <w:sz w:val="22"/>
          <w:szCs w:val="22"/>
          <w:highlight w:val="none"/>
        </w:rPr>
        <w:t>（3）2</w:t>
      </w:r>
      <w:r>
        <w:rPr>
          <w:rFonts w:ascii="宋体" w:hAnsi="宋体"/>
          <w:color w:val="auto"/>
          <w:sz w:val="22"/>
          <w:szCs w:val="22"/>
          <w:highlight w:val="none"/>
        </w:rPr>
        <w:t>02</w:t>
      </w:r>
      <w:r>
        <w:rPr>
          <w:rFonts w:hint="eastAsia" w:ascii="宋体" w:hAnsi="宋体"/>
          <w:color w:val="auto"/>
          <w:sz w:val="22"/>
          <w:szCs w:val="22"/>
          <w:highlight w:val="none"/>
          <w:lang w:val="en-US" w:eastAsia="zh-CN"/>
        </w:rPr>
        <w:t>2</w:t>
      </w:r>
      <w:r>
        <w:rPr>
          <w:rFonts w:ascii="宋体" w:hAnsi="宋体"/>
          <w:color w:val="auto"/>
          <w:sz w:val="22"/>
          <w:szCs w:val="22"/>
          <w:highlight w:val="none"/>
        </w:rPr>
        <w:t>年1</w:t>
      </w:r>
      <w:r>
        <w:rPr>
          <w:rFonts w:hint="eastAsia" w:ascii="宋体" w:hAnsi="宋体"/>
          <w:color w:val="auto"/>
          <w:sz w:val="22"/>
          <w:szCs w:val="22"/>
          <w:highlight w:val="none"/>
          <w:lang w:val="en-US" w:eastAsia="zh-CN"/>
        </w:rPr>
        <w:t>1</w:t>
      </w:r>
      <w:r>
        <w:rPr>
          <w:rFonts w:ascii="宋体" w:hAnsi="宋体"/>
          <w:color w:val="auto"/>
          <w:sz w:val="22"/>
          <w:szCs w:val="22"/>
          <w:highlight w:val="none"/>
        </w:rPr>
        <w:t>月15日前</w:t>
      </w:r>
      <w:r>
        <w:rPr>
          <w:rFonts w:hint="eastAsia" w:ascii="宋体" w:hAnsi="宋体"/>
          <w:color w:val="auto"/>
          <w:sz w:val="22"/>
          <w:szCs w:val="22"/>
          <w:highlight w:val="none"/>
        </w:rPr>
        <w:t>，需完成系统软件开发、系统部署、系统培训等工作；完成初步验收，上线试运行。其中系统运行维护、网络租赁及硬件维护工作需维护至2</w:t>
      </w:r>
      <w:r>
        <w:rPr>
          <w:rFonts w:ascii="宋体" w:hAnsi="宋体"/>
          <w:color w:val="auto"/>
          <w:sz w:val="22"/>
          <w:szCs w:val="22"/>
          <w:highlight w:val="none"/>
        </w:rPr>
        <w:t>022年</w:t>
      </w:r>
      <w:r>
        <w:rPr>
          <w:rFonts w:hint="eastAsia" w:ascii="宋体" w:hAnsi="宋体"/>
          <w:color w:val="auto"/>
          <w:sz w:val="22"/>
          <w:szCs w:val="22"/>
          <w:highlight w:val="none"/>
        </w:rPr>
        <w:t>1</w:t>
      </w:r>
      <w:r>
        <w:rPr>
          <w:rFonts w:ascii="宋体" w:hAnsi="宋体"/>
          <w:color w:val="auto"/>
          <w:sz w:val="22"/>
          <w:szCs w:val="22"/>
          <w:highlight w:val="none"/>
        </w:rPr>
        <w:t>2月</w:t>
      </w:r>
      <w:r>
        <w:rPr>
          <w:rFonts w:hint="eastAsia" w:ascii="宋体" w:hAnsi="宋体"/>
          <w:color w:val="auto"/>
          <w:sz w:val="22"/>
          <w:szCs w:val="22"/>
          <w:highlight w:val="none"/>
        </w:rPr>
        <w:t>3</w:t>
      </w:r>
      <w:r>
        <w:rPr>
          <w:rFonts w:ascii="宋体" w:hAnsi="宋体"/>
          <w:color w:val="auto"/>
          <w:sz w:val="22"/>
          <w:szCs w:val="22"/>
          <w:highlight w:val="none"/>
        </w:rPr>
        <w:t>1日</w:t>
      </w:r>
      <w:r>
        <w:rPr>
          <w:rFonts w:hint="eastAsia" w:ascii="宋体" w:hAnsi="宋体"/>
          <w:color w:val="auto"/>
          <w:sz w:val="22"/>
          <w:szCs w:val="22"/>
          <w:highlight w:val="none"/>
        </w:rPr>
        <w:t>，涉绿工程竣工成果动态更新工作需维护至2</w:t>
      </w:r>
      <w:r>
        <w:rPr>
          <w:rFonts w:ascii="宋体" w:hAnsi="宋体"/>
          <w:color w:val="auto"/>
          <w:sz w:val="22"/>
          <w:szCs w:val="22"/>
          <w:highlight w:val="none"/>
        </w:rPr>
        <w:t>023年</w:t>
      </w:r>
      <w:r>
        <w:rPr>
          <w:rFonts w:hint="eastAsia" w:ascii="宋体" w:hAnsi="宋体"/>
          <w:color w:val="auto"/>
          <w:sz w:val="22"/>
          <w:szCs w:val="22"/>
          <w:highlight w:val="none"/>
        </w:rPr>
        <w:t>4</w:t>
      </w:r>
      <w:r>
        <w:rPr>
          <w:rFonts w:ascii="宋体" w:hAnsi="宋体"/>
          <w:color w:val="auto"/>
          <w:sz w:val="22"/>
          <w:szCs w:val="22"/>
          <w:highlight w:val="none"/>
        </w:rPr>
        <w:t>月</w:t>
      </w:r>
      <w:r>
        <w:rPr>
          <w:rFonts w:hint="eastAsia" w:ascii="宋体" w:hAnsi="宋体"/>
          <w:color w:val="auto"/>
          <w:sz w:val="22"/>
          <w:szCs w:val="22"/>
          <w:highlight w:val="none"/>
        </w:rPr>
        <w:t>3</w:t>
      </w:r>
      <w:r>
        <w:rPr>
          <w:rFonts w:ascii="宋体" w:hAnsi="宋体"/>
          <w:color w:val="auto"/>
          <w:sz w:val="22"/>
          <w:szCs w:val="22"/>
          <w:highlight w:val="none"/>
        </w:rPr>
        <w:t>0日</w:t>
      </w:r>
      <w:r>
        <w:rPr>
          <w:rFonts w:hint="eastAsia" w:ascii="宋体" w:hAnsi="宋体"/>
          <w:color w:val="auto"/>
          <w:sz w:val="22"/>
          <w:szCs w:val="22"/>
          <w:highlight w:val="none"/>
        </w:rPr>
        <w:t>。</w:t>
      </w:r>
    </w:p>
    <w:p>
      <w:pPr>
        <w:pStyle w:val="762"/>
        <w:ind w:firstLine="440"/>
        <w:rPr>
          <w:rFonts w:ascii="宋体" w:hAnsi="宋体"/>
          <w:bCs/>
          <w:color w:val="auto"/>
          <w:sz w:val="22"/>
          <w:szCs w:val="22"/>
          <w:highlight w:val="none"/>
        </w:rPr>
      </w:pPr>
      <w:r>
        <w:rPr>
          <w:rFonts w:hint="eastAsia" w:ascii="宋体" w:hAnsi="宋体"/>
          <w:color w:val="auto"/>
          <w:sz w:val="22"/>
          <w:szCs w:val="22"/>
          <w:highlight w:val="none"/>
        </w:rPr>
        <w:t>以上工作</w:t>
      </w:r>
      <w:r>
        <w:rPr>
          <w:rFonts w:hint="eastAsia" w:ascii="宋体" w:hAnsi="宋体"/>
          <w:bCs/>
          <w:color w:val="auto"/>
          <w:sz w:val="22"/>
          <w:szCs w:val="22"/>
          <w:highlight w:val="none"/>
        </w:rPr>
        <w:t>如不能按时完成，采购方将根据合同约定，对成交供应商予以经济处罚，一切返工费用及经济损失均由成交供应商承担。</w:t>
      </w:r>
    </w:p>
    <w:p>
      <w:pPr>
        <w:pStyle w:val="762"/>
        <w:ind w:firstLine="0" w:firstLineChars="0"/>
        <w:jc w:val="left"/>
        <w:rPr>
          <w:rFonts w:hint="eastAsia" w:ascii="宋体" w:hAnsi="宋体"/>
          <w:bCs/>
          <w:color w:val="auto"/>
          <w:sz w:val="22"/>
          <w:szCs w:val="22"/>
          <w:highlight w:val="none"/>
        </w:rPr>
      </w:pPr>
    </w:p>
    <w:p>
      <w:pPr>
        <w:pStyle w:val="761"/>
        <w:spacing w:before="156" w:after="156"/>
        <w:ind w:left="0" w:firstLine="0"/>
        <w:rPr>
          <w:rFonts w:ascii="宋体" w:hAnsi="宋体" w:eastAsia="宋体"/>
          <w:bCs w:val="0"/>
          <w:color w:val="auto"/>
          <w:sz w:val="22"/>
          <w:szCs w:val="22"/>
          <w:highlight w:val="none"/>
        </w:rPr>
      </w:pPr>
      <w:r>
        <w:rPr>
          <w:rFonts w:hint="eastAsia" w:ascii="宋体" w:hAnsi="宋体" w:eastAsia="宋体"/>
          <w:bCs w:val="0"/>
          <w:color w:val="auto"/>
          <w:sz w:val="22"/>
          <w:szCs w:val="22"/>
          <w:highlight w:val="none"/>
        </w:rPr>
        <w:t>其他要求</w:t>
      </w:r>
    </w:p>
    <w:p>
      <w:pPr>
        <w:spacing w:line="360" w:lineRule="auto"/>
        <w:ind w:firstLine="440" w:firstLineChars="200"/>
        <w:rPr>
          <w:rFonts w:ascii="宋体" w:hAnsi="宋体"/>
          <w:bCs/>
          <w:color w:val="auto"/>
          <w:sz w:val="22"/>
          <w:szCs w:val="22"/>
          <w:highlight w:val="none"/>
        </w:rPr>
      </w:pPr>
      <w:r>
        <w:rPr>
          <w:rFonts w:hint="eastAsia" w:ascii="宋体" w:hAnsi="宋体"/>
          <w:bCs/>
          <w:color w:val="auto"/>
          <w:sz w:val="22"/>
          <w:szCs w:val="22"/>
          <w:highlight w:val="none"/>
        </w:rPr>
        <w:t>（</w:t>
      </w:r>
      <w:r>
        <w:rPr>
          <w:rFonts w:ascii="宋体" w:hAnsi="宋体"/>
          <w:bCs/>
          <w:color w:val="auto"/>
          <w:sz w:val="22"/>
          <w:szCs w:val="22"/>
          <w:highlight w:val="none"/>
        </w:rPr>
        <w:t>1</w:t>
      </w:r>
      <w:r>
        <w:rPr>
          <w:rFonts w:hint="eastAsia" w:ascii="宋体" w:hAnsi="宋体"/>
          <w:bCs/>
          <w:color w:val="auto"/>
          <w:sz w:val="22"/>
          <w:szCs w:val="22"/>
          <w:highlight w:val="none"/>
        </w:rPr>
        <w:t>）项目实施过程中，中标供应商应自行与相关部门协商，调取调查需收集</w:t>
      </w:r>
      <w:r>
        <w:rPr>
          <w:rFonts w:ascii="宋体" w:hAnsi="宋体"/>
          <w:bCs/>
          <w:color w:val="auto"/>
          <w:sz w:val="22"/>
          <w:szCs w:val="22"/>
          <w:highlight w:val="none"/>
        </w:rPr>
        <w:t>的</w:t>
      </w:r>
      <w:r>
        <w:rPr>
          <w:rFonts w:hint="eastAsia" w:ascii="宋体" w:hAnsi="宋体"/>
          <w:bCs/>
          <w:color w:val="auto"/>
          <w:sz w:val="22"/>
          <w:szCs w:val="22"/>
          <w:highlight w:val="none"/>
        </w:rPr>
        <w:t>相关数据，</w:t>
      </w:r>
      <w:r>
        <w:rPr>
          <w:rFonts w:ascii="宋体" w:hAnsi="宋体"/>
          <w:bCs/>
          <w:color w:val="auto"/>
          <w:sz w:val="22"/>
          <w:szCs w:val="22"/>
          <w:highlight w:val="none"/>
        </w:rPr>
        <w:t>相关费用须供应商自行承担</w:t>
      </w:r>
      <w:r>
        <w:rPr>
          <w:rFonts w:hint="eastAsia" w:ascii="宋体" w:hAnsi="宋体"/>
          <w:bCs/>
          <w:color w:val="auto"/>
          <w:sz w:val="22"/>
          <w:szCs w:val="22"/>
          <w:highlight w:val="none"/>
        </w:rPr>
        <w:t>。</w:t>
      </w:r>
    </w:p>
    <w:p>
      <w:pPr>
        <w:spacing w:line="360" w:lineRule="auto"/>
        <w:ind w:firstLine="440" w:firstLineChars="200"/>
        <w:rPr>
          <w:rFonts w:ascii="宋体" w:hAnsi="宋体"/>
          <w:bCs/>
          <w:color w:val="auto"/>
          <w:sz w:val="22"/>
          <w:szCs w:val="22"/>
          <w:highlight w:val="none"/>
        </w:rPr>
      </w:pPr>
      <w:r>
        <w:rPr>
          <w:rFonts w:hint="eastAsia" w:ascii="宋体" w:hAnsi="宋体"/>
          <w:bCs/>
          <w:color w:val="auto"/>
          <w:sz w:val="22"/>
          <w:szCs w:val="22"/>
          <w:highlight w:val="none"/>
        </w:rPr>
        <w:t>（</w:t>
      </w:r>
      <w:r>
        <w:rPr>
          <w:rFonts w:ascii="宋体" w:hAnsi="宋体"/>
          <w:bCs/>
          <w:color w:val="auto"/>
          <w:sz w:val="22"/>
          <w:szCs w:val="22"/>
          <w:highlight w:val="none"/>
        </w:rPr>
        <w:t>2</w:t>
      </w:r>
      <w:r>
        <w:rPr>
          <w:rFonts w:hint="eastAsia" w:ascii="宋体" w:hAnsi="宋体"/>
          <w:bCs/>
          <w:color w:val="auto"/>
          <w:sz w:val="22"/>
          <w:szCs w:val="22"/>
          <w:highlight w:val="none"/>
        </w:rPr>
        <w:t>）建立全面的涉密成果保密管理制度，做好相关涉密数据的保密监管，落实保密责任和保密措施，防止失泄密事件发生，确保涉密成果安全。</w:t>
      </w:r>
    </w:p>
    <w:p>
      <w:pPr>
        <w:spacing w:line="360" w:lineRule="auto"/>
        <w:ind w:firstLine="440" w:firstLineChars="200"/>
        <w:rPr>
          <w:rFonts w:ascii="宋体" w:hAnsi="宋体"/>
          <w:bCs/>
          <w:color w:val="auto"/>
          <w:sz w:val="22"/>
          <w:szCs w:val="22"/>
          <w:highlight w:val="none"/>
        </w:rPr>
      </w:pPr>
      <w:r>
        <w:rPr>
          <w:rFonts w:hint="eastAsia" w:ascii="宋体" w:hAnsi="宋体"/>
          <w:bCs/>
          <w:color w:val="auto"/>
          <w:sz w:val="22"/>
          <w:szCs w:val="22"/>
          <w:highlight w:val="none"/>
        </w:rPr>
        <w:t>（</w:t>
      </w:r>
      <w:r>
        <w:rPr>
          <w:rFonts w:ascii="宋体" w:hAnsi="宋体"/>
          <w:bCs/>
          <w:color w:val="auto"/>
          <w:sz w:val="22"/>
          <w:szCs w:val="22"/>
          <w:highlight w:val="none"/>
        </w:rPr>
        <w:t>3</w:t>
      </w:r>
      <w:r>
        <w:rPr>
          <w:rFonts w:hint="eastAsia" w:ascii="宋体" w:hAnsi="宋体"/>
          <w:bCs/>
          <w:color w:val="auto"/>
          <w:sz w:val="22"/>
          <w:szCs w:val="22"/>
          <w:highlight w:val="none"/>
        </w:rPr>
        <w:t>）建立完善的服务管理机制，做到服务责任到人，能与招标方进行通畅交流。</w:t>
      </w:r>
    </w:p>
    <w:p>
      <w:pPr>
        <w:spacing w:line="360" w:lineRule="auto"/>
        <w:ind w:firstLine="440" w:firstLineChars="200"/>
        <w:rPr>
          <w:rFonts w:ascii="宋体" w:hAnsi="宋体"/>
          <w:bCs/>
          <w:color w:val="auto"/>
          <w:sz w:val="22"/>
          <w:szCs w:val="22"/>
          <w:highlight w:val="none"/>
        </w:rPr>
      </w:pPr>
      <w:r>
        <w:rPr>
          <w:rFonts w:hint="eastAsia" w:ascii="宋体" w:hAnsi="宋体"/>
          <w:bCs/>
          <w:color w:val="auto"/>
          <w:sz w:val="22"/>
          <w:szCs w:val="22"/>
          <w:highlight w:val="none"/>
        </w:rPr>
        <w:t>（</w:t>
      </w:r>
      <w:r>
        <w:rPr>
          <w:rFonts w:ascii="宋体" w:hAnsi="宋体"/>
          <w:bCs/>
          <w:color w:val="auto"/>
          <w:sz w:val="22"/>
          <w:szCs w:val="22"/>
          <w:highlight w:val="none"/>
        </w:rPr>
        <w:t>4</w:t>
      </w:r>
      <w:r>
        <w:rPr>
          <w:rFonts w:hint="eastAsia" w:ascii="宋体" w:hAnsi="宋体"/>
          <w:bCs/>
          <w:color w:val="auto"/>
          <w:sz w:val="22"/>
          <w:szCs w:val="22"/>
          <w:highlight w:val="none"/>
        </w:rPr>
        <w:t>）保证更新数据及时上线，确保相关系统的正常运行，提供每天</w:t>
      </w:r>
      <w:r>
        <w:rPr>
          <w:rFonts w:ascii="宋体" w:hAnsi="宋体"/>
          <w:bCs/>
          <w:color w:val="auto"/>
          <w:sz w:val="22"/>
          <w:szCs w:val="22"/>
          <w:highlight w:val="none"/>
        </w:rPr>
        <w:t>24</w:t>
      </w:r>
      <w:r>
        <w:rPr>
          <w:rFonts w:hint="eastAsia" w:ascii="宋体" w:hAnsi="宋体"/>
          <w:bCs/>
          <w:color w:val="auto"/>
          <w:sz w:val="22"/>
          <w:szCs w:val="22"/>
          <w:highlight w:val="none"/>
        </w:rPr>
        <w:t>小时保障服务。</w:t>
      </w:r>
    </w:p>
    <w:p>
      <w:pPr>
        <w:spacing w:line="360" w:lineRule="auto"/>
        <w:ind w:firstLine="440" w:firstLineChars="200"/>
        <w:rPr>
          <w:rFonts w:ascii="宋体" w:hAnsi="宋体"/>
          <w:bCs/>
          <w:color w:val="auto"/>
          <w:sz w:val="22"/>
          <w:szCs w:val="22"/>
          <w:highlight w:val="none"/>
        </w:rPr>
      </w:pPr>
      <w:r>
        <w:rPr>
          <w:rFonts w:hint="eastAsia" w:ascii="宋体" w:hAnsi="宋体"/>
          <w:bCs/>
          <w:color w:val="auto"/>
          <w:sz w:val="22"/>
          <w:szCs w:val="22"/>
          <w:highlight w:val="none"/>
        </w:rPr>
        <w:t>（</w:t>
      </w:r>
      <w:r>
        <w:rPr>
          <w:rFonts w:ascii="宋体" w:hAnsi="宋体"/>
          <w:bCs/>
          <w:color w:val="auto"/>
          <w:sz w:val="22"/>
          <w:szCs w:val="22"/>
          <w:highlight w:val="none"/>
        </w:rPr>
        <w:t>5</w:t>
      </w:r>
      <w:r>
        <w:rPr>
          <w:rFonts w:hint="eastAsia" w:ascii="宋体" w:hAnsi="宋体"/>
          <w:bCs/>
          <w:color w:val="auto"/>
          <w:sz w:val="22"/>
          <w:szCs w:val="22"/>
          <w:highlight w:val="none"/>
        </w:rPr>
        <w:t>）能及时处理各系统平台运行时的各类故障，做到小故障</w:t>
      </w:r>
      <w:r>
        <w:rPr>
          <w:rFonts w:ascii="宋体" w:hAnsi="宋体"/>
          <w:bCs/>
          <w:color w:val="auto"/>
          <w:sz w:val="22"/>
          <w:szCs w:val="22"/>
          <w:highlight w:val="none"/>
        </w:rPr>
        <w:t>1-2</w:t>
      </w:r>
      <w:r>
        <w:rPr>
          <w:rFonts w:hint="eastAsia" w:ascii="宋体" w:hAnsi="宋体"/>
          <w:bCs/>
          <w:color w:val="auto"/>
          <w:sz w:val="22"/>
          <w:szCs w:val="22"/>
          <w:highlight w:val="none"/>
        </w:rPr>
        <w:t>小时内解决，大故障</w:t>
      </w:r>
      <w:r>
        <w:rPr>
          <w:rFonts w:ascii="宋体" w:hAnsi="宋体"/>
          <w:bCs/>
          <w:color w:val="auto"/>
          <w:sz w:val="22"/>
          <w:szCs w:val="22"/>
          <w:highlight w:val="none"/>
        </w:rPr>
        <w:t>1-2</w:t>
      </w:r>
      <w:r>
        <w:rPr>
          <w:rFonts w:hint="eastAsia" w:ascii="宋体" w:hAnsi="宋体"/>
          <w:bCs/>
          <w:color w:val="auto"/>
          <w:sz w:val="22"/>
          <w:szCs w:val="22"/>
          <w:highlight w:val="none"/>
        </w:rPr>
        <w:t>天内解决，对未能及时处理的故障，实行第一时间报告通知制度，并有相应的一套完整的解决及应对方案。</w:t>
      </w:r>
    </w:p>
    <w:p>
      <w:pPr>
        <w:widowControl/>
        <w:spacing w:line="360" w:lineRule="auto"/>
        <w:jc w:val="left"/>
        <w:rPr>
          <w:rFonts w:ascii="宋体" w:hAnsi="宋体" w:cs="宋体"/>
          <w:color w:val="auto"/>
          <w:szCs w:val="21"/>
          <w:highlight w:val="none"/>
        </w:rPr>
      </w:pPr>
      <w:r>
        <w:rPr>
          <w:rFonts w:ascii="宋体" w:hAnsi="宋体" w:cs="楷体"/>
          <w:color w:val="auto"/>
          <w:sz w:val="22"/>
          <w:szCs w:val="22"/>
          <w:highlight w:val="none"/>
        </w:rPr>
        <w:tab/>
      </w:r>
      <w:r>
        <w:rPr>
          <w:rFonts w:hint="eastAsia" w:ascii="宋体" w:hAnsi="宋体"/>
          <w:bCs/>
          <w:color w:val="auto"/>
          <w:sz w:val="22"/>
          <w:szCs w:val="22"/>
          <w:highlight w:val="none"/>
        </w:rPr>
        <w:t>（</w:t>
      </w:r>
      <w:r>
        <w:rPr>
          <w:rFonts w:ascii="宋体" w:hAnsi="宋体"/>
          <w:bCs/>
          <w:color w:val="auto"/>
          <w:sz w:val="22"/>
          <w:szCs w:val="22"/>
          <w:highlight w:val="none"/>
        </w:rPr>
        <w:t>6</w:t>
      </w:r>
      <w:r>
        <w:rPr>
          <w:rFonts w:hint="eastAsia" w:ascii="宋体" w:hAnsi="宋体"/>
          <w:bCs/>
          <w:color w:val="auto"/>
          <w:sz w:val="22"/>
          <w:szCs w:val="22"/>
          <w:highlight w:val="none"/>
        </w:rPr>
        <w:t>）项目通过验收后，中标方必须对招标方提供系统性的安装</w:t>
      </w:r>
      <w:r>
        <w:rPr>
          <w:rFonts w:ascii="宋体" w:hAnsi="宋体"/>
          <w:bCs/>
          <w:color w:val="auto"/>
          <w:sz w:val="22"/>
          <w:szCs w:val="22"/>
          <w:highlight w:val="none"/>
        </w:rPr>
        <w:t>、</w:t>
      </w:r>
      <w:r>
        <w:rPr>
          <w:rFonts w:hint="eastAsia" w:ascii="宋体" w:hAnsi="宋体"/>
          <w:bCs/>
          <w:color w:val="auto"/>
          <w:sz w:val="22"/>
          <w:szCs w:val="22"/>
          <w:highlight w:val="none"/>
        </w:rPr>
        <w:t>使用、</w:t>
      </w:r>
      <w:r>
        <w:rPr>
          <w:rFonts w:ascii="宋体" w:hAnsi="宋体"/>
          <w:bCs/>
          <w:color w:val="auto"/>
          <w:sz w:val="22"/>
          <w:szCs w:val="22"/>
          <w:highlight w:val="none"/>
        </w:rPr>
        <w:t>配置管理等</w:t>
      </w:r>
      <w:r>
        <w:rPr>
          <w:rFonts w:hint="eastAsia" w:ascii="宋体" w:hAnsi="宋体"/>
          <w:bCs/>
          <w:color w:val="auto"/>
          <w:sz w:val="22"/>
          <w:szCs w:val="22"/>
          <w:highlight w:val="none"/>
        </w:rPr>
        <w:t>培训，以及长期技术支持服务。</w:t>
      </w:r>
    </w:p>
    <w:p>
      <w:pPr>
        <w:spacing w:line="360" w:lineRule="auto"/>
        <w:ind w:firstLine="420"/>
        <w:rPr>
          <w:rFonts w:ascii="宋体" w:hAnsi="宋体" w:cs="楷体"/>
          <w:color w:val="auto"/>
          <w:sz w:val="22"/>
          <w:szCs w:val="22"/>
          <w:highlight w:val="none"/>
        </w:rPr>
      </w:pPr>
      <w:r>
        <w:rPr>
          <w:rFonts w:hint="eastAsia" w:ascii="宋体" w:hAnsi="宋体" w:cs="楷体"/>
          <w:color w:val="auto"/>
          <w:sz w:val="22"/>
          <w:szCs w:val="22"/>
          <w:highlight w:val="none"/>
        </w:rPr>
        <w:t>（</w:t>
      </w:r>
      <w:r>
        <w:rPr>
          <w:rFonts w:ascii="宋体" w:hAnsi="宋体" w:cs="楷体"/>
          <w:color w:val="auto"/>
          <w:sz w:val="22"/>
          <w:szCs w:val="22"/>
          <w:highlight w:val="none"/>
        </w:rPr>
        <w:t>7）</w:t>
      </w:r>
      <w:r>
        <w:rPr>
          <w:rFonts w:hint="eastAsia" w:ascii="宋体" w:hAnsi="宋体" w:cs="宋体"/>
          <w:color w:val="auto"/>
          <w:szCs w:val="21"/>
          <w:highlight w:val="none"/>
        </w:rPr>
        <w:t>▲</w:t>
      </w:r>
      <w:r>
        <w:rPr>
          <w:rFonts w:hint="eastAsia" w:ascii="宋体" w:hAnsi="宋体" w:cs="宋体"/>
          <w:b/>
          <w:color w:val="auto"/>
          <w:szCs w:val="21"/>
          <w:highlight w:val="none"/>
          <w:u w:val="single"/>
        </w:rPr>
        <w:t>中标方须提供</w:t>
      </w:r>
      <w:r>
        <w:rPr>
          <w:rFonts w:ascii="宋体" w:hAnsi="宋体" w:cs="宋体"/>
          <w:b/>
          <w:color w:val="auto"/>
          <w:szCs w:val="21"/>
          <w:highlight w:val="none"/>
          <w:u w:val="single"/>
        </w:rPr>
        <w:t>电话热线</w:t>
      </w:r>
      <w:r>
        <w:rPr>
          <w:rFonts w:hint="eastAsia" w:ascii="宋体" w:hAnsi="宋体" w:cs="宋体"/>
          <w:b/>
          <w:color w:val="auto"/>
          <w:szCs w:val="21"/>
          <w:highlight w:val="none"/>
          <w:u w:val="single"/>
        </w:rPr>
        <w:t>7×24小时的技术咨询与服务，接到采购方维护电话后即时做出响应，维护服务人员必须在</w:t>
      </w:r>
      <w:r>
        <w:rPr>
          <w:rFonts w:ascii="宋体" w:hAnsi="宋体" w:cs="宋体"/>
          <w:b/>
          <w:color w:val="auto"/>
          <w:szCs w:val="21"/>
          <w:highlight w:val="none"/>
          <w:u w:val="single"/>
        </w:rPr>
        <w:t>1</w:t>
      </w:r>
      <w:r>
        <w:rPr>
          <w:rFonts w:hint="eastAsia" w:ascii="宋体" w:hAnsi="宋体" w:cs="宋体"/>
          <w:b/>
          <w:color w:val="auto"/>
          <w:szCs w:val="21"/>
          <w:highlight w:val="none"/>
          <w:u w:val="single"/>
        </w:rPr>
        <w:t>小时内到达招标方现场，投标时作出承诺</w:t>
      </w:r>
      <w:r>
        <w:rPr>
          <w:rFonts w:hint="eastAsia" w:ascii="宋体" w:hAnsi="宋体" w:cs="宋体"/>
          <w:color w:val="auto"/>
          <w:szCs w:val="21"/>
          <w:highlight w:val="none"/>
        </w:rPr>
        <w:t>。</w:t>
      </w:r>
      <w:r>
        <w:rPr>
          <w:rFonts w:hint="eastAsia" w:ascii="宋体" w:hAnsi="宋体" w:cs="宋体"/>
          <w:b/>
          <w:color w:val="auto"/>
          <w:szCs w:val="21"/>
          <w:highlight w:val="none"/>
          <w:u w:val="single"/>
        </w:rPr>
        <w:t>如果中标方在接到通知后的</w:t>
      </w:r>
      <w:r>
        <w:rPr>
          <w:rFonts w:ascii="宋体" w:hAnsi="宋体" w:cs="宋体"/>
          <w:b/>
          <w:color w:val="auto"/>
          <w:szCs w:val="21"/>
          <w:highlight w:val="none"/>
          <w:u w:val="single"/>
        </w:rPr>
        <w:t>2</w:t>
      </w:r>
      <w:r>
        <w:rPr>
          <w:rFonts w:hint="eastAsia" w:ascii="宋体" w:hAnsi="宋体" w:cs="宋体"/>
          <w:b/>
          <w:color w:val="auto"/>
          <w:szCs w:val="21"/>
          <w:highlight w:val="none"/>
          <w:u w:val="single"/>
        </w:rPr>
        <w:t>个小时内未到达招标方现场，则由于故障所造成的全部损失由中标方承担。</w:t>
      </w:r>
    </w:p>
    <w:p>
      <w:pPr>
        <w:spacing w:line="360" w:lineRule="auto"/>
        <w:ind w:firstLine="420"/>
        <w:rPr>
          <w:rFonts w:ascii="宋体" w:hAnsi="宋体"/>
          <w:bCs/>
          <w:color w:val="auto"/>
          <w:sz w:val="22"/>
          <w:szCs w:val="22"/>
          <w:highlight w:val="none"/>
        </w:rPr>
      </w:pPr>
      <w:r>
        <w:rPr>
          <w:rFonts w:hint="eastAsia" w:ascii="宋体" w:hAnsi="宋体" w:cs="楷体"/>
          <w:color w:val="auto"/>
          <w:sz w:val="22"/>
          <w:szCs w:val="22"/>
          <w:highlight w:val="none"/>
        </w:rPr>
        <w:t>（</w:t>
      </w:r>
      <w:r>
        <w:rPr>
          <w:rFonts w:ascii="宋体" w:hAnsi="宋体" w:cs="楷体"/>
          <w:color w:val="auto"/>
          <w:sz w:val="22"/>
          <w:szCs w:val="22"/>
          <w:highlight w:val="none"/>
        </w:rPr>
        <w:t>8）</w:t>
      </w:r>
      <w:r>
        <w:rPr>
          <w:rFonts w:hint="eastAsia" w:ascii="宋体" w:hAnsi="宋体" w:cs="宋体"/>
          <w:color w:val="auto"/>
          <w:szCs w:val="21"/>
          <w:highlight w:val="none"/>
        </w:rPr>
        <w:t>▲</w:t>
      </w:r>
      <w:r>
        <w:rPr>
          <w:rFonts w:hint="eastAsia" w:ascii="宋体" w:hAnsi="宋体" w:cs="宋体"/>
          <w:b/>
          <w:color w:val="auto"/>
          <w:szCs w:val="21"/>
          <w:highlight w:val="none"/>
          <w:u w:val="single"/>
        </w:rPr>
        <w:t>为</w:t>
      </w:r>
      <w:r>
        <w:rPr>
          <w:rFonts w:ascii="宋体" w:hAnsi="宋体" w:cs="宋体"/>
          <w:b/>
          <w:color w:val="auto"/>
          <w:szCs w:val="21"/>
          <w:highlight w:val="none"/>
          <w:u w:val="single"/>
        </w:rPr>
        <w:t>保障</w:t>
      </w:r>
      <w:r>
        <w:rPr>
          <w:rFonts w:hint="eastAsia" w:ascii="宋体" w:hAnsi="宋体" w:cs="宋体"/>
          <w:b/>
          <w:color w:val="auto"/>
          <w:szCs w:val="21"/>
          <w:highlight w:val="none"/>
          <w:u w:val="single"/>
        </w:rPr>
        <w:t>项目</w:t>
      </w:r>
      <w:r>
        <w:rPr>
          <w:rFonts w:ascii="宋体" w:hAnsi="宋体" w:cs="宋体"/>
          <w:b/>
          <w:color w:val="auto"/>
          <w:szCs w:val="21"/>
          <w:highlight w:val="none"/>
          <w:u w:val="single"/>
        </w:rPr>
        <w:t>顺利实施和</w:t>
      </w:r>
      <w:r>
        <w:rPr>
          <w:rFonts w:hint="eastAsia" w:ascii="宋体" w:hAnsi="宋体" w:cs="宋体"/>
          <w:b/>
          <w:color w:val="auto"/>
          <w:szCs w:val="21"/>
          <w:highlight w:val="none"/>
          <w:u w:val="single"/>
        </w:rPr>
        <w:t>系统</w:t>
      </w:r>
      <w:r>
        <w:rPr>
          <w:rFonts w:hint="eastAsia" w:ascii="新宋体" w:hAnsi="新宋体" w:eastAsia="新宋体" w:cs="楷体"/>
          <w:b/>
          <w:color w:val="auto"/>
          <w:sz w:val="22"/>
          <w:szCs w:val="22"/>
          <w:highlight w:val="none"/>
          <w:u w:val="single"/>
        </w:rPr>
        <w:t>7*24不间断</w:t>
      </w:r>
      <w:r>
        <w:rPr>
          <w:rFonts w:ascii="新宋体" w:hAnsi="新宋体" w:eastAsia="新宋体" w:cs="楷体"/>
          <w:b/>
          <w:color w:val="auto"/>
          <w:sz w:val="22"/>
          <w:szCs w:val="22"/>
          <w:highlight w:val="none"/>
          <w:u w:val="single"/>
        </w:rPr>
        <w:t>稳定运行，</w:t>
      </w:r>
      <w:r>
        <w:rPr>
          <w:rFonts w:hint="eastAsia" w:ascii="宋体" w:hAnsi="宋体" w:cs="宋体"/>
          <w:b/>
          <w:color w:val="auto"/>
          <w:szCs w:val="21"/>
          <w:highlight w:val="none"/>
          <w:u w:val="single"/>
        </w:rPr>
        <w:t>非温州地区中标方须在项目中标至通过验收之日期间保证固定的</w:t>
      </w:r>
      <w:r>
        <w:rPr>
          <w:rFonts w:ascii="宋体" w:hAnsi="宋体" w:cs="宋体"/>
          <w:b/>
          <w:color w:val="auto"/>
          <w:szCs w:val="21"/>
          <w:highlight w:val="none"/>
          <w:u w:val="single"/>
        </w:rPr>
        <w:t>3</w:t>
      </w:r>
      <w:r>
        <w:rPr>
          <w:rFonts w:hint="eastAsia" w:ascii="宋体" w:hAnsi="宋体" w:cs="宋体"/>
          <w:b/>
          <w:color w:val="auto"/>
          <w:szCs w:val="21"/>
          <w:highlight w:val="none"/>
          <w:u w:val="single"/>
        </w:rPr>
        <w:t>名本地化技术服务中级及以上职称人员本地团队网点（投标时承诺在温州本地设立售后服务场所，保证</w:t>
      </w:r>
      <w:r>
        <w:rPr>
          <w:rFonts w:ascii="宋体" w:hAnsi="宋体" w:cs="宋体"/>
          <w:b/>
          <w:color w:val="auto"/>
          <w:szCs w:val="21"/>
          <w:highlight w:val="none"/>
          <w:u w:val="single"/>
        </w:rPr>
        <w:t>1</w:t>
      </w:r>
      <w:r>
        <w:rPr>
          <w:rFonts w:hint="eastAsia" w:ascii="宋体" w:hAnsi="宋体" w:cs="宋体"/>
          <w:b/>
          <w:color w:val="auto"/>
          <w:szCs w:val="21"/>
          <w:highlight w:val="none"/>
          <w:u w:val="single"/>
        </w:rPr>
        <w:t>小时内到场服务），随时响应采购人要求（若</w:t>
      </w:r>
      <w:r>
        <w:rPr>
          <w:rFonts w:ascii="宋体" w:hAnsi="宋体" w:cs="宋体"/>
          <w:b/>
          <w:color w:val="auto"/>
          <w:szCs w:val="21"/>
          <w:highlight w:val="none"/>
          <w:u w:val="single"/>
        </w:rPr>
        <w:t>中标供应商在实施过程中未履行该要求，采购人</w:t>
      </w:r>
      <w:r>
        <w:rPr>
          <w:rFonts w:hint="eastAsia" w:ascii="宋体" w:hAnsi="宋体" w:cs="宋体"/>
          <w:b/>
          <w:color w:val="auto"/>
          <w:szCs w:val="21"/>
          <w:highlight w:val="none"/>
          <w:u w:val="single"/>
        </w:rPr>
        <w:t>有权单方面</w:t>
      </w:r>
      <w:r>
        <w:rPr>
          <w:rFonts w:ascii="宋体" w:hAnsi="宋体" w:cs="宋体"/>
          <w:b/>
          <w:color w:val="auto"/>
          <w:szCs w:val="21"/>
          <w:highlight w:val="none"/>
          <w:u w:val="single"/>
        </w:rPr>
        <w:t>解除合同，并</w:t>
      </w:r>
      <w:r>
        <w:rPr>
          <w:rFonts w:hint="eastAsia" w:ascii="宋体" w:hAnsi="宋体" w:cs="宋体"/>
          <w:b/>
          <w:color w:val="auto"/>
          <w:szCs w:val="21"/>
          <w:highlight w:val="none"/>
          <w:u w:val="single"/>
        </w:rPr>
        <w:t>追究</w:t>
      </w:r>
      <w:r>
        <w:rPr>
          <w:rFonts w:ascii="宋体" w:hAnsi="宋体" w:cs="宋体"/>
          <w:b/>
          <w:color w:val="auto"/>
          <w:szCs w:val="21"/>
          <w:highlight w:val="none"/>
          <w:u w:val="single"/>
        </w:rPr>
        <w:t>中标供应商赔偿</w:t>
      </w:r>
      <w:r>
        <w:rPr>
          <w:rFonts w:hint="eastAsia" w:ascii="宋体" w:hAnsi="宋体" w:cs="宋体"/>
          <w:b/>
          <w:color w:val="auto"/>
          <w:szCs w:val="21"/>
          <w:highlight w:val="none"/>
          <w:u w:val="single"/>
        </w:rPr>
        <w:t>责任）。</w:t>
      </w:r>
    </w:p>
    <w:p>
      <w:pPr>
        <w:spacing w:line="360" w:lineRule="auto"/>
        <w:ind w:firstLine="420"/>
        <w:rPr>
          <w:rFonts w:ascii="宋体" w:hAnsi="宋体" w:cs="楷体"/>
          <w:color w:val="auto"/>
          <w:sz w:val="22"/>
          <w:szCs w:val="22"/>
          <w:highlight w:val="none"/>
        </w:rPr>
      </w:pPr>
    </w:p>
    <w:p>
      <w:pPr>
        <w:spacing w:before="100" w:beforeAutospacing="1" w:after="100" w:afterAutospacing="1" w:line="240" w:lineRule="atLeast"/>
        <w:jc w:val="center"/>
        <w:outlineLvl w:val="0"/>
        <w:rPr>
          <w:rFonts w:ascii="黑体" w:hAnsi="宋体" w:eastAsia="黑体"/>
          <w:b/>
          <w:bCs/>
          <w:color w:val="auto"/>
          <w:sz w:val="36"/>
          <w:szCs w:val="36"/>
          <w:highlight w:val="none"/>
        </w:rPr>
      </w:pPr>
      <w:r>
        <w:rPr>
          <w:rFonts w:hint="eastAsia" w:ascii="黑体" w:hAnsi="宋体" w:eastAsia="黑体"/>
          <w:b/>
          <w:bCs/>
          <w:color w:val="auto"/>
          <w:sz w:val="36"/>
          <w:szCs w:val="36"/>
          <w:highlight w:val="none"/>
        </w:rPr>
        <w:br w:type="page"/>
      </w:r>
      <w:r>
        <w:rPr>
          <w:rFonts w:hint="eastAsia" w:ascii="黑体" w:hAnsi="宋体" w:eastAsia="黑体"/>
          <w:b/>
          <w:bCs/>
          <w:color w:val="auto"/>
          <w:sz w:val="36"/>
          <w:szCs w:val="36"/>
          <w:highlight w:val="none"/>
        </w:rPr>
        <w:t>第七部分   评标原则及方法</w:t>
      </w:r>
    </w:p>
    <w:p>
      <w:pPr>
        <w:spacing w:line="460" w:lineRule="exact"/>
        <w:ind w:firstLine="541" w:firstLineChars="245"/>
        <w:rPr>
          <w:rFonts w:eastAsia="新宋体"/>
          <w:b/>
          <w:color w:val="auto"/>
          <w:sz w:val="22"/>
          <w:szCs w:val="22"/>
          <w:highlight w:val="none"/>
        </w:rPr>
      </w:pPr>
      <w:r>
        <w:rPr>
          <w:rFonts w:hint="eastAsia" w:eastAsia="新宋体"/>
          <w:b/>
          <w:color w:val="auto"/>
          <w:sz w:val="22"/>
          <w:szCs w:val="22"/>
          <w:highlight w:val="none"/>
        </w:rPr>
        <w:t>根据《中华人民共和国政府采购法》、《政府采购货物和服务招标投标管理办法》、《中华人民共和国政府采购法实施条例》和《关于进一步规范政府采购活动的若干意见》等相关法规特制定以下评标办法。</w:t>
      </w:r>
    </w:p>
    <w:p>
      <w:pPr>
        <w:spacing w:line="460" w:lineRule="exact"/>
        <w:ind w:firstLine="541" w:firstLineChars="245"/>
        <w:rPr>
          <w:rFonts w:eastAsia="新宋体"/>
          <w:b/>
          <w:color w:val="auto"/>
          <w:sz w:val="22"/>
          <w:szCs w:val="22"/>
          <w:highlight w:val="none"/>
        </w:rPr>
      </w:pPr>
      <w:r>
        <w:rPr>
          <w:rFonts w:hint="eastAsia" w:eastAsia="新宋体"/>
          <w:b/>
          <w:color w:val="auto"/>
          <w:sz w:val="22"/>
          <w:szCs w:val="22"/>
          <w:highlight w:val="none"/>
        </w:rPr>
        <w:t>一、总 则</w:t>
      </w:r>
    </w:p>
    <w:p>
      <w:pPr>
        <w:spacing w:line="460" w:lineRule="exact"/>
        <w:ind w:firstLine="539" w:firstLineChars="245"/>
        <w:rPr>
          <w:rFonts w:eastAsia="新宋体"/>
          <w:b/>
          <w:color w:val="auto"/>
          <w:sz w:val="22"/>
          <w:highlight w:val="none"/>
        </w:rPr>
      </w:pPr>
      <w:r>
        <w:rPr>
          <w:rFonts w:hint="eastAsia" w:eastAsia="新宋体"/>
          <w:color w:val="auto"/>
          <w:sz w:val="22"/>
          <w:szCs w:val="22"/>
          <w:highlight w:val="none"/>
        </w:rPr>
        <w:t>评标工作遵循公平、公正、科学、择优原则和诚实、信誉、效率的服务原则。本着科学、严谨的态度，认真进行评标。择优选用，推进技术进步，确保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pPr>
        <w:spacing w:line="460" w:lineRule="exact"/>
        <w:ind w:firstLine="541" w:firstLineChars="245"/>
        <w:rPr>
          <w:rFonts w:eastAsia="新宋体"/>
          <w:b/>
          <w:color w:val="auto"/>
          <w:sz w:val="22"/>
          <w:szCs w:val="22"/>
          <w:highlight w:val="none"/>
        </w:rPr>
      </w:pPr>
      <w:r>
        <w:rPr>
          <w:rFonts w:hint="eastAsia" w:eastAsia="新宋体"/>
          <w:b/>
          <w:color w:val="auto"/>
          <w:sz w:val="22"/>
          <w:szCs w:val="22"/>
          <w:highlight w:val="none"/>
        </w:rPr>
        <w:t>二、评标组织</w:t>
      </w:r>
    </w:p>
    <w:p>
      <w:pPr>
        <w:spacing w:line="460" w:lineRule="exact"/>
        <w:ind w:firstLine="539" w:firstLineChars="245"/>
        <w:rPr>
          <w:rFonts w:eastAsia="新宋体"/>
          <w:color w:val="auto"/>
          <w:sz w:val="22"/>
          <w:szCs w:val="22"/>
          <w:highlight w:val="none"/>
        </w:rPr>
      </w:pPr>
      <w:r>
        <w:rPr>
          <w:rFonts w:hint="eastAsia" w:eastAsia="新宋体"/>
          <w:color w:val="auto"/>
          <w:sz w:val="22"/>
          <w:szCs w:val="22"/>
          <w:highlight w:val="none"/>
        </w:rPr>
        <w:t>评标工作由招标人组建的评标委员会负责，评标全过程由有关部门指导监督。</w:t>
      </w:r>
    </w:p>
    <w:p>
      <w:pPr>
        <w:spacing w:line="460" w:lineRule="exact"/>
        <w:ind w:firstLine="541" w:firstLineChars="245"/>
        <w:rPr>
          <w:rFonts w:eastAsia="新宋体"/>
          <w:b/>
          <w:color w:val="auto"/>
          <w:sz w:val="22"/>
          <w:szCs w:val="22"/>
          <w:highlight w:val="none"/>
        </w:rPr>
      </w:pPr>
      <w:r>
        <w:rPr>
          <w:rFonts w:hint="eastAsia" w:eastAsia="新宋体"/>
          <w:b/>
          <w:color w:val="auto"/>
          <w:sz w:val="22"/>
          <w:szCs w:val="22"/>
          <w:highlight w:val="none"/>
        </w:rPr>
        <w:t>三、电子招投标开标及评审程序</w:t>
      </w:r>
    </w:p>
    <w:p>
      <w:pPr>
        <w:spacing w:line="460" w:lineRule="exact"/>
        <w:ind w:firstLine="539" w:firstLineChars="245"/>
        <w:rPr>
          <w:rFonts w:eastAsia="新宋体"/>
          <w:bCs/>
          <w:color w:val="auto"/>
          <w:sz w:val="22"/>
          <w:szCs w:val="22"/>
          <w:highlight w:val="none"/>
        </w:rPr>
      </w:pPr>
      <w:r>
        <w:rPr>
          <w:rFonts w:hint="eastAsia" w:eastAsia="新宋体"/>
          <w:bCs/>
          <w:color w:val="auto"/>
          <w:sz w:val="22"/>
          <w:szCs w:val="22"/>
          <w:highlight w:val="none"/>
        </w:rPr>
        <w:t>1.   采购代理机构签收、开始解密投标文件；</w:t>
      </w:r>
    </w:p>
    <w:p>
      <w:pPr>
        <w:spacing w:line="460" w:lineRule="exact"/>
        <w:ind w:firstLine="539" w:firstLineChars="245"/>
        <w:rPr>
          <w:rFonts w:eastAsia="新宋体"/>
          <w:bCs/>
          <w:color w:val="auto"/>
          <w:sz w:val="22"/>
          <w:szCs w:val="22"/>
          <w:highlight w:val="none"/>
        </w:rPr>
      </w:pPr>
      <w:r>
        <w:rPr>
          <w:rFonts w:hint="eastAsia" w:eastAsia="新宋体"/>
          <w:bCs/>
          <w:color w:val="auto"/>
          <w:sz w:val="22"/>
          <w:szCs w:val="22"/>
          <w:highlight w:val="none"/>
        </w:rPr>
        <w:t>2.   投标人解密投标文件；</w:t>
      </w:r>
    </w:p>
    <w:p>
      <w:pPr>
        <w:spacing w:line="460" w:lineRule="exact"/>
        <w:ind w:firstLine="539" w:firstLineChars="245"/>
        <w:rPr>
          <w:rFonts w:eastAsia="新宋体"/>
          <w:bCs/>
          <w:color w:val="auto"/>
          <w:sz w:val="22"/>
          <w:szCs w:val="22"/>
          <w:highlight w:val="none"/>
        </w:rPr>
      </w:pPr>
      <w:r>
        <w:rPr>
          <w:rFonts w:hint="eastAsia" w:eastAsia="新宋体"/>
          <w:bCs/>
          <w:color w:val="auto"/>
          <w:sz w:val="22"/>
          <w:szCs w:val="22"/>
          <w:highlight w:val="none"/>
        </w:rPr>
        <w:t>3.   采购代理机构结束解密投标文件；</w:t>
      </w:r>
    </w:p>
    <w:p>
      <w:pPr>
        <w:spacing w:line="460" w:lineRule="exact"/>
        <w:ind w:firstLine="539" w:firstLineChars="245"/>
        <w:rPr>
          <w:rFonts w:eastAsia="新宋体"/>
          <w:bCs/>
          <w:color w:val="auto"/>
          <w:sz w:val="22"/>
          <w:szCs w:val="22"/>
          <w:highlight w:val="none"/>
        </w:rPr>
      </w:pPr>
      <w:r>
        <w:rPr>
          <w:rFonts w:hint="eastAsia" w:eastAsia="新宋体"/>
          <w:bCs/>
          <w:color w:val="auto"/>
          <w:sz w:val="22"/>
          <w:szCs w:val="22"/>
          <w:highlight w:val="none"/>
        </w:rPr>
        <w:t>4.   采购代理机构或采购人在线资格性审查；</w:t>
      </w:r>
    </w:p>
    <w:p>
      <w:pPr>
        <w:spacing w:line="460" w:lineRule="exact"/>
        <w:ind w:firstLine="539" w:firstLineChars="245"/>
        <w:rPr>
          <w:rFonts w:eastAsia="新宋体"/>
          <w:bCs/>
          <w:color w:val="auto"/>
          <w:sz w:val="22"/>
          <w:szCs w:val="22"/>
          <w:highlight w:val="none"/>
        </w:rPr>
      </w:pPr>
      <w:r>
        <w:rPr>
          <w:rFonts w:hint="eastAsia" w:eastAsia="新宋体"/>
          <w:bCs/>
          <w:color w:val="auto"/>
          <w:sz w:val="22"/>
          <w:szCs w:val="22"/>
          <w:highlight w:val="none"/>
        </w:rPr>
        <w:t>5.   评标委员会对投标文件进行评审；</w:t>
      </w:r>
    </w:p>
    <w:p>
      <w:pPr>
        <w:spacing w:line="460" w:lineRule="exact"/>
        <w:ind w:firstLine="539" w:firstLineChars="245"/>
        <w:rPr>
          <w:rFonts w:eastAsia="新宋体"/>
          <w:bCs/>
          <w:color w:val="auto"/>
          <w:sz w:val="22"/>
          <w:szCs w:val="22"/>
          <w:highlight w:val="none"/>
        </w:rPr>
      </w:pPr>
      <w:r>
        <w:rPr>
          <w:rFonts w:hint="eastAsia" w:eastAsia="新宋体"/>
          <w:bCs/>
          <w:color w:val="auto"/>
          <w:sz w:val="22"/>
          <w:szCs w:val="22"/>
          <w:highlight w:val="none"/>
        </w:rPr>
        <w:t>6.   在政采云系统上公开资格和商务技术评审结果；</w:t>
      </w:r>
    </w:p>
    <w:p>
      <w:pPr>
        <w:spacing w:line="460" w:lineRule="exact"/>
        <w:ind w:firstLine="539" w:firstLineChars="245"/>
        <w:rPr>
          <w:rFonts w:eastAsia="新宋体"/>
          <w:bCs/>
          <w:color w:val="auto"/>
          <w:sz w:val="22"/>
          <w:szCs w:val="22"/>
          <w:highlight w:val="none"/>
        </w:rPr>
      </w:pPr>
      <w:r>
        <w:rPr>
          <w:rFonts w:hint="eastAsia" w:eastAsia="新宋体"/>
          <w:bCs/>
          <w:color w:val="auto"/>
          <w:sz w:val="22"/>
          <w:szCs w:val="22"/>
          <w:highlight w:val="none"/>
        </w:rPr>
        <w:t>7.   在政采云系统上公开报价情况；</w:t>
      </w:r>
    </w:p>
    <w:p>
      <w:pPr>
        <w:spacing w:line="460" w:lineRule="exact"/>
        <w:ind w:firstLine="539" w:firstLineChars="245"/>
        <w:rPr>
          <w:rFonts w:eastAsia="新宋体"/>
          <w:bCs/>
          <w:color w:val="auto"/>
          <w:sz w:val="22"/>
          <w:szCs w:val="22"/>
          <w:highlight w:val="none"/>
        </w:rPr>
      </w:pPr>
      <w:r>
        <w:rPr>
          <w:rFonts w:hint="eastAsia" w:eastAsia="新宋体"/>
          <w:bCs/>
          <w:color w:val="auto"/>
          <w:sz w:val="22"/>
          <w:szCs w:val="22"/>
          <w:highlight w:val="none"/>
        </w:rPr>
        <w:t>8.   评标委员会对报价情况进行评审；</w:t>
      </w:r>
    </w:p>
    <w:p>
      <w:pPr>
        <w:spacing w:line="460" w:lineRule="exact"/>
        <w:ind w:firstLine="539" w:firstLineChars="245"/>
        <w:rPr>
          <w:rFonts w:eastAsia="新宋体"/>
          <w:bCs/>
          <w:color w:val="auto"/>
          <w:sz w:val="22"/>
          <w:szCs w:val="22"/>
          <w:highlight w:val="none"/>
        </w:rPr>
      </w:pPr>
      <w:r>
        <w:rPr>
          <w:rFonts w:hint="eastAsia" w:eastAsia="新宋体"/>
          <w:bCs/>
          <w:color w:val="auto"/>
          <w:sz w:val="22"/>
          <w:szCs w:val="22"/>
          <w:highlight w:val="none"/>
        </w:rPr>
        <w:t>9.   在系统上公布评审结果。</w:t>
      </w:r>
    </w:p>
    <w:p>
      <w:pPr>
        <w:spacing w:line="460" w:lineRule="exact"/>
        <w:ind w:firstLine="539" w:firstLineChars="245"/>
        <w:rPr>
          <w:rFonts w:eastAsia="新宋体"/>
          <w:color w:val="auto"/>
          <w:sz w:val="22"/>
          <w:szCs w:val="22"/>
          <w:highlight w:val="none"/>
        </w:rPr>
      </w:pPr>
      <w:r>
        <w:rPr>
          <w:rFonts w:hint="eastAsia" w:eastAsia="新宋体"/>
          <w:bCs/>
          <w:color w:val="auto"/>
          <w:sz w:val="22"/>
          <w:szCs w:val="22"/>
          <w:highlight w:val="none"/>
        </w:rPr>
        <w:t>特别说明：政采云公司如对电子化开标及评审程序有调整的，按调整后的程序操作。</w:t>
      </w:r>
    </w:p>
    <w:p>
      <w:pPr>
        <w:spacing w:line="460" w:lineRule="exact"/>
        <w:ind w:firstLine="541" w:firstLineChars="245"/>
        <w:rPr>
          <w:rFonts w:eastAsia="新宋体"/>
          <w:b/>
          <w:color w:val="auto"/>
          <w:sz w:val="22"/>
          <w:szCs w:val="22"/>
          <w:highlight w:val="none"/>
        </w:rPr>
      </w:pPr>
      <w:r>
        <w:rPr>
          <w:rFonts w:hint="eastAsia" w:eastAsia="新宋体"/>
          <w:b/>
          <w:color w:val="auto"/>
          <w:sz w:val="22"/>
          <w:szCs w:val="22"/>
          <w:highlight w:val="none"/>
        </w:rPr>
        <w:t>四、评标办法</w:t>
      </w:r>
    </w:p>
    <w:p>
      <w:pPr>
        <w:spacing w:line="460" w:lineRule="exact"/>
        <w:ind w:firstLine="539" w:firstLineChars="245"/>
        <w:rPr>
          <w:rFonts w:eastAsia="新宋体"/>
          <w:b/>
          <w:color w:val="auto"/>
          <w:sz w:val="22"/>
          <w:szCs w:val="22"/>
          <w:highlight w:val="none"/>
        </w:rPr>
      </w:pPr>
      <w:r>
        <w:rPr>
          <w:rFonts w:hint="eastAsia" w:eastAsia="新宋体"/>
          <w:color w:val="auto"/>
          <w:sz w:val="22"/>
          <w:szCs w:val="22"/>
          <w:highlight w:val="none"/>
        </w:rPr>
        <w:t>本次采购采用百分制综合评分法，即投标人最大限度地满足招标文件实质性要求的基础上，按照招标文件的各项因素进行综合评审后，以评标总得分最高的投标人和次高的投标人作为第一和第二排序的中标候选人的评标方法。根据采购要求，</w:t>
      </w:r>
      <w:r>
        <w:rPr>
          <w:rFonts w:hint="eastAsia" w:eastAsia="新宋体"/>
          <w:b/>
          <w:color w:val="auto"/>
          <w:sz w:val="22"/>
          <w:szCs w:val="22"/>
          <w:highlight w:val="none"/>
        </w:rPr>
        <w:t>总分设定为100分：技术标85分（权值85%），商务标（报价）15分（权值15%）。</w:t>
      </w:r>
    </w:p>
    <w:p>
      <w:pPr>
        <w:spacing w:line="460" w:lineRule="exact"/>
        <w:ind w:firstLine="541" w:firstLineChars="245"/>
        <w:rPr>
          <w:rFonts w:eastAsia="新宋体"/>
          <w:b/>
          <w:color w:val="auto"/>
          <w:sz w:val="22"/>
          <w:szCs w:val="22"/>
          <w:highlight w:val="none"/>
        </w:rPr>
      </w:pPr>
      <w:r>
        <w:rPr>
          <w:rFonts w:hint="eastAsia" w:eastAsia="新宋体"/>
          <w:b/>
          <w:color w:val="auto"/>
          <w:sz w:val="22"/>
          <w:szCs w:val="22"/>
          <w:highlight w:val="none"/>
        </w:rPr>
        <w:t>五、评分细则</w:t>
      </w:r>
    </w:p>
    <w:p>
      <w:pPr>
        <w:spacing w:line="460" w:lineRule="exact"/>
        <w:ind w:firstLine="541" w:firstLineChars="245"/>
        <w:rPr>
          <w:rFonts w:eastAsia="新宋体"/>
          <w:b/>
          <w:color w:val="auto"/>
          <w:sz w:val="22"/>
          <w:szCs w:val="22"/>
          <w:highlight w:val="none"/>
        </w:rPr>
      </w:pPr>
      <w:r>
        <w:rPr>
          <w:rFonts w:hint="eastAsia" w:eastAsia="新宋体"/>
          <w:b/>
          <w:color w:val="auto"/>
          <w:sz w:val="22"/>
          <w:szCs w:val="22"/>
          <w:highlight w:val="none"/>
        </w:rPr>
        <w:t>1、技术分的评定：技术标85分（权值85%）</w:t>
      </w:r>
    </w:p>
    <w:p>
      <w:pPr>
        <w:spacing w:line="460" w:lineRule="exact"/>
        <w:ind w:firstLine="539" w:firstLineChars="245"/>
        <w:rPr>
          <w:rFonts w:ascii="宋体" w:hAnsi="宋体"/>
          <w:color w:val="auto"/>
          <w:kern w:val="0"/>
          <w:szCs w:val="21"/>
          <w:highlight w:val="none"/>
        </w:rPr>
      </w:pPr>
      <w:r>
        <w:rPr>
          <w:rFonts w:hint="eastAsia" w:eastAsia="新宋体"/>
          <w:color w:val="auto"/>
          <w:sz w:val="22"/>
          <w:szCs w:val="22"/>
          <w:highlight w:val="none"/>
        </w:rPr>
        <w:t>各评委成员按下列评分项目进行评判，每人一张评分计算票，并记名。投标文件各项评分内容由评标委员会成员各自评分，如某张票的一个因素项目超过规定的范围，则该张票无效。</w:t>
      </w:r>
      <w:r>
        <w:rPr>
          <w:rFonts w:hint="eastAsia" w:eastAsia="新宋体"/>
          <w:color w:val="auto"/>
          <w:sz w:val="22"/>
          <w:highlight w:val="none"/>
        </w:rPr>
        <w:t>各评标委员会成员对各投标人的各项评分内容评分的算术平均值为各投标人技术分得分</w:t>
      </w:r>
      <w:r>
        <w:rPr>
          <w:rFonts w:hint="eastAsia" w:eastAsia="新宋体"/>
          <w:color w:val="auto"/>
          <w:sz w:val="22"/>
          <w:szCs w:val="22"/>
          <w:highlight w:val="none"/>
        </w:rPr>
        <w:t>（小数点后按四舍五入保留2位）。</w:t>
      </w:r>
    </w:p>
    <w:tbl>
      <w:tblPr>
        <w:tblStyle w:val="69"/>
        <w:tblW w:w="9438" w:type="dxa"/>
        <w:jc w:val="center"/>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25"/>
        <w:gridCol w:w="691"/>
        <w:gridCol w:w="1468"/>
        <w:gridCol w:w="659"/>
        <w:gridCol w:w="6095"/>
      </w:tblGrid>
      <w:tr>
        <w:tblPrEx>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525" w:type="dxa"/>
            <w:noWrap w:val="0"/>
            <w:vAlign w:val="center"/>
          </w:tcPr>
          <w:p>
            <w:pPr>
              <w:jc w:val="center"/>
              <w:rPr>
                <w:rFonts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序号</w:t>
            </w:r>
          </w:p>
        </w:tc>
        <w:tc>
          <w:tcPr>
            <w:tcW w:w="2159" w:type="dxa"/>
            <w:gridSpan w:val="2"/>
            <w:noWrap w:val="0"/>
            <w:vAlign w:val="center"/>
          </w:tcPr>
          <w:p>
            <w:pPr>
              <w:jc w:val="center"/>
              <w:rPr>
                <w:rFonts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评分内容</w:t>
            </w:r>
          </w:p>
        </w:tc>
        <w:tc>
          <w:tcPr>
            <w:tcW w:w="659" w:type="dxa"/>
            <w:noWrap w:val="0"/>
            <w:vAlign w:val="center"/>
          </w:tcPr>
          <w:p>
            <w:pPr>
              <w:jc w:val="center"/>
              <w:rPr>
                <w:rFonts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分值</w:t>
            </w:r>
          </w:p>
        </w:tc>
        <w:tc>
          <w:tcPr>
            <w:tcW w:w="6095" w:type="dxa"/>
            <w:noWrap w:val="0"/>
            <w:vAlign w:val="center"/>
          </w:tcPr>
          <w:p>
            <w:pPr>
              <w:jc w:val="center"/>
              <w:rPr>
                <w:rFonts w:ascii="新宋体" w:hAnsi="新宋体" w:eastAsia="新宋体" w:cs="新宋体"/>
                <w:b/>
                <w:bCs/>
                <w:color w:val="auto"/>
                <w:kern w:val="0"/>
                <w:szCs w:val="21"/>
                <w:highlight w:val="none"/>
              </w:rPr>
            </w:pPr>
            <w:r>
              <w:rPr>
                <w:rFonts w:hint="eastAsia" w:ascii="新宋体" w:hAnsi="新宋体" w:eastAsia="新宋体" w:cs="新宋体"/>
                <w:b/>
                <w:bCs/>
                <w:color w:val="auto"/>
                <w:kern w:val="0"/>
                <w:szCs w:val="21"/>
                <w:highlight w:val="none"/>
              </w:rPr>
              <w:t>评审标准</w:t>
            </w:r>
          </w:p>
        </w:tc>
      </w:tr>
      <w:tr>
        <w:tblPrEx>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65" w:hRule="atLeast"/>
          <w:jc w:val="center"/>
        </w:trPr>
        <w:tc>
          <w:tcPr>
            <w:tcW w:w="525" w:type="dxa"/>
            <w:vMerge w:val="restart"/>
            <w:tcBorders>
              <w:top w:val="single" w:color="auto" w:sz="4" w:space="0"/>
            </w:tcBorders>
            <w:noWrap w:val="0"/>
            <w:vAlign w:val="center"/>
          </w:tcPr>
          <w:p>
            <w:pPr>
              <w:adjustRightInd w:val="0"/>
              <w:snapToGrid w:val="0"/>
              <w:jc w:val="center"/>
              <w:rPr>
                <w:rFonts w:ascii="新宋体" w:hAnsi="新宋体" w:eastAsia="新宋体" w:cs="新宋体"/>
                <w:bCs/>
                <w:color w:val="auto"/>
                <w:kern w:val="0"/>
                <w:szCs w:val="21"/>
                <w:highlight w:val="none"/>
              </w:rPr>
            </w:pPr>
            <w:r>
              <w:rPr>
                <w:rFonts w:ascii="新宋体" w:hAnsi="新宋体" w:eastAsia="新宋体" w:cs="新宋体"/>
                <w:color w:val="auto"/>
                <w:kern w:val="0"/>
                <w:szCs w:val="21"/>
                <w:highlight w:val="none"/>
              </w:rPr>
              <w:t>1</w:t>
            </w:r>
          </w:p>
        </w:tc>
        <w:tc>
          <w:tcPr>
            <w:tcW w:w="691" w:type="dxa"/>
            <w:vMerge w:val="restart"/>
            <w:tcBorders>
              <w:right w:val="single" w:color="auto" w:sz="4" w:space="0"/>
            </w:tcBorders>
            <w:noWrap w:val="0"/>
            <w:vAlign w:val="center"/>
          </w:tcPr>
          <w:p>
            <w:pPr>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项目技术方案</w:t>
            </w:r>
            <w:r>
              <w:rPr>
                <w:rFonts w:ascii="新宋体" w:hAnsi="新宋体" w:eastAsia="新宋体" w:cs="新宋体"/>
                <w:color w:val="auto"/>
                <w:szCs w:val="21"/>
                <w:highlight w:val="none"/>
              </w:rPr>
              <w:t>（32</w:t>
            </w:r>
            <w:r>
              <w:rPr>
                <w:rFonts w:hint="eastAsia" w:ascii="新宋体" w:hAnsi="新宋体" w:eastAsia="新宋体" w:cs="新宋体"/>
                <w:color w:val="auto"/>
                <w:szCs w:val="21"/>
                <w:highlight w:val="none"/>
              </w:rPr>
              <w:t>分</w:t>
            </w:r>
            <w:r>
              <w:rPr>
                <w:rFonts w:ascii="新宋体" w:hAnsi="新宋体" w:eastAsia="新宋体" w:cs="新宋体"/>
                <w:color w:val="auto"/>
                <w:szCs w:val="21"/>
                <w:highlight w:val="none"/>
              </w:rPr>
              <w:t>）</w:t>
            </w:r>
          </w:p>
        </w:tc>
        <w:tc>
          <w:tcPr>
            <w:tcW w:w="1468" w:type="dxa"/>
            <w:tcBorders>
              <w:left w:val="single" w:color="auto" w:sz="4" w:space="0"/>
            </w:tcBorders>
            <w:noWrap w:val="0"/>
            <w:vAlign w:val="center"/>
          </w:tcPr>
          <w:p>
            <w:pPr>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对项目的理解与需求分析</w:t>
            </w:r>
          </w:p>
        </w:tc>
        <w:tc>
          <w:tcPr>
            <w:tcW w:w="659" w:type="dxa"/>
            <w:noWrap w:val="0"/>
            <w:vAlign w:val="center"/>
          </w:tcPr>
          <w:p>
            <w:pPr>
              <w:jc w:val="center"/>
              <w:rPr>
                <w:rFonts w:ascii="新宋体" w:hAnsi="新宋体" w:eastAsia="新宋体" w:cs="新宋体"/>
                <w:color w:val="auto"/>
                <w:szCs w:val="21"/>
                <w:highlight w:val="none"/>
              </w:rPr>
            </w:pPr>
            <w:r>
              <w:rPr>
                <w:rFonts w:ascii="新宋体" w:hAnsi="新宋体" w:eastAsia="新宋体" w:cs="新宋体"/>
                <w:color w:val="auto"/>
                <w:szCs w:val="21"/>
                <w:highlight w:val="none"/>
              </w:rPr>
              <w:t>3</w:t>
            </w:r>
          </w:p>
        </w:tc>
        <w:tc>
          <w:tcPr>
            <w:tcW w:w="6095" w:type="dxa"/>
            <w:noWrap w:val="0"/>
            <w:vAlign w:val="center"/>
          </w:tcPr>
          <w:p>
            <w:pPr>
              <w:pStyle w:val="2"/>
              <w:numPr>
                <w:ilvl w:val="1"/>
                <w:numId w:val="0"/>
              </w:numPr>
              <w:spacing w:before="0" w:after="0" w:line="240" w:lineRule="auto"/>
              <w:rPr>
                <w:rFonts w:ascii="新宋体" w:hAnsi="新宋体" w:eastAsia="新宋体" w:cs="新宋体"/>
                <w:b w:val="0"/>
                <w:color w:val="auto"/>
                <w:sz w:val="21"/>
                <w:szCs w:val="21"/>
                <w:highlight w:val="none"/>
              </w:rPr>
            </w:pPr>
            <w:r>
              <w:rPr>
                <w:rFonts w:hint="eastAsia" w:ascii="新宋体" w:hAnsi="新宋体" w:eastAsia="新宋体" w:cs="新宋体"/>
                <w:b w:val="0"/>
                <w:color w:val="auto"/>
                <w:sz w:val="21"/>
                <w:szCs w:val="21"/>
                <w:highlight w:val="none"/>
              </w:rPr>
              <w:t>对本项目各项工作任务的认知、理解与需求分析把握是否准确、到位。准确、到位的：</w:t>
            </w:r>
            <w:r>
              <w:rPr>
                <w:rFonts w:ascii="新宋体" w:hAnsi="新宋体" w:eastAsia="新宋体" w:cs="新宋体"/>
                <w:b w:val="0"/>
                <w:color w:val="auto"/>
                <w:sz w:val="21"/>
                <w:szCs w:val="21"/>
                <w:highlight w:val="none"/>
              </w:rPr>
              <w:t>2</w:t>
            </w:r>
            <w:r>
              <w:rPr>
                <w:rFonts w:hint="eastAsia" w:ascii="新宋体" w:hAnsi="新宋体" w:eastAsia="新宋体" w:cs="新宋体"/>
                <w:b w:val="0"/>
                <w:color w:val="auto"/>
                <w:sz w:val="21"/>
                <w:szCs w:val="21"/>
                <w:highlight w:val="none"/>
              </w:rPr>
              <w:t>-</w:t>
            </w:r>
            <w:r>
              <w:rPr>
                <w:rFonts w:ascii="新宋体" w:hAnsi="新宋体" w:eastAsia="新宋体" w:cs="新宋体"/>
                <w:b w:val="0"/>
                <w:color w:val="auto"/>
                <w:sz w:val="21"/>
                <w:szCs w:val="21"/>
                <w:highlight w:val="none"/>
              </w:rPr>
              <w:t>3</w:t>
            </w:r>
            <w:r>
              <w:rPr>
                <w:rFonts w:hint="eastAsia" w:ascii="新宋体" w:hAnsi="新宋体" w:eastAsia="新宋体" w:cs="新宋体"/>
                <w:b w:val="0"/>
                <w:color w:val="auto"/>
                <w:sz w:val="21"/>
                <w:szCs w:val="21"/>
                <w:highlight w:val="none"/>
              </w:rPr>
              <w:t>分，基本准确、到位的：</w:t>
            </w:r>
            <w:r>
              <w:rPr>
                <w:rFonts w:ascii="新宋体" w:hAnsi="新宋体" w:eastAsia="新宋体" w:cs="新宋体"/>
                <w:b w:val="0"/>
                <w:color w:val="auto"/>
                <w:sz w:val="21"/>
                <w:szCs w:val="21"/>
                <w:highlight w:val="none"/>
              </w:rPr>
              <w:t>1</w:t>
            </w:r>
            <w:r>
              <w:rPr>
                <w:rFonts w:hint="eastAsia" w:ascii="新宋体" w:hAnsi="新宋体" w:eastAsia="新宋体" w:cs="新宋体"/>
                <w:b w:val="0"/>
                <w:color w:val="auto"/>
                <w:sz w:val="21"/>
                <w:szCs w:val="21"/>
                <w:highlight w:val="none"/>
              </w:rPr>
              <w:t>-</w:t>
            </w:r>
            <w:r>
              <w:rPr>
                <w:rFonts w:ascii="新宋体" w:hAnsi="新宋体" w:eastAsia="新宋体" w:cs="新宋体"/>
                <w:b w:val="0"/>
                <w:color w:val="auto"/>
                <w:sz w:val="21"/>
                <w:szCs w:val="21"/>
                <w:highlight w:val="none"/>
              </w:rPr>
              <w:t>2</w:t>
            </w:r>
            <w:r>
              <w:rPr>
                <w:rFonts w:hint="eastAsia" w:ascii="新宋体" w:hAnsi="新宋体" w:eastAsia="新宋体" w:cs="新宋体"/>
                <w:b w:val="0"/>
                <w:color w:val="auto"/>
                <w:sz w:val="21"/>
                <w:szCs w:val="21"/>
                <w:highlight w:val="none"/>
              </w:rPr>
              <w:t>分，不准确、不到位的：0-</w:t>
            </w:r>
            <w:r>
              <w:rPr>
                <w:rFonts w:ascii="新宋体" w:hAnsi="新宋体" w:eastAsia="新宋体" w:cs="新宋体"/>
                <w:b w:val="0"/>
                <w:color w:val="auto"/>
                <w:sz w:val="21"/>
                <w:szCs w:val="21"/>
                <w:highlight w:val="none"/>
              </w:rPr>
              <w:t>1</w:t>
            </w:r>
            <w:r>
              <w:rPr>
                <w:rFonts w:hint="eastAsia" w:ascii="新宋体" w:hAnsi="新宋体" w:eastAsia="新宋体" w:cs="新宋体"/>
                <w:b w:val="0"/>
                <w:color w:val="auto"/>
                <w:sz w:val="21"/>
                <w:szCs w:val="21"/>
                <w:highlight w:val="none"/>
              </w:rPr>
              <w:t>分。</w:t>
            </w:r>
          </w:p>
        </w:tc>
      </w:tr>
      <w:tr>
        <w:tblPrEx>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4" w:hRule="atLeast"/>
          <w:jc w:val="center"/>
        </w:trPr>
        <w:tc>
          <w:tcPr>
            <w:tcW w:w="525" w:type="dxa"/>
            <w:vMerge w:val="continue"/>
            <w:noWrap w:val="0"/>
            <w:vAlign w:val="center"/>
          </w:tcPr>
          <w:p>
            <w:pPr>
              <w:adjustRightInd w:val="0"/>
              <w:snapToGrid w:val="0"/>
              <w:jc w:val="center"/>
              <w:rPr>
                <w:rFonts w:ascii="新宋体" w:hAnsi="新宋体" w:eastAsia="新宋体" w:cs="新宋体"/>
                <w:color w:val="auto"/>
                <w:kern w:val="0"/>
                <w:szCs w:val="21"/>
                <w:highlight w:val="none"/>
              </w:rPr>
            </w:pPr>
          </w:p>
        </w:tc>
        <w:tc>
          <w:tcPr>
            <w:tcW w:w="691" w:type="dxa"/>
            <w:vMerge w:val="continue"/>
            <w:tcBorders>
              <w:right w:val="single" w:color="auto" w:sz="4" w:space="0"/>
            </w:tcBorders>
            <w:noWrap w:val="0"/>
            <w:vAlign w:val="center"/>
          </w:tcPr>
          <w:p>
            <w:pPr>
              <w:rPr>
                <w:rFonts w:ascii="新宋体" w:hAnsi="新宋体" w:eastAsia="新宋体" w:cs="新宋体"/>
                <w:color w:val="auto"/>
                <w:szCs w:val="21"/>
                <w:highlight w:val="none"/>
              </w:rPr>
            </w:pPr>
          </w:p>
        </w:tc>
        <w:tc>
          <w:tcPr>
            <w:tcW w:w="1468" w:type="dxa"/>
            <w:vMerge w:val="restart"/>
            <w:tcBorders>
              <w:left w:val="single" w:color="auto" w:sz="4" w:space="0"/>
            </w:tcBorders>
            <w:noWrap w:val="0"/>
            <w:vAlign w:val="center"/>
          </w:tcPr>
          <w:p>
            <w:pPr>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数据收集、分析</w:t>
            </w:r>
            <w:r>
              <w:rPr>
                <w:rFonts w:ascii="新宋体" w:hAnsi="新宋体" w:eastAsia="新宋体" w:cs="新宋体"/>
                <w:color w:val="auto"/>
                <w:szCs w:val="21"/>
                <w:highlight w:val="none"/>
              </w:rPr>
              <w:t>、</w:t>
            </w:r>
            <w:r>
              <w:rPr>
                <w:rFonts w:hint="eastAsia" w:ascii="新宋体" w:hAnsi="新宋体" w:eastAsia="新宋体" w:cs="新宋体"/>
                <w:color w:val="auto"/>
                <w:szCs w:val="21"/>
                <w:highlight w:val="none"/>
              </w:rPr>
              <w:t>利用方案</w:t>
            </w:r>
          </w:p>
        </w:tc>
        <w:tc>
          <w:tcPr>
            <w:tcW w:w="659" w:type="dxa"/>
            <w:tcBorders>
              <w:bottom w:val="single" w:color="auto" w:sz="4" w:space="0"/>
            </w:tcBorders>
            <w:noWrap w:val="0"/>
            <w:vAlign w:val="center"/>
          </w:tcPr>
          <w:p>
            <w:pPr>
              <w:jc w:val="center"/>
              <w:rPr>
                <w:rFonts w:ascii="新宋体" w:hAnsi="新宋体" w:eastAsia="新宋体" w:cs="新宋体"/>
                <w:color w:val="auto"/>
                <w:szCs w:val="21"/>
                <w:highlight w:val="none"/>
              </w:rPr>
            </w:pPr>
            <w:r>
              <w:rPr>
                <w:rFonts w:ascii="新宋体" w:hAnsi="新宋体" w:eastAsia="新宋体" w:cs="新宋体"/>
                <w:color w:val="auto"/>
                <w:szCs w:val="21"/>
                <w:highlight w:val="none"/>
              </w:rPr>
              <w:t>1</w:t>
            </w:r>
          </w:p>
        </w:tc>
        <w:tc>
          <w:tcPr>
            <w:tcW w:w="6095" w:type="dxa"/>
            <w:tcBorders>
              <w:bottom w:val="single" w:color="auto" w:sz="4" w:space="0"/>
            </w:tcBorders>
            <w:noWrap w:val="0"/>
            <w:vAlign w:val="center"/>
          </w:tcPr>
          <w:p>
            <w:pPr>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数据收集</w:t>
            </w:r>
            <w:r>
              <w:rPr>
                <w:rFonts w:ascii="新宋体" w:hAnsi="新宋体" w:eastAsia="新宋体" w:cs="新宋体"/>
                <w:color w:val="auto"/>
                <w:szCs w:val="21"/>
                <w:highlight w:val="none"/>
              </w:rPr>
              <w:t>内容涵盖</w:t>
            </w:r>
            <w:r>
              <w:rPr>
                <w:rFonts w:hint="eastAsia" w:ascii="新宋体" w:hAnsi="新宋体" w:eastAsia="新宋体" w:cs="新宋体"/>
                <w:color w:val="auto"/>
                <w:szCs w:val="21"/>
                <w:highlight w:val="none"/>
              </w:rPr>
              <w:t>全面，能明确</w:t>
            </w:r>
            <w:r>
              <w:rPr>
                <w:rFonts w:ascii="新宋体" w:hAnsi="新宋体" w:eastAsia="新宋体" w:cs="新宋体"/>
                <w:color w:val="auto"/>
                <w:szCs w:val="21"/>
                <w:highlight w:val="none"/>
              </w:rPr>
              <w:t>数据合法来源，</w:t>
            </w:r>
            <w:r>
              <w:rPr>
                <w:rFonts w:hint="eastAsia" w:ascii="新宋体" w:hAnsi="新宋体" w:eastAsia="新宋体" w:cs="新宋体"/>
                <w:color w:val="auto"/>
                <w:szCs w:val="21"/>
                <w:highlight w:val="none"/>
              </w:rPr>
              <w:t>可支撑</w:t>
            </w:r>
            <w:r>
              <w:rPr>
                <w:rFonts w:ascii="新宋体" w:hAnsi="新宋体" w:eastAsia="新宋体" w:cs="新宋体"/>
                <w:color w:val="auto"/>
                <w:szCs w:val="21"/>
                <w:highlight w:val="none"/>
              </w:rPr>
              <w:t>本</w:t>
            </w:r>
            <w:r>
              <w:rPr>
                <w:rFonts w:hint="eastAsia" w:ascii="新宋体" w:hAnsi="新宋体" w:eastAsia="新宋体" w:cs="新宋体"/>
                <w:color w:val="auto"/>
                <w:szCs w:val="21"/>
                <w:highlight w:val="none"/>
              </w:rPr>
              <w:t>项目实施</w:t>
            </w:r>
            <w:r>
              <w:rPr>
                <w:rFonts w:ascii="新宋体" w:hAnsi="新宋体" w:eastAsia="新宋体" w:cs="新宋体"/>
                <w:color w:val="auto"/>
                <w:szCs w:val="21"/>
                <w:highlight w:val="none"/>
              </w:rPr>
              <w:t>需求</w:t>
            </w:r>
            <w:r>
              <w:rPr>
                <w:rFonts w:hint="eastAsia" w:ascii="新宋体" w:hAnsi="新宋体" w:eastAsia="新宋体" w:cs="新宋体"/>
                <w:color w:val="auto"/>
                <w:szCs w:val="21"/>
                <w:highlight w:val="none"/>
              </w:rPr>
              <w:t>0-</w:t>
            </w:r>
            <w:r>
              <w:rPr>
                <w:rFonts w:ascii="新宋体" w:hAnsi="新宋体" w:eastAsia="新宋体" w:cs="新宋体"/>
                <w:color w:val="auto"/>
                <w:szCs w:val="21"/>
                <w:highlight w:val="none"/>
              </w:rPr>
              <w:t>1</w:t>
            </w:r>
            <w:r>
              <w:rPr>
                <w:rFonts w:hint="eastAsia" w:ascii="新宋体" w:hAnsi="新宋体" w:eastAsia="新宋体" w:cs="新宋体"/>
                <w:color w:val="auto"/>
                <w:szCs w:val="21"/>
                <w:highlight w:val="none"/>
              </w:rPr>
              <w:t>分</w:t>
            </w:r>
            <w:r>
              <w:rPr>
                <w:rFonts w:ascii="新宋体" w:hAnsi="新宋体" w:eastAsia="新宋体" w:cs="新宋体"/>
                <w:color w:val="auto"/>
                <w:szCs w:val="21"/>
                <w:highlight w:val="none"/>
              </w:rPr>
              <w:t>；</w:t>
            </w:r>
          </w:p>
        </w:tc>
      </w:tr>
      <w:tr>
        <w:tblPrEx>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2" w:hRule="atLeast"/>
          <w:jc w:val="center"/>
        </w:trPr>
        <w:tc>
          <w:tcPr>
            <w:tcW w:w="525" w:type="dxa"/>
            <w:vMerge w:val="continue"/>
            <w:noWrap w:val="0"/>
            <w:vAlign w:val="center"/>
          </w:tcPr>
          <w:p>
            <w:pPr>
              <w:adjustRightInd w:val="0"/>
              <w:snapToGrid w:val="0"/>
              <w:jc w:val="center"/>
              <w:rPr>
                <w:rFonts w:ascii="新宋体" w:hAnsi="新宋体" w:eastAsia="新宋体" w:cs="新宋体"/>
                <w:color w:val="auto"/>
                <w:kern w:val="0"/>
                <w:szCs w:val="21"/>
                <w:highlight w:val="none"/>
              </w:rPr>
            </w:pPr>
          </w:p>
        </w:tc>
        <w:tc>
          <w:tcPr>
            <w:tcW w:w="691" w:type="dxa"/>
            <w:vMerge w:val="continue"/>
            <w:tcBorders>
              <w:right w:val="single" w:color="auto" w:sz="4" w:space="0"/>
            </w:tcBorders>
            <w:noWrap w:val="0"/>
            <w:vAlign w:val="center"/>
          </w:tcPr>
          <w:p>
            <w:pPr>
              <w:rPr>
                <w:rFonts w:ascii="新宋体" w:hAnsi="新宋体" w:eastAsia="新宋体" w:cs="新宋体"/>
                <w:color w:val="auto"/>
                <w:szCs w:val="21"/>
                <w:highlight w:val="none"/>
              </w:rPr>
            </w:pPr>
          </w:p>
        </w:tc>
        <w:tc>
          <w:tcPr>
            <w:tcW w:w="1468" w:type="dxa"/>
            <w:vMerge w:val="continue"/>
            <w:tcBorders>
              <w:left w:val="single" w:color="auto" w:sz="4" w:space="0"/>
            </w:tcBorders>
            <w:noWrap w:val="0"/>
            <w:vAlign w:val="center"/>
          </w:tcPr>
          <w:p>
            <w:pPr>
              <w:rPr>
                <w:rFonts w:ascii="新宋体" w:hAnsi="新宋体" w:eastAsia="新宋体" w:cs="新宋体"/>
                <w:color w:val="auto"/>
                <w:szCs w:val="21"/>
                <w:highlight w:val="none"/>
              </w:rPr>
            </w:pPr>
          </w:p>
        </w:tc>
        <w:tc>
          <w:tcPr>
            <w:tcW w:w="659" w:type="dxa"/>
            <w:tcBorders>
              <w:top w:val="single" w:color="auto" w:sz="4" w:space="0"/>
            </w:tcBorders>
            <w:noWrap w:val="0"/>
            <w:vAlign w:val="center"/>
          </w:tcPr>
          <w:p>
            <w:pPr>
              <w:jc w:val="center"/>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2</w:t>
            </w:r>
          </w:p>
        </w:tc>
        <w:tc>
          <w:tcPr>
            <w:tcW w:w="6095" w:type="dxa"/>
            <w:tcBorders>
              <w:top w:val="single" w:color="auto" w:sz="4" w:space="0"/>
            </w:tcBorders>
            <w:noWrap w:val="0"/>
            <w:vAlign w:val="center"/>
          </w:tcPr>
          <w:p>
            <w:pPr>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对收集的各类</w:t>
            </w:r>
            <w:r>
              <w:rPr>
                <w:rFonts w:ascii="新宋体" w:hAnsi="新宋体" w:eastAsia="新宋体" w:cs="新宋体"/>
                <w:color w:val="auto"/>
                <w:szCs w:val="21"/>
                <w:highlight w:val="none"/>
              </w:rPr>
              <w:t>数据</w:t>
            </w:r>
            <w:r>
              <w:rPr>
                <w:rFonts w:hint="eastAsia" w:ascii="新宋体" w:hAnsi="新宋体" w:eastAsia="新宋体" w:cs="新宋体"/>
                <w:color w:val="auto"/>
                <w:szCs w:val="21"/>
                <w:highlight w:val="none"/>
              </w:rPr>
              <w:t>现状情况分析（</w:t>
            </w:r>
            <w:r>
              <w:rPr>
                <w:rFonts w:ascii="新宋体" w:hAnsi="新宋体" w:eastAsia="新宋体" w:cs="新宋体"/>
                <w:color w:val="auto"/>
                <w:szCs w:val="21"/>
                <w:highlight w:val="none"/>
              </w:rPr>
              <w:t>现势性</w:t>
            </w:r>
            <w:r>
              <w:rPr>
                <w:rFonts w:hint="eastAsia" w:ascii="新宋体" w:hAnsi="新宋体" w:eastAsia="新宋体" w:cs="新宋体"/>
                <w:color w:val="auto"/>
                <w:szCs w:val="21"/>
                <w:highlight w:val="none"/>
              </w:rPr>
              <w:t>、</w:t>
            </w:r>
            <w:r>
              <w:rPr>
                <w:rFonts w:ascii="新宋体" w:hAnsi="新宋体" w:eastAsia="新宋体" w:cs="新宋体"/>
                <w:color w:val="auto"/>
                <w:szCs w:val="21"/>
                <w:highlight w:val="none"/>
              </w:rPr>
              <w:t>范围</w:t>
            </w:r>
            <w:r>
              <w:rPr>
                <w:rFonts w:hint="eastAsia" w:ascii="新宋体" w:hAnsi="新宋体" w:eastAsia="新宋体" w:cs="新宋体"/>
                <w:color w:val="auto"/>
                <w:szCs w:val="21"/>
                <w:highlight w:val="none"/>
              </w:rPr>
              <w:t>、</w:t>
            </w:r>
            <w:r>
              <w:rPr>
                <w:rFonts w:ascii="新宋体" w:hAnsi="新宋体" w:eastAsia="新宋体" w:cs="新宋体"/>
                <w:color w:val="auto"/>
                <w:szCs w:val="21"/>
                <w:highlight w:val="none"/>
              </w:rPr>
              <w:t>坐标</w:t>
            </w:r>
            <w:r>
              <w:rPr>
                <w:rFonts w:hint="eastAsia" w:ascii="新宋体" w:hAnsi="新宋体" w:eastAsia="新宋体" w:cs="新宋体"/>
                <w:color w:val="auto"/>
                <w:szCs w:val="21"/>
                <w:highlight w:val="none"/>
              </w:rPr>
              <w:t>、</w:t>
            </w:r>
            <w:r>
              <w:rPr>
                <w:rFonts w:ascii="新宋体" w:hAnsi="新宋体" w:eastAsia="新宋体" w:cs="新宋体"/>
                <w:color w:val="auto"/>
                <w:szCs w:val="21"/>
                <w:highlight w:val="none"/>
              </w:rPr>
              <w:t>精度等）</w:t>
            </w:r>
            <w:r>
              <w:rPr>
                <w:rFonts w:hint="eastAsia" w:ascii="新宋体" w:hAnsi="新宋体" w:eastAsia="新宋体" w:cs="新宋体"/>
                <w:color w:val="auto"/>
                <w:szCs w:val="21"/>
                <w:highlight w:val="none"/>
              </w:rPr>
              <w:t>、</w:t>
            </w:r>
            <w:r>
              <w:rPr>
                <w:rFonts w:ascii="新宋体" w:hAnsi="新宋体" w:eastAsia="新宋体" w:cs="新宋体"/>
                <w:color w:val="auto"/>
                <w:szCs w:val="21"/>
                <w:highlight w:val="none"/>
              </w:rPr>
              <w:t>用途</w:t>
            </w:r>
            <w:r>
              <w:rPr>
                <w:rFonts w:hint="eastAsia" w:ascii="新宋体" w:hAnsi="新宋体" w:eastAsia="新宋体" w:cs="新宋体"/>
                <w:color w:val="auto"/>
                <w:szCs w:val="21"/>
                <w:highlight w:val="none"/>
              </w:rPr>
              <w:t>理解</w:t>
            </w:r>
            <w:r>
              <w:rPr>
                <w:rFonts w:ascii="新宋体" w:hAnsi="新宋体" w:eastAsia="新宋体" w:cs="新宋体"/>
                <w:color w:val="auto"/>
                <w:szCs w:val="21"/>
                <w:highlight w:val="none"/>
              </w:rPr>
              <w:t>透彻</w:t>
            </w:r>
            <w:r>
              <w:rPr>
                <w:rFonts w:hint="eastAsia" w:ascii="新宋体" w:hAnsi="新宋体" w:eastAsia="新宋体" w:cs="新宋体"/>
                <w:color w:val="auto"/>
                <w:szCs w:val="21"/>
                <w:highlight w:val="none"/>
              </w:rPr>
              <w:t>，</w:t>
            </w:r>
            <w:r>
              <w:rPr>
                <w:rFonts w:ascii="新宋体" w:hAnsi="新宋体" w:eastAsia="新宋体" w:cs="新宋体"/>
                <w:color w:val="auto"/>
                <w:szCs w:val="21"/>
                <w:highlight w:val="none"/>
              </w:rPr>
              <w:t>并能合理利用</w:t>
            </w:r>
            <w:r>
              <w:rPr>
                <w:rFonts w:hint="eastAsia" w:ascii="新宋体" w:hAnsi="新宋体" w:eastAsia="新宋体" w:cs="新宋体"/>
                <w:color w:val="auto"/>
                <w:szCs w:val="21"/>
                <w:highlight w:val="none"/>
              </w:rPr>
              <w:t>现有</w:t>
            </w:r>
            <w:r>
              <w:rPr>
                <w:rFonts w:ascii="新宋体" w:hAnsi="新宋体" w:eastAsia="新宋体" w:cs="新宋体"/>
                <w:color w:val="auto"/>
                <w:szCs w:val="21"/>
                <w:highlight w:val="none"/>
              </w:rPr>
              <w:t>数据</w:t>
            </w:r>
            <w:r>
              <w:rPr>
                <w:rFonts w:hint="eastAsia" w:ascii="新宋体" w:hAnsi="新宋体" w:eastAsia="新宋体" w:cs="新宋体"/>
                <w:color w:val="auto"/>
                <w:szCs w:val="21"/>
                <w:highlight w:val="none"/>
              </w:rPr>
              <w:t>进行</w:t>
            </w:r>
            <w:r>
              <w:rPr>
                <w:rFonts w:ascii="新宋体" w:hAnsi="新宋体" w:eastAsia="新宋体" w:cs="新宋体"/>
                <w:color w:val="auto"/>
                <w:szCs w:val="21"/>
                <w:highlight w:val="none"/>
              </w:rPr>
              <w:t>相互补充</w:t>
            </w:r>
            <w:r>
              <w:rPr>
                <w:rFonts w:hint="eastAsia" w:ascii="新宋体" w:hAnsi="新宋体" w:eastAsia="新宋体" w:cs="新宋体"/>
                <w:color w:val="auto"/>
                <w:szCs w:val="21"/>
                <w:highlight w:val="none"/>
              </w:rPr>
              <w:t>，促进</w:t>
            </w:r>
            <w:r>
              <w:rPr>
                <w:rFonts w:ascii="新宋体" w:hAnsi="新宋体" w:eastAsia="新宋体" w:cs="新宋体"/>
                <w:color w:val="auto"/>
                <w:szCs w:val="21"/>
                <w:highlight w:val="none"/>
              </w:rPr>
              <w:t>项目</w:t>
            </w:r>
            <w:r>
              <w:rPr>
                <w:rFonts w:hint="eastAsia" w:ascii="新宋体" w:hAnsi="新宋体" w:eastAsia="新宋体" w:cs="新宋体"/>
                <w:color w:val="auto"/>
                <w:szCs w:val="21"/>
                <w:highlight w:val="none"/>
              </w:rPr>
              <w:t>顺利</w:t>
            </w:r>
            <w:r>
              <w:rPr>
                <w:rFonts w:ascii="新宋体" w:hAnsi="新宋体" w:eastAsia="新宋体" w:cs="新宋体"/>
                <w:color w:val="auto"/>
                <w:szCs w:val="21"/>
                <w:highlight w:val="none"/>
              </w:rPr>
              <w:t>实施</w:t>
            </w:r>
            <w:r>
              <w:rPr>
                <w:rFonts w:hint="eastAsia" w:ascii="新宋体" w:hAnsi="新宋体" w:eastAsia="新宋体" w:cs="新宋体"/>
                <w:color w:val="auto"/>
                <w:szCs w:val="21"/>
                <w:highlight w:val="none"/>
              </w:rPr>
              <w:t>0-2分</w:t>
            </w:r>
            <w:r>
              <w:rPr>
                <w:rFonts w:ascii="新宋体" w:hAnsi="新宋体" w:eastAsia="新宋体" w:cs="新宋体"/>
                <w:color w:val="auto"/>
                <w:szCs w:val="21"/>
                <w:highlight w:val="none"/>
              </w:rPr>
              <w:t>。</w:t>
            </w:r>
          </w:p>
        </w:tc>
      </w:tr>
      <w:tr>
        <w:tblPrEx>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4" w:hRule="atLeast"/>
          <w:jc w:val="center"/>
        </w:trPr>
        <w:tc>
          <w:tcPr>
            <w:tcW w:w="525" w:type="dxa"/>
            <w:vMerge w:val="continue"/>
            <w:noWrap w:val="0"/>
            <w:vAlign w:val="center"/>
          </w:tcPr>
          <w:p>
            <w:pPr>
              <w:adjustRightInd w:val="0"/>
              <w:snapToGrid w:val="0"/>
              <w:jc w:val="center"/>
              <w:rPr>
                <w:rFonts w:ascii="新宋体" w:hAnsi="新宋体" w:eastAsia="新宋体" w:cs="新宋体"/>
                <w:color w:val="auto"/>
                <w:kern w:val="0"/>
                <w:szCs w:val="21"/>
                <w:highlight w:val="none"/>
              </w:rPr>
            </w:pPr>
          </w:p>
        </w:tc>
        <w:tc>
          <w:tcPr>
            <w:tcW w:w="691" w:type="dxa"/>
            <w:vMerge w:val="continue"/>
            <w:tcBorders>
              <w:right w:val="single" w:color="auto" w:sz="4" w:space="0"/>
            </w:tcBorders>
            <w:noWrap w:val="0"/>
            <w:vAlign w:val="center"/>
          </w:tcPr>
          <w:p>
            <w:pPr>
              <w:rPr>
                <w:rFonts w:ascii="新宋体" w:hAnsi="新宋体" w:eastAsia="新宋体" w:cs="新宋体"/>
                <w:color w:val="auto"/>
                <w:szCs w:val="21"/>
                <w:highlight w:val="none"/>
              </w:rPr>
            </w:pPr>
          </w:p>
        </w:tc>
        <w:tc>
          <w:tcPr>
            <w:tcW w:w="1468" w:type="dxa"/>
            <w:vMerge w:val="restart"/>
            <w:tcBorders>
              <w:left w:val="single" w:color="auto" w:sz="4" w:space="0"/>
            </w:tcBorders>
            <w:noWrap w:val="0"/>
            <w:vAlign w:val="center"/>
          </w:tcPr>
          <w:p>
            <w:pPr>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绿化资源</w:t>
            </w:r>
            <w:r>
              <w:rPr>
                <w:rFonts w:ascii="新宋体" w:hAnsi="新宋体" w:eastAsia="新宋体" w:cs="新宋体"/>
                <w:color w:val="auto"/>
                <w:szCs w:val="21"/>
                <w:highlight w:val="none"/>
              </w:rPr>
              <w:t>数据动态更新方案</w:t>
            </w:r>
          </w:p>
        </w:tc>
        <w:tc>
          <w:tcPr>
            <w:tcW w:w="659" w:type="dxa"/>
            <w:tcBorders>
              <w:bottom w:val="single" w:color="auto" w:sz="4" w:space="0"/>
            </w:tcBorders>
            <w:noWrap w:val="0"/>
            <w:vAlign w:val="center"/>
          </w:tcPr>
          <w:p>
            <w:pPr>
              <w:jc w:val="center"/>
              <w:rPr>
                <w:rFonts w:ascii="新宋体" w:hAnsi="新宋体" w:eastAsia="新宋体" w:cs="新宋体"/>
                <w:color w:val="auto"/>
                <w:szCs w:val="21"/>
                <w:highlight w:val="none"/>
              </w:rPr>
            </w:pPr>
            <w:r>
              <w:rPr>
                <w:rFonts w:ascii="新宋体" w:hAnsi="新宋体" w:eastAsia="新宋体" w:cs="新宋体"/>
                <w:color w:val="auto"/>
                <w:szCs w:val="21"/>
                <w:highlight w:val="none"/>
              </w:rPr>
              <w:t>2</w:t>
            </w:r>
          </w:p>
        </w:tc>
        <w:tc>
          <w:tcPr>
            <w:tcW w:w="6095" w:type="dxa"/>
            <w:tcBorders>
              <w:bottom w:val="single" w:color="auto" w:sz="4" w:space="0"/>
            </w:tcBorders>
            <w:noWrap w:val="0"/>
            <w:vAlign w:val="center"/>
          </w:tcPr>
          <w:p>
            <w:pPr>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方案总体</w:t>
            </w:r>
            <w:r>
              <w:rPr>
                <w:rFonts w:ascii="新宋体" w:hAnsi="新宋体" w:eastAsia="新宋体" w:cs="新宋体"/>
                <w:color w:val="auto"/>
                <w:szCs w:val="21"/>
                <w:highlight w:val="none"/>
              </w:rPr>
              <w:t>思路</w:t>
            </w:r>
            <w:r>
              <w:rPr>
                <w:rFonts w:hint="eastAsia" w:ascii="新宋体" w:hAnsi="新宋体" w:eastAsia="新宋体" w:cs="新宋体"/>
                <w:color w:val="auto"/>
                <w:szCs w:val="21"/>
                <w:highlight w:val="none"/>
              </w:rPr>
              <w:t>是否</w:t>
            </w:r>
            <w:r>
              <w:rPr>
                <w:rFonts w:ascii="新宋体" w:hAnsi="新宋体" w:eastAsia="新宋体" w:cs="新宋体"/>
                <w:color w:val="auto"/>
                <w:szCs w:val="21"/>
                <w:highlight w:val="none"/>
              </w:rPr>
              <w:t>明确、针对性强，</w:t>
            </w:r>
            <w:r>
              <w:rPr>
                <w:rFonts w:hint="eastAsia" w:ascii="新宋体" w:hAnsi="新宋体" w:eastAsia="新宋体" w:cs="新宋体"/>
                <w:color w:val="auto"/>
                <w:szCs w:val="21"/>
                <w:highlight w:val="none"/>
              </w:rPr>
              <w:t>技术路线与用户需求吻合程度0</w:t>
            </w:r>
            <w:r>
              <w:rPr>
                <w:rFonts w:ascii="新宋体" w:hAnsi="新宋体" w:eastAsia="新宋体" w:cs="新宋体"/>
                <w:color w:val="auto"/>
                <w:szCs w:val="21"/>
                <w:highlight w:val="none"/>
              </w:rPr>
              <w:t>-2</w:t>
            </w:r>
            <w:r>
              <w:rPr>
                <w:rFonts w:hint="eastAsia" w:ascii="新宋体" w:hAnsi="新宋体" w:eastAsia="新宋体" w:cs="新宋体"/>
                <w:color w:val="auto"/>
                <w:szCs w:val="21"/>
                <w:highlight w:val="none"/>
              </w:rPr>
              <w:t>分；</w:t>
            </w:r>
          </w:p>
        </w:tc>
      </w:tr>
      <w:tr>
        <w:tblPrEx>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6" w:hRule="atLeast"/>
          <w:jc w:val="center"/>
        </w:trPr>
        <w:tc>
          <w:tcPr>
            <w:tcW w:w="525" w:type="dxa"/>
            <w:vMerge w:val="continue"/>
            <w:noWrap w:val="0"/>
            <w:vAlign w:val="center"/>
          </w:tcPr>
          <w:p>
            <w:pPr>
              <w:adjustRightInd w:val="0"/>
              <w:snapToGrid w:val="0"/>
              <w:jc w:val="center"/>
              <w:rPr>
                <w:rFonts w:ascii="新宋体" w:hAnsi="新宋体" w:eastAsia="新宋体" w:cs="新宋体"/>
                <w:color w:val="auto"/>
                <w:kern w:val="0"/>
                <w:szCs w:val="21"/>
                <w:highlight w:val="none"/>
              </w:rPr>
            </w:pPr>
          </w:p>
        </w:tc>
        <w:tc>
          <w:tcPr>
            <w:tcW w:w="691" w:type="dxa"/>
            <w:vMerge w:val="continue"/>
            <w:tcBorders>
              <w:right w:val="single" w:color="auto" w:sz="4" w:space="0"/>
            </w:tcBorders>
            <w:noWrap w:val="0"/>
            <w:vAlign w:val="center"/>
          </w:tcPr>
          <w:p>
            <w:pPr>
              <w:rPr>
                <w:rFonts w:ascii="新宋体" w:hAnsi="新宋体" w:eastAsia="新宋体" w:cs="新宋体"/>
                <w:color w:val="auto"/>
                <w:szCs w:val="21"/>
                <w:highlight w:val="none"/>
              </w:rPr>
            </w:pPr>
          </w:p>
        </w:tc>
        <w:tc>
          <w:tcPr>
            <w:tcW w:w="1468" w:type="dxa"/>
            <w:vMerge w:val="continue"/>
            <w:tcBorders>
              <w:left w:val="single" w:color="auto" w:sz="4" w:space="0"/>
            </w:tcBorders>
            <w:noWrap w:val="0"/>
            <w:vAlign w:val="center"/>
          </w:tcPr>
          <w:p>
            <w:pPr>
              <w:rPr>
                <w:rFonts w:ascii="新宋体" w:hAnsi="新宋体" w:eastAsia="新宋体" w:cs="新宋体"/>
                <w:color w:val="auto"/>
                <w:szCs w:val="21"/>
                <w:highlight w:val="none"/>
              </w:rPr>
            </w:pPr>
          </w:p>
        </w:tc>
        <w:tc>
          <w:tcPr>
            <w:tcW w:w="659" w:type="dxa"/>
            <w:tcBorders>
              <w:top w:val="single" w:color="auto" w:sz="4" w:space="0"/>
              <w:bottom w:val="single" w:color="auto" w:sz="4" w:space="0"/>
            </w:tcBorders>
            <w:noWrap w:val="0"/>
            <w:vAlign w:val="center"/>
          </w:tcPr>
          <w:p>
            <w:pPr>
              <w:jc w:val="center"/>
              <w:rPr>
                <w:rFonts w:ascii="新宋体" w:hAnsi="新宋体" w:eastAsia="新宋体" w:cs="新宋体"/>
                <w:color w:val="auto"/>
                <w:szCs w:val="21"/>
                <w:highlight w:val="none"/>
              </w:rPr>
            </w:pPr>
            <w:r>
              <w:rPr>
                <w:rFonts w:ascii="新宋体" w:hAnsi="新宋体" w:eastAsia="新宋体" w:cs="新宋体"/>
                <w:color w:val="auto"/>
                <w:szCs w:val="21"/>
                <w:highlight w:val="none"/>
              </w:rPr>
              <w:t>3</w:t>
            </w:r>
          </w:p>
        </w:tc>
        <w:tc>
          <w:tcPr>
            <w:tcW w:w="6095" w:type="dxa"/>
            <w:tcBorders>
              <w:top w:val="single" w:color="auto" w:sz="4" w:space="0"/>
              <w:bottom w:val="single" w:color="auto" w:sz="4" w:space="0"/>
            </w:tcBorders>
            <w:noWrap w:val="0"/>
            <w:vAlign w:val="center"/>
          </w:tcPr>
          <w:p>
            <w:pPr>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能</w:t>
            </w:r>
            <w:r>
              <w:rPr>
                <w:rFonts w:ascii="新宋体" w:hAnsi="新宋体" w:eastAsia="新宋体" w:cs="新宋体"/>
                <w:color w:val="auto"/>
                <w:szCs w:val="21"/>
                <w:highlight w:val="none"/>
              </w:rPr>
              <w:t>详实说明</w:t>
            </w:r>
            <w:r>
              <w:rPr>
                <w:rFonts w:hint="eastAsia" w:ascii="新宋体" w:hAnsi="新宋体" w:eastAsia="新宋体" w:cs="新宋体"/>
                <w:color w:val="auto"/>
                <w:szCs w:val="21"/>
                <w:highlight w:val="none"/>
              </w:rPr>
              <w:t>如数据</w:t>
            </w:r>
            <w:r>
              <w:rPr>
                <w:rFonts w:ascii="新宋体" w:hAnsi="新宋体" w:eastAsia="新宋体" w:cs="新宋体"/>
                <w:color w:val="auto"/>
                <w:szCs w:val="21"/>
                <w:highlight w:val="none"/>
              </w:rPr>
              <w:t>预处理、内业处理、外业调查、综合修正、质量检查、成果建库等作业手段</w:t>
            </w:r>
            <w:r>
              <w:rPr>
                <w:rFonts w:hint="eastAsia" w:ascii="新宋体" w:hAnsi="新宋体" w:eastAsia="新宋体" w:cs="新宋体"/>
                <w:color w:val="auto"/>
                <w:szCs w:val="21"/>
                <w:highlight w:val="none"/>
              </w:rPr>
              <w:t>和</w:t>
            </w:r>
            <w:r>
              <w:rPr>
                <w:rFonts w:ascii="新宋体" w:hAnsi="新宋体" w:eastAsia="新宋体" w:cs="新宋体"/>
                <w:color w:val="auto"/>
                <w:szCs w:val="21"/>
                <w:highlight w:val="none"/>
              </w:rPr>
              <w:t>技术方法</w:t>
            </w:r>
            <w:r>
              <w:rPr>
                <w:rFonts w:hint="eastAsia" w:ascii="新宋体" w:hAnsi="新宋体" w:eastAsia="新宋体" w:cs="新宋体"/>
                <w:color w:val="auto"/>
                <w:szCs w:val="21"/>
                <w:highlight w:val="none"/>
              </w:rPr>
              <w:t>0</w:t>
            </w:r>
            <w:r>
              <w:rPr>
                <w:rFonts w:ascii="新宋体" w:hAnsi="新宋体" w:eastAsia="新宋体" w:cs="新宋体"/>
                <w:color w:val="auto"/>
                <w:szCs w:val="21"/>
                <w:highlight w:val="none"/>
              </w:rPr>
              <w:t>-3</w:t>
            </w:r>
            <w:r>
              <w:rPr>
                <w:rFonts w:hint="eastAsia" w:ascii="新宋体" w:hAnsi="新宋体" w:eastAsia="新宋体" w:cs="新宋体"/>
                <w:color w:val="auto"/>
                <w:szCs w:val="21"/>
                <w:highlight w:val="none"/>
              </w:rPr>
              <w:t>分；</w:t>
            </w:r>
          </w:p>
        </w:tc>
      </w:tr>
      <w:tr>
        <w:tblPrEx>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5" w:hRule="atLeast"/>
          <w:jc w:val="center"/>
        </w:trPr>
        <w:tc>
          <w:tcPr>
            <w:tcW w:w="525" w:type="dxa"/>
            <w:vMerge w:val="continue"/>
            <w:noWrap w:val="0"/>
            <w:vAlign w:val="center"/>
          </w:tcPr>
          <w:p>
            <w:pPr>
              <w:adjustRightInd w:val="0"/>
              <w:snapToGrid w:val="0"/>
              <w:jc w:val="center"/>
              <w:rPr>
                <w:rFonts w:ascii="新宋体" w:hAnsi="新宋体" w:eastAsia="新宋体" w:cs="新宋体"/>
                <w:color w:val="auto"/>
                <w:kern w:val="0"/>
                <w:szCs w:val="21"/>
                <w:highlight w:val="none"/>
              </w:rPr>
            </w:pPr>
          </w:p>
        </w:tc>
        <w:tc>
          <w:tcPr>
            <w:tcW w:w="691" w:type="dxa"/>
            <w:vMerge w:val="continue"/>
            <w:tcBorders>
              <w:right w:val="single" w:color="auto" w:sz="4" w:space="0"/>
            </w:tcBorders>
            <w:noWrap w:val="0"/>
            <w:vAlign w:val="center"/>
          </w:tcPr>
          <w:p>
            <w:pPr>
              <w:rPr>
                <w:rFonts w:ascii="新宋体" w:hAnsi="新宋体" w:eastAsia="新宋体" w:cs="新宋体"/>
                <w:color w:val="auto"/>
                <w:szCs w:val="21"/>
                <w:highlight w:val="none"/>
              </w:rPr>
            </w:pPr>
          </w:p>
        </w:tc>
        <w:tc>
          <w:tcPr>
            <w:tcW w:w="1468" w:type="dxa"/>
            <w:vMerge w:val="continue"/>
            <w:tcBorders>
              <w:left w:val="single" w:color="auto" w:sz="4" w:space="0"/>
            </w:tcBorders>
            <w:noWrap w:val="0"/>
            <w:vAlign w:val="center"/>
          </w:tcPr>
          <w:p>
            <w:pPr>
              <w:rPr>
                <w:rFonts w:ascii="新宋体" w:hAnsi="新宋体" w:eastAsia="新宋体" w:cs="新宋体"/>
                <w:color w:val="auto"/>
                <w:szCs w:val="21"/>
                <w:highlight w:val="none"/>
              </w:rPr>
            </w:pPr>
          </w:p>
        </w:tc>
        <w:tc>
          <w:tcPr>
            <w:tcW w:w="659" w:type="dxa"/>
            <w:tcBorders>
              <w:top w:val="single" w:color="auto" w:sz="4" w:space="0"/>
              <w:bottom w:val="single" w:color="auto" w:sz="4" w:space="0"/>
            </w:tcBorders>
            <w:noWrap w:val="0"/>
            <w:vAlign w:val="center"/>
          </w:tcPr>
          <w:p>
            <w:pPr>
              <w:jc w:val="center"/>
              <w:rPr>
                <w:rFonts w:ascii="新宋体" w:hAnsi="新宋体" w:eastAsia="新宋体" w:cs="新宋体"/>
                <w:color w:val="auto"/>
                <w:szCs w:val="21"/>
                <w:highlight w:val="none"/>
              </w:rPr>
            </w:pPr>
            <w:r>
              <w:rPr>
                <w:rFonts w:ascii="新宋体" w:hAnsi="新宋体" w:eastAsia="新宋体" w:cs="新宋体"/>
                <w:color w:val="auto"/>
                <w:szCs w:val="21"/>
                <w:highlight w:val="none"/>
              </w:rPr>
              <w:t>2</w:t>
            </w:r>
          </w:p>
        </w:tc>
        <w:tc>
          <w:tcPr>
            <w:tcW w:w="6095" w:type="dxa"/>
            <w:tcBorders>
              <w:top w:val="single" w:color="auto" w:sz="4" w:space="0"/>
              <w:bottom w:val="single" w:color="auto" w:sz="4" w:space="0"/>
            </w:tcBorders>
            <w:noWrap w:val="0"/>
            <w:vAlign w:val="center"/>
          </w:tcPr>
          <w:p>
            <w:pPr>
              <w:rPr>
                <w:rFonts w:ascii="新宋体" w:hAnsi="新宋体" w:eastAsia="新宋体" w:cs="新宋体"/>
                <w:color w:val="auto"/>
                <w:szCs w:val="21"/>
                <w:highlight w:val="none"/>
              </w:rPr>
            </w:pPr>
            <w:r>
              <w:rPr>
                <w:rFonts w:ascii="新宋体" w:hAnsi="新宋体" w:eastAsia="新宋体" w:cs="新宋体"/>
                <w:color w:val="auto"/>
                <w:szCs w:val="21"/>
                <w:highlight w:val="none"/>
              </w:rPr>
              <w:t>作业手段</w:t>
            </w:r>
            <w:r>
              <w:rPr>
                <w:rFonts w:hint="eastAsia" w:ascii="新宋体" w:hAnsi="新宋体" w:eastAsia="新宋体" w:cs="新宋体"/>
                <w:color w:val="auto"/>
                <w:szCs w:val="21"/>
                <w:highlight w:val="none"/>
              </w:rPr>
              <w:t>和</w:t>
            </w:r>
            <w:r>
              <w:rPr>
                <w:rFonts w:ascii="新宋体" w:hAnsi="新宋体" w:eastAsia="新宋体" w:cs="新宋体"/>
                <w:color w:val="auto"/>
                <w:szCs w:val="21"/>
                <w:highlight w:val="none"/>
              </w:rPr>
              <w:t>技术方法</w:t>
            </w:r>
            <w:r>
              <w:rPr>
                <w:rFonts w:hint="eastAsia" w:ascii="新宋体" w:hAnsi="新宋体" w:eastAsia="新宋体" w:cs="新宋体"/>
                <w:color w:val="auto"/>
                <w:szCs w:val="21"/>
                <w:highlight w:val="none"/>
              </w:rPr>
              <w:t>的上下</w:t>
            </w:r>
            <w:r>
              <w:rPr>
                <w:rFonts w:ascii="新宋体" w:hAnsi="新宋体" w:eastAsia="新宋体" w:cs="新宋体"/>
                <w:color w:val="auto"/>
                <w:szCs w:val="21"/>
                <w:highlight w:val="none"/>
              </w:rPr>
              <w:t>工序衔接合理，契合实际，</w:t>
            </w:r>
            <w:r>
              <w:rPr>
                <w:rFonts w:hint="eastAsia" w:ascii="新宋体" w:hAnsi="新宋体" w:eastAsia="新宋体" w:cs="新宋体"/>
                <w:color w:val="auto"/>
                <w:szCs w:val="21"/>
                <w:highlight w:val="none"/>
              </w:rPr>
              <w:t>实施步骤清晰0-</w:t>
            </w:r>
            <w:r>
              <w:rPr>
                <w:rFonts w:hint="eastAsia" w:ascii="新宋体" w:hAnsi="新宋体" w:eastAsia="新宋体" w:cs="新宋体"/>
                <w:color w:val="auto"/>
                <w:szCs w:val="21"/>
                <w:highlight w:val="none"/>
                <w:lang w:val="en-US" w:eastAsia="zh-CN"/>
              </w:rPr>
              <w:t>2</w:t>
            </w:r>
            <w:r>
              <w:rPr>
                <w:rFonts w:hint="eastAsia" w:ascii="新宋体" w:hAnsi="新宋体" w:eastAsia="新宋体" w:cs="新宋体"/>
                <w:color w:val="auto"/>
                <w:szCs w:val="21"/>
                <w:highlight w:val="none"/>
              </w:rPr>
              <w:t>分；</w:t>
            </w:r>
          </w:p>
        </w:tc>
      </w:tr>
      <w:tr>
        <w:tblPrEx>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5" w:hRule="atLeast"/>
          <w:jc w:val="center"/>
        </w:trPr>
        <w:tc>
          <w:tcPr>
            <w:tcW w:w="525" w:type="dxa"/>
            <w:vMerge w:val="continue"/>
            <w:noWrap w:val="0"/>
            <w:vAlign w:val="center"/>
          </w:tcPr>
          <w:p>
            <w:pPr>
              <w:adjustRightInd w:val="0"/>
              <w:snapToGrid w:val="0"/>
              <w:jc w:val="center"/>
              <w:rPr>
                <w:rFonts w:ascii="新宋体" w:hAnsi="新宋体" w:eastAsia="新宋体" w:cs="新宋体"/>
                <w:color w:val="auto"/>
                <w:kern w:val="0"/>
                <w:szCs w:val="21"/>
                <w:highlight w:val="none"/>
              </w:rPr>
            </w:pPr>
          </w:p>
        </w:tc>
        <w:tc>
          <w:tcPr>
            <w:tcW w:w="691" w:type="dxa"/>
            <w:vMerge w:val="continue"/>
            <w:tcBorders>
              <w:right w:val="single" w:color="auto" w:sz="4" w:space="0"/>
            </w:tcBorders>
            <w:noWrap w:val="0"/>
            <w:vAlign w:val="center"/>
          </w:tcPr>
          <w:p>
            <w:pPr>
              <w:rPr>
                <w:rFonts w:ascii="新宋体" w:hAnsi="新宋体" w:eastAsia="新宋体" w:cs="新宋体"/>
                <w:color w:val="auto"/>
                <w:szCs w:val="21"/>
                <w:highlight w:val="none"/>
              </w:rPr>
            </w:pPr>
          </w:p>
        </w:tc>
        <w:tc>
          <w:tcPr>
            <w:tcW w:w="1468" w:type="dxa"/>
            <w:vMerge w:val="continue"/>
            <w:tcBorders>
              <w:left w:val="single" w:color="auto" w:sz="4" w:space="0"/>
            </w:tcBorders>
            <w:noWrap w:val="0"/>
            <w:vAlign w:val="center"/>
          </w:tcPr>
          <w:p>
            <w:pPr>
              <w:rPr>
                <w:rFonts w:ascii="新宋体" w:hAnsi="新宋体" w:eastAsia="新宋体" w:cs="新宋体"/>
                <w:color w:val="auto"/>
                <w:szCs w:val="21"/>
                <w:highlight w:val="none"/>
              </w:rPr>
            </w:pPr>
          </w:p>
        </w:tc>
        <w:tc>
          <w:tcPr>
            <w:tcW w:w="659" w:type="dxa"/>
            <w:tcBorders>
              <w:top w:val="single" w:color="auto" w:sz="4" w:space="0"/>
              <w:bottom w:val="single" w:color="auto" w:sz="4" w:space="0"/>
            </w:tcBorders>
            <w:noWrap w:val="0"/>
            <w:vAlign w:val="center"/>
          </w:tcPr>
          <w:p>
            <w:pPr>
              <w:jc w:val="center"/>
              <w:rPr>
                <w:rFonts w:ascii="新宋体" w:hAnsi="新宋体" w:eastAsia="新宋体" w:cs="新宋体"/>
                <w:color w:val="auto"/>
                <w:szCs w:val="21"/>
                <w:highlight w:val="none"/>
              </w:rPr>
            </w:pPr>
            <w:r>
              <w:rPr>
                <w:rFonts w:ascii="新宋体" w:hAnsi="新宋体" w:eastAsia="新宋体" w:cs="新宋体"/>
                <w:color w:val="auto"/>
                <w:szCs w:val="21"/>
                <w:highlight w:val="none"/>
              </w:rPr>
              <w:t>2</w:t>
            </w:r>
          </w:p>
        </w:tc>
        <w:tc>
          <w:tcPr>
            <w:tcW w:w="6095" w:type="dxa"/>
            <w:tcBorders>
              <w:top w:val="single" w:color="auto" w:sz="4" w:space="0"/>
              <w:bottom w:val="single" w:color="auto" w:sz="4" w:space="0"/>
            </w:tcBorders>
            <w:noWrap w:val="0"/>
            <w:vAlign w:val="center"/>
          </w:tcPr>
          <w:p>
            <w:pPr>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能合理</w:t>
            </w:r>
            <w:r>
              <w:rPr>
                <w:rFonts w:ascii="新宋体" w:hAnsi="新宋体" w:eastAsia="新宋体" w:cs="新宋体"/>
                <w:color w:val="auto"/>
                <w:szCs w:val="21"/>
                <w:highlight w:val="none"/>
              </w:rPr>
              <w:t xml:space="preserve">利用GPS/GIS/RS </w:t>
            </w:r>
            <w:r>
              <w:rPr>
                <w:rFonts w:hint="eastAsia" w:ascii="新宋体" w:hAnsi="新宋体" w:eastAsia="新宋体" w:cs="新宋体"/>
                <w:color w:val="auto"/>
                <w:szCs w:val="21"/>
                <w:highlight w:val="none"/>
              </w:rPr>
              <w:t>技术，采用关键创新</w:t>
            </w:r>
            <w:r>
              <w:rPr>
                <w:rFonts w:ascii="新宋体" w:hAnsi="新宋体" w:eastAsia="新宋体" w:cs="新宋体"/>
                <w:color w:val="auto"/>
                <w:szCs w:val="21"/>
                <w:highlight w:val="none"/>
              </w:rPr>
              <w:t>性做法</w:t>
            </w:r>
            <w:r>
              <w:rPr>
                <w:rFonts w:hint="eastAsia" w:ascii="新宋体" w:hAnsi="新宋体" w:eastAsia="新宋体" w:cs="新宋体"/>
                <w:color w:val="auto"/>
                <w:szCs w:val="21"/>
                <w:highlight w:val="none"/>
              </w:rPr>
              <w:t>，突破办公环境的限制，能</w:t>
            </w:r>
            <w:r>
              <w:rPr>
                <w:rFonts w:ascii="新宋体" w:hAnsi="新宋体" w:eastAsia="新宋体" w:cs="新宋体"/>
                <w:color w:val="auto"/>
                <w:szCs w:val="21"/>
                <w:highlight w:val="none"/>
              </w:rPr>
              <w:t>提</w:t>
            </w:r>
            <w:r>
              <w:rPr>
                <w:rFonts w:hint="eastAsia" w:ascii="新宋体" w:hAnsi="新宋体" w:eastAsia="新宋体" w:cs="新宋体"/>
                <w:color w:val="auto"/>
                <w:szCs w:val="21"/>
                <w:highlight w:val="none"/>
              </w:rPr>
              <w:t>高</w:t>
            </w:r>
            <w:r>
              <w:rPr>
                <w:rFonts w:ascii="新宋体" w:hAnsi="新宋体" w:eastAsia="新宋体" w:cs="新宋体"/>
                <w:color w:val="auto"/>
                <w:szCs w:val="21"/>
                <w:highlight w:val="none"/>
              </w:rPr>
              <w:t>调查效率</w:t>
            </w:r>
            <w:r>
              <w:rPr>
                <w:rFonts w:hint="eastAsia" w:ascii="新宋体" w:hAnsi="新宋体" w:eastAsia="新宋体" w:cs="新宋体"/>
                <w:color w:val="auto"/>
                <w:szCs w:val="21"/>
                <w:highlight w:val="none"/>
              </w:rPr>
              <w:t>、</w:t>
            </w:r>
            <w:r>
              <w:rPr>
                <w:rFonts w:ascii="新宋体" w:hAnsi="新宋体" w:eastAsia="新宋体" w:cs="新宋体"/>
                <w:color w:val="auto"/>
                <w:szCs w:val="21"/>
                <w:highlight w:val="none"/>
              </w:rPr>
              <w:t>降低</w:t>
            </w:r>
            <w:r>
              <w:rPr>
                <w:rFonts w:hint="eastAsia" w:ascii="新宋体" w:hAnsi="新宋体" w:eastAsia="新宋体" w:cs="新宋体"/>
                <w:color w:val="auto"/>
                <w:szCs w:val="21"/>
                <w:highlight w:val="none"/>
              </w:rPr>
              <w:t>项目</w:t>
            </w:r>
            <w:r>
              <w:rPr>
                <w:rFonts w:ascii="新宋体" w:hAnsi="新宋体" w:eastAsia="新宋体" w:cs="新宋体"/>
                <w:color w:val="auto"/>
                <w:szCs w:val="21"/>
                <w:highlight w:val="none"/>
              </w:rPr>
              <w:t>实施难度</w:t>
            </w:r>
            <w:r>
              <w:rPr>
                <w:rFonts w:hint="eastAsia" w:ascii="新宋体" w:hAnsi="新宋体" w:eastAsia="新宋体" w:cs="新宋体"/>
                <w:color w:val="auto"/>
                <w:szCs w:val="21"/>
                <w:highlight w:val="none"/>
              </w:rPr>
              <w:t>0-</w:t>
            </w:r>
            <w:r>
              <w:rPr>
                <w:rFonts w:ascii="新宋体" w:hAnsi="新宋体" w:eastAsia="新宋体" w:cs="新宋体"/>
                <w:color w:val="auto"/>
                <w:szCs w:val="21"/>
                <w:highlight w:val="none"/>
              </w:rPr>
              <w:t>2</w:t>
            </w:r>
            <w:r>
              <w:rPr>
                <w:rFonts w:hint="eastAsia" w:ascii="新宋体" w:hAnsi="新宋体" w:eastAsia="新宋体" w:cs="新宋体"/>
                <w:color w:val="auto"/>
                <w:szCs w:val="21"/>
                <w:highlight w:val="none"/>
              </w:rPr>
              <w:t>分；</w:t>
            </w:r>
          </w:p>
        </w:tc>
      </w:tr>
      <w:tr>
        <w:tblPrEx>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2" w:hRule="atLeast"/>
          <w:jc w:val="center"/>
        </w:trPr>
        <w:tc>
          <w:tcPr>
            <w:tcW w:w="525" w:type="dxa"/>
            <w:vMerge w:val="continue"/>
            <w:noWrap w:val="0"/>
            <w:vAlign w:val="center"/>
          </w:tcPr>
          <w:p>
            <w:pPr>
              <w:adjustRightInd w:val="0"/>
              <w:snapToGrid w:val="0"/>
              <w:jc w:val="center"/>
              <w:rPr>
                <w:rFonts w:ascii="新宋体" w:hAnsi="新宋体" w:eastAsia="新宋体" w:cs="新宋体"/>
                <w:color w:val="auto"/>
                <w:kern w:val="0"/>
                <w:szCs w:val="21"/>
                <w:highlight w:val="none"/>
              </w:rPr>
            </w:pPr>
          </w:p>
        </w:tc>
        <w:tc>
          <w:tcPr>
            <w:tcW w:w="691" w:type="dxa"/>
            <w:vMerge w:val="continue"/>
            <w:tcBorders>
              <w:right w:val="single" w:color="auto" w:sz="4" w:space="0"/>
            </w:tcBorders>
            <w:noWrap w:val="0"/>
            <w:vAlign w:val="center"/>
          </w:tcPr>
          <w:p>
            <w:pPr>
              <w:rPr>
                <w:rFonts w:ascii="新宋体" w:hAnsi="新宋体" w:eastAsia="新宋体" w:cs="新宋体"/>
                <w:color w:val="auto"/>
                <w:szCs w:val="21"/>
                <w:highlight w:val="none"/>
              </w:rPr>
            </w:pPr>
          </w:p>
        </w:tc>
        <w:tc>
          <w:tcPr>
            <w:tcW w:w="1468" w:type="dxa"/>
            <w:vMerge w:val="continue"/>
            <w:tcBorders>
              <w:left w:val="single" w:color="auto" w:sz="4" w:space="0"/>
            </w:tcBorders>
            <w:noWrap w:val="0"/>
            <w:vAlign w:val="center"/>
          </w:tcPr>
          <w:p>
            <w:pPr>
              <w:rPr>
                <w:rFonts w:ascii="新宋体" w:hAnsi="新宋体" w:eastAsia="新宋体" w:cs="新宋体"/>
                <w:color w:val="auto"/>
                <w:szCs w:val="21"/>
                <w:highlight w:val="none"/>
              </w:rPr>
            </w:pPr>
          </w:p>
        </w:tc>
        <w:tc>
          <w:tcPr>
            <w:tcW w:w="659" w:type="dxa"/>
            <w:tcBorders>
              <w:top w:val="single" w:color="auto" w:sz="4" w:space="0"/>
            </w:tcBorders>
            <w:noWrap w:val="0"/>
            <w:vAlign w:val="center"/>
          </w:tcPr>
          <w:p>
            <w:pPr>
              <w:jc w:val="center"/>
              <w:rPr>
                <w:rFonts w:ascii="新宋体" w:hAnsi="新宋体" w:eastAsia="新宋体" w:cs="新宋体"/>
                <w:color w:val="auto"/>
                <w:szCs w:val="21"/>
                <w:highlight w:val="none"/>
              </w:rPr>
            </w:pPr>
            <w:r>
              <w:rPr>
                <w:rFonts w:ascii="新宋体" w:hAnsi="新宋体" w:eastAsia="新宋体" w:cs="新宋体"/>
                <w:color w:val="auto"/>
                <w:szCs w:val="21"/>
                <w:highlight w:val="none"/>
              </w:rPr>
              <w:t>2</w:t>
            </w:r>
          </w:p>
        </w:tc>
        <w:tc>
          <w:tcPr>
            <w:tcW w:w="6095" w:type="dxa"/>
            <w:tcBorders>
              <w:top w:val="single" w:color="auto" w:sz="4" w:space="0"/>
            </w:tcBorders>
            <w:noWrap w:val="0"/>
            <w:vAlign w:val="center"/>
          </w:tcPr>
          <w:p>
            <w:pPr>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对</w:t>
            </w:r>
            <w:r>
              <w:rPr>
                <w:rFonts w:ascii="新宋体" w:hAnsi="新宋体" w:eastAsia="新宋体" w:cs="新宋体"/>
                <w:color w:val="auto"/>
                <w:szCs w:val="21"/>
                <w:highlight w:val="none"/>
              </w:rPr>
              <w:t>本项</w:t>
            </w:r>
            <w:r>
              <w:rPr>
                <w:rFonts w:hint="eastAsia" w:ascii="新宋体" w:hAnsi="新宋体" w:eastAsia="新宋体" w:cs="新宋体"/>
                <w:color w:val="auto"/>
                <w:szCs w:val="21"/>
                <w:highlight w:val="none"/>
              </w:rPr>
              <w:t>工作</w:t>
            </w:r>
            <w:r>
              <w:rPr>
                <w:rFonts w:ascii="新宋体" w:hAnsi="新宋体" w:eastAsia="新宋体" w:cs="新宋体"/>
                <w:color w:val="auto"/>
                <w:szCs w:val="21"/>
                <w:highlight w:val="none"/>
              </w:rPr>
              <w:t>的重点、难点</w:t>
            </w:r>
            <w:r>
              <w:rPr>
                <w:rFonts w:hint="eastAsia" w:ascii="新宋体" w:hAnsi="新宋体" w:eastAsia="新宋体" w:cs="新宋体"/>
                <w:color w:val="auto"/>
                <w:szCs w:val="21"/>
                <w:highlight w:val="none"/>
              </w:rPr>
              <w:t>进行分析</w:t>
            </w:r>
            <w:r>
              <w:rPr>
                <w:rFonts w:ascii="新宋体" w:hAnsi="新宋体" w:eastAsia="新宋体" w:cs="新宋体"/>
                <w:color w:val="auto"/>
                <w:szCs w:val="21"/>
                <w:highlight w:val="none"/>
              </w:rPr>
              <w:t>，</w:t>
            </w:r>
            <w:r>
              <w:rPr>
                <w:rFonts w:hint="eastAsia" w:ascii="新宋体" w:hAnsi="新宋体" w:eastAsia="新宋体" w:cs="新宋体"/>
                <w:color w:val="auto"/>
                <w:szCs w:val="21"/>
                <w:highlight w:val="none"/>
              </w:rPr>
              <w:t>提供相应的</w:t>
            </w:r>
            <w:r>
              <w:rPr>
                <w:rFonts w:ascii="新宋体" w:hAnsi="新宋体" w:eastAsia="新宋体" w:cs="新宋体"/>
                <w:color w:val="auto"/>
                <w:szCs w:val="21"/>
                <w:highlight w:val="none"/>
              </w:rPr>
              <w:t>解决方案，</w:t>
            </w:r>
            <w:r>
              <w:rPr>
                <w:rFonts w:hint="eastAsia" w:ascii="新宋体" w:hAnsi="新宋体" w:eastAsia="新宋体" w:cs="新宋体"/>
                <w:color w:val="auto"/>
                <w:szCs w:val="21"/>
                <w:highlight w:val="none"/>
              </w:rPr>
              <w:t>提出</w:t>
            </w:r>
            <w:r>
              <w:rPr>
                <w:rFonts w:ascii="新宋体" w:hAnsi="新宋体" w:eastAsia="新宋体" w:cs="新宋体"/>
                <w:color w:val="auto"/>
                <w:szCs w:val="21"/>
                <w:highlight w:val="none"/>
              </w:rPr>
              <w:t>本工作的合理化建议和改进措施</w:t>
            </w:r>
            <w:r>
              <w:rPr>
                <w:rFonts w:hint="eastAsia" w:ascii="新宋体" w:hAnsi="新宋体" w:eastAsia="新宋体" w:cs="新宋体"/>
                <w:color w:val="auto"/>
                <w:szCs w:val="21"/>
                <w:highlight w:val="none"/>
              </w:rPr>
              <w:t>，能切实对</w:t>
            </w:r>
            <w:r>
              <w:rPr>
                <w:rFonts w:ascii="新宋体" w:hAnsi="新宋体" w:eastAsia="新宋体" w:cs="新宋体"/>
                <w:color w:val="auto"/>
                <w:szCs w:val="21"/>
                <w:highlight w:val="none"/>
              </w:rPr>
              <w:t>项目进行优化设计</w:t>
            </w:r>
            <w:r>
              <w:rPr>
                <w:rFonts w:hint="eastAsia" w:ascii="新宋体" w:hAnsi="新宋体" w:eastAsia="新宋体" w:cs="新宋体"/>
                <w:color w:val="auto"/>
                <w:szCs w:val="21"/>
                <w:highlight w:val="none"/>
              </w:rPr>
              <w:t>0-</w:t>
            </w:r>
            <w:r>
              <w:rPr>
                <w:rFonts w:ascii="新宋体" w:hAnsi="新宋体" w:eastAsia="新宋体" w:cs="新宋体"/>
                <w:color w:val="auto"/>
                <w:szCs w:val="21"/>
                <w:highlight w:val="none"/>
              </w:rPr>
              <w:t>2</w:t>
            </w:r>
            <w:r>
              <w:rPr>
                <w:rFonts w:hint="eastAsia" w:ascii="新宋体" w:hAnsi="新宋体" w:eastAsia="新宋体" w:cs="新宋体"/>
                <w:color w:val="auto"/>
                <w:szCs w:val="21"/>
                <w:highlight w:val="none"/>
              </w:rPr>
              <w:t>分。</w:t>
            </w:r>
          </w:p>
        </w:tc>
      </w:tr>
      <w:tr>
        <w:tblPrEx>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3" w:hRule="atLeast"/>
          <w:jc w:val="center"/>
        </w:trPr>
        <w:tc>
          <w:tcPr>
            <w:tcW w:w="525" w:type="dxa"/>
            <w:vMerge w:val="continue"/>
            <w:noWrap w:val="0"/>
            <w:vAlign w:val="center"/>
          </w:tcPr>
          <w:p>
            <w:pPr>
              <w:adjustRightInd w:val="0"/>
              <w:snapToGrid w:val="0"/>
              <w:jc w:val="center"/>
              <w:rPr>
                <w:rFonts w:ascii="新宋体" w:hAnsi="新宋体" w:eastAsia="新宋体" w:cs="新宋体"/>
                <w:color w:val="auto"/>
                <w:kern w:val="0"/>
                <w:szCs w:val="21"/>
                <w:highlight w:val="none"/>
              </w:rPr>
            </w:pPr>
          </w:p>
        </w:tc>
        <w:tc>
          <w:tcPr>
            <w:tcW w:w="691" w:type="dxa"/>
            <w:vMerge w:val="continue"/>
            <w:tcBorders>
              <w:right w:val="single" w:color="auto" w:sz="4" w:space="0"/>
            </w:tcBorders>
            <w:noWrap w:val="0"/>
            <w:vAlign w:val="center"/>
          </w:tcPr>
          <w:p>
            <w:pPr>
              <w:rPr>
                <w:rFonts w:ascii="新宋体" w:hAnsi="新宋体" w:eastAsia="新宋体" w:cs="新宋体"/>
                <w:color w:val="auto"/>
                <w:szCs w:val="21"/>
                <w:highlight w:val="none"/>
              </w:rPr>
            </w:pPr>
          </w:p>
        </w:tc>
        <w:tc>
          <w:tcPr>
            <w:tcW w:w="1468" w:type="dxa"/>
            <w:vMerge w:val="restart"/>
            <w:tcBorders>
              <w:left w:val="single" w:color="auto" w:sz="4" w:space="0"/>
            </w:tcBorders>
            <w:noWrap w:val="0"/>
            <w:vAlign w:val="center"/>
          </w:tcPr>
          <w:p>
            <w:pPr>
              <w:rPr>
                <w:rFonts w:hint="eastAsia" w:ascii="新宋体" w:hAnsi="新宋体" w:eastAsia="新宋体" w:cs="新宋体"/>
                <w:color w:val="auto"/>
                <w:szCs w:val="21"/>
                <w:highlight w:val="none"/>
              </w:rPr>
            </w:pPr>
            <w:r>
              <w:rPr>
                <w:rFonts w:ascii="新宋体" w:hAnsi="新宋体" w:eastAsia="新宋体" w:cs="新宋体"/>
                <w:color w:val="auto"/>
                <w:szCs w:val="21"/>
                <w:highlight w:val="none"/>
              </w:rPr>
              <w:t>城市绿地在线应用</w:t>
            </w:r>
            <w:r>
              <w:rPr>
                <w:rFonts w:hint="eastAsia" w:ascii="新宋体" w:hAnsi="新宋体" w:eastAsia="新宋体" w:cs="新宋体"/>
                <w:color w:val="auto"/>
                <w:szCs w:val="21"/>
                <w:highlight w:val="none"/>
              </w:rPr>
              <w:t>建设</w:t>
            </w:r>
            <w:r>
              <w:rPr>
                <w:rFonts w:ascii="新宋体" w:hAnsi="新宋体" w:eastAsia="新宋体" w:cs="新宋体"/>
                <w:color w:val="auto"/>
                <w:szCs w:val="21"/>
                <w:highlight w:val="none"/>
              </w:rPr>
              <w:t>方案</w:t>
            </w:r>
          </w:p>
        </w:tc>
        <w:tc>
          <w:tcPr>
            <w:tcW w:w="659" w:type="dxa"/>
            <w:tcBorders>
              <w:bottom w:val="single" w:color="auto" w:sz="4" w:space="0"/>
            </w:tcBorders>
            <w:noWrap w:val="0"/>
            <w:vAlign w:val="center"/>
          </w:tcPr>
          <w:p>
            <w:pPr>
              <w:jc w:val="center"/>
              <w:rPr>
                <w:rFonts w:ascii="新宋体" w:hAnsi="新宋体" w:eastAsia="新宋体" w:cs="新宋体"/>
                <w:color w:val="auto"/>
                <w:szCs w:val="21"/>
                <w:highlight w:val="none"/>
              </w:rPr>
            </w:pPr>
            <w:r>
              <w:rPr>
                <w:rFonts w:ascii="新宋体" w:hAnsi="新宋体" w:eastAsia="新宋体" w:cs="新宋体"/>
                <w:color w:val="auto"/>
                <w:szCs w:val="21"/>
                <w:highlight w:val="none"/>
              </w:rPr>
              <w:t>2</w:t>
            </w:r>
          </w:p>
        </w:tc>
        <w:tc>
          <w:tcPr>
            <w:tcW w:w="6095" w:type="dxa"/>
            <w:tcBorders>
              <w:bottom w:val="single" w:color="auto" w:sz="4" w:space="0"/>
            </w:tcBorders>
            <w:noWrap w:val="0"/>
            <w:vAlign w:val="center"/>
          </w:tcPr>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对温州市智慧园林系统项目建设背景、建设内容、运行情况等的了解与熟悉程度0-</w:t>
            </w:r>
            <w:r>
              <w:rPr>
                <w:rFonts w:hint="eastAsia" w:ascii="新宋体" w:hAnsi="新宋体" w:eastAsia="新宋体" w:cs="新宋体"/>
                <w:color w:val="auto"/>
                <w:szCs w:val="21"/>
                <w:highlight w:val="none"/>
                <w:lang w:val="en-US" w:eastAsia="zh-CN"/>
              </w:rPr>
              <w:t>2</w:t>
            </w:r>
            <w:r>
              <w:rPr>
                <w:rFonts w:hint="eastAsia" w:ascii="新宋体" w:hAnsi="新宋体" w:eastAsia="新宋体" w:cs="新宋体"/>
                <w:color w:val="auto"/>
                <w:szCs w:val="21"/>
                <w:highlight w:val="none"/>
              </w:rPr>
              <w:t>分。</w:t>
            </w:r>
          </w:p>
        </w:tc>
      </w:tr>
      <w:tr>
        <w:tblPrEx>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3" w:hRule="atLeast"/>
          <w:jc w:val="center"/>
        </w:trPr>
        <w:tc>
          <w:tcPr>
            <w:tcW w:w="525" w:type="dxa"/>
            <w:vMerge w:val="continue"/>
            <w:noWrap w:val="0"/>
            <w:vAlign w:val="center"/>
          </w:tcPr>
          <w:p>
            <w:pPr>
              <w:adjustRightInd w:val="0"/>
              <w:snapToGrid w:val="0"/>
              <w:jc w:val="center"/>
              <w:rPr>
                <w:rFonts w:ascii="新宋体" w:hAnsi="新宋体" w:eastAsia="新宋体" w:cs="新宋体"/>
                <w:color w:val="auto"/>
                <w:kern w:val="0"/>
                <w:szCs w:val="21"/>
                <w:highlight w:val="none"/>
              </w:rPr>
            </w:pPr>
          </w:p>
        </w:tc>
        <w:tc>
          <w:tcPr>
            <w:tcW w:w="691" w:type="dxa"/>
            <w:vMerge w:val="continue"/>
            <w:tcBorders>
              <w:right w:val="single" w:color="auto" w:sz="4" w:space="0"/>
            </w:tcBorders>
            <w:noWrap w:val="0"/>
            <w:vAlign w:val="center"/>
          </w:tcPr>
          <w:p>
            <w:pPr>
              <w:rPr>
                <w:rFonts w:ascii="新宋体" w:hAnsi="新宋体" w:eastAsia="新宋体" w:cs="新宋体"/>
                <w:color w:val="auto"/>
                <w:szCs w:val="21"/>
                <w:highlight w:val="none"/>
              </w:rPr>
            </w:pPr>
          </w:p>
        </w:tc>
        <w:tc>
          <w:tcPr>
            <w:tcW w:w="1468" w:type="dxa"/>
            <w:vMerge w:val="continue"/>
            <w:tcBorders>
              <w:left w:val="single" w:color="auto" w:sz="4" w:space="0"/>
            </w:tcBorders>
            <w:noWrap w:val="0"/>
            <w:vAlign w:val="center"/>
          </w:tcPr>
          <w:p>
            <w:pPr>
              <w:rPr>
                <w:rFonts w:hint="eastAsia" w:ascii="新宋体" w:hAnsi="新宋体" w:eastAsia="新宋体" w:cs="新宋体"/>
                <w:color w:val="auto"/>
                <w:szCs w:val="21"/>
                <w:highlight w:val="none"/>
              </w:rPr>
            </w:pPr>
          </w:p>
        </w:tc>
        <w:tc>
          <w:tcPr>
            <w:tcW w:w="659" w:type="dxa"/>
            <w:tcBorders>
              <w:bottom w:val="single" w:color="auto" w:sz="4" w:space="0"/>
            </w:tcBorders>
            <w:noWrap w:val="0"/>
            <w:vAlign w:val="center"/>
          </w:tcPr>
          <w:p>
            <w:pPr>
              <w:jc w:val="center"/>
              <w:rPr>
                <w:rFonts w:hint="eastAsia" w:ascii="新宋体" w:hAnsi="新宋体" w:eastAsia="新宋体" w:cs="新宋体"/>
                <w:color w:val="auto"/>
                <w:szCs w:val="21"/>
                <w:highlight w:val="none"/>
              </w:rPr>
            </w:pPr>
            <w:r>
              <w:rPr>
                <w:rFonts w:ascii="新宋体" w:hAnsi="新宋体" w:eastAsia="新宋体" w:cs="新宋体"/>
                <w:color w:val="auto"/>
                <w:szCs w:val="21"/>
                <w:highlight w:val="none"/>
              </w:rPr>
              <w:t>2</w:t>
            </w:r>
          </w:p>
        </w:tc>
        <w:tc>
          <w:tcPr>
            <w:tcW w:w="6095" w:type="dxa"/>
            <w:tcBorders>
              <w:bottom w:val="single" w:color="auto" w:sz="4" w:space="0"/>
            </w:tcBorders>
            <w:noWrap w:val="0"/>
            <w:vAlign w:val="center"/>
          </w:tcPr>
          <w:p>
            <w:pPr>
              <w:rPr>
                <w:rFonts w:hint="eastAsia" w:ascii="新宋体" w:hAnsi="新宋体" w:eastAsia="新宋体" w:cs="新宋体"/>
                <w:color w:val="auto"/>
                <w:szCs w:val="21"/>
                <w:highlight w:val="none"/>
              </w:rPr>
            </w:pPr>
            <w:r>
              <w:rPr>
                <w:rFonts w:hint="eastAsia" w:ascii="新宋体" w:hAnsi="新宋体" w:eastAsia="新宋体" w:cs="宋体"/>
                <w:color w:val="auto"/>
                <w:kern w:val="0"/>
                <w:szCs w:val="21"/>
                <w:highlight w:val="none"/>
              </w:rPr>
              <w:t>对本次系统提出的顶层设计，如总体架构设计、技术路线、关键技术特点设计、性能设计、安全体系设计等方面是否清晰、准确、合理，满足本项目当前和未来发展要求0-</w:t>
            </w:r>
            <w:r>
              <w:rPr>
                <w:rFonts w:ascii="新宋体" w:hAnsi="新宋体" w:eastAsia="新宋体" w:cs="宋体"/>
                <w:color w:val="auto"/>
                <w:kern w:val="0"/>
                <w:szCs w:val="21"/>
                <w:highlight w:val="none"/>
              </w:rPr>
              <w:t>2</w:t>
            </w:r>
            <w:r>
              <w:rPr>
                <w:rFonts w:hint="eastAsia" w:ascii="新宋体" w:hAnsi="新宋体" w:eastAsia="新宋体" w:cs="宋体"/>
                <w:color w:val="auto"/>
                <w:kern w:val="0"/>
                <w:szCs w:val="21"/>
                <w:highlight w:val="none"/>
              </w:rPr>
              <w:t>分。</w:t>
            </w:r>
          </w:p>
        </w:tc>
      </w:tr>
      <w:tr>
        <w:tblPrEx>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3" w:hRule="atLeast"/>
          <w:jc w:val="center"/>
        </w:trPr>
        <w:tc>
          <w:tcPr>
            <w:tcW w:w="525" w:type="dxa"/>
            <w:vMerge w:val="continue"/>
            <w:noWrap w:val="0"/>
            <w:vAlign w:val="center"/>
          </w:tcPr>
          <w:p>
            <w:pPr>
              <w:adjustRightInd w:val="0"/>
              <w:snapToGrid w:val="0"/>
              <w:jc w:val="center"/>
              <w:rPr>
                <w:rFonts w:ascii="新宋体" w:hAnsi="新宋体" w:eastAsia="新宋体" w:cs="新宋体"/>
                <w:color w:val="auto"/>
                <w:kern w:val="0"/>
                <w:szCs w:val="21"/>
                <w:highlight w:val="none"/>
              </w:rPr>
            </w:pPr>
          </w:p>
        </w:tc>
        <w:tc>
          <w:tcPr>
            <w:tcW w:w="691" w:type="dxa"/>
            <w:vMerge w:val="continue"/>
            <w:tcBorders>
              <w:right w:val="single" w:color="auto" w:sz="4" w:space="0"/>
            </w:tcBorders>
            <w:noWrap w:val="0"/>
            <w:vAlign w:val="center"/>
          </w:tcPr>
          <w:p>
            <w:pPr>
              <w:rPr>
                <w:rFonts w:ascii="新宋体" w:hAnsi="新宋体" w:eastAsia="新宋体" w:cs="新宋体"/>
                <w:color w:val="auto"/>
                <w:szCs w:val="21"/>
                <w:highlight w:val="none"/>
              </w:rPr>
            </w:pPr>
          </w:p>
        </w:tc>
        <w:tc>
          <w:tcPr>
            <w:tcW w:w="1468" w:type="dxa"/>
            <w:vMerge w:val="continue"/>
            <w:tcBorders>
              <w:left w:val="single" w:color="auto" w:sz="4" w:space="0"/>
            </w:tcBorders>
            <w:noWrap w:val="0"/>
            <w:vAlign w:val="center"/>
          </w:tcPr>
          <w:p>
            <w:pPr>
              <w:rPr>
                <w:rFonts w:hint="eastAsia" w:ascii="新宋体" w:hAnsi="新宋体" w:eastAsia="新宋体" w:cs="新宋体"/>
                <w:color w:val="auto"/>
                <w:szCs w:val="21"/>
                <w:highlight w:val="none"/>
              </w:rPr>
            </w:pPr>
          </w:p>
        </w:tc>
        <w:tc>
          <w:tcPr>
            <w:tcW w:w="659" w:type="dxa"/>
            <w:tcBorders>
              <w:bottom w:val="single" w:color="auto" w:sz="4" w:space="0"/>
            </w:tcBorders>
            <w:noWrap w:val="0"/>
            <w:vAlign w:val="center"/>
          </w:tcPr>
          <w:p>
            <w:pPr>
              <w:jc w:val="center"/>
              <w:rPr>
                <w:rFonts w:ascii="新宋体" w:hAnsi="新宋体" w:eastAsia="新宋体" w:cs="新宋体"/>
                <w:color w:val="auto"/>
                <w:szCs w:val="21"/>
                <w:highlight w:val="none"/>
              </w:rPr>
            </w:pPr>
            <w:r>
              <w:rPr>
                <w:rFonts w:ascii="新宋体" w:hAnsi="新宋体" w:eastAsia="新宋体" w:cs="新宋体"/>
                <w:color w:val="auto"/>
                <w:szCs w:val="21"/>
                <w:highlight w:val="none"/>
              </w:rPr>
              <w:t>5</w:t>
            </w:r>
          </w:p>
        </w:tc>
        <w:tc>
          <w:tcPr>
            <w:tcW w:w="6095" w:type="dxa"/>
            <w:tcBorders>
              <w:bottom w:val="single" w:color="auto" w:sz="4" w:space="0"/>
            </w:tcBorders>
            <w:noWrap w:val="0"/>
            <w:vAlign w:val="center"/>
          </w:tcPr>
          <w:p>
            <w:pPr>
              <w:rPr>
                <w:rFonts w:hint="eastAsia" w:ascii="新宋体" w:hAnsi="新宋体" w:eastAsia="新宋体" w:cs="新宋体"/>
                <w:color w:val="auto"/>
                <w:szCs w:val="21"/>
                <w:highlight w:val="none"/>
              </w:rPr>
            </w:pPr>
            <w:r>
              <w:rPr>
                <w:rFonts w:ascii="新宋体" w:hAnsi="新宋体" w:eastAsia="新宋体" w:cs="新宋体"/>
                <w:color w:val="auto"/>
                <w:sz w:val="20"/>
                <w:szCs w:val="20"/>
                <w:highlight w:val="none"/>
              </w:rPr>
              <w:t>详细阐述</w:t>
            </w:r>
            <w:r>
              <w:rPr>
                <w:rFonts w:hint="eastAsia" w:ascii="新宋体" w:hAnsi="新宋体" w:eastAsia="新宋体" w:cs="新宋体"/>
                <w:color w:val="auto"/>
                <w:sz w:val="20"/>
                <w:szCs w:val="20"/>
                <w:highlight w:val="none"/>
              </w:rPr>
              <w:t>如何在现有智慧</w:t>
            </w:r>
            <w:r>
              <w:rPr>
                <w:rFonts w:ascii="新宋体" w:hAnsi="新宋体" w:eastAsia="新宋体" w:cs="新宋体"/>
                <w:color w:val="auto"/>
                <w:sz w:val="20"/>
                <w:szCs w:val="20"/>
                <w:highlight w:val="none"/>
              </w:rPr>
              <w:t>园林系统的</w:t>
            </w:r>
            <w:r>
              <w:rPr>
                <w:rFonts w:hint="eastAsia" w:ascii="新宋体" w:hAnsi="新宋体" w:eastAsia="新宋体" w:cs="新宋体"/>
                <w:color w:val="auto"/>
                <w:sz w:val="20"/>
                <w:szCs w:val="20"/>
                <w:highlight w:val="none"/>
              </w:rPr>
              <w:t>用户体系、</w:t>
            </w:r>
            <w:r>
              <w:rPr>
                <w:rFonts w:ascii="新宋体" w:hAnsi="新宋体" w:eastAsia="新宋体" w:cs="新宋体"/>
                <w:color w:val="auto"/>
                <w:sz w:val="20"/>
                <w:szCs w:val="20"/>
                <w:highlight w:val="none"/>
              </w:rPr>
              <w:t>架构上进行</w:t>
            </w:r>
            <w:r>
              <w:rPr>
                <w:rFonts w:hint="eastAsia" w:ascii="新宋体" w:hAnsi="新宋体" w:eastAsia="新宋体" w:cs="新宋体"/>
                <w:color w:val="auto"/>
                <w:sz w:val="20"/>
                <w:szCs w:val="20"/>
                <w:highlight w:val="none"/>
              </w:rPr>
              <w:t>升级</w:t>
            </w:r>
            <w:r>
              <w:rPr>
                <w:rFonts w:ascii="新宋体" w:hAnsi="新宋体" w:eastAsia="新宋体" w:cs="新宋体"/>
                <w:color w:val="auto"/>
                <w:sz w:val="20"/>
                <w:szCs w:val="20"/>
                <w:highlight w:val="none"/>
              </w:rPr>
              <w:t>改造</w:t>
            </w:r>
            <w:r>
              <w:rPr>
                <w:rFonts w:hint="eastAsia" w:ascii="新宋体" w:hAnsi="新宋体" w:eastAsia="新宋体" w:cs="新宋体"/>
                <w:color w:val="auto"/>
                <w:sz w:val="20"/>
                <w:szCs w:val="20"/>
                <w:highlight w:val="none"/>
              </w:rPr>
              <w:t>做到</w:t>
            </w:r>
            <w:r>
              <w:rPr>
                <w:rFonts w:ascii="新宋体" w:hAnsi="新宋体" w:eastAsia="新宋体" w:cs="新宋体"/>
                <w:color w:val="auto"/>
                <w:sz w:val="20"/>
                <w:szCs w:val="20"/>
                <w:highlight w:val="none"/>
              </w:rPr>
              <w:t>一体化</w:t>
            </w:r>
            <w:r>
              <w:rPr>
                <w:rFonts w:hint="eastAsia" w:ascii="新宋体" w:hAnsi="新宋体" w:eastAsia="新宋体" w:cs="新宋体"/>
                <w:color w:val="auto"/>
                <w:szCs w:val="21"/>
                <w:highlight w:val="none"/>
              </w:rPr>
              <w:t>，针对平台</w:t>
            </w:r>
            <w:r>
              <w:rPr>
                <w:rFonts w:ascii="新宋体" w:hAnsi="新宋体" w:eastAsia="新宋体" w:cs="新宋体"/>
                <w:color w:val="auto"/>
                <w:szCs w:val="21"/>
                <w:highlight w:val="none"/>
              </w:rPr>
              <w:t>各功能模块，</w:t>
            </w:r>
            <w:r>
              <w:rPr>
                <w:rFonts w:hint="eastAsia" w:ascii="新宋体" w:hAnsi="新宋体" w:eastAsia="新宋体" w:cs="宋体"/>
                <w:color w:val="auto"/>
                <w:kern w:val="0"/>
                <w:szCs w:val="21"/>
                <w:highlight w:val="none"/>
              </w:rPr>
              <w:t>是否完整详细，且每个子功能点描述准确，功能设计中的功能界面原型图具有较强的先进性、针对性、可实现和美观性，功能设计符合采购人业务需求</w:t>
            </w:r>
            <w:r>
              <w:rPr>
                <w:rFonts w:hint="eastAsia" w:ascii="新宋体" w:hAnsi="新宋体" w:eastAsia="新宋体" w:cs="新宋体"/>
                <w:color w:val="auto"/>
                <w:szCs w:val="21"/>
                <w:highlight w:val="none"/>
              </w:rPr>
              <w:t>0-</w:t>
            </w:r>
            <w:r>
              <w:rPr>
                <w:rFonts w:ascii="新宋体" w:hAnsi="新宋体" w:eastAsia="新宋体" w:cs="新宋体"/>
                <w:color w:val="auto"/>
                <w:szCs w:val="21"/>
                <w:highlight w:val="none"/>
              </w:rPr>
              <w:t>5</w:t>
            </w:r>
            <w:r>
              <w:rPr>
                <w:rFonts w:hint="eastAsia" w:ascii="新宋体" w:hAnsi="新宋体" w:eastAsia="新宋体" w:cs="新宋体"/>
                <w:color w:val="auto"/>
                <w:szCs w:val="21"/>
                <w:highlight w:val="none"/>
              </w:rPr>
              <w:t>分。</w:t>
            </w:r>
            <w:r>
              <w:rPr>
                <w:rFonts w:hint="eastAsia" w:ascii="新宋体" w:hAnsi="新宋体" w:eastAsia="新宋体" w:cs="新宋体"/>
                <w:b w:val="0"/>
                <w:color w:val="auto"/>
                <w:sz w:val="21"/>
                <w:szCs w:val="21"/>
                <w:highlight w:val="none"/>
              </w:rPr>
              <w:t>准确、到位的：</w:t>
            </w:r>
            <w:r>
              <w:rPr>
                <w:rFonts w:hint="eastAsia" w:ascii="新宋体" w:hAnsi="新宋体" w:eastAsia="新宋体" w:cs="新宋体"/>
                <w:b w:val="0"/>
                <w:color w:val="auto"/>
                <w:sz w:val="21"/>
                <w:szCs w:val="21"/>
                <w:highlight w:val="none"/>
                <w:lang w:val="en-US" w:eastAsia="zh-CN"/>
              </w:rPr>
              <w:t>3</w:t>
            </w:r>
            <w:r>
              <w:rPr>
                <w:rFonts w:hint="eastAsia" w:ascii="新宋体" w:hAnsi="新宋体" w:eastAsia="新宋体" w:cs="新宋体"/>
                <w:b w:val="0"/>
                <w:color w:val="auto"/>
                <w:sz w:val="21"/>
                <w:szCs w:val="21"/>
                <w:highlight w:val="none"/>
              </w:rPr>
              <w:t>-</w:t>
            </w:r>
            <w:r>
              <w:rPr>
                <w:rFonts w:hint="eastAsia" w:ascii="新宋体" w:hAnsi="新宋体" w:eastAsia="新宋体" w:cs="新宋体"/>
                <w:b w:val="0"/>
                <w:color w:val="auto"/>
                <w:sz w:val="21"/>
                <w:szCs w:val="21"/>
                <w:highlight w:val="none"/>
                <w:lang w:val="en-US" w:eastAsia="zh-CN"/>
              </w:rPr>
              <w:t>5</w:t>
            </w:r>
            <w:r>
              <w:rPr>
                <w:rFonts w:hint="eastAsia" w:ascii="新宋体" w:hAnsi="新宋体" w:eastAsia="新宋体" w:cs="新宋体"/>
                <w:b w:val="0"/>
                <w:color w:val="auto"/>
                <w:sz w:val="21"/>
                <w:szCs w:val="21"/>
                <w:highlight w:val="none"/>
              </w:rPr>
              <w:t>分，基本准确、到位的：</w:t>
            </w:r>
            <w:r>
              <w:rPr>
                <w:rFonts w:ascii="新宋体" w:hAnsi="新宋体" w:eastAsia="新宋体" w:cs="新宋体"/>
                <w:b w:val="0"/>
                <w:color w:val="auto"/>
                <w:sz w:val="21"/>
                <w:szCs w:val="21"/>
                <w:highlight w:val="none"/>
              </w:rPr>
              <w:t>1</w:t>
            </w:r>
            <w:r>
              <w:rPr>
                <w:rFonts w:hint="eastAsia" w:ascii="新宋体" w:hAnsi="新宋体" w:eastAsia="新宋体" w:cs="新宋体"/>
                <w:b w:val="0"/>
                <w:color w:val="auto"/>
                <w:sz w:val="21"/>
                <w:szCs w:val="21"/>
                <w:highlight w:val="none"/>
              </w:rPr>
              <w:t>-</w:t>
            </w:r>
            <w:r>
              <w:rPr>
                <w:rFonts w:hint="eastAsia" w:ascii="新宋体" w:hAnsi="新宋体" w:eastAsia="新宋体" w:cs="新宋体"/>
                <w:b w:val="0"/>
                <w:color w:val="auto"/>
                <w:sz w:val="21"/>
                <w:szCs w:val="21"/>
                <w:highlight w:val="none"/>
                <w:lang w:val="en-US" w:eastAsia="zh-CN"/>
              </w:rPr>
              <w:t>3</w:t>
            </w:r>
            <w:r>
              <w:rPr>
                <w:rFonts w:hint="eastAsia" w:ascii="新宋体" w:hAnsi="新宋体" w:eastAsia="新宋体" w:cs="新宋体"/>
                <w:b w:val="0"/>
                <w:color w:val="auto"/>
                <w:sz w:val="21"/>
                <w:szCs w:val="21"/>
                <w:highlight w:val="none"/>
              </w:rPr>
              <w:t>分，不准确、不到位的：0-</w:t>
            </w:r>
            <w:r>
              <w:rPr>
                <w:rFonts w:ascii="新宋体" w:hAnsi="新宋体" w:eastAsia="新宋体" w:cs="新宋体"/>
                <w:b w:val="0"/>
                <w:color w:val="auto"/>
                <w:sz w:val="21"/>
                <w:szCs w:val="21"/>
                <w:highlight w:val="none"/>
              </w:rPr>
              <w:t>1</w:t>
            </w:r>
            <w:r>
              <w:rPr>
                <w:rFonts w:hint="eastAsia" w:ascii="新宋体" w:hAnsi="新宋体" w:eastAsia="新宋体" w:cs="新宋体"/>
                <w:b w:val="0"/>
                <w:color w:val="auto"/>
                <w:sz w:val="21"/>
                <w:szCs w:val="21"/>
                <w:highlight w:val="none"/>
              </w:rPr>
              <w:t>分。</w:t>
            </w:r>
          </w:p>
        </w:tc>
      </w:tr>
      <w:tr>
        <w:tblPrEx>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3" w:hRule="atLeast"/>
          <w:jc w:val="center"/>
        </w:trPr>
        <w:tc>
          <w:tcPr>
            <w:tcW w:w="525" w:type="dxa"/>
            <w:vMerge w:val="continue"/>
            <w:noWrap w:val="0"/>
            <w:vAlign w:val="center"/>
          </w:tcPr>
          <w:p>
            <w:pPr>
              <w:adjustRightInd w:val="0"/>
              <w:snapToGrid w:val="0"/>
              <w:jc w:val="center"/>
              <w:rPr>
                <w:rFonts w:ascii="新宋体" w:hAnsi="新宋体" w:eastAsia="新宋体" w:cs="新宋体"/>
                <w:color w:val="auto"/>
                <w:kern w:val="0"/>
                <w:szCs w:val="21"/>
                <w:highlight w:val="none"/>
              </w:rPr>
            </w:pPr>
          </w:p>
        </w:tc>
        <w:tc>
          <w:tcPr>
            <w:tcW w:w="691" w:type="dxa"/>
            <w:vMerge w:val="continue"/>
            <w:tcBorders>
              <w:right w:val="single" w:color="auto" w:sz="4" w:space="0"/>
            </w:tcBorders>
            <w:noWrap w:val="0"/>
            <w:vAlign w:val="center"/>
          </w:tcPr>
          <w:p>
            <w:pPr>
              <w:rPr>
                <w:rFonts w:ascii="新宋体" w:hAnsi="新宋体" w:eastAsia="新宋体" w:cs="新宋体"/>
                <w:color w:val="auto"/>
                <w:szCs w:val="21"/>
                <w:highlight w:val="none"/>
              </w:rPr>
            </w:pPr>
          </w:p>
        </w:tc>
        <w:tc>
          <w:tcPr>
            <w:tcW w:w="1468" w:type="dxa"/>
            <w:vMerge w:val="restart"/>
            <w:tcBorders>
              <w:left w:val="single" w:color="auto" w:sz="4" w:space="0"/>
            </w:tcBorders>
            <w:noWrap w:val="0"/>
            <w:vAlign w:val="center"/>
          </w:tcPr>
          <w:p>
            <w:pPr>
              <w:rPr>
                <w:rFonts w:ascii="新宋体" w:hAnsi="新宋体" w:eastAsia="新宋体" w:cs="新宋体"/>
                <w:color w:val="auto"/>
                <w:szCs w:val="21"/>
                <w:highlight w:val="none"/>
              </w:rPr>
            </w:pPr>
            <w:r>
              <w:rPr>
                <w:rFonts w:ascii="新宋体" w:hAnsi="新宋体" w:eastAsia="新宋体" w:cs="新宋体"/>
                <w:color w:val="auto"/>
                <w:szCs w:val="21"/>
                <w:highlight w:val="none"/>
              </w:rPr>
              <w:t>智慧园林系统（城市绿地在线应用）运行维护</w:t>
            </w:r>
            <w:r>
              <w:rPr>
                <w:rFonts w:hint="eastAsia" w:ascii="新宋体" w:hAnsi="新宋体" w:eastAsia="新宋体" w:cs="新宋体"/>
                <w:color w:val="auto"/>
                <w:szCs w:val="21"/>
                <w:highlight w:val="none"/>
              </w:rPr>
              <w:t>方案</w:t>
            </w:r>
          </w:p>
        </w:tc>
        <w:tc>
          <w:tcPr>
            <w:tcW w:w="659" w:type="dxa"/>
            <w:tcBorders>
              <w:bottom w:val="single" w:color="auto" w:sz="4" w:space="0"/>
            </w:tcBorders>
            <w:noWrap w:val="0"/>
            <w:vAlign w:val="center"/>
          </w:tcPr>
          <w:p>
            <w:pPr>
              <w:jc w:val="center"/>
              <w:rPr>
                <w:rFonts w:ascii="新宋体" w:hAnsi="新宋体" w:eastAsia="新宋体" w:cs="新宋体"/>
                <w:color w:val="auto"/>
                <w:szCs w:val="21"/>
                <w:highlight w:val="none"/>
              </w:rPr>
            </w:pPr>
            <w:r>
              <w:rPr>
                <w:rFonts w:ascii="新宋体" w:hAnsi="新宋体" w:eastAsia="新宋体" w:cs="新宋体"/>
                <w:color w:val="auto"/>
                <w:szCs w:val="21"/>
                <w:highlight w:val="none"/>
              </w:rPr>
              <w:t>2</w:t>
            </w:r>
          </w:p>
        </w:tc>
        <w:tc>
          <w:tcPr>
            <w:tcW w:w="6095" w:type="dxa"/>
            <w:tcBorders>
              <w:bottom w:val="single" w:color="auto" w:sz="4" w:space="0"/>
            </w:tcBorders>
            <w:noWrap w:val="0"/>
            <w:vAlign w:val="center"/>
          </w:tcPr>
          <w:p>
            <w:pPr>
              <w:rPr>
                <w:color w:val="auto"/>
                <w:szCs w:val="21"/>
                <w:highlight w:val="none"/>
              </w:rPr>
            </w:pPr>
            <w:r>
              <w:rPr>
                <w:rFonts w:hint="eastAsia"/>
                <w:color w:val="auto"/>
                <w:szCs w:val="21"/>
                <w:highlight w:val="none"/>
              </w:rPr>
              <w:t>方案内容总体全面合理、条理性强，符合实际情况和招标文件提出的要求</w:t>
            </w:r>
            <w:r>
              <w:rPr>
                <w:color w:val="auto"/>
                <w:szCs w:val="21"/>
                <w:highlight w:val="none"/>
              </w:rPr>
              <w:t>0-2</w:t>
            </w:r>
            <w:r>
              <w:rPr>
                <w:rFonts w:hint="eastAsia"/>
                <w:color w:val="auto"/>
                <w:szCs w:val="21"/>
                <w:highlight w:val="none"/>
              </w:rPr>
              <w:t>分。</w:t>
            </w:r>
            <w:r>
              <w:rPr>
                <w:color w:val="auto"/>
                <w:szCs w:val="21"/>
                <w:highlight w:val="none"/>
              </w:rPr>
              <w:t xml:space="preserve"> </w:t>
            </w:r>
          </w:p>
        </w:tc>
      </w:tr>
      <w:tr>
        <w:tblPrEx>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88" w:hRule="atLeast"/>
          <w:jc w:val="center"/>
        </w:trPr>
        <w:tc>
          <w:tcPr>
            <w:tcW w:w="525" w:type="dxa"/>
            <w:vMerge w:val="continue"/>
            <w:noWrap w:val="0"/>
            <w:vAlign w:val="center"/>
          </w:tcPr>
          <w:p>
            <w:pPr>
              <w:adjustRightInd w:val="0"/>
              <w:snapToGrid w:val="0"/>
              <w:jc w:val="center"/>
              <w:rPr>
                <w:rFonts w:ascii="新宋体" w:hAnsi="新宋体" w:eastAsia="新宋体" w:cs="新宋体"/>
                <w:color w:val="auto"/>
                <w:kern w:val="0"/>
                <w:szCs w:val="21"/>
                <w:highlight w:val="none"/>
              </w:rPr>
            </w:pPr>
          </w:p>
        </w:tc>
        <w:tc>
          <w:tcPr>
            <w:tcW w:w="691" w:type="dxa"/>
            <w:vMerge w:val="continue"/>
            <w:tcBorders>
              <w:right w:val="single" w:color="auto" w:sz="4" w:space="0"/>
            </w:tcBorders>
            <w:noWrap w:val="0"/>
            <w:vAlign w:val="center"/>
          </w:tcPr>
          <w:p>
            <w:pPr>
              <w:rPr>
                <w:rFonts w:ascii="新宋体" w:hAnsi="新宋体" w:eastAsia="新宋体" w:cs="新宋体"/>
                <w:color w:val="auto"/>
                <w:szCs w:val="21"/>
                <w:highlight w:val="none"/>
              </w:rPr>
            </w:pPr>
          </w:p>
        </w:tc>
        <w:tc>
          <w:tcPr>
            <w:tcW w:w="1468" w:type="dxa"/>
            <w:vMerge w:val="continue"/>
            <w:tcBorders>
              <w:left w:val="single" w:color="auto" w:sz="4" w:space="0"/>
            </w:tcBorders>
            <w:noWrap w:val="0"/>
            <w:vAlign w:val="center"/>
          </w:tcPr>
          <w:p>
            <w:pPr>
              <w:rPr>
                <w:rFonts w:ascii="新宋体" w:hAnsi="新宋体" w:eastAsia="新宋体" w:cs="新宋体"/>
                <w:color w:val="auto"/>
                <w:szCs w:val="21"/>
                <w:highlight w:val="none"/>
              </w:rPr>
            </w:pPr>
          </w:p>
        </w:tc>
        <w:tc>
          <w:tcPr>
            <w:tcW w:w="659" w:type="dxa"/>
            <w:tcBorders>
              <w:top w:val="single" w:color="auto" w:sz="4" w:space="0"/>
              <w:bottom w:val="single" w:color="auto" w:sz="4" w:space="0"/>
            </w:tcBorders>
            <w:noWrap w:val="0"/>
            <w:vAlign w:val="center"/>
          </w:tcPr>
          <w:p>
            <w:pPr>
              <w:jc w:val="center"/>
              <w:rPr>
                <w:rFonts w:ascii="新宋体" w:hAnsi="新宋体" w:eastAsia="新宋体" w:cs="新宋体"/>
                <w:color w:val="auto"/>
                <w:szCs w:val="21"/>
                <w:highlight w:val="none"/>
              </w:rPr>
            </w:pPr>
            <w:r>
              <w:rPr>
                <w:rFonts w:ascii="新宋体" w:hAnsi="新宋体" w:eastAsia="新宋体" w:cs="新宋体"/>
                <w:color w:val="auto"/>
                <w:szCs w:val="21"/>
                <w:highlight w:val="none"/>
              </w:rPr>
              <w:t>2</w:t>
            </w:r>
          </w:p>
        </w:tc>
        <w:tc>
          <w:tcPr>
            <w:tcW w:w="6095" w:type="dxa"/>
            <w:tcBorders>
              <w:top w:val="single" w:color="auto" w:sz="4" w:space="0"/>
              <w:bottom w:val="single" w:color="auto" w:sz="4" w:space="0"/>
            </w:tcBorders>
            <w:noWrap w:val="0"/>
            <w:vAlign w:val="center"/>
          </w:tcPr>
          <w:p>
            <w:pPr>
              <w:rPr>
                <w:color w:val="auto"/>
                <w:szCs w:val="21"/>
                <w:highlight w:val="none"/>
              </w:rPr>
            </w:pPr>
            <w:r>
              <w:rPr>
                <w:rFonts w:hint="eastAsia" w:ascii="新宋体" w:hAnsi="新宋体" w:eastAsia="新宋体"/>
                <w:color w:val="auto"/>
                <w:szCs w:val="21"/>
                <w:highlight w:val="none"/>
              </w:rPr>
              <w:t>各类系统</w:t>
            </w:r>
            <w:r>
              <w:rPr>
                <w:rFonts w:ascii="新宋体" w:hAnsi="新宋体" w:eastAsia="新宋体"/>
                <w:color w:val="auto"/>
                <w:szCs w:val="21"/>
                <w:highlight w:val="none"/>
              </w:rPr>
              <w:t>数据更新技术流程</w:t>
            </w:r>
            <w:r>
              <w:rPr>
                <w:rFonts w:hint="eastAsia" w:ascii="新宋体" w:hAnsi="新宋体" w:eastAsia="新宋体"/>
                <w:color w:val="auto"/>
                <w:szCs w:val="21"/>
                <w:highlight w:val="none"/>
              </w:rPr>
              <w:t>和系统日常</w:t>
            </w:r>
            <w:r>
              <w:rPr>
                <w:rFonts w:ascii="新宋体" w:hAnsi="新宋体" w:eastAsia="新宋体"/>
                <w:color w:val="auto"/>
                <w:szCs w:val="21"/>
                <w:highlight w:val="none"/>
              </w:rPr>
              <w:t>运维</w:t>
            </w:r>
            <w:r>
              <w:rPr>
                <w:rFonts w:hint="eastAsia" w:ascii="新宋体" w:hAnsi="新宋体" w:eastAsia="新宋体"/>
                <w:color w:val="auto"/>
                <w:szCs w:val="21"/>
                <w:highlight w:val="none"/>
              </w:rPr>
              <w:t>手段</w:t>
            </w:r>
            <w:r>
              <w:rPr>
                <w:rFonts w:ascii="新宋体" w:hAnsi="新宋体" w:eastAsia="新宋体"/>
                <w:color w:val="auto"/>
                <w:szCs w:val="21"/>
                <w:highlight w:val="none"/>
              </w:rPr>
              <w:t>是否详细、准确</w:t>
            </w:r>
            <w:r>
              <w:rPr>
                <w:rFonts w:hint="eastAsia" w:ascii="新宋体" w:hAnsi="新宋体" w:eastAsia="新宋体"/>
                <w:color w:val="auto"/>
                <w:szCs w:val="21"/>
                <w:highlight w:val="none"/>
              </w:rPr>
              <w:t>0-2分。</w:t>
            </w:r>
          </w:p>
        </w:tc>
      </w:tr>
      <w:tr>
        <w:tblPrEx>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88" w:hRule="atLeast"/>
          <w:jc w:val="center"/>
        </w:trPr>
        <w:tc>
          <w:tcPr>
            <w:tcW w:w="525" w:type="dxa"/>
            <w:vMerge w:val="continue"/>
            <w:noWrap w:val="0"/>
            <w:vAlign w:val="center"/>
          </w:tcPr>
          <w:p>
            <w:pPr>
              <w:adjustRightInd w:val="0"/>
              <w:snapToGrid w:val="0"/>
              <w:jc w:val="center"/>
              <w:rPr>
                <w:rFonts w:ascii="新宋体" w:hAnsi="新宋体" w:eastAsia="新宋体" w:cs="新宋体"/>
                <w:color w:val="auto"/>
                <w:kern w:val="0"/>
                <w:szCs w:val="21"/>
                <w:highlight w:val="none"/>
              </w:rPr>
            </w:pPr>
          </w:p>
        </w:tc>
        <w:tc>
          <w:tcPr>
            <w:tcW w:w="691" w:type="dxa"/>
            <w:vMerge w:val="continue"/>
            <w:tcBorders>
              <w:right w:val="single" w:color="auto" w:sz="4" w:space="0"/>
            </w:tcBorders>
            <w:noWrap w:val="0"/>
            <w:vAlign w:val="center"/>
          </w:tcPr>
          <w:p>
            <w:pPr>
              <w:rPr>
                <w:rFonts w:ascii="新宋体" w:hAnsi="新宋体" w:eastAsia="新宋体" w:cs="新宋体"/>
                <w:color w:val="auto"/>
                <w:szCs w:val="21"/>
                <w:highlight w:val="none"/>
              </w:rPr>
            </w:pPr>
          </w:p>
        </w:tc>
        <w:tc>
          <w:tcPr>
            <w:tcW w:w="1468" w:type="dxa"/>
            <w:tcBorders>
              <w:left w:val="single" w:color="auto" w:sz="4" w:space="0"/>
            </w:tcBorders>
            <w:noWrap w:val="0"/>
            <w:vAlign w:val="center"/>
          </w:tcPr>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合理化</w:t>
            </w:r>
            <w:r>
              <w:rPr>
                <w:rFonts w:ascii="新宋体" w:hAnsi="新宋体" w:eastAsia="新宋体" w:cs="新宋体"/>
                <w:color w:val="auto"/>
                <w:szCs w:val="21"/>
                <w:highlight w:val="none"/>
              </w:rPr>
              <w:t>建议</w:t>
            </w:r>
          </w:p>
        </w:tc>
        <w:tc>
          <w:tcPr>
            <w:tcW w:w="659" w:type="dxa"/>
            <w:tcBorders>
              <w:top w:val="single" w:color="auto" w:sz="4" w:space="0"/>
              <w:bottom w:val="single" w:color="auto" w:sz="4" w:space="0"/>
            </w:tcBorders>
            <w:noWrap w:val="0"/>
            <w:vAlign w:val="center"/>
          </w:tcPr>
          <w:p>
            <w:pPr>
              <w:jc w:val="center"/>
              <w:rPr>
                <w:rFonts w:ascii="新宋体" w:hAnsi="新宋体" w:eastAsia="新宋体" w:cs="新宋体"/>
                <w:color w:val="auto"/>
                <w:szCs w:val="21"/>
                <w:highlight w:val="none"/>
              </w:rPr>
            </w:pPr>
            <w:r>
              <w:rPr>
                <w:rFonts w:ascii="新宋体" w:hAnsi="新宋体" w:eastAsia="新宋体" w:cs="新宋体"/>
                <w:color w:val="auto"/>
                <w:szCs w:val="21"/>
                <w:highlight w:val="none"/>
              </w:rPr>
              <w:t>2</w:t>
            </w:r>
          </w:p>
        </w:tc>
        <w:tc>
          <w:tcPr>
            <w:tcW w:w="6095" w:type="dxa"/>
            <w:tcBorders>
              <w:top w:val="single" w:color="auto" w:sz="4" w:space="0"/>
              <w:bottom w:val="single" w:color="auto" w:sz="4" w:space="0"/>
            </w:tcBorders>
            <w:noWrap w:val="0"/>
            <w:vAlign w:val="center"/>
          </w:tcPr>
          <w:p>
            <w:pPr>
              <w:rPr>
                <w:rFonts w:hint="eastAsia" w:ascii="新宋体" w:hAnsi="新宋体" w:eastAsia="新宋体"/>
                <w:color w:val="auto"/>
                <w:szCs w:val="21"/>
                <w:highlight w:val="none"/>
              </w:rPr>
            </w:pPr>
            <w:r>
              <w:rPr>
                <w:rFonts w:hint="eastAsia" w:ascii="新宋体" w:hAnsi="新宋体" w:eastAsia="新宋体"/>
                <w:color w:val="auto"/>
                <w:szCs w:val="21"/>
                <w:highlight w:val="none"/>
              </w:rPr>
              <w:t>基于对智慧园林</w:t>
            </w:r>
            <w:r>
              <w:rPr>
                <w:rFonts w:ascii="新宋体" w:hAnsi="新宋体" w:eastAsia="新宋体"/>
                <w:color w:val="auto"/>
                <w:szCs w:val="21"/>
                <w:highlight w:val="none"/>
              </w:rPr>
              <w:t>工作的充分</w:t>
            </w:r>
            <w:r>
              <w:rPr>
                <w:rFonts w:hint="eastAsia" w:ascii="新宋体" w:hAnsi="新宋体" w:eastAsia="新宋体"/>
                <w:color w:val="auto"/>
                <w:szCs w:val="21"/>
                <w:highlight w:val="none"/>
              </w:rPr>
              <w:t>了解，结合对系统</w:t>
            </w:r>
            <w:r>
              <w:rPr>
                <w:rFonts w:ascii="新宋体" w:hAnsi="新宋体" w:eastAsia="新宋体"/>
                <w:color w:val="auto"/>
                <w:szCs w:val="21"/>
                <w:highlight w:val="none"/>
              </w:rPr>
              <w:t>业务和平台</w:t>
            </w:r>
            <w:r>
              <w:rPr>
                <w:rFonts w:hint="eastAsia" w:ascii="新宋体" w:hAnsi="新宋体" w:eastAsia="新宋体"/>
                <w:color w:val="auto"/>
                <w:szCs w:val="21"/>
                <w:highlight w:val="none"/>
              </w:rPr>
              <w:t>功能</w:t>
            </w:r>
            <w:r>
              <w:rPr>
                <w:rFonts w:ascii="新宋体" w:hAnsi="新宋体" w:eastAsia="新宋体"/>
                <w:color w:val="auto"/>
                <w:szCs w:val="21"/>
                <w:highlight w:val="none"/>
              </w:rPr>
              <w:t>设计</w:t>
            </w:r>
            <w:r>
              <w:rPr>
                <w:rFonts w:hint="eastAsia" w:ascii="新宋体" w:hAnsi="新宋体" w:eastAsia="新宋体"/>
                <w:color w:val="auto"/>
                <w:szCs w:val="21"/>
                <w:highlight w:val="none"/>
              </w:rPr>
              <w:t>的</w:t>
            </w:r>
            <w:r>
              <w:rPr>
                <w:rFonts w:ascii="新宋体" w:hAnsi="新宋体" w:eastAsia="新宋体"/>
                <w:color w:val="auto"/>
                <w:szCs w:val="21"/>
                <w:highlight w:val="none"/>
              </w:rPr>
              <w:t>理解，</w:t>
            </w:r>
            <w:r>
              <w:rPr>
                <w:rFonts w:hint="eastAsia" w:ascii="新宋体" w:hAnsi="新宋体" w:eastAsia="新宋体"/>
                <w:color w:val="auto"/>
                <w:szCs w:val="21"/>
                <w:highlight w:val="none"/>
              </w:rPr>
              <w:t>针对</w:t>
            </w:r>
            <w:r>
              <w:rPr>
                <w:rFonts w:ascii="新宋体" w:hAnsi="新宋体" w:eastAsia="新宋体"/>
                <w:color w:val="auto"/>
                <w:szCs w:val="21"/>
                <w:highlight w:val="none"/>
              </w:rPr>
              <w:t>本项目</w:t>
            </w:r>
            <w:r>
              <w:rPr>
                <w:rFonts w:hint="eastAsia" w:ascii="新宋体" w:hAnsi="新宋体" w:eastAsia="新宋体"/>
                <w:color w:val="auto"/>
                <w:szCs w:val="21"/>
                <w:highlight w:val="none"/>
              </w:rPr>
              <w:t>建立</w:t>
            </w:r>
            <w:r>
              <w:rPr>
                <w:rFonts w:ascii="新宋体" w:hAnsi="新宋体" w:eastAsia="新宋体"/>
                <w:color w:val="auto"/>
                <w:szCs w:val="21"/>
                <w:highlight w:val="none"/>
              </w:rPr>
              <w:t>绿地资源动态更新机制的实现</w:t>
            </w:r>
            <w:r>
              <w:rPr>
                <w:rFonts w:hint="eastAsia" w:ascii="新宋体" w:hAnsi="新宋体" w:eastAsia="新宋体"/>
                <w:color w:val="auto"/>
                <w:szCs w:val="21"/>
                <w:highlight w:val="none"/>
              </w:rPr>
              <w:t>路径</w:t>
            </w:r>
            <w:r>
              <w:rPr>
                <w:rFonts w:ascii="新宋体" w:hAnsi="新宋体" w:eastAsia="新宋体"/>
                <w:color w:val="auto"/>
                <w:szCs w:val="21"/>
                <w:highlight w:val="none"/>
              </w:rPr>
              <w:t>，以及后期建设思路与</w:t>
            </w:r>
            <w:r>
              <w:rPr>
                <w:rFonts w:hint="eastAsia" w:ascii="新宋体" w:hAnsi="新宋体" w:eastAsia="新宋体"/>
                <w:color w:val="auto"/>
                <w:szCs w:val="21"/>
                <w:highlight w:val="none"/>
              </w:rPr>
              <w:t>建设</w:t>
            </w:r>
            <w:r>
              <w:rPr>
                <w:rFonts w:ascii="新宋体" w:hAnsi="新宋体" w:eastAsia="新宋体"/>
                <w:color w:val="auto"/>
                <w:szCs w:val="21"/>
                <w:highlight w:val="none"/>
              </w:rPr>
              <w:t>内容等合理化</w:t>
            </w:r>
            <w:r>
              <w:rPr>
                <w:rFonts w:hint="eastAsia" w:ascii="新宋体" w:hAnsi="新宋体" w:eastAsia="新宋体"/>
                <w:color w:val="auto"/>
                <w:szCs w:val="21"/>
                <w:highlight w:val="none"/>
              </w:rPr>
              <w:t>建议</w:t>
            </w:r>
            <w:r>
              <w:rPr>
                <w:rFonts w:ascii="新宋体" w:hAnsi="新宋体" w:eastAsia="新宋体"/>
                <w:color w:val="auto"/>
                <w:szCs w:val="21"/>
                <w:highlight w:val="none"/>
              </w:rPr>
              <w:t>，根据建议的</w:t>
            </w:r>
            <w:r>
              <w:rPr>
                <w:rFonts w:hint="eastAsia" w:ascii="新宋体" w:hAnsi="新宋体" w:eastAsia="新宋体"/>
                <w:color w:val="auto"/>
                <w:szCs w:val="21"/>
                <w:highlight w:val="none"/>
              </w:rPr>
              <w:t>完整性</w:t>
            </w:r>
            <w:r>
              <w:rPr>
                <w:rFonts w:ascii="新宋体" w:hAnsi="新宋体" w:eastAsia="新宋体"/>
                <w:color w:val="auto"/>
                <w:szCs w:val="21"/>
                <w:highlight w:val="none"/>
              </w:rPr>
              <w:t>、合理性、</w:t>
            </w:r>
            <w:r>
              <w:rPr>
                <w:rFonts w:hint="eastAsia" w:ascii="新宋体" w:hAnsi="新宋体" w:eastAsia="新宋体"/>
                <w:color w:val="auto"/>
                <w:szCs w:val="21"/>
                <w:highlight w:val="none"/>
              </w:rPr>
              <w:t>可实现</w:t>
            </w:r>
            <w:r>
              <w:rPr>
                <w:rFonts w:ascii="新宋体" w:hAnsi="新宋体" w:eastAsia="新宋体"/>
                <w:color w:val="auto"/>
                <w:szCs w:val="21"/>
                <w:highlight w:val="none"/>
              </w:rPr>
              <w:t>性，是否满足采购人的实际使用</w:t>
            </w:r>
            <w:r>
              <w:rPr>
                <w:rFonts w:hint="eastAsia" w:ascii="新宋体" w:hAnsi="新宋体" w:eastAsia="新宋体"/>
                <w:color w:val="auto"/>
                <w:szCs w:val="21"/>
                <w:highlight w:val="none"/>
              </w:rPr>
              <w:t>需求</w:t>
            </w:r>
            <w:r>
              <w:rPr>
                <w:rFonts w:ascii="新宋体" w:hAnsi="新宋体" w:eastAsia="新宋体"/>
                <w:color w:val="auto"/>
                <w:szCs w:val="21"/>
                <w:highlight w:val="none"/>
              </w:rPr>
              <w:t>，</w:t>
            </w:r>
            <w:r>
              <w:rPr>
                <w:rFonts w:hint="eastAsia" w:ascii="新宋体" w:hAnsi="新宋体" w:eastAsia="新宋体"/>
                <w:color w:val="auto"/>
                <w:szCs w:val="21"/>
                <w:highlight w:val="none"/>
              </w:rPr>
              <w:t>由专家酌情打分。</w:t>
            </w:r>
          </w:p>
        </w:tc>
      </w:tr>
      <w:tr>
        <w:tblPrEx>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40" w:hRule="atLeast"/>
          <w:jc w:val="center"/>
        </w:trPr>
        <w:tc>
          <w:tcPr>
            <w:tcW w:w="525" w:type="dxa"/>
            <w:vMerge w:val="restart"/>
            <w:tcBorders>
              <w:top w:val="single" w:color="auto" w:sz="4" w:space="0"/>
            </w:tcBorders>
            <w:noWrap w:val="0"/>
            <w:vAlign w:val="center"/>
          </w:tcPr>
          <w:p>
            <w:pPr>
              <w:adjustRightInd w:val="0"/>
              <w:snapToGrid w:val="0"/>
              <w:jc w:val="center"/>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w:t>
            </w:r>
          </w:p>
        </w:tc>
        <w:tc>
          <w:tcPr>
            <w:tcW w:w="691" w:type="dxa"/>
            <w:vMerge w:val="restart"/>
            <w:tcBorders>
              <w:top w:val="single" w:color="auto" w:sz="4" w:space="0"/>
              <w:right w:val="single" w:color="auto" w:sz="4" w:space="0"/>
            </w:tcBorders>
            <w:noWrap w:val="0"/>
            <w:vAlign w:val="center"/>
          </w:tcPr>
          <w:p>
            <w:pPr>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项目实施</w:t>
            </w:r>
            <w:r>
              <w:rPr>
                <w:rFonts w:ascii="新宋体" w:hAnsi="新宋体" w:eastAsia="新宋体" w:cs="新宋体"/>
                <w:color w:val="auto"/>
                <w:szCs w:val="21"/>
                <w:highlight w:val="none"/>
              </w:rPr>
              <w:t>保障</w:t>
            </w:r>
            <w:r>
              <w:rPr>
                <w:rFonts w:hint="eastAsia" w:ascii="新宋体" w:hAnsi="新宋体" w:eastAsia="新宋体" w:cs="新宋体"/>
                <w:color w:val="auto"/>
                <w:szCs w:val="21"/>
                <w:highlight w:val="none"/>
              </w:rPr>
              <w:t>（</w:t>
            </w:r>
            <w:r>
              <w:rPr>
                <w:rFonts w:ascii="新宋体" w:hAnsi="新宋体" w:eastAsia="新宋体" w:cs="新宋体"/>
                <w:color w:val="auto"/>
                <w:szCs w:val="21"/>
                <w:highlight w:val="none"/>
              </w:rPr>
              <w:t>8</w:t>
            </w:r>
            <w:r>
              <w:rPr>
                <w:rFonts w:hint="eastAsia" w:ascii="新宋体" w:hAnsi="新宋体" w:eastAsia="新宋体" w:cs="新宋体"/>
                <w:color w:val="auto"/>
                <w:szCs w:val="21"/>
                <w:highlight w:val="none"/>
              </w:rPr>
              <w:t>分</w:t>
            </w:r>
            <w:r>
              <w:rPr>
                <w:rFonts w:ascii="新宋体" w:hAnsi="新宋体" w:eastAsia="新宋体" w:cs="新宋体"/>
                <w:color w:val="auto"/>
                <w:szCs w:val="21"/>
                <w:highlight w:val="none"/>
              </w:rPr>
              <w:t>）</w:t>
            </w:r>
          </w:p>
        </w:tc>
        <w:tc>
          <w:tcPr>
            <w:tcW w:w="1468" w:type="dxa"/>
            <w:tcBorders>
              <w:left w:val="single" w:color="auto" w:sz="4" w:space="0"/>
            </w:tcBorders>
            <w:noWrap w:val="0"/>
            <w:vAlign w:val="center"/>
          </w:tcPr>
          <w:p>
            <w:pPr>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项目实施</w:t>
            </w:r>
            <w:r>
              <w:rPr>
                <w:rFonts w:ascii="新宋体" w:hAnsi="新宋体" w:eastAsia="新宋体" w:cs="新宋体"/>
                <w:color w:val="auto"/>
                <w:szCs w:val="21"/>
                <w:highlight w:val="none"/>
              </w:rPr>
              <w:t>方案</w:t>
            </w:r>
          </w:p>
        </w:tc>
        <w:tc>
          <w:tcPr>
            <w:tcW w:w="659" w:type="dxa"/>
            <w:noWrap w:val="0"/>
            <w:vAlign w:val="center"/>
          </w:tcPr>
          <w:p>
            <w:pPr>
              <w:jc w:val="center"/>
              <w:rPr>
                <w:rFonts w:ascii="新宋体" w:hAnsi="新宋体" w:eastAsia="新宋体" w:cs="新宋体"/>
                <w:color w:val="auto"/>
                <w:szCs w:val="21"/>
                <w:highlight w:val="none"/>
              </w:rPr>
            </w:pPr>
            <w:r>
              <w:rPr>
                <w:rFonts w:ascii="新宋体" w:hAnsi="新宋体" w:eastAsia="新宋体" w:cs="新宋体"/>
                <w:color w:val="auto"/>
                <w:szCs w:val="21"/>
                <w:highlight w:val="none"/>
              </w:rPr>
              <w:t>3</w:t>
            </w:r>
          </w:p>
        </w:tc>
        <w:tc>
          <w:tcPr>
            <w:tcW w:w="6095" w:type="dxa"/>
            <w:noWrap w:val="0"/>
            <w:vAlign w:val="center"/>
          </w:tcPr>
          <w:p>
            <w:pPr>
              <w:pStyle w:val="27"/>
              <w:spacing w:after="0"/>
              <w:ind w:firstLine="0" w:firstLineChars="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根据供应商针对本项目管理、</w:t>
            </w:r>
            <w:r>
              <w:rPr>
                <w:rFonts w:hint="eastAsia" w:ascii="宋体" w:hAnsi="宋体" w:cs="新宋体"/>
                <w:color w:val="auto"/>
                <w:szCs w:val="21"/>
                <w:highlight w:val="none"/>
              </w:rPr>
              <w:t>质量控制措施、安全</w:t>
            </w:r>
            <w:r>
              <w:rPr>
                <w:rFonts w:ascii="宋体" w:hAnsi="宋体" w:cs="新宋体"/>
                <w:color w:val="auto"/>
                <w:szCs w:val="21"/>
                <w:highlight w:val="none"/>
              </w:rPr>
              <w:t>生产文明测绘管理</w:t>
            </w:r>
            <w:r>
              <w:rPr>
                <w:rFonts w:hint="eastAsia" w:ascii="宋体" w:hAnsi="宋体" w:cs="新宋体"/>
                <w:color w:val="auto"/>
                <w:szCs w:val="21"/>
                <w:highlight w:val="none"/>
              </w:rPr>
              <w:t>措施</w:t>
            </w:r>
            <w:r>
              <w:rPr>
                <w:rFonts w:ascii="宋体" w:hAnsi="宋体" w:cs="新宋体"/>
                <w:color w:val="auto"/>
                <w:szCs w:val="21"/>
                <w:highlight w:val="none"/>
              </w:rPr>
              <w:t>、</w:t>
            </w:r>
            <w:r>
              <w:rPr>
                <w:rFonts w:hint="eastAsia" w:ascii="宋体" w:hAnsi="宋体" w:cs="新宋体"/>
                <w:color w:val="auto"/>
                <w:szCs w:val="21"/>
                <w:highlight w:val="none"/>
              </w:rPr>
              <w:t>系统安装与测试以及</w:t>
            </w:r>
            <w:r>
              <w:rPr>
                <w:rFonts w:hint="eastAsia" w:ascii="新宋体" w:hAnsi="新宋体" w:eastAsia="新宋体"/>
                <w:color w:val="auto"/>
                <w:szCs w:val="21"/>
                <w:highlight w:val="none"/>
              </w:rPr>
              <w:t>数据资料</w:t>
            </w:r>
            <w:r>
              <w:rPr>
                <w:rFonts w:ascii="新宋体" w:hAnsi="新宋体" w:eastAsia="新宋体"/>
                <w:color w:val="auto"/>
                <w:szCs w:val="21"/>
                <w:highlight w:val="none"/>
              </w:rPr>
              <w:t>安全保密措施</w:t>
            </w:r>
            <w:r>
              <w:rPr>
                <w:rFonts w:hint="eastAsia" w:ascii="宋体" w:hAnsi="宋体" w:cs="新宋体"/>
                <w:color w:val="auto"/>
                <w:szCs w:val="21"/>
                <w:highlight w:val="none"/>
              </w:rPr>
              <w:t>的详细描述0-</w:t>
            </w:r>
            <w:r>
              <w:rPr>
                <w:rFonts w:ascii="宋体" w:hAnsi="宋体" w:cs="新宋体"/>
                <w:color w:val="auto"/>
                <w:szCs w:val="21"/>
                <w:highlight w:val="none"/>
              </w:rPr>
              <w:t>3</w:t>
            </w:r>
            <w:r>
              <w:rPr>
                <w:rFonts w:hint="eastAsia" w:ascii="宋体" w:hAnsi="宋体" w:cs="新宋体"/>
                <w:color w:val="auto"/>
                <w:szCs w:val="21"/>
                <w:highlight w:val="none"/>
              </w:rPr>
              <w:t>分。</w:t>
            </w:r>
          </w:p>
        </w:tc>
      </w:tr>
      <w:tr>
        <w:tblPrEx>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6" w:hRule="atLeast"/>
          <w:jc w:val="center"/>
        </w:trPr>
        <w:tc>
          <w:tcPr>
            <w:tcW w:w="525" w:type="dxa"/>
            <w:vMerge w:val="continue"/>
            <w:noWrap w:val="0"/>
            <w:vAlign w:val="center"/>
          </w:tcPr>
          <w:p>
            <w:pPr>
              <w:adjustRightInd w:val="0"/>
              <w:snapToGrid w:val="0"/>
              <w:jc w:val="center"/>
              <w:rPr>
                <w:rFonts w:ascii="新宋体" w:hAnsi="新宋体" w:eastAsia="新宋体" w:cs="新宋体"/>
                <w:color w:val="auto"/>
                <w:kern w:val="0"/>
                <w:szCs w:val="21"/>
                <w:highlight w:val="none"/>
              </w:rPr>
            </w:pPr>
          </w:p>
        </w:tc>
        <w:tc>
          <w:tcPr>
            <w:tcW w:w="691" w:type="dxa"/>
            <w:vMerge w:val="continue"/>
            <w:tcBorders>
              <w:right w:val="single" w:color="auto" w:sz="4" w:space="0"/>
            </w:tcBorders>
            <w:noWrap w:val="0"/>
            <w:vAlign w:val="center"/>
          </w:tcPr>
          <w:p>
            <w:pPr>
              <w:rPr>
                <w:rFonts w:ascii="新宋体" w:hAnsi="新宋体" w:eastAsia="新宋体" w:cs="新宋体"/>
                <w:color w:val="auto"/>
                <w:szCs w:val="21"/>
                <w:highlight w:val="none"/>
              </w:rPr>
            </w:pPr>
          </w:p>
        </w:tc>
        <w:tc>
          <w:tcPr>
            <w:tcW w:w="1468" w:type="dxa"/>
            <w:vMerge w:val="restart"/>
            <w:tcBorders>
              <w:left w:val="single" w:color="auto" w:sz="4" w:space="0"/>
            </w:tcBorders>
            <w:noWrap w:val="0"/>
            <w:vAlign w:val="center"/>
          </w:tcPr>
          <w:p>
            <w:pPr>
              <w:rPr>
                <w:rFonts w:ascii="新宋体" w:hAnsi="新宋体" w:eastAsia="新宋体"/>
                <w:color w:val="auto"/>
                <w:szCs w:val="21"/>
                <w:highlight w:val="none"/>
              </w:rPr>
            </w:pPr>
            <w:r>
              <w:rPr>
                <w:rFonts w:hint="eastAsia" w:ascii="新宋体" w:hAnsi="新宋体" w:eastAsia="新宋体"/>
                <w:color w:val="auto"/>
                <w:szCs w:val="21"/>
                <w:highlight w:val="none"/>
              </w:rPr>
              <w:t>售后培训、技术</w:t>
            </w:r>
            <w:r>
              <w:rPr>
                <w:rFonts w:ascii="新宋体" w:hAnsi="新宋体" w:eastAsia="新宋体"/>
                <w:color w:val="auto"/>
                <w:szCs w:val="21"/>
                <w:highlight w:val="none"/>
              </w:rPr>
              <w:t>支持</w:t>
            </w:r>
            <w:r>
              <w:rPr>
                <w:rFonts w:hint="eastAsia" w:ascii="新宋体" w:hAnsi="新宋体" w:eastAsia="新宋体"/>
                <w:color w:val="auto"/>
                <w:szCs w:val="21"/>
                <w:highlight w:val="none"/>
              </w:rPr>
              <w:t>等</w:t>
            </w:r>
          </w:p>
        </w:tc>
        <w:tc>
          <w:tcPr>
            <w:tcW w:w="659" w:type="dxa"/>
            <w:vMerge w:val="restart"/>
            <w:noWrap w:val="0"/>
            <w:vAlign w:val="center"/>
          </w:tcPr>
          <w:p>
            <w:pPr>
              <w:jc w:val="center"/>
              <w:rPr>
                <w:rFonts w:ascii="新宋体" w:hAnsi="新宋体" w:eastAsia="新宋体" w:cs="新宋体"/>
                <w:color w:val="auto"/>
                <w:szCs w:val="21"/>
                <w:highlight w:val="none"/>
              </w:rPr>
            </w:pPr>
            <w:r>
              <w:rPr>
                <w:rFonts w:ascii="新宋体" w:hAnsi="新宋体" w:eastAsia="新宋体" w:cs="新宋体"/>
                <w:color w:val="auto"/>
                <w:kern w:val="0"/>
                <w:szCs w:val="21"/>
                <w:highlight w:val="none"/>
              </w:rPr>
              <w:t>5</w:t>
            </w:r>
          </w:p>
        </w:tc>
        <w:tc>
          <w:tcPr>
            <w:tcW w:w="6095" w:type="dxa"/>
            <w:tcBorders>
              <w:bottom w:val="single" w:color="auto" w:sz="4" w:space="0"/>
            </w:tcBorders>
            <w:noWrap w:val="0"/>
            <w:vAlign w:val="center"/>
          </w:tcPr>
          <w:p>
            <w:pPr>
              <w:ind w:left="-50"/>
              <w:rPr>
                <w:rFonts w:ascii="新宋体" w:hAnsi="新宋体" w:eastAsia="新宋体"/>
                <w:color w:val="auto"/>
                <w:szCs w:val="21"/>
                <w:highlight w:val="none"/>
              </w:rPr>
            </w:pPr>
            <w:r>
              <w:rPr>
                <w:rFonts w:hint="eastAsia" w:ascii="新宋体" w:hAnsi="新宋体" w:eastAsia="新宋体" w:cs="宋体"/>
                <w:color w:val="auto"/>
                <w:kern w:val="0"/>
                <w:szCs w:val="21"/>
                <w:highlight w:val="none"/>
              </w:rPr>
              <w:t>供应商通过5星级售后服务认证得1分；</w:t>
            </w:r>
          </w:p>
          <w:p>
            <w:pPr>
              <w:ind w:left="-50"/>
              <w:rPr>
                <w:color w:val="auto"/>
                <w:szCs w:val="21"/>
                <w:highlight w:val="none"/>
              </w:rPr>
            </w:pPr>
            <w:r>
              <w:rPr>
                <w:rFonts w:hint="eastAsia" w:ascii="新宋体" w:hAnsi="新宋体" w:eastAsia="新宋体"/>
                <w:color w:val="auto"/>
                <w:szCs w:val="21"/>
                <w:highlight w:val="none"/>
              </w:rPr>
              <w:t>根据供应商针对项目提供的售后培训、技术</w:t>
            </w:r>
            <w:r>
              <w:rPr>
                <w:rFonts w:ascii="新宋体" w:hAnsi="新宋体" w:eastAsia="新宋体"/>
                <w:color w:val="auto"/>
                <w:szCs w:val="21"/>
                <w:highlight w:val="none"/>
              </w:rPr>
              <w:t>支持</w:t>
            </w:r>
            <w:r>
              <w:rPr>
                <w:rFonts w:hint="eastAsia" w:ascii="新宋体" w:hAnsi="新宋体" w:eastAsia="新宋体"/>
                <w:color w:val="auto"/>
                <w:szCs w:val="21"/>
                <w:highlight w:val="none"/>
              </w:rPr>
              <w:t>和售后服务计划的可行性、有效性情况由专家打分。</w:t>
            </w:r>
            <w:r>
              <w:rPr>
                <w:rFonts w:hint="eastAsia" w:ascii="新宋体" w:hAnsi="新宋体" w:eastAsia="新宋体"/>
                <w:color w:val="auto"/>
                <w:szCs w:val="21"/>
                <w:highlight w:val="none"/>
                <w:lang w:val="en-US" w:eastAsia="zh-CN"/>
              </w:rPr>
              <w:t>合理可行的得1</w:t>
            </w:r>
            <w:r>
              <w:rPr>
                <w:rFonts w:hint="eastAsia" w:ascii="新宋体" w:hAnsi="新宋体" w:eastAsia="新宋体"/>
                <w:color w:val="auto"/>
                <w:szCs w:val="21"/>
                <w:highlight w:val="none"/>
              </w:rPr>
              <w:t>-</w:t>
            </w:r>
            <w:r>
              <w:rPr>
                <w:rFonts w:hint="eastAsia" w:ascii="新宋体" w:hAnsi="新宋体" w:eastAsia="新宋体"/>
                <w:color w:val="auto"/>
                <w:szCs w:val="21"/>
                <w:highlight w:val="none"/>
                <w:lang w:val="en-US" w:eastAsia="zh-CN"/>
              </w:rPr>
              <w:t>2</w:t>
            </w:r>
            <w:r>
              <w:rPr>
                <w:rFonts w:hint="eastAsia" w:ascii="新宋体" w:hAnsi="新宋体" w:eastAsia="新宋体"/>
                <w:color w:val="auto"/>
                <w:szCs w:val="21"/>
                <w:highlight w:val="none"/>
              </w:rPr>
              <w:t>分，</w:t>
            </w:r>
            <w:r>
              <w:rPr>
                <w:rFonts w:hint="eastAsia" w:ascii="新宋体" w:hAnsi="新宋体" w:eastAsia="新宋体"/>
                <w:color w:val="auto"/>
                <w:szCs w:val="21"/>
                <w:highlight w:val="none"/>
                <w:lang w:val="en-US" w:eastAsia="zh-CN"/>
              </w:rPr>
              <w:t>满足采购需求的得0</w:t>
            </w:r>
            <w:r>
              <w:rPr>
                <w:rFonts w:hint="eastAsia" w:ascii="新宋体" w:hAnsi="新宋体" w:eastAsia="新宋体"/>
                <w:color w:val="auto"/>
                <w:szCs w:val="21"/>
                <w:highlight w:val="none"/>
              </w:rPr>
              <w:t>-</w:t>
            </w:r>
            <w:r>
              <w:rPr>
                <w:rFonts w:hint="eastAsia" w:ascii="新宋体" w:hAnsi="新宋体" w:eastAsia="新宋体"/>
                <w:color w:val="auto"/>
                <w:szCs w:val="21"/>
                <w:highlight w:val="none"/>
                <w:lang w:val="en-US" w:eastAsia="zh-CN"/>
              </w:rPr>
              <w:t>1</w:t>
            </w:r>
            <w:r>
              <w:rPr>
                <w:rFonts w:hint="eastAsia" w:ascii="新宋体" w:hAnsi="新宋体" w:eastAsia="新宋体"/>
                <w:color w:val="auto"/>
                <w:szCs w:val="21"/>
                <w:highlight w:val="none"/>
              </w:rPr>
              <w:t>分。</w:t>
            </w:r>
          </w:p>
        </w:tc>
      </w:tr>
      <w:tr>
        <w:tblPrEx>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37" w:hRule="atLeast"/>
          <w:jc w:val="center"/>
        </w:trPr>
        <w:tc>
          <w:tcPr>
            <w:tcW w:w="525" w:type="dxa"/>
            <w:vMerge w:val="continue"/>
            <w:noWrap w:val="0"/>
            <w:vAlign w:val="center"/>
          </w:tcPr>
          <w:p>
            <w:pPr>
              <w:adjustRightInd w:val="0"/>
              <w:snapToGrid w:val="0"/>
              <w:jc w:val="center"/>
              <w:rPr>
                <w:rFonts w:ascii="新宋体" w:hAnsi="新宋体" w:eastAsia="新宋体" w:cs="新宋体"/>
                <w:color w:val="auto"/>
                <w:kern w:val="0"/>
                <w:szCs w:val="21"/>
                <w:highlight w:val="none"/>
              </w:rPr>
            </w:pPr>
          </w:p>
        </w:tc>
        <w:tc>
          <w:tcPr>
            <w:tcW w:w="691" w:type="dxa"/>
            <w:vMerge w:val="continue"/>
            <w:tcBorders>
              <w:right w:val="single" w:color="auto" w:sz="4" w:space="0"/>
            </w:tcBorders>
            <w:noWrap w:val="0"/>
            <w:vAlign w:val="center"/>
          </w:tcPr>
          <w:p>
            <w:pPr>
              <w:rPr>
                <w:rFonts w:ascii="新宋体" w:hAnsi="新宋体" w:eastAsia="新宋体" w:cs="新宋体"/>
                <w:color w:val="auto"/>
                <w:szCs w:val="21"/>
                <w:highlight w:val="none"/>
              </w:rPr>
            </w:pPr>
          </w:p>
        </w:tc>
        <w:tc>
          <w:tcPr>
            <w:tcW w:w="1468" w:type="dxa"/>
            <w:vMerge w:val="continue"/>
            <w:tcBorders>
              <w:left w:val="single" w:color="auto" w:sz="4" w:space="0"/>
            </w:tcBorders>
            <w:noWrap w:val="0"/>
            <w:vAlign w:val="center"/>
          </w:tcPr>
          <w:p>
            <w:pPr>
              <w:rPr>
                <w:rFonts w:ascii="新宋体" w:hAnsi="新宋体" w:eastAsia="新宋体"/>
                <w:color w:val="auto"/>
                <w:szCs w:val="21"/>
                <w:highlight w:val="none"/>
              </w:rPr>
            </w:pPr>
          </w:p>
        </w:tc>
        <w:tc>
          <w:tcPr>
            <w:tcW w:w="659" w:type="dxa"/>
            <w:vMerge w:val="continue"/>
            <w:noWrap w:val="0"/>
            <w:vAlign w:val="center"/>
          </w:tcPr>
          <w:p>
            <w:pPr>
              <w:jc w:val="center"/>
              <w:rPr>
                <w:rFonts w:ascii="新宋体" w:hAnsi="新宋体" w:eastAsia="新宋体" w:cs="新宋体"/>
                <w:color w:val="auto"/>
                <w:kern w:val="0"/>
                <w:szCs w:val="21"/>
                <w:highlight w:val="none"/>
              </w:rPr>
            </w:pPr>
          </w:p>
        </w:tc>
        <w:tc>
          <w:tcPr>
            <w:tcW w:w="6095" w:type="dxa"/>
            <w:tcBorders>
              <w:top w:val="single" w:color="auto" w:sz="4" w:space="0"/>
            </w:tcBorders>
            <w:noWrap w:val="0"/>
            <w:vAlign w:val="center"/>
          </w:tcPr>
          <w:p>
            <w:pPr>
              <w:ind w:left="-50"/>
              <w:rPr>
                <w:rFonts w:ascii="新宋体" w:hAnsi="新宋体" w:eastAsia="新宋体"/>
                <w:color w:val="auto"/>
                <w:szCs w:val="21"/>
                <w:highlight w:val="none"/>
              </w:rPr>
            </w:pPr>
            <w:r>
              <w:rPr>
                <w:rFonts w:hint="eastAsia" w:ascii="新宋体" w:hAnsi="新宋体" w:eastAsia="新宋体"/>
                <w:color w:val="auto"/>
                <w:szCs w:val="21"/>
                <w:highlight w:val="none"/>
              </w:rPr>
              <w:t>根据投标供应商已设立的售后服务网点地理位置或设立情况、便利程度、网点技术服务人员配备情况打分，地理位置以提供的营业执照为准。</w:t>
            </w:r>
            <w:r>
              <w:rPr>
                <w:rFonts w:hint="eastAsia" w:ascii="新宋体" w:hAnsi="新宋体" w:eastAsia="新宋体"/>
                <w:color w:val="auto"/>
                <w:szCs w:val="21"/>
                <w:highlight w:val="none"/>
                <w:lang w:val="en-US" w:eastAsia="zh-CN"/>
              </w:rPr>
              <w:t>合理可行的得1</w:t>
            </w:r>
            <w:r>
              <w:rPr>
                <w:rFonts w:hint="eastAsia" w:ascii="新宋体" w:hAnsi="新宋体" w:eastAsia="新宋体"/>
                <w:color w:val="auto"/>
                <w:szCs w:val="21"/>
                <w:highlight w:val="none"/>
              </w:rPr>
              <w:t>-</w:t>
            </w:r>
            <w:r>
              <w:rPr>
                <w:rFonts w:hint="eastAsia" w:ascii="新宋体" w:hAnsi="新宋体" w:eastAsia="新宋体"/>
                <w:color w:val="auto"/>
                <w:szCs w:val="21"/>
                <w:highlight w:val="none"/>
                <w:lang w:val="en-US" w:eastAsia="zh-CN"/>
              </w:rPr>
              <w:t>2</w:t>
            </w:r>
            <w:r>
              <w:rPr>
                <w:rFonts w:hint="eastAsia" w:ascii="新宋体" w:hAnsi="新宋体" w:eastAsia="新宋体"/>
                <w:color w:val="auto"/>
                <w:szCs w:val="21"/>
                <w:highlight w:val="none"/>
              </w:rPr>
              <w:t>分，</w:t>
            </w:r>
            <w:r>
              <w:rPr>
                <w:rFonts w:hint="eastAsia" w:ascii="新宋体" w:hAnsi="新宋体" w:eastAsia="新宋体"/>
                <w:color w:val="auto"/>
                <w:szCs w:val="21"/>
                <w:highlight w:val="none"/>
                <w:lang w:val="en-US" w:eastAsia="zh-CN"/>
              </w:rPr>
              <w:t>满足采购需求的得0</w:t>
            </w:r>
            <w:r>
              <w:rPr>
                <w:rFonts w:hint="eastAsia" w:ascii="新宋体" w:hAnsi="新宋体" w:eastAsia="新宋体"/>
                <w:color w:val="auto"/>
                <w:szCs w:val="21"/>
                <w:highlight w:val="none"/>
              </w:rPr>
              <w:t>-</w:t>
            </w:r>
            <w:r>
              <w:rPr>
                <w:rFonts w:hint="eastAsia" w:ascii="新宋体" w:hAnsi="新宋体" w:eastAsia="新宋体"/>
                <w:color w:val="auto"/>
                <w:szCs w:val="21"/>
                <w:highlight w:val="none"/>
                <w:lang w:val="en-US" w:eastAsia="zh-CN"/>
              </w:rPr>
              <w:t>1</w:t>
            </w:r>
            <w:r>
              <w:rPr>
                <w:rFonts w:hint="eastAsia" w:ascii="新宋体" w:hAnsi="新宋体" w:eastAsia="新宋体"/>
                <w:color w:val="auto"/>
                <w:szCs w:val="21"/>
                <w:highlight w:val="none"/>
              </w:rPr>
              <w:t>分。</w:t>
            </w:r>
          </w:p>
        </w:tc>
      </w:tr>
      <w:tr>
        <w:tblPrEx>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5" w:hRule="atLeast"/>
          <w:jc w:val="center"/>
        </w:trPr>
        <w:tc>
          <w:tcPr>
            <w:tcW w:w="525" w:type="dxa"/>
            <w:vMerge w:val="restart"/>
            <w:noWrap w:val="0"/>
            <w:vAlign w:val="center"/>
          </w:tcPr>
          <w:p>
            <w:pPr>
              <w:widowControl/>
              <w:adjustRightInd w:val="0"/>
              <w:snapToGrid w:val="0"/>
              <w:jc w:val="center"/>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w:t>
            </w:r>
          </w:p>
        </w:tc>
        <w:tc>
          <w:tcPr>
            <w:tcW w:w="2159" w:type="dxa"/>
            <w:gridSpan w:val="2"/>
            <w:vMerge w:val="restart"/>
            <w:noWrap w:val="0"/>
            <w:vAlign w:val="center"/>
          </w:tcPr>
          <w:p>
            <w:pPr>
              <w:rPr>
                <w:rFonts w:hint="eastAsia" w:ascii="新宋体" w:hAnsi="新宋体" w:eastAsia="新宋体"/>
                <w:color w:val="auto"/>
                <w:szCs w:val="21"/>
                <w:highlight w:val="none"/>
              </w:rPr>
            </w:pPr>
            <w:r>
              <w:rPr>
                <w:rFonts w:hint="eastAsia" w:ascii="宋体" w:hAnsi="宋体" w:cs="新宋体"/>
                <w:color w:val="auto"/>
                <w:szCs w:val="21"/>
                <w:highlight w:val="none"/>
              </w:rPr>
              <w:t>系统</w:t>
            </w:r>
            <w:r>
              <w:rPr>
                <w:rFonts w:ascii="宋体" w:hAnsi="宋体" w:cs="新宋体"/>
                <w:color w:val="auto"/>
                <w:szCs w:val="21"/>
                <w:highlight w:val="none"/>
              </w:rPr>
              <w:t>原型演示</w:t>
            </w:r>
            <w:r>
              <w:rPr>
                <w:rFonts w:hint="eastAsia" w:ascii="宋体" w:hAnsi="宋体" w:cs="新宋体"/>
                <w:color w:val="auto"/>
                <w:szCs w:val="21"/>
                <w:highlight w:val="none"/>
              </w:rPr>
              <w:t>（</w:t>
            </w:r>
            <w:r>
              <w:rPr>
                <w:rFonts w:ascii="宋体" w:hAnsi="宋体" w:cs="新宋体"/>
                <w:color w:val="auto"/>
                <w:szCs w:val="21"/>
                <w:highlight w:val="none"/>
              </w:rPr>
              <w:t>1</w:t>
            </w:r>
            <w:r>
              <w:rPr>
                <w:rFonts w:hint="eastAsia" w:ascii="宋体" w:hAnsi="宋体" w:cs="新宋体"/>
                <w:color w:val="auto"/>
                <w:szCs w:val="21"/>
                <w:highlight w:val="none"/>
                <w:lang w:val="en-US" w:eastAsia="zh-CN"/>
              </w:rPr>
              <w:t>6</w:t>
            </w:r>
            <w:r>
              <w:rPr>
                <w:rFonts w:ascii="宋体" w:hAnsi="宋体" w:cs="新宋体"/>
                <w:color w:val="auto"/>
                <w:szCs w:val="21"/>
                <w:highlight w:val="none"/>
              </w:rPr>
              <w:t>分；</w:t>
            </w:r>
            <w:r>
              <w:rPr>
                <w:rFonts w:hint="eastAsia" w:ascii="宋体" w:hAnsi="宋体" w:cs="新宋体"/>
                <w:color w:val="auto"/>
                <w:szCs w:val="21"/>
                <w:highlight w:val="none"/>
              </w:rPr>
              <w:t>供应商须到评标现场进行演示）</w:t>
            </w:r>
          </w:p>
        </w:tc>
        <w:tc>
          <w:tcPr>
            <w:tcW w:w="659" w:type="dxa"/>
            <w:noWrap w:val="0"/>
            <w:vAlign w:val="center"/>
          </w:tcPr>
          <w:p>
            <w:pPr>
              <w:jc w:val="center"/>
              <w:rPr>
                <w:rFonts w:ascii="新宋体" w:hAnsi="新宋体" w:eastAsia="新宋体" w:cs="新宋体"/>
                <w:color w:val="auto"/>
                <w:kern w:val="0"/>
                <w:szCs w:val="21"/>
                <w:highlight w:val="none"/>
              </w:rPr>
            </w:pPr>
            <w:r>
              <w:rPr>
                <w:rFonts w:ascii="新宋体" w:hAnsi="新宋体" w:eastAsia="新宋体" w:cs="新宋体"/>
                <w:color w:val="auto"/>
                <w:kern w:val="0"/>
                <w:szCs w:val="21"/>
                <w:highlight w:val="none"/>
              </w:rPr>
              <w:t>5</w:t>
            </w:r>
          </w:p>
        </w:tc>
        <w:tc>
          <w:tcPr>
            <w:tcW w:w="6095" w:type="dxa"/>
            <w:noWrap w:val="0"/>
            <w:vAlign w:val="center"/>
          </w:tcPr>
          <w:p>
            <w:pPr>
              <w:rPr>
                <w:rFonts w:hint="eastAsia" w:ascii="宋体" w:hAnsi="宋体"/>
                <w:color w:val="auto"/>
                <w:szCs w:val="21"/>
                <w:highlight w:val="none"/>
              </w:rPr>
            </w:pPr>
            <w:r>
              <w:rPr>
                <w:rFonts w:hint="eastAsia" w:ascii="新宋体" w:hAnsi="新宋体" w:eastAsia="新宋体"/>
                <w:color w:val="auto"/>
                <w:szCs w:val="21"/>
                <w:highlight w:val="none"/>
              </w:rPr>
              <w:t>1</w:t>
            </w:r>
            <w:r>
              <w:rPr>
                <w:rFonts w:ascii="新宋体" w:hAnsi="新宋体" w:eastAsia="新宋体"/>
                <w:color w:val="auto"/>
                <w:szCs w:val="21"/>
                <w:highlight w:val="none"/>
              </w:rPr>
              <w:t>.资源管控一件事：演示绿地资源现状、空间查询分析、历史变迁分析、绿地资源规划、避灾险地分析等功能，</w:t>
            </w:r>
            <w:r>
              <w:rPr>
                <w:rFonts w:hint="eastAsia" w:ascii="新宋体" w:hAnsi="新宋体" w:eastAsia="新宋体"/>
                <w:color w:val="auto"/>
                <w:szCs w:val="21"/>
                <w:highlight w:val="none"/>
              </w:rPr>
              <w:t>根据供应商演示情况</w:t>
            </w:r>
            <w:r>
              <w:rPr>
                <w:rFonts w:ascii="新宋体" w:hAnsi="新宋体" w:eastAsia="新宋体"/>
                <w:color w:val="auto"/>
                <w:szCs w:val="21"/>
                <w:highlight w:val="none"/>
              </w:rPr>
              <w:t>与招标</w:t>
            </w:r>
            <w:r>
              <w:rPr>
                <w:rFonts w:hint="eastAsia" w:ascii="新宋体" w:hAnsi="新宋体" w:eastAsia="新宋体"/>
                <w:color w:val="auto"/>
                <w:szCs w:val="21"/>
                <w:highlight w:val="none"/>
              </w:rPr>
              <w:t>要求</w:t>
            </w:r>
            <w:r>
              <w:rPr>
                <w:rFonts w:ascii="新宋体" w:hAnsi="新宋体" w:eastAsia="新宋体"/>
                <w:color w:val="auto"/>
                <w:szCs w:val="21"/>
                <w:highlight w:val="none"/>
              </w:rPr>
              <w:t>的</w:t>
            </w:r>
            <w:r>
              <w:rPr>
                <w:rFonts w:hint="eastAsia" w:ascii="新宋体" w:hAnsi="新宋体" w:eastAsia="新宋体"/>
                <w:color w:val="auto"/>
                <w:szCs w:val="21"/>
                <w:highlight w:val="none"/>
              </w:rPr>
              <w:t>功能模块</w:t>
            </w:r>
            <w:r>
              <w:rPr>
                <w:rFonts w:ascii="新宋体" w:hAnsi="新宋体" w:eastAsia="新宋体"/>
                <w:color w:val="auto"/>
                <w:szCs w:val="21"/>
                <w:highlight w:val="none"/>
              </w:rPr>
              <w:t>响应</w:t>
            </w:r>
            <w:r>
              <w:rPr>
                <w:rFonts w:hint="eastAsia" w:ascii="新宋体" w:hAnsi="新宋体" w:eastAsia="新宋体"/>
                <w:color w:val="auto"/>
                <w:szCs w:val="21"/>
                <w:highlight w:val="none"/>
              </w:rPr>
              <w:t>符合</w:t>
            </w:r>
            <w:r>
              <w:rPr>
                <w:rFonts w:ascii="新宋体" w:hAnsi="新宋体" w:eastAsia="新宋体"/>
                <w:color w:val="auto"/>
                <w:szCs w:val="21"/>
                <w:highlight w:val="none"/>
              </w:rPr>
              <w:t>程度</w:t>
            </w:r>
            <w:r>
              <w:rPr>
                <w:rFonts w:hint="eastAsia" w:ascii="新宋体" w:hAnsi="新宋体" w:eastAsia="新宋体"/>
                <w:color w:val="auto"/>
                <w:szCs w:val="21"/>
                <w:highlight w:val="none"/>
              </w:rPr>
              <w:t>，</w:t>
            </w:r>
            <w:r>
              <w:rPr>
                <w:rFonts w:ascii="新宋体" w:hAnsi="新宋体" w:eastAsia="新宋体"/>
                <w:color w:val="auto"/>
                <w:szCs w:val="21"/>
                <w:highlight w:val="none"/>
              </w:rPr>
              <w:t>系统的</w:t>
            </w:r>
            <w:r>
              <w:rPr>
                <w:rFonts w:hint="eastAsia" w:ascii="新宋体" w:hAnsi="新宋体" w:eastAsia="新宋体"/>
                <w:color w:val="auto"/>
                <w:szCs w:val="21"/>
                <w:highlight w:val="none"/>
              </w:rPr>
              <w:t>先进性</w:t>
            </w:r>
            <w:r>
              <w:rPr>
                <w:rFonts w:ascii="新宋体" w:hAnsi="新宋体" w:eastAsia="新宋体"/>
                <w:color w:val="auto"/>
                <w:szCs w:val="21"/>
                <w:highlight w:val="none"/>
              </w:rPr>
              <w:t>、针对性</w:t>
            </w:r>
            <w:r>
              <w:rPr>
                <w:rFonts w:hint="eastAsia" w:ascii="新宋体" w:hAnsi="新宋体" w:eastAsia="新宋体"/>
                <w:color w:val="auto"/>
                <w:szCs w:val="21"/>
                <w:highlight w:val="none"/>
              </w:rPr>
              <w:t>和</w:t>
            </w:r>
            <w:r>
              <w:rPr>
                <w:rFonts w:ascii="新宋体" w:hAnsi="新宋体" w:eastAsia="新宋体"/>
                <w:color w:val="auto"/>
                <w:szCs w:val="21"/>
                <w:highlight w:val="none"/>
              </w:rPr>
              <w:t>可实现</w:t>
            </w:r>
            <w:r>
              <w:rPr>
                <w:rFonts w:hint="eastAsia" w:ascii="新宋体" w:hAnsi="新宋体" w:eastAsia="新宋体"/>
                <w:color w:val="auto"/>
                <w:szCs w:val="21"/>
                <w:highlight w:val="none"/>
              </w:rPr>
              <w:t>性进行打分。（0-</w:t>
            </w:r>
            <w:r>
              <w:rPr>
                <w:rFonts w:ascii="新宋体" w:hAnsi="新宋体" w:eastAsia="新宋体"/>
                <w:color w:val="auto"/>
                <w:szCs w:val="21"/>
                <w:highlight w:val="none"/>
              </w:rPr>
              <w:t>5</w:t>
            </w:r>
            <w:r>
              <w:rPr>
                <w:rFonts w:hint="eastAsia" w:ascii="新宋体" w:hAnsi="新宋体" w:eastAsia="新宋体"/>
                <w:color w:val="auto"/>
                <w:szCs w:val="21"/>
                <w:highlight w:val="none"/>
              </w:rPr>
              <w:t>分）</w:t>
            </w:r>
          </w:p>
        </w:tc>
      </w:tr>
      <w:tr>
        <w:tblPrEx>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5" w:hRule="atLeast"/>
          <w:jc w:val="center"/>
        </w:trPr>
        <w:tc>
          <w:tcPr>
            <w:tcW w:w="525" w:type="dxa"/>
            <w:vMerge w:val="continue"/>
            <w:noWrap w:val="0"/>
            <w:vAlign w:val="center"/>
          </w:tcPr>
          <w:p>
            <w:pPr>
              <w:widowControl/>
              <w:adjustRightInd w:val="0"/>
              <w:snapToGrid w:val="0"/>
              <w:jc w:val="center"/>
              <w:rPr>
                <w:rFonts w:hint="eastAsia" w:ascii="新宋体" w:hAnsi="新宋体" w:eastAsia="新宋体" w:cs="新宋体"/>
                <w:color w:val="auto"/>
                <w:kern w:val="0"/>
                <w:szCs w:val="21"/>
                <w:highlight w:val="none"/>
              </w:rPr>
            </w:pPr>
          </w:p>
        </w:tc>
        <w:tc>
          <w:tcPr>
            <w:tcW w:w="2159" w:type="dxa"/>
            <w:gridSpan w:val="2"/>
            <w:vMerge w:val="continue"/>
            <w:noWrap w:val="0"/>
            <w:vAlign w:val="center"/>
          </w:tcPr>
          <w:p>
            <w:pPr>
              <w:rPr>
                <w:rFonts w:hint="eastAsia" w:ascii="宋体" w:hAnsi="宋体" w:cs="新宋体"/>
                <w:color w:val="auto"/>
                <w:szCs w:val="21"/>
                <w:highlight w:val="none"/>
              </w:rPr>
            </w:pPr>
          </w:p>
        </w:tc>
        <w:tc>
          <w:tcPr>
            <w:tcW w:w="659" w:type="dxa"/>
            <w:noWrap w:val="0"/>
            <w:vAlign w:val="center"/>
          </w:tcPr>
          <w:p>
            <w:pPr>
              <w:jc w:val="center"/>
              <w:rPr>
                <w:rFonts w:hint="eastAsia" w:ascii="新宋体" w:hAnsi="新宋体" w:eastAsia="新宋体" w:cs="新宋体"/>
                <w:color w:val="auto"/>
                <w:kern w:val="0"/>
                <w:szCs w:val="21"/>
                <w:highlight w:val="none"/>
                <w:lang w:eastAsia="zh-CN"/>
              </w:rPr>
            </w:pPr>
            <w:r>
              <w:rPr>
                <w:rFonts w:hint="eastAsia" w:ascii="新宋体" w:hAnsi="新宋体" w:eastAsia="新宋体" w:cs="新宋体"/>
                <w:color w:val="auto"/>
                <w:kern w:val="0"/>
                <w:szCs w:val="21"/>
                <w:highlight w:val="none"/>
                <w:lang w:val="en-US" w:eastAsia="zh-CN"/>
              </w:rPr>
              <w:t>4</w:t>
            </w:r>
          </w:p>
        </w:tc>
        <w:tc>
          <w:tcPr>
            <w:tcW w:w="6095" w:type="dxa"/>
            <w:noWrap w:val="0"/>
            <w:vAlign w:val="center"/>
          </w:tcPr>
          <w:p>
            <w:pPr>
              <w:rPr>
                <w:rFonts w:hint="eastAsia" w:ascii="新宋体" w:hAnsi="新宋体" w:eastAsia="新宋体"/>
                <w:color w:val="auto"/>
                <w:szCs w:val="21"/>
                <w:highlight w:val="none"/>
              </w:rPr>
            </w:pPr>
            <w:r>
              <w:rPr>
                <w:rFonts w:ascii="新宋体" w:hAnsi="新宋体" w:eastAsia="新宋体"/>
                <w:color w:val="auto"/>
                <w:szCs w:val="21"/>
                <w:highlight w:val="none"/>
              </w:rPr>
              <w:t>2.绿地养护监管一件事：演示</w:t>
            </w:r>
            <w:r>
              <w:rPr>
                <w:rFonts w:hint="eastAsia" w:ascii="新宋体" w:hAnsi="新宋体" w:eastAsia="新宋体"/>
                <w:color w:val="auto"/>
                <w:szCs w:val="21"/>
                <w:highlight w:val="none"/>
              </w:rPr>
              <w:t>绿地养护监管、养护经费核算、园林养护管理、考核流程调整、养护知识库</w:t>
            </w:r>
            <w:r>
              <w:rPr>
                <w:rFonts w:ascii="新宋体" w:hAnsi="新宋体" w:eastAsia="新宋体"/>
                <w:color w:val="auto"/>
                <w:szCs w:val="21"/>
                <w:highlight w:val="none"/>
              </w:rPr>
              <w:t>等功能，</w:t>
            </w:r>
            <w:r>
              <w:rPr>
                <w:rFonts w:hint="eastAsia" w:ascii="新宋体" w:hAnsi="新宋体" w:eastAsia="新宋体"/>
                <w:color w:val="auto"/>
                <w:szCs w:val="21"/>
                <w:highlight w:val="none"/>
              </w:rPr>
              <w:t>根据供应商演示情况</w:t>
            </w:r>
            <w:r>
              <w:rPr>
                <w:rFonts w:ascii="新宋体" w:hAnsi="新宋体" w:eastAsia="新宋体"/>
                <w:color w:val="auto"/>
                <w:szCs w:val="21"/>
                <w:highlight w:val="none"/>
              </w:rPr>
              <w:t>与招标</w:t>
            </w:r>
            <w:r>
              <w:rPr>
                <w:rFonts w:hint="eastAsia" w:ascii="新宋体" w:hAnsi="新宋体" w:eastAsia="新宋体"/>
                <w:color w:val="auto"/>
                <w:szCs w:val="21"/>
                <w:highlight w:val="none"/>
              </w:rPr>
              <w:t>要求</w:t>
            </w:r>
            <w:r>
              <w:rPr>
                <w:rFonts w:ascii="新宋体" w:hAnsi="新宋体" w:eastAsia="新宋体"/>
                <w:color w:val="auto"/>
                <w:szCs w:val="21"/>
                <w:highlight w:val="none"/>
              </w:rPr>
              <w:t>的</w:t>
            </w:r>
            <w:r>
              <w:rPr>
                <w:rFonts w:hint="eastAsia" w:ascii="新宋体" w:hAnsi="新宋体" w:eastAsia="新宋体"/>
                <w:color w:val="auto"/>
                <w:szCs w:val="21"/>
                <w:highlight w:val="none"/>
              </w:rPr>
              <w:t>功能模块</w:t>
            </w:r>
            <w:r>
              <w:rPr>
                <w:rFonts w:ascii="新宋体" w:hAnsi="新宋体" w:eastAsia="新宋体"/>
                <w:color w:val="auto"/>
                <w:szCs w:val="21"/>
                <w:highlight w:val="none"/>
              </w:rPr>
              <w:t>响应</w:t>
            </w:r>
            <w:r>
              <w:rPr>
                <w:rFonts w:hint="eastAsia" w:ascii="新宋体" w:hAnsi="新宋体" w:eastAsia="新宋体"/>
                <w:color w:val="auto"/>
                <w:szCs w:val="21"/>
                <w:highlight w:val="none"/>
              </w:rPr>
              <w:t>符合</w:t>
            </w:r>
            <w:r>
              <w:rPr>
                <w:rFonts w:ascii="新宋体" w:hAnsi="新宋体" w:eastAsia="新宋体"/>
                <w:color w:val="auto"/>
                <w:szCs w:val="21"/>
                <w:highlight w:val="none"/>
              </w:rPr>
              <w:t>程度</w:t>
            </w:r>
            <w:r>
              <w:rPr>
                <w:rFonts w:hint="eastAsia" w:ascii="新宋体" w:hAnsi="新宋体" w:eastAsia="新宋体"/>
                <w:color w:val="auto"/>
                <w:szCs w:val="21"/>
                <w:highlight w:val="none"/>
              </w:rPr>
              <w:t>，</w:t>
            </w:r>
            <w:r>
              <w:rPr>
                <w:rFonts w:ascii="新宋体" w:hAnsi="新宋体" w:eastAsia="新宋体"/>
                <w:color w:val="auto"/>
                <w:szCs w:val="21"/>
                <w:highlight w:val="none"/>
              </w:rPr>
              <w:t>系统的</w:t>
            </w:r>
            <w:r>
              <w:rPr>
                <w:rFonts w:hint="eastAsia" w:ascii="新宋体" w:hAnsi="新宋体" w:eastAsia="新宋体"/>
                <w:color w:val="auto"/>
                <w:szCs w:val="21"/>
                <w:highlight w:val="none"/>
              </w:rPr>
              <w:t>先进性</w:t>
            </w:r>
            <w:r>
              <w:rPr>
                <w:rFonts w:ascii="新宋体" w:hAnsi="新宋体" w:eastAsia="新宋体"/>
                <w:color w:val="auto"/>
                <w:szCs w:val="21"/>
                <w:highlight w:val="none"/>
              </w:rPr>
              <w:t>、针对性</w:t>
            </w:r>
            <w:r>
              <w:rPr>
                <w:rFonts w:hint="eastAsia" w:ascii="新宋体" w:hAnsi="新宋体" w:eastAsia="新宋体"/>
                <w:color w:val="auto"/>
                <w:szCs w:val="21"/>
                <w:highlight w:val="none"/>
              </w:rPr>
              <w:t>和</w:t>
            </w:r>
            <w:r>
              <w:rPr>
                <w:rFonts w:ascii="新宋体" w:hAnsi="新宋体" w:eastAsia="新宋体"/>
                <w:color w:val="auto"/>
                <w:szCs w:val="21"/>
                <w:highlight w:val="none"/>
              </w:rPr>
              <w:t>可实现</w:t>
            </w:r>
            <w:r>
              <w:rPr>
                <w:rFonts w:hint="eastAsia" w:ascii="新宋体" w:hAnsi="新宋体" w:eastAsia="新宋体"/>
                <w:color w:val="auto"/>
                <w:szCs w:val="21"/>
                <w:highlight w:val="none"/>
              </w:rPr>
              <w:t>性进行打分。（0-</w:t>
            </w:r>
            <w:r>
              <w:rPr>
                <w:rFonts w:hint="eastAsia" w:ascii="新宋体" w:hAnsi="新宋体" w:eastAsia="新宋体"/>
                <w:color w:val="auto"/>
                <w:szCs w:val="21"/>
                <w:highlight w:val="none"/>
                <w:lang w:val="en-US" w:eastAsia="zh-CN"/>
              </w:rPr>
              <w:t>4</w:t>
            </w:r>
            <w:r>
              <w:rPr>
                <w:rFonts w:hint="eastAsia" w:ascii="新宋体" w:hAnsi="新宋体" w:eastAsia="新宋体"/>
                <w:color w:val="auto"/>
                <w:szCs w:val="21"/>
                <w:highlight w:val="none"/>
              </w:rPr>
              <w:t>分）</w:t>
            </w:r>
          </w:p>
        </w:tc>
      </w:tr>
      <w:tr>
        <w:tblPrEx>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5" w:hRule="atLeast"/>
          <w:jc w:val="center"/>
        </w:trPr>
        <w:tc>
          <w:tcPr>
            <w:tcW w:w="525" w:type="dxa"/>
            <w:vMerge w:val="continue"/>
            <w:noWrap w:val="0"/>
            <w:vAlign w:val="center"/>
          </w:tcPr>
          <w:p>
            <w:pPr>
              <w:widowControl/>
              <w:adjustRightInd w:val="0"/>
              <w:snapToGrid w:val="0"/>
              <w:jc w:val="center"/>
              <w:rPr>
                <w:rFonts w:hint="eastAsia" w:ascii="新宋体" w:hAnsi="新宋体" w:eastAsia="新宋体" w:cs="新宋体"/>
                <w:color w:val="auto"/>
                <w:kern w:val="0"/>
                <w:szCs w:val="21"/>
                <w:highlight w:val="none"/>
              </w:rPr>
            </w:pPr>
          </w:p>
        </w:tc>
        <w:tc>
          <w:tcPr>
            <w:tcW w:w="2159" w:type="dxa"/>
            <w:gridSpan w:val="2"/>
            <w:vMerge w:val="continue"/>
            <w:noWrap w:val="0"/>
            <w:vAlign w:val="center"/>
          </w:tcPr>
          <w:p>
            <w:pPr>
              <w:rPr>
                <w:rFonts w:hint="eastAsia" w:ascii="宋体" w:hAnsi="宋体" w:cs="新宋体"/>
                <w:color w:val="auto"/>
                <w:szCs w:val="21"/>
                <w:highlight w:val="none"/>
              </w:rPr>
            </w:pPr>
          </w:p>
        </w:tc>
        <w:tc>
          <w:tcPr>
            <w:tcW w:w="659" w:type="dxa"/>
            <w:noWrap w:val="0"/>
            <w:vAlign w:val="center"/>
          </w:tcPr>
          <w:p>
            <w:pPr>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4</w:t>
            </w:r>
          </w:p>
        </w:tc>
        <w:tc>
          <w:tcPr>
            <w:tcW w:w="6095" w:type="dxa"/>
            <w:noWrap w:val="0"/>
            <w:vAlign w:val="center"/>
          </w:tcPr>
          <w:p>
            <w:pPr>
              <w:rPr>
                <w:rFonts w:hint="eastAsia" w:ascii="宋体"/>
                <w:bCs/>
                <w:color w:val="auto"/>
                <w:szCs w:val="22"/>
                <w:highlight w:val="none"/>
              </w:rPr>
            </w:pPr>
            <w:r>
              <w:rPr>
                <w:rFonts w:ascii="新宋体" w:hAnsi="新宋体" w:eastAsia="新宋体"/>
                <w:color w:val="auto"/>
                <w:szCs w:val="21"/>
                <w:highlight w:val="none"/>
              </w:rPr>
              <w:t>3.涉绿项目一件事：演示工程项目对接、</w:t>
            </w:r>
            <w:r>
              <w:rPr>
                <w:rFonts w:hint="eastAsia" w:ascii="新宋体" w:hAnsi="新宋体" w:eastAsia="新宋体"/>
                <w:color w:val="auto"/>
                <w:szCs w:val="21"/>
                <w:highlight w:val="none"/>
              </w:rPr>
              <w:t>涉绿项目管理、占绿取证管理、占绿执法管理、工程移交管理</w:t>
            </w:r>
            <w:r>
              <w:rPr>
                <w:rFonts w:ascii="新宋体" w:hAnsi="新宋体" w:eastAsia="新宋体"/>
                <w:color w:val="auto"/>
                <w:szCs w:val="21"/>
                <w:highlight w:val="none"/>
              </w:rPr>
              <w:t>等功能，</w:t>
            </w:r>
            <w:r>
              <w:rPr>
                <w:rFonts w:hint="eastAsia" w:ascii="新宋体" w:hAnsi="新宋体" w:eastAsia="新宋体"/>
                <w:color w:val="auto"/>
                <w:szCs w:val="21"/>
                <w:highlight w:val="none"/>
              </w:rPr>
              <w:t>根据供应商演示情况</w:t>
            </w:r>
            <w:r>
              <w:rPr>
                <w:rFonts w:ascii="新宋体" w:hAnsi="新宋体" w:eastAsia="新宋体"/>
                <w:color w:val="auto"/>
                <w:szCs w:val="21"/>
                <w:highlight w:val="none"/>
              </w:rPr>
              <w:t>与招标</w:t>
            </w:r>
            <w:r>
              <w:rPr>
                <w:rFonts w:hint="eastAsia" w:ascii="新宋体" w:hAnsi="新宋体" w:eastAsia="新宋体"/>
                <w:color w:val="auto"/>
                <w:szCs w:val="21"/>
                <w:highlight w:val="none"/>
              </w:rPr>
              <w:t>要求</w:t>
            </w:r>
            <w:r>
              <w:rPr>
                <w:rFonts w:ascii="新宋体" w:hAnsi="新宋体" w:eastAsia="新宋体"/>
                <w:color w:val="auto"/>
                <w:szCs w:val="21"/>
                <w:highlight w:val="none"/>
              </w:rPr>
              <w:t>的</w:t>
            </w:r>
            <w:r>
              <w:rPr>
                <w:rFonts w:hint="eastAsia" w:ascii="新宋体" w:hAnsi="新宋体" w:eastAsia="新宋体"/>
                <w:color w:val="auto"/>
                <w:szCs w:val="21"/>
                <w:highlight w:val="none"/>
              </w:rPr>
              <w:t>功能模块</w:t>
            </w:r>
            <w:r>
              <w:rPr>
                <w:rFonts w:ascii="新宋体" w:hAnsi="新宋体" w:eastAsia="新宋体"/>
                <w:color w:val="auto"/>
                <w:szCs w:val="21"/>
                <w:highlight w:val="none"/>
              </w:rPr>
              <w:t>响应</w:t>
            </w:r>
            <w:r>
              <w:rPr>
                <w:rFonts w:hint="eastAsia" w:ascii="新宋体" w:hAnsi="新宋体" w:eastAsia="新宋体"/>
                <w:color w:val="auto"/>
                <w:szCs w:val="21"/>
                <w:highlight w:val="none"/>
              </w:rPr>
              <w:t>符合</w:t>
            </w:r>
            <w:r>
              <w:rPr>
                <w:rFonts w:ascii="新宋体" w:hAnsi="新宋体" w:eastAsia="新宋体"/>
                <w:color w:val="auto"/>
                <w:szCs w:val="21"/>
                <w:highlight w:val="none"/>
              </w:rPr>
              <w:t>程度</w:t>
            </w:r>
            <w:r>
              <w:rPr>
                <w:rFonts w:hint="eastAsia" w:ascii="新宋体" w:hAnsi="新宋体" w:eastAsia="新宋体"/>
                <w:color w:val="auto"/>
                <w:szCs w:val="21"/>
                <w:highlight w:val="none"/>
              </w:rPr>
              <w:t>，</w:t>
            </w:r>
            <w:r>
              <w:rPr>
                <w:rFonts w:ascii="新宋体" w:hAnsi="新宋体" w:eastAsia="新宋体"/>
                <w:color w:val="auto"/>
                <w:szCs w:val="21"/>
                <w:highlight w:val="none"/>
              </w:rPr>
              <w:t>系统的</w:t>
            </w:r>
            <w:r>
              <w:rPr>
                <w:rFonts w:hint="eastAsia" w:ascii="新宋体" w:hAnsi="新宋体" w:eastAsia="新宋体"/>
                <w:color w:val="auto"/>
                <w:szCs w:val="21"/>
                <w:highlight w:val="none"/>
              </w:rPr>
              <w:t>先进性</w:t>
            </w:r>
            <w:r>
              <w:rPr>
                <w:rFonts w:ascii="新宋体" w:hAnsi="新宋体" w:eastAsia="新宋体"/>
                <w:color w:val="auto"/>
                <w:szCs w:val="21"/>
                <w:highlight w:val="none"/>
              </w:rPr>
              <w:t>、针对性</w:t>
            </w:r>
            <w:r>
              <w:rPr>
                <w:rFonts w:hint="eastAsia" w:ascii="新宋体" w:hAnsi="新宋体" w:eastAsia="新宋体"/>
                <w:color w:val="auto"/>
                <w:szCs w:val="21"/>
                <w:highlight w:val="none"/>
              </w:rPr>
              <w:t>和</w:t>
            </w:r>
            <w:r>
              <w:rPr>
                <w:rFonts w:ascii="新宋体" w:hAnsi="新宋体" w:eastAsia="新宋体"/>
                <w:color w:val="auto"/>
                <w:szCs w:val="21"/>
                <w:highlight w:val="none"/>
              </w:rPr>
              <w:t>可实现</w:t>
            </w:r>
            <w:r>
              <w:rPr>
                <w:rFonts w:hint="eastAsia" w:ascii="新宋体" w:hAnsi="新宋体" w:eastAsia="新宋体"/>
                <w:color w:val="auto"/>
                <w:szCs w:val="21"/>
                <w:highlight w:val="none"/>
              </w:rPr>
              <w:t>性进行打分。（0-</w:t>
            </w:r>
            <w:r>
              <w:rPr>
                <w:rFonts w:ascii="新宋体" w:hAnsi="新宋体" w:eastAsia="新宋体"/>
                <w:color w:val="auto"/>
                <w:szCs w:val="21"/>
                <w:highlight w:val="none"/>
              </w:rPr>
              <w:t>4</w:t>
            </w:r>
            <w:r>
              <w:rPr>
                <w:rFonts w:hint="eastAsia" w:ascii="新宋体" w:hAnsi="新宋体" w:eastAsia="新宋体"/>
                <w:color w:val="auto"/>
                <w:szCs w:val="21"/>
                <w:highlight w:val="none"/>
              </w:rPr>
              <w:t>分）</w:t>
            </w:r>
          </w:p>
        </w:tc>
      </w:tr>
      <w:tr>
        <w:tblPrEx>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5" w:hRule="atLeast"/>
          <w:jc w:val="center"/>
        </w:trPr>
        <w:tc>
          <w:tcPr>
            <w:tcW w:w="525" w:type="dxa"/>
            <w:vMerge w:val="continue"/>
            <w:noWrap w:val="0"/>
            <w:vAlign w:val="center"/>
          </w:tcPr>
          <w:p>
            <w:pPr>
              <w:widowControl/>
              <w:adjustRightInd w:val="0"/>
              <w:snapToGrid w:val="0"/>
              <w:jc w:val="center"/>
              <w:rPr>
                <w:rFonts w:hint="eastAsia" w:ascii="新宋体" w:hAnsi="新宋体" w:eastAsia="新宋体" w:cs="新宋体"/>
                <w:color w:val="auto"/>
                <w:kern w:val="0"/>
                <w:szCs w:val="21"/>
                <w:highlight w:val="none"/>
              </w:rPr>
            </w:pPr>
          </w:p>
        </w:tc>
        <w:tc>
          <w:tcPr>
            <w:tcW w:w="2159" w:type="dxa"/>
            <w:gridSpan w:val="2"/>
            <w:vMerge w:val="continue"/>
            <w:noWrap w:val="0"/>
            <w:vAlign w:val="center"/>
          </w:tcPr>
          <w:p>
            <w:pPr>
              <w:rPr>
                <w:rFonts w:hint="eastAsia" w:ascii="宋体" w:hAnsi="宋体" w:cs="新宋体"/>
                <w:color w:val="auto"/>
                <w:szCs w:val="21"/>
                <w:highlight w:val="none"/>
              </w:rPr>
            </w:pPr>
          </w:p>
        </w:tc>
        <w:tc>
          <w:tcPr>
            <w:tcW w:w="659" w:type="dxa"/>
            <w:noWrap w:val="0"/>
            <w:vAlign w:val="center"/>
          </w:tcPr>
          <w:p>
            <w:pPr>
              <w:jc w:val="center"/>
              <w:rPr>
                <w:rFonts w:hint="eastAsia"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3</w:t>
            </w:r>
          </w:p>
        </w:tc>
        <w:tc>
          <w:tcPr>
            <w:tcW w:w="6095" w:type="dxa"/>
            <w:noWrap w:val="0"/>
            <w:vAlign w:val="center"/>
          </w:tcPr>
          <w:p>
            <w:pPr>
              <w:rPr>
                <w:rFonts w:hint="eastAsia" w:ascii="宋体"/>
                <w:bCs/>
                <w:color w:val="auto"/>
                <w:szCs w:val="22"/>
                <w:highlight w:val="none"/>
              </w:rPr>
            </w:pPr>
            <w:r>
              <w:rPr>
                <w:rFonts w:ascii="新宋体" w:hAnsi="新宋体" w:eastAsia="新宋体"/>
                <w:color w:val="auto"/>
                <w:szCs w:val="21"/>
                <w:highlight w:val="none"/>
              </w:rPr>
              <w:t>4.公众服务一件事：演示</w:t>
            </w:r>
            <w:r>
              <w:rPr>
                <w:rFonts w:hint="eastAsia" w:ascii="新宋体" w:hAnsi="新宋体" w:eastAsia="新宋体"/>
                <w:color w:val="auto"/>
                <w:szCs w:val="21"/>
                <w:highlight w:val="none"/>
              </w:rPr>
              <w:t>认种认养、植物医院、病害专家鉴定、图像分析识别</w:t>
            </w:r>
            <w:r>
              <w:rPr>
                <w:rFonts w:ascii="新宋体" w:hAnsi="新宋体" w:eastAsia="新宋体"/>
                <w:color w:val="auto"/>
                <w:szCs w:val="21"/>
                <w:highlight w:val="none"/>
              </w:rPr>
              <w:t>等功能，</w:t>
            </w:r>
            <w:r>
              <w:rPr>
                <w:rFonts w:hint="eastAsia" w:ascii="新宋体" w:hAnsi="新宋体" w:eastAsia="新宋体"/>
                <w:color w:val="auto"/>
                <w:szCs w:val="21"/>
                <w:highlight w:val="none"/>
              </w:rPr>
              <w:t>根据供应商演示情况</w:t>
            </w:r>
            <w:r>
              <w:rPr>
                <w:rFonts w:ascii="新宋体" w:hAnsi="新宋体" w:eastAsia="新宋体"/>
                <w:color w:val="auto"/>
                <w:szCs w:val="21"/>
                <w:highlight w:val="none"/>
              </w:rPr>
              <w:t>与招标</w:t>
            </w:r>
            <w:r>
              <w:rPr>
                <w:rFonts w:hint="eastAsia" w:ascii="新宋体" w:hAnsi="新宋体" w:eastAsia="新宋体"/>
                <w:color w:val="auto"/>
                <w:szCs w:val="21"/>
                <w:highlight w:val="none"/>
              </w:rPr>
              <w:t>要求</w:t>
            </w:r>
            <w:r>
              <w:rPr>
                <w:rFonts w:ascii="新宋体" w:hAnsi="新宋体" w:eastAsia="新宋体"/>
                <w:color w:val="auto"/>
                <w:szCs w:val="21"/>
                <w:highlight w:val="none"/>
              </w:rPr>
              <w:t>的</w:t>
            </w:r>
            <w:r>
              <w:rPr>
                <w:rFonts w:hint="eastAsia" w:ascii="新宋体" w:hAnsi="新宋体" w:eastAsia="新宋体"/>
                <w:color w:val="auto"/>
                <w:szCs w:val="21"/>
                <w:highlight w:val="none"/>
              </w:rPr>
              <w:t>功能模块</w:t>
            </w:r>
            <w:r>
              <w:rPr>
                <w:rFonts w:ascii="新宋体" w:hAnsi="新宋体" w:eastAsia="新宋体"/>
                <w:color w:val="auto"/>
                <w:szCs w:val="21"/>
                <w:highlight w:val="none"/>
              </w:rPr>
              <w:t>响应</w:t>
            </w:r>
            <w:r>
              <w:rPr>
                <w:rFonts w:hint="eastAsia" w:ascii="新宋体" w:hAnsi="新宋体" w:eastAsia="新宋体"/>
                <w:color w:val="auto"/>
                <w:szCs w:val="21"/>
                <w:highlight w:val="none"/>
              </w:rPr>
              <w:t>符合</w:t>
            </w:r>
            <w:r>
              <w:rPr>
                <w:rFonts w:ascii="新宋体" w:hAnsi="新宋体" w:eastAsia="新宋体"/>
                <w:color w:val="auto"/>
                <w:szCs w:val="21"/>
                <w:highlight w:val="none"/>
              </w:rPr>
              <w:t>程度</w:t>
            </w:r>
            <w:r>
              <w:rPr>
                <w:rFonts w:hint="eastAsia" w:ascii="新宋体" w:hAnsi="新宋体" w:eastAsia="新宋体"/>
                <w:color w:val="auto"/>
                <w:szCs w:val="21"/>
                <w:highlight w:val="none"/>
              </w:rPr>
              <w:t>，</w:t>
            </w:r>
            <w:r>
              <w:rPr>
                <w:rFonts w:ascii="新宋体" w:hAnsi="新宋体" w:eastAsia="新宋体"/>
                <w:color w:val="auto"/>
                <w:szCs w:val="21"/>
                <w:highlight w:val="none"/>
              </w:rPr>
              <w:t>系统的</w:t>
            </w:r>
            <w:r>
              <w:rPr>
                <w:rFonts w:hint="eastAsia" w:ascii="新宋体" w:hAnsi="新宋体" w:eastAsia="新宋体"/>
                <w:color w:val="auto"/>
                <w:szCs w:val="21"/>
                <w:highlight w:val="none"/>
              </w:rPr>
              <w:t>先进性</w:t>
            </w:r>
            <w:r>
              <w:rPr>
                <w:rFonts w:ascii="新宋体" w:hAnsi="新宋体" w:eastAsia="新宋体"/>
                <w:color w:val="auto"/>
                <w:szCs w:val="21"/>
                <w:highlight w:val="none"/>
              </w:rPr>
              <w:t>、针对性</w:t>
            </w:r>
            <w:r>
              <w:rPr>
                <w:rFonts w:hint="eastAsia" w:ascii="新宋体" w:hAnsi="新宋体" w:eastAsia="新宋体"/>
                <w:color w:val="auto"/>
                <w:szCs w:val="21"/>
                <w:highlight w:val="none"/>
              </w:rPr>
              <w:t>和</w:t>
            </w:r>
            <w:r>
              <w:rPr>
                <w:rFonts w:ascii="新宋体" w:hAnsi="新宋体" w:eastAsia="新宋体"/>
                <w:color w:val="auto"/>
                <w:szCs w:val="21"/>
                <w:highlight w:val="none"/>
              </w:rPr>
              <w:t>可实现</w:t>
            </w:r>
            <w:r>
              <w:rPr>
                <w:rFonts w:hint="eastAsia" w:ascii="新宋体" w:hAnsi="新宋体" w:eastAsia="新宋体"/>
                <w:color w:val="auto"/>
                <w:szCs w:val="21"/>
                <w:highlight w:val="none"/>
              </w:rPr>
              <w:t>性进行打分。（0-</w:t>
            </w:r>
            <w:r>
              <w:rPr>
                <w:rFonts w:ascii="新宋体" w:hAnsi="新宋体" w:eastAsia="新宋体"/>
                <w:color w:val="auto"/>
                <w:szCs w:val="21"/>
                <w:highlight w:val="none"/>
              </w:rPr>
              <w:t>3</w:t>
            </w:r>
            <w:r>
              <w:rPr>
                <w:rFonts w:hint="eastAsia" w:ascii="新宋体" w:hAnsi="新宋体" w:eastAsia="新宋体"/>
                <w:color w:val="auto"/>
                <w:szCs w:val="21"/>
                <w:highlight w:val="none"/>
              </w:rPr>
              <w:t>分）</w:t>
            </w:r>
          </w:p>
        </w:tc>
      </w:tr>
      <w:tr>
        <w:tblPrEx>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5" w:hRule="atLeast"/>
          <w:jc w:val="center"/>
        </w:trPr>
        <w:tc>
          <w:tcPr>
            <w:tcW w:w="525" w:type="dxa"/>
            <w:vMerge w:val="continue"/>
            <w:noWrap w:val="0"/>
            <w:vAlign w:val="center"/>
          </w:tcPr>
          <w:p>
            <w:pPr>
              <w:widowControl/>
              <w:adjustRightInd w:val="0"/>
              <w:snapToGrid w:val="0"/>
              <w:jc w:val="center"/>
              <w:rPr>
                <w:rFonts w:hint="eastAsia" w:ascii="新宋体" w:hAnsi="新宋体" w:eastAsia="新宋体" w:cs="新宋体"/>
                <w:color w:val="auto"/>
                <w:kern w:val="0"/>
                <w:szCs w:val="21"/>
                <w:highlight w:val="none"/>
              </w:rPr>
            </w:pPr>
          </w:p>
        </w:tc>
        <w:tc>
          <w:tcPr>
            <w:tcW w:w="2159" w:type="dxa"/>
            <w:gridSpan w:val="2"/>
            <w:vMerge w:val="continue"/>
            <w:noWrap w:val="0"/>
            <w:vAlign w:val="center"/>
          </w:tcPr>
          <w:p>
            <w:pPr>
              <w:rPr>
                <w:rFonts w:hint="eastAsia" w:ascii="宋体" w:hAnsi="宋体" w:cs="新宋体"/>
                <w:color w:val="auto"/>
                <w:szCs w:val="21"/>
                <w:highlight w:val="none"/>
              </w:rPr>
            </w:pPr>
          </w:p>
        </w:tc>
        <w:tc>
          <w:tcPr>
            <w:tcW w:w="6754" w:type="dxa"/>
            <w:gridSpan w:val="2"/>
            <w:noWrap w:val="0"/>
            <w:vAlign w:val="center"/>
          </w:tcPr>
          <w:p>
            <w:pPr>
              <w:rPr>
                <w:rFonts w:hint="eastAsia" w:ascii="新宋体" w:hAnsi="新宋体" w:eastAsia="新宋体"/>
                <w:b/>
                <w:bCs/>
                <w:color w:val="auto"/>
                <w:szCs w:val="21"/>
                <w:highlight w:val="none"/>
              </w:rPr>
            </w:pPr>
            <w:r>
              <w:rPr>
                <w:rFonts w:hint="eastAsia" w:ascii="新宋体" w:hAnsi="新宋体" w:eastAsia="新宋体"/>
                <w:b/>
                <w:bCs/>
                <w:color w:val="auto"/>
                <w:szCs w:val="21"/>
                <w:highlight w:val="none"/>
              </w:rPr>
              <w:t>演示要求：</w:t>
            </w:r>
          </w:p>
          <w:p>
            <w:pPr>
              <w:rPr>
                <w:rFonts w:hint="eastAsia" w:ascii="新宋体" w:hAnsi="新宋体" w:eastAsia="新宋体" w:cs="Times New Roman"/>
                <w:b/>
                <w:bCs/>
                <w:color w:val="auto"/>
                <w:szCs w:val="21"/>
                <w:highlight w:val="none"/>
              </w:rPr>
            </w:pPr>
            <w:r>
              <w:rPr>
                <w:rFonts w:hint="eastAsia" w:ascii="新宋体" w:hAnsi="新宋体" w:eastAsia="新宋体" w:cs="Times New Roman"/>
                <w:b/>
                <w:bCs/>
                <w:color w:val="auto"/>
                <w:szCs w:val="21"/>
                <w:highlight w:val="none"/>
                <w:lang w:val="en-US" w:eastAsia="zh-CN"/>
              </w:rPr>
              <w:t>①</w:t>
            </w:r>
            <w:r>
              <w:rPr>
                <w:rFonts w:hint="eastAsia" w:ascii="新宋体" w:hAnsi="新宋体" w:eastAsia="新宋体" w:cs="Times New Roman"/>
                <w:b/>
                <w:bCs/>
                <w:color w:val="auto"/>
                <w:szCs w:val="21"/>
                <w:highlight w:val="none"/>
              </w:rPr>
              <w:t>投标人需进行现场演示，现场演示时间不超过</w:t>
            </w:r>
            <w:r>
              <w:rPr>
                <w:rFonts w:hint="eastAsia" w:ascii="新宋体" w:hAnsi="新宋体" w:eastAsia="新宋体" w:cs="Times New Roman"/>
                <w:b/>
                <w:bCs/>
                <w:color w:val="auto"/>
                <w:szCs w:val="21"/>
                <w:highlight w:val="none"/>
                <w:lang w:val="en-US" w:eastAsia="zh-CN"/>
              </w:rPr>
              <w:t>20</w:t>
            </w:r>
            <w:r>
              <w:rPr>
                <w:rFonts w:hint="eastAsia" w:ascii="新宋体" w:hAnsi="新宋体" w:eastAsia="新宋体" w:cs="Times New Roman"/>
                <w:b/>
                <w:bCs/>
                <w:color w:val="auto"/>
                <w:szCs w:val="21"/>
                <w:highlight w:val="none"/>
              </w:rPr>
              <w:t>分钟</w:t>
            </w:r>
            <w:r>
              <w:rPr>
                <w:rFonts w:hint="eastAsia" w:ascii="新宋体" w:hAnsi="新宋体" w:eastAsia="新宋体" w:cs="Times New Roman"/>
                <w:b/>
                <w:bCs/>
                <w:color w:val="auto"/>
                <w:szCs w:val="21"/>
                <w:highlight w:val="none"/>
                <w:lang w:eastAsia="zh-CN"/>
              </w:rPr>
              <w:t>，</w:t>
            </w:r>
            <w:r>
              <w:rPr>
                <w:rFonts w:hint="eastAsia" w:ascii="新宋体" w:hAnsi="新宋体" w:eastAsia="新宋体" w:cs="Times New Roman"/>
                <w:b/>
                <w:bCs/>
                <w:color w:val="auto"/>
                <w:szCs w:val="21"/>
                <w:highlight w:val="none"/>
                <w:lang w:val="en-US" w:eastAsia="zh-CN"/>
              </w:rPr>
              <w:t>演示人员不得超过2人</w:t>
            </w:r>
            <w:r>
              <w:rPr>
                <w:rFonts w:hint="eastAsia" w:ascii="新宋体" w:hAnsi="新宋体" w:eastAsia="新宋体" w:cs="Times New Roman"/>
                <w:b/>
                <w:bCs/>
                <w:color w:val="auto"/>
                <w:szCs w:val="21"/>
                <w:highlight w:val="none"/>
              </w:rPr>
              <w:t>。使用真实系统，不接受使用视频或PPT的演示。</w:t>
            </w:r>
          </w:p>
          <w:p>
            <w:pPr>
              <w:rPr>
                <w:rFonts w:hint="eastAsia" w:ascii="新宋体" w:hAnsi="新宋体" w:eastAsia="新宋体" w:cs="Times New Roman"/>
                <w:b/>
                <w:bCs/>
                <w:color w:val="auto"/>
                <w:szCs w:val="21"/>
                <w:highlight w:val="none"/>
              </w:rPr>
            </w:pPr>
            <w:r>
              <w:rPr>
                <w:rFonts w:hint="eastAsia" w:ascii="新宋体" w:hAnsi="新宋体" w:eastAsia="新宋体" w:cs="Times New Roman"/>
                <w:b/>
                <w:bCs/>
                <w:color w:val="auto"/>
                <w:szCs w:val="21"/>
                <w:highlight w:val="none"/>
                <w:lang w:val="en-US" w:eastAsia="zh-CN"/>
              </w:rPr>
              <w:t>②</w:t>
            </w:r>
            <w:r>
              <w:rPr>
                <w:rFonts w:hint="eastAsia" w:ascii="新宋体" w:hAnsi="新宋体" w:eastAsia="新宋体" w:cs="Times New Roman"/>
                <w:b/>
                <w:bCs/>
                <w:color w:val="auto"/>
                <w:szCs w:val="21"/>
                <w:highlight w:val="none"/>
              </w:rPr>
              <w:t>投标代表需提前到达评标地</w:t>
            </w:r>
            <w:r>
              <w:rPr>
                <w:rFonts w:hint="eastAsia" w:ascii="新宋体" w:hAnsi="新宋体" w:eastAsia="新宋体" w:cs="Times New Roman"/>
                <w:b/>
                <w:bCs/>
                <w:color w:val="auto"/>
                <w:szCs w:val="21"/>
                <w:highlight w:val="none"/>
                <w:lang w:val="en-US" w:eastAsia="zh-CN"/>
              </w:rPr>
              <w:t>点（温州市鹿城区</w:t>
            </w:r>
            <w:r>
              <w:rPr>
                <w:rFonts w:hint="eastAsia" w:ascii="新宋体" w:hAnsi="新宋体" w:eastAsia="新宋体" w:cs="Times New Roman"/>
                <w:b/>
                <w:bCs/>
                <w:color w:val="auto"/>
                <w:szCs w:val="21"/>
                <w:highlight w:val="none"/>
              </w:rPr>
              <w:t>黎明西路236号国贸中心29楼</w:t>
            </w:r>
            <w:r>
              <w:rPr>
                <w:rFonts w:hint="eastAsia" w:ascii="新宋体" w:hAnsi="新宋体" w:eastAsia="新宋体" w:cs="Times New Roman"/>
                <w:b/>
                <w:bCs/>
                <w:color w:val="auto"/>
                <w:szCs w:val="21"/>
                <w:highlight w:val="none"/>
                <w:lang w:val="en-US" w:eastAsia="zh-CN"/>
              </w:rPr>
              <w:t>会议室）</w:t>
            </w:r>
            <w:r>
              <w:rPr>
                <w:rFonts w:hint="eastAsia" w:ascii="新宋体" w:hAnsi="新宋体" w:eastAsia="新宋体" w:cs="Times New Roman"/>
                <w:b/>
                <w:bCs/>
                <w:color w:val="auto"/>
                <w:szCs w:val="21"/>
                <w:highlight w:val="none"/>
              </w:rPr>
              <w:t>，准备演示事宜。投标人自备演示工具（如电脑等）</w:t>
            </w:r>
            <w:r>
              <w:rPr>
                <w:rFonts w:hint="eastAsia" w:ascii="新宋体" w:hAnsi="新宋体" w:eastAsia="新宋体" w:cs="Times New Roman"/>
                <w:b/>
                <w:bCs/>
                <w:color w:val="auto"/>
                <w:szCs w:val="21"/>
                <w:highlight w:val="none"/>
                <w:lang w:eastAsia="zh-CN"/>
              </w:rPr>
              <w:t>，</w:t>
            </w:r>
            <w:r>
              <w:rPr>
                <w:rFonts w:hint="eastAsia" w:ascii="新宋体" w:hAnsi="新宋体" w:eastAsia="新宋体" w:cs="Times New Roman"/>
                <w:b/>
                <w:bCs/>
                <w:color w:val="auto"/>
                <w:szCs w:val="21"/>
                <w:highlight w:val="none"/>
                <w:lang w:val="en-US" w:eastAsia="zh-CN"/>
              </w:rPr>
              <w:t>建议不要使用苹果系统的电脑设备，因与评审室的演示设备不兼容</w:t>
            </w:r>
            <w:r>
              <w:rPr>
                <w:rFonts w:hint="eastAsia" w:ascii="新宋体" w:hAnsi="新宋体" w:eastAsia="新宋体" w:cs="Times New Roman"/>
                <w:b/>
                <w:bCs/>
                <w:color w:val="auto"/>
                <w:szCs w:val="21"/>
                <w:highlight w:val="none"/>
              </w:rPr>
              <w:t>。</w:t>
            </w:r>
          </w:p>
          <w:p>
            <w:pPr>
              <w:rPr>
                <w:rFonts w:hint="eastAsia" w:ascii="新宋体" w:hAnsi="新宋体" w:eastAsia="新宋体"/>
                <w:color w:val="auto"/>
                <w:szCs w:val="21"/>
                <w:highlight w:val="none"/>
              </w:rPr>
            </w:pPr>
            <w:r>
              <w:rPr>
                <w:rFonts w:hint="eastAsia" w:ascii="新宋体" w:hAnsi="新宋体" w:eastAsia="新宋体" w:cs="Times New Roman"/>
                <w:b/>
                <w:bCs/>
                <w:color w:val="auto"/>
                <w:szCs w:val="21"/>
                <w:highlight w:val="none"/>
                <w:lang w:val="en-US" w:eastAsia="zh-CN"/>
              </w:rPr>
              <w:t>③</w:t>
            </w:r>
            <w:r>
              <w:rPr>
                <w:rFonts w:hint="eastAsia" w:ascii="新宋体" w:hAnsi="新宋体" w:eastAsia="新宋体" w:cs="Times New Roman"/>
                <w:b/>
                <w:bCs/>
                <w:color w:val="auto"/>
                <w:szCs w:val="21"/>
                <w:highlight w:val="none"/>
              </w:rPr>
              <w:t>疫情防控期间，投标代表应自觉做好个人防护，必须全程佩戴口罩（自备），听从工作人员安排，配合工作人员做好实名登记、实时测量体温等各项疫情防控措施。投标单位因不能出示“绿码”或体温异常不能进入而影响演示的，后果由投标单位自行负责。</w:t>
            </w:r>
          </w:p>
        </w:tc>
      </w:tr>
      <w:tr>
        <w:tblPrEx>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5" w:hRule="atLeast"/>
          <w:jc w:val="center"/>
        </w:trPr>
        <w:tc>
          <w:tcPr>
            <w:tcW w:w="525" w:type="dxa"/>
            <w:vMerge w:val="restart"/>
            <w:noWrap w:val="0"/>
            <w:vAlign w:val="center"/>
          </w:tcPr>
          <w:p>
            <w:pPr>
              <w:widowControl/>
              <w:adjustRightInd w:val="0"/>
              <w:snapToGrid w:val="0"/>
              <w:jc w:val="center"/>
              <w:rPr>
                <w:rFonts w:ascii="新宋体" w:hAnsi="新宋体" w:eastAsia="新宋体" w:cs="新宋体"/>
                <w:color w:val="auto"/>
                <w:kern w:val="0"/>
                <w:szCs w:val="21"/>
                <w:highlight w:val="none"/>
              </w:rPr>
            </w:pPr>
            <w:r>
              <w:rPr>
                <w:rFonts w:ascii="新宋体" w:hAnsi="新宋体" w:eastAsia="新宋体" w:cs="新宋体"/>
                <w:color w:val="auto"/>
                <w:kern w:val="0"/>
                <w:szCs w:val="21"/>
                <w:highlight w:val="none"/>
              </w:rPr>
              <w:t>4</w:t>
            </w:r>
          </w:p>
        </w:tc>
        <w:tc>
          <w:tcPr>
            <w:tcW w:w="2159" w:type="dxa"/>
            <w:gridSpan w:val="2"/>
            <w:vMerge w:val="restart"/>
            <w:noWrap w:val="0"/>
            <w:vAlign w:val="center"/>
          </w:tcPr>
          <w:p>
            <w:pPr>
              <w:widowControl/>
              <w:spacing w:line="280" w:lineRule="exact"/>
              <w:jc w:val="left"/>
              <w:rPr>
                <w:rFonts w:ascii="新宋体" w:hAnsi="新宋体" w:eastAsia="新宋体"/>
                <w:color w:val="auto"/>
                <w:szCs w:val="21"/>
                <w:highlight w:val="none"/>
              </w:rPr>
            </w:pPr>
            <w:r>
              <w:rPr>
                <w:rFonts w:hint="eastAsia" w:ascii="新宋体" w:hAnsi="新宋体" w:eastAsia="新宋体" w:cs="新宋体"/>
                <w:color w:val="auto"/>
                <w:szCs w:val="21"/>
                <w:highlight w:val="none"/>
              </w:rPr>
              <w:t>项目组人员配置（1</w:t>
            </w:r>
            <w:r>
              <w:rPr>
                <w:rFonts w:ascii="新宋体" w:hAnsi="新宋体" w:eastAsia="新宋体" w:cs="新宋体"/>
                <w:color w:val="auto"/>
                <w:szCs w:val="21"/>
                <w:highlight w:val="none"/>
              </w:rPr>
              <w:t>5</w:t>
            </w:r>
            <w:r>
              <w:rPr>
                <w:rFonts w:hint="eastAsia" w:ascii="新宋体" w:hAnsi="新宋体" w:eastAsia="新宋体" w:cs="新宋体"/>
                <w:color w:val="auto"/>
                <w:szCs w:val="21"/>
                <w:highlight w:val="none"/>
              </w:rPr>
              <w:t>分</w:t>
            </w:r>
          </w:p>
        </w:tc>
        <w:tc>
          <w:tcPr>
            <w:tcW w:w="659" w:type="dxa"/>
            <w:noWrap w:val="0"/>
            <w:vAlign w:val="center"/>
          </w:tcPr>
          <w:p>
            <w:pPr>
              <w:adjustRightInd w:val="0"/>
              <w:snapToGrid w:val="0"/>
              <w:jc w:val="center"/>
              <w:rPr>
                <w:rFonts w:ascii="新宋体" w:hAnsi="新宋体" w:eastAsia="新宋体" w:cs="新宋体"/>
                <w:color w:val="auto"/>
                <w:kern w:val="0"/>
                <w:szCs w:val="21"/>
                <w:highlight w:val="none"/>
              </w:rPr>
            </w:pPr>
            <w:r>
              <w:rPr>
                <w:rFonts w:ascii="新宋体" w:hAnsi="新宋体" w:eastAsia="新宋体" w:cs="新宋体"/>
                <w:color w:val="auto"/>
                <w:kern w:val="0"/>
                <w:szCs w:val="21"/>
                <w:highlight w:val="none"/>
              </w:rPr>
              <w:t>4</w:t>
            </w:r>
          </w:p>
        </w:tc>
        <w:tc>
          <w:tcPr>
            <w:tcW w:w="6095" w:type="dxa"/>
            <w:noWrap w:val="0"/>
            <w:vAlign w:val="center"/>
          </w:tcPr>
          <w:p>
            <w:pPr>
              <w:ind w:left="-50"/>
              <w:rPr>
                <w:rFonts w:ascii="宋体"/>
                <w:bCs/>
                <w:color w:val="auto"/>
                <w:szCs w:val="22"/>
                <w:highlight w:val="none"/>
              </w:rPr>
            </w:pPr>
            <w:r>
              <w:rPr>
                <w:rFonts w:hint="eastAsia" w:ascii="新宋体" w:hAnsi="新宋体" w:eastAsia="新宋体"/>
                <w:color w:val="auto"/>
                <w:szCs w:val="21"/>
                <w:highlight w:val="none"/>
              </w:rPr>
              <w:t>项目总负责人</w:t>
            </w:r>
            <w:r>
              <w:rPr>
                <w:rFonts w:hint="eastAsia" w:ascii="宋体"/>
                <w:bCs/>
                <w:color w:val="auto"/>
                <w:szCs w:val="22"/>
                <w:highlight w:val="none"/>
              </w:rPr>
              <w:t>持有项目管理专业人士（PMP）资格认证、注册测绘师资格、测绘高级工程师证书和软件设计师证书（软考）</w:t>
            </w:r>
            <w:r>
              <w:rPr>
                <w:rFonts w:hint="eastAsia" w:ascii="宋体"/>
                <w:bCs/>
                <w:color w:val="auto"/>
                <w:szCs w:val="22"/>
                <w:highlight w:val="none"/>
                <w:lang w:eastAsia="zh-CN"/>
              </w:rPr>
              <w:t>、</w:t>
            </w:r>
            <w:r>
              <w:rPr>
                <w:rFonts w:hint="eastAsia" w:ascii="宋体"/>
                <w:bCs/>
                <w:color w:val="auto"/>
                <w:szCs w:val="22"/>
                <w:highlight w:val="none"/>
              </w:rPr>
              <w:t>，具备全部证书</w:t>
            </w:r>
            <w:r>
              <w:rPr>
                <w:rFonts w:hint="eastAsia" w:ascii="新宋体" w:hAnsi="新宋体" w:eastAsia="新宋体"/>
                <w:color w:val="auto"/>
                <w:szCs w:val="21"/>
                <w:highlight w:val="none"/>
              </w:rPr>
              <w:t>得</w:t>
            </w:r>
            <w:r>
              <w:rPr>
                <w:rFonts w:ascii="新宋体" w:hAnsi="新宋体" w:eastAsia="新宋体"/>
                <w:color w:val="auto"/>
                <w:szCs w:val="21"/>
                <w:highlight w:val="none"/>
              </w:rPr>
              <w:t>4</w:t>
            </w:r>
            <w:r>
              <w:rPr>
                <w:rFonts w:hint="eastAsia" w:ascii="新宋体" w:hAnsi="新宋体" w:eastAsia="新宋体"/>
                <w:color w:val="auto"/>
                <w:szCs w:val="21"/>
                <w:highlight w:val="none"/>
              </w:rPr>
              <w:t>分，</w:t>
            </w:r>
            <w:r>
              <w:rPr>
                <w:rFonts w:hint="eastAsia" w:ascii="宋体" w:eastAsia="新宋体"/>
                <w:bCs/>
                <w:color w:val="auto"/>
                <w:szCs w:val="22"/>
                <w:highlight w:val="none"/>
                <w:lang w:val="en-US" w:eastAsia="zh-CN"/>
              </w:rPr>
              <w:t>每缺一</w:t>
            </w:r>
            <w:r>
              <w:rPr>
                <w:rFonts w:hint="eastAsia" w:ascii="宋体"/>
                <w:bCs/>
                <w:color w:val="auto"/>
                <w:szCs w:val="22"/>
                <w:highlight w:val="none"/>
              </w:rPr>
              <w:t>项</w:t>
            </w:r>
            <w:r>
              <w:rPr>
                <w:rFonts w:hint="eastAsia" w:ascii="宋体"/>
                <w:bCs/>
                <w:color w:val="auto"/>
                <w:szCs w:val="22"/>
                <w:highlight w:val="none"/>
                <w:lang w:val="en-US" w:eastAsia="zh-CN"/>
              </w:rPr>
              <w:t>扣</w:t>
            </w:r>
            <w:r>
              <w:rPr>
                <w:rFonts w:ascii="宋体"/>
                <w:bCs/>
                <w:color w:val="auto"/>
                <w:szCs w:val="22"/>
                <w:highlight w:val="none"/>
              </w:rPr>
              <w:t>1</w:t>
            </w:r>
            <w:r>
              <w:rPr>
                <w:rFonts w:hint="eastAsia" w:ascii="宋体"/>
                <w:bCs/>
                <w:color w:val="auto"/>
                <w:szCs w:val="22"/>
                <w:highlight w:val="none"/>
              </w:rPr>
              <w:t>分，</w:t>
            </w:r>
            <w:r>
              <w:rPr>
                <w:rFonts w:hint="eastAsia" w:ascii="宋体"/>
                <w:bCs/>
                <w:color w:val="auto"/>
                <w:szCs w:val="22"/>
                <w:highlight w:val="none"/>
                <w:lang w:val="en-US" w:eastAsia="zh-CN"/>
              </w:rPr>
              <w:t>扣完为止</w:t>
            </w:r>
            <w:r>
              <w:rPr>
                <w:rFonts w:hint="eastAsia" w:ascii="宋体"/>
                <w:bCs/>
                <w:color w:val="auto"/>
                <w:szCs w:val="22"/>
                <w:highlight w:val="none"/>
              </w:rPr>
              <w:t>。</w:t>
            </w:r>
          </w:p>
          <w:p>
            <w:pPr>
              <w:ind w:left="-50"/>
              <w:rPr>
                <w:rFonts w:hint="eastAsia" w:ascii="新宋体" w:hAnsi="新宋体" w:eastAsia="新宋体"/>
                <w:color w:val="auto"/>
                <w:szCs w:val="21"/>
                <w:highlight w:val="none"/>
              </w:rPr>
            </w:pPr>
            <w:r>
              <w:rPr>
                <w:rFonts w:hint="eastAsia" w:ascii="新宋体" w:hAnsi="新宋体" w:eastAsia="新宋体"/>
                <w:color w:val="auto"/>
                <w:szCs w:val="21"/>
                <w:highlight w:val="none"/>
              </w:rPr>
              <w:t>如以联合体形式投标的，项目负责人必须由联合体牵头人委派。</w:t>
            </w:r>
          </w:p>
        </w:tc>
      </w:tr>
      <w:tr>
        <w:tblPrEx>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PrEx>
        <w:trPr>
          <w:trHeight w:val="844" w:hRule="atLeast"/>
          <w:jc w:val="center"/>
        </w:trPr>
        <w:tc>
          <w:tcPr>
            <w:tcW w:w="525" w:type="dxa"/>
            <w:vMerge w:val="continue"/>
            <w:noWrap w:val="0"/>
            <w:vAlign w:val="center"/>
          </w:tcPr>
          <w:p>
            <w:pPr>
              <w:widowControl/>
              <w:adjustRightInd w:val="0"/>
              <w:snapToGrid w:val="0"/>
              <w:jc w:val="center"/>
              <w:rPr>
                <w:rFonts w:ascii="新宋体" w:hAnsi="新宋体" w:eastAsia="新宋体" w:cs="新宋体"/>
                <w:color w:val="auto"/>
                <w:kern w:val="0"/>
                <w:szCs w:val="21"/>
                <w:highlight w:val="none"/>
              </w:rPr>
            </w:pPr>
          </w:p>
        </w:tc>
        <w:tc>
          <w:tcPr>
            <w:tcW w:w="2159" w:type="dxa"/>
            <w:gridSpan w:val="2"/>
            <w:vMerge w:val="continue"/>
            <w:noWrap w:val="0"/>
            <w:vAlign w:val="center"/>
          </w:tcPr>
          <w:p>
            <w:pPr>
              <w:jc w:val="center"/>
              <w:rPr>
                <w:rFonts w:ascii="新宋体" w:hAnsi="新宋体" w:eastAsia="新宋体" w:cs="新宋体"/>
                <w:color w:val="auto"/>
                <w:szCs w:val="21"/>
                <w:highlight w:val="none"/>
              </w:rPr>
            </w:pPr>
          </w:p>
        </w:tc>
        <w:tc>
          <w:tcPr>
            <w:tcW w:w="659" w:type="dxa"/>
            <w:noWrap w:val="0"/>
            <w:vAlign w:val="center"/>
          </w:tcPr>
          <w:p>
            <w:pPr>
              <w:adjustRightInd w:val="0"/>
              <w:snapToGrid w:val="0"/>
              <w:jc w:val="center"/>
              <w:rPr>
                <w:rFonts w:ascii="新宋体" w:hAnsi="新宋体" w:eastAsia="新宋体" w:cs="新宋体"/>
                <w:color w:val="auto"/>
                <w:kern w:val="0"/>
                <w:szCs w:val="21"/>
                <w:highlight w:val="none"/>
              </w:rPr>
            </w:pPr>
            <w:r>
              <w:rPr>
                <w:rFonts w:ascii="新宋体" w:hAnsi="新宋体" w:eastAsia="新宋体" w:cs="新宋体"/>
                <w:color w:val="auto"/>
                <w:kern w:val="0"/>
                <w:szCs w:val="21"/>
                <w:highlight w:val="none"/>
              </w:rPr>
              <w:t>3</w:t>
            </w:r>
          </w:p>
        </w:tc>
        <w:tc>
          <w:tcPr>
            <w:tcW w:w="6095" w:type="dxa"/>
            <w:noWrap w:val="0"/>
            <w:vAlign w:val="center"/>
          </w:tcPr>
          <w:p>
            <w:pPr>
              <w:rPr>
                <w:rFonts w:hint="eastAsia" w:ascii="宋体"/>
                <w:bCs/>
                <w:color w:val="auto"/>
                <w:szCs w:val="22"/>
                <w:highlight w:val="none"/>
              </w:rPr>
            </w:pPr>
            <w:r>
              <w:rPr>
                <w:rFonts w:hint="eastAsia" w:ascii="宋体"/>
                <w:bCs/>
                <w:color w:val="auto"/>
                <w:szCs w:val="22"/>
                <w:highlight w:val="none"/>
              </w:rPr>
              <w:t>项目技术负责人持有项目管理专业人士（PMP）资格认证、测绘高级工程师证书和软件设计师证书（软考）</w:t>
            </w:r>
            <w:r>
              <w:rPr>
                <w:rFonts w:hint="eastAsia" w:ascii="宋体"/>
                <w:bCs/>
                <w:color w:val="auto"/>
                <w:szCs w:val="22"/>
                <w:highlight w:val="none"/>
                <w:lang w:eastAsia="zh-CN"/>
              </w:rPr>
              <w:t>、</w:t>
            </w:r>
            <w:r>
              <w:rPr>
                <w:rFonts w:hint="eastAsia" w:ascii="宋体"/>
                <w:bCs/>
                <w:color w:val="auto"/>
                <w:szCs w:val="22"/>
                <w:highlight w:val="none"/>
                <w:lang w:val="en-US" w:eastAsia="zh-CN"/>
              </w:rPr>
              <w:t>涉密测绘成果管理人员岗位培训证书</w:t>
            </w:r>
            <w:r>
              <w:rPr>
                <w:rFonts w:hint="eastAsia" w:ascii="宋体"/>
                <w:bCs/>
                <w:color w:val="auto"/>
                <w:szCs w:val="22"/>
                <w:highlight w:val="none"/>
              </w:rPr>
              <w:t>，具备全部证书得3分，</w:t>
            </w:r>
            <w:r>
              <w:rPr>
                <w:rFonts w:hint="eastAsia" w:ascii="宋体" w:eastAsia="新宋体"/>
                <w:bCs/>
                <w:color w:val="auto"/>
                <w:szCs w:val="22"/>
                <w:highlight w:val="none"/>
                <w:lang w:val="en-US" w:eastAsia="zh-CN"/>
              </w:rPr>
              <w:t>每缺一</w:t>
            </w:r>
            <w:r>
              <w:rPr>
                <w:rFonts w:hint="eastAsia" w:ascii="宋体"/>
                <w:bCs/>
                <w:color w:val="auto"/>
                <w:szCs w:val="22"/>
                <w:highlight w:val="none"/>
              </w:rPr>
              <w:t>项</w:t>
            </w:r>
            <w:r>
              <w:rPr>
                <w:rFonts w:hint="eastAsia" w:ascii="宋体"/>
                <w:bCs/>
                <w:color w:val="auto"/>
                <w:szCs w:val="22"/>
                <w:highlight w:val="none"/>
                <w:lang w:val="en-US" w:eastAsia="zh-CN"/>
              </w:rPr>
              <w:t>扣</w:t>
            </w:r>
            <w:r>
              <w:rPr>
                <w:rFonts w:ascii="宋体"/>
                <w:bCs/>
                <w:color w:val="auto"/>
                <w:szCs w:val="22"/>
                <w:highlight w:val="none"/>
              </w:rPr>
              <w:t>1</w:t>
            </w:r>
            <w:r>
              <w:rPr>
                <w:rFonts w:hint="eastAsia" w:ascii="宋体"/>
                <w:bCs/>
                <w:color w:val="auto"/>
                <w:szCs w:val="22"/>
                <w:highlight w:val="none"/>
              </w:rPr>
              <w:t>分，</w:t>
            </w:r>
            <w:r>
              <w:rPr>
                <w:rFonts w:hint="eastAsia" w:ascii="宋体"/>
                <w:bCs/>
                <w:color w:val="auto"/>
                <w:szCs w:val="22"/>
                <w:highlight w:val="none"/>
                <w:lang w:val="en-US" w:eastAsia="zh-CN"/>
              </w:rPr>
              <w:t>扣完为止</w:t>
            </w:r>
            <w:r>
              <w:rPr>
                <w:rFonts w:hint="eastAsia" w:ascii="宋体"/>
                <w:bCs/>
                <w:color w:val="auto"/>
                <w:szCs w:val="22"/>
                <w:highlight w:val="none"/>
              </w:rPr>
              <w:t>。</w:t>
            </w:r>
          </w:p>
        </w:tc>
      </w:tr>
      <w:tr>
        <w:tblPrEx>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6" w:hRule="atLeast"/>
          <w:jc w:val="center"/>
        </w:trPr>
        <w:tc>
          <w:tcPr>
            <w:tcW w:w="525" w:type="dxa"/>
            <w:vMerge w:val="continue"/>
            <w:noWrap w:val="0"/>
            <w:vAlign w:val="center"/>
          </w:tcPr>
          <w:p>
            <w:pPr>
              <w:widowControl/>
              <w:adjustRightInd w:val="0"/>
              <w:snapToGrid w:val="0"/>
              <w:jc w:val="center"/>
              <w:rPr>
                <w:rFonts w:ascii="新宋体" w:hAnsi="新宋体" w:eastAsia="新宋体" w:cs="新宋体"/>
                <w:color w:val="auto"/>
                <w:kern w:val="0"/>
                <w:szCs w:val="21"/>
                <w:highlight w:val="none"/>
              </w:rPr>
            </w:pPr>
          </w:p>
        </w:tc>
        <w:tc>
          <w:tcPr>
            <w:tcW w:w="2159" w:type="dxa"/>
            <w:gridSpan w:val="2"/>
            <w:vMerge w:val="continue"/>
            <w:noWrap w:val="0"/>
            <w:vAlign w:val="center"/>
          </w:tcPr>
          <w:p>
            <w:pPr>
              <w:jc w:val="center"/>
              <w:rPr>
                <w:rFonts w:ascii="新宋体" w:hAnsi="新宋体" w:eastAsia="新宋体" w:cs="新宋体"/>
                <w:color w:val="auto"/>
                <w:szCs w:val="21"/>
                <w:highlight w:val="none"/>
              </w:rPr>
            </w:pPr>
          </w:p>
        </w:tc>
        <w:tc>
          <w:tcPr>
            <w:tcW w:w="659" w:type="dxa"/>
            <w:noWrap w:val="0"/>
            <w:vAlign w:val="center"/>
          </w:tcPr>
          <w:p>
            <w:pPr>
              <w:adjustRightInd w:val="0"/>
              <w:snapToGrid w:val="0"/>
              <w:jc w:val="center"/>
              <w:rPr>
                <w:rFonts w:ascii="新宋体" w:hAnsi="新宋体" w:eastAsia="新宋体" w:cs="新宋体"/>
                <w:color w:val="auto"/>
                <w:kern w:val="0"/>
                <w:szCs w:val="21"/>
                <w:highlight w:val="none"/>
              </w:rPr>
            </w:pPr>
            <w:r>
              <w:rPr>
                <w:rFonts w:ascii="新宋体" w:hAnsi="新宋体" w:eastAsia="新宋体" w:cs="新宋体"/>
                <w:color w:val="auto"/>
                <w:kern w:val="0"/>
                <w:szCs w:val="21"/>
                <w:highlight w:val="none"/>
              </w:rPr>
              <w:t>3</w:t>
            </w:r>
          </w:p>
        </w:tc>
        <w:tc>
          <w:tcPr>
            <w:tcW w:w="6095" w:type="dxa"/>
            <w:noWrap w:val="0"/>
            <w:vAlign w:val="center"/>
          </w:tcPr>
          <w:p>
            <w:pPr>
              <w:widowControl/>
              <w:spacing w:line="280" w:lineRule="exact"/>
              <w:jc w:val="left"/>
              <w:rPr>
                <w:rFonts w:ascii="宋体" w:hAnsi="宋体" w:cs="宋体"/>
                <w:color w:val="auto"/>
                <w:kern w:val="0"/>
                <w:sz w:val="24"/>
                <w:highlight w:val="none"/>
              </w:rPr>
            </w:pPr>
            <w:r>
              <w:rPr>
                <w:rFonts w:hint="eastAsia" w:ascii="新宋体" w:hAnsi="新宋体" w:eastAsia="新宋体" w:cs="宋体"/>
                <w:color w:val="auto"/>
                <w:kern w:val="0"/>
                <w:szCs w:val="21"/>
                <w:highlight w:val="none"/>
              </w:rPr>
              <w:t>项目软件设计负责人同时具有系统规划与管理师（高级）、软件设计师、</w:t>
            </w:r>
            <w:r>
              <w:rPr>
                <w:rFonts w:hint="eastAsia" w:ascii="宋体" w:hAnsi="宋体" w:eastAsia="宋体" w:cs="宋体"/>
                <w:i w:val="0"/>
                <w:iCs w:val="0"/>
                <w:color w:val="auto"/>
                <w:kern w:val="0"/>
                <w:sz w:val="21"/>
                <w:szCs w:val="21"/>
                <w:highlight w:val="none"/>
                <w:u w:val="none"/>
                <w:lang w:val="en-US" w:eastAsia="zh-CN" w:bidi="ar"/>
              </w:rPr>
              <w:t>注册信息安全工程师</w:t>
            </w:r>
            <w:r>
              <w:rPr>
                <w:rFonts w:hint="eastAsia" w:ascii="宋体" w:hAnsi="宋体" w:cs="宋体"/>
                <w:i w:val="0"/>
                <w:iCs w:val="0"/>
                <w:color w:val="auto"/>
                <w:kern w:val="0"/>
                <w:sz w:val="21"/>
                <w:szCs w:val="21"/>
                <w:highlight w:val="none"/>
                <w:u w:val="none"/>
                <w:lang w:val="en-US" w:eastAsia="zh-CN" w:bidi="ar"/>
              </w:rPr>
              <w:t>（CISP）</w:t>
            </w:r>
            <w:r>
              <w:rPr>
                <w:rFonts w:hint="eastAsia" w:ascii="新宋体" w:hAnsi="新宋体" w:eastAsia="新宋体" w:cs="宋体"/>
                <w:color w:val="auto"/>
                <w:kern w:val="0"/>
                <w:szCs w:val="21"/>
                <w:highlight w:val="none"/>
              </w:rPr>
              <w:t>得3分，</w:t>
            </w:r>
            <w:r>
              <w:rPr>
                <w:rFonts w:hint="eastAsia" w:ascii="宋体" w:eastAsia="新宋体"/>
                <w:bCs/>
                <w:color w:val="auto"/>
                <w:szCs w:val="22"/>
                <w:highlight w:val="none"/>
                <w:lang w:val="en-US" w:eastAsia="zh-CN"/>
              </w:rPr>
              <w:t>每缺一</w:t>
            </w:r>
            <w:r>
              <w:rPr>
                <w:rFonts w:hint="eastAsia" w:ascii="宋体"/>
                <w:bCs/>
                <w:color w:val="auto"/>
                <w:szCs w:val="22"/>
                <w:highlight w:val="none"/>
              </w:rPr>
              <w:t>项</w:t>
            </w:r>
            <w:r>
              <w:rPr>
                <w:rFonts w:hint="eastAsia" w:ascii="宋体"/>
                <w:bCs/>
                <w:color w:val="auto"/>
                <w:szCs w:val="22"/>
                <w:highlight w:val="none"/>
                <w:lang w:val="en-US" w:eastAsia="zh-CN"/>
              </w:rPr>
              <w:t>扣</w:t>
            </w:r>
            <w:r>
              <w:rPr>
                <w:rFonts w:ascii="宋体"/>
                <w:bCs/>
                <w:color w:val="auto"/>
                <w:szCs w:val="22"/>
                <w:highlight w:val="none"/>
              </w:rPr>
              <w:t>1</w:t>
            </w:r>
            <w:r>
              <w:rPr>
                <w:rFonts w:hint="eastAsia" w:ascii="宋体"/>
                <w:bCs/>
                <w:color w:val="auto"/>
                <w:szCs w:val="22"/>
                <w:highlight w:val="none"/>
              </w:rPr>
              <w:t>分，</w:t>
            </w:r>
            <w:r>
              <w:rPr>
                <w:rFonts w:hint="eastAsia" w:ascii="宋体"/>
                <w:bCs/>
                <w:color w:val="auto"/>
                <w:szCs w:val="22"/>
                <w:highlight w:val="none"/>
                <w:lang w:val="en-US" w:eastAsia="zh-CN"/>
              </w:rPr>
              <w:t>扣完为止</w:t>
            </w:r>
            <w:r>
              <w:rPr>
                <w:rFonts w:hint="eastAsia" w:ascii="新宋体" w:hAnsi="新宋体" w:eastAsia="新宋体" w:cs="宋体"/>
                <w:color w:val="auto"/>
                <w:kern w:val="0"/>
                <w:szCs w:val="21"/>
                <w:highlight w:val="none"/>
              </w:rPr>
              <w:t>。</w:t>
            </w:r>
          </w:p>
        </w:tc>
      </w:tr>
      <w:tr>
        <w:tblPrEx>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03" w:hRule="atLeast"/>
          <w:jc w:val="center"/>
        </w:trPr>
        <w:tc>
          <w:tcPr>
            <w:tcW w:w="525" w:type="dxa"/>
            <w:vMerge w:val="continue"/>
            <w:noWrap w:val="0"/>
            <w:vAlign w:val="center"/>
          </w:tcPr>
          <w:p>
            <w:pPr>
              <w:widowControl/>
              <w:adjustRightInd w:val="0"/>
              <w:snapToGrid w:val="0"/>
              <w:jc w:val="center"/>
              <w:rPr>
                <w:rFonts w:ascii="新宋体" w:hAnsi="新宋体" w:eastAsia="新宋体" w:cs="新宋体"/>
                <w:color w:val="auto"/>
                <w:kern w:val="0"/>
                <w:szCs w:val="21"/>
                <w:highlight w:val="none"/>
              </w:rPr>
            </w:pPr>
          </w:p>
        </w:tc>
        <w:tc>
          <w:tcPr>
            <w:tcW w:w="2159" w:type="dxa"/>
            <w:gridSpan w:val="2"/>
            <w:vMerge w:val="continue"/>
            <w:noWrap w:val="0"/>
            <w:vAlign w:val="center"/>
          </w:tcPr>
          <w:p>
            <w:pPr>
              <w:jc w:val="center"/>
              <w:rPr>
                <w:rFonts w:ascii="新宋体" w:hAnsi="新宋体" w:eastAsia="新宋体" w:cs="新宋体"/>
                <w:color w:val="auto"/>
                <w:szCs w:val="21"/>
                <w:highlight w:val="none"/>
              </w:rPr>
            </w:pPr>
          </w:p>
        </w:tc>
        <w:tc>
          <w:tcPr>
            <w:tcW w:w="659" w:type="dxa"/>
            <w:noWrap w:val="0"/>
            <w:vAlign w:val="center"/>
          </w:tcPr>
          <w:p>
            <w:pPr>
              <w:adjustRightInd w:val="0"/>
              <w:snapToGrid w:val="0"/>
              <w:jc w:val="center"/>
              <w:rPr>
                <w:rFonts w:ascii="新宋体" w:hAnsi="新宋体" w:eastAsia="新宋体" w:cs="新宋体"/>
                <w:color w:val="auto"/>
                <w:kern w:val="0"/>
                <w:szCs w:val="21"/>
                <w:highlight w:val="none"/>
              </w:rPr>
            </w:pPr>
            <w:r>
              <w:rPr>
                <w:rFonts w:ascii="新宋体" w:hAnsi="新宋体" w:eastAsia="新宋体" w:cs="新宋体"/>
                <w:color w:val="auto"/>
                <w:kern w:val="0"/>
                <w:szCs w:val="21"/>
                <w:highlight w:val="none"/>
              </w:rPr>
              <w:t>5</w:t>
            </w:r>
          </w:p>
        </w:tc>
        <w:tc>
          <w:tcPr>
            <w:tcW w:w="6095" w:type="dxa"/>
            <w:noWrap w:val="0"/>
            <w:vAlign w:val="center"/>
          </w:tcPr>
          <w:p>
            <w:pPr>
              <w:widowControl/>
              <w:rPr>
                <w:rFonts w:ascii="宋体" w:hAnsi="宋体" w:cs="宋体"/>
                <w:color w:val="auto"/>
                <w:kern w:val="0"/>
                <w:sz w:val="24"/>
                <w:highlight w:val="none"/>
              </w:rPr>
            </w:pPr>
            <w:r>
              <w:rPr>
                <w:rFonts w:hint="eastAsia" w:ascii="新宋体" w:hAnsi="新宋体" w:eastAsia="新宋体" w:cs="宋体"/>
                <w:color w:val="auto"/>
                <w:kern w:val="0"/>
                <w:szCs w:val="21"/>
                <w:highlight w:val="none"/>
              </w:rPr>
              <w:t>项目组其他成员（不含项目总负责人、项目技术负责人、项目软件设计负责人）证书：</w:t>
            </w:r>
          </w:p>
          <w:p>
            <w:pPr>
              <w:rPr>
                <w:rFonts w:ascii="宋体" w:hAnsi="宋体" w:cs="宋体"/>
                <w:color w:val="auto"/>
                <w:kern w:val="0"/>
                <w:szCs w:val="21"/>
                <w:highlight w:val="none"/>
              </w:rPr>
            </w:pPr>
            <w:r>
              <w:rPr>
                <w:rFonts w:hint="eastAsia" w:ascii="新宋体" w:hAnsi="新宋体" w:eastAsia="新宋体" w:cs="宋体"/>
                <w:color w:val="auto"/>
                <w:kern w:val="0"/>
                <w:szCs w:val="21"/>
                <w:highlight w:val="none"/>
              </w:rPr>
              <w:t>具有测绘专业高级工程师、园林专业高级工程师、注册测绘师、信息系统项目管理师、大数据分析师、数据库系统工程师、系统集成项目管理工程师、信息系统管理工程师、软件评测师、信息系统监理师，</w:t>
            </w:r>
            <w:r>
              <w:rPr>
                <w:rFonts w:hint="eastAsia" w:ascii="宋体" w:hAnsi="宋体" w:cs="宋体"/>
                <w:color w:val="auto"/>
                <w:kern w:val="0"/>
                <w:szCs w:val="21"/>
                <w:highlight w:val="none"/>
              </w:rPr>
              <w:t>全部具备得5分，具备</w:t>
            </w:r>
            <w:r>
              <w:rPr>
                <w:rFonts w:ascii="宋体" w:hAnsi="宋体" w:cs="宋体"/>
                <w:color w:val="auto"/>
                <w:kern w:val="0"/>
                <w:szCs w:val="21"/>
                <w:highlight w:val="none"/>
              </w:rPr>
              <w:t>7</w:t>
            </w:r>
            <w:r>
              <w:rPr>
                <w:rFonts w:hint="eastAsia" w:ascii="宋体" w:hAnsi="宋体" w:cs="宋体"/>
                <w:color w:val="auto"/>
                <w:kern w:val="0"/>
                <w:szCs w:val="21"/>
                <w:highlight w:val="none"/>
              </w:rPr>
              <w:t>-</w:t>
            </w:r>
            <w:r>
              <w:rPr>
                <w:rFonts w:ascii="宋体" w:hAnsi="宋体" w:cs="宋体"/>
                <w:color w:val="auto"/>
                <w:kern w:val="0"/>
                <w:szCs w:val="21"/>
                <w:highlight w:val="none"/>
              </w:rPr>
              <w:t>9</w:t>
            </w:r>
            <w:r>
              <w:rPr>
                <w:rFonts w:hint="eastAsia" w:ascii="宋体" w:hAnsi="宋体" w:cs="宋体"/>
                <w:color w:val="auto"/>
                <w:kern w:val="0"/>
                <w:szCs w:val="21"/>
                <w:highlight w:val="none"/>
              </w:rPr>
              <w:t>项证书得3分，具备3-</w:t>
            </w:r>
            <w:r>
              <w:rPr>
                <w:rFonts w:ascii="宋体" w:hAnsi="宋体" w:cs="宋体"/>
                <w:color w:val="auto"/>
                <w:kern w:val="0"/>
                <w:szCs w:val="21"/>
                <w:highlight w:val="none"/>
              </w:rPr>
              <w:t>6</w:t>
            </w:r>
            <w:r>
              <w:rPr>
                <w:rFonts w:hint="eastAsia" w:ascii="宋体" w:hAnsi="宋体" w:cs="宋体"/>
                <w:color w:val="auto"/>
                <w:kern w:val="0"/>
                <w:szCs w:val="21"/>
                <w:highlight w:val="none"/>
              </w:rPr>
              <w:t>项证书得1分，其他不得分。</w:t>
            </w:r>
          </w:p>
          <w:p>
            <w:pPr>
              <w:rPr>
                <w:rFonts w:hint="eastAsia" w:ascii="新宋体" w:hAnsi="新宋体" w:eastAsia="新宋体"/>
                <w:color w:val="auto"/>
                <w:sz w:val="22"/>
                <w:szCs w:val="22"/>
                <w:highlight w:val="none"/>
              </w:rPr>
            </w:pPr>
            <w:r>
              <w:rPr>
                <w:rFonts w:hint="eastAsia" w:ascii="新宋体" w:hAnsi="新宋体" w:eastAsia="新宋体" w:cs="宋体"/>
                <w:color w:val="auto"/>
                <w:kern w:val="0"/>
                <w:szCs w:val="21"/>
                <w:highlight w:val="none"/>
              </w:rPr>
              <w:t>注：如以联合体形式投标的，由联合体牵头人委派的技术人员（不含项目负责人、技术负责人）必须占总技术人员（不含项目负责人、技术负责人、）的50%以上，否则不得分。</w:t>
            </w:r>
          </w:p>
        </w:tc>
      </w:tr>
      <w:tr>
        <w:tblPrEx>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PrEx>
        <w:trPr>
          <w:trHeight w:val="694" w:hRule="atLeast"/>
          <w:jc w:val="center"/>
        </w:trPr>
        <w:tc>
          <w:tcPr>
            <w:tcW w:w="525" w:type="dxa"/>
            <w:vMerge w:val="continue"/>
            <w:noWrap w:val="0"/>
            <w:vAlign w:val="center"/>
          </w:tcPr>
          <w:p>
            <w:pPr>
              <w:widowControl/>
              <w:adjustRightInd w:val="0"/>
              <w:snapToGrid w:val="0"/>
              <w:jc w:val="center"/>
              <w:rPr>
                <w:rFonts w:ascii="新宋体" w:hAnsi="新宋体" w:eastAsia="新宋体" w:cs="新宋体"/>
                <w:color w:val="auto"/>
                <w:kern w:val="0"/>
                <w:szCs w:val="21"/>
                <w:highlight w:val="none"/>
              </w:rPr>
            </w:pPr>
          </w:p>
        </w:tc>
        <w:tc>
          <w:tcPr>
            <w:tcW w:w="2159" w:type="dxa"/>
            <w:gridSpan w:val="2"/>
            <w:vMerge w:val="continue"/>
            <w:noWrap w:val="0"/>
            <w:vAlign w:val="center"/>
          </w:tcPr>
          <w:p>
            <w:pPr>
              <w:jc w:val="center"/>
              <w:rPr>
                <w:rFonts w:ascii="新宋体" w:hAnsi="新宋体" w:eastAsia="新宋体" w:cs="新宋体"/>
                <w:color w:val="auto"/>
                <w:szCs w:val="21"/>
                <w:highlight w:val="none"/>
              </w:rPr>
            </w:pPr>
          </w:p>
        </w:tc>
        <w:tc>
          <w:tcPr>
            <w:tcW w:w="6754" w:type="dxa"/>
            <w:gridSpan w:val="2"/>
            <w:noWrap w:val="0"/>
            <w:vAlign w:val="center"/>
          </w:tcPr>
          <w:p>
            <w:pPr>
              <w:rPr>
                <w:rFonts w:ascii="宋体" w:hAnsi="宋体"/>
                <w:color w:val="auto"/>
                <w:szCs w:val="21"/>
                <w:highlight w:val="none"/>
              </w:rPr>
            </w:pPr>
            <w:r>
              <w:rPr>
                <w:rFonts w:hint="eastAsia" w:ascii="宋体" w:hAnsi="宋体" w:cs="Arial"/>
                <w:b/>
                <w:bCs/>
                <w:color w:val="auto"/>
                <w:szCs w:val="21"/>
                <w:highlight w:val="none"/>
              </w:rPr>
              <w:t>以上需提供证书复印件并加盖公章。同一人员具有多种证书的，只认定为其中一个类别，不重复得分。提供人员名单、相关职称证书复印件及人员近3</w:t>
            </w:r>
            <w:r>
              <w:rPr>
                <w:rFonts w:ascii="宋体" w:hAnsi="宋体" w:cs="Arial"/>
                <w:b/>
                <w:bCs/>
                <w:color w:val="auto"/>
                <w:szCs w:val="21"/>
                <w:highlight w:val="none"/>
              </w:rPr>
              <w:t>个月开具的</w:t>
            </w:r>
            <w:r>
              <w:rPr>
                <w:rFonts w:hint="eastAsia" w:ascii="宋体" w:hAnsi="宋体" w:cs="Arial"/>
                <w:b/>
                <w:bCs/>
                <w:color w:val="auto"/>
                <w:szCs w:val="21"/>
                <w:highlight w:val="none"/>
              </w:rPr>
              <w:t>社保证明复印件，以当地社保部门出具并盖章的或当地政务服务网打印的社会保险参保证明为准</w:t>
            </w:r>
          </w:p>
        </w:tc>
      </w:tr>
      <w:tr>
        <w:tblPrEx>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67" w:hRule="atLeast"/>
          <w:jc w:val="center"/>
        </w:trPr>
        <w:tc>
          <w:tcPr>
            <w:tcW w:w="525" w:type="dxa"/>
            <w:vMerge w:val="restart"/>
            <w:noWrap w:val="0"/>
            <w:vAlign w:val="center"/>
          </w:tcPr>
          <w:p>
            <w:pPr>
              <w:widowControl/>
              <w:adjustRightInd w:val="0"/>
              <w:snapToGrid w:val="0"/>
              <w:jc w:val="center"/>
              <w:rPr>
                <w:rFonts w:ascii="新宋体" w:hAnsi="新宋体" w:eastAsia="新宋体" w:cs="新宋体"/>
                <w:color w:val="auto"/>
                <w:kern w:val="0"/>
                <w:szCs w:val="21"/>
                <w:highlight w:val="none"/>
              </w:rPr>
            </w:pPr>
            <w:r>
              <w:rPr>
                <w:rFonts w:ascii="新宋体" w:hAnsi="新宋体" w:eastAsia="新宋体" w:cs="新宋体"/>
                <w:color w:val="auto"/>
                <w:kern w:val="0"/>
                <w:szCs w:val="21"/>
                <w:highlight w:val="none"/>
              </w:rPr>
              <w:t>5</w:t>
            </w:r>
          </w:p>
        </w:tc>
        <w:tc>
          <w:tcPr>
            <w:tcW w:w="2159" w:type="dxa"/>
            <w:gridSpan w:val="2"/>
            <w:vMerge w:val="restart"/>
            <w:noWrap w:val="0"/>
            <w:vAlign w:val="center"/>
          </w:tcPr>
          <w:p>
            <w:pPr>
              <w:jc w:val="center"/>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供应商综合情况（</w:t>
            </w:r>
            <w:r>
              <w:rPr>
                <w:rFonts w:hint="eastAsia" w:ascii="新宋体" w:hAnsi="新宋体" w:eastAsia="新宋体" w:cs="新宋体"/>
                <w:color w:val="auto"/>
                <w:szCs w:val="21"/>
                <w:highlight w:val="none"/>
                <w:lang w:val="en-US" w:eastAsia="zh-CN"/>
              </w:rPr>
              <w:t>9</w:t>
            </w:r>
            <w:r>
              <w:rPr>
                <w:rFonts w:hint="eastAsia" w:ascii="新宋体" w:hAnsi="新宋体" w:eastAsia="新宋体" w:cs="新宋体"/>
                <w:color w:val="auto"/>
                <w:szCs w:val="21"/>
                <w:highlight w:val="none"/>
              </w:rPr>
              <w:t>分</w:t>
            </w:r>
            <w:r>
              <w:rPr>
                <w:rFonts w:ascii="新宋体" w:hAnsi="新宋体" w:eastAsia="新宋体" w:cs="新宋体"/>
                <w:color w:val="auto"/>
                <w:szCs w:val="21"/>
                <w:highlight w:val="none"/>
              </w:rPr>
              <w:t>）</w:t>
            </w:r>
          </w:p>
          <w:p>
            <w:pPr>
              <w:jc w:val="center"/>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注：</w:t>
            </w:r>
            <w:r>
              <w:rPr>
                <w:rFonts w:hint="eastAsia" w:ascii="新宋体" w:hAnsi="新宋体" w:eastAsia="新宋体"/>
                <w:color w:val="auto"/>
                <w:szCs w:val="21"/>
                <w:highlight w:val="none"/>
              </w:rPr>
              <w:t>证书须在有效期内，提供相应</w:t>
            </w:r>
            <w:r>
              <w:rPr>
                <w:rFonts w:ascii="新宋体" w:hAnsi="新宋体" w:eastAsia="新宋体"/>
                <w:color w:val="auto"/>
                <w:szCs w:val="21"/>
                <w:highlight w:val="none"/>
              </w:rPr>
              <w:t>证书</w:t>
            </w:r>
            <w:r>
              <w:rPr>
                <w:rFonts w:hint="eastAsia" w:ascii="新宋体" w:hAnsi="新宋体" w:eastAsia="新宋体"/>
                <w:color w:val="auto"/>
                <w:szCs w:val="21"/>
                <w:highlight w:val="none"/>
              </w:rPr>
              <w:t>复印件并加盖公章。</w:t>
            </w:r>
          </w:p>
        </w:tc>
        <w:tc>
          <w:tcPr>
            <w:tcW w:w="659" w:type="dxa"/>
            <w:noWrap w:val="0"/>
            <w:vAlign w:val="center"/>
          </w:tcPr>
          <w:p>
            <w:pPr>
              <w:adjustRightInd w:val="0"/>
              <w:snapToGrid w:val="0"/>
              <w:jc w:val="center"/>
              <w:rPr>
                <w:rFonts w:ascii="新宋体" w:hAnsi="新宋体" w:eastAsia="新宋体" w:cs="新宋体"/>
                <w:color w:val="auto"/>
                <w:kern w:val="0"/>
                <w:szCs w:val="21"/>
                <w:highlight w:val="none"/>
              </w:rPr>
            </w:pPr>
            <w:r>
              <w:rPr>
                <w:rFonts w:ascii="新宋体" w:hAnsi="新宋体" w:eastAsia="新宋体" w:cs="新宋体"/>
                <w:color w:val="auto"/>
                <w:kern w:val="0"/>
                <w:szCs w:val="21"/>
                <w:highlight w:val="none"/>
              </w:rPr>
              <w:t>4</w:t>
            </w:r>
          </w:p>
        </w:tc>
        <w:tc>
          <w:tcPr>
            <w:tcW w:w="6095" w:type="dxa"/>
            <w:noWrap w:val="0"/>
            <w:vAlign w:val="center"/>
          </w:tcPr>
          <w:p>
            <w:pPr>
              <w:rPr>
                <w:rFonts w:hint="eastAsia" w:ascii="宋体"/>
                <w:bCs/>
                <w:snapToGrid w:val="0"/>
                <w:color w:val="auto"/>
                <w:szCs w:val="22"/>
                <w:highlight w:val="none"/>
              </w:rPr>
            </w:pPr>
            <w:r>
              <w:rPr>
                <w:rFonts w:hint="eastAsia" w:ascii="宋体"/>
                <w:bCs/>
                <w:snapToGrid w:val="0"/>
                <w:color w:val="auto"/>
                <w:szCs w:val="22"/>
                <w:highlight w:val="none"/>
              </w:rPr>
              <w:t>具有</w:t>
            </w:r>
            <w:r>
              <w:rPr>
                <w:rFonts w:hint="eastAsia" w:ascii="宋体" w:hAnsi="宋体" w:cs="宋体"/>
                <w:color w:val="auto"/>
                <w:kern w:val="0"/>
                <w:szCs w:val="21"/>
                <w:highlight w:val="none"/>
              </w:rPr>
              <w:t>信息技术服务管理体系认证、信息安全管理体系认证、知识产权管理体系认证、社会责任管理体系认证</w:t>
            </w:r>
            <w:r>
              <w:rPr>
                <w:rFonts w:hint="eastAsia" w:ascii="宋体"/>
                <w:bCs/>
                <w:snapToGrid w:val="0"/>
                <w:color w:val="auto"/>
                <w:szCs w:val="22"/>
                <w:highlight w:val="none"/>
              </w:rPr>
              <w:t>的，具备一个得</w:t>
            </w:r>
            <w:r>
              <w:rPr>
                <w:rFonts w:ascii="宋体"/>
                <w:bCs/>
                <w:snapToGrid w:val="0"/>
                <w:color w:val="auto"/>
                <w:szCs w:val="22"/>
                <w:highlight w:val="none"/>
              </w:rPr>
              <w:t>1</w:t>
            </w:r>
            <w:r>
              <w:rPr>
                <w:rFonts w:hint="eastAsia" w:ascii="宋体"/>
                <w:bCs/>
                <w:snapToGrid w:val="0"/>
                <w:color w:val="auto"/>
                <w:szCs w:val="22"/>
                <w:highlight w:val="none"/>
              </w:rPr>
              <w:t>分，全部具备得</w:t>
            </w:r>
            <w:r>
              <w:rPr>
                <w:rFonts w:ascii="宋体"/>
                <w:bCs/>
                <w:snapToGrid w:val="0"/>
                <w:color w:val="auto"/>
                <w:szCs w:val="22"/>
                <w:highlight w:val="none"/>
              </w:rPr>
              <w:t>4</w:t>
            </w:r>
            <w:r>
              <w:rPr>
                <w:rFonts w:hint="eastAsia" w:ascii="宋体"/>
                <w:bCs/>
                <w:snapToGrid w:val="0"/>
                <w:color w:val="auto"/>
                <w:szCs w:val="22"/>
                <w:highlight w:val="none"/>
              </w:rPr>
              <w:t>分。</w:t>
            </w:r>
          </w:p>
        </w:tc>
      </w:tr>
      <w:tr>
        <w:tblPrEx>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6" w:hRule="atLeast"/>
          <w:jc w:val="center"/>
        </w:trPr>
        <w:tc>
          <w:tcPr>
            <w:tcW w:w="525" w:type="dxa"/>
            <w:vMerge w:val="continue"/>
            <w:noWrap w:val="0"/>
            <w:vAlign w:val="center"/>
          </w:tcPr>
          <w:p>
            <w:pPr>
              <w:widowControl/>
              <w:adjustRightInd w:val="0"/>
              <w:snapToGrid w:val="0"/>
              <w:jc w:val="center"/>
              <w:rPr>
                <w:rFonts w:ascii="新宋体" w:hAnsi="新宋体" w:eastAsia="新宋体" w:cs="新宋体"/>
                <w:color w:val="auto"/>
                <w:kern w:val="0"/>
                <w:szCs w:val="21"/>
                <w:highlight w:val="none"/>
              </w:rPr>
            </w:pPr>
          </w:p>
        </w:tc>
        <w:tc>
          <w:tcPr>
            <w:tcW w:w="2159" w:type="dxa"/>
            <w:gridSpan w:val="2"/>
            <w:vMerge w:val="continue"/>
            <w:noWrap w:val="0"/>
            <w:vAlign w:val="center"/>
          </w:tcPr>
          <w:p>
            <w:pPr>
              <w:jc w:val="center"/>
              <w:rPr>
                <w:rFonts w:hint="eastAsia" w:ascii="新宋体" w:hAnsi="新宋体" w:eastAsia="新宋体" w:cs="新宋体"/>
                <w:color w:val="auto"/>
                <w:szCs w:val="21"/>
                <w:highlight w:val="none"/>
              </w:rPr>
            </w:pPr>
          </w:p>
        </w:tc>
        <w:tc>
          <w:tcPr>
            <w:tcW w:w="659" w:type="dxa"/>
            <w:noWrap w:val="0"/>
            <w:vAlign w:val="center"/>
          </w:tcPr>
          <w:p>
            <w:pPr>
              <w:adjustRightInd w:val="0"/>
              <w:snapToGrid w:val="0"/>
              <w:jc w:val="center"/>
              <w:rPr>
                <w:rFonts w:ascii="新宋体" w:hAnsi="新宋体" w:eastAsia="新宋体" w:cs="新宋体"/>
                <w:color w:val="auto"/>
                <w:kern w:val="0"/>
                <w:szCs w:val="21"/>
                <w:highlight w:val="none"/>
              </w:rPr>
            </w:pPr>
            <w:r>
              <w:rPr>
                <w:rFonts w:ascii="新宋体" w:hAnsi="新宋体" w:eastAsia="新宋体" w:cs="新宋体"/>
                <w:color w:val="auto"/>
                <w:kern w:val="0"/>
                <w:szCs w:val="21"/>
                <w:highlight w:val="none"/>
              </w:rPr>
              <w:t>1</w:t>
            </w:r>
          </w:p>
        </w:tc>
        <w:tc>
          <w:tcPr>
            <w:tcW w:w="6095" w:type="dxa"/>
            <w:noWrap w:val="0"/>
            <w:vAlign w:val="center"/>
          </w:tcPr>
          <w:p>
            <w:pPr>
              <w:spacing w:line="280" w:lineRule="exact"/>
              <w:ind w:left="-50"/>
              <w:rPr>
                <w:rFonts w:hint="eastAsia" w:ascii="宋体" w:hAnsi="宋体"/>
                <w:color w:val="auto"/>
                <w:szCs w:val="21"/>
                <w:highlight w:val="none"/>
              </w:rPr>
            </w:pPr>
            <w:r>
              <w:rPr>
                <w:rFonts w:hint="eastAsia" w:ascii="宋体"/>
                <w:bCs/>
                <w:snapToGrid w:val="0"/>
                <w:color w:val="auto"/>
                <w:szCs w:val="22"/>
                <w:highlight w:val="none"/>
              </w:rPr>
              <w:t>具有软件能力成熟度CMMI3及以上认证得</w:t>
            </w:r>
            <w:r>
              <w:rPr>
                <w:rFonts w:ascii="宋体"/>
                <w:bCs/>
                <w:snapToGrid w:val="0"/>
                <w:color w:val="auto"/>
                <w:szCs w:val="22"/>
                <w:highlight w:val="none"/>
              </w:rPr>
              <w:t>1</w:t>
            </w:r>
            <w:r>
              <w:rPr>
                <w:rFonts w:hint="eastAsia" w:ascii="宋体"/>
                <w:bCs/>
                <w:snapToGrid w:val="0"/>
                <w:color w:val="auto"/>
                <w:szCs w:val="22"/>
                <w:highlight w:val="none"/>
              </w:rPr>
              <w:t>分；</w:t>
            </w:r>
            <w:r>
              <w:rPr>
                <w:rFonts w:hint="eastAsia" w:ascii="宋体" w:hAnsi="宋体"/>
                <w:color w:val="auto"/>
                <w:szCs w:val="21"/>
                <w:highlight w:val="none"/>
              </w:rPr>
              <w:t xml:space="preserve"> </w:t>
            </w:r>
          </w:p>
        </w:tc>
      </w:tr>
      <w:tr>
        <w:tblPrEx>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6" w:hRule="atLeast"/>
          <w:jc w:val="center"/>
        </w:trPr>
        <w:tc>
          <w:tcPr>
            <w:tcW w:w="525" w:type="dxa"/>
            <w:vMerge w:val="continue"/>
            <w:noWrap w:val="0"/>
            <w:vAlign w:val="center"/>
          </w:tcPr>
          <w:p>
            <w:pPr>
              <w:widowControl/>
              <w:adjustRightInd w:val="0"/>
              <w:snapToGrid w:val="0"/>
              <w:jc w:val="center"/>
              <w:rPr>
                <w:rFonts w:ascii="新宋体" w:hAnsi="新宋体" w:eastAsia="新宋体" w:cs="新宋体"/>
                <w:color w:val="auto"/>
                <w:kern w:val="0"/>
                <w:szCs w:val="21"/>
                <w:highlight w:val="none"/>
              </w:rPr>
            </w:pPr>
          </w:p>
        </w:tc>
        <w:tc>
          <w:tcPr>
            <w:tcW w:w="2159" w:type="dxa"/>
            <w:gridSpan w:val="2"/>
            <w:vMerge w:val="continue"/>
            <w:noWrap w:val="0"/>
            <w:vAlign w:val="center"/>
          </w:tcPr>
          <w:p>
            <w:pPr>
              <w:jc w:val="center"/>
              <w:rPr>
                <w:rFonts w:hint="eastAsia" w:ascii="新宋体" w:hAnsi="新宋体" w:eastAsia="新宋体" w:cs="新宋体"/>
                <w:color w:val="auto"/>
                <w:szCs w:val="21"/>
                <w:highlight w:val="none"/>
              </w:rPr>
            </w:pPr>
          </w:p>
        </w:tc>
        <w:tc>
          <w:tcPr>
            <w:tcW w:w="659" w:type="dxa"/>
            <w:noWrap w:val="0"/>
            <w:vAlign w:val="center"/>
          </w:tcPr>
          <w:p>
            <w:pPr>
              <w:adjustRightInd w:val="0"/>
              <w:snapToGrid w:val="0"/>
              <w:jc w:val="center"/>
              <w:rPr>
                <w:rFonts w:hint="eastAsia" w:ascii="新宋体" w:hAnsi="新宋体" w:eastAsia="新宋体" w:cs="新宋体"/>
                <w:color w:val="auto"/>
                <w:kern w:val="0"/>
                <w:szCs w:val="21"/>
                <w:highlight w:val="none"/>
              </w:rPr>
            </w:pPr>
            <w:r>
              <w:rPr>
                <w:rFonts w:ascii="新宋体" w:hAnsi="新宋体" w:eastAsia="新宋体" w:cs="新宋体"/>
                <w:color w:val="auto"/>
                <w:kern w:val="0"/>
                <w:szCs w:val="21"/>
                <w:highlight w:val="none"/>
              </w:rPr>
              <w:t>2</w:t>
            </w:r>
          </w:p>
        </w:tc>
        <w:tc>
          <w:tcPr>
            <w:tcW w:w="6095" w:type="dxa"/>
            <w:noWrap w:val="0"/>
            <w:vAlign w:val="center"/>
          </w:tcPr>
          <w:p>
            <w:pPr>
              <w:spacing w:line="280" w:lineRule="exact"/>
              <w:ind w:left="-50"/>
              <w:rPr>
                <w:rFonts w:hint="eastAsia" w:ascii="宋体"/>
                <w:bCs/>
                <w:snapToGrid w:val="0"/>
                <w:color w:val="auto"/>
                <w:szCs w:val="22"/>
                <w:highlight w:val="none"/>
              </w:rPr>
            </w:pPr>
            <w:r>
              <w:rPr>
                <w:rFonts w:hint="eastAsia" w:ascii="宋体"/>
                <w:bCs/>
                <w:snapToGrid w:val="0"/>
                <w:color w:val="auto"/>
                <w:szCs w:val="22"/>
                <w:highlight w:val="none"/>
              </w:rPr>
              <w:t>具有ITSS信息技术服务运行维护标准符合性证书得</w:t>
            </w:r>
            <w:r>
              <w:rPr>
                <w:rFonts w:ascii="宋体"/>
                <w:bCs/>
                <w:snapToGrid w:val="0"/>
                <w:color w:val="auto"/>
                <w:szCs w:val="22"/>
                <w:highlight w:val="none"/>
              </w:rPr>
              <w:t>2</w:t>
            </w:r>
            <w:r>
              <w:rPr>
                <w:rFonts w:hint="eastAsia" w:ascii="宋体"/>
                <w:bCs/>
                <w:snapToGrid w:val="0"/>
                <w:color w:val="auto"/>
                <w:szCs w:val="22"/>
                <w:highlight w:val="none"/>
              </w:rPr>
              <w:t>分。</w:t>
            </w:r>
          </w:p>
        </w:tc>
      </w:tr>
      <w:tr>
        <w:tblPrEx>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4" w:hRule="atLeast"/>
          <w:jc w:val="center"/>
        </w:trPr>
        <w:tc>
          <w:tcPr>
            <w:tcW w:w="525" w:type="dxa"/>
            <w:vMerge w:val="continue"/>
            <w:noWrap w:val="0"/>
            <w:vAlign w:val="center"/>
          </w:tcPr>
          <w:p>
            <w:pPr>
              <w:widowControl/>
              <w:adjustRightInd w:val="0"/>
              <w:snapToGrid w:val="0"/>
              <w:jc w:val="center"/>
              <w:rPr>
                <w:rFonts w:ascii="新宋体" w:hAnsi="新宋体" w:eastAsia="新宋体" w:cs="新宋体"/>
                <w:color w:val="auto"/>
                <w:kern w:val="0"/>
                <w:szCs w:val="21"/>
                <w:highlight w:val="none"/>
              </w:rPr>
            </w:pPr>
          </w:p>
        </w:tc>
        <w:tc>
          <w:tcPr>
            <w:tcW w:w="2159" w:type="dxa"/>
            <w:gridSpan w:val="2"/>
            <w:vMerge w:val="continue"/>
            <w:noWrap w:val="0"/>
            <w:vAlign w:val="center"/>
          </w:tcPr>
          <w:p>
            <w:pPr>
              <w:jc w:val="center"/>
              <w:rPr>
                <w:rFonts w:ascii="新宋体" w:hAnsi="新宋体" w:eastAsia="新宋体" w:cs="新宋体"/>
                <w:color w:val="auto"/>
                <w:szCs w:val="21"/>
                <w:highlight w:val="none"/>
              </w:rPr>
            </w:pPr>
          </w:p>
        </w:tc>
        <w:tc>
          <w:tcPr>
            <w:tcW w:w="659" w:type="dxa"/>
            <w:noWrap w:val="0"/>
            <w:vAlign w:val="center"/>
          </w:tcPr>
          <w:p>
            <w:pPr>
              <w:adjustRightInd w:val="0"/>
              <w:snapToGrid w:val="0"/>
              <w:jc w:val="center"/>
              <w:rPr>
                <w:rFonts w:ascii="新宋体" w:hAnsi="新宋体" w:eastAsia="新宋体" w:cs="新宋体"/>
                <w:color w:val="auto"/>
                <w:kern w:val="0"/>
                <w:szCs w:val="21"/>
                <w:highlight w:val="none"/>
              </w:rPr>
            </w:pPr>
            <w:r>
              <w:rPr>
                <w:rFonts w:ascii="新宋体" w:hAnsi="新宋体" w:eastAsia="新宋体" w:cs="新宋体"/>
                <w:color w:val="auto"/>
                <w:kern w:val="0"/>
                <w:szCs w:val="21"/>
                <w:highlight w:val="none"/>
              </w:rPr>
              <w:t>2</w:t>
            </w:r>
          </w:p>
        </w:tc>
        <w:tc>
          <w:tcPr>
            <w:tcW w:w="6095" w:type="dxa"/>
            <w:noWrap w:val="0"/>
            <w:vAlign w:val="center"/>
          </w:tcPr>
          <w:p>
            <w:pPr>
              <w:rPr>
                <w:rFonts w:ascii="宋体" w:hAnsi="宋体"/>
                <w:color w:val="auto"/>
                <w:szCs w:val="21"/>
                <w:highlight w:val="none"/>
              </w:rPr>
            </w:pPr>
            <w:r>
              <w:rPr>
                <w:rFonts w:hint="eastAsia" w:ascii="宋体" w:hAnsi="宋体" w:cs="宋体"/>
                <w:color w:val="auto"/>
                <w:kern w:val="0"/>
                <w:szCs w:val="21"/>
                <w:highlight w:val="none"/>
              </w:rPr>
              <w:t>具有地图编制和互联网地图服务乙级及以上资质证书，每项得1分，最高得2分。</w:t>
            </w:r>
          </w:p>
        </w:tc>
      </w:tr>
      <w:tr>
        <w:tblPrEx>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58" w:hRule="atLeast"/>
          <w:jc w:val="center"/>
        </w:trPr>
        <w:tc>
          <w:tcPr>
            <w:tcW w:w="525" w:type="dxa"/>
            <w:vMerge w:val="restart"/>
            <w:noWrap w:val="0"/>
            <w:vAlign w:val="center"/>
          </w:tcPr>
          <w:p>
            <w:pPr>
              <w:widowControl/>
              <w:adjustRightInd w:val="0"/>
              <w:snapToGrid w:val="0"/>
              <w:jc w:val="center"/>
              <w:rPr>
                <w:rFonts w:ascii="新宋体" w:hAnsi="新宋体" w:eastAsia="新宋体" w:cs="新宋体"/>
                <w:color w:val="auto"/>
                <w:kern w:val="0"/>
                <w:szCs w:val="21"/>
                <w:highlight w:val="none"/>
              </w:rPr>
            </w:pPr>
            <w:r>
              <w:rPr>
                <w:rFonts w:ascii="新宋体" w:hAnsi="新宋体" w:eastAsia="新宋体" w:cs="新宋体"/>
                <w:color w:val="auto"/>
                <w:kern w:val="0"/>
                <w:szCs w:val="21"/>
                <w:highlight w:val="none"/>
              </w:rPr>
              <w:t>6</w:t>
            </w:r>
          </w:p>
        </w:tc>
        <w:tc>
          <w:tcPr>
            <w:tcW w:w="2159" w:type="dxa"/>
            <w:gridSpan w:val="2"/>
            <w:vMerge w:val="restart"/>
            <w:noWrap w:val="0"/>
            <w:vAlign w:val="center"/>
          </w:tcPr>
          <w:p>
            <w:pPr>
              <w:jc w:val="center"/>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供应商</w:t>
            </w:r>
            <w:r>
              <w:rPr>
                <w:rFonts w:ascii="新宋体" w:hAnsi="新宋体" w:eastAsia="新宋体" w:cs="新宋体"/>
                <w:color w:val="auto"/>
                <w:szCs w:val="21"/>
                <w:highlight w:val="none"/>
              </w:rPr>
              <w:t>荣誉</w:t>
            </w:r>
            <w:r>
              <w:rPr>
                <w:rFonts w:hint="eastAsia" w:ascii="新宋体" w:hAnsi="新宋体" w:eastAsia="新宋体" w:cs="新宋体"/>
                <w:color w:val="auto"/>
                <w:szCs w:val="21"/>
                <w:highlight w:val="none"/>
              </w:rPr>
              <w:t>情况（</w:t>
            </w:r>
            <w:r>
              <w:rPr>
                <w:rFonts w:ascii="新宋体" w:hAnsi="新宋体" w:eastAsia="新宋体" w:cs="新宋体"/>
                <w:color w:val="auto"/>
                <w:szCs w:val="21"/>
                <w:highlight w:val="none"/>
              </w:rPr>
              <w:t>4</w:t>
            </w:r>
            <w:r>
              <w:rPr>
                <w:rFonts w:hint="eastAsia" w:ascii="新宋体" w:hAnsi="新宋体" w:eastAsia="新宋体" w:cs="新宋体"/>
                <w:color w:val="auto"/>
                <w:szCs w:val="21"/>
                <w:highlight w:val="none"/>
              </w:rPr>
              <w:t>分</w:t>
            </w:r>
            <w:r>
              <w:rPr>
                <w:rFonts w:ascii="新宋体" w:hAnsi="新宋体" w:eastAsia="新宋体" w:cs="新宋体"/>
                <w:color w:val="auto"/>
                <w:szCs w:val="21"/>
                <w:highlight w:val="none"/>
              </w:rPr>
              <w:t>）</w:t>
            </w:r>
          </w:p>
        </w:tc>
        <w:tc>
          <w:tcPr>
            <w:tcW w:w="659" w:type="dxa"/>
            <w:noWrap w:val="0"/>
            <w:vAlign w:val="center"/>
          </w:tcPr>
          <w:p>
            <w:pPr>
              <w:adjustRightInd w:val="0"/>
              <w:snapToGrid w:val="0"/>
              <w:jc w:val="center"/>
              <w:rPr>
                <w:rFonts w:ascii="新宋体" w:hAnsi="新宋体" w:eastAsia="新宋体" w:cs="新宋体"/>
                <w:color w:val="auto"/>
                <w:kern w:val="0"/>
                <w:szCs w:val="21"/>
                <w:highlight w:val="none"/>
              </w:rPr>
            </w:pPr>
            <w:r>
              <w:rPr>
                <w:rFonts w:ascii="新宋体" w:hAnsi="新宋体" w:eastAsia="新宋体" w:cs="新宋体"/>
                <w:color w:val="auto"/>
                <w:kern w:val="0"/>
                <w:szCs w:val="21"/>
                <w:highlight w:val="none"/>
              </w:rPr>
              <w:t>2</w:t>
            </w:r>
          </w:p>
        </w:tc>
        <w:tc>
          <w:tcPr>
            <w:tcW w:w="6095" w:type="dxa"/>
            <w:noWrap w:val="0"/>
            <w:vAlign w:val="center"/>
          </w:tcPr>
          <w:p>
            <w:pPr>
              <w:spacing w:line="280" w:lineRule="exact"/>
              <w:ind w:left="-50"/>
              <w:rPr>
                <w:rFonts w:ascii="宋体" w:hAnsi="宋体"/>
                <w:color w:val="auto"/>
                <w:szCs w:val="21"/>
                <w:highlight w:val="none"/>
              </w:rPr>
            </w:pPr>
            <w:r>
              <w:rPr>
                <w:rFonts w:hint="eastAsia" w:ascii="新宋体" w:hAnsi="新宋体" w:eastAsia="新宋体" w:cs="宋体"/>
                <w:color w:val="auto"/>
                <w:kern w:val="0"/>
                <w:szCs w:val="21"/>
                <w:highlight w:val="none"/>
              </w:rPr>
              <w:t>201</w:t>
            </w:r>
            <w:r>
              <w:rPr>
                <w:rFonts w:ascii="新宋体" w:hAnsi="新宋体" w:eastAsia="新宋体" w:cs="宋体"/>
                <w:color w:val="auto"/>
                <w:kern w:val="0"/>
                <w:szCs w:val="21"/>
                <w:highlight w:val="none"/>
              </w:rPr>
              <w:t>9</w:t>
            </w:r>
            <w:r>
              <w:rPr>
                <w:rFonts w:hint="eastAsia" w:ascii="新宋体" w:hAnsi="新宋体" w:eastAsia="新宋体" w:cs="宋体"/>
                <w:color w:val="auto"/>
                <w:kern w:val="0"/>
                <w:szCs w:val="21"/>
                <w:highlight w:val="none"/>
              </w:rPr>
              <w:t>年</w:t>
            </w:r>
            <w:r>
              <w:rPr>
                <w:rFonts w:ascii="新宋体" w:hAnsi="新宋体" w:eastAsia="新宋体" w:cs="宋体"/>
                <w:color w:val="auto"/>
                <w:kern w:val="0"/>
                <w:szCs w:val="21"/>
                <w:highlight w:val="none"/>
              </w:rPr>
              <w:t>7</w:t>
            </w:r>
            <w:r>
              <w:rPr>
                <w:rFonts w:hint="eastAsia" w:ascii="新宋体" w:hAnsi="新宋体" w:eastAsia="新宋体" w:cs="宋体"/>
                <w:color w:val="auto"/>
                <w:kern w:val="0"/>
                <w:szCs w:val="21"/>
                <w:highlight w:val="none"/>
              </w:rPr>
              <w:t>月1日（以证书日期为准）以来供应商项目成果获得过市级及以上政府部门颁发的荣誉奖项的二等奖及以上的，每提供一个得1分，最高得2分。</w:t>
            </w:r>
          </w:p>
          <w:p>
            <w:pPr>
              <w:spacing w:line="280" w:lineRule="exact"/>
              <w:ind w:left="-50"/>
              <w:rPr>
                <w:rFonts w:ascii="新宋体" w:hAnsi="新宋体" w:eastAsia="新宋体"/>
                <w:color w:val="auto"/>
                <w:szCs w:val="21"/>
                <w:highlight w:val="none"/>
              </w:rPr>
            </w:pPr>
            <w:r>
              <w:rPr>
                <w:rFonts w:hint="eastAsia" w:ascii="宋体" w:hAnsi="宋体"/>
                <w:b/>
                <w:bCs/>
                <w:color w:val="auto"/>
                <w:szCs w:val="21"/>
                <w:highlight w:val="none"/>
              </w:rPr>
              <w:t>提供相应的证明复印件加盖公章，否则不得分。</w:t>
            </w:r>
          </w:p>
        </w:tc>
      </w:tr>
      <w:tr>
        <w:tblPrEx>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58" w:hRule="atLeast"/>
          <w:jc w:val="center"/>
        </w:trPr>
        <w:tc>
          <w:tcPr>
            <w:tcW w:w="525" w:type="dxa"/>
            <w:vMerge w:val="continue"/>
            <w:noWrap w:val="0"/>
            <w:vAlign w:val="center"/>
          </w:tcPr>
          <w:p>
            <w:pPr>
              <w:widowControl/>
              <w:adjustRightInd w:val="0"/>
              <w:snapToGrid w:val="0"/>
              <w:jc w:val="center"/>
              <w:rPr>
                <w:rFonts w:ascii="新宋体" w:hAnsi="新宋体" w:eastAsia="新宋体" w:cs="新宋体"/>
                <w:color w:val="auto"/>
                <w:kern w:val="0"/>
                <w:szCs w:val="21"/>
                <w:highlight w:val="none"/>
              </w:rPr>
            </w:pPr>
          </w:p>
        </w:tc>
        <w:tc>
          <w:tcPr>
            <w:tcW w:w="2159" w:type="dxa"/>
            <w:gridSpan w:val="2"/>
            <w:vMerge w:val="continue"/>
            <w:noWrap w:val="0"/>
            <w:vAlign w:val="center"/>
          </w:tcPr>
          <w:p>
            <w:pPr>
              <w:jc w:val="center"/>
              <w:rPr>
                <w:rFonts w:hint="eastAsia" w:ascii="新宋体" w:hAnsi="新宋体" w:eastAsia="新宋体" w:cs="新宋体"/>
                <w:color w:val="auto"/>
                <w:szCs w:val="21"/>
                <w:highlight w:val="none"/>
              </w:rPr>
            </w:pPr>
          </w:p>
        </w:tc>
        <w:tc>
          <w:tcPr>
            <w:tcW w:w="659" w:type="dxa"/>
            <w:noWrap w:val="0"/>
            <w:vAlign w:val="center"/>
          </w:tcPr>
          <w:p>
            <w:pPr>
              <w:adjustRightInd w:val="0"/>
              <w:snapToGrid w:val="0"/>
              <w:jc w:val="center"/>
              <w:rPr>
                <w:rFonts w:ascii="新宋体" w:hAnsi="新宋体" w:eastAsia="新宋体" w:cs="新宋体"/>
                <w:color w:val="auto"/>
                <w:kern w:val="0"/>
                <w:szCs w:val="21"/>
                <w:highlight w:val="none"/>
              </w:rPr>
            </w:pPr>
            <w:r>
              <w:rPr>
                <w:rFonts w:hint="eastAsia" w:ascii="新宋体" w:hAnsi="新宋体" w:eastAsia="新宋体" w:cs="新宋体"/>
                <w:color w:val="auto"/>
                <w:kern w:val="0"/>
                <w:szCs w:val="21"/>
                <w:highlight w:val="none"/>
              </w:rPr>
              <w:t>2</w:t>
            </w:r>
          </w:p>
        </w:tc>
        <w:tc>
          <w:tcPr>
            <w:tcW w:w="6095" w:type="dxa"/>
            <w:noWrap w:val="0"/>
            <w:vAlign w:val="center"/>
          </w:tcPr>
          <w:p>
            <w:pPr>
              <w:spacing w:line="280" w:lineRule="exact"/>
              <w:ind w:left="-50"/>
              <w:rPr>
                <w:rFonts w:ascii="宋体" w:hAnsi="宋体"/>
                <w:color w:val="auto"/>
                <w:szCs w:val="21"/>
                <w:highlight w:val="none"/>
              </w:rPr>
            </w:pPr>
            <w:r>
              <w:rPr>
                <w:rFonts w:hint="eastAsia" w:ascii="宋体" w:hAnsi="宋体"/>
                <w:color w:val="auto"/>
                <w:szCs w:val="21"/>
                <w:highlight w:val="none"/>
              </w:rPr>
              <w:t>201</w:t>
            </w:r>
            <w:r>
              <w:rPr>
                <w:rFonts w:ascii="宋体" w:hAnsi="宋体"/>
                <w:color w:val="auto"/>
                <w:szCs w:val="21"/>
                <w:highlight w:val="none"/>
              </w:rPr>
              <w:t>9</w:t>
            </w:r>
            <w:r>
              <w:rPr>
                <w:rFonts w:hint="eastAsia" w:ascii="宋体" w:hAnsi="宋体"/>
                <w:color w:val="auto"/>
                <w:szCs w:val="21"/>
                <w:highlight w:val="none"/>
              </w:rPr>
              <w:t>年</w:t>
            </w:r>
            <w:r>
              <w:rPr>
                <w:rFonts w:ascii="宋体" w:hAnsi="宋体"/>
                <w:color w:val="auto"/>
                <w:szCs w:val="21"/>
                <w:highlight w:val="none"/>
              </w:rPr>
              <w:t>7</w:t>
            </w:r>
            <w:r>
              <w:rPr>
                <w:rFonts w:hint="eastAsia" w:ascii="宋体" w:hAnsi="宋体"/>
                <w:color w:val="auto"/>
                <w:szCs w:val="21"/>
                <w:highlight w:val="none"/>
              </w:rPr>
              <w:t>月1日（以证书日期为准）以来供应商测绘地理信息</w:t>
            </w:r>
            <w:r>
              <w:rPr>
                <w:rFonts w:ascii="宋体" w:hAnsi="宋体"/>
                <w:color w:val="auto"/>
                <w:szCs w:val="21"/>
                <w:highlight w:val="none"/>
              </w:rPr>
              <w:t>类项目</w:t>
            </w:r>
            <w:r>
              <w:rPr>
                <w:rFonts w:hint="eastAsia" w:ascii="宋体" w:hAnsi="宋体"/>
                <w:color w:val="auto"/>
                <w:szCs w:val="21"/>
                <w:highlight w:val="none"/>
              </w:rPr>
              <w:t>成果获得过国家级学会或协会颁发的优秀工程奖或科技进步奖荣誉，每个得</w:t>
            </w:r>
            <w:r>
              <w:rPr>
                <w:rFonts w:ascii="宋体" w:hAnsi="宋体"/>
                <w:color w:val="auto"/>
                <w:szCs w:val="21"/>
                <w:highlight w:val="none"/>
              </w:rPr>
              <w:t>1</w:t>
            </w:r>
            <w:r>
              <w:rPr>
                <w:rFonts w:hint="eastAsia" w:ascii="宋体" w:hAnsi="宋体"/>
                <w:color w:val="auto"/>
                <w:szCs w:val="21"/>
                <w:highlight w:val="none"/>
              </w:rPr>
              <w:t>分，最高得</w:t>
            </w:r>
            <w:r>
              <w:rPr>
                <w:rFonts w:ascii="宋体" w:hAnsi="宋体"/>
                <w:color w:val="auto"/>
                <w:szCs w:val="21"/>
                <w:highlight w:val="none"/>
              </w:rPr>
              <w:t>2</w:t>
            </w:r>
            <w:r>
              <w:rPr>
                <w:rFonts w:hint="eastAsia" w:ascii="宋体" w:hAnsi="宋体"/>
                <w:color w:val="auto"/>
                <w:szCs w:val="21"/>
                <w:highlight w:val="none"/>
              </w:rPr>
              <w:t>分。</w:t>
            </w:r>
          </w:p>
          <w:p>
            <w:pPr>
              <w:spacing w:line="280" w:lineRule="exact"/>
              <w:ind w:left="-50"/>
              <w:rPr>
                <w:rFonts w:hint="eastAsia" w:ascii="宋体" w:hAnsi="宋体"/>
                <w:color w:val="auto"/>
                <w:szCs w:val="21"/>
                <w:highlight w:val="none"/>
              </w:rPr>
            </w:pPr>
            <w:r>
              <w:rPr>
                <w:rFonts w:hint="eastAsia" w:ascii="宋体" w:hAnsi="宋体"/>
                <w:b/>
                <w:bCs/>
                <w:color w:val="auto"/>
                <w:szCs w:val="21"/>
                <w:highlight w:val="none"/>
              </w:rPr>
              <w:t>提供相应的证明复印件加盖公章，否则不得分。</w:t>
            </w:r>
          </w:p>
        </w:tc>
      </w:tr>
      <w:tr>
        <w:tblPrEx>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6" w:hRule="atLeast"/>
          <w:jc w:val="center"/>
        </w:trPr>
        <w:tc>
          <w:tcPr>
            <w:tcW w:w="525" w:type="dxa"/>
            <w:vMerge w:val="restart"/>
            <w:noWrap w:val="0"/>
            <w:vAlign w:val="center"/>
          </w:tcPr>
          <w:p>
            <w:pPr>
              <w:widowControl/>
              <w:adjustRightInd w:val="0"/>
              <w:snapToGrid w:val="0"/>
              <w:jc w:val="center"/>
              <w:rPr>
                <w:rFonts w:ascii="新宋体" w:hAnsi="新宋体" w:eastAsia="新宋体" w:cs="新宋体"/>
                <w:color w:val="auto"/>
                <w:kern w:val="0"/>
                <w:szCs w:val="21"/>
                <w:highlight w:val="none"/>
              </w:rPr>
            </w:pPr>
            <w:r>
              <w:rPr>
                <w:rFonts w:ascii="新宋体" w:hAnsi="新宋体" w:eastAsia="新宋体" w:cs="新宋体"/>
                <w:color w:val="auto"/>
                <w:kern w:val="0"/>
                <w:szCs w:val="21"/>
                <w:highlight w:val="none"/>
              </w:rPr>
              <w:t>7</w:t>
            </w:r>
          </w:p>
        </w:tc>
        <w:tc>
          <w:tcPr>
            <w:tcW w:w="2159" w:type="dxa"/>
            <w:gridSpan w:val="2"/>
            <w:vMerge w:val="restart"/>
            <w:noWrap w:val="0"/>
            <w:vAlign w:val="center"/>
          </w:tcPr>
          <w:p>
            <w:pPr>
              <w:jc w:val="center"/>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供应商类似</w:t>
            </w:r>
            <w:r>
              <w:rPr>
                <w:rFonts w:ascii="新宋体" w:hAnsi="新宋体" w:eastAsia="新宋体" w:cs="新宋体"/>
                <w:color w:val="auto"/>
                <w:szCs w:val="21"/>
                <w:highlight w:val="none"/>
              </w:rPr>
              <w:t>业绩</w:t>
            </w:r>
            <w:r>
              <w:rPr>
                <w:rFonts w:hint="eastAsia" w:ascii="新宋体" w:hAnsi="新宋体" w:eastAsia="新宋体" w:cs="新宋体"/>
                <w:color w:val="auto"/>
                <w:szCs w:val="21"/>
                <w:highlight w:val="none"/>
              </w:rPr>
              <w:t>（</w:t>
            </w:r>
            <w:r>
              <w:rPr>
                <w:rFonts w:ascii="新宋体" w:hAnsi="新宋体" w:eastAsia="新宋体" w:cs="新宋体"/>
                <w:color w:val="auto"/>
                <w:szCs w:val="21"/>
                <w:highlight w:val="none"/>
              </w:rPr>
              <w:t>1</w:t>
            </w:r>
            <w:r>
              <w:rPr>
                <w:rFonts w:hint="eastAsia" w:ascii="新宋体" w:hAnsi="新宋体" w:eastAsia="新宋体" w:cs="新宋体"/>
                <w:color w:val="auto"/>
                <w:szCs w:val="21"/>
                <w:highlight w:val="none"/>
              </w:rPr>
              <w:t>分</w:t>
            </w:r>
            <w:r>
              <w:rPr>
                <w:rFonts w:ascii="新宋体" w:hAnsi="新宋体" w:eastAsia="新宋体" w:cs="新宋体"/>
                <w:color w:val="auto"/>
                <w:szCs w:val="21"/>
                <w:highlight w:val="none"/>
              </w:rPr>
              <w:t>）</w:t>
            </w:r>
          </w:p>
        </w:tc>
        <w:tc>
          <w:tcPr>
            <w:tcW w:w="659" w:type="dxa"/>
            <w:noWrap w:val="0"/>
            <w:vAlign w:val="center"/>
          </w:tcPr>
          <w:p>
            <w:pPr>
              <w:adjustRightInd w:val="0"/>
              <w:snapToGrid w:val="0"/>
              <w:jc w:val="center"/>
              <w:rPr>
                <w:rFonts w:ascii="新宋体" w:hAnsi="新宋体" w:eastAsia="新宋体" w:cs="新宋体"/>
                <w:color w:val="auto"/>
                <w:kern w:val="0"/>
                <w:szCs w:val="21"/>
                <w:highlight w:val="none"/>
              </w:rPr>
            </w:pPr>
            <w:r>
              <w:rPr>
                <w:rFonts w:ascii="新宋体" w:hAnsi="新宋体" w:eastAsia="新宋体" w:cs="新宋体"/>
                <w:color w:val="auto"/>
                <w:kern w:val="0"/>
                <w:szCs w:val="21"/>
                <w:highlight w:val="none"/>
              </w:rPr>
              <w:t>0.5</w:t>
            </w:r>
          </w:p>
        </w:tc>
        <w:tc>
          <w:tcPr>
            <w:tcW w:w="6095" w:type="dxa"/>
            <w:noWrap w:val="0"/>
            <w:vAlign w:val="center"/>
          </w:tcPr>
          <w:p>
            <w:pPr>
              <w:spacing w:line="280" w:lineRule="exact"/>
              <w:ind w:left="-50"/>
              <w:jc w:val="left"/>
              <w:rPr>
                <w:rFonts w:ascii="宋体" w:hAnsi="宋体"/>
                <w:color w:val="auto"/>
                <w:szCs w:val="21"/>
                <w:highlight w:val="none"/>
              </w:rPr>
            </w:pPr>
            <w:r>
              <w:rPr>
                <w:rFonts w:hint="eastAsia" w:ascii="宋体" w:hAnsi="宋体"/>
                <w:color w:val="auto"/>
                <w:szCs w:val="21"/>
                <w:highlight w:val="none"/>
              </w:rPr>
              <w:t>201</w:t>
            </w:r>
            <w:r>
              <w:rPr>
                <w:rFonts w:ascii="宋体" w:hAnsi="宋体"/>
                <w:color w:val="auto"/>
                <w:szCs w:val="21"/>
                <w:highlight w:val="none"/>
              </w:rPr>
              <w:t>9</w:t>
            </w:r>
            <w:r>
              <w:rPr>
                <w:rFonts w:hint="eastAsia" w:ascii="宋体" w:hAnsi="宋体"/>
                <w:color w:val="auto"/>
                <w:szCs w:val="21"/>
                <w:highlight w:val="none"/>
              </w:rPr>
              <w:t>年</w:t>
            </w:r>
            <w:r>
              <w:rPr>
                <w:rFonts w:ascii="宋体" w:hAnsi="宋体"/>
                <w:color w:val="auto"/>
                <w:szCs w:val="21"/>
                <w:highlight w:val="none"/>
              </w:rPr>
              <w:t>7</w:t>
            </w:r>
            <w:r>
              <w:rPr>
                <w:rFonts w:hint="eastAsia" w:ascii="宋体" w:hAnsi="宋体"/>
                <w:color w:val="auto"/>
                <w:szCs w:val="21"/>
                <w:highlight w:val="none"/>
              </w:rPr>
              <w:t>月1日（以合同签订日期为准）以来承担过</w:t>
            </w:r>
            <w:r>
              <w:rPr>
                <w:rFonts w:ascii="宋体" w:hAnsi="宋体"/>
                <w:color w:val="auto"/>
                <w:szCs w:val="21"/>
                <w:highlight w:val="none"/>
              </w:rPr>
              <w:t>的</w:t>
            </w:r>
            <w:r>
              <w:rPr>
                <w:rFonts w:ascii="宋体" w:hAnsi="宋体"/>
                <w:color w:val="auto"/>
                <w:kern w:val="0"/>
                <w:szCs w:val="21"/>
                <w:highlight w:val="none"/>
              </w:rPr>
              <w:t>绿地</w:t>
            </w:r>
            <w:r>
              <w:rPr>
                <w:rFonts w:hint="eastAsia" w:ascii="宋体" w:hAnsi="宋体"/>
                <w:color w:val="auto"/>
                <w:kern w:val="0"/>
                <w:szCs w:val="21"/>
                <w:highlight w:val="none"/>
              </w:rPr>
              <w:t>调查</w:t>
            </w:r>
            <w:r>
              <w:rPr>
                <w:rFonts w:ascii="宋体" w:hAnsi="宋体"/>
                <w:color w:val="auto"/>
                <w:kern w:val="0"/>
                <w:szCs w:val="21"/>
                <w:highlight w:val="none"/>
              </w:rPr>
              <w:t>建库或监测</w:t>
            </w:r>
            <w:r>
              <w:rPr>
                <w:rFonts w:hint="eastAsia" w:ascii="宋体" w:hAnsi="宋体"/>
                <w:color w:val="auto"/>
                <w:kern w:val="0"/>
                <w:szCs w:val="21"/>
                <w:highlight w:val="none"/>
              </w:rPr>
              <w:t>类项目</w:t>
            </w:r>
            <w:r>
              <w:rPr>
                <w:rFonts w:hint="eastAsia" w:ascii="宋体" w:hAnsi="宋体"/>
                <w:color w:val="auto"/>
                <w:szCs w:val="21"/>
                <w:highlight w:val="none"/>
              </w:rPr>
              <w:t>得</w:t>
            </w:r>
            <w:r>
              <w:rPr>
                <w:rFonts w:ascii="宋体" w:hAnsi="宋体"/>
                <w:color w:val="auto"/>
                <w:szCs w:val="21"/>
                <w:highlight w:val="none"/>
              </w:rPr>
              <w:t>0.5</w:t>
            </w:r>
            <w:r>
              <w:rPr>
                <w:rFonts w:hint="eastAsia" w:ascii="宋体" w:hAnsi="宋体"/>
                <w:color w:val="auto"/>
                <w:szCs w:val="21"/>
                <w:highlight w:val="none"/>
              </w:rPr>
              <w:t>分。</w:t>
            </w:r>
          </w:p>
          <w:p>
            <w:pPr>
              <w:ind w:left="-51"/>
              <w:rPr>
                <w:rFonts w:ascii="新宋体" w:hAnsi="新宋体" w:eastAsia="新宋体"/>
                <w:color w:val="auto"/>
                <w:szCs w:val="21"/>
                <w:highlight w:val="none"/>
              </w:rPr>
            </w:pPr>
            <w:r>
              <w:rPr>
                <w:rFonts w:hint="eastAsia" w:ascii="宋体" w:hAnsi="宋体"/>
                <w:b/>
                <w:color w:val="auto"/>
                <w:szCs w:val="21"/>
                <w:highlight w:val="none"/>
              </w:rPr>
              <w:t>提供合同</w:t>
            </w:r>
            <w:r>
              <w:rPr>
                <w:rFonts w:hint="eastAsia" w:ascii="宋体" w:hAnsi="宋体"/>
                <w:b/>
                <w:bCs/>
                <w:color w:val="auto"/>
                <w:szCs w:val="21"/>
                <w:highlight w:val="none"/>
              </w:rPr>
              <w:t>复印件或</w:t>
            </w:r>
            <w:r>
              <w:rPr>
                <w:rFonts w:hint="eastAsia" w:ascii="宋体" w:hAnsi="宋体"/>
                <w:b/>
                <w:color w:val="auto"/>
                <w:szCs w:val="21"/>
                <w:highlight w:val="none"/>
              </w:rPr>
              <w:t>中标</w:t>
            </w:r>
            <w:r>
              <w:rPr>
                <w:rFonts w:ascii="宋体" w:hAnsi="宋体"/>
                <w:b/>
                <w:color w:val="auto"/>
                <w:szCs w:val="21"/>
                <w:highlight w:val="none"/>
              </w:rPr>
              <w:t>通知书</w:t>
            </w:r>
            <w:r>
              <w:rPr>
                <w:rFonts w:hint="eastAsia" w:ascii="宋体" w:hAnsi="宋体"/>
                <w:b/>
                <w:bCs/>
                <w:color w:val="auto"/>
                <w:szCs w:val="21"/>
                <w:highlight w:val="none"/>
              </w:rPr>
              <w:t>加盖公章，否则不得分。</w:t>
            </w:r>
          </w:p>
        </w:tc>
      </w:tr>
      <w:tr>
        <w:tblPrEx>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5" w:hRule="atLeast"/>
          <w:jc w:val="center"/>
        </w:trPr>
        <w:tc>
          <w:tcPr>
            <w:tcW w:w="525" w:type="dxa"/>
            <w:vMerge w:val="continue"/>
            <w:noWrap w:val="0"/>
            <w:vAlign w:val="center"/>
          </w:tcPr>
          <w:p>
            <w:pPr>
              <w:widowControl/>
              <w:adjustRightInd w:val="0"/>
              <w:snapToGrid w:val="0"/>
              <w:jc w:val="center"/>
              <w:rPr>
                <w:rFonts w:ascii="新宋体" w:hAnsi="新宋体" w:eastAsia="新宋体" w:cs="新宋体"/>
                <w:color w:val="auto"/>
                <w:kern w:val="0"/>
                <w:szCs w:val="21"/>
                <w:highlight w:val="none"/>
              </w:rPr>
            </w:pPr>
          </w:p>
        </w:tc>
        <w:tc>
          <w:tcPr>
            <w:tcW w:w="2159" w:type="dxa"/>
            <w:gridSpan w:val="2"/>
            <w:vMerge w:val="continue"/>
            <w:noWrap w:val="0"/>
            <w:vAlign w:val="center"/>
          </w:tcPr>
          <w:p>
            <w:pPr>
              <w:jc w:val="center"/>
              <w:rPr>
                <w:rFonts w:ascii="新宋体" w:hAnsi="新宋体" w:eastAsia="新宋体" w:cs="新宋体"/>
                <w:color w:val="auto"/>
                <w:szCs w:val="21"/>
                <w:highlight w:val="none"/>
              </w:rPr>
            </w:pPr>
          </w:p>
        </w:tc>
        <w:tc>
          <w:tcPr>
            <w:tcW w:w="659" w:type="dxa"/>
            <w:noWrap w:val="0"/>
            <w:vAlign w:val="center"/>
          </w:tcPr>
          <w:p>
            <w:pPr>
              <w:adjustRightInd w:val="0"/>
              <w:snapToGrid w:val="0"/>
              <w:jc w:val="center"/>
              <w:rPr>
                <w:rFonts w:ascii="新宋体" w:hAnsi="新宋体" w:eastAsia="新宋体" w:cs="新宋体"/>
                <w:color w:val="auto"/>
                <w:kern w:val="0"/>
                <w:szCs w:val="21"/>
                <w:highlight w:val="none"/>
              </w:rPr>
            </w:pPr>
            <w:r>
              <w:rPr>
                <w:rFonts w:ascii="新宋体" w:hAnsi="新宋体" w:eastAsia="新宋体" w:cs="新宋体"/>
                <w:color w:val="auto"/>
                <w:kern w:val="0"/>
                <w:szCs w:val="21"/>
                <w:highlight w:val="none"/>
              </w:rPr>
              <w:t>0.5</w:t>
            </w:r>
          </w:p>
        </w:tc>
        <w:tc>
          <w:tcPr>
            <w:tcW w:w="6095" w:type="dxa"/>
            <w:noWrap w:val="0"/>
            <w:vAlign w:val="center"/>
          </w:tcPr>
          <w:p>
            <w:pPr>
              <w:spacing w:line="280" w:lineRule="exact"/>
              <w:ind w:left="-50"/>
              <w:jc w:val="left"/>
              <w:rPr>
                <w:rFonts w:ascii="宋体" w:hAnsi="宋体"/>
                <w:color w:val="auto"/>
                <w:szCs w:val="21"/>
                <w:highlight w:val="none"/>
              </w:rPr>
            </w:pPr>
            <w:bookmarkStart w:id="38" w:name="_GoBack"/>
            <w:r>
              <w:rPr>
                <w:rFonts w:hint="eastAsia" w:ascii="宋体" w:hAnsi="宋体"/>
                <w:color w:val="auto"/>
                <w:szCs w:val="21"/>
                <w:highlight w:val="none"/>
              </w:rPr>
              <w:t>201</w:t>
            </w:r>
            <w:r>
              <w:rPr>
                <w:rFonts w:ascii="宋体" w:hAnsi="宋体"/>
                <w:color w:val="auto"/>
                <w:szCs w:val="21"/>
                <w:highlight w:val="none"/>
              </w:rPr>
              <w:t>9</w:t>
            </w:r>
            <w:r>
              <w:rPr>
                <w:rFonts w:hint="eastAsia" w:ascii="宋体" w:hAnsi="宋体"/>
                <w:color w:val="auto"/>
                <w:szCs w:val="21"/>
                <w:highlight w:val="none"/>
              </w:rPr>
              <w:t>年</w:t>
            </w:r>
            <w:r>
              <w:rPr>
                <w:rFonts w:ascii="宋体" w:hAnsi="宋体"/>
                <w:color w:val="auto"/>
                <w:szCs w:val="21"/>
                <w:highlight w:val="none"/>
              </w:rPr>
              <w:t>7</w:t>
            </w:r>
            <w:r>
              <w:rPr>
                <w:rFonts w:hint="eastAsia" w:ascii="宋体" w:hAnsi="宋体"/>
                <w:color w:val="auto"/>
                <w:szCs w:val="21"/>
                <w:highlight w:val="none"/>
              </w:rPr>
              <w:t>月1日（以合同签订日期为准）以来承担过</w:t>
            </w:r>
            <w:r>
              <w:rPr>
                <w:rFonts w:hint="eastAsia" w:ascii="宋体" w:hAnsi="宋体"/>
                <w:color w:val="auto"/>
                <w:kern w:val="0"/>
                <w:szCs w:val="21"/>
                <w:highlight w:val="none"/>
              </w:rPr>
              <w:t>智慧园林软件相关</w:t>
            </w:r>
            <w:r>
              <w:rPr>
                <w:rFonts w:ascii="宋体" w:hAnsi="宋体"/>
                <w:color w:val="auto"/>
                <w:kern w:val="0"/>
                <w:szCs w:val="21"/>
                <w:highlight w:val="none"/>
              </w:rPr>
              <w:t>项目</w:t>
            </w:r>
            <w:r>
              <w:rPr>
                <w:rFonts w:hint="eastAsia" w:ascii="宋体" w:hAnsi="宋体"/>
                <w:color w:val="auto"/>
                <w:kern w:val="0"/>
                <w:szCs w:val="21"/>
                <w:highlight w:val="none"/>
              </w:rPr>
              <w:t>，</w:t>
            </w:r>
            <w:r>
              <w:rPr>
                <w:rFonts w:hint="eastAsia" w:ascii="宋体" w:hAnsi="宋体"/>
                <w:color w:val="auto"/>
                <w:szCs w:val="21"/>
                <w:highlight w:val="none"/>
              </w:rPr>
              <w:t>得</w:t>
            </w:r>
            <w:r>
              <w:rPr>
                <w:rFonts w:ascii="宋体" w:hAnsi="宋体"/>
                <w:color w:val="auto"/>
                <w:szCs w:val="21"/>
                <w:highlight w:val="none"/>
              </w:rPr>
              <w:t>0.5</w:t>
            </w:r>
            <w:r>
              <w:rPr>
                <w:rFonts w:hint="eastAsia" w:ascii="宋体" w:hAnsi="宋体"/>
                <w:color w:val="auto"/>
                <w:szCs w:val="21"/>
                <w:highlight w:val="none"/>
              </w:rPr>
              <w:t>分。</w:t>
            </w:r>
          </w:p>
          <w:p>
            <w:pPr>
              <w:spacing w:line="280" w:lineRule="exact"/>
              <w:ind w:left="-50"/>
              <w:jc w:val="left"/>
              <w:rPr>
                <w:rFonts w:ascii="宋体" w:hAnsi="宋体"/>
                <w:color w:val="auto"/>
                <w:szCs w:val="21"/>
                <w:highlight w:val="none"/>
              </w:rPr>
            </w:pPr>
            <w:r>
              <w:rPr>
                <w:rFonts w:hint="eastAsia" w:ascii="宋体" w:hAnsi="宋体"/>
                <w:b/>
                <w:color w:val="auto"/>
                <w:szCs w:val="21"/>
                <w:highlight w:val="none"/>
              </w:rPr>
              <w:t>提供合同</w:t>
            </w:r>
            <w:r>
              <w:rPr>
                <w:rFonts w:hint="eastAsia" w:ascii="宋体" w:hAnsi="宋体"/>
                <w:b/>
                <w:bCs/>
                <w:color w:val="auto"/>
                <w:szCs w:val="21"/>
                <w:highlight w:val="none"/>
              </w:rPr>
              <w:t>复印件或</w:t>
            </w:r>
            <w:r>
              <w:rPr>
                <w:rFonts w:hint="eastAsia" w:ascii="宋体" w:hAnsi="宋体"/>
                <w:b/>
                <w:color w:val="auto"/>
                <w:szCs w:val="21"/>
                <w:highlight w:val="none"/>
              </w:rPr>
              <w:t>中标</w:t>
            </w:r>
            <w:r>
              <w:rPr>
                <w:rFonts w:ascii="宋体" w:hAnsi="宋体"/>
                <w:b/>
                <w:color w:val="auto"/>
                <w:szCs w:val="21"/>
                <w:highlight w:val="none"/>
              </w:rPr>
              <w:t>通知书</w:t>
            </w:r>
            <w:r>
              <w:rPr>
                <w:rFonts w:hint="eastAsia" w:ascii="宋体" w:hAnsi="宋体"/>
                <w:b/>
                <w:bCs/>
                <w:color w:val="auto"/>
                <w:szCs w:val="21"/>
                <w:highlight w:val="none"/>
              </w:rPr>
              <w:t>加盖公章，否则不得分。</w:t>
            </w:r>
            <w:bookmarkEnd w:id="38"/>
          </w:p>
        </w:tc>
      </w:tr>
      <w:tr>
        <w:tblPrEx>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9" w:hRule="atLeast"/>
          <w:jc w:val="center"/>
        </w:trPr>
        <w:tc>
          <w:tcPr>
            <w:tcW w:w="525" w:type="dxa"/>
            <w:vMerge w:val="continue"/>
            <w:noWrap w:val="0"/>
            <w:vAlign w:val="center"/>
          </w:tcPr>
          <w:p>
            <w:pPr>
              <w:widowControl/>
              <w:adjustRightInd w:val="0"/>
              <w:snapToGrid w:val="0"/>
              <w:jc w:val="center"/>
              <w:rPr>
                <w:rFonts w:ascii="新宋体" w:hAnsi="新宋体" w:eastAsia="新宋体" w:cs="新宋体"/>
                <w:color w:val="auto"/>
                <w:kern w:val="0"/>
                <w:szCs w:val="21"/>
                <w:highlight w:val="none"/>
              </w:rPr>
            </w:pPr>
          </w:p>
        </w:tc>
        <w:tc>
          <w:tcPr>
            <w:tcW w:w="2159" w:type="dxa"/>
            <w:gridSpan w:val="2"/>
            <w:vMerge w:val="continue"/>
            <w:noWrap w:val="0"/>
            <w:vAlign w:val="center"/>
          </w:tcPr>
          <w:p>
            <w:pPr>
              <w:jc w:val="center"/>
              <w:rPr>
                <w:rFonts w:ascii="新宋体" w:hAnsi="新宋体" w:eastAsia="新宋体" w:cs="新宋体"/>
                <w:color w:val="auto"/>
                <w:szCs w:val="21"/>
                <w:highlight w:val="none"/>
              </w:rPr>
            </w:pPr>
          </w:p>
        </w:tc>
        <w:tc>
          <w:tcPr>
            <w:tcW w:w="6754" w:type="dxa"/>
            <w:gridSpan w:val="2"/>
            <w:noWrap w:val="0"/>
            <w:vAlign w:val="center"/>
          </w:tcPr>
          <w:p>
            <w:pPr>
              <w:ind w:left="-50"/>
              <w:jc w:val="left"/>
              <w:rPr>
                <w:rFonts w:ascii="新宋体" w:hAnsi="新宋体" w:eastAsia="新宋体"/>
                <w:color w:val="auto"/>
                <w:szCs w:val="21"/>
                <w:highlight w:val="none"/>
              </w:rPr>
            </w:pPr>
            <w:r>
              <w:rPr>
                <w:rFonts w:hint="eastAsia" w:ascii="宋体" w:hAnsi="宋体"/>
                <w:b/>
                <w:color w:val="auto"/>
                <w:szCs w:val="21"/>
                <w:highlight w:val="none"/>
              </w:rPr>
              <w:t>以上项目业绩合同不能重复得分</w:t>
            </w:r>
            <w:r>
              <w:rPr>
                <w:rFonts w:hint="eastAsia" w:ascii="宋体" w:hAnsi="宋体"/>
                <w:b/>
                <w:bCs/>
                <w:color w:val="auto"/>
                <w:szCs w:val="21"/>
                <w:highlight w:val="none"/>
              </w:rPr>
              <w:t>。</w:t>
            </w:r>
          </w:p>
        </w:tc>
      </w:tr>
      <w:tr>
        <w:tblPrEx>
          <w:tblBorders>
            <w:top w:val="single" w:color="auto"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9" w:hRule="atLeast"/>
          <w:jc w:val="center"/>
        </w:trPr>
        <w:tc>
          <w:tcPr>
            <w:tcW w:w="9438" w:type="dxa"/>
            <w:gridSpan w:val="5"/>
            <w:noWrap w:val="0"/>
            <w:vAlign w:val="center"/>
          </w:tcPr>
          <w:p>
            <w:pPr>
              <w:ind w:left="-50"/>
              <w:jc w:val="left"/>
              <w:rPr>
                <w:rFonts w:hint="default" w:ascii="宋体" w:hAnsi="宋体" w:eastAsia="宋体"/>
                <w:b/>
                <w:color w:val="auto"/>
                <w:szCs w:val="21"/>
                <w:highlight w:val="none"/>
                <w:lang w:val="en-US" w:eastAsia="zh-CN"/>
              </w:rPr>
            </w:pPr>
            <w:r>
              <w:rPr>
                <w:rFonts w:hint="eastAsia" w:ascii="宋体" w:hAnsi="宋体"/>
                <w:b/>
                <w:color w:val="auto"/>
                <w:szCs w:val="21"/>
                <w:highlight w:val="none"/>
                <w:lang w:val="en-US" w:eastAsia="zh-CN"/>
              </w:rPr>
              <w:t>以上评分细则中要求提供的证书必须在有效期内</w:t>
            </w:r>
          </w:p>
        </w:tc>
      </w:tr>
    </w:tbl>
    <w:p>
      <w:pPr>
        <w:spacing w:line="460" w:lineRule="exact"/>
        <w:ind w:firstLine="541" w:firstLineChars="245"/>
        <w:rPr>
          <w:rFonts w:eastAsia="新宋体"/>
          <w:b/>
          <w:color w:val="auto"/>
          <w:sz w:val="22"/>
          <w:szCs w:val="22"/>
          <w:highlight w:val="none"/>
        </w:rPr>
      </w:pPr>
      <w:r>
        <w:rPr>
          <w:rFonts w:hint="eastAsia" w:eastAsia="新宋体"/>
          <w:b/>
          <w:color w:val="auto"/>
          <w:sz w:val="22"/>
          <w:szCs w:val="22"/>
          <w:highlight w:val="none"/>
        </w:rPr>
        <w:t>2、商务评分（15分）（权值15%）：</w:t>
      </w:r>
    </w:p>
    <w:p>
      <w:pPr>
        <w:spacing w:line="460" w:lineRule="exact"/>
        <w:ind w:firstLine="539" w:firstLineChars="245"/>
        <w:rPr>
          <w:rFonts w:eastAsia="新宋体"/>
          <w:color w:val="auto"/>
          <w:sz w:val="22"/>
          <w:szCs w:val="22"/>
          <w:highlight w:val="none"/>
        </w:rPr>
      </w:pPr>
      <w:r>
        <w:rPr>
          <w:rFonts w:hint="eastAsia" w:eastAsia="新宋体"/>
          <w:color w:val="auto"/>
          <w:sz w:val="22"/>
          <w:szCs w:val="22"/>
          <w:highlight w:val="none"/>
        </w:rPr>
        <w:t>满足招标文件要求且投标报价最低的投标报价为评标基准价，其余投标人投标报价与该基准价对比，计算出商务报价评分值（保留小数2位）：</w:t>
      </w:r>
    </w:p>
    <w:p>
      <w:pPr>
        <w:spacing w:line="460" w:lineRule="exact"/>
        <w:ind w:firstLine="539" w:firstLineChars="245"/>
        <w:rPr>
          <w:rFonts w:eastAsia="新宋体"/>
          <w:color w:val="auto"/>
          <w:sz w:val="22"/>
          <w:szCs w:val="22"/>
          <w:highlight w:val="none"/>
        </w:rPr>
      </w:pPr>
      <w:r>
        <w:rPr>
          <w:rFonts w:hint="eastAsia" w:eastAsia="新宋体"/>
          <w:color w:val="auto"/>
          <w:sz w:val="22"/>
          <w:szCs w:val="22"/>
          <w:highlight w:val="none"/>
        </w:rPr>
        <w:t>1）有效投标人的投标报价等于评标基准价时其报价分为满分15分；</w:t>
      </w:r>
    </w:p>
    <w:p>
      <w:pPr>
        <w:spacing w:line="460" w:lineRule="exact"/>
        <w:ind w:firstLine="539" w:firstLineChars="245"/>
        <w:rPr>
          <w:rFonts w:eastAsia="新宋体"/>
          <w:color w:val="auto"/>
          <w:sz w:val="22"/>
          <w:szCs w:val="22"/>
          <w:highlight w:val="none"/>
        </w:rPr>
      </w:pPr>
      <w:r>
        <w:rPr>
          <w:rFonts w:hint="eastAsia" w:eastAsia="新宋体"/>
          <w:color w:val="auto"/>
          <w:sz w:val="22"/>
          <w:szCs w:val="22"/>
          <w:highlight w:val="none"/>
        </w:rPr>
        <w:t>2）其他投标人的价格分按以下公式计算：</w:t>
      </w:r>
    </w:p>
    <w:p>
      <w:pPr>
        <w:spacing w:line="460" w:lineRule="exact"/>
        <w:ind w:firstLine="539" w:firstLineChars="245"/>
        <w:rPr>
          <w:rFonts w:hint="eastAsia" w:eastAsia="新宋体"/>
          <w:color w:val="auto"/>
          <w:sz w:val="22"/>
          <w:szCs w:val="22"/>
          <w:highlight w:val="none"/>
        </w:rPr>
      </w:pPr>
      <w:r>
        <w:rPr>
          <w:rFonts w:hint="eastAsia" w:eastAsia="新宋体"/>
          <w:color w:val="auto"/>
          <w:sz w:val="22"/>
          <w:szCs w:val="22"/>
          <w:highlight w:val="none"/>
        </w:rPr>
        <w:t>投标报价得分=（评分基准价/投标人投标报价）× 价格权值 ×100（保留小数2位）</w:t>
      </w:r>
    </w:p>
    <w:p>
      <w:pPr>
        <w:spacing w:line="460" w:lineRule="exact"/>
        <w:ind w:firstLine="539" w:firstLineChars="245"/>
        <w:rPr>
          <w:rFonts w:eastAsia="新宋体"/>
          <w:color w:val="auto"/>
          <w:sz w:val="22"/>
          <w:szCs w:val="22"/>
          <w:highlight w:val="none"/>
          <w:lang w:val="zh-CN"/>
        </w:rPr>
      </w:pPr>
      <w:r>
        <w:rPr>
          <w:rFonts w:hint="eastAsia" w:eastAsia="新宋体"/>
          <w:color w:val="auto"/>
          <w:sz w:val="22"/>
          <w:szCs w:val="22"/>
          <w:highlight w:val="none"/>
          <w:lang w:val="zh-CN"/>
        </w:rPr>
        <w:t>根据《政府采购促进中小企业发展暂行办法》（财库[2011]181号），对小型或微型企业参加投标且投标产品为小型或微型企业生产的，</w:t>
      </w:r>
      <w:r>
        <w:rPr>
          <w:rFonts w:hint="eastAsia" w:eastAsia="新宋体"/>
          <w:b/>
          <w:bCs/>
          <w:color w:val="auto"/>
          <w:sz w:val="22"/>
          <w:szCs w:val="22"/>
          <w:highlight w:val="none"/>
          <w:u w:val="single"/>
          <w:lang w:val="zh-CN"/>
        </w:rPr>
        <w:t>价格给予</w:t>
      </w:r>
      <w:r>
        <w:rPr>
          <w:rFonts w:hint="eastAsia" w:eastAsia="新宋体"/>
          <w:b/>
          <w:bCs/>
          <w:color w:val="auto"/>
          <w:sz w:val="22"/>
          <w:szCs w:val="22"/>
          <w:highlight w:val="none"/>
          <w:u w:val="single"/>
          <w:lang w:val="en-US" w:eastAsia="zh-CN"/>
        </w:rPr>
        <w:t>20</w:t>
      </w:r>
      <w:r>
        <w:rPr>
          <w:rFonts w:hint="eastAsia" w:eastAsia="新宋体"/>
          <w:b/>
          <w:bCs/>
          <w:color w:val="auto"/>
          <w:sz w:val="22"/>
          <w:szCs w:val="22"/>
          <w:highlight w:val="none"/>
          <w:u w:val="single"/>
          <w:lang w:val="zh-CN"/>
        </w:rPr>
        <w:t>%的扣除</w:t>
      </w:r>
      <w:r>
        <w:rPr>
          <w:rFonts w:hint="eastAsia" w:eastAsia="新宋体"/>
          <w:color w:val="auto"/>
          <w:sz w:val="22"/>
          <w:szCs w:val="22"/>
          <w:highlight w:val="none"/>
          <w:lang w:val="zh-CN"/>
        </w:rPr>
        <w:t>，用扣除后的价格参与价格评分。</w:t>
      </w:r>
    </w:p>
    <w:p>
      <w:pPr>
        <w:spacing w:line="460" w:lineRule="exact"/>
        <w:ind w:firstLine="539" w:firstLineChars="245"/>
        <w:rPr>
          <w:rFonts w:eastAsia="新宋体"/>
          <w:b w:val="0"/>
          <w:bCs/>
          <w:color w:val="auto"/>
          <w:sz w:val="22"/>
          <w:szCs w:val="22"/>
          <w:highlight w:val="none"/>
          <w:lang w:val="zh-CN"/>
        </w:rPr>
      </w:pPr>
      <w:r>
        <w:rPr>
          <w:rFonts w:hint="eastAsia" w:eastAsia="新宋体"/>
          <w:b w:val="0"/>
          <w:bCs/>
          <w:color w:val="auto"/>
          <w:sz w:val="22"/>
          <w:highlight w:val="none"/>
          <w:u w:val="single"/>
        </w:rPr>
        <w:t>▲</w:t>
      </w:r>
      <w:r>
        <w:rPr>
          <w:rFonts w:hint="eastAsia" w:eastAsia="新宋体"/>
          <w:b w:val="0"/>
          <w:bCs/>
          <w:color w:val="auto"/>
          <w:sz w:val="22"/>
          <w:szCs w:val="22"/>
          <w:highlight w:val="none"/>
          <w:u w:val="single"/>
          <w:lang w:val="zh-CN"/>
        </w:rPr>
        <w:t>同时符合以下所有要求的投标人被认定为小型、微型企业：</w:t>
      </w:r>
    </w:p>
    <w:p>
      <w:pPr>
        <w:spacing w:line="460" w:lineRule="exact"/>
        <w:ind w:firstLine="539" w:firstLineChars="245"/>
        <w:rPr>
          <w:rFonts w:eastAsia="新宋体"/>
          <w:b w:val="0"/>
          <w:bCs/>
          <w:color w:val="auto"/>
          <w:sz w:val="22"/>
          <w:szCs w:val="22"/>
          <w:highlight w:val="none"/>
          <w:lang w:val="zh-CN"/>
        </w:rPr>
      </w:pPr>
      <w:r>
        <w:rPr>
          <w:rFonts w:hint="eastAsia" w:eastAsia="新宋体"/>
          <w:b w:val="0"/>
          <w:bCs/>
          <w:color w:val="auto"/>
          <w:sz w:val="22"/>
          <w:szCs w:val="22"/>
          <w:highlight w:val="none"/>
          <w:lang w:val="zh-CN"/>
        </w:rPr>
        <w:t>①投标人及投标产品生产企业按照《关于印发中小企业划型标准规定的通知》（工信部联企业〔2011〕300号）的所属行业规定为小型、微型企业。</w:t>
      </w:r>
    </w:p>
    <w:p>
      <w:pPr>
        <w:spacing w:line="460" w:lineRule="exact"/>
        <w:ind w:firstLine="539" w:firstLineChars="245"/>
        <w:rPr>
          <w:rFonts w:eastAsia="新宋体"/>
          <w:b w:val="0"/>
          <w:bCs/>
          <w:color w:val="auto"/>
          <w:sz w:val="22"/>
          <w:szCs w:val="22"/>
          <w:highlight w:val="none"/>
          <w:u w:val="single"/>
          <w:lang w:val="zh-CN"/>
        </w:rPr>
      </w:pPr>
      <w:r>
        <w:rPr>
          <w:rFonts w:hint="eastAsia" w:eastAsia="新宋体"/>
          <w:b w:val="0"/>
          <w:bCs/>
          <w:color w:val="auto"/>
          <w:sz w:val="22"/>
          <w:szCs w:val="22"/>
          <w:highlight w:val="none"/>
          <w:u w:val="single"/>
          <w:lang w:val="zh-CN"/>
        </w:rPr>
        <w:t>投标文件中必须提供《中小企业声明函》、《关于印发中小企业划型标准规定的通知》（工信部联企业〔2011〕300号）。</w:t>
      </w:r>
    </w:p>
    <w:p>
      <w:pPr>
        <w:spacing w:line="460" w:lineRule="exact"/>
        <w:ind w:firstLine="539" w:firstLineChars="245"/>
        <w:rPr>
          <w:rFonts w:eastAsia="新宋体"/>
          <w:b w:val="0"/>
          <w:bCs/>
          <w:color w:val="auto"/>
          <w:sz w:val="22"/>
          <w:szCs w:val="22"/>
          <w:highlight w:val="none"/>
          <w:u w:val="single"/>
          <w:lang w:val="zh-CN"/>
        </w:rPr>
      </w:pPr>
      <w:r>
        <w:rPr>
          <w:rFonts w:hint="eastAsia" w:eastAsia="新宋体"/>
          <w:b w:val="0"/>
          <w:bCs/>
          <w:color w:val="auto"/>
          <w:sz w:val="22"/>
          <w:szCs w:val="22"/>
          <w:highlight w:val="none"/>
          <w:u w:val="single"/>
          <w:lang w:val="zh-CN"/>
        </w:rPr>
        <w:t>必须提供</w:t>
      </w:r>
      <w:r>
        <w:rPr>
          <w:rFonts w:hint="eastAsia" w:eastAsia="新宋体"/>
          <w:b w:val="0"/>
          <w:bCs/>
          <w:color w:val="auto"/>
          <w:sz w:val="22"/>
          <w:szCs w:val="22"/>
          <w:highlight w:val="none"/>
          <w:u w:val="single"/>
        </w:rPr>
        <w:t>投标人、</w:t>
      </w:r>
      <w:r>
        <w:rPr>
          <w:rFonts w:hint="eastAsia" w:eastAsia="新宋体"/>
          <w:b w:val="0"/>
          <w:bCs/>
          <w:color w:val="auto"/>
          <w:sz w:val="22"/>
          <w:szCs w:val="22"/>
          <w:highlight w:val="none"/>
          <w:u w:val="single"/>
          <w:lang w:val="zh-CN"/>
        </w:rPr>
        <w:t>投标产品生产企业为小型、微型企业</w:t>
      </w:r>
      <w:r>
        <w:rPr>
          <w:rFonts w:hint="eastAsia" w:eastAsia="新宋体"/>
          <w:b w:val="0"/>
          <w:bCs/>
          <w:color w:val="auto"/>
          <w:sz w:val="22"/>
          <w:szCs w:val="22"/>
          <w:highlight w:val="none"/>
          <w:u w:val="single"/>
        </w:rPr>
        <w:t>与</w:t>
      </w:r>
      <w:r>
        <w:rPr>
          <w:rFonts w:hint="eastAsia" w:eastAsia="新宋体"/>
          <w:b w:val="0"/>
          <w:bCs/>
          <w:color w:val="auto"/>
          <w:sz w:val="22"/>
          <w:szCs w:val="22"/>
          <w:highlight w:val="none"/>
          <w:u w:val="single"/>
          <w:lang w:val="zh-CN"/>
        </w:rPr>
        <w:t>《关于印发中小企业划型标准规定的通知》（工信部联企业〔2011〕300号）</w:t>
      </w:r>
      <w:r>
        <w:rPr>
          <w:rFonts w:hint="eastAsia" w:eastAsia="新宋体"/>
          <w:b w:val="0"/>
          <w:bCs/>
          <w:color w:val="auto"/>
          <w:sz w:val="22"/>
          <w:szCs w:val="22"/>
          <w:highlight w:val="none"/>
          <w:u w:val="single"/>
        </w:rPr>
        <w:t>规定所属行业</w:t>
      </w:r>
      <w:r>
        <w:rPr>
          <w:rFonts w:hint="eastAsia" w:eastAsia="新宋体"/>
          <w:b w:val="0"/>
          <w:bCs/>
          <w:color w:val="auto"/>
          <w:sz w:val="22"/>
          <w:szCs w:val="22"/>
          <w:highlight w:val="none"/>
          <w:u w:val="single"/>
          <w:lang w:val="zh-CN"/>
        </w:rPr>
        <w:t>为小型、微型企业</w:t>
      </w:r>
      <w:r>
        <w:rPr>
          <w:rFonts w:hint="eastAsia" w:eastAsia="新宋体"/>
          <w:b w:val="0"/>
          <w:bCs/>
          <w:color w:val="auto"/>
          <w:sz w:val="22"/>
          <w:szCs w:val="22"/>
          <w:highlight w:val="none"/>
          <w:u w:val="single"/>
        </w:rPr>
        <w:t>标准要求对应的</w:t>
      </w:r>
      <w:r>
        <w:rPr>
          <w:rFonts w:hint="eastAsia" w:eastAsia="新宋体"/>
          <w:b w:val="0"/>
          <w:bCs/>
          <w:color w:val="auto"/>
          <w:sz w:val="22"/>
          <w:szCs w:val="22"/>
          <w:highlight w:val="none"/>
          <w:u w:val="single"/>
          <w:lang w:val="zh-CN"/>
        </w:rPr>
        <w:t>相关充分证明材料；</w:t>
      </w:r>
    </w:p>
    <w:p>
      <w:pPr>
        <w:spacing w:line="460" w:lineRule="exact"/>
        <w:ind w:firstLine="539" w:firstLineChars="245"/>
        <w:rPr>
          <w:rFonts w:eastAsia="新宋体"/>
          <w:b w:val="0"/>
          <w:bCs/>
          <w:color w:val="auto"/>
          <w:sz w:val="22"/>
          <w:szCs w:val="22"/>
          <w:highlight w:val="none"/>
          <w:u w:val="single"/>
        </w:rPr>
      </w:pPr>
      <w:r>
        <w:rPr>
          <w:rFonts w:hint="eastAsia" w:eastAsia="新宋体"/>
          <w:b w:val="0"/>
          <w:bCs/>
          <w:color w:val="auto"/>
          <w:sz w:val="22"/>
          <w:szCs w:val="22"/>
          <w:highlight w:val="none"/>
          <w:u w:val="single"/>
        </w:rPr>
        <w:t>非单一产品采购项目以核心产品为准，应当根据采购项目技术构成、产品价格比重等合理确定核心产品。</w:t>
      </w:r>
    </w:p>
    <w:p>
      <w:pPr>
        <w:spacing w:line="460" w:lineRule="exact"/>
        <w:ind w:firstLine="539" w:firstLineChars="245"/>
        <w:rPr>
          <w:rFonts w:eastAsia="新宋体"/>
          <w:b w:val="0"/>
          <w:bCs/>
          <w:color w:val="auto"/>
          <w:sz w:val="22"/>
          <w:szCs w:val="22"/>
          <w:highlight w:val="none"/>
          <w:u w:val="single"/>
          <w:lang w:val="zh-CN"/>
        </w:rPr>
      </w:pPr>
      <w:r>
        <w:rPr>
          <w:rFonts w:hint="eastAsia" w:eastAsia="新宋体"/>
          <w:b w:val="0"/>
          <w:bCs/>
          <w:color w:val="auto"/>
          <w:sz w:val="22"/>
          <w:szCs w:val="22"/>
          <w:highlight w:val="none"/>
          <w:lang w:val="zh-CN"/>
        </w:rPr>
        <w:t>②投标人已通过浙江政府采购网申请注册并成为正式入库供应商</w:t>
      </w:r>
      <w:r>
        <w:rPr>
          <w:rFonts w:hint="eastAsia" w:eastAsia="新宋体"/>
          <w:b w:val="0"/>
          <w:bCs/>
          <w:color w:val="auto"/>
          <w:sz w:val="22"/>
          <w:szCs w:val="22"/>
          <w:highlight w:val="none"/>
          <w:u w:val="single"/>
          <w:lang w:val="zh-CN"/>
        </w:rPr>
        <w:t>并提供</w:t>
      </w:r>
      <w:r>
        <w:rPr>
          <w:rFonts w:hint="eastAsia" w:eastAsia="新宋体"/>
          <w:b w:val="0"/>
          <w:bCs/>
          <w:color w:val="auto"/>
          <w:sz w:val="22"/>
          <w:szCs w:val="22"/>
          <w:highlight w:val="none"/>
          <w:u w:val="single"/>
        </w:rPr>
        <w:t>注册为</w:t>
      </w:r>
      <w:r>
        <w:rPr>
          <w:rFonts w:hint="eastAsia" w:eastAsia="新宋体"/>
          <w:b w:val="0"/>
          <w:bCs/>
          <w:color w:val="auto"/>
          <w:sz w:val="22"/>
          <w:szCs w:val="22"/>
          <w:highlight w:val="none"/>
          <w:u w:val="single"/>
          <w:lang w:val="zh-CN"/>
        </w:rPr>
        <w:t>小型、微型企业证明材料</w:t>
      </w:r>
      <w:r>
        <w:rPr>
          <w:rFonts w:hint="eastAsia" w:eastAsia="新宋体"/>
          <w:b w:val="0"/>
          <w:bCs/>
          <w:color w:val="auto"/>
          <w:sz w:val="22"/>
          <w:szCs w:val="22"/>
          <w:highlight w:val="none"/>
          <w:lang w:val="zh-CN"/>
        </w:rPr>
        <w:t>。</w:t>
      </w:r>
    </w:p>
    <w:p>
      <w:pPr>
        <w:spacing w:line="460" w:lineRule="exact"/>
        <w:ind w:firstLine="539" w:firstLineChars="245"/>
        <w:rPr>
          <w:rFonts w:eastAsia="新宋体"/>
          <w:b w:val="0"/>
          <w:bCs/>
          <w:color w:val="auto"/>
          <w:sz w:val="22"/>
          <w:szCs w:val="22"/>
          <w:highlight w:val="none"/>
        </w:rPr>
      </w:pPr>
      <w:r>
        <w:rPr>
          <w:rFonts w:hint="eastAsia" w:eastAsia="新宋体"/>
          <w:b w:val="0"/>
          <w:bCs/>
          <w:color w:val="auto"/>
          <w:sz w:val="22"/>
          <w:szCs w:val="22"/>
          <w:highlight w:val="none"/>
          <w:lang w:val="zh-CN"/>
        </w:rPr>
        <w:t>监狱企业视同小微企业，其产品参加本项目投标的，享受小微企业同等的价格扣除。</w:t>
      </w:r>
    </w:p>
    <w:p>
      <w:pPr>
        <w:spacing w:line="460" w:lineRule="exact"/>
        <w:rPr>
          <w:rFonts w:eastAsia="新宋体"/>
          <w:b/>
          <w:color w:val="auto"/>
          <w:sz w:val="22"/>
          <w:highlight w:val="none"/>
          <w:u w:val="single"/>
        </w:rPr>
      </w:pPr>
      <w:r>
        <w:rPr>
          <w:rFonts w:hint="eastAsia" w:eastAsia="新宋体"/>
          <w:b/>
          <w:color w:val="auto"/>
          <w:sz w:val="22"/>
          <w:highlight w:val="none"/>
        </w:rPr>
        <w:t xml:space="preserve">    </w:t>
      </w:r>
      <w:r>
        <w:rPr>
          <w:rFonts w:hint="eastAsia" w:eastAsia="新宋体"/>
          <w:b/>
          <w:color w:val="auto"/>
          <w:sz w:val="24"/>
          <w:szCs w:val="28"/>
          <w:highlight w:val="none"/>
        </w:rPr>
        <w:t xml:space="preserve"> </w:t>
      </w:r>
      <w:r>
        <w:rPr>
          <w:rFonts w:hint="eastAsia" w:eastAsia="新宋体"/>
          <w:b/>
          <w:color w:val="auto"/>
          <w:sz w:val="24"/>
          <w:szCs w:val="28"/>
          <w:highlight w:val="none"/>
          <w:u w:val="single"/>
        </w:rPr>
        <w:t>3)</w:t>
      </w:r>
      <w:r>
        <w:rPr>
          <w:rFonts w:hint="eastAsia" w:eastAsia="新宋体"/>
          <w:b/>
          <w:color w:val="auto"/>
          <w:sz w:val="24"/>
          <w:szCs w:val="28"/>
          <w:highlight w:val="none"/>
          <w:u w:val="single"/>
          <w:lang w:val="en-US" w:eastAsia="zh-CN"/>
        </w:rPr>
        <w:t>最高限价</w:t>
      </w:r>
      <w:r>
        <w:rPr>
          <w:rFonts w:hint="eastAsia" w:eastAsia="新宋体"/>
          <w:b/>
          <w:color w:val="auto"/>
          <w:sz w:val="24"/>
          <w:szCs w:val="28"/>
          <w:highlight w:val="none"/>
          <w:u w:val="single"/>
        </w:rPr>
        <w:t>为</w:t>
      </w:r>
      <w:r>
        <w:rPr>
          <w:rFonts w:hint="eastAsia" w:eastAsia="新宋体"/>
          <w:b/>
          <w:color w:val="auto"/>
          <w:sz w:val="24"/>
          <w:szCs w:val="24"/>
          <w:highlight w:val="none"/>
          <w:u w:val="single"/>
        </w:rPr>
        <w:t>人民币</w:t>
      </w:r>
      <w:r>
        <w:rPr>
          <w:rFonts w:hint="eastAsia" w:eastAsia="新宋体"/>
          <w:b/>
          <w:color w:val="auto"/>
          <w:sz w:val="24"/>
          <w:szCs w:val="24"/>
          <w:highlight w:val="none"/>
          <w:u w:val="single"/>
          <w:lang w:val="en-US" w:eastAsia="zh-CN"/>
        </w:rPr>
        <w:t>贰佰捌拾捌万伍仟</w:t>
      </w:r>
      <w:r>
        <w:rPr>
          <w:rFonts w:hint="eastAsia" w:eastAsia="新宋体"/>
          <w:b/>
          <w:color w:val="auto"/>
          <w:sz w:val="24"/>
          <w:szCs w:val="24"/>
          <w:highlight w:val="none"/>
          <w:u w:val="single"/>
        </w:rPr>
        <w:t>元整（¥</w:t>
      </w:r>
      <w:r>
        <w:rPr>
          <w:rFonts w:hint="eastAsia" w:eastAsia="新宋体"/>
          <w:b/>
          <w:color w:val="auto"/>
          <w:sz w:val="24"/>
          <w:szCs w:val="24"/>
          <w:highlight w:val="none"/>
          <w:u w:val="single"/>
          <w:lang w:val="en-US" w:eastAsia="zh-CN"/>
        </w:rPr>
        <w:t xml:space="preserve"> 2885000</w:t>
      </w:r>
      <w:r>
        <w:rPr>
          <w:rFonts w:hint="eastAsia" w:eastAsia="新宋体"/>
          <w:b/>
          <w:color w:val="auto"/>
          <w:sz w:val="24"/>
          <w:szCs w:val="24"/>
          <w:highlight w:val="none"/>
          <w:u w:val="single"/>
        </w:rPr>
        <w:t>.00元）</w:t>
      </w:r>
      <w:r>
        <w:rPr>
          <w:rFonts w:hint="eastAsia" w:eastAsia="新宋体"/>
          <w:b/>
          <w:color w:val="auto"/>
          <w:sz w:val="24"/>
          <w:szCs w:val="28"/>
          <w:highlight w:val="none"/>
          <w:u w:val="single"/>
        </w:rPr>
        <w:t>, 如投标人报价超过</w:t>
      </w:r>
      <w:r>
        <w:rPr>
          <w:rFonts w:hint="eastAsia" w:eastAsia="新宋体"/>
          <w:b/>
          <w:color w:val="auto"/>
          <w:sz w:val="24"/>
          <w:szCs w:val="28"/>
          <w:highlight w:val="none"/>
          <w:u w:val="single"/>
          <w:lang w:val="en-US" w:eastAsia="zh-CN"/>
        </w:rPr>
        <w:t>最高限价</w:t>
      </w:r>
      <w:r>
        <w:rPr>
          <w:rFonts w:hint="eastAsia" w:eastAsia="新宋体"/>
          <w:b/>
          <w:color w:val="auto"/>
          <w:sz w:val="24"/>
          <w:szCs w:val="28"/>
          <w:highlight w:val="none"/>
          <w:u w:val="single"/>
        </w:rPr>
        <w:t>按无效标处理。</w:t>
      </w:r>
    </w:p>
    <w:p>
      <w:pPr>
        <w:spacing w:line="460" w:lineRule="exact"/>
        <w:ind w:firstLine="539" w:firstLineChars="245"/>
        <w:rPr>
          <w:rFonts w:eastAsia="新宋体"/>
          <w:color w:val="auto"/>
          <w:sz w:val="22"/>
          <w:szCs w:val="22"/>
          <w:highlight w:val="none"/>
        </w:rPr>
      </w:pPr>
      <w:r>
        <w:rPr>
          <w:rFonts w:hint="eastAsia" w:eastAsia="新宋体"/>
          <w:color w:val="auto"/>
          <w:sz w:val="22"/>
          <w:szCs w:val="22"/>
          <w:highlight w:val="none"/>
        </w:rPr>
        <w:t>3、有效投标人的综合得分为技术分和商务（报价）分的总和。</w:t>
      </w:r>
    </w:p>
    <w:p>
      <w:pPr>
        <w:spacing w:line="460" w:lineRule="exact"/>
        <w:ind w:firstLine="539" w:firstLineChars="245"/>
        <w:rPr>
          <w:rFonts w:eastAsia="新宋体"/>
          <w:color w:val="auto"/>
          <w:sz w:val="22"/>
          <w:szCs w:val="22"/>
          <w:highlight w:val="none"/>
        </w:rPr>
      </w:pPr>
      <w:r>
        <w:rPr>
          <w:rFonts w:hint="eastAsia" w:eastAsia="新宋体"/>
          <w:color w:val="auto"/>
          <w:sz w:val="22"/>
          <w:szCs w:val="22"/>
          <w:highlight w:val="none"/>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60" w:lineRule="exact"/>
        <w:ind w:firstLine="541" w:firstLineChars="245"/>
        <w:rPr>
          <w:rFonts w:eastAsia="新宋体"/>
          <w:b/>
          <w:color w:val="auto"/>
          <w:sz w:val="22"/>
          <w:szCs w:val="22"/>
          <w:highlight w:val="none"/>
        </w:rPr>
      </w:pPr>
      <w:r>
        <w:rPr>
          <w:rFonts w:hint="eastAsia" w:eastAsia="新宋体"/>
          <w:b/>
          <w:color w:val="auto"/>
          <w:sz w:val="22"/>
          <w:szCs w:val="22"/>
          <w:highlight w:val="none"/>
        </w:rPr>
        <w:t>六、定标办法</w:t>
      </w:r>
    </w:p>
    <w:p>
      <w:pPr>
        <w:spacing w:line="460" w:lineRule="exact"/>
        <w:ind w:firstLine="539" w:firstLineChars="245"/>
        <w:rPr>
          <w:rFonts w:eastAsia="新宋体"/>
          <w:b/>
          <w:color w:val="auto"/>
          <w:sz w:val="22"/>
          <w:szCs w:val="22"/>
          <w:highlight w:val="none"/>
        </w:rPr>
      </w:pPr>
      <w:r>
        <w:rPr>
          <w:rFonts w:hint="eastAsia" w:eastAsia="新宋体"/>
          <w:color w:val="auto"/>
          <w:sz w:val="22"/>
          <w:szCs w:val="22"/>
          <w:highlight w:val="none"/>
        </w:rPr>
        <w:t>1</w:t>
      </w:r>
      <w:r>
        <w:rPr>
          <w:rFonts w:hint="eastAsia" w:eastAsia="新宋体" w:cs="宋体"/>
          <w:color w:val="auto"/>
          <w:kern w:val="0"/>
          <w:sz w:val="22"/>
          <w:szCs w:val="22"/>
          <w:highlight w:val="none"/>
        </w:rPr>
        <w:t>、</w:t>
      </w:r>
      <w:r>
        <w:rPr>
          <w:rFonts w:hint="eastAsia" w:eastAsia="新宋体"/>
          <w:color w:val="auto"/>
          <w:sz w:val="22"/>
          <w:szCs w:val="22"/>
          <w:highlight w:val="none"/>
        </w:rPr>
        <w:t>确定中标候选人</w:t>
      </w:r>
    </w:p>
    <w:p>
      <w:pPr>
        <w:spacing w:line="460" w:lineRule="exact"/>
        <w:ind w:firstLine="539" w:firstLineChars="245"/>
        <w:rPr>
          <w:rFonts w:eastAsia="新宋体"/>
          <w:color w:val="auto"/>
          <w:sz w:val="22"/>
          <w:szCs w:val="22"/>
          <w:highlight w:val="none"/>
        </w:rPr>
      </w:pPr>
      <w:r>
        <w:rPr>
          <w:rFonts w:hint="eastAsia" w:eastAsia="新宋体"/>
          <w:color w:val="auto"/>
          <w:sz w:val="22"/>
          <w:szCs w:val="22"/>
          <w:highlight w:val="none"/>
        </w:rPr>
        <w:t>1.1由评标委员会确定中标候选人。</w:t>
      </w:r>
    </w:p>
    <w:p>
      <w:pPr>
        <w:spacing w:line="460" w:lineRule="exact"/>
        <w:ind w:firstLine="539" w:firstLineChars="245"/>
        <w:rPr>
          <w:rFonts w:eastAsia="新宋体"/>
          <w:color w:val="auto"/>
          <w:sz w:val="22"/>
          <w:szCs w:val="22"/>
          <w:highlight w:val="none"/>
        </w:rPr>
      </w:pPr>
      <w:r>
        <w:rPr>
          <w:rFonts w:hint="eastAsia" w:eastAsia="新宋体"/>
          <w:color w:val="auto"/>
          <w:sz w:val="22"/>
          <w:szCs w:val="22"/>
          <w:highlight w:val="none"/>
        </w:rPr>
        <w:t>1.2评标委员会依据法律、法规及招标文件有关规定按评审后得分（即技术分与商务分之和）由高到低顺序排序，得分前二名的投标人确定为该项目的第一和第二中标候选人（得分相同投标报价低的排序第一；得分且投标报价相同的，技术指标优的排序第一）向招标人推荐。</w:t>
      </w:r>
    </w:p>
    <w:p>
      <w:pPr>
        <w:spacing w:line="460" w:lineRule="exact"/>
        <w:ind w:firstLine="541" w:firstLineChars="245"/>
        <w:rPr>
          <w:rFonts w:eastAsia="新宋体"/>
          <w:b/>
          <w:bCs/>
          <w:color w:val="auto"/>
          <w:sz w:val="22"/>
          <w:szCs w:val="22"/>
          <w:highlight w:val="none"/>
        </w:rPr>
      </w:pPr>
      <w:r>
        <w:rPr>
          <w:rFonts w:hint="eastAsia" w:eastAsia="新宋体"/>
          <w:b/>
          <w:bCs/>
          <w:color w:val="auto"/>
          <w:sz w:val="22"/>
          <w:szCs w:val="22"/>
          <w:highlight w:val="none"/>
        </w:rPr>
        <w:t>2、确定中标人</w:t>
      </w:r>
    </w:p>
    <w:p>
      <w:pPr>
        <w:spacing w:line="460" w:lineRule="exact"/>
        <w:rPr>
          <w:rFonts w:eastAsia="新宋体"/>
          <w:b/>
          <w:bCs/>
          <w:color w:val="auto"/>
          <w:sz w:val="22"/>
          <w:szCs w:val="22"/>
          <w:highlight w:val="none"/>
        </w:rPr>
      </w:pPr>
      <w:r>
        <w:rPr>
          <w:rFonts w:hint="eastAsia" w:eastAsia="新宋体"/>
          <w:b/>
          <w:bCs/>
          <w:color w:val="auto"/>
          <w:sz w:val="22"/>
          <w:szCs w:val="22"/>
          <w:highlight w:val="none"/>
        </w:rPr>
        <w:t xml:space="preserve">     2.1招标人按照评标报告中推荐的中标候选供应商顺序确定中标人；也可以事先授权评标委员会按照推荐的中标候选供应商顺序直接确定中标人。</w:t>
      </w:r>
    </w:p>
    <w:p>
      <w:pPr>
        <w:spacing w:line="460" w:lineRule="exact"/>
        <w:ind w:firstLine="539" w:firstLineChars="245"/>
        <w:rPr>
          <w:rFonts w:eastAsia="新宋体"/>
          <w:color w:val="auto"/>
          <w:sz w:val="22"/>
          <w:szCs w:val="22"/>
          <w:highlight w:val="none"/>
        </w:rPr>
      </w:pPr>
      <w:r>
        <w:rPr>
          <w:rFonts w:hint="eastAsia" w:eastAsia="新宋体"/>
          <w:color w:val="auto"/>
          <w:sz w:val="22"/>
          <w:szCs w:val="22"/>
          <w:highlight w:val="none"/>
        </w:rPr>
        <w:t>2.2</w:t>
      </w:r>
      <w:r>
        <w:rPr>
          <w:rFonts w:eastAsia="新宋体"/>
          <w:color w:val="auto"/>
          <w:sz w:val="22"/>
          <w:szCs w:val="22"/>
          <w:highlight w:val="none"/>
        </w:rPr>
        <w:t>如中标人放弃中标</w:t>
      </w:r>
      <w:r>
        <w:rPr>
          <w:rFonts w:hint="eastAsia" w:eastAsia="新宋体"/>
          <w:color w:val="auto"/>
          <w:sz w:val="22"/>
          <w:szCs w:val="22"/>
          <w:highlight w:val="none"/>
        </w:rPr>
        <w:t>；或未能在规定时间内与采购单位签订合同的；或者经质疑，招标人审查后，确因排名第一的候选人在本次采购活动中存在违法违规行为或其他原因使质疑成立的，招标人可以视情况直接确定排名第二的候选人为中标人</w:t>
      </w:r>
      <w:r>
        <w:rPr>
          <w:rFonts w:eastAsia="新宋体"/>
          <w:color w:val="auto"/>
          <w:sz w:val="22"/>
          <w:szCs w:val="22"/>
          <w:highlight w:val="none"/>
        </w:rPr>
        <w:t>。如第二中标候选人因前款规定的同样原因不能签订合同的，本次招标失败，重新组织招标。</w:t>
      </w:r>
    </w:p>
    <w:p>
      <w:pPr>
        <w:spacing w:line="460" w:lineRule="exact"/>
        <w:ind w:firstLine="539" w:firstLineChars="245"/>
        <w:rPr>
          <w:rFonts w:eastAsia="新宋体"/>
          <w:color w:val="auto"/>
          <w:sz w:val="22"/>
          <w:szCs w:val="22"/>
          <w:highlight w:val="none"/>
        </w:rPr>
      </w:pPr>
      <w:r>
        <w:rPr>
          <w:rFonts w:hint="eastAsia" w:eastAsia="新宋体"/>
          <w:color w:val="auto"/>
          <w:sz w:val="22"/>
          <w:szCs w:val="22"/>
          <w:highlight w:val="none"/>
        </w:rPr>
        <w:t>3</w:t>
      </w:r>
      <w:r>
        <w:rPr>
          <w:rFonts w:hint="eastAsia" w:eastAsia="新宋体" w:cs="宋体"/>
          <w:color w:val="auto"/>
          <w:kern w:val="0"/>
          <w:sz w:val="22"/>
          <w:szCs w:val="22"/>
          <w:highlight w:val="none"/>
        </w:rPr>
        <w:t>、</w:t>
      </w:r>
      <w:r>
        <w:rPr>
          <w:rFonts w:hint="eastAsia" w:eastAsia="新宋体"/>
          <w:color w:val="auto"/>
          <w:sz w:val="22"/>
          <w:szCs w:val="22"/>
          <w:highlight w:val="none"/>
        </w:rPr>
        <w:t>中标人确定后，招标人将在政府指定媒体公告中标结果，招标人向中标人发出中标通知书。</w:t>
      </w:r>
    </w:p>
    <w:p>
      <w:pPr>
        <w:spacing w:line="460" w:lineRule="exact"/>
        <w:ind w:firstLine="541" w:firstLineChars="245"/>
        <w:rPr>
          <w:rFonts w:eastAsia="新宋体"/>
          <w:b/>
          <w:color w:val="auto"/>
          <w:sz w:val="22"/>
          <w:szCs w:val="22"/>
          <w:highlight w:val="none"/>
        </w:rPr>
      </w:pPr>
      <w:r>
        <w:rPr>
          <w:rFonts w:hint="eastAsia" w:eastAsia="新宋体"/>
          <w:b/>
          <w:color w:val="auto"/>
          <w:sz w:val="22"/>
          <w:szCs w:val="22"/>
          <w:highlight w:val="none"/>
        </w:rPr>
        <w:t>七、投标人义务</w:t>
      </w:r>
    </w:p>
    <w:p>
      <w:pPr>
        <w:spacing w:line="360" w:lineRule="auto"/>
        <w:ind w:left="439" w:leftChars="209"/>
        <w:rPr>
          <w:rFonts w:eastAsia="新宋体"/>
          <w:color w:val="auto"/>
          <w:sz w:val="22"/>
          <w:szCs w:val="22"/>
          <w:highlight w:val="none"/>
        </w:rPr>
      </w:pPr>
      <w:r>
        <w:rPr>
          <w:rFonts w:hint="eastAsia" w:eastAsia="新宋体"/>
          <w:color w:val="auto"/>
          <w:sz w:val="22"/>
          <w:szCs w:val="22"/>
          <w:highlight w:val="none"/>
        </w:rPr>
        <w:t>投标人应随时接受评标委员会的询标，解答包括有关的商务、技术问题等。评标结束，所有评标资料存招标机构备查。</w:t>
      </w:r>
    </w:p>
    <w:bookmarkEnd w:id="11"/>
    <w:bookmarkEnd w:id="12"/>
    <w:bookmarkEnd w:id="13"/>
    <w:bookmarkEnd w:id="14"/>
    <w:bookmarkEnd w:id="15"/>
    <w:bookmarkEnd w:id="16"/>
    <w:bookmarkEnd w:id="17"/>
    <w:p>
      <w:pPr>
        <w:rPr>
          <w:rFonts w:ascii="宋体" w:hAnsi="宋体"/>
          <w:color w:val="auto"/>
          <w:szCs w:val="21"/>
          <w:highlight w:val="none"/>
        </w:rPr>
      </w:pPr>
    </w:p>
    <w:sectPr>
      <w:headerReference r:id="rId9" w:type="default"/>
      <w:footerReference r:id="rId10" w:type="default"/>
      <w:pgSz w:w="11906" w:h="16838"/>
      <w:pgMar w:top="1134" w:right="1134" w:bottom="1134" w:left="1134" w:header="850" w:footer="992" w:gutter="0"/>
      <w:cols w:space="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Οgb2312">
    <w:altName w:val="宋体"/>
    <w:panose1 w:val="00000000000000000000"/>
    <w:charset w:val="86"/>
    <w:family w:val="roma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Beijing">
    <w:altName w:val="Arial"/>
    <w:panose1 w:val="00000000000000000000"/>
    <w:charset w:val="50"/>
    <w:family w:val="auto"/>
    <w:pitch w:val="default"/>
    <w:sig w:usb0="00000000" w:usb1="00000000" w:usb2="00000000" w:usb3="00000000" w:csb0="00000000" w:csb1="00000000"/>
  </w:font>
  <w:font w:name="Arial Narrow">
    <w:altName w:val="Arial"/>
    <w:panose1 w:val="020B0606020202030204"/>
    <w:charset w:val="00"/>
    <w:family w:val="swiss"/>
    <w:pitch w:val="default"/>
    <w:sig w:usb0="00000000"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Century">
    <w:altName w:val="Nyala"/>
    <w:panose1 w:val="02040604050505020304"/>
    <w:charset w:val="00"/>
    <w:family w:val="roman"/>
    <w:pitch w:val="default"/>
    <w:sig w:usb0="00000000" w:usb1="00000000" w:usb2="00000000" w:usb3="00000000" w:csb0="2000009F" w:csb1="DFD70000"/>
  </w:font>
  <w:font w:name="Nyala">
    <w:panose1 w:val="02000504070300020003"/>
    <w:charset w:val="00"/>
    <w:family w:val="auto"/>
    <w:pitch w:val="default"/>
    <w:sig w:usb0="A000006F" w:usb1="00000000" w:usb2="00000800" w:usb3="00000000" w:csb0="00000093" w:csb1="00000000"/>
  </w:font>
  <w:font w:name="Century Gothic">
    <w:altName w:val="Segoe Print"/>
    <w:panose1 w:val="020B0502020202020204"/>
    <w:charset w:val="00"/>
    <w:family w:val="swiss"/>
    <w:pitch w:val="default"/>
    <w:sig w:usb0="00000000"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Garamond">
    <w:altName w:val="PMingLiU-ExtB"/>
    <w:panose1 w:val="02020404030301010803"/>
    <w:charset w:val="00"/>
    <w:family w:val="roman"/>
    <w:pitch w:val="default"/>
    <w:sig w:usb0="00000000" w:usb1="00000000" w:usb2="00000000" w:usb3="00000000" w:csb0="0000009F" w:csb1="DFD70000"/>
  </w:font>
  <w:font w:name="PMingLiU-ExtB">
    <w:panose1 w:val="02020500000000000000"/>
    <w:charset w:val="88"/>
    <w:family w:val="auto"/>
    <w:pitch w:val="default"/>
    <w:sig w:usb0="8000002F" w:usb1="02000008" w:usb2="00000000" w:usb3="00000000" w:csb0="00100001" w:csb1="00000000"/>
  </w:font>
  <w:font w:name="Arial Unicode MS">
    <w:altName w:val="宋体"/>
    <w:panose1 w:val="020B0604020202020204"/>
    <w:charset w:val="86"/>
    <w:family w:val="swiss"/>
    <w:pitch w:val="default"/>
    <w:sig w:usb0="00000000" w:usb1="00000000" w:usb2="0000003F" w:usb3="00000000" w:csb0="603F01FF" w:csb1="FFFF0000"/>
  </w:font>
  <w:font w:name="Times">
    <w:altName w:val="Times New Roman"/>
    <w:panose1 w:val="02020603050405020304"/>
    <w:charset w:val="00"/>
    <w:family w:val="roman"/>
    <w:pitch w:val="default"/>
    <w:sig w:usb0="00000000" w:usb1="00000000" w:usb2="00000009" w:usb3="00000000" w:csb0="000001FF" w:csb1="00000000"/>
  </w:font>
  <w:font w:name="等线">
    <w:altName w:val="微软雅黑"/>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framePr w:wrap="around" w:vAnchor="text" w:hAnchor="margin" w:xAlign="center" w:y="1"/>
      <w:rPr>
        <w:rStyle w:val="77"/>
      </w:rPr>
    </w:pPr>
    <w:r>
      <w:fldChar w:fldCharType="begin"/>
    </w:r>
    <w:r>
      <w:rPr>
        <w:rStyle w:val="77"/>
      </w:rPr>
      <w:instrText xml:space="preserve">PAGE  </w:instrText>
    </w:r>
    <w:r>
      <w:fldChar w:fldCharType="separate"/>
    </w:r>
    <w:r>
      <w:rPr>
        <w:rStyle w:val="77"/>
      </w:rPr>
      <w:t>25</w:t>
    </w:r>
    <w:r>
      <w:fldChar w:fldCharType="end"/>
    </w:r>
  </w:p>
  <w:p>
    <w:pPr>
      <w:pStyle w:val="45"/>
      <w:ind w:right="360" w:firstLine="4410" w:firstLineChars="245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framePr w:wrap="around" w:vAnchor="text" w:hAnchor="margin" w:xAlign="center" w:y="1"/>
      <w:rPr>
        <w:rStyle w:val="77"/>
      </w:rPr>
    </w:pPr>
    <w:r>
      <w:fldChar w:fldCharType="begin"/>
    </w:r>
    <w:r>
      <w:rPr>
        <w:rStyle w:val="77"/>
      </w:rPr>
      <w:instrText xml:space="preserve">PAGE  </w:instrText>
    </w:r>
    <w:r>
      <w:fldChar w:fldCharType="end"/>
    </w:r>
  </w:p>
  <w:p>
    <w:pPr>
      <w:pStyle w:val="4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framePr w:wrap="around" w:vAnchor="text" w:hAnchor="margin" w:xAlign="center" w:y="1"/>
      <w:rPr>
        <w:rStyle w:val="77"/>
      </w:rPr>
    </w:pPr>
    <w:r>
      <w:fldChar w:fldCharType="begin"/>
    </w:r>
    <w:r>
      <w:rPr>
        <w:rStyle w:val="77"/>
      </w:rPr>
      <w:instrText xml:space="preserve">PAGE  </w:instrText>
    </w:r>
    <w:r>
      <w:fldChar w:fldCharType="separate"/>
    </w:r>
    <w:r>
      <w:rPr>
        <w:rStyle w:val="77"/>
      </w:rPr>
      <w:t>1</w:t>
    </w:r>
    <w:r>
      <w:fldChar w:fldCharType="end"/>
    </w:r>
  </w:p>
  <w:p>
    <w:pPr>
      <w:pStyle w:val="4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framePr w:wrap="around" w:vAnchor="text" w:hAnchor="margin" w:xAlign="center" w:y="1"/>
      <w:rPr>
        <w:rStyle w:val="77"/>
      </w:rPr>
    </w:pPr>
    <w:r>
      <w:fldChar w:fldCharType="begin"/>
    </w:r>
    <w:r>
      <w:rPr>
        <w:rStyle w:val="77"/>
      </w:rPr>
      <w:instrText xml:space="preserve">PAGE  </w:instrText>
    </w:r>
    <w:r>
      <w:fldChar w:fldCharType="separate"/>
    </w:r>
    <w:r>
      <w:rPr>
        <w:rStyle w:val="77"/>
      </w:rPr>
      <w:t>38</w:t>
    </w:r>
    <w:r>
      <w:fldChar w:fldCharType="end"/>
    </w:r>
  </w:p>
  <w:p>
    <w:pPr>
      <w:pStyle w:val="45"/>
      <w:ind w:right="360" w:firstLine="4410" w:firstLineChars="245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left"/>
      <w:rPr>
        <w:rFonts w:hint="eastAsia" w:eastAsia="宋体"/>
        <w:lang w:eastAsia="zh-CN"/>
      </w:rPr>
    </w:pPr>
    <w:r>
      <w:rPr>
        <w:rFonts w:hint="eastAsia"/>
      </w:rPr>
      <w:t>温州市政府采购招标文件                                                        编号:</w:t>
    </w:r>
    <w:r>
      <w:rPr>
        <w:rFonts w:hint="eastAsia"/>
        <w:lang w:eastAsia="zh-CN"/>
      </w:rPr>
      <w:t>ZJHJ-ZFCG-2022-35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left"/>
    </w:pPr>
    <w:r>
      <w:rPr>
        <w:rFonts w:hint="eastAsia"/>
      </w:rPr>
      <w:t xml:space="preserve">温州市政府采购招标文件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ind w:left="2" w:leftChars="1" w:right="-288" w:rightChars="-137"/>
      <w:jc w:val="left"/>
      <w:rPr>
        <w:rFonts w:hint="eastAsia" w:eastAsia="宋体"/>
        <w:sz w:val="20"/>
        <w:szCs w:val="20"/>
        <w:lang w:val="en-US" w:eastAsia="zh-CN"/>
      </w:rPr>
    </w:pPr>
    <w:r>
      <w:rPr>
        <w:rFonts w:hint="eastAsia"/>
      </w:rPr>
      <w:t>温州市政府分散采购招标文件                                                      编号:</w:t>
    </w:r>
    <w:r>
      <w:rPr>
        <w:rFonts w:hint="eastAsia"/>
        <w:sz w:val="20"/>
        <w:szCs w:val="20"/>
        <w:lang w:eastAsia="zh-CN"/>
      </w:rPr>
      <w:t>ZJHJ-ZFCG-2022-35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tabs>
        <w:tab w:val="left" w:pos="8025"/>
        <w:tab w:val="clear" w:pos="4153"/>
        <w:tab w:val="clear" w:pos="8306"/>
      </w:tabs>
      <w:ind w:left="1" w:leftChars="-171" w:right="-288" w:rightChars="-137" w:hanging="360" w:hangingChars="200"/>
      <w:jc w:val="both"/>
      <w:rPr>
        <w:rFonts w:hint="eastAsia" w:eastAsia="宋体"/>
        <w:lang w:val="en-US" w:eastAsia="zh-CN"/>
      </w:rPr>
    </w:pPr>
    <w:r>
      <w:rPr>
        <w:rFonts w:hint="eastAsia"/>
      </w:rPr>
      <w:t>温州市政府采购招标文件                                                       编号：</w:t>
    </w:r>
    <w:r>
      <w:rPr>
        <w:rFonts w:hint="eastAsia"/>
        <w:lang w:eastAsia="zh-CN"/>
      </w:rPr>
      <w:t>ZJHJ-ZFCG-2022-35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2F5B0D"/>
    <w:multiLevelType w:val="multilevel"/>
    <w:tmpl w:val="852F5B0D"/>
    <w:lvl w:ilvl="0" w:tentative="0">
      <w:start w:val="5"/>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
    <w:nsid w:val="CFB16F31"/>
    <w:multiLevelType w:val="singleLevel"/>
    <w:tmpl w:val="CFB16F31"/>
    <w:lvl w:ilvl="0" w:tentative="0">
      <w:start w:val="2"/>
      <w:numFmt w:val="decimal"/>
      <w:suff w:val="space"/>
      <w:lvlText w:val="%1．"/>
      <w:lvlJc w:val="left"/>
    </w:lvl>
  </w:abstractNum>
  <w:abstractNum w:abstractNumId="2">
    <w:nsid w:val="FFFFFF7D"/>
    <w:multiLevelType w:val="singleLevel"/>
    <w:tmpl w:val="FFFFFF7D"/>
    <w:lvl w:ilvl="0" w:tentative="0">
      <w:start w:val="1"/>
      <w:numFmt w:val="decimal"/>
      <w:pStyle w:val="505"/>
      <w:lvlText w:val="%1."/>
      <w:lvlJc w:val="left"/>
      <w:pPr>
        <w:tabs>
          <w:tab w:val="left" w:pos="1620"/>
        </w:tabs>
        <w:ind w:left="1620" w:hanging="360"/>
      </w:pPr>
    </w:lvl>
  </w:abstractNum>
  <w:abstractNum w:abstractNumId="3">
    <w:nsid w:val="FFFFFF7F"/>
    <w:multiLevelType w:val="singleLevel"/>
    <w:tmpl w:val="FFFFFF7F"/>
    <w:lvl w:ilvl="0" w:tentative="0">
      <w:start w:val="1"/>
      <w:numFmt w:val="decimal"/>
      <w:pStyle w:val="296"/>
      <w:lvlText w:val="%1."/>
      <w:lvlJc w:val="left"/>
      <w:pPr>
        <w:tabs>
          <w:tab w:val="left" w:pos="780"/>
        </w:tabs>
        <w:ind w:left="780" w:hanging="360"/>
      </w:pPr>
    </w:lvl>
  </w:abstractNum>
  <w:abstractNum w:abstractNumId="4">
    <w:nsid w:val="FFFFFF89"/>
    <w:multiLevelType w:val="singleLevel"/>
    <w:tmpl w:val="FFFFFF89"/>
    <w:lvl w:ilvl="0" w:tentative="0">
      <w:start w:val="1"/>
      <w:numFmt w:val="bullet"/>
      <w:pStyle w:val="494"/>
      <w:lvlText w:val=""/>
      <w:lvlJc w:val="left"/>
      <w:pPr>
        <w:tabs>
          <w:tab w:val="left" w:pos="360"/>
        </w:tabs>
        <w:ind w:left="360" w:hanging="360"/>
      </w:pPr>
      <w:rPr>
        <w:rFonts w:hint="default" w:ascii="Wingdings" w:hAnsi="Wingdings"/>
      </w:rPr>
    </w:lvl>
  </w:abstractNum>
  <w:abstractNum w:abstractNumId="5">
    <w:nsid w:val="03F503E4"/>
    <w:multiLevelType w:val="multilevel"/>
    <w:tmpl w:val="03F503E4"/>
    <w:lvl w:ilvl="0" w:tentative="0">
      <w:start w:val="1"/>
      <w:numFmt w:val="decimal"/>
      <w:pStyle w:val="744"/>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A6C7FEC"/>
    <w:multiLevelType w:val="multilevel"/>
    <w:tmpl w:val="0A6C7FEC"/>
    <w:lvl w:ilvl="0" w:tentative="0">
      <w:start w:val="1"/>
      <w:numFmt w:val="bullet"/>
      <w:pStyle w:val="428"/>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7">
    <w:nsid w:val="0A9F1955"/>
    <w:multiLevelType w:val="multilevel"/>
    <w:tmpl w:val="0A9F1955"/>
    <w:lvl w:ilvl="0" w:tentative="0">
      <w:start w:val="1"/>
      <w:numFmt w:val="bullet"/>
      <w:pStyle w:val="498"/>
      <w:lvlText w:val=""/>
      <w:lvlJc w:val="left"/>
      <w:pPr>
        <w:tabs>
          <w:tab w:val="left" w:pos="1144"/>
        </w:tabs>
        <w:ind w:left="1144" w:hanging="360"/>
      </w:pPr>
      <w:rPr>
        <w:rFonts w:hint="default" w:ascii="Wingdings" w:hAnsi="Wingdings"/>
      </w:rPr>
    </w:lvl>
    <w:lvl w:ilvl="1" w:tentative="0">
      <w:start w:val="1"/>
      <w:numFmt w:val="bullet"/>
      <w:lvlText w:val=""/>
      <w:lvlJc w:val="left"/>
      <w:pPr>
        <w:tabs>
          <w:tab w:val="left" w:pos="1860"/>
        </w:tabs>
        <w:ind w:left="1860" w:hanging="420"/>
      </w:pPr>
      <w:rPr>
        <w:rFonts w:hint="default" w:ascii="Wingdings" w:hAnsi="Wingdings"/>
        <w:sz w:val="16"/>
      </w:rPr>
    </w:lvl>
    <w:lvl w:ilvl="2" w:tentative="0">
      <w:start w:val="1"/>
      <w:numFmt w:val="bullet"/>
      <w:lvlText w:val=""/>
      <w:lvlJc w:val="left"/>
      <w:pPr>
        <w:tabs>
          <w:tab w:val="left" w:pos="2584"/>
        </w:tabs>
        <w:ind w:left="2584" w:hanging="360"/>
      </w:pPr>
      <w:rPr>
        <w:rFonts w:hint="default" w:ascii="Wingdings" w:hAnsi="Wingdings"/>
      </w:rPr>
    </w:lvl>
    <w:lvl w:ilvl="3" w:tentative="0">
      <w:start w:val="1"/>
      <w:numFmt w:val="bullet"/>
      <w:lvlText w:val=""/>
      <w:lvlJc w:val="left"/>
      <w:pPr>
        <w:tabs>
          <w:tab w:val="left" w:pos="3304"/>
        </w:tabs>
        <w:ind w:left="3304" w:hanging="360"/>
      </w:pPr>
      <w:rPr>
        <w:rFonts w:hint="default" w:ascii="Wingdings" w:hAnsi="Wingdings"/>
      </w:rPr>
    </w:lvl>
    <w:lvl w:ilvl="4" w:tentative="0">
      <w:start w:val="1"/>
      <w:numFmt w:val="bullet"/>
      <w:lvlText w:val=""/>
      <w:lvlJc w:val="left"/>
      <w:pPr>
        <w:tabs>
          <w:tab w:val="left" w:pos="4024"/>
        </w:tabs>
        <w:ind w:left="4024" w:hanging="360"/>
      </w:pPr>
      <w:rPr>
        <w:rFonts w:hint="default" w:ascii="Wingdings" w:hAnsi="Wingdings"/>
      </w:rPr>
    </w:lvl>
    <w:lvl w:ilvl="5" w:tentative="0">
      <w:start w:val="1"/>
      <w:numFmt w:val="bullet"/>
      <w:lvlText w:val=""/>
      <w:lvlJc w:val="left"/>
      <w:pPr>
        <w:tabs>
          <w:tab w:val="left" w:pos="4744"/>
        </w:tabs>
        <w:ind w:left="4744" w:hanging="360"/>
      </w:pPr>
      <w:rPr>
        <w:rFonts w:hint="default" w:ascii="Wingdings" w:hAnsi="Wingdings"/>
      </w:rPr>
    </w:lvl>
    <w:lvl w:ilvl="6" w:tentative="0">
      <w:start w:val="1"/>
      <w:numFmt w:val="bullet"/>
      <w:lvlText w:val=""/>
      <w:lvlJc w:val="left"/>
      <w:pPr>
        <w:tabs>
          <w:tab w:val="left" w:pos="5464"/>
        </w:tabs>
        <w:ind w:left="5464" w:hanging="360"/>
      </w:pPr>
      <w:rPr>
        <w:rFonts w:hint="default" w:ascii="Wingdings" w:hAnsi="Wingdings"/>
      </w:rPr>
    </w:lvl>
    <w:lvl w:ilvl="7" w:tentative="0">
      <w:start w:val="1"/>
      <w:numFmt w:val="bullet"/>
      <w:lvlText w:val=""/>
      <w:lvlJc w:val="left"/>
      <w:pPr>
        <w:tabs>
          <w:tab w:val="left" w:pos="6184"/>
        </w:tabs>
        <w:ind w:left="6184" w:hanging="360"/>
      </w:pPr>
      <w:rPr>
        <w:rFonts w:hint="default" w:ascii="Wingdings" w:hAnsi="Wingdings"/>
      </w:rPr>
    </w:lvl>
    <w:lvl w:ilvl="8" w:tentative="0">
      <w:start w:val="1"/>
      <w:numFmt w:val="bullet"/>
      <w:lvlText w:val=""/>
      <w:lvlJc w:val="left"/>
      <w:pPr>
        <w:tabs>
          <w:tab w:val="left" w:pos="6904"/>
        </w:tabs>
        <w:ind w:left="6904" w:hanging="360"/>
      </w:pPr>
      <w:rPr>
        <w:rFonts w:hint="default" w:ascii="Wingdings" w:hAnsi="Wingdings"/>
      </w:rPr>
    </w:lvl>
  </w:abstractNum>
  <w:abstractNum w:abstractNumId="8">
    <w:nsid w:val="0ACC5C51"/>
    <w:multiLevelType w:val="multilevel"/>
    <w:tmpl w:val="0ACC5C51"/>
    <w:lvl w:ilvl="0" w:tentative="0">
      <w:start w:val="1"/>
      <w:numFmt w:val="bullet"/>
      <w:pStyle w:val="725"/>
      <w:lvlText w:val=""/>
      <w:lvlJc w:val="left"/>
      <w:pPr>
        <w:tabs>
          <w:tab w:val="left" w:pos="1928"/>
        </w:tabs>
        <w:ind w:left="1928"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0ADD7944"/>
    <w:multiLevelType w:val="multilevel"/>
    <w:tmpl w:val="0ADD7944"/>
    <w:lvl w:ilvl="0" w:tentative="0">
      <w:start w:val="1"/>
      <w:numFmt w:val="decimal"/>
      <w:pStyle w:val="3"/>
      <w:suff w:val="space"/>
      <w:lvlText w:val="第%1章"/>
      <w:lvlJc w:val="left"/>
      <w:pPr>
        <w:ind w:left="0" w:firstLine="0"/>
      </w:pPr>
      <w:rPr>
        <w:rFonts w:hint="eastAsia" w:ascii="宋体" w:hAnsi="宋体" w:eastAsia="宋体"/>
        <w:b/>
        <w:i w:val="0"/>
        <w:sz w:val="44"/>
      </w:rPr>
    </w:lvl>
    <w:lvl w:ilvl="1" w:tentative="0">
      <w:start w:val="1"/>
      <w:numFmt w:val="decimal"/>
      <w:pStyle w:val="2"/>
      <w:suff w:val="space"/>
      <w:lvlText w:val="%1.%2"/>
      <w:lvlJc w:val="left"/>
      <w:pPr>
        <w:ind w:left="1080" w:hanging="720"/>
      </w:pPr>
      <w:rPr>
        <w:rFonts w:hint="eastAsia"/>
      </w:rPr>
    </w:lvl>
    <w:lvl w:ilvl="2" w:tentative="0">
      <w:start w:val="1"/>
      <w:numFmt w:val="decimal"/>
      <w:pStyle w:val="4"/>
      <w:suff w:val="space"/>
      <w:lvlText w:val="%1.%2.%3"/>
      <w:lvlJc w:val="left"/>
      <w:pPr>
        <w:ind w:left="0" w:firstLine="0"/>
      </w:pPr>
      <w:rPr>
        <w:rFonts w:hint="eastAsia"/>
        <w:color w:val="000000"/>
      </w:rPr>
    </w:lvl>
    <w:lvl w:ilvl="3" w:tentative="0">
      <w:start w:val="1"/>
      <w:numFmt w:val="decimal"/>
      <w:pStyle w:val="504"/>
      <w:suff w:val="nothing"/>
      <w:lvlText w:val="%1.%2.%3.%4"/>
      <w:lvlJc w:val="left"/>
      <w:pPr>
        <w:ind w:left="0" w:firstLine="0"/>
      </w:pPr>
      <w:rPr>
        <w:rFonts w:hint="eastAsia"/>
      </w:rPr>
    </w:lvl>
    <w:lvl w:ilvl="4" w:tentative="0">
      <w:start w:val="1"/>
      <w:numFmt w:val="decimal"/>
      <w:pStyle w:val="6"/>
      <w:suff w:val="nothing"/>
      <w:lvlText w:val="%1.%2.%3.%4.%5"/>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10">
    <w:nsid w:val="118F4F80"/>
    <w:multiLevelType w:val="multilevel"/>
    <w:tmpl w:val="118F4F80"/>
    <w:lvl w:ilvl="0" w:tentative="0">
      <w:start w:val="1"/>
      <w:numFmt w:val="bullet"/>
      <w:pStyle w:val="91"/>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1">
    <w:nsid w:val="13433532"/>
    <w:multiLevelType w:val="multilevel"/>
    <w:tmpl w:val="13433532"/>
    <w:lvl w:ilvl="0" w:tentative="0">
      <w:start w:val="1"/>
      <w:numFmt w:val="decimal"/>
      <w:pStyle w:val="618"/>
      <w:lvlText w:val="(%1)"/>
      <w:lvlJc w:val="left"/>
      <w:pPr>
        <w:ind w:left="1320" w:hanging="420"/>
      </w:pPr>
      <w:rPr>
        <w:rFonts w:hint="eastAsia"/>
      </w:rPr>
    </w:lvl>
    <w:lvl w:ilvl="1" w:tentative="0">
      <w:start w:val="1"/>
      <w:numFmt w:val="bullet"/>
      <w:lvlText w:val=""/>
      <w:lvlJc w:val="left"/>
      <w:pPr>
        <w:ind w:left="1740" w:hanging="420"/>
      </w:pPr>
      <w:rPr>
        <w:rFonts w:hint="default" w:ascii="Wingdings" w:hAnsi="Wingdings"/>
      </w:rPr>
    </w:lvl>
    <w:lvl w:ilvl="2" w:tentative="0">
      <w:start w:val="1"/>
      <w:numFmt w:val="bullet"/>
      <w:lvlText w:val=""/>
      <w:lvlJc w:val="left"/>
      <w:pPr>
        <w:ind w:left="2160" w:hanging="420"/>
      </w:pPr>
      <w:rPr>
        <w:rFonts w:hint="default" w:ascii="Wingdings" w:hAnsi="Wingdings"/>
      </w:rPr>
    </w:lvl>
    <w:lvl w:ilvl="3" w:tentative="0">
      <w:start w:val="1"/>
      <w:numFmt w:val="bullet"/>
      <w:lvlText w:val=""/>
      <w:lvlJc w:val="left"/>
      <w:pPr>
        <w:ind w:left="2580" w:hanging="420"/>
      </w:pPr>
      <w:rPr>
        <w:rFonts w:hint="default" w:ascii="Wingdings" w:hAnsi="Wingdings"/>
      </w:rPr>
    </w:lvl>
    <w:lvl w:ilvl="4" w:tentative="0">
      <w:start w:val="1"/>
      <w:numFmt w:val="bullet"/>
      <w:lvlText w:val=""/>
      <w:lvlJc w:val="left"/>
      <w:pPr>
        <w:ind w:left="3000" w:hanging="420"/>
      </w:pPr>
      <w:rPr>
        <w:rFonts w:hint="default" w:ascii="Wingdings" w:hAnsi="Wingdings"/>
      </w:rPr>
    </w:lvl>
    <w:lvl w:ilvl="5" w:tentative="0">
      <w:start w:val="1"/>
      <w:numFmt w:val="bullet"/>
      <w:lvlText w:val=""/>
      <w:lvlJc w:val="left"/>
      <w:pPr>
        <w:ind w:left="3420" w:hanging="420"/>
      </w:pPr>
      <w:rPr>
        <w:rFonts w:hint="default" w:ascii="Wingdings" w:hAnsi="Wingdings"/>
      </w:rPr>
    </w:lvl>
    <w:lvl w:ilvl="6" w:tentative="0">
      <w:start w:val="1"/>
      <w:numFmt w:val="bullet"/>
      <w:lvlText w:val=""/>
      <w:lvlJc w:val="left"/>
      <w:pPr>
        <w:ind w:left="3840" w:hanging="420"/>
      </w:pPr>
      <w:rPr>
        <w:rFonts w:hint="default" w:ascii="Wingdings" w:hAnsi="Wingdings"/>
      </w:rPr>
    </w:lvl>
    <w:lvl w:ilvl="7" w:tentative="0">
      <w:start w:val="1"/>
      <w:numFmt w:val="bullet"/>
      <w:lvlText w:val=""/>
      <w:lvlJc w:val="left"/>
      <w:pPr>
        <w:ind w:left="4260" w:hanging="420"/>
      </w:pPr>
      <w:rPr>
        <w:rFonts w:hint="default" w:ascii="Wingdings" w:hAnsi="Wingdings"/>
      </w:rPr>
    </w:lvl>
    <w:lvl w:ilvl="8" w:tentative="0">
      <w:start w:val="1"/>
      <w:numFmt w:val="bullet"/>
      <w:lvlText w:val=""/>
      <w:lvlJc w:val="left"/>
      <w:pPr>
        <w:ind w:left="4680" w:hanging="420"/>
      </w:pPr>
      <w:rPr>
        <w:rFonts w:hint="default" w:ascii="Wingdings" w:hAnsi="Wingdings"/>
      </w:rPr>
    </w:lvl>
  </w:abstractNum>
  <w:abstractNum w:abstractNumId="12">
    <w:nsid w:val="1492570A"/>
    <w:multiLevelType w:val="singleLevel"/>
    <w:tmpl w:val="1492570A"/>
    <w:lvl w:ilvl="0" w:tentative="0">
      <w:start w:val="1"/>
      <w:numFmt w:val="decimal"/>
      <w:pStyle w:val="650"/>
      <w:lvlText w:val="(%1)"/>
      <w:lvlJc w:val="left"/>
      <w:pPr>
        <w:tabs>
          <w:tab w:val="left" w:pos="1021"/>
        </w:tabs>
        <w:ind w:left="0" w:firstLine="567"/>
      </w:pPr>
      <w:rPr>
        <w:rFonts w:hint="eastAsia" w:ascii="Times New Roman" w:hAnsi="Times New Roman"/>
        <w:b w:val="0"/>
        <w:i w:val="0"/>
        <w:sz w:val="24"/>
        <w:u w:val="none"/>
      </w:rPr>
    </w:lvl>
  </w:abstractNum>
  <w:abstractNum w:abstractNumId="13">
    <w:nsid w:val="18B46DD8"/>
    <w:multiLevelType w:val="multilevel"/>
    <w:tmpl w:val="18B46DD8"/>
    <w:lvl w:ilvl="0" w:tentative="0">
      <w:start w:val="1"/>
      <w:numFmt w:val="bullet"/>
      <w:pStyle w:val="633"/>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18E9552C"/>
    <w:multiLevelType w:val="multilevel"/>
    <w:tmpl w:val="18E9552C"/>
    <w:lvl w:ilvl="0" w:tentative="0">
      <w:start w:val="1"/>
      <w:numFmt w:val="decimal"/>
      <w:pStyle w:val="761"/>
      <w:suff w:val="space"/>
      <w:lvlText w:val="%1"/>
      <w:lvlJc w:val="left"/>
      <w:pPr>
        <w:ind w:left="858" w:hanging="432"/>
      </w:pPr>
      <w:rPr>
        <w:rFonts w:hint="eastAsia"/>
      </w:rPr>
    </w:lvl>
    <w:lvl w:ilvl="1" w:tentative="0">
      <w:start w:val="1"/>
      <w:numFmt w:val="decimal"/>
      <w:pStyle w:val="763"/>
      <w:suff w:val="space"/>
      <w:lvlText w:val="%1.%2"/>
      <w:lvlJc w:val="left"/>
      <w:pPr>
        <w:ind w:left="1002" w:hanging="576"/>
      </w:pPr>
      <w:rPr>
        <w:rFonts w:hint="eastAsia"/>
      </w:rPr>
    </w:lvl>
    <w:lvl w:ilvl="2" w:tentative="0">
      <w:start w:val="1"/>
      <w:numFmt w:val="decimal"/>
      <w:pStyle w:val="766"/>
      <w:suff w:val="space"/>
      <w:lvlText w:val="%1.%2.%3"/>
      <w:lvlJc w:val="left"/>
      <w:pPr>
        <w:ind w:left="1146" w:hanging="720"/>
      </w:pPr>
      <w:rPr>
        <w:rFonts w:hint="eastAsia"/>
      </w:rPr>
    </w:lvl>
    <w:lvl w:ilvl="3" w:tentative="0">
      <w:start w:val="1"/>
      <w:numFmt w:val="decimal"/>
      <w:suff w:val="space"/>
      <w:lvlText w:val="%1.%2.%3.%4"/>
      <w:lvlJc w:val="left"/>
      <w:pPr>
        <w:ind w:left="1290" w:hanging="864"/>
      </w:pPr>
      <w:rPr>
        <w:rFonts w:hint="eastAsia"/>
      </w:rPr>
    </w:lvl>
    <w:lvl w:ilvl="4" w:tentative="0">
      <w:start w:val="1"/>
      <w:numFmt w:val="decimal"/>
      <w:suff w:val="space"/>
      <w:lvlText w:val="%1.%2.%3.%4.%5"/>
      <w:lvlJc w:val="left"/>
      <w:pPr>
        <w:ind w:left="426" w:firstLine="0"/>
      </w:pPr>
      <w:rPr>
        <w:rFonts w:hint="eastAsia"/>
      </w:rPr>
    </w:lvl>
    <w:lvl w:ilvl="5" w:tentative="0">
      <w:start w:val="1"/>
      <w:numFmt w:val="decimal"/>
      <w:pStyle w:val="764"/>
      <w:suff w:val="space"/>
      <w:lvlText w:val="%1.%2.%3.%4.%5.%6"/>
      <w:lvlJc w:val="left"/>
      <w:pPr>
        <w:ind w:left="426" w:firstLine="0"/>
      </w:pPr>
      <w:rPr>
        <w:rFonts w:hint="eastAsia"/>
      </w:rPr>
    </w:lvl>
    <w:lvl w:ilvl="6" w:tentative="0">
      <w:start w:val="1"/>
      <w:numFmt w:val="decimal"/>
      <w:lvlText w:val="%1.%2.%3.%4.%5.%6.%7"/>
      <w:lvlJc w:val="left"/>
      <w:pPr>
        <w:ind w:left="1722" w:hanging="1296"/>
      </w:pPr>
      <w:rPr>
        <w:rFonts w:hint="eastAsia"/>
      </w:rPr>
    </w:lvl>
    <w:lvl w:ilvl="7" w:tentative="0">
      <w:start w:val="1"/>
      <w:numFmt w:val="decimal"/>
      <w:lvlText w:val="%1.%2.%3.%4.%5.%6.%7.%8"/>
      <w:lvlJc w:val="left"/>
      <w:pPr>
        <w:ind w:left="1866" w:hanging="1440"/>
      </w:pPr>
      <w:rPr>
        <w:rFonts w:hint="eastAsia"/>
      </w:rPr>
    </w:lvl>
    <w:lvl w:ilvl="8" w:tentative="0">
      <w:start w:val="1"/>
      <w:numFmt w:val="decimal"/>
      <w:lvlText w:val="%1.%2.%3.%4.%5.%6.%7.%8.%9"/>
      <w:lvlJc w:val="left"/>
      <w:pPr>
        <w:ind w:left="2010" w:hanging="1584"/>
      </w:pPr>
      <w:rPr>
        <w:rFonts w:hint="eastAsia"/>
      </w:rPr>
    </w:lvl>
  </w:abstractNum>
  <w:abstractNum w:abstractNumId="15">
    <w:nsid w:val="19545F75"/>
    <w:multiLevelType w:val="multilevel"/>
    <w:tmpl w:val="19545F7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pStyle w:val="179"/>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1AF55D95"/>
    <w:multiLevelType w:val="multilevel"/>
    <w:tmpl w:val="1AF55D95"/>
    <w:lvl w:ilvl="0" w:tentative="0">
      <w:start w:val="1"/>
      <w:numFmt w:val="decimal"/>
      <w:pStyle w:val="373"/>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1D364CDD"/>
    <w:multiLevelType w:val="multilevel"/>
    <w:tmpl w:val="1D364CDD"/>
    <w:lvl w:ilvl="0" w:tentative="0">
      <w:start w:val="1"/>
      <w:numFmt w:val="decimal"/>
      <w:pStyle w:val="566"/>
      <w:lvlText w:val="%1."/>
      <w:lvlJc w:val="left"/>
      <w:pPr>
        <w:tabs>
          <w:tab w:val="left" w:pos="1260"/>
        </w:tabs>
        <w:ind w:left="1260" w:hanging="420"/>
      </w:pPr>
      <w:rPr>
        <w:rFonts w:hint="eastAsia"/>
      </w:r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pStyle w:val="655"/>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18">
    <w:nsid w:val="2D2A5D7B"/>
    <w:multiLevelType w:val="multilevel"/>
    <w:tmpl w:val="2D2A5D7B"/>
    <w:lvl w:ilvl="0" w:tentative="0">
      <w:start w:val="1"/>
      <w:numFmt w:val="decimal"/>
      <w:lvlText w:val="%1."/>
      <w:lvlJc w:val="left"/>
      <w:pPr>
        <w:ind w:left="432" w:hanging="432"/>
      </w:pPr>
      <w:rPr>
        <w:rFonts w:hint="eastAsia"/>
      </w:rPr>
    </w:lvl>
    <w:lvl w:ilvl="1" w:tentative="0">
      <w:start w:val="1"/>
      <w:numFmt w:val="decimal"/>
      <w:lvlText w:val="%1.%2"/>
      <w:lvlJc w:val="left"/>
      <w:pPr>
        <w:ind w:left="576" w:hanging="576"/>
      </w:pPr>
      <w:rPr>
        <w:rFonts w:hint="eastAsia"/>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19">
    <w:nsid w:val="2D6BADEC"/>
    <w:multiLevelType w:val="singleLevel"/>
    <w:tmpl w:val="2D6BADEC"/>
    <w:lvl w:ilvl="0" w:tentative="0">
      <w:start w:val="5"/>
      <w:numFmt w:val="decimal"/>
      <w:suff w:val="space"/>
      <w:lvlText w:val="%1."/>
      <w:lvlJc w:val="left"/>
    </w:lvl>
  </w:abstractNum>
  <w:abstractNum w:abstractNumId="20">
    <w:nsid w:val="318C0DD1"/>
    <w:multiLevelType w:val="multilevel"/>
    <w:tmpl w:val="318C0DD1"/>
    <w:lvl w:ilvl="0" w:tentative="0">
      <w:start w:val="1"/>
      <w:numFmt w:val="decimal"/>
      <w:pStyle w:val="446"/>
      <w:lvlText w:val="%1）"/>
      <w:lvlJc w:val="left"/>
      <w:pPr>
        <w:tabs>
          <w:tab w:val="left" w:pos="780"/>
        </w:tabs>
        <w:ind w:left="78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349339C8"/>
    <w:multiLevelType w:val="multilevel"/>
    <w:tmpl w:val="349339C8"/>
    <w:lvl w:ilvl="0" w:tentative="0">
      <w:start w:val="1"/>
      <w:numFmt w:val="bullet"/>
      <w:pStyle w:val="622"/>
      <w:lvlText w:val=""/>
      <w:lvlJc w:val="left"/>
      <w:pPr>
        <w:ind w:left="987" w:hanging="420"/>
      </w:pPr>
      <w:rPr>
        <w:rFonts w:hint="default" w:ascii="Wingdings" w:hAnsi="Wingdings"/>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22">
    <w:nsid w:val="3A2905CA"/>
    <w:multiLevelType w:val="multilevel"/>
    <w:tmpl w:val="3A2905CA"/>
    <w:lvl w:ilvl="0" w:tentative="0">
      <w:start w:val="1"/>
      <w:numFmt w:val="decimal"/>
      <w:pStyle w:val="29"/>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3EB61287"/>
    <w:multiLevelType w:val="multilevel"/>
    <w:tmpl w:val="3EB61287"/>
    <w:lvl w:ilvl="0" w:tentative="0">
      <w:start w:val="1"/>
      <w:numFmt w:val="decimal"/>
      <w:pStyle w:val="660"/>
      <w:lvlText w:val="%1．"/>
      <w:lvlJc w:val="left"/>
      <w:pPr>
        <w:tabs>
          <w:tab w:val="left" w:pos="360"/>
        </w:tabs>
        <w:ind w:left="360" w:hanging="360"/>
      </w:pPr>
      <w:rPr>
        <w:rFonts w:hint="default"/>
      </w:rPr>
    </w:lvl>
    <w:lvl w:ilvl="1" w:tentative="0">
      <w:start w:val="1"/>
      <w:numFmt w:val="lowerLetter"/>
      <w:pStyle w:val="468"/>
      <w:lvlText w:val="%2)"/>
      <w:lvlJc w:val="left"/>
      <w:pPr>
        <w:tabs>
          <w:tab w:val="left" w:pos="840"/>
        </w:tabs>
        <w:ind w:left="840" w:hanging="420"/>
      </w:pPr>
    </w:lvl>
    <w:lvl w:ilvl="2" w:tentative="0">
      <w:start w:val="1"/>
      <w:numFmt w:val="lowerRoman"/>
      <w:pStyle w:val="606"/>
      <w:lvlText w:val="%3."/>
      <w:lvlJc w:val="right"/>
      <w:pPr>
        <w:tabs>
          <w:tab w:val="left" w:pos="1260"/>
        </w:tabs>
        <w:ind w:left="1260" w:hanging="420"/>
      </w:pPr>
    </w:lvl>
    <w:lvl w:ilvl="3" w:tentative="0">
      <w:start w:val="1"/>
      <w:numFmt w:val="decimal"/>
      <w:pStyle w:val="605"/>
      <w:lvlText w:val="%4."/>
      <w:lvlJc w:val="left"/>
      <w:pPr>
        <w:tabs>
          <w:tab w:val="left" w:pos="1680"/>
        </w:tabs>
        <w:ind w:left="1680" w:hanging="420"/>
      </w:pPr>
    </w:lvl>
    <w:lvl w:ilvl="4" w:tentative="0">
      <w:start w:val="1"/>
      <w:numFmt w:val="lowerLetter"/>
      <w:pStyle w:val="576"/>
      <w:lvlText w:val="%5)"/>
      <w:lvlJc w:val="left"/>
      <w:pPr>
        <w:tabs>
          <w:tab w:val="left" w:pos="2100"/>
        </w:tabs>
        <w:ind w:left="2100" w:hanging="420"/>
      </w:pPr>
    </w:lvl>
    <w:lvl w:ilvl="5" w:tentative="0">
      <w:start w:val="1"/>
      <w:numFmt w:val="lowerRoman"/>
      <w:pStyle w:val="544"/>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44C50F90"/>
    <w:multiLevelType w:val="multilevel"/>
    <w:tmpl w:val="44C50F90"/>
    <w:lvl w:ilvl="0" w:tentative="0">
      <w:start w:val="1"/>
      <w:numFmt w:val="lowerLetter"/>
      <w:pStyle w:val="749"/>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748"/>
      <w:lvlText w:val="%2)"/>
      <w:lvlJc w:val="left"/>
      <w:pPr>
        <w:tabs>
          <w:tab w:val="left" w:pos="1259"/>
        </w:tabs>
        <w:ind w:left="1259" w:hanging="420"/>
      </w:pPr>
      <w:rPr>
        <w:rFonts w:hint="eastAsia" w:ascii="宋体" w:hAnsi="宋体" w:eastAsia="宋体"/>
        <w:b w:val="0"/>
        <w:i w:val="0"/>
        <w:iCs w:val="0"/>
        <w:caps w:val="0"/>
        <w:smallCaps w:val="0"/>
        <w:strike w:val="0"/>
        <w:dstrike w:val="0"/>
        <w:vanish w:val="0"/>
        <w:color w:val="000000"/>
        <w:spacing w:val="0"/>
        <w:position w:val="0"/>
        <w:sz w:val="20"/>
        <w:u w:val="none"/>
        <w:vertAlign w:val="baseline"/>
      </w:rPr>
    </w:lvl>
    <w:lvl w:ilvl="2" w:tentative="0">
      <w:start w:val="1"/>
      <w:numFmt w:val="decimal"/>
      <w:pStyle w:val="491"/>
      <w:lvlText w:val="(%3)"/>
      <w:lvlJc w:val="left"/>
      <w:pPr>
        <w:tabs>
          <w:tab w:val="left" w:pos="0"/>
        </w:tabs>
        <w:ind w:left="1678" w:hanging="419"/>
      </w:pPr>
      <w:rPr>
        <w:rFonts w:hint="eastAsia" w:ascii="宋体" w:hAnsi="宋体" w:eastAsia="宋体"/>
        <w:b w:val="0"/>
        <w:bCs w:val="0"/>
        <w:i w:val="0"/>
        <w:iCs w:val="0"/>
        <w:caps w:val="0"/>
        <w:strike w:val="0"/>
        <w:dstrike w:val="0"/>
        <w:vanish w:val="0"/>
        <w:color w:val="000000"/>
        <w:spacing w:val="0"/>
        <w:w w:val="100"/>
        <w:kern w:val="2"/>
        <w:position w:val="0"/>
        <w:sz w:val="20"/>
        <w:szCs w:val="24"/>
        <w:u w:val="none"/>
        <w:vertAlign w:val="baseline"/>
      </w:rPr>
    </w:lvl>
    <w:lvl w:ilvl="3" w:tentative="0">
      <w:start w:val="1"/>
      <w:numFmt w:val="decimal"/>
      <w:lvlText w:val="%4."/>
      <w:lvlJc w:val="left"/>
      <w:pPr>
        <w:tabs>
          <w:tab w:val="left" w:pos="2098"/>
        </w:tabs>
        <w:ind w:left="2098" w:hanging="420"/>
      </w:pPr>
    </w:lvl>
    <w:lvl w:ilvl="4" w:tentative="0">
      <w:start w:val="1"/>
      <w:numFmt w:val="lowerLetter"/>
      <w:lvlText w:val="%5)"/>
      <w:lvlJc w:val="left"/>
      <w:pPr>
        <w:tabs>
          <w:tab w:val="left" w:pos="2517"/>
        </w:tabs>
        <w:ind w:left="2517" w:hanging="419"/>
      </w:pPr>
    </w:lvl>
    <w:lvl w:ilvl="5" w:tentative="0">
      <w:start w:val="1"/>
      <w:numFmt w:val="lowerRoman"/>
      <w:lvlText w:val="%6."/>
      <w:lvlJc w:val="right"/>
      <w:pPr>
        <w:tabs>
          <w:tab w:val="left" w:pos="2942"/>
        </w:tabs>
        <w:ind w:left="2937" w:hanging="420"/>
      </w:pPr>
    </w:lvl>
    <w:lvl w:ilvl="6" w:tentative="0">
      <w:start w:val="1"/>
      <w:numFmt w:val="decimal"/>
      <w:lvlText w:val="%7."/>
      <w:lvlJc w:val="left"/>
      <w:pPr>
        <w:tabs>
          <w:tab w:val="left" w:pos="3362"/>
        </w:tabs>
        <w:ind w:left="3356" w:hanging="414"/>
      </w:pPr>
    </w:lvl>
    <w:lvl w:ilvl="7" w:tentative="0">
      <w:start w:val="1"/>
      <w:numFmt w:val="lowerLetter"/>
      <w:lvlText w:val="%8)"/>
      <w:lvlJc w:val="left"/>
      <w:pPr>
        <w:tabs>
          <w:tab w:val="left" w:pos="3781"/>
        </w:tabs>
        <w:ind w:left="3776" w:hanging="414"/>
      </w:pPr>
    </w:lvl>
    <w:lvl w:ilvl="8" w:tentative="0">
      <w:start w:val="1"/>
      <w:numFmt w:val="lowerRoman"/>
      <w:lvlText w:val="%9."/>
      <w:lvlJc w:val="right"/>
      <w:pPr>
        <w:tabs>
          <w:tab w:val="left" w:pos="4201"/>
        </w:tabs>
        <w:ind w:left="4201" w:hanging="420"/>
      </w:pPr>
    </w:lvl>
  </w:abstractNum>
  <w:abstractNum w:abstractNumId="25">
    <w:nsid w:val="46003FF7"/>
    <w:multiLevelType w:val="multilevel"/>
    <w:tmpl w:val="46003FF7"/>
    <w:lvl w:ilvl="0" w:tentative="0">
      <w:start w:val="1"/>
      <w:numFmt w:val="chineseCountingThousand"/>
      <w:pStyle w:val="490"/>
      <w:suff w:val="space"/>
      <w:lvlText w:val="第%1章"/>
      <w:lvlJc w:val="left"/>
      <w:pPr>
        <w:ind w:left="0" w:firstLine="0"/>
      </w:pPr>
      <w:rPr>
        <w:rFonts w:hint="default" w:ascii="Arial" w:hAnsi="Arial" w:eastAsia="宋体"/>
        <w:b/>
        <w:i w:val="0"/>
        <w:snapToGrid/>
        <w:color w:val="auto"/>
        <w:spacing w:val="0"/>
        <w:w w:val="100"/>
        <w:kern w:val="36"/>
        <w:position w:val="0"/>
        <w:sz w:val="36"/>
        <w:u w:val="none"/>
      </w:rPr>
    </w:lvl>
    <w:lvl w:ilvl="1" w:tentative="0">
      <w:start w:val="1"/>
      <w:numFmt w:val="decimal"/>
      <w:isLgl/>
      <w:lvlText w:val="%1.%2"/>
      <w:lvlJc w:val="left"/>
      <w:pPr>
        <w:tabs>
          <w:tab w:val="left" w:pos="720"/>
        </w:tabs>
        <w:ind w:left="0" w:firstLine="0"/>
      </w:pPr>
      <w:rPr>
        <w:rFonts w:hint="eastAsia"/>
      </w:rPr>
    </w:lvl>
    <w:lvl w:ilvl="2" w:tentative="0">
      <w:start w:val="1"/>
      <w:numFmt w:val="decimal"/>
      <w:isLgl/>
      <w:lvlText w:val="%1.%2.%3"/>
      <w:lvlJc w:val="left"/>
      <w:pPr>
        <w:tabs>
          <w:tab w:val="left" w:pos="720"/>
        </w:tabs>
        <w:ind w:left="0" w:firstLine="0"/>
      </w:pPr>
      <w:rPr>
        <w:rFonts w:hint="default" w:ascii="Times New Roman" w:hAnsi="Times New Roman" w:eastAsia="宋体"/>
        <w:b/>
        <w:i w:val="0"/>
        <w:snapToGrid/>
        <w:color w:val="auto"/>
        <w:spacing w:val="0"/>
        <w:w w:val="100"/>
        <w:kern w:val="2"/>
        <w:position w:val="0"/>
        <w:sz w:val="30"/>
        <w:u w:val="none"/>
      </w:rPr>
    </w:lvl>
    <w:lvl w:ilvl="3" w:tentative="0">
      <w:start w:val="1"/>
      <w:numFmt w:val="decimal"/>
      <w:isLgl/>
      <w:suff w:val="space"/>
      <w:lvlText w:val="%1.%2.%3.%4"/>
      <w:lvlJc w:val="left"/>
      <w:pPr>
        <w:ind w:left="0" w:firstLine="0"/>
      </w:pPr>
      <w:rPr>
        <w:rFonts w:hint="default" w:ascii="Times New Roman" w:hAnsi="Times New Roman" w:eastAsia="宋体"/>
        <w:b/>
        <w:i w:val="0"/>
        <w:color w:val="auto"/>
        <w:sz w:val="28"/>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6">
    <w:nsid w:val="48496AA3"/>
    <w:multiLevelType w:val="multilevel"/>
    <w:tmpl w:val="48496AA3"/>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7">
    <w:nsid w:val="4A2C509E"/>
    <w:multiLevelType w:val="multilevel"/>
    <w:tmpl w:val="4A2C509E"/>
    <w:lvl w:ilvl="0" w:tentative="0">
      <w:start w:val="1"/>
      <w:numFmt w:val="decimal"/>
      <w:pStyle w:val="38"/>
      <w:lvlText w:val="%1."/>
      <w:lvlJc w:val="left"/>
      <w:pPr>
        <w:tabs>
          <w:tab w:val="left" w:pos="397"/>
        </w:tabs>
        <w:ind w:left="0" w:firstLine="397"/>
      </w:pPr>
      <w:rPr>
        <w:rFonts w:hint="eastAsia"/>
        <w:color w:val="auto"/>
      </w:rPr>
    </w:lvl>
    <w:lvl w:ilvl="1" w:tentative="0">
      <w:start w:val="1"/>
      <w:numFmt w:val="lowerLetter"/>
      <w:lvlText w:val="%2)"/>
      <w:lvlJc w:val="left"/>
      <w:pPr>
        <w:tabs>
          <w:tab w:val="left" w:pos="420"/>
        </w:tabs>
        <w:ind w:left="420" w:hanging="420"/>
      </w:p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28">
    <w:nsid w:val="4B0670F9"/>
    <w:multiLevelType w:val="multilevel"/>
    <w:tmpl w:val="4B0670F9"/>
    <w:lvl w:ilvl="0" w:tentative="0">
      <w:start w:val="1"/>
      <w:numFmt w:val="bullet"/>
      <w:pStyle w:val="369"/>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9">
    <w:nsid w:val="4B9D13A2"/>
    <w:multiLevelType w:val="multilevel"/>
    <w:tmpl w:val="4B9D13A2"/>
    <w:lvl w:ilvl="0" w:tentative="0">
      <w:start w:val="1"/>
      <w:numFmt w:val="bullet"/>
      <w:pStyle w:val="647"/>
      <w:lvlText w:val=""/>
      <w:lvlJc w:val="left"/>
      <w:pPr>
        <w:tabs>
          <w:tab w:val="left" w:pos="840"/>
        </w:tabs>
        <w:ind w:left="840" w:hanging="420"/>
      </w:pPr>
      <w:rPr>
        <w:rFonts w:hint="default" w:ascii="Wingdings" w:hAnsi="Wingdings"/>
      </w:rPr>
    </w:lvl>
    <w:lvl w:ilvl="1" w:tentative="0">
      <w:start w:val="1"/>
      <w:numFmt w:val="bullet"/>
      <w:pStyle w:val="417"/>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0">
    <w:nsid w:val="4CE11E29"/>
    <w:multiLevelType w:val="multilevel"/>
    <w:tmpl w:val="4CE11E29"/>
    <w:lvl w:ilvl="0" w:tentative="0">
      <w:start w:val="1"/>
      <w:numFmt w:val="bullet"/>
      <w:pStyle w:val="357"/>
      <w:lvlText w:val=""/>
      <w:lvlJc w:val="left"/>
      <w:pPr>
        <w:ind w:left="420" w:hanging="420"/>
      </w:pPr>
      <w:rPr>
        <w:rFonts w:hint="default" w:ascii="Wingdings" w:hAnsi="Wingding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514746D8"/>
    <w:multiLevelType w:val="singleLevel"/>
    <w:tmpl w:val="514746D8"/>
    <w:lvl w:ilvl="0" w:tentative="0">
      <w:start w:val="1"/>
      <w:numFmt w:val="bullet"/>
      <w:pStyle w:val="669"/>
      <w:lvlText w:val=""/>
      <w:lvlJc w:val="left"/>
      <w:pPr>
        <w:tabs>
          <w:tab w:val="left" w:pos="432"/>
        </w:tabs>
        <w:ind w:left="432" w:hanging="432"/>
      </w:pPr>
      <w:rPr>
        <w:rFonts w:hint="default" w:ascii="Symbol" w:hAnsi="Symbol"/>
      </w:rPr>
    </w:lvl>
  </w:abstractNum>
  <w:abstractNum w:abstractNumId="32">
    <w:nsid w:val="527753BB"/>
    <w:multiLevelType w:val="singleLevel"/>
    <w:tmpl w:val="527753BB"/>
    <w:lvl w:ilvl="0" w:tentative="0">
      <w:start w:val="1"/>
      <w:numFmt w:val="bullet"/>
      <w:pStyle w:val="666"/>
      <w:lvlText w:val=""/>
      <w:lvlJc w:val="left"/>
      <w:pPr>
        <w:tabs>
          <w:tab w:val="left" w:pos="432"/>
        </w:tabs>
        <w:ind w:left="432" w:hanging="432"/>
      </w:pPr>
      <w:rPr>
        <w:rFonts w:hint="default" w:ascii="Symbol" w:hAnsi="Symbol"/>
      </w:rPr>
    </w:lvl>
  </w:abstractNum>
  <w:abstractNum w:abstractNumId="33">
    <w:nsid w:val="52BF2A81"/>
    <w:multiLevelType w:val="multilevel"/>
    <w:tmpl w:val="52BF2A81"/>
    <w:lvl w:ilvl="0" w:tentative="0">
      <w:start w:val="1"/>
      <w:numFmt w:val="decimal"/>
      <w:pStyle w:val="299"/>
      <w:lvlText w:val="%1)"/>
      <w:lvlJc w:val="left"/>
      <w:pPr>
        <w:ind w:left="980" w:hanging="420"/>
      </w:pPr>
    </w:lvl>
    <w:lvl w:ilvl="1" w:tentative="0">
      <w:start w:val="1"/>
      <w:numFmt w:val="lowerLetter"/>
      <w:lvlText w:val="%2)"/>
      <w:lvlJc w:val="left"/>
      <w:pPr>
        <w:ind w:left="1400" w:hanging="420"/>
      </w:pPr>
    </w:lvl>
    <w:lvl w:ilvl="2" w:tentative="0">
      <w:start w:val="1"/>
      <w:numFmt w:val="decimal"/>
      <w:lvlText w:val="%3、"/>
      <w:lvlJc w:val="left"/>
      <w:pPr>
        <w:ind w:left="2120" w:hanging="720"/>
      </w:pPr>
      <w:rPr>
        <w:rFonts w:hint="default"/>
      </w:rPr>
    </w:lvl>
    <w:lvl w:ilvl="3" w:tentative="0">
      <w:start w:val="1"/>
      <w:numFmt w:val="decimal"/>
      <w:lvlText w:val="%4."/>
      <w:lvlJc w:val="left"/>
      <w:pPr>
        <w:ind w:left="2240" w:hanging="420"/>
      </w:pPr>
    </w:lvl>
    <w:lvl w:ilvl="4" w:tentative="0">
      <w:start w:val="1"/>
      <w:numFmt w:val="decimal"/>
      <w:lvlText w:val="（%5）"/>
      <w:lvlJc w:val="left"/>
      <w:pPr>
        <w:ind w:left="2960" w:hanging="720"/>
      </w:pPr>
      <w:rPr>
        <w:rFonts w:hint="default"/>
      </w:r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4">
    <w:nsid w:val="533C738B"/>
    <w:multiLevelType w:val="singleLevel"/>
    <w:tmpl w:val="533C738B"/>
    <w:lvl w:ilvl="0" w:tentative="0">
      <w:start w:val="1"/>
      <w:numFmt w:val="upperLetter"/>
      <w:pStyle w:val="715"/>
      <w:lvlText w:val="%1．"/>
      <w:lvlJc w:val="left"/>
      <w:pPr>
        <w:tabs>
          <w:tab w:val="left" w:pos="1050"/>
        </w:tabs>
        <w:ind w:left="1050" w:hanging="480"/>
      </w:pPr>
      <w:rPr>
        <w:rFonts w:hint="eastAsia"/>
      </w:rPr>
    </w:lvl>
  </w:abstractNum>
  <w:abstractNum w:abstractNumId="35">
    <w:nsid w:val="567F7B34"/>
    <w:multiLevelType w:val="multilevel"/>
    <w:tmpl w:val="567F7B34"/>
    <w:lvl w:ilvl="0" w:tentative="0">
      <w:start w:val="1"/>
      <w:numFmt w:val="decimal"/>
      <w:pStyle w:val="652"/>
      <w:lvlText w:val="%1)"/>
      <w:lvlJc w:val="left"/>
      <w:pPr>
        <w:tabs>
          <w:tab w:val="left" w:pos="964"/>
        </w:tabs>
        <w:ind w:left="964" w:hanging="482"/>
      </w:pPr>
      <w:rPr>
        <w:rFonts w:hint="eastAsia"/>
      </w:rPr>
    </w:lvl>
    <w:lvl w:ilvl="1" w:tentative="0">
      <w:start w:val="1"/>
      <w:numFmt w:val="bullet"/>
      <w:lvlText w:val=""/>
      <w:lvlJc w:val="left"/>
      <w:pPr>
        <w:tabs>
          <w:tab w:val="left" w:pos="902"/>
        </w:tabs>
        <w:ind w:left="902" w:hanging="482"/>
      </w:pPr>
      <w:rPr>
        <w:rFonts w:hint="default" w:ascii="Wingdings" w:hAnsi="Wingding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6">
    <w:nsid w:val="573E237E"/>
    <w:multiLevelType w:val="multilevel"/>
    <w:tmpl w:val="573E237E"/>
    <w:lvl w:ilvl="0" w:tentative="0">
      <w:start w:val="1"/>
      <w:numFmt w:val="bullet"/>
      <w:pStyle w:val="97"/>
      <w:lvlText w:val=""/>
      <w:lvlJc w:val="left"/>
      <w:pPr>
        <w:tabs>
          <w:tab w:val="left" w:pos="900"/>
        </w:tabs>
        <w:ind w:left="900"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7">
    <w:nsid w:val="58E21C21"/>
    <w:multiLevelType w:val="multilevel"/>
    <w:tmpl w:val="58E21C21"/>
    <w:lvl w:ilvl="0" w:tentative="0">
      <w:start w:val="1"/>
      <w:numFmt w:val="decimal"/>
      <w:lvlText w:val="%1)"/>
      <w:lvlJc w:val="left"/>
      <w:pPr>
        <w:ind w:left="980" w:hanging="420"/>
      </w:pPr>
    </w:lvl>
    <w:lvl w:ilvl="1" w:tentative="0">
      <w:start w:val="1"/>
      <w:numFmt w:val="japaneseCounting"/>
      <w:pStyle w:val="309"/>
      <w:lvlText w:val="（%2）"/>
      <w:lvlJc w:val="left"/>
      <w:pPr>
        <w:ind w:left="2060" w:hanging="1080"/>
      </w:pPr>
      <w:rPr>
        <w:rFonts w:hint="default"/>
      </w:rPr>
    </w:lvl>
    <w:lvl w:ilvl="2" w:tentative="0">
      <w:start w:val="2"/>
      <w:numFmt w:val="decimal"/>
      <w:lvlText w:val="%3、"/>
      <w:lvlJc w:val="left"/>
      <w:pPr>
        <w:tabs>
          <w:tab w:val="left" w:pos="2120"/>
        </w:tabs>
        <w:ind w:left="2120" w:hanging="720"/>
      </w:pPr>
      <w:rPr>
        <w:rFonts w:hint="default"/>
      </w:r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8">
    <w:nsid w:val="58F5744B"/>
    <w:multiLevelType w:val="multilevel"/>
    <w:tmpl w:val="58F5744B"/>
    <w:lvl w:ilvl="0" w:tentative="0">
      <w:start w:val="1"/>
      <w:numFmt w:val="bullet"/>
      <w:pStyle w:val="535"/>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39">
    <w:nsid w:val="5F075935"/>
    <w:multiLevelType w:val="multilevel"/>
    <w:tmpl w:val="5F075935"/>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pStyle w:val="241"/>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40">
    <w:nsid w:val="5F6B4979"/>
    <w:multiLevelType w:val="multilevel"/>
    <w:tmpl w:val="5F6B4979"/>
    <w:lvl w:ilvl="0" w:tentative="0">
      <w:start w:val="1"/>
      <w:numFmt w:val="bullet"/>
      <w:pStyle w:val="281"/>
      <w:lvlText w:val=""/>
      <w:lvlJc w:val="left"/>
      <w:pPr>
        <w:tabs>
          <w:tab w:val="left" w:pos="1446"/>
        </w:tabs>
        <w:ind w:left="1446" w:hanging="482"/>
      </w:pPr>
      <w:rPr>
        <w:rFonts w:hint="default" w:ascii="Wingdings" w:hAnsi="Wingdings"/>
      </w:rPr>
    </w:lvl>
    <w:lvl w:ilvl="1" w:tentative="0">
      <w:start w:val="1"/>
      <w:numFmt w:val="bullet"/>
      <w:lvlText w:val=""/>
      <w:lvlJc w:val="left"/>
      <w:pPr>
        <w:tabs>
          <w:tab w:val="left" w:pos="902"/>
        </w:tabs>
        <w:ind w:left="902" w:hanging="482"/>
      </w:pPr>
      <w:rPr>
        <w:rFonts w:hint="default" w:ascii="Wingdings" w:hAnsi="Wingding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1">
    <w:nsid w:val="609B5B35"/>
    <w:multiLevelType w:val="multilevel"/>
    <w:tmpl w:val="609B5B35"/>
    <w:lvl w:ilvl="0" w:tentative="0">
      <w:start w:val="1"/>
      <w:numFmt w:val="bullet"/>
      <w:pStyle w:val="116"/>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2">
    <w:nsid w:val="62F235FA"/>
    <w:multiLevelType w:val="multilevel"/>
    <w:tmpl w:val="62F235FA"/>
    <w:lvl w:ilvl="0" w:tentative="0">
      <w:start w:val="1"/>
      <w:numFmt w:val="decimal"/>
      <w:pStyle w:val="472"/>
      <w:lvlText w:val="%1)"/>
      <w:lvlJc w:val="left"/>
      <w:pPr>
        <w:ind w:left="820" w:hanging="420"/>
      </w:p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43">
    <w:nsid w:val="6CEA2025"/>
    <w:multiLevelType w:val="multilevel"/>
    <w:tmpl w:val="6CEA2025"/>
    <w:lvl w:ilvl="0" w:tentative="0">
      <w:start w:val="1"/>
      <w:numFmt w:val="none"/>
      <w:pStyle w:val="395"/>
      <w:suff w:val="nothing"/>
      <w:lvlText w:val="%1"/>
      <w:lvlJc w:val="left"/>
      <w:pPr>
        <w:ind w:left="0" w:firstLine="0"/>
      </w:pPr>
      <w:rPr>
        <w:rFonts w:hint="default" w:ascii="Times New Roman" w:hAnsi="Times New Roman"/>
        <w:b/>
        <w:i w:val="0"/>
        <w:sz w:val="21"/>
      </w:rPr>
    </w:lvl>
    <w:lvl w:ilvl="1" w:tentative="0">
      <w:start w:val="1"/>
      <w:numFmt w:val="decimal"/>
      <w:pStyle w:val="476"/>
      <w:suff w:val="nothing"/>
      <w:lvlText w:val="%1%2　"/>
      <w:lvlJc w:val="left"/>
      <w:pPr>
        <w:ind w:left="0" w:firstLine="0"/>
      </w:pPr>
      <w:rPr>
        <w:rFonts w:hint="eastAsia" w:ascii="黑体" w:hAnsi="Times New Roman" w:eastAsia="黑体"/>
        <w:b w:val="0"/>
        <w:i w:val="0"/>
        <w:sz w:val="21"/>
      </w:rPr>
    </w:lvl>
    <w:lvl w:ilvl="2" w:tentative="0">
      <w:start w:val="1"/>
      <w:numFmt w:val="decimal"/>
      <w:pStyle w:val="471"/>
      <w:suff w:val="nothing"/>
      <w:lvlText w:val="%1%2.%3　"/>
      <w:lvlJc w:val="left"/>
      <w:pPr>
        <w:ind w:left="0" w:firstLine="0"/>
      </w:pPr>
      <w:rPr>
        <w:rFonts w:hint="eastAsia" w:ascii="黑体" w:hAnsi="Times New Roman" w:eastAsia="黑体"/>
        <w:b w:val="0"/>
        <w:i w:val="0"/>
        <w:sz w:val="21"/>
      </w:rPr>
    </w:lvl>
    <w:lvl w:ilvl="3" w:tentative="0">
      <w:start w:val="1"/>
      <w:numFmt w:val="decimal"/>
      <w:pStyle w:val="470"/>
      <w:lvlText w:val="%4)"/>
      <w:lvlJc w:val="left"/>
      <w:pPr>
        <w:ind w:left="0" w:firstLine="0"/>
      </w:pPr>
      <w:rPr>
        <w:rFonts w:hint="eastAsia"/>
        <w:b w:val="0"/>
        <w:i w:val="0"/>
        <w:sz w:val="21"/>
      </w:rPr>
    </w:lvl>
    <w:lvl w:ilvl="4" w:tentative="0">
      <w:start w:val="1"/>
      <w:numFmt w:val="bullet"/>
      <w:pStyle w:val="469"/>
      <w:lvlText w:val=""/>
      <w:lvlJc w:val="left"/>
      <w:pPr>
        <w:ind w:left="0" w:firstLine="0"/>
      </w:pPr>
      <w:rPr>
        <w:rFonts w:hint="default" w:ascii="Wingdings" w:hAnsi="Wingdings"/>
        <w:b w:val="0"/>
        <w:i w:val="0"/>
        <w:sz w:val="21"/>
      </w:rPr>
    </w:lvl>
    <w:lvl w:ilvl="5" w:tentative="0">
      <w:start w:val="1"/>
      <w:numFmt w:val="decimal"/>
      <w:pStyle w:val="623"/>
      <w:suff w:val="nothing"/>
      <w:lvlText w:val="%1%2.%3.%4.%5.%6　"/>
      <w:lvlJc w:val="left"/>
      <w:pPr>
        <w:ind w:left="0" w:firstLine="0"/>
      </w:pPr>
      <w:rPr>
        <w:rFonts w:hint="eastAsia" w:ascii="黑体" w:hAnsi="Times New Roman" w:eastAsia="黑体"/>
        <w:b w:val="0"/>
        <w:i w:val="0"/>
        <w:sz w:val="21"/>
      </w:rPr>
    </w:lvl>
    <w:lvl w:ilvl="6" w:tentative="0">
      <w:start w:val="1"/>
      <w:numFmt w:val="decimal"/>
      <w:pStyle w:val="73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4">
    <w:nsid w:val="6F41523A"/>
    <w:multiLevelType w:val="multilevel"/>
    <w:tmpl w:val="6F41523A"/>
    <w:lvl w:ilvl="0" w:tentative="0">
      <w:start w:val="1"/>
      <w:numFmt w:val="decimal"/>
      <w:pStyle w:val="463"/>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5">
    <w:nsid w:val="7C0B7765"/>
    <w:multiLevelType w:val="multilevel"/>
    <w:tmpl w:val="7C0B7765"/>
    <w:lvl w:ilvl="0" w:tentative="0">
      <w:start w:val="1"/>
      <w:numFmt w:val="bullet"/>
      <w:pStyle w:val="228"/>
      <w:lvlText w:val=""/>
      <w:lvlJc w:val="left"/>
      <w:pPr>
        <w:tabs>
          <w:tab w:val="left" w:pos="900"/>
        </w:tabs>
        <w:ind w:left="90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6">
    <w:nsid w:val="7E746C60"/>
    <w:multiLevelType w:val="multilevel"/>
    <w:tmpl w:val="7E746C60"/>
    <w:lvl w:ilvl="0" w:tentative="0">
      <w:start w:val="1"/>
      <w:numFmt w:val="bullet"/>
      <w:pStyle w:val="737"/>
      <w:lvlText w:val=""/>
      <w:lvlJc w:val="left"/>
      <w:pPr>
        <w:ind w:left="820" w:hanging="420"/>
      </w:pPr>
      <w:rPr>
        <w:rFonts w:hint="default" w:ascii="Wingdings" w:hAnsi="Wingdings"/>
      </w:rPr>
    </w:lvl>
    <w:lvl w:ilvl="1" w:tentative="0">
      <w:start w:val="1"/>
      <w:numFmt w:val="bullet"/>
      <w:lvlText w:val=""/>
      <w:lvlJc w:val="left"/>
      <w:pPr>
        <w:ind w:left="1240" w:hanging="420"/>
      </w:pPr>
      <w:rPr>
        <w:rFonts w:hint="default" w:ascii="Wingdings" w:hAnsi="Wingdings"/>
      </w:rPr>
    </w:lvl>
    <w:lvl w:ilvl="2" w:tentative="0">
      <w:start w:val="1"/>
      <w:numFmt w:val="bullet"/>
      <w:lvlText w:val=""/>
      <w:lvlJc w:val="left"/>
      <w:pPr>
        <w:ind w:left="1660" w:hanging="420"/>
      </w:pPr>
      <w:rPr>
        <w:rFonts w:hint="default" w:ascii="Wingdings" w:hAnsi="Wingdings"/>
      </w:rPr>
    </w:lvl>
    <w:lvl w:ilvl="3" w:tentative="0">
      <w:start w:val="1"/>
      <w:numFmt w:val="bullet"/>
      <w:lvlText w:val=""/>
      <w:lvlJc w:val="left"/>
      <w:pPr>
        <w:ind w:left="2080" w:hanging="420"/>
      </w:pPr>
      <w:rPr>
        <w:rFonts w:hint="default" w:ascii="Wingdings" w:hAnsi="Wingdings"/>
      </w:rPr>
    </w:lvl>
    <w:lvl w:ilvl="4" w:tentative="0">
      <w:start w:val="1"/>
      <w:numFmt w:val="bullet"/>
      <w:lvlText w:val=""/>
      <w:lvlJc w:val="left"/>
      <w:pPr>
        <w:ind w:left="2500" w:hanging="420"/>
      </w:pPr>
      <w:rPr>
        <w:rFonts w:hint="default" w:ascii="Wingdings" w:hAnsi="Wingdings"/>
      </w:rPr>
    </w:lvl>
    <w:lvl w:ilvl="5" w:tentative="0">
      <w:start w:val="1"/>
      <w:numFmt w:val="bullet"/>
      <w:lvlText w:val=""/>
      <w:lvlJc w:val="left"/>
      <w:pPr>
        <w:ind w:left="2920" w:hanging="420"/>
      </w:pPr>
      <w:rPr>
        <w:rFonts w:hint="default" w:ascii="Wingdings" w:hAnsi="Wingdings"/>
      </w:rPr>
    </w:lvl>
    <w:lvl w:ilvl="6" w:tentative="0">
      <w:start w:val="1"/>
      <w:numFmt w:val="bullet"/>
      <w:lvlText w:val=""/>
      <w:lvlJc w:val="left"/>
      <w:pPr>
        <w:ind w:left="3340" w:hanging="420"/>
      </w:pPr>
      <w:rPr>
        <w:rFonts w:hint="default" w:ascii="Wingdings" w:hAnsi="Wingdings"/>
      </w:rPr>
    </w:lvl>
    <w:lvl w:ilvl="7" w:tentative="0">
      <w:start w:val="1"/>
      <w:numFmt w:val="bullet"/>
      <w:lvlText w:val=""/>
      <w:lvlJc w:val="left"/>
      <w:pPr>
        <w:ind w:left="3760" w:hanging="420"/>
      </w:pPr>
      <w:rPr>
        <w:rFonts w:hint="default" w:ascii="Wingdings" w:hAnsi="Wingdings"/>
      </w:rPr>
    </w:lvl>
    <w:lvl w:ilvl="8" w:tentative="0">
      <w:start w:val="1"/>
      <w:numFmt w:val="bullet"/>
      <w:lvlText w:val=""/>
      <w:lvlJc w:val="left"/>
      <w:pPr>
        <w:ind w:left="4180" w:hanging="420"/>
      </w:pPr>
      <w:rPr>
        <w:rFonts w:hint="default" w:ascii="Wingdings" w:hAnsi="Wingdings"/>
      </w:rPr>
    </w:lvl>
  </w:abstractNum>
  <w:num w:numId="1">
    <w:abstractNumId w:val="9"/>
  </w:num>
  <w:num w:numId="2">
    <w:abstractNumId w:val="22"/>
  </w:num>
  <w:num w:numId="3">
    <w:abstractNumId w:val="27"/>
  </w:num>
  <w:num w:numId="4">
    <w:abstractNumId w:val="10"/>
  </w:num>
  <w:num w:numId="5">
    <w:abstractNumId w:val="36"/>
  </w:num>
  <w:num w:numId="6">
    <w:abstractNumId w:val="41"/>
  </w:num>
  <w:num w:numId="7">
    <w:abstractNumId w:val="15"/>
  </w:num>
  <w:num w:numId="8">
    <w:abstractNumId w:val="4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39"/>
  </w:num>
  <w:num w:numId="10">
    <w:abstractNumId w:val="40"/>
  </w:num>
  <w:num w:numId="11">
    <w:abstractNumId w:val="3"/>
  </w:num>
  <w:num w:numId="12">
    <w:abstractNumId w:val="33"/>
  </w:num>
  <w:num w:numId="13">
    <w:abstractNumId w:val="37"/>
  </w:num>
  <w:num w:numId="14">
    <w:abstractNumId w:val="30"/>
  </w:num>
  <w:num w:numId="15">
    <w:abstractNumId w:val="28"/>
  </w:num>
  <w:num w:numId="16">
    <w:abstractNumId w:val="16"/>
  </w:num>
  <w:num w:numId="17">
    <w:abstractNumId w:val="43"/>
  </w:num>
  <w:num w:numId="18">
    <w:abstractNumId w:val="29"/>
  </w:num>
  <w:num w:numId="19">
    <w:abstractNumId w:val="6"/>
  </w:num>
  <w:num w:numId="20">
    <w:abstractNumId w:val="20"/>
  </w:num>
  <w:num w:numId="21">
    <w:abstractNumId w:val="44"/>
  </w:num>
  <w:num w:numId="22">
    <w:abstractNumId w:val="23"/>
  </w:num>
  <w:num w:numId="23">
    <w:abstractNumId w:val="42"/>
  </w:num>
  <w:num w:numId="24">
    <w:abstractNumId w:val="25"/>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7"/>
  </w:num>
  <w:num w:numId="28">
    <w:abstractNumId w:val="2"/>
  </w:num>
  <w:num w:numId="29">
    <w:abstractNumId w:val="38"/>
  </w:num>
  <w:num w:numId="30">
    <w:abstractNumId w:val="17"/>
  </w:num>
  <w:num w:numId="31">
    <w:abstractNumId w:val="11"/>
  </w:num>
  <w:num w:numId="32">
    <w:abstractNumId w:val="21"/>
  </w:num>
  <w:num w:numId="33">
    <w:abstractNumId w:val="13"/>
  </w:num>
  <w:num w:numId="34">
    <w:abstractNumId w:val="12"/>
  </w:num>
  <w:num w:numId="35">
    <w:abstractNumId w:val="35"/>
  </w:num>
  <w:num w:numId="36">
    <w:abstractNumId w:val="32"/>
  </w:num>
  <w:num w:numId="37">
    <w:abstractNumId w:val="31"/>
  </w:num>
  <w:num w:numId="38">
    <w:abstractNumId w:val="34"/>
  </w:num>
  <w:num w:numId="39">
    <w:abstractNumId w:val="8"/>
  </w:num>
  <w:num w:numId="40">
    <w:abstractNumId w:val="46"/>
  </w:num>
  <w:num w:numId="41">
    <w:abstractNumId w:val="5"/>
  </w:num>
  <w:num w:numId="42">
    <w:abstractNumId w:val="14"/>
  </w:num>
  <w:num w:numId="43">
    <w:abstractNumId w:val="19"/>
  </w:num>
  <w:num w:numId="44">
    <w:abstractNumId w:val="0"/>
  </w:num>
  <w:num w:numId="45">
    <w:abstractNumId w:val="1"/>
  </w:num>
  <w:num w:numId="46">
    <w:abstractNumId w:val="26"/>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nforcement="0"/>
  <w:defaultTabStop w:val="420"/>
  <w:drawingGridHorizontalSpacing w:val="210"/>
  <w:drawingGridVerticalSpacing w:val="-794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3NGI4NDRmNjA0NGY5ZmJlOTY2MjM2NjY4OTU0MWQifQ=="/>
  </w:docVars>
  <w:rsids>
    <w:rsidRoot w:val="002968B1"/>
    <w:rsid w:val="00000714"/>
    <w:rsid w:val="00003108"/>
    <w:rsid w:val="00004308"/>
    <w:rsid w:val="00004CBE"/>
    <w:rsid w:val="0001115D"/>
    <w:rsid w:val="000139C9"/>
    <w:rsid w:val="00015FFB"/>
    <w:rsid w:val="000160CF"/>
    <w:rsid w:val="00026DC7"/>
    <w:rsid w:val="00027642"/>
    <w:rsid w:val="00032DC0"/>
    <w:rsid w:val="00035CEF"/>
    <w:rsid w:val="000408B2"/>
    <w:rsid w:val="00041DDC"/>
    <w:rsid w:val="00043890"/>
    <w:rsid w:val="00044ADE"/>
    <w:rsid w:val="00047321"/>
    <w:rsid w:val="00052407"/>
    <w:rsid w:val="00053B24"/>
    <w:rsid w:val="00054AC5"/>
    <w:rsid w:val="000555A7"/>
    <w:rsid w:val="00055B99"/>
    <w:rsid w:val="00067D0E"/>
    <w:rsid w:val="0007046E"/>
    <w:rsid w:val="00070911"/>
    <w:rsid w:val="0007387C"/>
    <w:rsid w:val="00073AB3"/>
    <w:rsid w:val="00074CB2"/>
    <w:rsid w:val="000843EB"/>
    <w:rsid w:val="000848DD"/>
    <w:rsid w:val="0008522B"/>
    <w:rsid w:val="00093010"/>
    <w:rsid w:val="00096A12"/>
    <w:rsid w:val="000A30C4"/>
    <w:rsid w:val="000A323B"/>
    <w:rsid w:val="000A3928"/>
    <w:rsid w:val="000A3BC4"/>
    <w:rsid w:val="000A3BCD"/>
    <w:rsid w:val="000A7381"/>
    <w:rsid w:val="000A78EC"/>
    <w:rsid w:val="000B119F"/>
    <w:rsid w:val="000B27A7"/>
    <w:rsid w:val="000B36A8"/>
    <w:rsid w:val="000C2D3A"/>
    <w:rsid w:val="000C3BFB"/>
    <w:rsid w:val="000C3F2D"/>
    <w:rsid w:val="000D05F0"/>
    <w:rsid w:val="000D1084"/>
    <w:rsid w:val="000D1220"/>
    <w:rsid w:val="000D1334"/>
    <w:rsid w:val="000D27AC"/>
    <w:rsid w:val="000D3077"/>
    <w:rsid w:val="000D5431"/>
    <w:rsid w:val="000E0F42"/>
    <w:rsid w:val="000E3D56"/>
    <w:rsid w:val="000E6213"/>
    <w:rsid w:val="000E6435"/>
    <w:rsid w:val="000F3A65"/>
    <w:rsid w:val="000F5485"/>
    <w:rsid w:val="000F72A1"/>
    <w:rsid w:val="000F776D"/>
    <w:rsid w:val="0010041F"/>
    <w:rsid w:val="001048B5"/>
    <w:rsid w:val="0011590D"/>
    <w:rsid w:val="001166D2"/>
    <w:rsid w:val="0013144E"/>
    <w:rsid w:val="00133EC5"/>
    <w:rsid w:val="00134024"/>
    <w:rsid w:val="00134E57"/>
    <w:rsid w:val="00137946"/>
    <w:rsid w:val="00144D7F"/>
    <w:rsid w:val="00146862"/>
    <w:rsid w:val="00147D64"/>
    <w:rsid w:val="0015224D"/>
    <w:rsid w:val="00155699"/>
    <w:rsid w:val="001569B2"/>
    <w:rsid w:val="001616AE"/>
    <w:rsid w:val="00163474"/>
    <w:rsid w:val="0016352C"/>
    <w:rsid w:val="001638B2"/>
    <w:rsid w:val="00173110"/>
    <w:rsid w:val="0017340F"/>
    <w:rsid w:val="0017347D"/>
    <w:rsid w:val="0017504E"/>
    <w:rsid w:val="00176E24"/>
    <w:rsid w:val="00180B71"/>
    <w:rsid w:val="00180D9E"/>
    <w:rsid w:val="00185C66"/>
    <w:rsid w:val="001948DE"/>
    <w:rsid w:val="001966AE"/>
    <w:rsid w:val="00197CDF"/>
    <w:rsid w:val="001B00D9"/>
    <w:rsid w:val="001B40D9"/>
    <w:rsid w:val="001B7394"/>
    <w:rsid w:val="001B7F5D"/>
    <w:rsid w:val="001C0F94"/>
    <w:rsid w:val="001C2B65"/>
    <w:rsid w:val="001C31E2"/>
    <w:rsid w:val="001C5A98"/>
    <w:rsid w:val="001C6F1C"/>
    <w:rsid w:val="001D176C"/>
    <w:rsid w:val="001D3232"/>
    <w:rsid w:val="001D3D4C"/>
    <w:rsid w:val="001D4443"/>
    <w:rsid w:val="001E1C28"/>
    <w:rsid w:val="001E39EF"/>
    <w:rsid w:val="001E5B70"/>
    <w:rsid w:val="001E7020"/>
    <w:rsid w:val="001E7436"/>
    <w:rsid w:val="001F141F"/>
    <w:rsid w:val="001F1A34"/>
    <w:rsid w:val="0020342B"/>
    <w:rsid w:val="0020646B"/>
    <w:rsid w:val="00207965"/>
    <w:rsid w:val="00210532"/>
    <w:rsid w:val="00210F6D"/>
    <w:rsid w:val="00212434"/>
    <w:rsid w:val="00215E7C"/>
    <w:rsid w:val="00217760"/>
    <w:rsid w:val="00217BD7"/>
    <w:rsid w:val="0022745B"/>
    <w:rsid w:val="00230636"/>
    <w:rsid w:val="00230A32"/>
    <w:rsid w:val="00233955"/>
    <w:rsid w:val="00234FC0"/>
    <w:rsid w:val="00235ECF"/>
    <w:rsid w:val="00241F42"/>
    <w:rsid w:val="00246F98"/>
    <w:rsid w:val="00250A70"/>
    <w:rsid w:val="00255840"/>
    <w:rsid w:val="00256101"/>
    <w:rsid w:val="00256985"/>
    <w:rsid w:val="00264063"/>
    <w:rsid w:val="00266B0C"/>
    <w:rsid w:val="00267D41"/>
    <w:rsid w:val="0027209D"/>
    <w:rsid w:val="00273693"/>
    <w:rsid w:val="00274194"/>
    <w:rsid w:val="00274C89"/>
    <w:rsid w:val="0028712E"/>
    <w:rsid w:val="0029170A"/>
    <w:rsid w:val="002937A1"/>
    <w:rsid w:val="00293E97"/>
    <w:rsid w:val="002941AB"/>
    <w:rsid w:val="0029448D"/>
    <w:rsid w:val="002968B1"/>
    <w:rsid w:val="002A30E3"/>
    <w:rsid w:val="002A5293"/>
    <w:rsid w:val="002B3C52"/>
    <w:rsid w:val="002B4785"/>
    <w:rsid w:val="002C0EB4"/>
    <w:rsid w:val="002C233D"/>
    <w:rsid w:val="002C298A"/>
    <w:rsid w:val="002C3978"/>
    <w:rsid w:val="002D1F47"/>
    <w:rsid w:val="002D2352"/>
    <w:rsid w:val="002D350C"/>
    <w:rsid w:val="002D63E5"/>
    <w:rsid w:val="002D7BDE"/>
    <w:rsid w:val="002E043F"/>
    <w:rsid w:val="002E358F"/>
    <w:rsid w:val="002E3631"/>
    <w:rsid w:val="002E4534"/>
    <w:rsid w:val="002E4744"/>
    <w:rsid w:val="002E6A3B"/>
    <w:rsid w:val="002F1307"/>
    <w:rsid w:val="0030222C"/>
    <w:rsid w:val="00305338"/>
    <w:rsid w:val="00310483"/>
    <w:rsid w:val="003112FB"/>
    <w:rsid w:val="00313063"/>
    <w:rsid w:val="00315594"/>
    <w:rsid w:val="00325476"/>
    <w:rsid w:val="00326EC4"/>
    <w:rsid w:val="00334536"/>
    <w:rsid w:val="00337791"/>
    <w:rsid w:val="0033784A"/>
    <w:rsid w:val="00340B4E"/>
    <w:rsid w:val="00341E57"/>
    <w:rsid w:val="003442AA"/>
    <w:rsid w:val="003475CE"/>
    <w:rsid w:val="003553E6"/>
    <w:rsid w:val="00356E13"/>
    <w:rsid w:val="00357136"/>
    <w:rsid w:val="00366E48"/>
    <w:rsid w:val="0037053A"/>
    <w:rsid w:val="003744E4"/>
    <w:rsid w:val="00376111"/>
    <w:rsid w:val="00376311"/>
    <w:rsid w:val="00377746"/>
    <w:rsid w:val="00382260"/>
    <w:rsid w:val="003822B8"/>
    <w:rsid w:val="00384321"/>
    <w:rsid w:val="00386429"/>
    <w:rsid w:val="00391EDF"/>
    <w:rsid w:val="00392DAA"/>
    <w:rsid w:val="00395D62"/>
    <w:rsid w:val="00396D9F"/>
    <w:rsid w:val="003A085D"/>
    <w:rsid w:val="003A7115"/>
    <w:rsid w:val="003B578D"/>
    <w:rsid w:val="003B6079"/>
    <w:rsid w:val="003B6672"/>
    <w:rsid w:val="003B775F"/>
    <w:rsid w:val="003C21B1"/>
    <w:rsid w:val="003C2C8D"/>
    <w:rsid w:val="003C3E6D"/>
    <w:rsid w:val="003D2894"/>
    <w:rsid w:val="003D55C5"/>
    <w:rsid w:val="003D6A82"/>
    <w:rsid w:val="003E0EC1"/>
    <w:rsid w:val="003E1AD7"/>
    <w:rsid w:val="003E5B70"/>
    <w:rsid w:val="003F3925"/>
    <w:rsid w:val="003F470D"/>
    <w:rsid w:val="003F5017"/>
    <w:rsid w:val="003F7361"/>
    <w:rsid w:val="004016F8"/>
    <w:rsid w:val="004064DD"/>
    <w:rsid w:val="0041692C"/>
    <w:rsid w:val="00417AC7"/>
    <w:rsid w:val="0042114F"/>
    <w:rsid w:val="00422FD8"/>
    <w:rsid w:val="00434762"/>
    <w:rsid w:val="00434E29"/>
    <w:rsid w:val="0044732B"/>
    <w:rsid w:val="00450359"/>
    <w:rsid w:val="00451578"/>
    <w:rsid w:val="00451A10"/>
    <w:rsid w:val="004534C9"/>
    <w:rsid w:val="00457541"/>
    <w:rsid w:val="00461B90"/>
    <w:rsid w:val="0046341B"/>
    <w:rsid w:val="004676E1"/>
    <w:rsid w:val="0047098D"/>
    <w:rsid w:val="004753CB"/>
    <w:rsid w:val="00475A4D"/>
    <w:rsid w:val="00475F32"/>
    <w:rsid w:val="00480C31"/>
    <w:rsid w:val="00493FD2"/>
    <w:rsid w:val="004973C7"/>
    <w:rsid w:val="004A0C14"/>
    <w:rsid w:val="004A14E3"/>
    <w:rsid w:val="004A15BD"/>
    <w:rsid w:val="004A2751"/>
    <w:rsid w:val="004A575C"/>
    <w:rsid w:val="004A579E"/>
    <w:rsid w:val="004A74BE"/>
    <w:rsid w:val="004A7ED9"/>
    <w:rsid w:val="004B0F72"/>
    <w:rsid w:val="004B26AD"/>
    <w:rsid w:val="004B4C40"/>
    <w:rsid w:val="004C110A"/>
    <w:rsid w:val="004D10D6"/>
    <w:rsid w:val="004D29B6"/>
    <w:rsid w:val="004D2CFD"/>
    <w:rsid w:val="004E1A21"/>
    <w:rsid w:val="004E2D85"/>
    <w:rsid w:val="004E32A7"/>
    <w:rsid w:val="004E5586"/>
    <w:rsid w:val="004E7E14"/>
    <w:rsid w:val="004F2CEF"/>
    <w:rsid w:val="004F3471"/>
    <w:rsid w:val="004F3780"/>
    <w:rsid w:val="004F422B"/>
    <w:rsid w:val="004F44EF"/>
    <w:rsid w:val="00500BF4"/>
    <w:rsid w:val="00500CEB"/>
    <w:rsid w:val="00502436"/>
    <w:rsid w:val="00502DDD"/>
    <w:rsid w:val="00506F40"/>
    <w:rsid w:val="00515E83"/>
    <w:rsid w:val="00517822"/>
    <w:rsid w:val="00522111"/>
    <w:rsid w:val="00525E0D"/>
    <w:rsid w:val="00532A3E"/>
    <w:rsid w:val="005459C2"/>
    <w:rsid w:val="0054720E"/>
    <w:rsid w:val="00547D46"/>
    <w:rsid w:val="00550E3E"/>
    <w:rsid w:val="00553128"/>
    <w:rsid w:val="00554075"/>
    <w:rsid w:val="00554E3A"/>
    <w:rsid w:val="00557886"/>
    <w:rsid w:val="00562C8D"/>
    <w:rsid w:val="005677BE"/>
    <w:rsid w:val="00571C77"/>
    <w:rsid w:val="00574C05"/>
    <w:rsid w:val="00577C39"/>
    <w:rsid w:val="00581876"/>
    <w:rsid w:val="00590EB2"/>
    <w:rsid w:val="00593BC2"/>
    <w:rsid w:val="00596A1C"/>
    <w:rsid w:val="005A2EC0"/>
    <w:rsid w:val="005A497A"/>
    <w:rsid w:val="005A5016"/>
    <w:rsid w:val="005A59CC"/>
    <w:rsid w:val="005A59DF"/>
    <w:rsid w:val="005A6DC4"/>
    <w:rsid w:val="005B0672"/>
    <w:rsid w:val="005B2A45"/>
    <w:rsid w:val="005B5022"/>
    <w:rsid w:val="005B5527"/>
    <w:rsid w:val="005C7BB1"/>
    <w:rsid w:val="005D33FB"/>
    <w:rsid w:val="005D534F"/>
    <w:rsid w:val="005E0598"/>
    <w:rsid w:val="005E2FD4"/>
    <w:rsid w:val="005E39B2"/>
    <w:rsid w:val="005E4AE5"/>
    <w:rsid w:val="005E4B06"/>
    <w:rsid w:val="005E5AEB"/>
    <w:rsid w:val="005E6EA9"/>
    <w:rsid w:val="005F2E16"/>
    <w:rsid w:val="005F3F4F"/>
    <w:rsid w:val="005F65D1"/>
    <w:rsid w:val="00600E7A"/>
    <w:rsid w:val="0060329A"/>
    <w:rsid w:val="00605562"/>
    <w:rsid w:val="00607A8E"/>
    <w:rsid w:val="006103E4"/>
    <w:rsid w:val="006116ED"/>
    <w:rsid w:val="00612853"/>
    <w:rsid w:val="00615020"/>
    <w:rsid w:val="006151B6"/>
    <w:rsid w:val="006158CB"/>
    <w:rsid w:val="00615C51"/>
    <w:rsid w:val="006171E1"/>
    <w:rsid w:val="00617B8B"/>
    <w:rsid w:val="00620848"/>
    <w:rsid w:val="00621ABD"/>
    <w:rsid w:val="00621F1B"/>
    <w:rsid w:val="00622620"/>
    <w:rsid w:val="00623F3C"/>
    <w:rsid w:val="00634892"/>
    <w:rsid w:val="00644F0E"/>
    <w:rsid w:val="00650D89"/>
    <w:rsid w:val="00653DFC"/>
    <w:rsid w:val="00656373"/>
    <w:rsid w:val="00656B09"/>
    <w:rsid w:val="00661761"/>
    <w:rsid w:val="006650F1"/>
    <w:rsid w:val="00665138"/>
    <w:rsid w:val="0067108D"/>
    <w:rsid w:val="00672623"/>
    <w:rsid w:val="00675560"/>
    <w:rsid w:val="00675DBB"/>
    <w:rsid w:val="0068144A"/>
    <w:rsid w:val="00682AE9"/>
    <w:rsid w:val="00686584"/>
    <w:rsid w:val="0068711A"/>
    <w:rsid w:val="006909C1"/>
    <w:rsid w:val="00690A4B"/>
    <w:rsid w:val="00692838"/>
    <w:rsid w:val="00695AA1"/>
    <w:rsid w:val="006A74D5"/>
    <w:rsid w:val="006B0503"/>
    <w:rsid w:val="006B6EDD"/>
    <w:rsid w:val="006C0945"/>
    <w:rsid w:val="006C0CB9"/>
    <w:rsid w:val="006C10E0"/>
    <w:rsid w:val="006C34DF"/>
    <w:rsid w:val="006C3D6E"/>
    <w:rsid w:val="006C5FD1"/>
    <w:rsid w:val="006D6300"/>
    <w:rsid w:val="006D7ED7"/>
    <w:rsid w:val="006E35EC"/>
    <w:rsid w:val="006E4B71"/>
    <w:rsid w:val="006E4F99"/>
    <w:rsid w:val="006E742B"/>
    <w:rsid w:val="006F2B54"/>
    <w:rsid w:val="006F31A6"/>
    <w:rsid w:val="006F449D"/>
    <w:rsid w:val="006F7792"/>
    <w:rsid w:val="00704EA8"/>
    <w:rsid w:val="00707BD6"/>
    <w:rsid w:val="00714F64"/>
    <w:rsid w:val="007160D2"/>
    <w:rsid w:val="0071634A"/>
    <w:rsid w:val="00717AD9"/>
    <w:rsid w:val="0073028A"/>
    <w:rsid w:val="007327C8"/>
    <w:rsid w:val="00732E95"/>
    <w:rsid w:val="00737B1B"/>
    <w:rsid w:val="00740806"/>
    <w:rsid w:val="00741DBE"/>
    <w:rsid w:val="00741DC0"/>
    <w:rsid w:val="00745803"/>
    <w:rsid w:val="0074615A"/>
    <w:rsid w:val="0075018A"/>
    <w:rsid w:val="00752FF6"/>
    <w:rsid w:val="00756F77"/>
    <w:rsid w:val="00761E08"/>
    <w:rsid w:val="00762F37"/>
    <w:rsid w:val="00763AF0"/>
    <w:rsid w:val="007648A7"/>
    <w:rsid w:val="00765BB5"/>
    <w:rsid w:val="00774B52"/>
    <w:rsid w:val="00775B9A"/>
    <w:rsid w:val="00780358"/>
    <w:rsid w:val="00780A25"/>
    <w:rsid w:val="00782B93"/>
    <w:rsid w:val="00790D2B"/>
    <w:rsid w:val="0079218F"/>
    <w:rsid w:val="0079718B"/>
    <w:rsid w:val="007A26AE"/>
    <w:rsid w:val="007A4C1C"/>
    <w:rsid w:val="007A72A8"/>
    <w:rsid w:val="007B0B76"/>
    <w:rsid w:val="007B4943"/>
    <w:rsid w:val="007B5496"/>
    <w:rsid w:val="007B66D4"/>
    <w:rsid w:val="007C166C"/>
    <w:rsid w:val="007C2C98"/>
    <w:rsid w:val="007C64A9"/>
    <w:rsid w:val="007D15B4"/>
    <w:rsid w:val="007D2529"/>
    <w:rsid w:val="007D4597"/>
    <w:rsid w:val="007D46B4"/>
    <w:rsid w:val="007D779D"/>
    <w:rsid w:val="007D7F7D"/>
    <w:rsid w:val="007E116B"/>
    <w:rsid w:val="007E3E19"/>
    <w:rsid w:val="007E4A58"/>
    <w:rsid w:val="007E5249"/>
    <w:rsid w:val="007E6780"/>
    <w:rsid w:val="007F08D3"/>
    <w:rsid w:val="007F1FBA"/>
    <w:rsid w:val="007F2838"/>
    <w:rsid w:val="007F7263"/>
    <w:rsid w:val="008013BA"/>
    <w:rsid w:val="00803E9B"/>
    <w:rsid w:val="008063BA"/>
    <w:rsid w:val="00810635"/>
    <w:rsid w:val="00811AD9"/>
    <w:rsid w:val="00814006"/>
    <w:rsid w:val="00816B8D"/>
    <w:rsid w:val="00821953"/>
    <w:rsid w:val="0084036F"/>
    <w:rsid w:val="00844E39"/>
    <w:rsid w:val="00846554"/>
    <w:rsid w:val="008466CA"/>
    <w:rsid w:val="00852064"/>
    <w:rsid w:val="00854ACD"/>
    <w:rsid w:val="00855DB1"/>
    <w:rsid w:val="00855DCE"/>
    <w:rsid w:val="0086023F"/>
    <w:rsid w:val="00860466"/>
    <w:rsid w:val="0086145F"/>
    <w:rsid w:val="00862444"/>
    <w:rsid w:val="008679A0"/>
    <w:rsid w:val="0087185A"/>
    <w:rsid w:val="0087319E"/>
    <w:rsid w:val="008756DA"/>
    <w:rsid w:val="008764D7"/>
    <w:rsid w:val="00876EF5"/>
    <w:rsid w:val="00880387"/>
    <w:rsid w:val="00882956"/>
    <w:rsid w:val="0088348F"/>
    <w:rsid w:val="00884643"/>
    <w:rsid w:val="00891D00"/>
    <w:rsid w:val="008A3F20"/>
    <w:rsid w:val="008A631A"/>
    <w:rsid w:val="008B006D"/>
    <w:rsid w:val="008B33B5"/>
    <w:rsid w:val="008C29F6"/>
    <w:rsid w:val="008C34AE"/>
    <w:rsid w:val="008C3F56"/>
    <w:rsid w:val="008C6D48"/>
    <w:rsid w:val="008C6F4F"/>
    <w:rsid w:val="008D698F"/>
    <w:rsid w:val="008D7999"/>
    <w:rsid w:val="008E5865"/>
    <w:rsid w:val="008E5B33"/>
    <w:rsid w:val="008E7E68"/>
    <w:rsid w:val="008F07B2"/>
    <w:rsid w:val="008F192E"/>
    <w:rsid w:val="008F1BD6"/>
    <w:rsid w:val="008F3D44"/>
    <w:rsid w:val="008F5FD3"/>
    <w:rsid w:val="0090178C"/>
    <w:rsid w:val="009019FD"/>
    <w:rsid w:val="009049E1"/>
    <w:rsid w:val="00910AFC"/>
    <w:rsid w:val="00911906"/>
    <w:rsid w:val="00915E43"/>
    <w:rsid w:val="0091704A"/>
    <w:rsid w:val="00917981"/>
    <w:rsid w:val="0092029D"/>
    <w:rsid w:val="00922F20"/>
    <w:rsid w:val="00937084"/>
    <w:rsid w:val="00941523"/>
    <w:rsid w:val="009446C7"/>
    <w:rsid w:val="009453B9"/>
    <w:rsid w:val="00945646"/>
    <w:rsid w:val="00945ADA"/>
    <w:rsid w:val="00946401"/>
    <w:rsid w:val="00950EBE"/>
    <w:rsid w:val="00952906"/>
    <w:rsid w:val="00956D0E"/>
    <w:rsid w:val="00966D3F"/>
    <w:rsid w:val="00972618"/>
    <w:rsid w:val="0097386B"/>
    <w:rsid w:val="00973D15"/>
    <w:rsid w:val="009752A7"/>
    <w:rsid w:val="00976167"/>
    <w:rsid w:val="00982705"/>
    <w:rsid w:val="009845B3"/>
    <w:rsid w:val="00986984"/>
    <w:rsid w:val="00990A69"/>
    <w:rsid w:val="00991E6B"/>
    <w:rsid w:val="00997537"/>
    <w:rsid w:val="009A495E"/>
    <w:rsid w:val="009A551E"/>
    <w:rsid w:val="009A63F0"/>
    <w:rsid w:val="009A700A"/>
    <w:rsid w:val="009A78D6"/>
    <w:rsid w:val="009A7D50"/>
    <w:rsid w:val="009B07B0"/>
    <w:rsid w:val="009B19B8"/>
    <w:rsid w:val="009B5117"/>
    <w:rsid w:val="009B5201"/>
    <w:rsid w:val="009B64D9"/>
    <w:rsid w:val="009C1044"/>
    <w:rsid w:val="009C1394"/>
    <w:rsid w:val="009C1FBE"/>
    <w:rsid w:val="009C52D6"/>
    <w:rsid w:val="009C5E34"/>
    <w:rsid w:val="009C740A"/>
    <w:rsid w:val="009F2814"/>
    <w:rsid w:val="009F2D49"/>
    <w:rsid w:val="00A00B53"/>
    <w:rsid w:val="00A0203B"/>
    <w:rsid w:val="00A026CA"/>
    <w:rsid w:val="00A045FA"/>
    <w:rsid w:val="00A04D2F"/>
    <w:rsid w:val="00A1244B"/>
    <w:rsid w:val="00A132EE"/>
    <w:rsid w:val="00A1667C"/>
    <w:rsid w:val="00A1698C"/>
    <w:rsid w:val="00A22150"/>
    <w:rsid w:val="00A223CD"/>
    <w:rsid w:val="00A27624"/>
    <w:rsid w:val="00A40571"/>
    <w:rsid w:val="00A41AC7"/>
    <w:rsid w:val="00A46256"/>
    <w:rsid w:val="00A46B53"/>
    <w:rsid w:val="00A47476"/>
    <w:rsid w:val="00A50791"/>
    <w:rsid w:val="00A523CF"/>
    <w:rsid w:val="00A6532F"/>
    <w:rsid w:val="00A77C23"/>
    <w:rsid w:val="00A85C54"/>
    <w:rsid w:val="00A94E05"/>
    <w:rsid w:val="00A95F0D"/>
    <w:rsid w:val="00AA205E"/>
    <w:rsid w:val="00AA264C"/>
    <w:rsid w:val="00AA29AA"/>
    <w:rsid w:val="00AA6BAA"/>
    <w:rsid w:val="00AB336C"/>
    <w:rsid w:val="00AB3E74"/>
    <w:rsid w:val="00AB4512"/>
    <w:rsid w:val="00AB5D44"/>
    <w:rsid w:val="00AB675C"/>
    <w:rsid w:val="00AC124D"/>
    <w:rsid w:val="00AC3A7E"/>
    <w:rsid w:val="00AC7104"/>
    <w:rsid w:val="00AC7437"/>
    <w:rsid w:val="00AD0B92"/>
    <w:rsid w:val="00AD1EA6"/>
    <w:rsid w:val="00AD3D9C"/>
    <w:rsid w:val="00AD5D9D"/>
    <w:rsid w:val="00AD74B1"/>
    <w:rsid w:val="00AD7DF5"/>
    <w:rsid w:val="00AE028E"/>
    <w:rsid w:val="00AE6657"/>
    <w:rsid w:val="00AF190B"/>
    <w:rsid w:val="00AF4535"/>
    <w:rsid w:val="00AF45FA"/>
    <w:rsid w:val="00B0082E"/>
    <w:rsid w:val="00B034EC"/>
    <w:rsid w:val="00B05A49"/>
    <w:rsid w:val="00B10161"/>
    <w:rsid w:val="00B11DB5"/>
    <w:rsid w:val="00B126C6"/>
    <w:rsid w:val="00B15825"/>
    <w:rsid w:val="00B174DB"/>
    <w:rsid w:val="00B26177"/>
    <w:rsid w:val="00B264CD"/>
    <w:rsid w:val="00B30DCD"/>
    <w:rsid w:val="00B30EBA"/>
    <w:rsid w:val="00B31AF6"/>
    <w:rsid w:val="00B32EE5"/>
    <w:rsid w:val="00B3397D"/>
    <w:rsid w:val="00B34EE5"/>
    <w:rsid w:val="00B35185"/>
    <w:rsid w:val="00B41CF1"/>
    <w:rsid w:val="00B43A03"/>
    <w:rsid w:val="00B47621"/>
    <w:rsid w:val="00B51447"/>
    <w:rsid w:val="00B5155C"/>
    <w:rsid w:val="00B518D2"/>
    <w:rsid w:val="00B51B5F"/>
    <w:rsid w:val="00B579CE"/>
    <w:rsid w:val="00B63501"/>
    <w:rsid w:val="00B64EAF"/>
    <w:rsid w:val="00B7127E"/>
    <w:rsid w:val="00B75024"/>
    <w:rsid w:val="00B7776A"/>
    <w:rsid w:val="00B82E3F"/>
    <w:rsid w:val="00B834C5"/>
    <w:rsid w:val="00B844BB"/>
    <w:rsid w:val="00B92342"/>
    <w:rsid w:val="00B95298"/>
    <w:rsid w:val="00B95841"/>
    <w:rsid w:val="00B97189"/>
    <w:rsid w:val="00BA0D7C"/>
    <w:rsid w:val="00BA119C"/>
    <w:rsid w:val="00BA30D2"/>
    <w:rsid w:val="00BA6693"/>
    <w:rsid w:val="00BA6F91"/>
    <w:rsid w:val="00BB0484"/>
    <w:rsid w:val="00BB0DAF"/>
    <w:rsid w:val="00BC50FA"/>
    <w:rsid w:val="00BC538D"/>
    <w:rsid w:val="00BD13DF"/>
    <w:rsid w:val="00BD21A8"/>
    <w:rsid w:val="00BD46F5"/>
    <w:rsid w:val="00BE1D4F"/>
    <w:rsid w:val="00BE2F8D"/>
    <w:rsid w:val="00BE4022"/>
    <w:rsid w:val="00BE4C2F"/>
    <w:rsid w:val="00BE6CFD"/>
    <w:rsid w:val="00BE6D58"/>
    <w:rsid w:val="00BE77A9"/>
    <w:rsid w:val="00BF030C"/>
    <w:rsid w:val="00BF11B9"/>
    <w:rsid w:val="00BF15FD"/>
    <w:rsid w:val="00BF4801"/>
    <w:rsid w:val="00BF507B"/>
    <w:rsid w:val="00BF673F"/>
    <w:rsid w:val="00BF730E"/>
    <w:rsid w:val="00C02F22"/>
    <w:rsid w:val="00C03978"/>
    <w:rsid w:val="00C10D3A"/>
    <w:rsid w:val="00C14E98"/>
    <w:rsid w:val="00C17CB8"/>
    <w:rsid w:val="00C22EE8"/>
    <w:rsid w:val="00C323F9"/>
    <w:rsid w:val="00C33729"/>
    <w:rsid w:val="00C40B34"/>
    <w:rsid w:val="00C41639"/>
    <w:rsid w:val="00C4396D"/>
    <w:rsid w:val="00C443DE"/>
    <w:rsid w:val="00C522B1"/>
    <w:rsid w:val="00C565E8"/>
    <w:rsid w:val="00C70653"/>
    <w:rsid w:val="00C7097E"/>
    <w:rsid w:val="00C71AF6"/>
    <w:rsid w:val="00C91145"/>
    <w:rsid w:val="00C945DB"/>
    <w:rsid w:val="00C954F9"/>
    <w:rsid w:val="00CA0A82"/>
    <w:rsid w:val="00CA0BEB"/>
    <w:rsid w:val="00CA467D"/>
    <w:rsid w:val="00CA6543"/>
    <w:rsid w:val="00CA65B6"/>
    <w:rsid w:val="00CB09A1"/>
    <w:rsid w:val="00CB2552"/>
    <w:rsid w:val="00CB4AA8"/>
    <w:rsid w:val="00CC3F40"/>
    <w:rsid w:val="00CC4886"/>
    <w:rsid w:val="00CD0219"/>
    <w:rsid w:val="00CD41F2"/>
    <w:rsid w:val="00CD4CCF"/>
    <w:rsid w:val="00CD61BE"/>
    <w:rsid w:val="00CE03F4"/>
    <w:rsid w:val="00CF0E80"/>
    <w:rsid w:val="00CF1317"/>
    <w:rsid w:val="00CF2CA6"/>
    <w:rsid w:val="00CF3170"/>
    <w:rsid w:val="00D0262A"/>
    <w:rsid w:val="00D04A0D"/>
    <w:rsid w:val="00D04CA6"/>
    <w:rsid w:val="00D10439"/>
    <w:rsid w:val="00D13AAD"/>
    <w:rsid w:val="00D229CD"/>
    <w:rsid w:val="00D22FB6"/>
    <w:rsid w:val="00D24093"/>
    <w:rsid w:val="00D26FA6"/>
    <w:rsid w:val="00D30021"/>
    <w:rsid w:val="00D34DD1"/>
    <w:rsid w:val="00D4656A"/>
    <w:rsid w:val="00D4789C"/>
    <w:rsid w:val="00D47CAF"/>
    <w:rsid w:val="00D5122D"/>
    <w:rsid w:val="00D53B0C"/>
    <w:rsid w:val="00D54D04"/>
    <w:rsid w:val="00D55B00"/>
    <w:rsid w:val="00D60971"/>
    <w:rsid w:val="00D628F9"/>
    <w:rsid w:val="00D70341"/>
    <w:rsid w:val="00D70B51"/>
    <w:rsid w:val="00D70FD6"/>
    <w:rsid w:val="00D727D0"/>
    <w:rsid w:val="00D73336"/>
    <w:rsid w:val="00D74693"/>
    <w:rsid w:val="00D7774A"/>
    <w:rsid w:val="00D80343"/>
    <w:rsid w:val="00D8070B"/>
    <w:rsid w:val="00D80D77"/>
    <w:rsid w:val="00D81D58"/>
    <w:rsid w:val="00D824F0"/>
    <w:rsid w:val="00D8351A"/>
    <w:rsid w:val="00D83C0F"/>
    <w:rsid w:val="00D902E3"/>
    <w:rsid w:val="00D930F2"/>
    <w:rsid w:val="00D969F8"/>
    <w:rsid w:val="00DA1B93"/>
    <w:rsid w:val="00DA265F"/>
    <w:rsid w:val="00DA5BDC"/>
    <w:rsid w:val="00DA709E"/>
    <w:rsid w:val="00DB1BF7"/>
    <w:rsid w:val="00DB3A2B"/>
    <w:rsid w:val="00DB7EAB"/>
    <w:rsid w:val="00DC3C20"/>
    <w:rsid w:val="00DC43BF"/>
    <w:rsid w:val="00DC60FE"/>
    <w:rsid w:val="00DC632D"/>
    <w:rsid w:val="00DD2579"/>
    <w:rsid w:val="00DD277D"/>
    <w:rsid w:val="00DD46FF"/>
    <w:rsid w:val="00DE1130"/>
    <w:rsid w:val="00DF0143"/>
    <w:rsid w:val="00DF3100"/>
    <w:rsid w:val="00DF3925"/>
    <w:rsid w:val="00DF5C2C"/>
    <w:rsid w:val="00DF70E4"/>
    <w:rsid w:val="00E0220A"/>
    <w:rsid w:val="00E04FBD"/>
    <w:rsid w:val="00E05CF6"/>
    <w:rsid w:val="00E06612"/>
    <w:rsid w:val="00E103C0"/>
    <w:rsid w:val="00E10ABE"/>
    <w:rsid w:val="00E10DB6"/>
    <w:rsid w:val="00E12F47"/>
    <w:rsid w:val="00E14BCD"/>
    <w:rsid w:val="00E15118"/>
    <w:rsid w:val="00E154BB"/>
    <w:rsid w:val="00E21800"/>
    <w:rsid w:val="00E30100"/>
    <w:rsid w:val="00E30E03"/>
    <w:rsid w:val="00E33849"/>
    <w:rsid w:val="00E34629"/>
    <w:rsid w:val="00E37F58"/>
    <w:rsid w:val="00E40204"/>
    <w:rsid w:val="00E44FAF"/>
    <w:rsid w:val="00E47C1A"/>
    <w:rsid w:val="00E55038"/>
    <w:rsid w:val="00E552AC"/>
    <w:rsid w:val="00E5545B"/>
    <w:rsid w:val="00E561A1"/>
    <w:rsid w:val="00E57353"/>
    <w:rsid w:val="00E64085"/>
    <w:rsid w:val="00E640DF"/>
    <w:rsid w:val="00E6493E"/>
    <w:rsid w:val="00E65ABA"/>
    <w:rsid w:val="00E6680C"/>
    <w:rsid w:val="00E70AE8"/>
    <w:rsid w:val="00E75AD4"/>
    <w:rsid w:val="00E7696B"/>
    <w:rsid w:val="00E818D8"/>
    <w:rsid w:val="00E81E89"/>
    <w:rsid w:val="00E85565"/>
    <w:rsid w:val="00E861EB"/>
    <w:rsid w:val="00EA2A86"/>
    <w:rsid w:val="00EA54BD"/>
    <w:rsid w:val="00EA5853"/>
    <w:rsid w:val="00EA7F67"/>
    <w:rsid w:val="00EB4101"/>
    <w:rsid w:val="00EB44B5"/>
    <w:rsid w:val="00EB4704"/>
    <w:rsid w:val="00EC4B23"/>
    <w:rsid w:val="00EC64FE"/>
    <w:rsid w:val="00EC7A55"/>
    <w:rsid w:val="00ED14D2"/>
    <w:rsid w:val="00ED20A5"/>
    <w:rsid w:val="00ED4C4F"/>
    <w:rsid w:val="00ED5212"/>
    <w:rsid w:val="00ED5D55"/>
    <w:rsid w:val="00ED6F31"/>
    <w:rsid w:val="00EE30C3"/>
    <w:rsid w:val="00EE3A39"/>
    <w:rsid w:val="00EE569E"/>
    <w:rsid w:val="00EF162E"/>
    <w:rsid w:val="00EF3F73"/>
    <w:rsid w:val="00EF643C"/>
    <w:rsid w:val="00EF6E74"/>
    <w:rsid w:val="00F018FE"/>
    <w:rsid w:val="00F0335D"/>
    <w:rsid w:val="00F04410"/>
    <w:rsid w:val="00F0476B"/>
    <w:rsid w:val="00F05D79"/>
    <w:rsid w:val="00F06B7B"/>
    <w:rsid w:val="00F07432"/>
    <w:rsid w:val="00F15D0E"/>
    <w:rsid w:val="00F22154"/>
    <w:rsid w:val="00F34506"/>
    <w:rsid w:val="00F40D96"/>
    <w:rsid w:val="00F42D43"/>
    <w:rsid w:val="00F42D54"/>
    <w:rsid w:val="00F4696F"/>
    <w:rsid w:val="00F47363"/>
    <w:rsid w:val="00F52AB1"/>
    <w:rsid w:val="00F52D10"/>
    <w:rsid w:val="00F62BD0"/>
    <w:rsid w:val="00F65886"/>
    <w:rsid w:val="00F66881"/>
    <w:rsid w:val="00F7221F"/>
    <w:rsid w:val="00F72EFF"/>
    <w:rsid w:val="00F73FF8"/>
    <w:rsid w:val="00F84702"/>
    <w:rsid w:val="00F85021"/>
    <w:rsid w:val="00F87927"/>
    <w:rsid w:val="00F91799"/>
    <w:rsid w:val="00F922BF"/>
    <w:rsid w:val="00F94629"/>
    <w:rsid w:val="00F951AD"/>
    <w:rsid w:val="00FA0781"/>
    <w:rsid w:val="00FA1763"/>
    <w:rsid w:val="00FA3155"/>
    <w:rsid w:val="00FA3682"/>
    <w:rsid w:val="00FA58D8"/>
    <w:rsid w:val="00FB020B"/>
    <w:rsid w:val="00FB2552"/>
    <w:rsid w:val="00FB2C3F"/>
    <w:rsid w:val="00FB2CCD"/>
    <w:rsid w:val="00FB373C"/>
    <w:rsid w:val="00FB386B"/>
    <w:rsid w:val="00FB5040"/>
    <w:rsid w:val="00FB68C5"/>
    <w:rsid w:val="00FC0C87"/>
    <w:rsid w:val="00FC0D52"/>
    <w:rsid w:val="00FC366C"/>
    <w:rsid w:val="00FD2EE7"/>
    <w:rsid w:val="00FD57C6"/>
    <w:rsid w:val="00FD6538"/>
    <w:rsid w:val="00FD7F26"/>
    <w:rsid w:val="00FE1FCF"/>
    <w:rsid w:val="00FE2737"/>
    <w:rsid w:val="00FE5205"/>
    <w:rsid w:val="00FE5A84"/>
    <w:rsid w:val="00FE6611"/>
    <w:rsid w:val="00FE677C"/>
    <w:rsid w:val="00FE6E2D"/>
    <w:rsid w:val="00FE70E1"/>
    <w:rsid w:val="00FF3D27"/>
    <w:rsid w:val="00FF3E81"/>
    <w:rsid w:val="00FF5FD5"/>
    <w:rsid w:val="01383237"/>
    <w:rsid w:val="01F3733F"/>
    <w:rsid w:val="01F42707"/>
    <w:rsid w:val="02646EDD"/>
    <w:rsid w:val="02835525"/>
    <w:rsid w:val="02895B83"/>
    <w:rsid w:val="02C25A77"/>
    <w:rsid w:val="02D037B2"/>
    <w:rsid w:val="03942BB8"/>
    <w:rsid w:val="04425FF4"/>
    <w:rsid w:val="04FD0E88"/>
    <w:rsid w:val="05933D3E"/>
    <w:rsid w:val="05B72E28"/>
    <w:rsid w:val="05C84B66"/>
    <w:rsid w:val="05E105C0"/>
    <w:rsid w:val="06A522FA"/>
    <w:rsid w:val="07113E28"/>
    <w:rsid w:val="077703A9"/>
    <w:rsid w:val="088D13B0"/>
    <w:rsid w:val="089C70FE"/>
    <w:rsid w:val="089E5F56"/>
    <w:rsid w:val="08DF21B3"/>
    <w:rsid w:val="08EC41DD"/>
    <w:rsid w:val="08F2092D"/>
    <w:rsid w:val="09294F2D"/>
    <w:rsid w:val="095D74CC"/>
    <w:rsid w:val="09EB0D64"/>
    <w:rsid w:val="0A2B783D"/>
    <w:rsid w:val="0A6B5D42"/>
    <w:rsid w:val="0A7B2255"/>
    <w:rsid w:val="0AE03C3D"/>
    <w:rsid w:val="0B1154F8"/>
    <w:rsid w:val="0B283A89"/>
    <w:rsid w:val="0B6B0A4B"/>
    <w:rsid w:val="0C1B4CBB"/>
    <w:rsid w:val="0C333DA0"/>
    <w:rsid w:val="0C4A3315"/>
    <w:rsid w:val="0C4E0FE2"/>
    <w:rsid w:val="0CA817F3"/>
    <w:rsid w:val="0DF96C99"/>
    <w:rsid w:val="0E035906"/>
    <w:rsid w:val="0FFF19B0"/>
    <w:rsid w:val="102E37C2"/>
    <w:rsid w:val="10A67EF7"/>
    <w:rsid w:val="113C0AFD"/>
    <w:rsid w:val="129E6DCA"/>
    <w:rsid w:val="12AE5B80"/>
    <w:rsid w:val="12C423C9"/>
    <w:rsid w:val="130C377E"/>
    <w:rsid w:val="13C348D2"/>
    <w:rsid w:val="13E41489"/>
    <w:rsid w:val="142E7771"/>
    <w:rsid w:val="14473687"/>
    <w:rsid w:val="148B47CC"/>
    <w:rsid w:val="15342998"/>
    <w:rsid w:val="156E01F6"/>
    <w:rsid w:val="16742B51"/>
    <w:rsid w:val="167444F7"/>
    <w:rsid w:val="173F6B6C"/>
    <w:rsid w:val="17B23EF4"/>
    <w:rsid w:val="17C021B7"/>
    <w:rsid w:val="17CE2C0C"/>
    <w:rsid w:val="19235BCB"/>
    <w:rsid w:val="199C75B2"/>
    <w:rsid w:val="19DE4E4C"/>
    <w:rsid w:val="1A272489"/>
    <w:rsid w:val="1A4B2C86"/>
    <w:rsid w:val="1A4D7A42"/>
    <w:rsid w:val="1ABF3973"/>
    <w:rsid w:val="1B3D6DCF"/>
    <w:rsid w:val="1C542782"/>
    <w:rsid w:val="1C9F24F6"/>
    <w:rsid w:val="1CD27ACE"/>
    <w:rsid w:val="1D2B008E"/>
    <w:rsid w:val="1D337221"/>
    <w:rsid w:val="1D4376C2"/>
    <w:rsid w:val="1E3D1B80"/>
    <w:rsid w:val="1E7F3902"/>
    <w:rsid w:val="1F054E1B"/>
    <w:rsid w:val="1F4D1C0B"/>
    <w:rsid w:val="1F4E2FA1"/>
    <w:rsid w:val="1FE26AA5"/>
    <w:rsid w:val="20093532"/>
    <w:rsid w:val="203D62C0"/>
    <w:rsid w:val="20AD29B6"/>
    <w:rsid w:val="20BB2F9F"/>
    <w:rsid w:val="20C54271"/>
    <w:rsid w:val="20E745D2"/>
    <w:rsid w:val="20EC5692"/>
    <w:rsid w:val="21093CBF"/>
    <w:rsid w:val="213B656B"/>
    <w:rsid w:val="215049A0"/>
    <w:rsid w:val="215E53DD"/>
    <w:rsid w:val="21C7622D"/>
    <w:rsid w:val="21DA503A"/>
    <w:rsid w:val="223B60FC"/>
    <w:rsid w:val="22F664C5"/>
    <w:rsid w:val="23B60C45"/>
    <w:rsid w:val="23C9585D"/>
    <w:rsid w:val="24152FCC"/>
    <w:rsid w:val="25DC5FD7"/>
    <w:rsid w:val="265B72E4"/>
    <w:rsid w:val="27047F8C"/>
    <w:rsid w:val="274E5664"/>
    <w:rsid w:val="27820285"/>
    <w:rsid w:val="27980C76"/>
    <w:rsid w:val="27B902EA"/>
    <w:rsid w:val="2810161B"/>
    <w:rsid w:val="28194B4B"/>
    <w:rsid w:val="28C43C4E"/>
    <w:rsid w:val="291910B2"/>
    <w:rsid w:val="295F110C"/>
    <w:rsid w:val="297015F3"/>
    <w:rsid w:val="298749A0"/>
    <w:rsid w:val="2AAB2BF0"/>
    <w:rsid w:val="2AEB38EF"/>
    <w:rsid w:val="2B3571E1"/>
    <w:rsid w:val="2B4F2670"/>
    <w:rsid w:val="2BA6744D"/>
    <w:rsid w:val="2BAF01EE"/>
    <w:rsid w:val="2C45592E"/>
    <w:rsid w:val="2C7F39CF"/>
    <w:rsid w:val="2CA06334"/>
    <w:rsid w:val="2CE979FA"/>
    <w:rsid w:val="2D3D70FF"/>
    <w:rsid w:val="2D7322CA"/>
    <w:rsid w:val="2D9F68C6"/>
    <w:rsid w:val="2DDF2BDD"/>
    <w:rsid w:val="2E196723"/>
    <w:rsid w:val="2E273732"/>
    <w:rsid w:val="2E2C097D"/>
    <w:rsid w:val="2E691645"/>
    <w:rsid w:val="2E811004"/>
    <w:rsid w:val="2EFD5B05"/>
    <w:rsid w:val="2F410D5D"/>
    <w:rsid w:val="2F9A380B"/>
    <w:rsid w:val="2FB455DC"/>
    <w:rsid w:val="30127D04"/>
    <w:rsid w:val="3162222F"/>
    <w:rsid w:val="316E28AB"/>
    <w:rsid w:val="31B00B29"/>
    <w:rsid w:val="31FA48BE"/>
    <w:rsid w:val="31FB0FB2"/>
    <w:rsid w:val="320C3F94"/>
    <w:rsid w:val="32306252"/>
    <w:rsid w:val="3272587A"/>
    <w:rsid w:val="32F87FCF"/>
    <w:rsid w:val="3311459E"/>
    <w:rsid w:val="334B6D57"/>
    <w:rsid w:val="341E5A48"/>
    <w:rsid w:val="343A6340"/>
    <w:rsid w:val="34457262"/>
    <w:rsid w:val="35400182"/>
    <w:rsid w:val="356C235F"/>
    <w:rsid w:val="36B52C08"/>
    <w:rsid w:val="36DA13B2"/>
    <w:rsid w:val="383E4E93"/>
    <w:rsid w:val="38967CA1"/>
    <w:rsid w:val="38A6217A"/>
    <w:rsid w:val="38C566BD"/>
    <w:rsid w:val="38CC0019"/>
    <w:rsid w:val="39374DCD"/>
    <w:rsid w:val="39665870"/>
    <w:rsid w:val="3A090AE5"/>
    <w:rsid w:val="3A270FB9"/>
    <w:rsid w:val="3AC76529"/>
    <w:rsid w:val="3AF6689D"/>
    <w:rsid w:val="3B322B4E"/>
    <w:rsid w:val="3B5F0C53"/>
    <w:rsid w:val="3B7E6A4B"/>
    <w:rsid w:val="3BD07B9F"/>
    <w:rsid w:val="3BDE5040"/>
    <w:rsid w:val="3C0F4A82"/>
    <w:rsid w:val="3C9E2DF5"/>
    <w:rsid w:val="3CDF5949"/>
    <w:rsid w:val="3D2E4BCD"/>
    <w:rsid w:val="3D3A1C3A"/>
    <w:rsid w:val="3D3A5913"/>
    <w:rsid w:val="3D714C6E"/>
    <w:rsid w:val="3DBC5D9E"/>
    <w:rsid w:val="3DC80CE1"/>
    <w:rsid w:val="3E3C635B"/>
    <w:rsid w:val="3E5416B3"/>
    <w:rsid w:val="3E7C2BBB"/>
    <w:rsid w:val="3F111C64"/>
    <w:rsid w:val="3FC274B4"/>
    <w:rsid w:val="403D713E"/>
    <w:rsid w:val="4046681A"/>
    <w:rsid w:val="40BF78EB"/>
    <w:rsid w:val="419A3535"/>
    <w:rsid w:val="419F4459"/>
    <w:rsid w:val="41E05161"/>
    <w:rsid w:val="4249355B"/>
    <w:rsid w:val="42745C96"/>
    <w:rsid w:val="4292070F"/>
    <w:rsid w:val="43487C99"/>
    <w:rsid w:val="43F04C33"/>
    <w:rsid w:val="44693A30"/>
    <w:rsid w:val="454104E1"/>
    <w:rsid w:val="45AB3A1A"/>
    <w:rsid w:val="45B246C7"/>
    <w:rsid w:val="46510377"/>
    <w:rsid w:val="46A72B79"/>
    <w:rsid w:val="46B745D5"/>
    <w:rsid w:val="471F6779"/>
    <w:rsid w:val="47A618E0"/>
    <w:rsid w:val="47D3787A"/>
    <w:rsid w:val="47EA2F94"/>
    <w:rsid w:val="48D34C01"/>
    <w:rsid w:val="4912429F"/>
    <w:rsid w:val="49BF659E"/>
    <w:rsid w:val="49E34F21"/>
    <w:rsid w:val="4A2C579D"/>
    <w:rsid w:val="4AAF1EFA"/>
    <w:rsid w:val="4AE2400E"/>
    <w:rsid w:val="4AEE2835"/>
    <w:rsid w:val="4B247680"/>
    <w:rsid w:val="4B39001E"/>
    <w:rsid w:val="4C166329"/>
    <w:rsid w:val="4C340A48"/>
    <w:rsid w:val="4D851DCD"/>
    <w:rsid w:val="4DB411B2"/>
    <w:rsid w:val="4E433CEC"/>
    <w:rsid w:val="4E4678E3"/>
    <w:rsid w:val="4EE808D4"/>
    <w:rsid w:val="505963DB"/>
    <w:rsid w:val="507E08B7"/>
    <w:rsid w:val="50ED4723"/>
    <w:rsid w:val="517F569B"/>
    <w:rsid w:val="529F7D12"/>
    <w:rsid w:val="53247CC4"/>
    <w:rsid w:val="532D341B"/>
    <w:rsid w:val="537D6AD6"/>
    <w:rsid w:val="53BB2386"/>
    <w:rsid w:val="542579D1"/>
    <w:rsid w:val="54553898"/>
    <w:rsid w:val="54FE1937"/>
    <w:rsid w:val="562F254B"/>
    <w:rsid w:val="56774D04"/>
    <w:rsid w:val="56891231"/>
    <w:rsid w:val="568E359A"/>
    <w:rsid w:val="569D2CBF"/>
    <w:rsid w:val="56E21250"/>
    <w:rsid w:val="573C5F32"/>
    <w:rsid w:val="57E90BA3"/>
    <w:rsid w:val="58C34F54"/>
    <w:rsid w:val="58D52159"/>
    <w:rsid w:val="58FE7250"/>
    <w:rsid w:val="59A86CF9"/>
    <w:rsid w:val="59C86CCE"/>
    <w:rsid w:val="5A3A38F1"/>
    <w:rsid w:val="5B06384D"/>
    <w:rsid w:val="5B3B3F31"/>
    <w:rsid w:val="5B580D46"/>
    <w:rsid w:val="5B9F5D8D"/>
    <w:rsid w:val="5BAE2491"/>
    <w:rsid w:val="5C6428DD"/>
    <w:rsid w:val="5CF5300F"/>
    <w:rsid w:val="5D4E0737"/>
    <w:rsid w:val="5DAE5795"/>
    <w:rsid w:val="5E3C4B3E"/>
    <w:rsid w:val="5E8B3D4F"/>
    <w:rsid w:val="5F3758EA"/>
    <w:rsid w:val="608E7029"/>
    <w:rsid w:val="60CD2062"/>
    <w:rsid w:val="61247513"/>
    <w:rsid w:val="61967F40"/>
    <w:rsid w:val="63930CCC"/>
    <w:rsid w:val="63BE0C5F"/>
    <w:rsid w:val="63E3281F"/>
    <w:rsid w:val="6448777C"/>
    <w:rsid w:val="646A5984"/>
    <w:rsid w:val="649443DD"/>
    <w:rsid w:val="65F87587"/>
    <w:rsid w:val="662A4547"/>
    <w:rsid w:val="66480FC0"/>
    <w:rsid w:val="66BE620D"/>
    <w:rsid w:val="66DE1BE8"/>
    <w:rsid w:val="66E65D27"/>
    <w:rsid w:val="67CF1FD1"/>
    <w:rsid w:val="68081B6C"/>
    <w:rsid w:val="68502433"/>
    <w:rsid w:val="68B5009D"/>
    <w:rsid w:val="690F2DCB"/>
    <w:rsid w:val="69D64EE5"/>
    <w:rsid w:val="6A3A6E49"/>
    <w:rsid w:val="6A665240"/>
    <w:rsid w:val="6A691EBE"/>
    <w:rsid w:val="6AC852AF"/>
    <w:rsid w:val="6ACD40E6"/>
    <w:rsid w:val="6B417580"/>
    <w:rsid w:val="6B603813"/>
    <w:rsid w:val="6BA33402"/>
    <w:rsid w:val="6BAC61C8"/>
    <w:rsid w:val="6C120422"/>
    <w:rsid w:val="6C7F76BF"/>
    <w:rsid w:val="6C987335"/>
    <w:rsid w:val="6CDD77E2"/>
    <w:rsid w:val="6E171559"/>
    <w:rsid w:val="6E3D638A"/>
    <w:rsid w:val="6E76525C"/>
    <w:rsid w:val="6EAA13C6"/>
    <w:rsid w:val="6ECB5DFD"/>
    <w:rsid w:val="6EDC4075"/>
    <w:rsid w:val="6F257866"/>
    <w:rsid w:val="6FD31C7F"/>
    <w:rsid w:val="701879BE"/>
    <w:rsid w:val="70D36E4D"/>
    <w:rsid w:val="70E82364"/>
    <w:rsid w:val="70F4459B"/>
    <w:rsid w:val="71BD1BD7"/>
    <w:rsid w:val="71ED1488"/>
    <w:rsid w:val="71F05C6A"/>
    <w:rsid w:val="722832E7"/>
    <w:rsid w:val="72AF4173"/>
    <w:rsid w:val="73966947"/>
    <w:rsid w:val="74B35A0D"/>
    <w:rsid w:val="74E4588B"/>
    <w:rsid w:val="751C394D"/>
    <w:rsid w:val="76B164C8"/>
    <w:rsid w:val="76D614AE"/>
    <w:rsid w:val="76F53E1F"/>
    <w:rsid w:val="770D3B7E"/>
    <w:rsid w:val="774F52F5"/>
    <w:rsid w:val="776C466E"/>
    <w:rsid w:val="777B1815"/>
    <w:rsid w:val="77E4283A"/>
    <w:rsid w:val="786843CE"/>
    <w:rsid w:val="78B22162"/>
    <w:rsid w:val="798403FF"/>
    <w:rsid w:val="7A703B8B"/>
    <w:rsid w:val="7AB20224"/>
    <w:rsid w:val="7B5F78AB"/>
    <w:rsid w:val="7C361F77"/>
    <w:rsid w:val="7C9218D6"/>
    <w:rsid w:val="7CB46047"/>
    <w:rsid w:val="7CB603A5"/>
    <w:rsid w:val="7CC631DD"/>
    <w:rsid w:val="7D332EBC"/>
    <w:rsid w:val="7D516EAA"/>
    <w:rsid w:val="7D614AAA"/>
    <w:rsid w:val="7DDD4828"/>
    <w:rsid w:val="7DF1054B"/>
    <w:rsid w:val="7E1A37C3"/>
    <w:rsid w:val="7EAA4A99"/>
    <w:rsid w:val="7EFA7632"/>
    <w:rsid w:val="7F6C3838"/>
    <w:rsid w:val="7FB428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2"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iPriority="99"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qFormat="1" w:unhideWhenUsed="0" w:uiPriority="0" w:semiHidden="0" w:name="Salutation"/>
    <w:lsdException w:qFormat="1" w:unhideWhenUsed="0" w:uiPriority="99" w:semiHidden="0" w:name="Date"/>
    <w:lsdException w:qFormat="1" w:uiPriority="0" w:semiHidden="0" w:name="Body Text First Indent"/>
    <w:lsdException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qFormat="1" w:unhideWhenUsed="0" w:uiPriority="0" w:semiHidden="0" w:name="Table Grid 6"/>
    <w:lsdException w:uiPriority="0" w:name="Table Grid 7"/>
    <w:lsdException w:uiPriority="0" w:name="Table Grid 8"/>
    <w:lsdException w:uiPriority="0" w:name="Table List 1"/>
    <w:lsdException w:uiPriority="0" w:name="Table List 2"/>
    <w:lsdException w:uiPriority="0" w:name="Table List 3"/>
    <w:lsdException w:qFormat="1" w:unhideWhenUsed="0" w:uiPriority="0" w:semiHidden="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qFormat="1" w:unhideWhenUsed="0" w:uiPriority="0" w:semiHidden="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30"/>
    <w:qFormat/>
    <w:uiPriority w:val="0"/>
    <w:pPr>
      <w:keepNext/>
      <w:keepLines/>
      <w:numPr>
        <w:ilvl w:val="0"/>
        <w:numId w:val="1"/>
      </w:numPr>
      <w:spacing w:before="340" w:after="330" w:line="578" w:lineRule="auto"/>
      <w:outlineLvl w:val="0"/>
    </w:pPr>
    <w:rPr>
      <w:rFonts w:ascii="Calibri" w:hAnsi="Calibri"/>
      <w:b/>
      <w:bCs/>
      <w:kern w:val="44"/>
      <w:sz w:val="44"/>
      <w:szCs w:val="44"/>
    </w:rPr>
  </w:style>
  <w:style w:type="paragraph" w:styleId="2">
    <w:name w:val="heading 2"/>
    <w:basedOn w:val="1"/>
    <w:next w:val="1"/>
    <w:link w:val="226"/>
    <w:qFormat/>
    <w:uiPriority w:val="99"/>
    <w:pPr>
      <w:keepNext/>
      <w:keepLines/>
      <w:numPr>
        <w:ilvl w:val="1"/>
        <w:numId w:val="1"/>
      </w:numPr>
      <w:spacing w:before="260" w:after="260" w:line="416" w:lineRule="auto"/>
      <w:outlineLvl w:val="1"/>
    </w:pPr>
    <w:rPr>
      <w:rFonts w:ascii="Arial" w:hAnsi="Arial" w:eastAsia="黑体"/>
      <w:b/>
      <w:bCs/>
      <w:sz w:val="32"/>
      <w:szCs w:val="32"/>
    </w:rPr>
  </w:style>
  <w:style w:type="paragraph" w:styleId="4">
    <w:name w:val="heading 3"/>
    <w:basedOn w:val="1"/>
    <w:next w:val="1"/>
    <w:link w:val="164"/>
    <w:qFormat/>
    <w:uiPriority w:val="0"/>
    <w:pPr>
      <w:keepNext/>
      <w:keepLines/>
      <w:numPr>
        <w:ilvl w:val="2"/>
        <w:numId w:val="1"/>
      </w:numPr>
      <w:spacing w:before="260" w:after="260" w:line="416" w:lineRule="auto"/>
      <w:outlineLvl w:val="2"/>
    </w:pPr>
    <w:rPr>
      <w:rFonts w:ascii="Calibri" w:hAnsi="Calibri"/>
      <w:b/>
      <w:bCs/>
      <w:sz w:val="32"/>
      <w:szCs w:val="32"/>
    </w:rPr>
  </w:style>
  <w:style w:type="paragraph" w:styleId="5">
    <w:name w:val="heading 4"/>
    <w:basedOn w:val="1"/>
    <w:next w:val="1"/>
    <w:link w:val="168"/>
    <w:qFormat/>
    <w:uiPriority w:val="0"/>
    <w:pPr>
      <w:keepLines/>
      <w:widowControl/>
      <w:autoSpaceDE w:val="0"/>
      <w:autoSpaceDN w:val="0"/>
      <w:adjustRightInd w:val="0"/>
      <w:snapToGrid w:val="0"/>
      <w:jc w:val="left"/>
      <w:outlineLvl w:val="3"/>
    </w:pPr>
    <w:rPr>
      <w:rFonts w:ascii="Calibri" w:hAnsi="Calibri" w:eastAsia="楷体_GB2312"/>
      <w:b/>
      <w:kern w:val="0"/>
      <w:sz w:val="24"/>
      <w:szCs w:val="20"/>
    </w:rPr>
  </w:style>
  <w:style w:type="paragraph" w:styleId="6">
    <w:name w:val="heading 5"/>
    <w:basedOn w:val="1"/>
    <w:next w:val="1"/>
    <w:link w:val="86"/>
    <w:qFormat/>
    <w:uiPriority w:val="0"/>
    <w:pPr>
      <w:keepNext/>
      <w:keepLines/>
      <w:numPr>
        <w:ilvl w:val="4"/>
        <w:numId w:val="1"/>
      </w:numPr>
      <w:spacing w:before="280" w:after="290" w:line="376" w:lineRule="auto"/>
      <w:outlineLvl w:val="4"/>
    </w:pPr>
    <w:rPr>
      <w:rFonts w:ascii="Calibri" w:hAnsi="Calibri"/>
      <w:b/>
      <w:bCs/>
      <w:sz w:val="28"/>
      <w:szCs w:val="28"/>
    </w:rPr>
  </w:style>
  <w:style w:type="paragraph" w:styleId="7">
    <w:name w:val="heading 6"/>
    <w:basedOn w:val="1"/>
    <w:next w:val="1"/>
    <w:link w:val="127"/>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8">
    <w:name w:val="heading 7"/>
    <w:basedOn w:val="1"/>
    <w:next w:val="1"/>
    <w:link w:val="151"/>
    <w:qFormat/>
    <w:uiPriority w:val="0"/>
    <w:pPr>
      <w:keepNext/>
      <w:keepLines/>
      <w:numPr>
        <w:ilvl w:val="6"/>
        <w:numId w:val="1"/>
      </w:numPr>
      <w:spacing w:before="240" w:after="64" w:line="320" w:lineRule="auto"/>
      <w:outlineLvl w:val="6"/>
    </w:pPr>
    <w:rPr>
      <w:rFonts w:ascii="Calibri" w:hAnsi="Calibri"/>
      <w:b/>
      <w:bCs/>
      <w:sz w:val="24"/>
    </w:rPr>
  </w:style>
  <w:style w:type="paragraph" w:styleId="9">
    <w:name w:val="heading 8"/>
    <w:basedOn w:val="1"/>
    <w:next w:val="1"/>
    <w:link w:val="232"/>
    <w:qFormat/>
    <w:uiPriority w:val="0"/>
    <w:pPr>
      <w:keepNext/>
      <w:keepLines/>
      <w:numPr>
        <w:ilvl w:val="7"/>
        <w:numId w:val="1"/>
      </w:numPr>
      <w:spacing w:before="240" w:after="64" w:line="320" w:lineRule="auto"/>
      <w:outlineLvl w:val="7"/>
    </w:pPr>
    <w:rPr>
      <w:rFonts w:ascii="Arial" w:hAnsi="Arial" w:eastAsia="黑体"/>
      <w:sz w:val="24"/>
    </w:rPr>
  </w:style>
  <w:style w:type="paragraph" w:styleId="10">
    <w:name w:val="heading 9"/>
    <w:basedOn w:val="1"/>
    <w:next w:val="1"/>
    <w:link w:val="184"/>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75">
    <w:name w:val="Default Paragraph Font"/>
    <w:semiHidden/>
    <w:unhideWhenUsed/>
    <w:qFormat/>
    <w:uiPriority w:val="1"/>
  </w:style>
  <w:style w:type="table" w:default="1" w:styleId="69">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autoSpaceDE w:val="0"/>
      <w:autoSpaceDN w:val="0"/>
      <w:adjustRightInd w:val="0"/>
      <w:ind w:left="2520" w:leftChars="1200"/>
      <w:jc w:val="left"/>
    </w:pPr>
    <w:rPr>
      <w:kern w:val="0"/>
      <w:sz w:val="20"/>
      <w:szCs w:val="20"/>
    </w:rPr>
  </w:style>
  <w:style w:type="paragraph" w:styleId="12">
    <w:name w:val="List Number 2"/>
    <w:basedOn w:val="1"/>
    <w:qFormat/>
    <w:uiPriority w:val="0"/>
    <w:pPr>
      <w:tabs>
        <w:tab w:val="left" w:pos="780"/>
      </w:tabs>
      <w:ind w:left="780" w:hanging="360"/>
    </w:pPr>
  </w:style>
  <w:style w:type="paragraph" w:styleId="13">
    <w:name w:val="Note Heading"/>
    <w:basedOn w:val="1"/>
    <w:next w:val="1"/>
    <w:link w:val="344"/>
    <w:qFormat/>
    <w:uiPriority w:val="0"/>
    <w:pPr>
      <w:autoSpaceDE w:val="0"/>
      <w:autoSpaceDN w:val="0"/>
      <w:adjustRightInd w:val="0"/>
      <w:jc w:val="left"/>
    </w:pPr>
    <w:rPr>
      <w:rFonts w:ascii="Calibri" w:hAnsi="Calibri"/>
      <w:szCs w:val="20"/>
    </w:rPr>
  </w:style>
  <w:style w:type="paragraph" w:styleId="14">
    <w:name w:val="index 8"/>
    <w:basedOn w:val="1"/>
    <w:next w:val="1"/>
    <w:qFormat/>
    <w:uiPriority w:val="0"/>
    <w:pPr>
      <w:adjustRightInd w:val="0"/>
      <w:spacing w:line="360" w:lineRule="auto"/>
      <w:ind w:left="1920" w:hanging="240"/>
      <w:jc w:val="left"/>
    </w:pPr>
    <w:rPr>
      <w:kern w:val="0"/>
      <w:sz w:val="20"/>
      <w:szCs w:val="20"/>
    </w:rPr>
  </w:style>
  <w:style w:type="paragraph" w:styleId="15">
    <w:name w:val="List Number"/>
    <w:basedOn w:val="1"/>
    <w:unhideWhenUsed/>
    <w:qFormat/>
    <w:uiPriority w:val="99"/>
    <w:pPr>
      <w:tabs>
        <w:tab w:val="left" w:pos="360"/>
      </w:tabs>
      <w:ind w:left="360" w:hanging="360"/>
      <w:contextualSpacing/>
    </w:pPr>
  </w:style>
  <w:style w:type="paragraph" w:styleId="16">
    <w:name w:val="Normal Indent"/>
    <w:basedOn w:val="1"/>
    <w:link w:val="225"/>
    <w:qFormat/>
    <w:uiPriority w:val="0"/>
    <w:pPr>
      <w:adjustRightInd w:val="0"/>
      <w:spacing w:line="312" w:lineRule="atLeast"/>
      <w:ind w:firstLine="420"/>
      <w:textAlignment w:val="baseline"/>
    </w:pPr>
    <w:rPr>
      <w:rFonts w:ascii="Calibri" w:hAnsi="Calibri"/>
      <w:kern w:val="0"/>
      <w:szCs w:val="20"/>
    </w:rPr>
  </w:style>
  <w:style w:type="paragraph" w:styleId="17">
    <w:name w:val="caption"/>
    <w:basedOn w:val="1"/>
    <w:next w:val="1"/>
    <w:link w:val="286"/>
    <w:qFormat/>
    <w:uiPriority w:val="2"/>
    <w:pPr>
      <w:autoSpaceDE w:val="0"/>
      <w:autoSpaceDN w:val="0"/>
      <w:adjustRightInd w:val="0"/>
      <w:jc w:val="left"/>
    </w:pPr>
    <w:rPr>
      <w:rFonts w:ascii="Arial" w:hAnsi="Arial" w:eastAsia="黑体"/>
      <w:kern w:val="0"/>
      <w:sz w:val="20"/>
      <w:szCs w:val="20"/>
    </w:rPr>
  </w:style>
  <w:style w:type="paragraph" w:styleId="18">
    <w:name w:val="index 5"/>
    <w:basedOn w:val="1"/>
    <w:next w:val="1"/>
    <w:qFormat/>
    <w:uiPriority w:val="0"/>
    <w:pPr>
      <w:adjustRightInd w:val="0"/>
      <w:spacing w:line="360" w:lineRule="auto"/>
      <w:ind w:left="1200" w:hanging="240"/>
      <w:jc w:val="left"/>
    </w:pPr>
    <w:rPr>
      <w:kern w:val="0"/>
      <w:sz w:val="20"/>
      <w:szCs w:val="20"/>
    </w:rPr>
  </w:style>
  <w:style w:type="paragraph" w:styleId="19">
    <w:name w:val="List Bullet"/>
    <w:basedOn w:val="1"/>
    <w:link w:val="121"/>
    <w:qFormat/>
    <w:uiPriority w:val="0"/>
    <w:pPr>
      <w:tabs>
        <w:tab w:val="left" w:pos="360"/>
      </w:tabs>
      <w:ind w:left="360" w:hanging="360"/>
    </w:pPr>
    <w:rPr>
      <w:rFonts w:ascii="Calibri" w:hAnsi="Calibri"/>
    </w:rPr>
  </w:style>
  <w:style w:type="paragraph" w:styleId="20">
    <w:name w:val="Document Map"/>
    <w:basedOn w:val="1"/>
    <w:link w:val="110"/>
    <w:qFormat/>
    <w:uiPriority w:val="99"/>
    <w:pPr>
      <w:shd w:val="clear" w:color="auto" w:fill="000080"/>
    </w:pPr>
    <w:rPr>
      <w:rFonts w:ascii="Calibri" w:hAnsi="Calibri"/>
    </w:rPr>
  </w:style>
  <w:style w:type="paragraph" w:styleId="21">
    <w:name w:val="toa heading"/>
    <w:basedOn w:val="1"/>
    <w:next w:val="1"/>
    <w:qFormat/>
    <w:uiPriority w:val="0"/>
    <w:pPr>
      <w:spacing w:before="120" w:line="360" w:lineRule="auto"/>
      <w:ind w:firstLine="200" w:firstLineChars="200"/>
    </w:pPr>
    <w:rPr>
      <w:rFonts w:ascii="Arial" w:hAnsi="Arial" w:cs="Arial"/>
      <w:sz w:val="24"/>
    </w:rPr>
  </w:style>
  <w:style w:type="paragraph" w:styleId="22">
    <w:name w:val="annotation text"/>
    <w:basedOn w:val="1"/>
    <w:link w:val="235"/>
    <w:qFormat/>
    <w:uiPriority w:val="0"/>
    <w:pPr>
      <w:jc w:val="left"/>
    </w:pPr>
    <w:rPr>
      <w:rFonts w:ascii="Calibri" w:hAnsi="Calibri"/>
    </w:rPr>
  </w:style>
  <w:style w:type="paragraph" w:styleId="23">
    <w:name w:val="index 6"/>
    <w:basedOn w:val="1"/>
    <w:next w:val="1"/>
    <w:qFormat/>
    <w:uiPriority w:val="0"/>
    <w:pPr>
      <w:adjustRightInd w:val="0"/>
      <w:spacing w:line="360" w:lineRule="auto"/>
      <w:ind w:left="1440" w:hanging="240"/>
      <w:jc w:val="left"/>
    </w:pPr>
    <w:rPr>
      <w:kern w:val="0"/>
      <w:sz w:val="20"/>
      <w:szCs w:val="20"/>
    </w:rPr>
  </w:style>
  <w:style w:type="paragraph" w:styleId="24">
    <w:name w:val="Salutation"/>
    <w:basedOn w:val="1"/>
    <w:next w:val="1"/>
    <w:link w:val="162"/>
    <w:qFormat/>
    <w:uiPriority w:val="0"/>
    <w:pPr>
      <w:tabs>
        <w:tab w:val="left" w:pos="840"/>
      </w:tabs>
      <w:autoSpaceDE w:val="0"/>
      <w:autoSpaceDN w:val="0"/>
      <w:adjustRightInd w:val="0"/>
      <w:jc w:val="left"/>
    </w:pPr>
    <w:rPr>
      <w:rFonts w:ascii="Calibri" w:hAnsi="Calibri"/>
      <w:kern w:val="0"/>
      <w:sz w:val="24"/>
      <w:szCs w:val="20"/>
    </w:rPr>
  </w:style>
  <w:style w:type="paragraph" w:styleId="25">
    <w:name w:val="Body Text 3"/>
    <w:basedOn w:val="1"/>
    <w:link w:val="211"/>
    <w:qFormat/>
    <w:uiPriority w:val="0"/>
    <w:pPr>
      <w:autoSpaceDE w:val="0"/>
      <w:autoSpaceDN w:val="0"/>
      <w:adjustRightInd w:val="0"/>
      <w:jc w:val="center"/>
    </w:pPr>
    <w:rPr>
      <w:rFonts w:ascii="Calibri" w:hAnsi="Calibri"/>
      <w:kern w:val="0"/>
      <w:sz w:val="20"/>
      <w:szCs w:val="20"/>
    </w:rPr>
  </w:style>
  <w:style w:type="paragraph" w:styleId="26">
    <w:name w:val="Body Text"/>
    <w:basedOn w:val="1"/>
    <w:next w:val="27"/>
    <w:link w:val="175"/>
    <w:qFormat/>
    <w:uiPriority w:val="0"/>
    <w:pPr>
      <w:spacing w:after="120"/>
    </w:pPr>
    <w:rPr>
      <w:rFonts w:ascii="Calibri" w:hAnsi="Calibri"/>
    </w:rPr>
  </w:style>
  <w:style w:type="paragraph" w:styleId="27">
    <w:name w:val="Body Text First Indent"/>
    <w:basedOn w:val="26"/>
    <w:next w:val="1"/>
    <w:link w:val="212"/>
    <w:unhideWhenUsed/>
    <w:qFormat/>
    <w:uiPriority w:val="0"/>
    <w:pPr>
      <w:autoSpaceDE w:val="0"/>
      <w:autoSpaceDN w:val="0"/>
      <w:adjustRightInd w:val="0"/>
      <w:ind w:firstLine="420" w:firstLineChars="100"/>
      <w:jc w:val="left"/>
    </w:pPr>
  </w:style>
  <w:style w:type="paragraph" w:styleId="28">
    <w:name w:val="Body Text Indent"/>
    <w:basedOn w:val="1"/>
    <w:next w:val="1"/>
    <w:link w:val="93"/>
    <w:qFormat/>
    <w:uiPriority w:val="0"/>
    <w:pPr>
      <w:spacing w:after="120"/>
      <w:ind w:left="420"/>
    </w:pPr>
    <w:rPr>
      <w:rFonts w:ascii="Calibri" w:hAnsi="Calibri"/>
    </w:rPr>
  </w:style>
  <w:style w:type="paragraph" w:styleId="29">
    <w:name w:val="List Number 3"/>
    <w:basedOn w:val="1"/>
    <w:qFormat/>
    <w:uiPriority w:val="0"/>
    <w:pPr>
      <w:numPr>
        <w:ilvl w:val="0"/>
        <w:numId w:val="2"/>
      </w:numPr>
    </w:pPr>
  </w:style>
  <w:style w:type="paragraph" w:styleId="30">
    <w:name w:val="List 2"/>
    <w:basedOn w:val="1"/>
    <w:qFormat/>
    <w:uiPriority w:val="0"/>
    <w:pPr>
      <w:widowControl/>
      <w:adjustRightInd w:val="0"/>
      <w:spacing w:line="360" w:lineRule="auto"/>
      <w:ind w:left="100" w:leftChars="200" w:hanging="200" w:hangingChars="200"/>
      <w:textAlignment w:val="baseline"/>
    </w:pPr>
    <w:rPr>
      <w:rFonts w:ascii="楷体_GB2312" w:eastAsia="楷体_GB2312"/>
      <w:kern w:val="0"/>
      <w:sz w:val="24"/>
      <w:szCs w:val="20"/>
    </w:rPr>
  </w:style>
  <w:style w:type="paragraph" w:styleId="31">
    <w:name w:val="Block Text"/>
    <w:basedOn w:val="1"/>
    <w:qFormat/>
    <w:uiPriority w:val="0"/>
    <w:pPr>
      <w:spacing w:line="360" w:lineRule="auto"/>
      <w:ind w:left="420" w:right="-334" w:rightChars="-159" w:firstLine="420" w:firstLineChars="200"/>
    </w:pPr>
    <w:rPr>
      <w:spacing w:val="20"/>
      <w:sz w:val="24"/>
    </w:rPr>
  </w:style>
  <w:style w:type="paragraph" w:styleId="32">
    <w:name w:val="List Bullet 2"/>
    <w:basedOn w:val="1"/>
    <w:qFormat/>
    <w:uiPriority w:val="0"/>
    <w:pPr>
      <w:tabs>
        <w:tab w:val="left" w:pos="780"/>
      </w:tabs>
      <w:spacing w:line="360" w:lineRule="auto"/>
      <w:ind w:left="780" w:leftChars="200" w:hanging="360" w:hangingChars="200"/>
    </w:pPr>
  </w:style>
  <w:style w:type="paragraph" w:styleId="33">
    <w:name w:val="index 4"/>
    <w:basedOn w:val="1"/>
    <w:next w:val="1"/>
    <w:qFormat/>
    <w:uiPriority w:val="0"/>
    <w:pPr>
      <w:adjustRightInd w:val="0"/>
      <w:spacing w:line="360" w:lineRule="auto"/>
      <w:ind w:left="960" w:hanging="240"/>
      <w:jc w:val="left"/>
    </w:pPr>
    <w:rPr>
      <w:kern w:val="0"/>
      <w:sz w:val="20"/>
      <w:szCs w:val="20"/>
    </w:rPr>
  </w:style>
  <w:style w:type="paragraph" w:styleId="34">
    <w:name w:val="toc 5"/>
    <w:basedOn w:val="1"/>
    <w:next w:val="1"/>
    <w:qFormat/>
    <w:uiPriority w:val="39"/>
    <w:pPr>
      <w:autoSpaceDE w:val="0"/>
      <w:autoSpaceDN w:val="0"/>
      <w:adjustRightInd w:val="0"/>
      <w:ind w:left="1680" w:leftChars="800"/>
      <w:jc w:val="left"/>
    </w:pPr>
    <w:rPr>
      <w:kern w:val="0"/>
      <w:sz w:val="20"/>
      <w:szCs w:val="20"/>
    </w:rPr>
  </w:style>
  <w:style w:type="paragraph" w:styleId="35">
    <w:name w:val="toc 3"/>
    <w:basedOn w:val="1"/>
    <w:next w:val="1"/>
    <w:qFormat/>
    <w:uiPriority w:val="39"/>
    <w:pPr>
      <w:ind w:left="840" w:leftChars="400"/>
    </w:pPr>
  </w:style>
  <w:style w:type="paragraph" w:styleId="36">
    <w:name w:val="Plain Text"/>
    <w:basedOn w:val="1"/>
    <w:link w:val="186"/>
    <w:qFormat/>
    <w:uiPriority w:val="0"/>
    <w:rPr>
      <w:rFonts w:ascii="宋体" w:hAnsi="Courier New"/>
      <w:szCs w:val="20"/>
    </w:rPr>
  </w:style>
  <w:style w:type="paragraph" w:styleId="37">
    <w:name w:val="List Bullet 5"/>
    <w:basedOn w:val="1"/>
    <w:qFormat/>
    <w:uiPriority w:val="0"/>
    <w:pPr>
      <w:tabs>
        <w:tab w:val="left" w:pos="284"/>
      </w:tabs>
      <w:spacing w:line="360" w:lineRule="auto"/>
      <w:ind w:firstLine="284" w:firstLineChars="200"/>
    </w:pPr>
    <w:rPr>
      <w:sz w:val="24"/>
    </w:rPr>
  </w:style>
  <w:style w:type="paragraph" w:styleId="38">
    <w:name w:val="List Number 4"/>
    <w:basedOn w:val="1"/>
    <w:qFormat/>
    <w:uiPriority w:val="0"/>
    <w:pPr>
      <w:numPr>
        <w:ilvl w:val="0"/>
        <w:numId w:val="3"/>
      </w:numPr>
      <w:tabs>
        <w:tab w:val="left" w:pos="840"/>
        <w:tab w:val="clear" w:pos="397"/>
      </w:tabs>
      <w:autoSpaceDE w:val="0"/>
      <w:autoSpaceDN w:val="0"/>
      <w:adjustRightInd w:val="0"/>
      <w:spacing w:line="360" w:lineRule="atLeast"/>
      <w:ind w:left="840" w:hanging="420"/>
      <w:jc w:val="left"/>
    </w:pPr>
    <w:rPr>
      <w:kern w:val="0"/>
      <w:sz w:val="24"/>
      <w:szCs w:val="20"/>
    </w:rPr>
  </w:style>
  <w:style w:type="paragraph" w:styleId="39">
    <w:name w:val="toc 8"/>
    <w:basedOn w:val="1"/>
    <w:next w:val="1"/>
    <w:qFormat/>
    <w:uiPriority w:val="39"/>
    <w:pPr>
      <w:autoSpaceDE w:val="0"/>
      <w:autoSpaceDN w:val="0"/>
      <w:adjustRightInd w:val="0"/>
      <w:ind w:left="2940" w:leftChars="1400"/>
      <w:jc w:val="left"/>
    </w:pPr>
    <w:rPr>
      <w:kern w:val="0"/>
      <w:sz w:val="20"/>
      <w:szCs w:val="20"/>
    </w:rPr>
  </w:style>
  <w:style w:type="paragraph" w:styleId="40">
    <w:name w:val="index 3"/>
    <w:basedOn w:val="1"/>
    <w:next w:val="1"/>
    <w:qFormat/>
    <w:uiPriority w:val="0"/>
    <w:pPr>
      <w:adjustRightInd w:val="0"/>
      <w:spacing w:line="360" w:lineRule="auto"/>
      <w:ind w:left="720" w:hanging="240"/>
      <w:jc w:val="left"/>
    </w:pPr>
    <w:rPr>
      <w:kern w:val="0"/>
      <w:sz w:val="20"/>
      <w:szCs w:val="20"/>
    </w:rPr>
  </w:style>
  <w:style w:type="paragraph" w:styleId="41">
    <w:name w:val="Date"/>
    <w:basedOn w:val="1"/>
    <w:next w:val="1"/>
    <w:link w:val="165"/>
    <w:qFormat/>
    <w:uiPriority w:val="99"/>
    <w:rPr>
      <w:rFonts w:ascii="宋体" w:hAnsi="Calibri"/>
      <w:sz w:val="24"/>
      <w:szCs w:val="20"/>
    </w:rPr>
  </w:style>
  <w:style w:type="paragraph" w:styleId="42">
    <w:name w:val="Body Text Indent 2"/>
    <w:basedOn w:val="1"/>
    <w:link w:val="222"/>
    <w:qFormat/>
    <w:uiPriority w:val="0"/>
    <w:pPr>
      <w:spacing w:after="120" w:line="480" w:lineRule="auto"/>
      <w:ind w:left="420" w:leftChars="200"/>
    </w:pPr>
    <w:rPr>
      <w:rFonts w:ascii="Calibri" w:hAnsi="Calibri"/>
    </w:rPr>
  </w:style>
  <w:style w:type="paragraph" w:styleId="43">
    <w:name w:val="endnote text"/>
    <w:basedOn w:val="1"/>
    <w:link w:val="128"/>
    <w:qFormat/>
    <w:uiPriority w:val="0"/>
    <w:pPr>
      <w:snapToGrid w:val="0"/>
      <w:spacing w:line="360" w:lineRule="auto"/>
      <w:ind w:firstLine="480" w:firstLineChars="200"/>
      <w:jc w:val="left"/>
    </w:pPr>
    <w:rPr>
      <w:rFonts w:ascii="Calibri" w:hAnsi="Calibri"/>
      <w:sz w:val="24"/>
      <w:szCs w:val="28"/>
    </w:rPr>
  </w:style>
  <w:style w:type="paragraph" w:styleId="44">
    <w:name w:val="Balloon Text"/>
    <w:basedOn w:val="1"/>
    <w:link w:val="138"/>
    <w:qFormat/>
    <w:uiPriority w:val="0"/>
    <w:rPr>
      <w:rFonts w:ascii="Calibri" w:hAnsi="Calibri"/>
      <w:sz w:val="18"/>
      <w:szCs w:val="18"/>
    </w:rPr>
  </w:style>
  <w:style w:type="paragraph" w:styleId="45">
    <w:name w:val="footer"/>
    <w:basedOn w:val="1"/>
    <w:link w:val="158"/>
    <w:qFormat/>
    <w:uiPriority w:val="99"/>
    <w:pPr>
      <w:tabs>
        <w:tab w:val="center" w:pos="4153"/>
        <w:tab w:val="right" w:pos="8306"/>
      </w:tabs>
      <w:snapToGrid w:val="0"/>
      <w:jc w:val="left"/>
    </w:pPr>
    <w:rPr>
      <w:rFonts w:ascii="Calibri" w:hAnsi="Calibri"/>
      <w:sz w:val="18"/>
      <w:szCs w:val="18"/>
    </w:rPr>
  </w:style>
  <w:style w:type="paragraph" w:styleId="46">
    <w:name w:val="header"/>
    <w:basedOn w:val="1"/>
    <w:link w:val="182"/>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47">
    <w:name w:val="Signature"/>
    <w:basedOn w:val="1"/>
    <w:link w:val="253"/>
    <w:qFormat/>
    <w:uiPriority w:val="0"/>
    <w:pPr>
      <w:autoSpaceDE w:val="0"/>
      <w:autoSpaceDN w:val="0"/>
      <w:adjustRightInd w:val="0"/>
      <w:spacing w:after="600" w:line="312" w:lineRule="atLeast"/>
      <w:jc w:val="center"/>
      <w:textAlignment w:val="baseline"/>
    </w:pPr>
    <w:rPr>
      <w:rFonts w:ascii="Calibri" w:hAnsi="Calibri" w:eastAsia="仿宋_GB2312"/>
      <w:kern w:val="0"/>
      <w:sz w:val="24"/>
      <w:szCs w:val="20"/>
    </w:rPr>
  </w:style>
  <w:style w:type="paragraph" w:styleId="48">
    <w:name w:val="toc 1"/>
    <w:basedOn w:val="1"/>
    <w:next w:val="1"/>
    <w:qFormat/>
    <w:uiPriority w:val="39"/>
    <w:pPr>
      <w:tabs>
        <w:tab w:val="right" w:leader="dot" w:pos="9060"/>
      </w:tabs>
      <w:spacing w:line="360" w:lineRule="auto"/>
    </w:pPr>
    <w:rPr>
      <w:rFonts w:ascii="黑体" w:hAnsi="Arial" w:eastAsia="黑体" w:cs="Arial"/>
      <w:kern w:val="0"/>
      <w:sz w:val="24"/>
    </w:rPr>
  </w:style>
  <w:style w:type="paragraph" w:styleId="49">
    <w:name w:val="toc 4"/>
    <w:basedOn w:val="1"/>
    <w:next w:val="1"/>
    <w:unhideWhenUsed/>
    <w:qFormat/>
    <w:uiPriority w:val="39"/>
    <w:pPr>
      <w:autoSpaceDE w:val="0"/>
      <w:autoSpaceDN w:val="0"/>
      <w:adjustRightInd w:val="0"/>
      <w:ind w:left="1260" w:leftChars="600"/>
      <w:jc w:val="left"/>
    </w:pPr>
    <w:rPr>
      <w:kern w:val="0"/>
      <w:sz w:val="20"/>
      <w:szCs w:val="20"/>
    </w:rPr>
  </w:style>
  <w:style w:type="paragraph" w:styleId="50">
    <w:name w:val="index heading"/>
    <w:basedOn w:val="1"/>
    <w:next w:val="51"/>
    <w:qFormat/>
    <w:uiPriority w:val="0"/>
    <w:pPr>
      <w:adjustRightInd w:val="0"/>
      <w:spacing w:before="120" w:after="120" w:line="360" w:lineRule="auto"/>
      <w:jc w:val="left"/>
    </w:pPr>
    <w:rPr>
      <w:b/>
      <w:bCs/>
      <w:i/>
      <w:iCs/>
      <w:kern w:val="0"/>
      <w:sz w:val="20"/>
      <w:szCs w:val="20"/>
    </w:rPr>
  </w:style>
  <w:style w:type="paragraph" w:styleId="51">
    <w:name w:val="index 1"/>
    <w:basedOn w:val="1"/>
    <w:next w:val="1"/>
    <w:qFormat/>
    <w:uiPriority w:val="0"/>
    <w:pPr>
      <w:adjustRightInd w:val="0"/>
      <w:spacing w:line="360" w:lineRule="atLeast"/>
      <w:ind w:left="113" w:leftChars="54" w:right="113" w:firstLine="103" w:firstLineChars="49"/>
      <w:jc w:val="center"/>
      <w:textAlignment w:val="baseline"/>
    </w:pPr>
    <w:rPr>
      <w:rFonts w:ascii="Arial" w:hAnsi="Arial"/>
      <w:b/>
      <w:szCs w:val="21"/>
    </w:rPr>
  </w:style>
  <w:style w:type="paragraph" w:styleId="52">
    <w:name w:val="Subtitle"/>
    <w:basedOn w:val="1"/>
    <w:next w:val="1"/>
    <w:link w:val="154"/>
    <w:qFormat/>
    <w:uiPriority w:val="11"/>
    <w:pPr>
      <w:spacing w:after="60" w:line="360" w:lineRule="auto"/>
      <w:ind w:firstLine="200" w:firstLineChars="200"/>
      <w:jc w:val="center"/>
      <w:outlineLvl w:val="1"/>
    </w:pPr>
    <w:rPr>
      <w:rFonts w:ascii="Cambria" w:hAnsi="Cambria"/>
      <w:sz w:val="24"/>
    </w:rPr>
  </w:style>
  <w:style w:type="paragraph" w:styleId="53">
    <w:name w:val="List Number 5"/>
    <w:basedOn w:val="1"/>
    <w:qFormat/>
    <w:uiPriority w:val="0"/>
    <w:pPr>
      <w:tabs>
        <w:tab w:val="left" w:pos="2040"/>
      </w:tabs>
      <w:autoSpaceDE w:val="0"/>
      <w:autoSpaceDN w:val="0"/>
      <w:adjustRightInd w:val="0"/>
      <w:spacing w:line="400" w:lineRule="exact"/>
      <w:ind w:left="2040" w:hanging="360"/>
      <w:jc w:val="left"/>
    </w:pPr>
    <w:rPr>
      <w:kern w:val="0"/>
      <w:sz w:val="24"/>
      <w:szCs w:val="20"/>
    </w:rPr>
  </w:style>
  <w:style w:type="paragraph" w:styleId="54">
    <w:name w:val="List"/>
    <w:basedOn w:val="1"/>
    <w:qFormat/>
    <w:uiPriority w:val="0"/>
    <w:pPr>
      <w:ind w:left="200" w:hanging="200" w:hangingChars="200"/>
    </w:pPr>
    <w:rPr>
      <w:sz w:val="28"/>
    </w:rPr>
  </w:style>
  <w:style w:type="paragraph" w:styleId="55">
    <w:name w:val="footnote text"/>
    <w:basedOn w:val="1"/>
    <w:link w:val="341"/>
    <w:unhideWhenUsed/>
    <w:qFormat/>
    <w:uiPriority w:val="99"/>
    <w:pPr>
      <w:snapToGrid w:val="0"/>
      <w:jc w:val="left"/>
    </w:pPr>
    <w:rPr>
      <w:rFonts w:ascii="Calibri" w:hAnsi="Calibri" w:eastAsia="仿宋_GB2312"/>
      <w:sz w:val="18"/>
      <w:szCs w:val="18"/>
    </w:rPr>
  </w:style>
  <w:style w:type="paragraph" w:styleId="56">
    <w:name w:val="toc 6"/>
    <w:basedOn w:val="1"/>
    <w:next w:val="1"/>
    <w:qFormat/>
    <w:uiPriority w:val="39"/>
    <w:pPr>
      <w:autoSpaceDE w:val="0"/>
      <w:autoSpaceDN w:val="0"/>
      <w:adjustRightInd w:val="0"/>
      <w:ind w:left="2100" w:leftChars="1000"/>
      <w:jc w:val="left"/>
    </w:pPr>
    <w:rPr>
      <w:kern w:val="0"/>
      <w:sz w:val="20"/>
      <w:szCs w:val="20"/>
    </w:rPr>
  </w:style>
  <w:style w:type="paragraph" w:styleId="57">
    <w:name w:val="Body Text Indent 3"/>
    <w:basedOn w:val="1"/>
    <w:link w:val="187"/>
    <w:qFormat/>
    <w:uiPriority w:val="0"/>
    <w:pPr>
      <w:spacing w:line="500" w:lineRule="exact"/>
      <w:ind w:left="511" w:hanging="511" w:hangingChars="213"/>
    </w:pPr>
    <w:rPr>
      <w:rFonts w:ascii="Calibri" w:hAnsi="Calibri"/>
      <w:sz w:val="24"/>
    </w:rPr>
  </w:style>
  <w:style w:type="paragraph" w:styleId="58">
    <w:name w:val="index 7"/>
    <w:basedOn w:val="1"/>
    <w:next w:val="1"/>
    <w:qFormat/>
    <w:uiPriority w:val="0"/>
    <w:pPr>
      <w:adjustRightInd w:val="0"/>
      <w:spacing w:line="360" w:lineRule="auto"/>
      <w:ind w:left="1680" w:hanging="240"/>
      <w:jc w:val="left"/>
    </w:pPr>
    <w:rPr>
      <w:kern w:val="0"/>
      <w:sz w:val="20"/>
      <w:szCs w:val="20"/>
    </w:rPr>
  </w:style>
  <w:style w:type="paragraph" w:styleId="59">
    <w:name w:val="index 9"/>
    <w:basedOn w:val="1"/>
    <w:next w:val="1"/>
    <w:qFormat/>
    <w:uiPriority w:val="0"/>
    <w:pPr>
      <w:adjustRightInd w:val="0"/>
      <w:spacing w:line="360" w:lineRule="auto"/>
      <w:ind w:left="2160" w:hanging="240"/>
      <w:jc w:val="left"/>
    </w:pPr>
    <w:rPr>
      <w:kern w:val="0"/>
      <w:sz w:val="20"/>
      <w:szCs w:val="20"/>
    </w:rPr>
  </w:style>
  <w:style w:type="paragraph" w:styleId="60">
    <w:name w:val="table of figures"/>
    <w:basedOn w:val="1"/>
    <w:next w:val="1"/>
    <w:qFormat/>
    <w:uiPriority w:val="99"/>
    <w:pPr>
      <w:spacing w:line="360" w:lineRule="auto"/>
      <w:ind w:left="200" w:leftChars="200" w:hanging="200" w:hangingChars="200"/>
    </w:pPr>
    <w:rPr>
      <w:rFonts w:eastAsia="黑体"/>
      <w:sz w:val="20"/>
    </w:rPr>
  </w:style>
  <w:style w:type="paragraph" w:styleId="61">
    <w:name w:val="toc 2"/>
    <w:basedOn w:val="1"/>
    <w:next w:val="1"/>
    <w:qFormat/>
    <w:uiPriority w:val="39"/>
    <w:pPr>
      <w:ind w:left="420" w:leftChars="200"/>
    </w:pPr>
  </w:style>
  <w:style w:type="paragraph" w:styleId="62">
    <w:name w:val="toc 9"/>
    <w:basedOn w:val="1"/>
    <w:next w:val="1"/>
    <w:qFormat/>
    <w:uiPriority w:val="39"/>
    <w:pPr>
      <w:autoSpaceDE w:val="0"/>
      <w:autoSpaceDN w:val="0"/>
      <w:adjustRightInd w:val="0"/>
      <w:ind w:left="3360" w:leftChars="1600"/>
      <w:jc w:val="left"/>
    </w:pPr>
    <w:rPr>
      <w:kern w:val="0"/>
      <w:sz w:val="20"/>
      <w:szCs w:val="20"/>
    </w:rPr>
  </w:style>
  <w:style w:type="paragraph" w:styleId="63">
    <w:name w:val="Body Text 2"/>
    <w:basedOn w:val="1"/>
    <w:link w:val="218"/>
    <w:qFormat/>
    <w:uiPriority w:val="0"/>
    <w:pPr>
      <w:autoSpaceDE w:val="0"/>
      <w:autoSpaceDN w:val="0"/>
      <w:adjustRightInd w:val="0"/>
      <w:spacing w:after="120" w:line="480" w:lineRule="auto"/>
      <w:jc w:val="left"/>
    </w:pPr>
    <w:rPr>
      <w:rFonts w:ascii="Calibri" w:hAnsi="Calibri"/>
      <w:kern w:val="0"/>
      <w:sz w:val="20"/>
      <w:szCs w:val="20"/>
    </w:rPr>
  </w:style>
  <w:style w:type="paragraph" w:styleId="64">
    <w:name w:val="HTML Preformatted"/>
    <w:basedOn w:val="1"/>
    <w:link w:val="31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pPr>
    <w:rPr>
      <w:rFonts w:ascii="宋体" w:hAnsi="宋体"/>
      <w:kern w:val="0"/>
      <w:sz w:val="24"/>
    </w:rPr>
  </w:style>
  <w:style w:type="paragraph" w:styleId="6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66">
    <w:name w:val="index 2"/>
    <w:basedOn w:val="1"/>
    <w:next w:val="1"/>
    <w:qFormat/>
    <w:uiPriority w:val="0"/>
    <w:pPr>
      <w:adjustRightInd w:val="0"/>
      <w:spacing w:line="360" w:lineRule="auto"/>
      <w:ind w:left="480" w:hanging="240"/>
      <w:jc w:val="left"/>
    </w:pPr>
    <w:rPr>
      <w:kern w:val="0"/>
      <w:sz w:val="20"/>
      <w:szCs w:val="20"/>
    </w:rPr>
  </w:style>
  <w:style w:type="paragraph" w:styleId="67">
    <w:name w:val="Title"/>
    <w:basedOn w:val="1"/>
    <w:link w:val="246"/>
    <w:qFormat/>
    <w:uiPriority w:val="0"/>
    <w:pPr>
      <w:autoSpaceDE w:val="0"/>
      <w:autoSpaceDN w:val="0"/>
      <w:adjustRightInd w:val="0"/>
      <w:spacing w:before="240" w:after="60"/>
      <w:jc w:val="center"/>
      <w:outlineLvl w:val="0"/>
    </w:pPr>
    <w:rPr>
      <w:rFonts w:ascii="Cambria" w:hAnsi="Cambria"/>
      <w:b/>
      <w:bCs/>
      <w:kern w:val="0"/>
      <w:sz w:val="32"/>
      <w:szCs w:val="32"/>
    </w:rPr>
  </w:style>
  <w:style w:type="paragraph" w:styleId="68">
    <w:name w:val="annotation subject"/>
    <w:basedOn w:val="22"/>
    <w:next w:val="22"/>
    <w:link w:val="236"/>
    <w:qFormat/>
    <w:uiPriority w:val="99"/>
    <w:rPr>
      <w:b/>
      <w:bCs/>
    </w:rPr>
  </w:style>
  <w:style w:type="table" w:styleId="70">
    <w:name w:val="Table Grid"/>
    <w:basedOn w:val="6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71">
    <w:name w:val="Table Elegant"/>
    <w:basedOn w:val="69"/>
    <w:qFormat/>
    <w:uiPriority w:val="0"/>
    <w:pPr>
      <w:widowControl w:val="0"/>
      <w:spacing w:line="360" w:lineRule="auto"/>
      <w:ind w:firstLine="200" w:firstLineChars="200"/>
      <w:jc w:val="center"/>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72">
    <w:name w:val="Table List 4"/>
    <w:basedOn w:val="69"/>
    <w:qFormat/>
    <w:uiPriority w:val="0"/>
    <w:pPr>
      <w:widowControl w:val="0"/>
      <w:spacing w:line="360" w:lineRule="auto"/>
      <w:ind w:firstLine="210" w:firstLineChars="21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top w:val="nil"/>
          <w:left w:val="nil"/>
          <w:bottom w:val="single" w:color="000000" w:sz="12" w:space="0"/>
          <w:right w:val="nil"/>
          <w:insideH w:val="nil"/>
          <w:insideV w:val="nil"/>
          <w:tl2br w:val="nil"/>
          <w:tr2bl w:val="nil"/>
        </w:tcBorders>
        <w:shd w:val="solid" w:color="808080" w:fill="FFFFFF"/>
      </w:tcPr>
    </w:tblStylePr>
  </w:style>
  <w:style w:type="table" w:styleId="73">
    <w:name w:val="Table Grid 6"/>
    <w:basedOn w:val="69"/>
    <w:qFormat/>
    <w:uiPriority w:val="0"/>
    <w:pPr>
      <w:widowControl w:val="0"/>
      <w:spacing w:line="360" w:lineRule="auto"/>
      <w:ind w:firstLine="210" w:firstLineChars="21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4">
    <w:name w:val="Table Professional"/>
    <w:basedOn w:val="69"/>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6">
    <w:name w:val="Strong"/>
    <w:qFormat/>
    <w:uiPriority w:val="0"/>
    <w:rPr>
      <w:b/>
      <w:bCs/>
    </w:rPr>
  </w:style>
  <w:style w:type="character" w:styleId="77">
    <w:name w:val="page number"/>
    <w:basedOn w:val="75"/>
    <w:qFormat/>
    <w:uiPriority w:val="0"/>
  </w:style>
  <w:style w:type="character" w:styleId="78">
    <w:name w:val="FollowedHyperlink"/>
    <w:qFormat/>
    <w:uiPriority w:val="99"/>
    <w:rPr>
      <w:color w:val="800080"/>
      <w:u w:val="single"/>
    </w:rPr>
  </w:style>
  <w:style w:type="character" w:styleId="79">
    <w:name w:val="Emphasis"/>
    <w:basedOn w:val="75"/>
    <w:qFormat/>
    <w:uiPriority w:val="20"/>
  </w:style>
  <w:style w:type="character" w:styleId="80">
    <w:name w:val="line number"/>
    <w:basedOn w:val="75"/>
    <w:qFormat/>
    <w:uiPriority w:val="0"/>
  </w:style>
  <w:style w:type="character" w:styleId="81">
    <w:name w:val="Hyperlink"/>
    <w:qFormat/>
    <w:uiPriority w:val="99"/>
    <w:rPr>
      <w:color w:val="0000FF"/>
      <w:u w:val="single"/>
    </w:rPr>
  </w:style>
  <w:style w:type="character" w:styleId="82">
    <w:name w:val="annotation reference"/>
    <w:qFormat/>
    <w:uiPriority w:val="0"/>
    <w:rPr>
      <w:sz w:val="21"/>
      <w:szCs w:val="21"/>
    </w:rPr>
  </w:style>
  <w:style w:type="character" w:styleId="83">
    <w:name w:val="footnote reference"/>
    <w:unhideWhenUsed/>
    <w:qFormat/>
    <w:uiPriority w:val="99"/>
    <w:rPr>
      <w:vertAlign w:val="superscript"/>
    </w:rPr>
  </w:style>
  <w:style w:type="character" w:customStyle="1" w:styleId="84">
    <w:name w:val="题注 Char1"/>
    <w:qFormat/>
    <w:uiPriority w:val="0"/>
    <w:rPr>
      <w:rFonts w:ascii="Arial" w:hAnsi="Arial" w:eastAsia="黑体" w:cs="Arial"/>
      <w:kern w:val="2"/>
    </w:rPr>
  </w:style>
  <w:style w:type="character" w:customStyle="1" w:styleId="85">
    <w:name w:val="Char Char4"/>
    <w:qFormat/>
    <w:uiPriority w:val="0"/>
    <w:rPr>
      <w:b/>
      <w:bCs/>
      <w:sz w:val="32"/>
      <w:szCs w:val="32"/>
    </w:rPr>
  </w:style>
  <w:style w:type="character" w:customStyle="1" w:styleId="86">
    <w:name w:val="标题 5 字符"/>
    <w:link w:val="6"/>
    <w:qFormat/>
    <w:uiPriority w:val="0"/>
    <w:rPr>
      <w:b/>
      <w:bCs/>
      <w:kern w:val="2"/>
      <w:sz w:val="28"/>
      <w:szCs w:val="28"/>
    </w:rPr>
  </w:style>
  <w:style w:type="character" w:customStyle="1" w:styleId="87">
    <w:name w:val="正文文本 Char"/>
    <w:qFormat/>
    <w:uiPriority w:val="0"/>
    <w:rPr>
      <w:rFonts w:eastAsia="宋体"/>
      <w:kern w:val="2"/>
      <w:sz w:val="21"/>
      <w:szCs w:val="24"/>
      <w:lang w:val="en-US" w:eastAsia="zh-CN" w:bidi="ar-SA"/>
    </w:rPr>
  </w:style>
  <w:style w:type="character" w:customStyle="1" w:styleId="88">
    <w:name w:val="表正文 Char"/>
    <w:qFormat/>
    <w:uiPriority w:val="0"/>
    <w:rPr>
      <w:rFonts w:eastAsia="宋体"/>
      <w:sz w:val="21"/>
      <w:lang w:val="en-US" w:eastAsia="zh-CN" w:bidi="ar-SA"/>
    </w:rPr>
  </w:style>
  <w:style w:type="character" w:customStyle="1" w:styleId="89">
    <w:name w:val="Char Char"/>
    <w:qFormat/>
    <w:uiPriority w:val="0"/>
    <w:rPr>
      <w:rFonts w:ascii="宋体" w:hAnsi="Courier New" w:eastAsia="宋体"/>
      <w:sz w:val="21"/>
      <w:szCs w:val="21"/>
      <w:lang w:val="en-US" w:eastAsia="zh-CN" w:bidi="ar-SA"/>
    </w:rPr>
  </w:style>
  <w:style w:type="character" w:customStyle="1" w:styleId="90">
    <w:name w:val="方框标题 Char"/>
    <w:link w:val="91"/>
    <w:qFormat/>
    <w:uiPriority w:val="0"/>
    <w:rPr>
      <w:rFonts w:eastAsia="黑体"/>
      <w:kern w:val="2"/>
      <w:sz w:val="24"/>
      <w:szCs w:val="24"/>
    </w:rPr>
  </w:style>
  <w:style w:type="paragraph" w:customStyle="1" w:styleId="91">
    <w:name w:val="方框标题"/>
    <w:basedOn w:val="1"/>
    <w:next w:val="1"/>
    <w:link w:val="90"/>
    <w:qFormat/>
    <w:uiPriority w:val="0"/>
    <w:pPr>
      <w:numPr>
        <w:ilvl w:val="0"/>
        <w:numId w:val="4"/>
      </w:numPr>
      <w:tabs>
        <w:tab w:val="left" w:pos="420"/>
      </w:tabs>
      <w:autoSpaceDE w:val="0"/>
      <w:autoSpaceDN w:val="0"/>
      <w:spacing w:line="360" w:lineRule="auto"/>
      <w:ind w:firstLine="0" w:firstLineChars="200"/>
    </w:pPr>
    <w:rPr>
      <w:rFonts w:ascii="Calibri" w:hAnsi="Calibri" w:eastAsia="黑体"/>
      <w:sz w:val="24"/>
    </w:rPr>
  </w:style>
  <w:style w:type="character" w:customStyle="1" w:styleId="92">
    <w:name w:val="pt9-hui-line201"/>
    <w:qFormat/>
    <w:uiPriority w:val="0"/>
    <w:rPr>
      <w:color w:val="333333"/>
      <w:spacing w:val="300"/>
      <w:sz w:val="18"/>
      <w:szCs w:val="18"/>
      <w:u w:val="none"/>
    </w:rPr>
  </w:style>
  <w:style w:type="character" w:customStyle="1" w:styleId="93">
    <w:name w:val="正文文本缩进 字符"/>
    <w:link w:val="28"/>
    <w:qFormat/>
    <w:uiPriority w:val="0"/>
    <w:rPr>
      <w:rFonts w:eastAsia="宋体"/>
      <w:kern w:val="2"/>
      <w:sz w:val="21"/>
      <w:szCs w:val="24"/>
      <w:lang w:val="en-US" w:eastAsia="zh-CN" w:bidi="ar-SA"/>
    </w:rPr>
  </w:style>
  <w:style w:type="character" w:customStyle="1" w:styleId="94">
    <w:name w:val="正文（标记） Char"/>
    <w:link w:val="95"/>
    <w:qFormat/>
    <w:uiPriority w:val="0"/>
    <w:rPr>
      <w:rFonts w:eastAsia="宋体"/>
      <w:kern w:val="2"/>
      <w:sz w:val="24"/>
      <w:szCs w:val="24"/>
      <w:lang w:val="en-US" w:eastAsia="zh-CN" w:bidi="ar-SA"/>
    </w:rPr>
  </w:style>
  <w:style w:type="paragraph" w:customStyle="1" w:styleId="95">
    <w:name w:val="正文（标记）"/>
    <w:basedOn w:val="1"/>
    <w:link w:val="94"/>
    <w:qFormat/>
    <w:uiPriority w:val="0"/>
    <w:pPr>
      <w:spacing w:beforeLines="50" w:afterLines="50"/>
    </w:pPr>
    <w:rPr>
      <w:rFonts w:ascii="Calibri" w:hAnsi="Calibri"/>
      <w:sz w:val="24"/>
    </w:rPr>
  </w:style>
  <w:style w:type="character" w:customStyle="1" w:styleId="96">
    <w:name w:val="加点正文缩进 Char"/>
    <w:link w:val="97"/>
    <w:qFormat/>
    <w:uiPriority w:val="0"/>
    <w:rPr>
      <w:kern w:val="2"/>
      <w:sz w:val="24"/>
      <w:szCs w:val="24"/>
    </w:rPr>
  </w:style>
  <w:style w:type="paragraph" w:customStyle="1" w:styleId="97">
    <w:name w:val="加点正文缩进"/>
    <w:basedOn w:val="1"/>
    <w:link w:val="96"/>
    <w:qFormat/>
    <w:uiPriority w:val="0"/>
    <w:pPr>
      <w:numPr>
        <w:ilvl w:val="0"/>
        <w:numId w:val="5"/>
      </w:numPr>
      <w:tabs>
        <w:tab w:val="left" w:pos="1259"/>
      </w:tabs>
      <w:spacing w:line="300" w:lineRule="auto"/>
      <w:ind w:firstLine="0"/>
    </w:pPr>
    <w:rPr>
      <w:rFonts w:ascii="Calibri" w:hAnsi="Calibri"/>
      <w:sz w:val="24"/>
    </w:rPr>
  </w:style>
  <w:style w:type="character" w:customStyle="1" w:styleId="98">
    <w:name w:val="ContentsHeader Char Char1"/>
    <w:qFormat/>
    <w:uiPriority w:val="0"/>
    <w:rPr>
      <w:kern w:val="2"/>
      <w:sz w:val="18"/>
      <w:szCs w:val="18"/>
    </w:rPr>
  </w:style>
  <w:style w:type="character" w:customStyle="1" w:styleId="99">
    <w:name w:val="pediy"/>
    <w:basedOn w:val="75"/>
    <w:qFormat/>
    <w:uiPriority w:val="0"/>
  </w:style>
  <w:style w:type="character" w:customStyle="1" w:styleId="100">
    <w:name w:val="dandyren_title1"/>
    <w:qFormat/>
    <w:uiPriority w:val="0"/>
    <w:rPr>
      <w:b/>
      <w:bCs/>
      <w:color w:val="FF6633"/>
      <w:sz w:val="18"/>
      <w:szCs w:val="18"/>
    </w:rPr>
  </w:style>
  <w:style w:type="character" w:customStyle="1" w:styleId="101">
    <w:name w:val="正文（居中） Char"/>
    <w:link w:val="102"/>
    <w:qFormat/>
    <w:uiPriority w:val="0"/>
    <w:rPr>
      <w:kern w:val="2"/>
      <w:sz w:val="24"/>
      <w:szCs w:val="24"/>
    </w:rPr>
  </w:style>
  <w:style w:type="paragraph" w:customStyle="1" w:styleId="102">
    <w:name w:val="正文（居中）"/>
    <w:basedOn w:val="1"/>
    <w:link w:val="101"/>
    <w:qFormat/>
    <w:uiPriority w:val="0"/>
    <w:pPr>
      <w:spacing w:before="50" w:after="50" w:line="360" w:lineRule="auto"/>
      <w:jc w:val="center"/>
    </w:pPr>
    <w:rPr>
      <w:rFonts w:ascii="Calibri" w:hAnsi="Calibri"/>
      <w:sz w:val="24"/>
    </w:rPr>
  </w:style>
  <w:style w:type="character" w:customStyle="1" w:styleId="103">
    <w:name w:val="z-窗体顶端 Char"/>
    <w:link w:val="104"/>
    <w:qFormat/>
    <w:uiPriority w:val="0"/>
    <w:rPr>
      <w:rFonts w:ascii="Arial" w:hAnsi="Arial"/>
      <w:vanish/>
      <w:sz w:val="16"/>
      <w:szCs w:val="16"/>
    </w:rPr>
  </w:style>
  <w:style w:type="paragraph" w:customStyle="1" w:styleId="104">
    <w:name w:val="z-窗体顶端1"/>
    <w:basedOn w:val="1"/>
    <w:next w:val="1"/>
    <w:link w:val="103"/>
    <w:qFormat/>
    <w:uiPriority w:val="0"/>
    <w:pPr>
      <w:widowControl/>
      <w:pBdr>
        <w:bottom w:val="single" w:color="auto" w:sz="6" w:space="1"/>
      </w:pBdr>
      <w:jc w:val="center"/>
    </w:pPr>
    <w:rPr>
      <w:rFonts w:ascii="Arial" w:hAnsi="Arial"/>
      <w:vanish/>
      <w:kern w:val="0"/>
      <w:sz w:val="16"/>
      <w:szCs w:val="16"/>
    </w:rPr>
  </w:style>
  <w:style w:type="character" w:customStyle="1" w:styleId="105">
    <w:name w:val="表格居中 Char"/>
    <w:link w:val="106"/>
    <w:qFormat/>
    <w:uiPriority w:val="0"/>
    <w:rPr>
      <w:kern w:val="2"/>
      <w:sz w:val="24"/>
      <w:szCs w:val="24"/>
    </w:rPr>
  </w:style>
  <w:style w:type="paragraph" w:customStyle="1" w:styleId="106">
    <w:name w:val="表格居中"/>
    <w:basedOn w:val="1"/>
    <w:link w:val="105"/>
    <w:qFormat/>
    <w:uiPriority w:val="0"/>
    <w:pPr>
      <w:spacing w:line="360" w:lineRule="auto"/>
      <w:jc w:val="center"/>
    </w:pPr>
    <w:rPr>
      <w:rFonts w:ascii="Calibri" w:hAnsi="Calibri"/>
      <w:sz w:val="24"/>
    </w:rPr>
  </w:style>
  <w:style w:type="character" w:customStyle="1" w:styleId="107">
    <w:name w:val="标题1 Char"/>
    <w:link w:val="108"/>
    <w:qFormat/>
    <w:uiPriority w:val="0"/>
    <w:rPr>
      <w:kern w:val="2"/>
      <w:sz w:val="24"/>
      <w:szCs w:val="24"/>
    </w:rPr>
  </w:style>
  <w:style w:type="paragraph" w:customStyle="1" w:styleId="108">
    <w:name w:val="标题1"/>
    <w:basedOn w:val="1"/>
    <w:link w:val="107"/>
    <w:qFormat/>
    <w:uiPriority w:val="0"/>
    <w:pPr>
      <w:tabs>
        <w:tab w:val="left" w:pos="420"/>
      </w:tabs>
      <w:spacing w:line="440" w:lineRule="exact"/>
      <w:ind w:left="432" w:hanging="432"/>
    </w:pPr>
    <w:rPr>
      <w:rFonts w:ascii="Calibri" w:hAnsi="Calibri"/>
      <w:sz w:val="24"/>
    </w:rPr>
  </w:style>
  <w:style w:type="character" w:customStyle="1" w:styleId="109">
    <w:name w:val="正文（缩进） Char1"/>
    <w:qFormat/>
    <w:uiPriority w:val="0"/>
    <w:rPr>
      <w:rFonts w:ascii="Times New Roman" w:hAnsi="Times New Roman" w:eastAsia="宋体" w:cs="Times New Roman"/>
      <w:sz w:val="24"/>
      <w:szCs w:val="24"/>
    </w:rPr>
  </w:style>
  <w:style w:type="character" w:customStyle="1" w:styleId="110">
    <w:name w:val="文档结构图 字符"/>
    <w:link w:val="20"/>
    <w:qFormat/>
    <w:uiPriority w:val="99"/>
    <w:rPr>
      <w:rFonts w:eastAsia="宋体"/>
      <w:kern w:val="2"/>
      <w:sz w:val="21"/>
      <w:szCs w:val="24"/>
      <w:lang w:val="en-US" w:eastAsia="zh-CN" w:bidi="ar-SA"/>
    </w:rPr>
  </w:style>
  <w:style w:type="character" w:customStyle="1" w:styleId="111">
    <w:name w:val="z-窗体底端 Char"/>
    <w:link w:val="112"/>
    <w:qFormat/>
    <w:uiPriority w:val="0"/>
    <w:rPr>
      <w:rFonts w:ascii="Arial" w:hAnsi="Arial"/>
      <w:vanish/>
      <w:sz w:val="16"/>
      <w:szCs w:val="16"/>
    </w:rPr>
  </w:style>
  <w:style w:type="paragraph" w:customStyle="1" w:styleId="112">
    <w:name w:val="z-窗体底端1"/>
    <w:basedOn w:val="1"/>
    <w:next w:val="1"/>
    <w:link w:val="111"/>
    <w:qFormat/>
    <w:uiPriority w:val="0"/>
    <w:pPr>
      <w:widowControl/>
      <w:pBdr>
        <w:top w:val="single" w:color="auto" w:sz="6" w:space="1"/>
      </w:pBdr>
      <w:jc w:val="center"/>
    </w:pPr>
    <w:rPr>
      <w:rFonts w:ascii="Arial" w:hAnsi="Arial"/>
      <w:vanish/>
      <w:kern w:val="0"/>
      <w:sz w:val="16"/>
      <w:szCs w:val="16"/>
    </w:rPr>
  </w:style>
  <w:style w:type="character" w:customStyle="1" w:styleId="113">
    <w:name w:val="样式 宋体"/>
    <w:qFormat/>
    <w:uiPriority w:val="0"/>
    <w:rPr>
      <w:rFonts w:ascii="宋体" w:hAnsi="宋体" w:eastAsia="宋体"/>
      <w:sz w:val="24"/>
      <w:szCs w:val="24"/>
    </w:rPr>
  </w:style>
  <w:style w:type="character" w:customStyle="1" w:styleId="114">
    <w:name w:val="Char Char5"/>
    <w:qFormat/>
    <w:uiPriority w:val="0"/>
    <w:rPr>
      <w:rFonts w:ascii="宋体" w:eastAsia="宋体"/>
      <w:kern w:val="2"/>
      <w:sz w:val="24"/>
      <w:lang w:val="en-US" w:eastAsia="zh-CN" w:bidi="ar-SA"/>
    </w:rPr>
  </w:style>
  <w:style w:type="character" w:customStyle="1" w:styleId="115">
    <w:name w:val="小项目 Char"/>
    <w:link w:val="116"/>
    <w:qFormat/>
    <w:uiPriority w:val="0"/>
    <w:rPr>
      <w:rFonts w:ascii="仿宋_GB2312" w:hAnsi="Calibri" w:eastAsia="仿宋_GB2312"/>
      <w:sz w:val="24"/>
      <w:szCs w:val="21"/>
    </w:rPr>
  </w:style>
  <w:style w:type="paragraph" w:customStyle="1" w:styleId="116">
    <w:name w:val="小项目"/>
    <w:basedOn w:val="1"/>
    <w:link w:val="115"/>
    <w:qFormat/>
    <w:uiPriority w:val="0"/>
    <w:pPr>
      <w:numPr>
        <w:ilvl w:val="0"/>
        <w:numId w:val="6"/>
      </w:numPr>
      <w:autoSpaceDE w:val="0"/>
      <w:autoSpaceDN w:val="0"/>
      <w:adjustRightInd w:val="0"/>
      <w:spacing w:line="360" w:lineRule="auto"/>
      <w:ind w:firstLine="0"/>
      <w:jc w:val="left"/>
    </w:pPr>
    <w:rPr>
      <w:rFonts w:ascii="仿宋_GB2312" w:hAnsi="Calibri" w:eastAsia="仿宋_GB2312"/>
      <w:kern w:val="0"/>
      <w:sz w:val="24"/>
      <w:szCs w:val="21"/>
    </w:rPr>
  </w:style>
  <w:style w:type="character" w:customStyle="1" w:styleId="117">
    <w:name w:val="图表正文 Char"/>
    <w:link w:val="118"/>
    <w:qFormat/>
    <w:uiPriority w:val="0"/>
    <w:rPr>
      <w:kern w:val="2"/>
      <w:sz w:val="21"/>
    </w:rPr>
  </w:style>
  <w:style w:type="paragraph" w:customStyle="1" w:styleId="118">
    <w:name w:val="图表正文"/>
    <w:basedOn w:val="1"/>
    <w:link w:val="117"/>
    <w:qFormat/>
    <w:uiPriority w:val="0"/>
    <w:pPr>
      <w:spacing w:line="300" w:lineRule="auto"/>
      <w:jc w:val="center"/>
    </w:pPr>
    <w:rPr>
      <w:rFonts w:ascii="Calibri" w:hAnsi="Calibri"/>
      <w:szCs w:val="20"/>
    </w:rPr>
  </w:style>
  <w:style w:type="character" w:customStyle="1" w:styleId="119">
    <w:name w:val="样式 正文缩进正文（首行缩进两字）表正文正文非缩进段1特点identication正文双线TBNet5缩进A... Char"/>
    <w:link w:val="120"/>
    <w:qFormat/>
    <w:uiPriority w:val="0"/>
    <w:rPr>
      <w:color w:val="000000"/>
      <w:sz w:val="24"/>
    </w:rPr>
  </w:style>
  <w:style w:type="paragraph" w:customStyle="1" w:styleId="120">
    <w:name w:val="样式 正文缩进正文（首行缩进两字）表正文正文非缩进段1特点identication正文双线TBNet5缩进A..."/>
    <w:basedOn w:val="16"/>
    <w:link w:val="119"/>
    <w:qFormat/>
    <w:uiPriority w:val="0"/>
    <w:pPr>
      <w:adjustRightInd/>
      <w:spacing w:line="360" w:lineRule="auto"/>
      <w:ind w:firstLine="540" w:firstLineChars="225"/>
      <w:jc w:val="left"/>
      <w:textAlignment w:val="auto"/>
    </w:pPr>
    <w:rPr>
      <w:color w:val="000000"/>
      <w:sz w:val="24"/>
    </w:rPr>
  </w:style>
  <w:style w:type="character" w:customStyle="1" w:styleId="121">
    <w:name w:val="列表项目符号 字符"/>
    <w:link w:val="19"/>
    <w:qFormat/>
    <w:uiPriority w:val="0"/>
    <w:rPr>
      <w:kern w:val="2"/>
      <w:sz w:val="21"/>
      <w:szCs w:val="24"/>
    </w:rPr>
  </w:style>
  <w:style w:type="character" w:customStyle="1" w:styleId="122">
    <w:name w:val="插入的图表 Char"/>
    <w:link w:val="123"/>
    <w:qFormat/>
    <w:uiPriority w:val="0"/>
    <w:rPr>
      <w:rFonts w:eastAsia="仿宋_GB2312"/>
      <w:kern w:val="2"/>
      <w:sz w:val="24"/>
      <w:szCs w:val="24"/>
    </w:rPr>
  </w:style>
  <w:style w:type="paragraph" w:customStyle="1" w:styleId="123">
    <w:name w:val="插入的图表"/>
    <w:basedOn w:val="1"/>
    <w:link w:val="122"/>
    <w:qFormat/>
    <w:uiPriority w:val="0"/>
    <w:pPr>
      <w:spacing w:line="360" w:lineRule="auto"/>
      <w:ind w:firstLine="200" w:firstLineChars="200"/>
      <w:jc w:val="center"/>
    </w:pPr>
    <w:rPr>
      <w:rFonts w:ascii="Calibri" w:hAnsi="Calibri" w:eastAsia="仿宋_GB2312"/>
      <w:sz w:val="24"/>
    </w:rPr>
  </w:style>
  <w:style w:type="character" w:customStyle="1" w:styleId="124">
    <w:name w:val="f141"/>
    <w:qFormat/>
    <w:uiPriority w:val="0"/>
    <w:rPr>
      <w:sz w:val="21"/>
      <w:szCs w:val="21"/>
    </w:rPr>
  </w:style>
  <w:style w:type="character" w:customStyle="1" w:styleId="125">
    <w:name w:val="方框小标题 Char"/>
    <w:link w:val="126"/>
    <w:qFormat/>
    <w:uiPriority w:val="0"/>
    <w:rPr>
      <w:kern w:val="2"/>
      <w:sz w:val="24"/>
      <w:szCs w:val="24"/>
    </w:rPr>
  </w:style>
  <w:style w:type="paragraph" w:customStyle="1" w:styleId="126">
    <w:name w:val="方框小标题"/>
    <w:basedOn w:val="1"/>
    <w:next w:val="1"/>
    <w:link w:val="125"/>
    <w:qFormat/>
    <w:uiPriority w:val="0"/>
    <w:pPr>
      <w:spacing w:line="360" w:lineRule="auto"/>
      <w:ind w:left="425"/>
    </w:pPr>
    <w:rPr>
      <w:rFonts w:ascii="Calibri" w:hAnsi="Calibri"/>
      <w:sz w:val="24"/>
    </w:rPr>
  </w:style>
  <w:style w:type="character" w:customStyle="1" w:styleId="127">
    <w:name w:val="标题 6 字符"/>
    <w:link w:val="7"/>
    <w:qFormat/>
    <w:uiPriority w:val="0"/>
    <w:rPr>
      <w:rFonts w:ascii="Arial" w:hAnsi="Arial" w:eastAsia="黑体"/>
      <w:b/>
      <w:bCs/>
      <w:kern w:val="2"/>
      <w:sz w:val="24"/>
      <w:szCs w:val="24"/>
    </w:rPr>
  </w:style>
  <w:style w:type="character" w:customStyle="1" w:styleId="128">
    <w:name w:val="尾注文本 字符"/>
    <w:link w:val="43"/>
    <w:qFormat/>
    <w:uiPriority w:val="0"/>
    <w:rPr>
      <w:kern w:val="2"/>
      <w:sz w:val="24"/>
      <w:szCs w:val="28"/>
    </w:rPr>
  </w:style>
  <w:style w:type="character" w:customStyle="1" w:styleId="129">
    <w:name w:val="表正文 Char1"/>
    <w:qFormat/>
    <w:uiPriority w:val="0"/>
    <w:rPr>
      <w:rFonts w:eastAsia="宋体"/>
      <w:sz w:val="21"/>
      <w:lang w:val="en-US" w:eastAsia="zh-CN" w:bidi="ar-SA"/>
    </w:rPr>
  </w:style>
  <w:style w:type="character" w:customStyle="1" w:styleId="130">
    <w:name w:val="正文首行缩进 + 首行缩进:  2 字符 Char"/>
    <w:link w:val="131"/>
    <w:qFormat/>
    <w:uiPriority w:val="0"/>
    <w:rPr>
      <w:rFonts w:eastAsia="黑体" w:cs="宋体"/>
      <w:kern w:val="2"/>
      <w:sz w:val="24"/>
      <w:szCs w:val="22"/>
    </w:rPr>
  </w:style>
  <w:style w:type="paragraph" w:customStyle="1" w:styleId="131">
    <w:name w:val="正文首行缩进 + 首行缩进:  2 字符"/>
    <w:basedOn w:val="27"/>
    <w:link w:val="130"/>
    <w:qFormat/>
    <w:uiPriority w:val="0"/>
    <w:pPr>
      <w:tabs>
        <w:tab w:val="left" w:pos="1021"/>
      </w:tabs>
      <w:autoSpaceDE/>
      <w:autoSpaceDN/>
      <w:adjustRightInd/>
      <w:spacing w:line="360" w:lineRule="auto"/>
      <w:ind w:firstLine="480" w:firstLineChars="200"/>
      <w:jc w:val="both"/>
    </w:pPr>
    <w:rPr>
      <w:rFonts w:eastAsia="黑体"/>
      <w:sz w:val="24"/>
      <w:szCs w:val="22"/>
    </w:rPr>
  </w:style>
  <w:style w:type="character" w:customStyle="1" w:styleId="132">
    <w:name w:val="注释标题 Char1"/>
    <w:qFormat/>
    <w:uiPriority w:val="0"/>
    <w:rPr>
      <w:kern w:val="2"/>
      <w:sz w:val="21"/>
    </w:rPr>
  </w:style>
  <w:style w:type="character" w:customStyle="1" w:styleId="133">
    <w:name w:val="def正文 Char"/>
    <w:link w:val="134"/>
    <w:qFormat/>
    <w:uiPriority w:val="0"/>
    <w:rPr>
      <w:kern w:val="2"/>
      <w:sz w:val="21"/>
      <w:szCs w:val="21"/>
    </w:rPr>
  </w:style>
  <w:style w:type="paragraph" w:customStyle="1" w:styleId="134">
    <w:name w:val="def正文"/>
    <w:basedOn w:val="26"/>
    <w:link w:val="133"/>
    <w:qFormat/>
    <w:uiPriority w:val="0"/>
    <w:pPr>
      <w:widowControl/>
      <w:tabs>
        <w:tab w:val="left" w:pos="1021"/>
      </w:tabs>
      <w:spacing w:after="0" w:line="276" w:lineRule="auto"/>
      <w:ind w:firstLine="567"/>
      <w:jc w:val="center"/>
    </w:pPr>
    <w:rPr>
      <w:szCs w:val="21"/>
    </w:rPr>
  </w:style>
  <w:style w:type="character" w:customStyle="1" w:styleId="135">
    <w:name w:val="Char Char20"/>
    <w:qFormat/>
    <w:uiPriority w:val="0"/>
    <w:rPr>
      <w:b/>
      <w:bCs/>
      <w:kern w:val="44"/>
      <w:sz w:val="44"/>
      <w:szCs w:val="44"/>
    </w:rPr>
  </w:style>
  <w:style w:type="character" w:customStyle="1" w:styleId="136">
    <w:name w:val="heading 9 Char1"/>
    <w:qFormat/>
    <w:uiPriority w:val="0"/>
    <w:rPr>
      <w:rFonts w:ascii="Arial" w:hAnsi="Arial" w:eastAsia="黑体"/>
      <w:sz w:val="21"/>
      <w:lang w:val="en-US" w:eastAsia="zh-CN" w:bidi="ar-SA"/>
    </w:rPr>
  </w:style>
  <w:style w:type="character" w:customStyle="1" w:styleId="137">
    <w:name w:val="注释标题 Char2"/>
    <w:qFormat/>
    <w:uiPriority w:val="0"/>
    <w:rPr>
      <w:kern w:val="2"/>
      <w:sz w:val="21"/>
      <w:szCs w:val="24"/>
    </w:rPr>
  </w:style>
  <w:style w:type="character" w:customStyle="1" w:styleId="138">
    <w:name w:val="批注框文本 字符"/>
    <w:link w:val="44"/>
    <w:qFormat/>
    <w:uiPriority w:val="0"/>
    <w:rPr>
      <w:rFonts w:eastAsia="宋体"/>
      <w:kern w:val="2"/>
      <w:sz w:val="18"/>
      <w:szCs w:val="18"/>
      <w:lang w:val="en-US" w:eastAsia="zh-CN" w:bidi="ar-SA"/>
    </w:rPr>
  </w:style>
  <w:style w:type="character" w:customStyle="1" w:styleId="139">
    <w:name w:val="正文黑体 Char"/>
    <w:link w:val="140"/>
    <w:qFormat/>
    <w:uiPriority w:val="0"/>
    <w:rPr>
      <w:rFonts w:ascii="宋体" w:hAnsi="宋体" w:eastAsia="宋体"/>
      <w:kern w:val="2"/>
      <w:sz w:val="28"/>
      <w:szCs w:val="28"/>
      <w:lang w:val="en-US" w:eastAsia="zh-CN" w:bidi="ar-SA"/>
    </w:rPr>
  </w:style>
  <w:style w:type="paragraph" w:customStyle="1" w:styleId="140">
    <w:name w:val="正文黑体"/>
    <w:basedOn w:val="1"/>
    <w:link w:val="139"/>
    <w:qFormat/>
    <w:uiPriority w:val="0"/>
    <w:pPr>
      <w:spacing w:line="360" w:lineRule="auto"/>
      <w:ind w:firstLine="560" w:firstLineChars="200"/>
    </w:pPr>
    <w:rPr>
      <w:rFonts w:ascii="宋体" w:hAnsi="宋体"/>
      <w:sz w:val="28"/>
      <w:szCs w:val="28"/>
    </w:rPr>
  </w:style>
  <w:style w:type="character" w:customStyle="1" w:styleId="141">
    <w:name w:val="小标题 Char Char"/>
    <w:link w:val="142"/>
    <w:qFormat/>
    <w:uiPriority w:val="0"/>
    <w:rPr>
      <w:rFonts w:eastAsia="黑体"/>
    </w:rPr>
  </w:style>
  <w:style w:type="paragraph" w:customStyle="1" w:styleId="142">
    <w:name w:val="小标题"/>
    <w:basedOn w:val="1"/>
    <w:link w:val="141"/>
    <w:qFormat/>
    <w:uiPriority w:val="0"/>
    <w:pPr>
      <w:autoSpaceDE w:val="0"/>
      <w:autoSpaceDN w:val="0"/>
      <w:adjustRightInd w:val="0"/>
      <w:spacing w:before="120" w:line="360" w:lineRule="atLeast"/>
      <w:ind w:left="1134"/>
      <w:jc w:val="left"/>
      <w:textAlignment w:val="baseline"/>
    </w:pPr>
    <w:rPr>
      <w:rFonts w:ascii="Calibri" w:hAnsi="Calibri" w:eastAsia="黑体"/>
      <w:kern w:val="0"/>
      <w:sz w:val="20"/>
      <w:szCs w:val="20"/>
    </w:rPr>
  </w:style>
  <w:style w:type="character" w:customStyle="1" w:styleId="143">
    <w:name w:val="a呼市表格正文 Char"/>
    <w:link w:val="144"/>
    <w:qFormat/>
    <w:uiPriority w:val="0"/>
    <w:rPr>
      <w:rFonts w:ascii="宋体" w:hAnsi="宋体"/>
      <w:color w:val="000000"/>
      <w:sz w:val="21"/>
      <w:szCs w:val="21"/>
    </w:rPr>
  </w:style>
  <w:style w:type="paragraph" w:customStyle="1" w:styleId="144">
    <w:name w:val="a呼市表格正文"/>
    <w:basedOn w:val="1"/>
    <w:link w:val="143"/>
    <w:qFormat/>
    <w:uiPriority w:val="0"/>
    <w:pPr>
      <w:widowControl/>
      <w:jc w:val="center"/>
    </w:pPr>
    <w:rPr>
      <w:rFonts w:ascii="宋体" w:hAnsi="宋体"/>
      <w:color w:val="000000"/>
      <w:kern w:val="0"/>
      <w:szCs w:val="21"/>
    </w:rPr>
  </w:style>
  <w:style w:type="character" w:customStyle="1" w:styleId="145">
    <w:name w:val="Char Char16"/>
    <w:qFormat/>
    <w:uiPriority w:val="0"/>
    <w:rPr>
      <w:b/>
      <w:bCs/>
      <w:kern w:val="2"/>
      <w:sz w:val="28"/>
      <w:szCs w:val="28"/>
    </w:rPr>
  </w:style>
  <w:style w:type="character" w:customStyle="1" w:styleId="146">
    <w:name w:val="图表题头 Char"/>
    <w:link w:val="147"/>
    <w:qFormat/>
    <w:uiPriority w:val="0"/>
    <w:rPr>
      <w:b/>
      <w:bCs/>
      <w:kern w:val="2"/>
      <w:sz w:val="21"/>
      <w:szCs w:val="24"/>
    </w:rPr>
  </w:style>
  <w:style w:type="paragraph" w:customStyle="1" w:styleId="147">
    <w:name w:val="图表题头"/>
    <w:basedOn w:val="1"/>
    <w:next w:val="1"/>
    <w:link w:val="146"/>
    <w:qFormat/>
    <w:uiPriority w:val="0"/>
    <w:pPr>
      <w:tabs>
        <w:tab w:val="left" w:pos="480"/>
      </w:tabs>
      <w:spacing w:before="120" w:after="120"/>
      <w:jc w:val="center"/>
    </w:pPr>
    <w:rPr>
      <w:rFonts w:ascii="Calibri" w:hAnsi="Calibri"/>
      <w:b/>
      <w:bCs/>
    </w:rPr>
  </w:style>
  <w:style w:type="character" w:customStyle="1" w:styleId="148">
    <w:name w:val="heading 1 Char2"/>
    <w:qFormat/>
    <w:uiPriority w:val="0"/>
    <w:rPr>
      <w:b/>
      <w:bCs/>
      <w:kern w:val="44"/>
      <w:sz w:val="44"/>
      <w:szCs w:val="44"/>
    </w:rPr>
  </w:style>
  <w:style w:type="character" w:customStyle="1" w:styleId="149">
    <w:name w:val="首航缩进 Char Char"/>
    <w:link w:val="150"/>
    <w:qFormat/>
    <w:uiPriority w:val="0"/>
    <w:rPr>
      <w:rFonts w:eastAsia="仿宋_GB2312"/>
      <w:color w:val="000000"/>
      <w:kern w:val="2"/>
      <w:sz w:val="24"/>
      <w:szCs w:val="24"/>
    </w:rPr>
  </w:style>
  <w:style w:type="paragraph" w:customStyle="1" w:styleId="150">
    <w:name w:val="首航缩进 Char"/>
    <w:basedOn w:val="1"/>
    <w:link w:val="149"/>
    <w:qFormat/>
    <w:uiPriority w:val="0"/>
    <w:pPr>
      <w:tabs>
        <w:tab w:val="left" w:pos="0"/>
      </w:tabs>
      <w:autoSpaceDE w:val="0"/>
      <w:autoSpaceDN w:val="0"/>
      <w:spacing w:line="300" w:lineRule="auto"/>
      <w:ind w:firstLine="480" w:firstLineChars="200"/>
      <w:jc w:val="left"/>
    </w:pPr>
    <w:rPr>
      <w:rFonts w:ascii="Calibri" w:hAnsi="Calibri" w:eastAsia="仿宋_GB2312"/>
      <w:color w:val="000000"/>
      <w:sz w:val="24"/>
    </w:rPr>
  </w:style>
  <w:style w:type="character" w:customStyle="1" w:styleId="151">
    <w:name w:val="标题 7 字符"/>
    <w:link w:val="8"/>
    <w:qFormat/>
    <w:uiPriority w:val="0"/>
    <w:rPr>
      <w:b/>
      <w:bCs/>
      <w:kern w:val="2"/>
      <w:sz w:val="24"/>
      <w:szCs w:val="24"/>
    </w:rPr>
  </w:style>
  <w:style w:type="character" w:customStyle="1" w:styleId="152">
    <w:name w:val="一级标号 Char"/>
    <w:link w:val="153"/>
    <w:qFormat/>
    <w:uiPriority w:val="0"/>
    <w:rPr>
      <w:rFonts w:ascii="Verdana" w:hAnsi="Verdana"/>
      <w:kern w:val="2"/>
      <w:sz w:val="24"/>
      <w:szCs w:val="24"/>
      <w:lang w:eastAsia="en-US"/>
    </w:rPr>
  </w:style>
  <w:style w:type="paragraph" w:customStyle="1" w:styleId="153">
    <w:name w:val="一级标号"/>
    <w:basedOn w:val="1"/>
    <w:link w:val="152"/>
    <w:qFormat/>
    <w:uiPriority w:val="0"/>
    <w:pPr>
      <w:tabs>
        <w:tab w:val="left" w:pos="420"/>
      </w:tabs>
      <w:snapToGrid w:val="0"/>
      <w:spacing w:line="360" w:lineRule="auto"/>
    </w:pPr>
    <w:rPr>
      <w:rFonts w:ascii="Verdana" w:hAnsi="Verdana"/>
      <w:sz w:val="24"/>
      <w:lang w:eastAsia="en-US"/>
    </w:rPr>
  </w:style>
  <w:style w:type="character" w:customStyle="1" w:styleId="154">
    <w:name w:val="副标题 字符"/>
    <w:link w:val="52"/>
    <w:qFormat/>
    <w:uiPriority w:val="11"/>
    <w:rPr>
      <w:rFonts w:ascii="Cambria" w:hAnsi="Cambria"/>
      <w:kern w:val="2"/>
      <w:sz w:val="24"/>
      <w:szCs w:val="24"/>
    </w:rPr>
  </w:style>
  <w:style w:type="character" w:customStyle="1" w:styleId="155">
    <w:name w:val="正文（标记） Char2"/>
    <w:qFormat/>
    <w:uiPriority w:val="0"/>
    <w:rPr>
      <w:rFonts w:ascii="Times New Roman" w:hAnsi="Times New Roman" w:eastAsia="宋体" w:cs="Times New Roman"/>
      <w:sz w:val="24"/>
      <w:szCs w:val="24"/>
    </w:rPr>
  </w:style>
  <w:style w:type="character" w:customStyle="1" w:styleId="156">
    <w:name w:val="Char Char15"/>
    <w:qFormat/>
    <w:uiPriority w:val="0"/>
    <w:rPr>
      <w:rFonts w:ascii="Arial" w:hAnsi="Arial" w:eastAsia="黑体"/>
      <w:sz w:val="24"/>
      <w:szCs w:val="24"/>
    </w:rPr>
  </w:style>
  <w:style w:type="character" w:customStyle="1" w:styleId="157">
    <w:name w:val="apple-style-span"/>
    <w:qFormat/>
    <w:uiPriority w:val="0"/>
  </w:style>
  <w:style w:type="character" w:customStyle="1" w:styleId="158">
    <w:name w:val="页脚 字符"/>
    <w:link w:val="45"/>
    <w:qFormat/>
    <w:uiPriority w:val="99"/>
    <w:rPr>
      <w:rFonts w:eastAsia="宋体"/>
      <w:kern w:val="2"/>
      <w:sz w:val="18"/>
      <w:szCs w:val="18"/>
      <w:lang w:val="en-US" w:eastAsia="zh-CN" w:bidi="ar-SA"/>
    </w:rPr>
  </w:style>
  <w:style w:type="character" w:customStyle="1" w:styleId="159">
    <w:name w:val="heading 7 Char1"/>
    <w:qFormat/>
    <w:uiPriority w:val="0"/>
    <w:rPr>
      <w:rFonts w:ascii="Arial" w:hAnsi="Arial" w:eastAsia="黑体"/>
      <w:sz w:val="21"/>
      <w:szCs w:val="21"/>
      <w:lang w:val="en-US" w:eastAsia="zh-CN" w:bidi="ar-SA"/>
    </w:rPr>
  </w:style>
  <w:style w:type="character" w:customStyle="1" w:styleId="160">
    <w:name w:val="smalltxt1"/>
    <w:qFormat/>
    <w:uiPriority w:val="0"/>
    <w:rPr>
      <w:rFonts w:hint="default" w:ascii="ˎ̥" w:hAnsi="ˎ̥"/>
      <w:sz w:val="24"/>
      <w:szCs w:val="24"/>
    </w:rPr>
  </w:style>
  <w:style w:type="character" w:customStyle="1" w:styleId="161">
    <w:name w:val="heading 5 Char1"/>
    <w:qFormat/>
    <w:uiPriority w:val="0"/>
    <w:rPr>
      <w:rFonts w:eastAsia="宋体"/>
      <w:b/>
      <w:bCs/>
      <w:kern w:val="2"/>
      <w:sz w:val="28"/>
      <w:szCs w:val="28"/>
      <w:lang w:val="en-US" w:eastAsia="zh-CN" w:bidi="ar-SA"/>
    </w:rPr>
  </w:style>
  <w:style w:type="character" w:customStyle="1" w:styleId="162">
    <w:name w:val="称呼 字符"/>
    <w:link w:val="24"/>
    <w:qFormat/>
    <w:uiPriority w:val="0"/>
    <w:rPr>
      <w:rFonts w:eastAsia="宋体"/>
      <w:sz w:val="24"/>
      <w:lang w:val="en-US" w:eastAsia="zh-CN" w:bidi="ar-SA"/>
    </w:rPr>
  </w:style>
  <w:style w:type="character" w:customStyle="1" w:styleId="163">
    <w:name w:val="标题 Char1"/>
    <w:qFormat/>
    <w:uiPriority w:val="0"/>
    <w:rPr>
      <w:rFonts w:ascii="Cambria" w:hAnsi="Cambria" w:cs="Times New Roman"/>
      <w:b/>
      <w:bCs/>
      <w:kern w:val="2"/>
      <w:sz w:val="32"/>
      <w:szCs w:val="32"/>
    </w:rPr>
  </w:style>
  <w:style w:type="character" w:customStyle="1" w:styleId="164">
    <w:name w:val="标题 3 字符"/>
    <w:link w:val="4"/>
    <w:qFormat/>
    <w:uiPriority w:val="0"/>
    <w:rPr>
      <w:b/>
      <w:bCs/>
      <w:kern w:val="2"/>
      <w:sz w:val="32"/>
      <w:szCs w:val="32"/>
    </w:rPr>
  </w:style>
  <w:style w:type="character" w:customStyle="1" w:styleId="165">
    <w:name w:val="日期 字符"/>
    <w:link w:val="41"/>
    <w:qFormat/>
    <w:uiPriority w:val="99"/>
    <w:rPr>
      <w:rFonts w:ascii="宋体" w:eastAsia="宋体"/>
      <w:kern w:val="2"/>
      <w:sz w:val="24"/>
      <w:lang w:val="en-US" w:eastAsia="zh-CN" w:bidi="ar-SA"/>
    </w:rPr>
  </w:style>
  <w:style w:type="character" w:customStyle="1" w:styleId="166">
    <w:name w:val="blue1"/>
    <w:basedOn w:val="75"/>
    <w:qFormat/>
    <w:uiPriority w:val="0"/>
  </w:style>
  <w:style w:type="character" w:customStyle="1" w:styleId="167">
    <w:name w:val="正文 Char"/>
    <w:qFormat/>
    <w:uiPriority w:val="0"/>
    <w:rPr>
      <w:rFonts w:ascii="仿宋_GB2312" w:eastAsia="仿宋_GB2312"/>
      <w:b/>
      <w:kern w:val="2"/>
      <w:sz w:val="21"/>
      <w:szCs w:val="21"/>
    </w:rPr>
  </w:style>
  <w:style w:type="character" w:customStyle="1" w:styleId="168">
    <w:name w:val="标题 4 字符"/>
    <w:link w:val="5"/>
    <w:qFormat/>
    <w:uiPriority w:val="0"/>
    <w:rPr>
      <w:rFonts w:eastAsia="楷体_GB2312"/>
      <w:b/>
      <w:sz w:val="24"/>
      <w:lang w:val="en-US" w:eastAsia="zh-CN" w:bidi="ar-SA"/>
    </w:rPr>
  </w:style>
  <w:style w:type="character" w:customStyle="1" w:styleId="169">
    <w:name w:val="!标题1 Ctrl+1 Char"/>
    <w:link w:val="170"/>
    <w:qFormat/>
    <w:uiPriority w:val="0"/>
    <w:rPr>
      <w:rFonts w:ascii="宋体" w:hAnsi="宋体"/>
      <w:b/>
      <w:bCs/>
      <w:kern w:val="2"/>
      <w:sz w:val="32"/>
      <w:szCs w:val="32"/>
    </w:rPr>
  </w:style>
  <w:style w:type="paragraph" w:customStyle="1" w:styleId="170">
    <w:name w:val="!标题1 Ctrl+1"/>
    <w:basedOn w:val="3"/>
    <w:next w:val="171"/>
    <w:link w:val="169"/>
    <w:qFormat/>
    <w:uiPriority w:val="0"/>
    <w:pPr>
      <w:keepNext w:val="0"/>
      <w:keepLines w:val="0"/>
      <w:numPr>
        <w:numId w:val="0"/>
      </w:numPr>
      <w:tabs>
        <w:tab w:val="left" w:pos="360"/>
        <w:tab w:val="left" w:pos="425"/>
      </w:tabs>
      <w:adjustRightInd w:val="0"/>
      <w:spacing w:beforeLines="100" w:afterLines="50" w:line="360" w:lineRule="auto"/>
      <w:ind w:left="360" w:hanging="360"/>
      <w:jc w:val="left"/>
    </w:pPr>
    <w:rPr>
      <w:rFonts w:ascii="宋体" w:hAnsi="宋体"/>
      <w:kern w:val="2"/>
      <w:sz w:val="32"/>
      <w:szCs w:val="32"/>
    </w:rPr>
  </w:style>
  <w:style w:type="paragraph" w:customStyle="1" w:styleId="171">
    <w:name w:val="!我的正文 Ctr+Q"/>
    <w:basedOn w:val="1"/>
    <w:link w:val="288"/>
    <w:qFormat/>
    <w:uiPriority w:val="0"/>
    <w:pPr>
      <w:adjustRightInd w:val="0"/>
      <w:snapToGrid w:val="0"/>
      <w:spacing w:beforeLines="50" w:afterLines="50" w:line="360" w:lineRule="auto"/>
      <w:ind w:firstLine="480" w:firstLineChars="200"/>
      <w:jc w:val="left"/>
    </w:pPr>
    <w:rPr>
      <w:rFonts w:ascii="Arial" w:hAnsi="Arial"/>
      <w:sz w:val="24"/>
      <w:szCs w:val="21"/>
    </w:rPr>
  </w:style>
  <w:style w:type="character" w:customStyle="1" w:styleId="172">
    <w:name w:val="Ò³Ã¼ Char Char"/>
    <w:qFormat/>
    <w:uiPriority w:val="0"/>
    <w:rPr>
      <w:sz w:val="18"/>
      <w:szCs w:val="18"/>
    </w:rPr>
  </w:style>
  <w:style w:type="character" w:customStyle="1" w:styleId="173">
    <w:name w:val="图 Char"/>
    <w:link w:val="174"/>
    <w:qFormat/>
    <w:uiPriority w:val="0"/>
    <w:rPr>
      <w:rFonts w:ascii="Arial" w:hAnsi="Arial"/>
      <w:b/>
      <w:bCs/>
      <w:kern w:val="2"/>
      <w:sz w:val="24"/>
      <w:szCs w:val="24"/>
    </w:rPr>
  </w:style>
  <w:style w:type="paragraph" w:customStyle="1" w:styleId="174">
    <w:name w:val="图"/>
    <w:basedOn w:val="1"/>
    <w:link w:val="173"/>
    <w:qFormat/>
    <w:uiPriority w:val="0"/>
    <w:pPr>
      <w:spacing w:line="360" w:lineRule="auto"/>
      <w:ind w:firstLine="422" w:firstLineChars="200"/>
      <w:jc w:val="center"/>
    </w:pPr>
    <w:rPr>
      <w:rFonts w:ascii="Arial" w:hAnsi="Arial"/>
      <w:b/>
      <w:bCs/>
      <w:sz w:val="24"/>
    </w:rPr>
  </w:style>
  <w:style w:type="character" w:customStyle="1" w:styleId="175">
    <w:name w:val="正文文本 字符"/>
    <w:link w:val="26"/>
    <w:qFormat/>
    <w:uiPriority w:val="0"/>
    <w:rPr>
      <w:rFonts w:eastAsia="宋体"/>
      <w:kern w:val="2"/>
      <w:sz w:val="21"/>
      <w:szCs w:val="24"/>
      <w:lang w:val="en-US" w:eastAsia="zh-CN" w:bidi="ar-SA"/>
    </w:rPr>
  </w:style>
  <w:style w:type="character" w:customStyle="1" w:styleId="176">
    <w:name w:val="正文（小标题） Char"/>
    <w:link w:val="177"/>
    <w:qFormat/>
    <w:uiPriority w:val="0"/>
    <w:rPr>
      <w:rFonts w:ascii="黑体" w:eastAsia="黑体"/>
      <w:color w:val="0000FF"/>
      <w:kern w:val="2"/>
      <w:sz w:val="24"/>
      <w:szCs w:val="24"/>
    </w:rPr>
  </w:style>
  <w:style w:type="paragraph" w:customStyle="1" w:styleId="177">
    <w:name w:val="正文（小标题）"/>
    <w:basedOn w:val="1"/>
    <w:next w:val="1"/>
    <w:link w:val="176"/>
    <w:qFormat/>
    <w:uiPriority w:val="0"/>
    <w:pPr>
      <w:spacing w:beforeLines="50" w:afterLines="50" w:line="360" w:lineRule="auto"/>
    </w:pPr>
    <w:rPr>
      <w:rFonts w:ascii="黑体" w:hAnsi="Calibri" w:eastAsia="黑体"/>
      <w:color w:val="0000FF"/>
      <w:sz w:val="24"/>
    </w:rPr>
  </w:style>
  <w:style w:type="character" w:customStyle="1" w:styleId="178">
    <w:name w:val="小项目级 Char"/>
    <w:link w:val="179"/>
    <w:qFormat/>
    <w:uiPriority w:val="0"/>
    <w:rPr>
      <w:rFonts w:eastAsia="仿宋_GB2312"/>
      <w:kern w:val="2"/>
      <w:sz w:val="24"/>
      <w:szCs w:val="24"/>
    </w:rPr>
  </w:style>
  <w:style w:type="paragraph" w:customStyle="1" w:styleId="179">
    <w:name w:val="小项目级"/>
    <w:basedOn w:val="1"/>
    <w:link w:val="178"/>
    <w:qFormat/>
    <w:uiPriority w:val="0"/>
    <w:pPr>
      <w:numPr>
        <w:ilvl w:val="2"/>
        <w:numId w:val="7"/>
      </w:numPr>
      <w:spacing w:line="360" w:lineRule="auto"/>
      <w:ind w:firstLine="0"/>
    </w:pPr>
    <w:rPr>
      <w:rFonts w:ascii="Calibri" w:hAnsi="Calibri" w:eastAsia="仿宋_GB2312"/>
      <w:sz w:val="24"/>
    </w:rPr>
  </w:style>
  <w:style w:type="character" w:customStyle="1" w:styleId="180">
    <w:name w:val="表格 Char Char"/>
    <w:link w:val="181"/>
    <w:qFormat/>
    <w:uiPriority w:val="0"/>
    <w:rPr>
      <w:rFonts w:ascii="宋体" w:hAnsi="宋体" w:eastAsia="宋体"/>
      <w:lang w:val="en-US" w:eastAsia="zh-CN" w:bidi="ar-SA"/>
    </w:rPr>
  </w:style>
  <w:style w:type="paragraph" w:customStyle="1" w:styleId="181">
    <w:name w:val="表格"/>
    <w:basedOn w:val="1"/>
    <w:link w:val="180"/>
    <w:qFormat/>
    <w:uiPriority w:val="0"/>
    <w:pPr>
      <w:autoSpaceDE w:val="0"/>
      <w:autoSpaceDN w:val="0"/>
      <w:adjustRightInd w:val="0"/>
      <w:snapToGrid w:val="0"/>
      <w:ind w:firstLine="42" w:firstLineChars="21"/>
      <w:jc w:val="left"/>
    </w:pPr>
    <w:rPr>
      <w:rFonts w:ascii="宋体" w:hAnsi="宋体"/>
      <w:kern w:val="0"/>
      <w:sz w:val="20"/>
      <w:szCs w:val="20"/>
    </w:rPr>
  </w:style>
  <w:style w:type="character" w:customStyle="1" w:styleId="182">
    <w:name w:val="页眉 字符"/>
    <w:link w:val="46"/>
    <w:qFormat/>
    <w:uiPriority w:val="99"/>
    <w:rPr>
      <w:rFonts w:eastAsia="宋体"/>
      <w:kern w:val="2"/>
      <w:sz w:val="18"/>
      <w:szCs w:val="18"/>
      <w:lang w:val="en-US" w:eastAsia="zh-CN" w:bidi="ar-SA"/>
    </w:rPr>
  </w:style>
  <w:style w:type="character" w:customStyle="1" w:styleId="183">
    <w:name w:val="text-21"/>
    <w:qFormat/>
    <w:uiPriority w:val="0"/>
    <w:rPr>
      <w:color w:val="666666"/>
    </w:rPr>
  </w:style>
  <w:style w:type="character" w:customStyle="1" w:styleId="184">
    <w:name w:val="标题 9 字符"/>
    <w:link w:val="10"/>
    <w:qFormat/>
    <w:uiPriority w:val="0"/>
    <w:rPr>
      <w:rFonts w:ascii="Arial" w:hAnsi="Arial" w:eastAsia="黑体"/>
      <w:kern w:val="2"/>
      <w:sz w:val="21"/>
      <w:szCs w:val="21"/>
    </w:rPr>
  </w:style>
  <w:style w:type="character" w:customStyle="1" w:styleId="185">
    <w:name w:val="style41"/>
    <w:qFormat/>
    <w:uiPriority w:val="0"/>
    <w:rPr>
      <w:color w:val="auto"/>
    </w:rPr>
  </w:style>
  <w:style w:type="character" w:customStyle="1" w:styleId="186">
    <w:name w:val="纯文本 字符"/>
    <w:link w:val="36"/>
    <w:qFormat/>
    <w:uiPriority w:val="0"/>
    <w:rPr>
      <w:rFonts w:ascii="宋体" w:hAnsi="Courier New" w:eastAsia="宋体"/>
      <w:kern w:val="2"/>
      <w:sz w:val="21"/>
      <w:lang w:val="en-US" w:eastAsia="zh-CN" w:bidi="ar-SA"/>
    </w:rPr>
  </w:style>
  <w:style w:type="character" w:customStyle="1" w:styleId="187">
    <w:name w:val="正文文本缩进 3 字符"/>
    <w:link w:val="57"/>
    <w:qFormat/>
    <w:uiPriority w:val="0"/>
    <w:rPr>
      <w:rFonts w:eastAsia="宋体"/>
      <w:kern w:val="2"/>
      <w:sz w:val="24"/>
      <w:szCs w:val="24"/>
      <w:lang w:val="en-US" w:eastAsia="zh-CN" w:bidi="ar-SA"/>
    </w:rPr>
  </w:style>
  <w:style w:type="character" w:customStyle="1" w:styleId="188">
    <w:name w:val="样式 题注 + 宋体 小四 Char"/>
    <w:link w:val="189"/>
    <w:qFormat/>
    <w:uiPriority w:val="0"/>
    <w:rPr>
      <w:kern w:val="2"/>
      <w:sz w:val="24"/>
      <w:szCs w:val="24"/>
    </w:rPr>
  </w:style>
  <w:style w:type="paragraph" w:customStyle="1" w:styleId="189">
    <w:name w:val="样式 题注 + 宋体 小四"/>
    <w:basedOn w:val="17"/>
    <w:link w:val="188"/>
    <w:qFormat/>
    <w:uiPriority w:val="0"/>
    <w:pPr>
      <w:keepNext/>
      <w:autoSpaceDE/>
      <w:autoSpaceDN/>
      <w:adjustRightInd/>
      <w:spacing w:before="240" w:after="240" w:line="360" w:lineRule="auto"/>
      <w:ind w:firstLine="200" w:firstLineChars="200"/>
      <w:jc w:val="both"/>
    </w:pPr>
    <w:rPr>
      <w:rFonts w:ascii="Calibri" w:hAnsi="Calibri" w:eastAsia="宋体"/>
      <w:kern w:val="2"/>
      <w:sz w:val="24"/>
      <w:szCs w:val="24"/>
    </w:rPr>
  </w:style>
  <w:style w:type="character" w:customStyle="1" w:styleId="190">
    <w:name w:val="正文文字 Char"/>
    <w:link w:val="191"/>
    <w:qFormat/>
    <w:uiPriority w:val="0"/>
    <w:rPr>
      <w:rFonts w:eastAsia="仿宋_GB2312"/>
      <w:kern w:val="2"/>
      <w:sz w:val="24"/>
      <w:szCs w:val="24"/>
    </w:rPr>
  </w:style>
  <w:style w:type="paragraph" w:customStyle="1" w:styleId="191">
    <w:name w:val="正文文字"/>
    <w:basedOn w:val="1"/>
    <w:link w:val="190"/>
    <w:qFormat/>
    <w:uiPriority w:val="0"/>
    <w:pPr>
      <w:spacing w:afterLines="50" w:line="400" w:lineRule="exact"/>
    </w:pPr>
    <w:rPr>
      <w:rFonts w:ascii="Calibri" w:hAnsi="Calibri" w:eastAsia="仿宋_GB2312"/>
      <w:sz w:val="24"/>
    </w:rPr>
  </w:style>
  <w:style w:type="character" w:customStyle="1" w:styleId="192">
    <w:name w:val="三级条标题 Char Char Char Char Char Char Char Char Char Char Char Char Char Char Char Char Char Char Char Char Char Char Char Char Char Char Char Char Char Char Char Char Char Char Char Char Char Char Char Char Char Char Char Char Char Char Char Char Char Ch"/>
    <w:qFormat/>
    <w:uiPriority w:val="0"/>
    <w:rPr>
      <w:rFonts w:ascii="黑体" w:eastAsia="黑体"/>
      <w:sz w:val="21"/>
      <w:lang w:val="en-US" w:eastAsia="zh-CN" w:bidi="ar-SA"/>
    </w:rPr>
  </w:style>
  <w:style w:type="character" w:customStyle="1" w:styleId="193">
    <w:name w:val="t11"/>
    <w:qFormat/>
    <w:uiPriority w:val="0"/>
    <w:rPr>
      <w:b/>
      <w:bCs/>
      <w:sz w:val="18"/>
      <w:szCs w:val="18"/>
      <w:shd w:val="clear" w:color="auto" w:fill="FFFFFF"/>
    </w:rPr>
  </w:style>
  <w:style w:type="character" w:customStyle="1" w:styleId="194">
    <w:name w:val="Char Char Char1"/>
    <w:qFormat/>
    <w:uiPriority w:val="0"/>
    <w:rPr>
      <w:rFonts w:ascii="宋体" w:hAnsi="Courier New"/>
      <w:sz w:val="21"/>
      <w:szCs w:val="21"/>
    </w:rPr>
  </w:style>
  <w:style w:type="character" w:customStyle="1" w:styleId="195">
    <w:name w:val="目录标题 Char"/>
    <w:link w:val="196"/>
    <w:qFormat/>
    <w:uiPriority w:val="0"/>
    <w:rPr>
      <w:rFonts w:ascii="宋体" w:hAnsi="宋体"/>
      <w:kern w:val="2"/>
      <w:sz w:val="44"/>
      <w:szCs w:val="44"/>
    </w:rPr>
  </w:style>
  <w:style w:type="paragraph" w:customStyle="1" w:styleId="196">
    <w:name w:val="目录标题"/>
    <w:basedOn w:val="1"/>
    <w:link w:val="195"/>
    <w:qFormat/>
    <w:uiPriority w:val="0"/>
    <w:pPr>
      <w:spacing w:line="360" w:lineRule="auto"/>
      <w:jc w:val="center"/>
    </w:pPr>
    <w:rPr>
      <w:rFonts w:ascii="宋体" w:hAnsi="宋体"/>
      <w:sz w:val="44"/>
      <w:szCs w:val="44"/>
    </w:rPr>
  </w:style>
  <w:style w:type="character" w:customStyle="1" w:styleId="197">
    <w:name w:val="编号 Char Char"/>
    <w:qFormat/>
    <w:uiPriority w:val="0"/>
    <w:rPr>
      <w:rFonts w:ascii="宋体" w:hAnsi="宋体" w:eastAsia="宋体"/>
      <w:kern w:val="2"/>
      <w:sz w:val="24"/>
      <w:szCs w:val="24"/>
      <w:lang w:val="en-US" w:eastAsia="zh-CN" w:bidi="ar-SA"/>
    </w:rPr>
  </w:style>
  <w:style w:type="character" w:customStyle="1" w:styleId="198">
    <w:name w:val="Footer-Even Char"/>
    <w:qFormat/>
    <w:uiPriority w:val="0"/>
    <w:rPr>
      <w:sz w:val="18"/>
      <w:szCs w:val="18"/>
    </w:rPr>
  </w:style>
  <w:style w:type="character" w:customStyle="1" w:styleId="199">
    <w:name w:val="!标题2 Ctrl+2 Char"/>
    <w:link w:val="200"/>
    <w:qFormat/>
    <w:uiPriority w:val="0"/>
    <w:rPr>
      <w:rFonts w:ascii="宋体" w:hAnsi="宋体"/>
      <w:b/>
      <w:bCs/>
      <w:kern w:val="2"/>
      <w:sz w:val="30"/>
      <w:szCs w:val="36"/>
      <w:lang w:val="zh-CN"/>
    </w:rPr>
  </w:style>
  <w:style w:type="paragraph" w:customStyle="1" w:styleId="200">
    <w:name w:val="!标题2 Ctrl+2"/>
    <w:basedOn w:val="2"/>
    <w:next w:val="171"/>
    <w:link w:val="199"/>
    <w:qFormat/>
    <w:uiPriority w:val="0"/>
    <w:pPr>
      <w:keepNext w:val="0"/>
      <w:keepLines w:val="0"/>
      <w:numPr>
        <w:ilvl w:val="0"/>
        <w:numId w:val="0"/>
      </w:numPr>
      <w:tabs>
        <w:tab w:val="left" w:pos="360"/>
        <w:tab w:val="left" w:pos="840"/>
        <w:tab w:val="left" w:pos="992"/>
      </w:tabs>
      <w:adjustRightInd w:val="0"/>
      <w:snapToGrid w:val="0"/>
      <w:spacing w:beforeLines="50" w:afterLines="50" w:line="360" w:lineRule="auto"/>
      <w:ind w:left="840" w:hanging="420"/>
      <w:jc w:val="left"/>
    </w:pPr>
    <w:rPr>
      <w:rFonts w:ascii="宋体" w:hAnsi="宋体" w:eastAsia="宋体"/>
      <w:sz w:val="30"/>
      <w:szCs w:val="36"/>
      <w:lang w:val="zh-CN"/>
    </w:rPr>
  </w:style>
  <w:style w:type="character" w:customStyle="1" w:styleId="201">
    <w:name w:val="yqlink"/>
    <w:basedOn w:val="75"/>
    <w:qFormat/>
    <w:uiPriority w:val="0"/>
  </w:style>
  <w:style w:type="character" w:customStyle="1" w:styleId="202">
    <w:name w:val="EHL三级项目 Char"/>
    <w:link w:val="203"/>
    <w:qFormat/>
    <w:uiPriority w:val="0"/>
    <w:rPr>
      <w:b/>
      <w:kern w:val="2"/>
      <w:sz w:val="24"/>
      <w:szCs w:val="24"/>
    </w:rPr>
  </w:style>
  <w:style w:type="paragraph" w:customStyle="1" w:styleId="203">
    <w:name w:val="EHL三级项目"/>
    <w:basedOn w:val="1"/>
    <w:link w:val="202"/>
    <w:qFormat/>
    <w:uiPriority w:val="0"/>
    <w:pPr>
      <w:tabs>
        <w:tab w:val="left" w:pos="1260"/>
        <w:tab w:val="left" w:pos="1928"/>
      </w:tabs>
      <w:spacing w:before="50" w:after="50" w:line="360" w:lineRule="auto"/>
      <w:ind w:left="1928" w:hanging="482"/>
    </w:pPr>
    <w:rPr>
      <w:rFonts w:ascii="Calibri" w:hAnsi="Calibri"/>
      <w:b/>
      <w:sz w:val="24"/>
    </w:rPr>
  </w:style>
  <w:style w:type="character" w:customStyle="1" w:styleId="204">
    <w:name w:val="Char Char8"/>
    <w:qFormat/>
    <w:uiPriority w:val="0"/>
    <w:rPr>
      <w:rFonts w:ascii="宋体" w:hAnsi="宋体" w:eastAsia="宋体" w:cs="Arial"/>
      <w:kern w:val="2"/>
      <w:sz w:val="24"/>
      <w:lang w:val="en-US" w:eastAsia="zh-CN" w:bidi="ar-SA"/>
    </w:rPr>
  </w:style>
  <w:style w:type="character" w:customStyle="1" w:styleId="205">
    <w:name w:val="z-窗体底端 Char1"/>
    <w:qFormat/>
    <w:uiPriority w:val="0"/>
    <w:rPr>
      <w:rFonts w:ascii="Arial" w:hAnsi="Arial" w:cs="Arial"/>
      <w:vanish/>
      <w:kern w:val="2"/>
      <w:sz w:val="16"/>
      <w:szCs w:val="16"/>
    </w:rPr>
  </w:style>
  <w:style w:type="character" w:customStyle="1" w:styleId="206">
    <w:name w:val="Char Char17"/>
    <w:qFormat/>
    <w:uiPriority w:val="0"/>
    <w:rPr>
      <w:rFonts w:ascii="Cambria" w:hAnsi="Cambria"/>
      <w:b/>
      <w:bCs/>
      <w:kern w:val="2"/>
      <w:sz w:val="28"/>
      <w:szCs w:val="28"/>
    </w:rPr>
  </w:style>
  <w:style w:type="character" w:customStyle="1" w:styleId="207">
    <w:name w:val="heading 5 Char"/>
    <w:qFormat/>
    <w:uiPriority w:val="0"/>
    <w:rPr>
      <w:rFonts w:ascii="Arial" w:hAnsi="Arial" w:eastAsia="黑体"/>
      <w:sz w:val="21"/>
      <w:szCs w:val="21"/>
    </w:rPr>
  </w:style>
  <w:style w:type="character" w:customStyle="1" w:styleId="208">
    <w:name w:val="图标 Char"/>
    <w:link w:val="209"/>
    <w:qFormat/>
    <w:uiPriority w:val="0"/>
    <w:rPr>
      <w:rFonts w:hAnsi="宋体"/>
      <w:szCs w:val="21"/>
    </w:rPr>
  </w:style>
  <w:style w:type="paragraph" w:customStyle="1" w:styleId="209">
    <w:name w:val="图标"/>
    <w:basedOn w:val="17"/>
    <w:link w:val="208"/>
    <w:qFormat/>
    <w:uiPriority w:val="0"/>
    <w:pPr>
      <w:autoSpaceDE/>
      <w:autoSpaceDN/>
      <w:adjustRightInd/>
      <w:spacing w:afterLines="50" w:line="360" w:lineRule="auto"/>
      <w:jc w:val="center"/>
    </w:pPr>
    <w:rPr>
      <w:rFonts w:ascii="Calibri" w:hAnsi="宋体" w:eastAsia="宋体"/>
      <w:szCs w:val="21"/>
    </w:rPr>
  </w:style>
  <w:style w:type="character" w:customStyle="1" w:styleId="210">
    <w:name w:val="heading 6 Char1"/>
    <w:qFormat/>
    <w:uiPriority w:val="0"/>
    <w:rPr>
      <w:rFonts w:ascii="Arial" w:hAnsi="Arial" w:eastAsia="黑体"/>
      <w:kern w:val="2"/>
      <w:sz w:val="24"/>
      <w:szCs w:val="24"/>
      <w:lang w:val="en-US" w:eastAsia="zh-CN" w:bidi="ar-SA"/>
    </w:rPr>
  </w:style>
  <w:style w:type="character" w:customStyle="1" w:styleId="211">
    <w:name w:val="正文文本 3 字符"/>
    <w:link w:val="25"/>
    <w:qFormat/>
    <w:uiPriority w:val="0"/>
    <w:rPr>
      <w:rFonts w:eastAsia="宋体"/>
      <w:lang w:val="en-US" w:eastAsia="zh-CN" w:bidi="ar-SA"/>
    </w:rPr>
  </w:style>
  <w:style w:type="character" w:customStyle="1" w:styleId="212">
    <w:name w:val="正文文本首行缩进 字符"/>
    <w:link w:val="27"/>
    <w:qFormat/>
    <w:uiPriority w:val="0"/>
    <w:rPr>
      <w:rFonts w:eastAsia="宋体"/>
      <w:kern w:val="2"/>
      <w:sz w:val="21"/>
      <w:szCs w:val="24"/>
      <w:lang w:val="en-US" w:eastAsia="zh-CN" w:bidi="ar-SA"/>
    </w:rPr>
  </w:style>
  <w:style w:type="character" w:customStyle="1" w:styleId="213">
    <w:name w:val="列出段落 Char"/>
    <w:link w:val="214"/>
    <w:qFormat/>
    <w:uiPriority w:val="0"/>
    <w:rPr>
      <w:rFonts w:ascii="Calibri" w:hAnsi="Calibri"/>
      <w:kern w:val="2"/>
      <w:sz w:val="21"/>
      <w:szCs w:val="22"/>
    </w:rPr>
  </w:style>
  <w:style w:type="paragraph" w:customStyle="1" w:styleId="214">
    <w:name w:val="List Paragraph1"/>
    <w:basedOn w:val="1"/>
    <w:link w:val="213"/>
    <w:qFormat/>
    <w:uiPriority w:val="0"/>
    <w:pPr>
      <w:ind w:firstLine="420" w:firstLineChars="200"/>
    </w:pPr>
    <w:rPr>
      <w:rFonts w:ascii="Calibri" w:hAnsi="Calibri"/>
      <w:szCs w:val="22"/>
    </w:rPr>
  </w:style>
  <w:style w:type="character" w:customStyle="1" w:styleId="215">
    <w:name w:val="my正文 Char"/>
    <w:link w:val="216"/>
    <w:qFormat/>
    <w:locked/>
    <w:uiPriority w:val="0"/>
    <w:rPr>
      <w:kern w:val="2"/>
      <w:sz w:val="24"/>
      <w:szCs w:val="24"/>
    </w:rPr>
  </w:style>
  <w:style w:type="paragraph" w:customStyle="1" w:styleId="216">
    <w:name w:val="my正文"/>
    <w:basedOn w:val="1"/>
    <w:link w:val="215"/>
    <w:qFormat/>
    <w:uiPriority w:val="0"/>
    <w:pPr>
      <w:spacing w:line="360" w:lineRule="auto"/>
      <w:ind w:firstLine="200" w:firstLineChars="200"/>
    </w:pPr>
    <w:rPr>
      <w:rFonts w:ascii="Calibri" w:hAnsi="Calibri"/>
      <w:sz w:val="24"/>
    </w:rPr>
  </w:style>
  <w:style w:type="character" w:customStyle="1" w:styleId="217">
    <w:name w:val="style15"/>
    <w:basedOn w:val="75"/>
    <w:qFormat/>
    <w:uiPriority w:val="0"/>
  </w:style>
  <w:style w:type="character" w:customStyle="1" w:styleId="218">
    <w:name w:val="正文文本 2 字符"/>
    <w:link w:val="63"/>
    <w:qFormat/>
    <w:uiPriority w:val="0"/>
    <w:rPr>
      <w:rFonts w:eastAsia="宋体"/>
      <w:lang w:val="en-US" w:eastAsia="zh-CN" w:bidi="ar-SA"/>
    </w:rPr>
  </w:style>
  <w:style w:type="character" w:customStyle="1" w:styleId="219">
    <w:name w:val="样式 段前: 0.5 行 段后: 0.5 行 Char"/>
    <w:link w:val="220"/>
    <w:qFormat/>
    <w:uiPriority w:val="0"/>
    <w:rPr>
      <w:sz w:val="24"/>
      <w:lang w:bidi="ar-SA"/>
    </w:rPr>
  </w:style>
  <w:style w:type="paragraph" w:customStyle="1" w:styleId="220">
    <w:name w:val="样式 段前: 0.5 行 段后: 0.5 行"/>
    <w:basedOn w:val="1"/>
    <w:link w:val="219"/>
    <w:qFormat/>
    <w:uiPriority w:val="0"/>
    <w:pPr>
      <w:spacing w:before="156" w:after="156" w:line="360" w:lineRule="auto"/>
      <w:ind w:firstLine="480" w:firstLineChars="200"/>
    </w:pPr>
    <w:rPr>
      <w:rFonts w:ascii="Calibri" w:hAnsi="Calibri"/>
      <w:kern w:val="0"/>
      <w:sz w:val="24"/>
      <w:szCs w:val="20"/>
    </w:rPr>
  </w:style>
  <w:style w:type="character" w:customStyle="1" w:styleId="221">
    <w:name w:val="Ò³Ã¼ Char Char2"/>
    <w:qFormat/>
    <w:uiPriority w:val="0"/>
    <w:rPr>
      <w:kern w:val="2"/>
      <w:sz w:val="18"/>
      <w:szCs w:val="18"/>
    </w:rPr>
  </w:style>
  <w:style w:type="character" w:customStyle="1" w:styleId="222">
    <w:name w:val="正文文本缩进 2 字符"/>
    <w:link w:val="42"/>
    <w:qFormat/>
    <w:uiPriority w:val="0"/>
    <w:rPr>
      <w:rFonts w:eastAsia="宋体"/>
      <w:kern w:val="2"/>
      <w:sz w:val="21"/>
      <w:szCs w:val="24"/>
      <w:lang w:val="en-US" w:eastAsia="zh-CN" w:bidi="ar-SA"/>
    </w:rPr>
  </w:style>
  <w:style w:type="character" w:customStyle="1" w:styleId="223">
    <w:name w:val="编号1 Char Char"/>
    <w:link w:val="224"/>
    <w:qFormat/>
    <w:uiPriority w:val="0"/>
    <w:rPr>
      <w:rFonts w:eastAsia="宋体"/>
      <w:kern w:val="2"/>
      <w:sz w:val="24"/>
      <w:szCs w:val="24"/>
      <w:lang w:val="en-US" w:eastAsia="zh-CN" w:bidi="ar-SA"/>
    </w:rPr>
  </w:style>
  <w:style w:type="paragraph" w:customStyle="1" w:styleId="224">
    <w:name w:val="编号1"/>
    <w:basedOn w:val="1"/>
    <w:link w:val="223"/>
    <w:qFormat/>
    <w:uiPriority w:val="0"/>
    <w:pPr>
      <w:snapToGrid w:val="0"/>
      <w:spacing w:line="360" w:lineRule="auto"/>
    </w:pPr>
    <w:rPr>
      <w:rFonts w:ascii="Calibri" w:hAnsi="Calibri"/>
      <w:sz w:val="24"/>
    </w:rPr>
  </w:style>
  <w:style w:type="character" w:customStyle="1" w:styleId="225">
    <w:name w:val="正文缩进 字符"/>
    <w:link w:val="16"/>
    <w:qFormat/>
    <w:uiPriority w:val="0"/>
    <w:rPr>
      <w:rFonts w:eastAsia="宋体"/>
      <w:sz w:val="21"/>
      <w:lang w:val="en-US" w:eastAsia="zh-CN" w:bidi="ar-SA"/>
    </w:rPr>
  </w:style>
  <w:style w:type="character" w:customStyle="1" w:styleId="226">
    <w:name w:val="标题 2 字符"/>
    <w:link w:val="2"/>
    <w:qFormat/>
    <w:uiPriority w:val="99"/>
    <w:rPr>
      <w:rFonts w:ascii="Arial" w:hAnsi="Arial" w:eastAsia="黑体"/>
      <w:b/>
      <w:bCs/>
      <w:kern w:val="2"/>
      <w:sz w:val="32"/>
      <w:szCs w:val="32"/>
    </w:rPr>
  </w:style>
  <w:style w:type="character" w:customStyle="1" w:styleId="227">
    <w:name w:val="圆点 Char"/>
    <w:link w:val="228"/>
    <w:qFormat/>
    <w:locked/>
    <w:uiPriority w:val="0"/>
    <w:rPr>
      <w:rFonts w:ascii="仿宋_GB2312" w:eastAsia="仿宋_GB2312"/>
      <w:kern w:val="2"/>
      <w:sz w:val="24"/>
      <w:szCs w:val="24"/>
    </w:rPr>
  </w:style>
  <w:style w:type="paragraph" w:customStyle="1" w:styleId="228">
    <w:name w:val="圆点"/>
    <w:basedOn w:val="1"/>
    <w:link w:val="227"/>
    <w:qFormat/>
    <w:uiPriority w:val="0"/>
    <w:pPr>
      <w:numPr>
        <w:ilvl w:val="0"/>
        <w:numId w:val="8"/>
      </w:numPr>
      <w:spacing w:line="360" w:lineRule="auto"/>
      <w:jc w:val="left"/>
    </w:pPr>
    <w:rPr>
      <w:rFonts w:ascii="仿宋_GB2312" w:hAnsi="Calibri" w:eastAsia="仿宋_GB2312"/>
      <w:sz w:val="24"/>
    </w:rPr>
  </w:style>
  <w:style w:type="character" w:customStyle="1" w:styleId="229">
    <w:name w:val="a1"/>
    <w:basedOn w:val="75"/>
    <w:qFormat/>
    <w:uiPriority w:val="0"/>
  </w:style>
  <w:style w:type="character" w:customStyle="1" w:styleId="230">
    <w:name w:val="标题 1 字符"/>
    <w:link w:val="3"/>
    <w:qFormat/>
    <w:uiPriority w:val="0"/>
    <w:rPr>
      <w:b/>
      <w:bCs/>
      <w:kern w:val="44"/>
      <w:sz w:val="44"/>
      <w:szCs w:val="44"/>
    </w:rPr>
  </w:style>
  <w:style w:type="character" w:customStyle="1" w:styleId="231">
    <w:name w:val="p121"/>
    <w:qFormat/>
    <w:uiPriority w:val="0"/>
    <w:rPr>
      <w:sz w:val="18"/>
      <w:szCs w:val="18"/>
    </w:rPr>
  </w:style>
  <w:style w:type="character" w:customStyle="1" w:styleId="232">
    <w:name w:val="标题 8 字符"/>
    <w:link w:val="9"/>
    <w:qFormat/>
    <w:uiPriority w:val="0"/>
    <w:rPr>
      <w:rFonts w:ascii="Arial" w:hAnsi="Arial" w:eastAsia="黑体"/>
      <w:kern w:val="2"/>
      <w:sz w:val="24"/>
      <w:szCs w:val="24"/>
    </w:rPr>
  </w:style>
  <w:style w:type="character" w:customStyle="1" w:styleId="233">
    <w:name w:val="Char Char Char11"/>
    <w:qFormat/>
    <w:uiPriority w:val="0"/>
    <w:rPr>
      <w:rFonts w:ascii="宋体" w:hAnsi="Courier New" w:eastAsia="宋体"/>
      <w:sz w:val="21"/>
      <w:szCs w:val="21"/>
      <w:lang w:val="en-US" w:eastAsia="zh-CN" w:bidi="ar-SA"/>
    </w:rPr>
  </w:style>
  <w:style w:type="character" w:customStyle="1" w:styleId="234">
    <w:name w:val="heading 2 Char1"/>
    <w:qFormat/>
    <w:uiPriority w:val="0"/>
    <w:rPr>
      <w:rFonts w:ascii="Cambria" w:hAnsi="Cambria" w:eastAsia="宋体"/>
      <w:b/>
      <w:bCs/>
      <w:kern w:val="2"/>
      <w:sz w:val="32"/>
      <w:szCs w:val="32"/>
      <w:lang w:val="en-US" w:eastAsia="zh-CN" w:bidi="ar-SA"/>
    </w:rPr>
  </w:style>
  <w:style w:type="character" w:customStyle="1" w:styleId="235">
    <w:name w:val="批注文字 字符"/>
    <w:link w:val="22"/>
    <w:qFormat/>
    <w:uiPriority w:val="0"/>
    <w:rPr>
      <w:rFonts w:eastAsia="宋体"/>
      <w:kern w:val="2"/>
      <w:sz w:val="21"/>
      <w:szCs w:val="24"/>
      <w:lang w:val="en-US" w:eastAsia="zh-CN" w:bidi="ar-SA"/>
    </w:rPr>
  </w:style>
  <w:style w:type="character" w:customStyle="1" w:styleId="236">
    <w:name w:val="批注主题 字符"/>
    <w:link w:val="68"/>
    <w:qFormat/>
    <w:uiPriority w:val="99"/>
    <w:rPr>
      <w:rFonts w:eastAsia="宋体"/>
      <w:b/>
      <w:bCs/>
      <w:kern w:val="2"/>
      <w:sz w:val="21"/>
      <w:szCs w:val="24"/>
      <w:lang w:val="en-US" w:eastAsia="zh-CN" w:bidi="ar-SA"/>
    </w:rPr>
  </w:style>
  <w:style w:type="character" w:customStyle="1" w:styleId="237">
    <w:name w:val="正文1 Char"/>
    <w:link w:val="238"/>
    <w:qFormat/>
    <w:uiPriority w:val="0"/>
    <w:rPr>
      <w:rFonts w:eastAsia="楷体_GB2312"/>
      <w:sz w:val="24"/>
      <w:lang w:val="en-US" w:eastAsia="zh-CN" w:bidi="ar-SA"/>
    </w:rPr>
  </w:style>
  <w:style w:type="paragraph" w:customStyle="1" w:styleId="238">
    <w:name w:val="正文1"/>
    <w:basedOn w:val="1"/>
    <w:link w:val="237"/>
    <w:qFormat/>
    <w:uiPriority w:val="0"/>
    <w:pPr>
      <w:adjustRightInd w:val="0"/>
      <w:spacing w:line="360" w:lineRule="atLeast"/>
      <w:jc w:val="left"/>
    </w:pPr>
    <w:rPr>
      <w:rFonts w:ascii="Calibri" w:hAnsi="Calibri" w:eastAsia="楷体_GB2312"/>
      <w:kern w:val="0"/>
      <w:sz w:val="24"/>
      <w:szCs w:val="20"/>
    </w:rPr>
  </w:style>
  <w:style w:type="character" w:customStyle="1" w:styleId="239">
    <w:name w:val="标题3 Char"/>
    <w:link w:val="240"/>
    <w:qFormat/>
    <w:uiPriority w:val="0"/>
    <w:rPr>
      <w:rFonts w:eastAsia="仿宋_GB2312"/>
      <w:b/>
      <w:kern w:val="2"/>
      <w:sz w:val="21"/>
      <w:szCs w:val="21"/>
    </w:rPr>
  </w:style>
  <w:style w:type="paragraph" w:customStyle="1" w:styleId="240">
    <w:name w:val="标题3"/>
    <w:basedOn w:val="241"/>
    <w:link w:val="239"/>
    <w:qFormat/>
    <w:uiPriority w:val="0"/>
    <w:pPr>
      <w:numPr>
        <w:ilvl w:val="0"/>
        <w:numId w:val="0"/>
      </w:numPr>
      <w:spacing w:line="300" w:lineRule="auto"/>
      <w:ind w:left="846" w:leftChars="200" w:hanging="426" w:hangingChars="202"/>
      <w:outlineLvl w:val="2"/>
    </w:pPr>
    <w:rPr>
      <w:rFonts w:eastAsia="仿宋_GB2312"/>
      <w:b/>
      <w:sz w:val="21"/>
      <w:szCs w:val="21"/>
    </w:rPr>
  </w:style>
  <w:style w:type="paragraph" w:customStyle="1" w:styleId="241">
    <w:name w:val="标题 33"/>
    <w:basedOn w:val="242"/>
    <w:link w:val="334"/>
    <w:qFormat/>
    <w:uiPriority w:val="0"/>
    <w:pPr>
      <w:numPr>
        <w:ilvl w:val="2"/>
        <w:numId w:val="9"/>
      </w:numPr>
    </w:pPr>
  </w:style>
  <w:style w:type="paragraph" w:customStyle="1" w:styleId="242">
    <w:name w:val="标题2"/>
    <w:basedOn w:val="1"/>
    <w:link w:val="333"/>
    <w:qFormat/>
    <w:uiPriority w:val="0"/>
    <w:pPr>
      <w:ind w:left="992" w:hanging="567" w:firstLineChars="200"/>
    </w:pPr>
    <w:rPr>
      <w:rFonts w:ascii="Calibri" w:hAnsi="Calibri"/>
      <w:sz w:val="30"/>
      <w:szCs w:val="20"/>
    </w:rPr>
  </w:style>
  <w:style w:type="character" w:customStyle="1" w:styleId="243">
    <w:name w:val="无间隔 Char"/>
    <w:link w:val="244"/>
    <w:qFormat/>
    <w:uiPriority w:val="1"/>
    <w:rPr>
      <w:sz w:val="22"/>
      <w:szCs w:val="22"/>
      <w:lang w:val="en-US" w:eastAsia="zh-CN" w:bidi="ar-SA"/>
    </w:rPr>
  </w:style>
  <w:style w:type="paragraph" w:customStyle="1" w:styleId="244">
    <w:name w:val="无间隔1"/>
    <w:link w:val="243"/>
    <w:qFormat/>
    <w:uiPriority w:val="1"/>
    <w:rPr>
      <w:rFonts w:ascii="Calibri" w:hAnsi="Calibri" w:eastAsia="宋体" w:cs="Times New Roman"/>
      <w:sz w:val="22"/>
      <w:szCs w:val="22"/>
      <w:lang w:val="en-US" w:eastAsia="zh-CN" w:bidi="ar-SA"/>
    </w:rPr>
  </w:style>
  <w:style w:type="character" w:customStyle="1" w:styleId="245">
    <w:name w:val="heading 4 Char"/>
    <w:qFormat/>
    <w:uiPriority w:val="0"/>
    <w:rPr>
      <w:rFonts w:ascii="Arial" w:hAnsi="Arial" w:eastAsia="黑体" w:cs="Times New Roman"/>
      <w:sz w:val="21"/>
      <w:szCs w:val="21"/>
    </w:rPr>
  </w:style>
  <w:style w:type="character" w:customStyle="1" w:styleId="246">
    <w:name w:val="标题 字符"/>
    <w:link w:val="67"/>
    <w:qFormat/>
    <w:uiPriority w:val="0"/>
    <w:rPr>
      <w:rFonts w:ascii="Cambria" w:hAnsi="Cambria" w:eastAsia="宋体"/>
      <w:b/>
      <w:bCs/>
      <w:sz w:val="32"/>
      <w:szCs w:val="32"/>
      <w:lang w:val="en-US" w:eastAsia="zh-CN" w:bidi="ar-SA"/>
    </w:rPr>
  </w:style>
  <w:style w:type="character" w:customStyle="1" w:styleId="247">
    <w:name w:val="b Char1"/>
    <w:qFormat/>
    <w:uiPriority w:val="0"/>
    <w:rPr>
      <w:kern w:val="2"/>
      <w:sz w:val="24"/>
      <w:szCs w:val="24"/>
    </w:rPr>
  </w:style>
  <w:style w:type="character" w:customStyle="1" w:styleId="248">
    <w:name w:val="样式 首行缩进:  0.74 厘米 Char"/>
    <w:link w:val="249"/>
    <w:qFormat/>
    <w:uiPriority w:val="0"/>
    <w:rPr>
      <w:rFonts w:ascii="宋体" w:hAnsi="宋体"/>
      <w:kern w:val="2"/>
      <w:sz w:val="24"/>
      <w:lang w:eastAsia="en-US"/>
    </w:rPr>
  </w:style>
  <w:style w:type="paragraph" w:customStyle="1" w:styleId="249">
    <w:name w:val="样式 首行缩进:  0.74 厘米"/>
    <w:basedOn w:val="1"/>
    <w:link w:val="248"/>
    <w:qFormat/>
    <w:uiPriority w:val="0"/>
    <w:pPr>
      <w:snapToGrid w:val="0"/>
      <w:spacing w:line="360" w:lineRule="auto"/>
      <w:ind w:firstLine="420"/>
    </w:pPr>
    <w:rPr>
      <w:rFonts w:ascii="宋体" w:hAnsi="宋体"/>
      <w:sz w:val="24"/>
      <w:szCs w:val="20"/>
      <w:lang w:eastAsia="en-US"/>
    </w:rPr>
  </w:style>
  <w:style w:type="character" w:customStyle="1" w:styleId="250">
    <w:name w:val="PI Char"/>
    <w:qFormat/>
    <w:uiPriority w:val="0"/>
    <w:rPr>
      <w:rFonts w:ascii="宋体" w:hAnsi="宋体"/>
      <w:sz w:val="24"/>
    </w:rPr>
  </w:style>
  <w:style w:type="character" w:customStyle="1" w:styleId="251">
    <w:name w:val="pt141"/>
    <w:qFormat/>
    <w:uiPriority w:val="0"/>
    <w:rPr>
      <w:color w:val="330066"/>
      <w:spacing w:val="450"/>
      <w:sz w:val="22"/>
      <w:szCs w:val="22"/>
    </w:rPr>
  </w:style>
  <w:style w:type="character" w:customStyle="1" w:styleId="252">
    <w:name w:val="gray6"/>
    <w:basedOn w:val="75"/>
    <w:qFormat/>
    <w:uiPriority w:val="0"/>
  </w:style>
  <w:style w:type="character" w:customStyle="1" w:styleId="253">
    <w:name w:val="签名 字符"/>
    <w:link w:val="47"/>
    <w:qFormat/>
    <w:uiPriority w:val="0"/>
    <w:rPr>
      <w:rFonts w:eastAsia="仿宋_GB2312"/>
      <w:sz w:val="24"/>
      <w:lang w:val="en-US" w:eastAsia="zh-CN" w:bidi="ar-SA"/>
    </w:rPr>
  </w:style>
  <w:style w:type="character" w:customStyle="1" w:styleId="254">
    <w:name w:val="样式2 Char"/>
    <w:link w:val="255"/>
    <w:qFormat/>
    <w:uiPriority w:val="0"/>
    <w:rPr>
      <w:rFonts w:ascii="宋体" w:hAnsi="宋体" w:eastAsia="宋体"/>
      <w:bCs/>
      <w:kern w:val="2"/>
      <w:sz w:val="28"/>
      <w:szCs w:val="28"/>
      <w:lang w:val="en-US" w:eastAsia="zh-CN" w:bidi="ar-SA"/>
    </w:rPr>
  </w:style>
  <w:style w:type="paragraph" w:customStyle="1" w:styleId="255">
    <w:name w:val="样式2"/>
    <w:basedOn w:val="2"/>
    <w:link w:val="254"/>
    <w:qFormat/>
    <w:uiPriority w:val="0"/>
    <w:pPr>
      <w:numPr>
        <w:ilvl w:val="0"/>
        <w:numId w:val="0"/>
      </w:numPr>
      <w:snapToGrid w:val="0"/>
      <w:spacing w:afterLines="50" w:line="480" w:lineRule="exact"/>
      <w:ind w:firstLine="556"/>
    </w:pPr>
    <w:rPr>
      <w:rFonts w:ascii="宋体" w:hAnsi="宋体" w:eastAsia="宋体"/>
      <w:b w:val="0"/>
      <w:sz w:val="28"/>
      <w:szCs w:val="28"/>
    </w:rPr>
  </w:style>
  <w:style w:type="character" w:customStyle="1" w:styleId="256">
    <w:name w:val="Char Char18"/>
    <w:qFormat/>
    <w:uiPriority w:val="0"/>
    <w:rPr>
      <w:b/>
      <w:bCs/>
      <w:kern w:val="2"/>
      <w:sz w:val="32"/>
      <w:szCs w:val="32"/>
    </w:rPr>
  </w:style>
  <w:style w:type="character" w:customStyle="1" w:styleId="257">
    <w:name w:val="Char Char19"/>
    <w:qFormat/>
    <w:uiPriority w:val="0"/>
    <w:rPr>
      <w:rFonts w:ascii="Cambria" w:hAnsi="Cambria"/>
      <w:b/>
      <w:bCs/>
      <w:kern w:val="2"/>
      <w:sz w:val="32"/>
      <w:szCs w:val="32"/>
    </w:rPr>
  </w:style>
  <w:style w:type="character" w:customStyle="1" w:styleId="258">
    <w:name w:val="heading 2 Char2"/>
    <w:qFormat/>
    <w:uiPriority w:val="0"/>
    <w:rPr>
      <w:rFonts w:ascii="Cambria" w:hAnsi="Cambria"/>
      <w:b/>
      <w:bCs/>
      <w:kern w:val="2"/>
      <w:sz w:val="32"/>
      <w:szCs w:val="32"/>
    </w:rPr>
  </w:style>
  <w:style w:type="character" w:customStyle="1" w:styleId="259">
    <w:name w:val="heading 3 Char2"/>
    <w:qFormat/>
    <w:uiPriority w:val="0"/>
    <w:rPr>
      <w:b/>
      <w:bCs/>
      <w:kern w:val="2"/>
      <w:sz w:val="32"/>
      <w:szCs w:val="32"/>
    </w:rPr>
  </w:style>
  <w:style w:type="character" w:customStyle="1" w:styleId="260">
    <w:name w:val="heading 4 Char2"/>
    <w:qFormat/>
    <w:uiPriority w:val="0"/>
    <w:rPr>
      <w:rFonts w:ascii="Cambria" w:hAnsi="Cambria"/>
      <w:b/>
      <w:bCs/>
      <w:kern w:val="2"/>
      <w:sz w:val="28"/>
      <w:szCs w:val="28"/>
    </w:rPr>
  </w:style>
  <w:style w:type="character" w:customStyle="1" w:styleId="261">
    <w:name w:val="heading 4 Char1"/>
    <w:qFormat/>
    <w:uiPriority w:val="0"/>
    <w:rPr>
      <w:rFonts w:ascii="Cambria" w:hAnsi="Cambria" w:eastAsia="宋体"/>
      <w:b/>
      <w:bCs/>
      <w:kern w:val="2"/>
      <w:sz w:val="28"/>
      <w:szCs w:val="28"/>
      <w:lang w:val="en-US" w:eastAsia="zh-CN" w:bidi="ar-SA"/>
    </w:rPr>
  </w:style>
  <w:style w:type="character" w:customStyle="1" w:styleId="262">
    <w:name w:val="heading 5 Char2"/>
    <w:qFormat/>
    <w:uiPriority w:val="0"/>
    <w:rPr>
      <w:b/>
      <w:bCs/>
      <w:kern w:val="2"/>
      <w:sz w:val="28"/>
      <w:szCs w:val="28"/>
    </w:rPr>
  </w:style>
  <w:style w:type="character" w:customStyle="1" w:styleId="263">
    <w:name w:val="heading 8 Char1"/>
    <w:qFormat/>
    <w:uiPriority w:val="0"/>
    <w:rPr>
      <w:rFonts w:ascii="Arial" w:hAnsi="Arial" w:eastAsia="黑体"/>
      <w:sz w:val="24"/>
      <w:lang w:val="en-US" w:eastAsia="zh-CN" w:bidi="ar-SA"/>
    </w:rPr>
  </w:style>
  <w:style w:type="character" w:customStyle="1" w:styleId="264">
    <w:name w:val="表标题 Char"/>
    <w:link w:val="265"/>
    <w:qFormat/>
    <w:uiPriority w:val="0"/>
    <w:rPr>
      <w:rFonts w:hAnsi="宋体"/>
      <w:szCs w:val="21"/>
    </w:rPr>
  </w:style>
  <w:style w:type="paragraph" w:customStyle="1" w:styleId="265">
    <w:name w:val="表标题"/>
    <w:basedOn w:val="17"/>
    <w:link w:val="264"/>
    <w:qFormat/>
    <w:uiPriority w:val="0"/>
    <w:pPr>
      <w:autoSpaceDE/>
      <w:autoSpaceDN/>
      <w:adjustRightInd/>
      <w:spacing w:beforeLines="50" w:line="360" w:lineRule="auto"/>
      <w:jc w:val="center"/>
    </w:pPr>
    <w:rPr>
      <w:rFonts w:ascii="Calibri" w:hAnsi="宋体" w:eastAsia="宋体"/>
      <w:szCs w:val="21"/>
    </w:rPr>
  </w:style>
  <w:style w:type="character" w:customStyle="1" w:styleId="266">
    <w:name w:val="Footer-Even Char2"/>
    <w:qFormat/>
    <w:uiPriority w:val="0"/>
    <w:rPr>
      <w:kern w:val="2"/>
      <w:sz w:val="18"/>
      <w:szCs w:val="18"/>
    </w:rPr>
  </w:style>
  <w:style w:type="character" w:customStyle="1" w:styleId="267">
    <w:name w:val="PI Char2"/>
    <w:qFormat/>
    <w:uiPriority w:val="0"/>
    <w:rPr>
      <w:kern w:val="2"/>
      <w:sz w:val="24"/>
      <w:szCs w:val="24"/>
    </w:rPr>
  </w:style>
  <w:style w:type="character" w:customStyle="1" w:styleId="268">
    <w:name w:val="heading 1 Char1"/>
    <w:qFormat/>
    <w:uiPriority w:val="0"/>
    <w:rPr>
      <w:rFonts w:eastAsia="宋体"/>
      <w:b/>
      <w:bCs/>
      <w:kern w:val="44"/>
      <w:sz w:val="44"/>
      <w:szCs w:val="44"/>
      <w:lang w:val="en-US" w:eastAsia="zh-CN" w:bidi="ar-SA"/>
    </w:rPr>
  </w:style>
  <w:style w:type="character" w:customStyle="1" w:styleId="269">
    <w:name w:val="heading 3 Char1"/>
    <w:qFormat/>
    <w:uiPriority w:val="0"/>
    <w:rPr>
      <w:rFonts w:eastAsia="宋体"/>
      <w:b/>
      <w:bCs/>
      <w:kern w:val="2"/>
      <w:sz w:val="32"/>
      <w:szCs w:val="32"/>
      <w:lang w:val="en-US" w:eastAsia="zh-CN" w:bidi="ar-SA"/>
    </w:rPr>
  </w:style>
  <w:style w:type="character" w:customStyle="1" w:styleId="270">
    <w:name w:val="PI Char1"/>
    <w:qFormat/>
    <w:uiPriority w:val="0"/>
    <w:rPr>
      <w:rFonts w:eastAsia="宋体"/>
      <w:kern w:val="2"/>
      <w:sz w:val="24"/>
      <w:szCs w:val="24"/>
      <w:lang w:val="en-US" w:eastAsia="zh-CN" w:bidi="ar-SA"/>
    </w:rPr>
  </w:style>
  <w:style w:type="character" w:customStyle="1" w:styleId="271">
    <w:name w:val="Ò³Ã¼ Char Char1"/>
    <w:qFormat/>
    <w:uiPriority w:val="0"/>
    <w:rPr>
      <w:rFonts w:eastAsia="宋体"/>
      <w:kern w:val="2"/>
      <w:sz w:val="18"/>
      <w:szCs w:val="18"/>
      <w:lang w:val="en-US" w:eastAsia="zh-CN" w:bidi="ar-SA"/>
    </w:rPr>
  </w:style>
  <w:style w:type="character" w:customStyle="1" w:styleId="272">
    <w:name w:val="Footer-Even Char1"/>
    <w:qFormat/>
    <w:uiPriority w:val="0"/>
    <w:rPr>
      <w:rFonts w:eastAsia="宋体"/>
      <w:kern w:val="2"/>
      <w:sz w:val="18"/>
      <w:szCs w:val="18"/>
      <w:lang w:val="en-US" w:eastAsia="zh-CN" w:bidi="ar-SA"/>
    </w:rPr>
  </w:style>
  <w:style w:type="character" w:customStyle="1" w:styleId="273">
    <w:name w:val="部分目录标题 Char"/>
    <w:link w:val="274"/>
    <w:qFormat/>
    <w:uiPriority w:val="0"/>
    <w:rPr>
      <w:rFonts w:ascii="宋体" w:hAnsi="宋体"/>
      <w:kern w:val="2"/>
      <w:sz w:val="32"/>
      <w:szCs w:val="32"/>
    </w:rPr>
  </w:style>
  <w:style w:type="paragraph" w:customStyle="1" w:styleId="274">
    <w:name w:val="部分目录标题"/>
    <w:basedOn w:val="1"/>
    <w:link w:val="273"/>
    <w:qFormat/>
    <w:uiPriority w:val="0"/>
    <w:pPr>
      <w:spacing w:line="360" w:lineRule="auto"/>
      <w:jc w:val="center"/>
    </w:pPr>
    <w:rPr>
      <w:rFonts w:ascii="宋体" w:hAnsi="宋体"/>
      <w:sz w:val="32"/>
      <w:szCs w:val="32"/>
    </w:rPr>
  </w:style>
  <w:style w:type="character" w:customStyle="1" w:styleId="275">
    <w:name w:val="正文（缩进） Char"/>
    <w:link w:val="276"/>
    <w:qFormat/>
    <w:uiPriority w:val="0"/>
    <w:rPr>
      <w:rFonts w:eastAsia="宋体"/>
      <w:kern w:val="2"/>
      <w:sz w:val="24"/>
      <w:szCs w:val="24"/>
      <w:lang w:val="en-US" w:eastAsia="zh-CN" w:bidi="ar-SA"/>
    </w:rPr>
  </w:style>
  <w:style w:type="paragraph" w:customStyle="1" w:styleId="276">
    <w:name w:val="正文（缩进）"/>
    <w:basedOn w:val="1"/>
    <w:link w:val="275"/>
    <w:qFormat/>
    <w:uiPriority w:val="0"/>
    <w:pPr>
      <w:spacing w:beforeLines="50" w:afterLines="50" w:line="360" w:lineRule="auto"/>
      <w:ind w:firstLine="480" w:firstLineChars="200"/>
    </w:pPr>
    <w:rPr>
      <w:rFonts w:ascii="Calibri" w:hAnsi="Calibri"/>
      <w:sz w:val="24"/>
    </w:rPr>
  </w:style>
  <w:style w:type="character" w:customStyle="1" w:styleId="277">
    <w:name w:val="正文（编号） Char"/>
    <w:link w:val="278"/>
    <w:qFormat/>
    <w:uiPriority w:val="0"/>
    <w:rPr>
      <w:rFonts w:eastAsia="宋体"/>
      <w:kern w:val="2"/>
      <w:sz w:val="24"/>
      <w:szCs w:val="24"/>
      <w:lang w:val="en-US" w:eastAsia="zh-CN" w:bidi="ar-SA"/>
    </w:rPr>
  </w:style>
  <w:style w:type="paragraph" w:customStyle="1" w:styleId="278">
    <w:name w:val="正文（编号）"/>
    <w:basedOn w:val="276"/>
    <w:link w:val="277"/>
    <w:qFormat/>
    <w:uiPriority w:val="0"/>
    <w:pPr>
      <w:tabs>
        <w:tab w:val="left" w:pos="1080"/>
      </w:tabs>
      <w:ind w:left="1080" w:hanging="540" w:firstLineChars="0"/>
    </w:pPr>
  </w:style>
  <w:style w:type="character" w:customStyle="1" w:styleId="279">
    <w:name w:val="正文文本 2 Char1"/>
    <w:qFormat/>
    <w:uiPriority w:val="0"/>
    <w:rPr>
      <w:kern w:val="2"/>
      <w:sz w:val="24"/>
      <w:szCs w:val="22"/>
    </w:rPr>
  </w:style>
  <w:style w:type="character" w:customStyle="1" w:styleId="280">
    <w:name w:val="样式 EHL二级项目 + 段前: 0.5 行 段后: 0.5 行 Char"/>
    <w:link w:val="281"/>
    <w:qFormat/>
    <w:uiPriority w:val="0"/>
    <w:rPr>
      <w:rFonts w:cs="宋体"/>
      <w:b/>
      <w:kern w:val="2"/>
      <w:sz w:val="24"/>
    </w:rPr>
  </w:style>
  <w:style w:type="paragraph" w:customStyle="1" w:styleId="281">
    <w:name w:val="样式 EHL二级项目 + 段前: 0.5 行 段后: 0.5 行"/>
    <w:basedOn w:val="1"/>
    <w:link w:val="280"/>
    <w:qFormat/>
    <w:uiPriority w:val="0"/>
    <w:pPr>
      <w:numPr>
        <w:ilvl w:val="0"/>
        <w:numId w:val="10"/>
      </w:numPr>
      <w:spacing w:beforeLines="50" w:afterLines="50" w:line="360" w:lineRule="auto"/>
    </w:pPr>
    <w:rPr>
      <w:rFonts w:ascii="Calibri" w:hAnsi="Calibri"/>
      <w:b/>
      <w:sz w:val="24"/>
      <w:szCs w:val="20"/>
    </w:rPr>
  </w:style>
  <w:style w:type="character" w:customStyle="1" w:styleId="282">
    <w:name w:val="样式1"/>
    <w:qFormat/>
    <w:uiPriority w:val="0"/>
    <w:rPr>
      <w:rFonts w:ascii="宋体" w:hAnsi="宋体" w:eastAsia="宋体"/>
      <w:i/>
      <w:color w:val="0070C0"/>
      <w:sz w:val="24"/>
      <w:u w:val="none"/>
    </w:rPr>
  </w:style>
  <w:style w:type="character" w:customStyle="1" w:styleId="283">
    <w:name w:val="正文首行缩进 Char"/>
    <w:qFormat/>
    <w:uiPriority w:val="0"/>
    <w:rPr>
      <w:rFonts w:eastAsia="仿宋_GB2312"/>
      <w:kern w:val="2"/>
      <w:sz w:val="24"/>
      <w:szCs w:val="24"/>
      <w:lang w:val="en-US" w:eastAsia="zh-CN" w:bidi="ar-SA"/>
    </w:rPr>
  </w:style>
  <w:style w:type="character" w:customStyle="1" w:styleId="284">
    <w:name w:val="正文（黑体） Char"/>
    <w:link w:val="285"/>
    <w:qFormat/>
    <w:uiPriority w:val="0"/>
    <w:rPr>
      <w:rFonts w:ascii="黑体" w:eastAsia="黑体"/>
      <w:color w:val="000080"/>
      <w:kern w:val="2"/>
      <w:sz w:val="24"/>
      <w:szCs w:val="24"/>
      <w:lang w:val="en-US" w:eastAsia="zh-CN" w:bidi="ar-SA"/>
    </w:rPr>
  </w:style>
  <w:style w:type="paragraph" w:customStyle="1" w:styleId="285">
    <w:name w:val="正文（黑体）"/>
    <w:basedOn w:val="1"/>
    <w:next w:val="1"/>
    <w:link w:val="284"/>
    <w:qFormat/>
    <w:uiPriority w:val="0"/>
    <w:pPr>
      <w:spacing w:beforeLines="50" w:afterLines="50" w:line="360" w:lineRule="auto"/>
      <w:ind w:firstLine="480" w:firstLineChars="200"/>
    </w:pPr>
    <w:rPr>
      <w:rFonts w:ascii="黑体" w:hAnsi="Calibri" w:eastAsia="黑体"/>
      <w:color w:val="000080"/>
      <w:sz w:val="24"/>
    </w:rPr>
  </w:style>
  <w:style w:type="character" w:customStyle="1" w:styleId="286">
    <w:name w:val="题注 字符"/>
    <w:link w:val="17"/>
    <w:qFormat/>
    <w:uiPriority w:val="2"/>
    <w:rPr>
      <w:rFonts w:ascii="Arial" w:hAnsi="Arial" w:eastAsia="黑体" w:cs="Arial"/>
    </w:rPr>
  </w:style>
  <w:style w:type="character" w:customStyle="1" w:styleId="287">
    <w:name w:val="Char Char Char"/>
    <w:qFormat/>
    <w:uiPriority w:val="0"/>
    <w:rPr>
      <w:rFonts w:ascii="宋体" w:hAnsi="Courier New" w:eastAsia="宋体"/>
      <w:sz w:val="21"/>
      <w:szCs w:val="21"/>
      <w:lang w:val="en-US" w:eastAsia="zh-CN" w:bidi="ar-SA"/>
    </w:rPr>
  </w:style>
  <w:style w:type="character" w:customStyle="1" w:styleId="288">
    <w:name w:val="!我的正文 Ctr+Q Char"/>
    <w:link w:val="171"/>
    <w:qFormat/>
    <w:uiPriority w:val="0"/>
    <w:rPr>
      <w:rFonts w:ascii="Arial" w:hAnsi="Arial"/>
      <w:kern w:val="2"/>
      <w:sz w:val="24"/>
      <w:szCs w:val="21"/>
    </w:rPr>
  </w:style>
  <w:style w:type="character" w:customStyle="1" w:styleId="289">
    <w:name w:val="样式1 Char"/>
    <w:qFormat/>
    <w:uiPriority w:val="0"/>
    <w:rPr>
      <w:rFonts w:ascii="Cambria" w:hAnsi="Cambria" w:eastAsia="宋体"/>
      <w:b/>
      <w:bCs/>
      <w:kern w:val="2"/>
      <w:sz w:val="32"/>
      <w:szCs w:val="32"/>
      <w:lang w:val="en-US" w:eastAsia="zh-CN" w:bidi="ar-SA"/>
    </w:rPr>
  </w:style>
  <w:style w:type="character" w:customStyle="1" w:styleId="290">
    <w:name w:val="b Char"/>
    <w:qFormat/>
    <w:uiPriority w:val="0"/>
    <w:rPr>
      <w:kern w:val="2"/>
      <w:sz w:val="24"/>
      <w:szCs w:val="24"/>
    </w:rPr>
  </w:style>
  <w:style w:type="character" w:customStyle="1" w:styleId="291">
    <w:name w:val="样式 标题 3Heading 3 - oldHeading 3H3l3CTBOD 03h33rd level...2 Char"/>
    <w:link w:val="292"/>
    <w:qFormat/>
    <w:uiPriority w:val="0"/>
    <w:rPr>
      <w:b/>
      <w:bCs/>
      <w:kern w:val="2"/>
      <w:sz w:val="24"/>
      <w:szCs w:val="32"/>
    </w:rPr>
  </w:style>
  <w:style w:type="paragraph" w:customStyle="1" w:styleId="292">
    <w:name w:val="样式 标题 3Heading 3 - oldHeading 3H3l3CTBOD 03h33rd level...2"/>
    <w:basedOn w:val="4"/>
    <w:link w:val="291"/>
    <w:qFormat/>
    <w:uiPriority w:val="0"/>
    <w:pPr>
      <w:numPr>
        <w:numId w:val="0"/>
      </w:numPr>
      <w:tabs>
        <w:tab w:val="left" w:pos="459"/>
      </w:tabs>
      <w:spacing w:beforeLines="50" w:afterLines="50" w:line="360" w:lineRule="auto"/>
      <w:jc w:val="left"/>
    </w:pPr>
    <w:rPr>
      <w:sz w:val="24"/>
    </w:rPr>
  </w:style>
  <w:style w:type="character" w:customStyle="1" w:styleId="293">
    <w:name w:val="尾注文本 Char1"/>
    <w:qFormat/>
    <w:uiPriority w:val="0"/>
    <w:rPr>
      <w:kern w:val="2"/>
      <w:sz w:val="21"/>
      <w:szCs w:val="24"/>
    </w:rPr>
  </w:style>
  <w:style w:type="character" w:customStyle="1" w:styleId="294">
    <w:name w:val="style11"/>
    <w:qFormat/>
    <w:uiPriority w:val="0"/>
    <w:rPr>
      <w:rFonts w:ascii="Verdana" w:hAnsi="Verdana" w:eastAsia="宋体"/>
      <w:color w:val="000000"/>
      <w:sz w:val="24"/>
      <w:lang w:val="en-US" w:eastAsia="en-US" w:bidi="ar-SA"/>
    </w:rPr>
  </w:style>
  <w:style w:type="character" w:customStyle="1" w:styleId="295">
    <w:name w:val="正文（标记） Char Char Char"/>
    <w:link w:val="296"/>
    <w:qFormat/>
    <w:uiPriority w:val="0"/>
    <w:rPr>
      <w:rFonts w:ascii="Verdana" w:hAnsi="Verdana"/>
      <w:kern w:val="2"/>
      <w:sz w:val="24"/>
      <w:szCs w:val="24"/>
      <w:lang w:eastAsia="en-US"/>
    </w:rPr>
  </w:style>
  <w:style w:type="paragraph" w:customStyle="1" w:styleId="296">
    <w:name w:val="正文（标记） Char Char"/>
    <w:basedOn w:val="1"/>
    <w:link w:val="295"/>
    <w:qFormat/>
    <w:uiPriority w:val="0"/>
    <w:pPr>
      <w:numPr>
        <w:ilvl w:val="0"/>
        <w:numId w:val="11"/>
      </w:numPr>
      <w:snapToGrid w:val="0"/>
      <w:spacing w:beforeLines="50" w:afterLines="50" w:line="360" w:lineRule="auto"/>
      <w:ind w:firstLine="0"/>
    </w:pPr>
    <w:rPr>
      <w:rFonts w:ascii="Verdana" w:hAnsi="Verdana"/>
      <w:sz w:val="24"/>
      <w:lang w:eastAsia="en-US"/>
    </w:rPr>
  </w:style>
  <w:style w:type="character" w:customStyle="1" w:styleId="297">
    <w:name w:val="正文文本 3 Char1"/>
    <w:qFormat/>
    <w:uiPriority w:val="0"/>
    <w:rPr>
      <w:kern w:val="2"/>
      <w:sz w:val="16"/>
      <w:szCs w:val="16"/>
    </w:rPr>
  </w:style>
  <w:style w:type="character" w:customStyle="1" w:styleId="298">
    <w:name w:val="方框下的123标题 Char"/>
    <w:link w:val="299"/>
    <w:qFormat/>
    <w:uiPriority w:val="0"/>
    <w:rPr>
      <w:kern w:val="2"/>
      <w:sz w:val="21"/>
      <w:szCs w:val="24"/>
    </w:rPr>
  </w:style>
  <w:style w:type="paragraph" w:customStyle="1" w:styleId="299">
    <w:name w:val="方框下的123标题"/>
    <w:basedOn w:val="1"/>
    <w:link w:val="298"/>
    <w:qFormat/>
    <w:uiPriority w:val="0"/>
    <w:pPr>
      <w:numPr>
        <w:ilvl w:val="0"/>
        <w:numId w:val="12"/>
      </w:numPr>
      <w:tabs>
        <w:tab w:val="left" w:pos="420"/>
      </w:tabs>
      <w:spacing w:line="360" w:lineRule="auto"/>
      <w:ind w:firstLine="0"/>
    </w:pPr>
    <w:rPr>
      <w:rFonts w:ascii="Calibri" w:hAnsi="Calibri"/>
    </w:rPr>
  </w:style>
  <w:style w:type="character" w:customStyle="1" w:styleId="300">
    <w:name w:val="arc11"/>
    <w:qFormat/>
    <w:uiPriority w:val="0"/>
    <w:rPr>
      <w:rFonts w:hint="default"/>
      <w:color w:val="333333"/>
      <w:sz w:val="24"/>
      <w:szCs w:val="24"/>
    </w:rPr>
  </w:style>
  <w:style w:type="character" w:customStyle="1" w:styleId="301">
    <w:name w:val="Char Char161"/>
    <w:qFormat/>
    <w:uiPriority w:val="0"/>
    <w:rPr>
      <w:rFonts w:eastAsia="宋体"/>
      <w:kern w:val="2"/>
      <w:sz w:val="21"/>
      <w:szCs w:val="24"/>
      <w:lang w:val="en-US" w:eastAsia="zh-CN" w:bidi="ar-SA"/>
    </w:rPr>
  </w:style>
  <w:style w:type="character" w:customStyle="1" w:styleId="302">
    <w:name w:val="表内文字 Char"/>
    <w:link w:val="303"/>
    <w:qFormat/>
    <w:uiPriority w:val="0"/>
    <w:rPr>
      <w:rFonts w:ascii="Arial" w:hAnsi="Arial" w:eastAsia="楷体_GB2312" w:cs="Arial"/>
      <w:kern w:val="2"/>
      <w:sz w:val="24"/>
      <w:szCs w:val="24"/>
    </w:rPr>
  </w:style>
  <w:style w:type="paragraph" w:customStyle="1" w:styleId="303">
    <w:name w:val="表内文字"/>
    <w:basedOn w:val="1"/>
    <w:link w:val="302"/>
    <w:qFormat/>
    <w:uiPriority w:val="0"/>
    <w:pPr>
      <w:adjustRightInd w:val="0"/>
      <w:snapToGrid w:val="0"/>
      <w:spacing w:line="500" w:lineRule="atLeast"/>
      <w:jc w:val="center"/>
    </w:pPr>
    <w:rPr>
      <w:rFonts w:ascii="Arial" w:hAnsi="Arial" w:eastAsia="楷体_GB2312"/>
      <w:sz w:val="24"/>
    </w:rPr>
  </w:style>
  <w:style w:type="character" w:customStyle="1" w:styleId="304">
    <w:name w:val="Char Char1"/>
    <w:qFormat/>
    <w:uiPriority w:val="0"/>
    <w:rPr>
      <w:rFonts w:ascii="宋体" w:hAnsi="Courier New"/>
      <w:kern w:val="2"/>
      <w:sz w:val="24"/>
      <w:lang w:bidi="ar-SA"/>
    </w:rPr>
  </w:style>
  <w:style w:type="character" w:customStyle="1" w:styleId="305">
    <w:name w:val="样式 样式 正文文本 + 首行缩进:  2.21 字符 + 首行缩进:  2.21 字符 Char"/>
    <w:link w:val="306"/>
    <w:qFormat/>
    <w:uiPriority w:val="0"/>
    <w:rPr>
      <w:rFonts w:ascii="仿宋_GB2312" w:eastAsia="仿宋_GB2312"/>
      <w:kern w:val="2"/>
      <w:sz w:val="28"/>
    </w:rPr>
  </w:style>
  <w:style w:type="paragraph" w:customStyle="1" w:styleId="306">
    <w:name w:val="样式 样式 正文文本 + 首行缩进:  2.21 字符 + 首行缩进:  2.21 字符"/>
    <w:basedOn w:val="1"/>
    <w:link w:val="305"/>
    <w:qFormat/>
    <w:uiPriority w:val="0"/>
    <w:pPr>
      <w:adjustRightInd w:val="0"/>
      <w:snapToGrid w:val="0"/>
      <w:spacing w:line="360" w:lineRule="auto"/>
      <w:ind w:firstLine="200" w:firstLineChars="200"/>
    </w:pPr>
    <w:rPr>
      <w:rFonts w:ascii="仿宋_GB2312" w:hAnsi="Calibri" w:eastAsia="仿宋_GB2312"/>
      <w:sz w:val="28"/>
      <w:szCs w:val="20"/>
    </w:rPr>
  </w:style>
  <w:style w:type="character" w:customStyle="1" w:styleId="307">
    <w:name w:val="Char Char11"/>
    <w:qFormat/>
    <w:uiPriority w:val="0"/>
    <w:rPr>
      <w:rFonts w:ascii="Cambria" w:hAnsi="Cambria" w:eastAsia="宋体" w:cs="Times New Roman"/>
      <w:b/>
      <w:bCs/>
      <w:kern w:val="2"/>
      <w:sz w:val="32"/>
      <w:szCs w:val="32"/>
    </w:rPr>
  </w:style>
  <w:style w:type="character" w:customStyle="1" w:styleId="308">
    <w:name w:val="首行缩进 Char"/>
    <w:link w:val="309"/>
    <w:qFormat/>
    <w:uiPriority w:val="0"/>
    <w:rPr>
      <w:kern w:val="2"/>
      <w:sz w:val="24"/>
      <w:szCs w:val="24"/>
    </w:rPr>
  </w:style>
  <w:style w:type="paragraph" w:customStyle="1" w:styleId="309">
    <w:name w:val="首行缩进"/>
    <w:basedOn w:val="1"/>
    <w:link w:val="308"/>
    <w:qFormat/>
    <w:uiPriority w:val="0"/>
    <w:pPr>
      <w:numPr>
        <w:ilvl w:val="1"/>
        <w:numId w:val="13"/>
      </w:numPr>
      <w:spacing w:line="360" w:lineRule="auto"/>
    </w:pPr>
    <w:rPr>
      <w:rFonts w:ascii="Calibri" w:hAnsi="Calibri"/>
      <w:sz w:val="24"/>
    </w:rPr>
  </w:style>
  <w:style w:type="character" w:customStyle="1" w:styleId="310">
    <w:name w:val="小标题 Char"/>
    <w:qFormat/>
    <w:uiPriority w:val="0"/>
    <w:rPr>
      <w:kern w:val="2"/>
      <w:sz w:val="24"/>
      <w:szCs w:val="24"/>
    </w:rPr>
  </w:style>
  <w:style w:type="character" w:customStyle="1" w:styleId="311">
    <w:name w:val="HTML 预设格式 字符"/>
    <w:link w:val="64"/>
    <w:qFormat/>
    <w:uiPriority w:val="0"/>
    <w:rPr>
      <w:rFonts w:ascii="宋体" w:hAnsi="宋体"/>
      <w:sz w:val="24"/>
      <w:szCs w:val="24"/>
    </w:rPr>
  </w:style>
  <w:style w:type="character" w:customStyle="1" w:styleId="312">
    <w:name w:val="HTML 预设格式 Char1"/>
    <w:qFormat/>
    <w:uiPriority w:val="0"/>
    <w:rPr>
      <w:rFonts w:ascii="Courier New" w:hAnsi="Courier New" w:cs="Courier New"/>
      <w:kern w:val="2"/>
    </w:rPr>
  </w:style>
  <w:style w:type="character" w:customStyle="1" w:styleId="313">
    <w:name w:val="Char Char9"/>
    <w:qFormat/>
    <w:uiPriority w:val="0"/>
    <w:rPr>
      <w:rFonts w:ascii="宋体" w:hAnsi="宋体" w:eastAsia="宋体" w:cs="Arial"/>
      <w:kern w:val="2"/>
      <w:sz w:val="24"/>
      <w:szCs w:val="24"/>
    </w:rPr>
  </w:style>
  <w:style w:type="character" w:customStyle="1" w:styleId="314">
    <w:name w:val="Char Char13"/>
    <w:qFormat/>
    <w:uiPriority w:val="0"/>
    <w:rPr>
      <w:rFonts w:ascii="Cambria" w:hAnsi="Cambria"/>
      <w:b/>
      <w:bCs/>
      <w:kern w:val="2"/>
      <w:sz w:val="32"/>
      <w:szCs w:val="32"/>
      <w:lang w:bidi="ar-SA"/>
    </w:rPr>
  </w:style>
  <w:style w:type="character" w:customStyle="1" w:styleId="315">
    <w:name w:val="z-窗体顶端 Char1"/>
    <w:qFormat/>
    <w:uiPriority w:val="0"/>
    <w:rPr>
      <w:rFonts w:ascii="Arial" w:hAnsi="Arial" w:cs="Arial"/>
      <w:vanish/>
      <w:kern w:val="2"/>
      <w:sz w:val="16"/>
      <w:szCs w:val="16"/>
    </w:rPr>
  </w:style>
  <w:style w:type="character" w:customStyle="1" w:styleId="316">
    <w:name w:val="sony12"/>
    <w:qFormat/>
    <w:uiPriority w:val="0"/>
    <w:rPr>
      <w:rFonts w:ascii="Verdana" w:hAnsi="Verdana" w:eastAsia="宋体"/>
      <w:sz w:val="24"/>
      <w:lang w:val="en-US" w:eastAsia="en-US" w:bidi="ar-SA"/>
    </w:rPr>
  </w:style>
  <w:style w:type="character" w:customStyle="1" w:styleId="317">
    <w:name w:val="正文格式 Char"/>
    <w:link w:val="318"/>
    <w:qFormat/>
    <w:uiPriority w:val="0"/>
    <w:rPr>
      <w:rFonts w:ascii="Arial" w:hAnsi="Arial" w:eastAsia="新宋体"/>
      <w:sz w:val="24"/>
    </w:rPr>
  </w:style>
  <w:style w:type="paragraph" w:customStyle="1" w:styleId="318">
    <w:name w:val="正文格式"/>
    <w:basedOn w:val="1"/>
    <w:link w:val="317"/>
    <w:qFormat/>
    <w:uiPriority w:val="0"/>
    <w:pPr>
      <w:widowControl/>
      <w:tabs>
        <w:tab w:val="left" w:pos="960"/>
      </w:tabs>
      <w:adjustRightInd w:val="0"/>
      <w:snapToGrid w:val="0"/>
      <w:spacing w:line="300" w:lineRule="auto"/>
      <w:ind w:firstLine="482"/>
      <w:textAlignment w:val="baseline"/>
    </w:pPr>
    <w:rPr>
      <w:rFonts w:ascii="Arial" w:hAnsi="Arial" w:eastAsia="新宋体"/>
      <w:kern w:val="0"/>
      <w:sz w:val="24"/>
      <w:szCs w:val="20"/>
    </w:rPr>
  </w:style>
  <w:style w:type="character" w:customStyle="1" w:styleId="319">
    <w:name w:val="正文段落 Char"/>
    <w:link w:val="320"/>
    <w:qFormat/>
    <w:uiPriority w:val="0"/>
    <w:rPr>
      <w:rFonts w:ascii="Verdana" w:hAnsi="Verdana"/>
      <w:kern w:val="2"/>
      <w:sz w:val="24"/>
      <w:szCs w:val="24"/>
      <w:lang w:eastAsia="en-US"/>
    </w:rPr>
  </w:style>
  <w:style w:type="paragraph" w:customStyle="1" w:styleId="320">
    <w:name w:val="正文段落"/>
    <w:basedOn w:val="1"/>
    <w:next w:val="1"/>
    <w:link w:val="319"/>
    <w:qFormat/>
    <w:uiPriority w:val="0"/>
    <w:pPr>
      <w:snapToGrid w:val="0"/>
      <w:spacing w:line="360" w:lineRule="auto"/>
      <w:ind w:firstLine="200" w:firstLineChars="200"/>
    </w:pPr>
    <w:rPr>
      <w:rFonts w:ascii="Verdana" w:hAnsi="Verdana"/>
      <w:sz w:val="24"/>
      <w:lang w:eastAsia="en-US"/>
    </w:rPr>
  </w:style>
  <w:style w:type="character" w:customStyle="1" w:styleId="321">
    <w:name w:val="正文首行缩进 Char2"/>
    <w:qFormat/>
    <w:uiPriority w:val="0"/>
    <w:rPr>
      <w:kern w:val="2"/>
      <w:sz w:val="24"/>
      <w:szCs w:val="24"/>
    </w:rPr>
  </w:style>
  <w:style w:type="character" w:customStyle="1" w:styleId="322">
    <w:name w:val="p14"/>
    <w:basedOn w:val="75"/>
    <w:qFormat/>
    <w:uiPriority w:val="0"/>
  </w:style>
  <w:style w:type="character" w:customStyle="1" w:styleId="323">
    <w:name w:val="content1"/>
    <w:qFormat/>
    <w:uiPriority w:val="0"/>
    <w:rPr>
      <w:rFonts w:hint="eastAsia" w:ascii="Οgb2312" w:eastAsia="Οgb2312"/>
      <w:color w:val="000000"/>
      <w:spacing w:val="15"/>
      <w:sz w:val="29"/>
      <w:szCs w:val="29"/>
    </w:rPr>
  </w:style>
  <w:style w:type="character" w:customStyle="1" w:styleId="324">
    <w:name w:val="Heading 2 Char"/>
    <w:qFormat/>
    <w:uiPriority w:val="0"/>
    <w:rPr>
      <w:rFonts w:ascii="Cambria" w:hAnsi="Cambria" w:eastAsia="宋体" w:cs="Times New Roman"/>
      <w:b/>
      <w:bCs/>
      <w:sz w:val="32"/>
      <w:szCs w:val="32"/>
    </w:rPr>
  </w:style>
  <w:style w:type="character" w:customStyle="1" w:styleId="325">
    <w:name w:val="样式 标题 3H31.1.1标题 3h3sect1.2.3BOD 03rd levellevel_3PIM 3... Char Char"/>
    <w:link w:val="326"/>
    <w:qFormat/>
    <w:uiPriority w:val="0"/>
    <w:rPr>
      <w:rFonts w:eastAsia="黑体"/>
      <w:b/>
      <w:bCs/>
      <w:color w:val="000000"/>
      <w:sz w:val="28"/>
      <w:szCs w:val="32"/>
    </w:rPr>
  </w:style>
  <w:style w:type="paragraph" w:customStyle="1" w:styleId="326">
    <w:name w:val="样式 标题 3H31.1.1标题 3h3sect1.2.3BOD 03rd levellevel_3PIM 3..."/>
    <w:basedOn w:val="4"/>
    <w:link w:val="325"/>
    <w:qFormat/>
    <w:uiPriority w:val="0"/>
    <w:pPr>
      <w:numPr>
        <w:numId w:val="0"/>
      </w:numPr>
      <w:tabs>
        <w:tab w:val="left" w:pos="459"/>
        <w:tab w:val="left" w:pos="900"/>
      </w:tabs>
      <w:autoSpaceDE w:val="0"/>
      <w:autoSpaceDN w:val="0"/>
      <w:snapToGrid w:val="0"/>
      <w:spacing w:beforeLines="50" w:afterLines="50" w:line="360" w:lineRule="auto"/>
      <w:jc w:val="left"/>
    </w:pPr>
    <w:rPr>
      <w:rFonts w:eastAsia="黑体"/>
      <w:color w:val="000000"/>
      <w:kern w:val="0"/>
      <w:sz w:val="28"/>
    </w:rPr>
  </w:style>
  <w:style w:type="character" w:customStyle="1" w:styleId="327">
    <w:name w:val="正文（缩进） Char Char1"/>
    <w:qFormat/>
    <w:uiPriority w:val="0"/>
    <w:rPr>
      <w:kern w:val="2"/>
      <w:sz w:val="24"/>
      <w:szCs w:val="24"/>
    </w:rPr>
  </w:style>
  <w:style w:type="character" w:customStyle="1" w:styleId="328">
    <w:name w:val="图片居中 Char"/>
    <w:link w:val="329"/>
    <w:qFormat/>
    <w:uiPriority w:val="0"/>
    <w:rPr>
      <w:kern w:val="2"/>
      <w:sz w:val="21"/>
    </w:rPr>
  </w:style>
  <w:style w:type="paragraph" w:customStyle="1" w:styleId="329">
    <w:name w:val="图片居中"/>
    <w:basedOn w:val="1"/>
    <w:next w:val="1"/>
    <w:link w:val="328"/>
    <w:qFormat/>
    <w:uiPriority w:val="0"/>
    <w:pPr>
      <w:jc w:val="center"/>
    </w:pPr>
    <w:rPr>
      <w:rFonts w:ascii="Calibri" w:hAnsi="Calibri"/>
      <w:szCs w:val="20"/>
    </w:rPr>
  </w:style>
  <w:style w:type="character" w:customStyle="1" w:styleId="330">
    <w:name w:val="t_tag"/>
    <w:basedOn w:val="75"/>
    <w:qFormat/>
    <w:uiPriority w:val="0"/>
  </w:style>
  <w:style w:type="character" w:customStyle="1" w:styleId="331">
    <w:name w:val="Char Char10"/>
    <w:qFormat/>
    <w:uiPriority w:val="0"/>
    <w:rPr>
      <w:rFonts w:eastAsia="宋体"/>
      <w:b/>
      <w:bCs/>
      <w:kern w:val="2"/>
      <w:sz w:val="24"/>
      <w:szCs w:val="24"/>
      <w:lang w:val="en-US" w:eastAsia="zh-CN" w:bidi="ar-SA"/>
    </w:rPr>
  </w:style>
  <w:style w:type="character" w:customStyle="1" w:styleId="332">
    <w:name w:val="ContentsHeader Char Char"/>
    <w:qFormat/>
    <w:uiPriority w:val="0"/>
    <w:rPr>
      <w:kern w:val="2"/>
      <w:sz w:val="18"/>
      <w:szCs w:val="18"/>
    </w:rPr>
  </w:style>
  <w:style w:type="character" w:customStyle="1" w:styleId="333">
    <w:name w:val="标题2 Char"/>
    <w:link w:val="242"/>
    <w:qFormat/>
    <w:uiPriority w:val="0"/>
    <w:rPr>
      <w:kern w:val="2"/>
      <w:sz w:val="30"/>
    </w:rPr>
  </w:style>
  <w:style w:type="character" w:customStyle="1" w:styleId="334">
    <w:name w:val="标题 33 Char"/>
    <w:link w:val="241"/>
    <w:qFormat/>
    <w:uiPriority w:val="0"/>
    <w:rPr>
      <w:kern w:val="2"/>
      <w:sz w:val="30"/>
    </w:rPr>
  </w:style>
  <w:style w:type="character" w:customStyle="1" w:styleId="335">
    <w:name w:val="部分标题 Char"/>
    <w:link w:val="336"/>
    <w:qFormat/>
    <w:uiPriority w:val="0"/>
    <w:rPr>
      <w:rFonts w:ascii="仿宋_GB2312" w:hAnsi="仿宋_GB2312" w:eastAsia="黑体"/>
      <w:bCs/>
      <w:kern w:val="44"/>
      <w:sz w:val="44"/>
      <w:szCs w:val="44"/>
    </w:rPr>
  </w:style>
  <w:style w:type="paragraph" w:customStyle="1" w:styleId="336">
    <w:name w:val="部分标题"/>
    <w:basedOn w:val="3"/>
    <w:link w:val="335"/>
    <w:qFormat/>
    <w:uiPriority w:val="0"/>
    <w:pPr>
      <w:numPr>
        <w:numId w:val="0"/>
      </w:numPr>
      <w:spacing w:before="120" w:after="120" w:line="360" w:lineRule="auto"/>
      <w:jc w:val="center"/>
    </w:pPr>
    <w:rPr>
      <w:rFonts w:ascii="仿宋_GB2312" w:hAnsi="仿宋_GB2312" w:eastAsia="黑体"/>
      <w:b w:val="0"/>
    </w:rPr>
  </w:style>
  <w:style w:type="character" w:customStyle="1" w:styleId="337">
    <w:name w:val="普通文字1 Char"/>
    <w:qFormat/>
    <w:uiPriority w:val="99"/>
    <w:rPr>
      <w:rFonts w:ascii="宋体" w:hAnsi="Courier New"/>
      <w:kern w:val="2"/>
      <w:sz w:val="21"/>
      <w:szCs w:val="21"/>
    </w:rPr>
  </w:style>
  <w:style w:type="character" w:customStyle="1" w:styleId="338">
    <w:name w:val="题注样式 Char"/>
    <w:link w:val="339"/>
    <w:qFormat/>
    <w:uiPriority w:val="0"/>
    <w:rPr>
      <w:rFonts w:ascii="Arial" w:hAnsi="Arial" w:cs="Arial"/>
      <w:b/>
      <w:kern w:val="2"/>
      <w:sz w:val="21"/>
    </w:rPr>
  </w:style>
  <w:style w:type="paragraph" w:customStyle="1" w:styleId="339">
    <w:name w:val="题注样式"/>
    <w:basedOn w:val="17"/>
    <w:link w:val="338"/>
    <w:qFormat/>
    <w:uiPriority w:val="0"/>
    <w:pPr>
      <w:autoSpaceDE/>
      <w:autoSpaceDN/>
      <w:adjustRightInd/>
      <w:spacing w:line="360" w:lineRule="auto"/>
      <w:ind w:firstLine="562"/>
      <w:jc w:val="center"/>
    </w:pPr>
    <w:rPr>
      <w:rFonts w:eastAsia="宋体"/>
      <w:b/>
      <w:kern w:val="2"/>
      <w:sz w:val="21"/>
    </w:rPr>
  </w:style>
  <w:style w:type="character" w:customStyle="1" w:styleId="340">
    <w:name w:val="v151"/>
    <w:qFormat/>
    <w:uiPriority w:val="0"/>
    <w:rPr>
      <w:sz w:val="18"/>
      <w:szCs w:val="18"/>
    </w:rPr>
  </w:style>
  <w:style w:type="character" w:customStyle="1" w:styleId="341">
    <w:name w:val="脚注文本 字符"/>
    <w:link w:val="55"/>
    <w:qFormat/>
    <w:uiPriority w:val="99"/>
    <w:rPr>
      <w:rFonts w:ascii="Calibri" w:hAnsi="Calibri" w:eastAsia="仿宋_GB2312"/>
      <w:kern w:val="2"/>
      <w:sz w:val="18"/>
      <w:szCs w:val="18"/>
    </w:rPr>
  </w:style>
  <w:style w:type="character" w:customStyle="1" w:styleId="342">
    <w:name w:val="标题5 Char"/>
    <w:link w:val="343"/>
    <w:qFormat/>
    <w:uiPriority w:val="0"/>
    <w:rPr>
      <w:rFonts w:eastAsia="仿宋_GB2312"/>
      <w:b/>
      <w:kern w:val="2"/>
      <w:sz w:val="24"/>
      <w:szCs w:val="21"/>
    </w:rPr>
  </w:style>
  <w:style w:type="paragraph" w:customStyle="1" w:styleId="343">
    <w:name w:val="标题5"/>
    <w:basedOn w:val="16"/>
    <w:link w:val="342"/>
    <w:qFormat/>
    <w:uiPriority w:val="0"/>
    <w:pPr>
      <w:adjustRightInd/>
      <w:spacing w:line="360" w:lineRule="auto"/>
      <w:ind w:left="2565" w:hanging="855"/>
      <w:textAlignment w:val="auto"/>
      <w:outlineLvl w:val="4"/>
    </w:pPr>
    <w:rPr>
      <w:rFonts w:eastAsia="仿宋_GB2312"/>
      <w:b/>
      <w:kern w:val="2"/>
      <w:sz w:val="24"/>
      <w:szCs w:val="21"/>
    </w:rPr>
  </w:style>
  <w:style w:type="character" w:customStyle="1" w:styleId="344">
    <w:name w:val="注释标题 字符"/>
    <w:link w:val="13"/>
    <w:qFormat/>
    <w:uiPriority w:val="0"/>
    <w:rPr>
      <w:kern w:val="2"/>
      <w:sz w:val="21"/>
    </w:rPr>
  </w:style>
  <w:style w:type="character" w:customStyle="1" w:styleId="345">
    <w:name w:val="总部分 Char"/>
    <w:link w:val="346"/>
    <w:qFormat/>
    <w:uiPriority w:val="0"/>
    <w:rPr>
      <w:rFonts w:ascii="仿宋_GB2312"/>
    </w:rPr>
  </w:style>
  <w:style w:type="paragraph" w:customStyle="1" w:styleId="346">
    <w:name w:val="总部分"/>
    <w:basedOn w:val="1"/>
    <w:link w:val="345"/>
    <w:qFormat/>
    <w:uiPriority w:val="0"/>
    <w:pPr>
      <w:ind w:left="-2" w:leftChars="-202" w:hanging="422" w:hangingChars="132"/>
      <w:jc w:val="center"/>
      <w:outlineLvl w:val="0"/>
    </w:pPr>
    <w:rPr>
      <w:rFonts w:ascii="仿宋_GB2312" w:hAnsi="Calibri"/>
      <w:kern w:val="0"/>
      <w:sz w:val="20"/>
      <w:szCs w:val="20"/>
    </w:rPr>
  </w:style>
  <w:style w:type="character" w:customStyle="1" w:styleId="347">
    <w:name w:val="Table Text Char"/>
    <w:link w:val="348"/>
    <w:qFormat/>
    <w:uiPriority w:val="0"/>
    <w:rPr>
      <w:sz w:val="24"/>
    </w:rPr>
  </w:style>
  <w:style w:type="paragraph" w:customStyle="1" w:styleId="348">
    <w:name w:val="Table Text"/>
    <w:basedOn w:val="1"/>
    <w:link w:val="347"/>
    <w:qFormat/>
    <w:uiPriority w:val="0"/>
    <w:pPr>
      <w:widowControl/>
      <w:autoSpaceDE w:val="0"/>
      <w:autoSpaceDN w:val="0"/>
      <w:adjustRightInd w:val="0"/>
      <w:spacing w:before="60" w:after="60"/>
      <w:jc w:val="left"/>
    </w:pPr>
    <w:rPr>
      <w:rFonts w:ascii="Calibri" w:hAnsi="Calibri"/>
      <w:kern w:val="0"/>
      <w:sz w:val="24"/>
      <w:szCs w:val="20"/>
    </w:rPr>
  </w:style>
  <w:style w:type="character" w:customStyle="1" w:styleId="349">
    <w:name w:val="Field Label"/>
    <w:qFormat/>
    <w:uiPriority w:val="0"/>
    <w:rPr>
      <w:rFonts w:ascii="Times New Roman" w:hAnsi="Times New Roman" w:cs="Times New Roman"/>
      <w:i/>
      <w:iCs/>
      <w:color w:val="004080"/>
      <w:sz w:val="20"/>
      <w:szCs w:val="20"/>
      <w:u w:color="000000"/>
    </w:rPr>
  </w:style>
  <w:style w:type="character" w:customStyle="1" w:styleId="350">
    <w:name w:val="nr1"/>
    <w:qFormat/>
    <w:uiPriority w:val="0"/>
    <w:rPr>
      <w:rFonts w:hint="eastAsia" w:ascii="楷体_GB2312" w:hAnsi="宋体" w:eastAsia="楷体_GB2312"/>
      <w:color w:val="000000"/>
      <w:kern w:val="2"/>
      <w:sz w:val="24"/>
      <w:szCs w:val="24"/>
      <w:lang w:val="en-US" w:eastAsia="zh-CN" w:bidi="ar-SA"/>
    </w:rPr>
  </w:style>
  <w:style w:type="character" w:customStyle="1" w:styleId="351">
    <w:name w:val="标题6 Char"/>
    <w:link w:val="352"/>
    <w:qFormat/>
    <w:uiPriority w:val="0"/>
    <w:rPr>
      <w:rFonts w:eastAsia="仿宋_GB2312"/>
      <w:b/>
      <w:kern w:val="2"/>
      <w:sz w:val="24"/>
      <w:szCs w:val="21"/>
    </w:rPr>
  </w:style>
  <w:style w:type="paragraph" w:customStyle="1" w:styleId="352">
    <w:name w:val="标题6"/>
    <w:basedOn w:val="343"/>
    <w:link w:val="351"/>
    <w:qFormat/>
    <w:uiPriority w:val="0"/>
    <w:pPr>
      <w:ind w:left="3270" w:hanging="1140"/>
      <w:outlineLvl w:val="5"/>
    </w:pPr>
  </w:style>
  <w:style w:type="character" w:customStyle="1" w:styleId="353">
    <w:name w:val="huei12b"/>
    <w:basedOn w:val="75"/>
    <w:qFormat/>
    <w:uiPriority w:val="0"/>
  </w:style>
  <w:style w:type="character" w:customStyle="1" w:styleId="354">
    <w:name w:val="图表 Char"/>
    <w:link w:val="355"/>
    <w:qFormat/>
    <w:uiPriority w:val="0"/>
    <w:rPr>
      <w:b/>
      <w:kern w:val="2"/>
      <w:sz w:val="21"/>
      <w:szCs w:val="24"/>
    </w:rPr>
  </w:style>
  <w:style w:type="paragraph" w:customStyle="1" w:styleId="355">
    <w:name w:val="图表"/>
    <w:basedOn w:val="1"/>
    <w:link w:val="354"/>
    <w:qFormat/>
    <w:uiPriority w:val="0"/>
    <w:pPr>
      <w:ind w:left="992" w:hanging="992"/>
      <w:jc w:val="center"/>
    </w:pPr>
    <w:rPr>
      <w:rFonts w:ascii="Calibri" w:hAnsi="Calibri"/>
      <w:b/>
    </w:rPr>
  </w:style>
  <w:style w:type="character" w:customStyle="1" w:styleId="356">
    <w:name w:val="5级项目 Char"/>
    <w:link w:val="357"/>
    <w:qFormat/>
    <w:uiPriority w:val="0"/>
    <w:rPr>
      <w:rFonts w:hAnsi="宋体" w:eastAsia="仿宋_GB2312"/>
      <w:b/>
      <w:kern w:val="2"/>
      <w:sz w:val="24"/>
      <w:szCs w:val="24"/>
    </w:rPr>
  </w:style>
  <w:style w:type="paragraph" w:customStyle="1" w:styleId="357">
    <w:name w:val="5级项目"/>
    <w:basedOn w:val="1"/>
    <w:link w:val="356"/>
    <w:qFormat/>
    <w:uiPriority w:val="0"/>
    <w:pPr>
      <w:numPr>
        <w:ilvl w:val="0"/>
        <w:numId w:val="14"/>
      </w:numPr>
      <w:autoSpaceDE w:val="0"/>
      <w:autoSpaceDN w:val="0"/>
      <w:adjustRightInd w:val="0"/>
      <w:ind w:firstLine="0"/>
      <w:jc w:val="left"/>
    </w:pPr>
    <w:rPr>
      <w:rFonts w:ascii="Calibri" w:hAnsi="宋体" w:eastAsia="仿宋_GB2312"/>
      <w:b/>
      <w:sz w:val="24"/>
    </w:rPr>
  </w:style>
  <w:style w:type="character" w:customStyle="1" w:styleId="358">
    <w:name w:val="图例 Char"/>
    <w:link w:val="359"/>
    <w:qFormat/>
    <w:uiPriority w:val="0"/>
    <w:rPr>
      <w:kern w:val="2"/>
      <w:sz w:val="24"/>
      <w:szCs w:val="24"/>
    </w:rPr>
  </w:style>
  <w:style w:type="paragraph" w:customStyle="1" w:styleId="359">
    <w:name w:val="图例"/>
    <w:basedOn w:val="1"/>
    <w:link w:val="358"/>
    <w:qFormat/>
    <w:uiPriority w:val="0"/>
    <w:pPr>
      <w:jc w:val="center"/>
    </w:pPr>
    <w:rPr>
      <w:rFonts w:ascii="Calibri" w:hAnsi="Calibri"/>
      <w:sz w:val="24"/>
    </w:rPr>
  </w:style>
  <w:style w:type="character" w:customStyle="1" w:styleId="360">
    <w:name w:val="注释 Char"/>
    <w:link w:val="361"/>
    <w:qFormat/>
    <w:uiPriority w:val="0"/>
    <w:rPr>
      <w:rFonts w:ascii="Arial" w:hAnsi="宋体" w:eastAsia="黑体"/>
      <w:color w:val="000000"/>
      <w:kern w:val="2"/>
      <w:sz w:val="18"/>
      <w:szCs w:val="18"/>
    </w:rPr>
  </w:style>
  <w:style w:type="paragraph" w:customStyle="1" w:styleId="361">
    <w:name w:val="注释"/>
    <w:basedOn w:val="17"/>
    <w:link w:val="360"/>
    <w:qFormat/>
    <w:uiPriority w:val="0"/>
    <w:pPr>
      <w:autoSpaceDE/>
      <w:autoSpaceDN/>
      <w:adjustRightInd/>
      <w:spacing w:line="360" w:lineRule="auto"/>
      <w:ind w:firstLine="378" w:firstLineChars="210"/>
    </w:pPr>
    <w:rPr>
      <w:rFonts w:hAnsi="宋体"/>
      <w:color w:val="000000"/>
      <w:kern w:val="2"/>
      <w:sz w:val="18"/>
      <w:szCs w:val="18"/>
    </w:rPr>
  </w:style>
  <w:style w:type="character" w:customStyle="1" w:styleId="362">
    <w:name w:val="级别1 Char"/>
    <w:link w:val="363"/>
    <w:qFormat/>
    <w:uiPriority w:val="0"/>
    <w:rPr>
      <w:b/>
      <w:kern w:val="2"/>
      <w:sz w:val="30"/>
    </w:rPr>
  </w:style>
  <w:style w:type="paragraph" w:customStyle="1" w:styleId="363">
    <w:name w:val="级别1"/>
    <w:basedOn w:val="1"/>
    <w:link w:val="362"/>
    <w:qFormat/>
    <w:uiPriority w:val="0"/>
    <w:pPr>
      <w:ind w:left="425"/>
    </w:pPr>
    <w:rPr>
      <w:rFonts w:ascii="Calibri" w:hAnsi="Calibri"/>
      <w:b/>
      <w:sz w:val="30"/>
      <w:szCs w:val="20"/>
    </w:rPr>
  </w:style>
  <w:style w:type="character" w:customStyle="1" w:styleId="364">
    <w:name w:val="级别2 Char"/>
    <w:link w:val="365"/>
    <w:qFormat/>
    <w:uiPriority w:val="0"/>
    <w:rPr>
      <w:b/>
      <w:kern w:val="2"/>
      <w:sz w:val="30"/>
    </w:rPr>
  </w:style>
  <w:style w:type="paragraph" w:customStyle="1" w:styleId="365">
    <w:name w:val="级别2"/>
    <w:basedOn w:val="363"/>
    <w:link w:val="364"/>
    <w:qFormat/>
    <w:uiPriority w:val="0"/>
    <w:pPr>
      <w:tabs>
        <w:tab w:val="left" w:pos="1320"/>
      </w:tabs>
      <w:ind w:left="1320" w:hanging="420"/>
    </w:pPr>
  </w:style>
  <w:style w:type="character" w:customStyle="1" w:styleId="366">
    <w:name w:val="常规正文 Char"/>
    <w:link w:val="367"/>
    <w:qFormat/>
    <w:uiPriority w:val="0"/>
    <w:rPr>
      <w:kern w:val="2"/>
      <w:sz w:val="24"/>
      <w:szCs w:val="24"/>
    </w:rPr>
  </w:style>
  <w:style w:type="paragraph" w:customStyle="1" w:styleId="367">
    <w:name w:val="常规正文"/>
    <w:basedOn w:val="1"/>
    <w:link w:val="366"/>
    <w:qFormat/>
    <w:uiPriority w:val="0"/>
    <w:pPr>
      <w:spacing w:line="360" w:lineRule="auto"/>
      <w:ind w:firstLine="200" w:firstLineChars="200"/>
    </w:pPr>
    <w:rPr>
      <w:rFonts w:ascii="Calibri" w:hAnsi="Calibri"/>
      <w:sz w:val="24"/>
    </w:rPr>
  </w:style>
  <w:style w:type="character" w:customStyle="1" w:styleId="368">
    <w:name w:val="圆形项目 Char"/>
    <w:link w:val="369"/>
    <w:qFormat/>
    <w:uiPriority w:val="0"/>
    <w:rPr>
      <w:rFonts w:eastAsia="仿宋_GB2312"/>
      <w:kern w:val="2"/>
      <w:sz w:val="24"/>
      <w:szCs w:val="24"/>
    </w:rPr>
  </w:style>
  <w:style w:type="paragraph" w:customStyle="1" w:styleId="369">
    <w:name w:val="圆形项目"/>
    <w:basedOn w:val="1"/>
    <w:link w:val="368"/>
    <w:qFormat/>
    <w:uiPriority w:val="0"/>
    <w:pPr>
      <w:numPr>
        <w:ilvl w:val="0"/>
        <w:numId w:val="15"/>
      </w:numPr>
      <w:spacing w:line="360" w:lineRule="auto"/>
      <w:ind w:firstLine="0"/>
    </w:pPr>
    <w:rPr>
      <w:rFonts w:ascii="Calibri" w:hAnsi="Calibri" w:eastAsia="仿宋_GB2312"/>
      <w:sz w:val="24"/>
    </w:rPr>
  </w:style>
  <w:style w:type="character" w:customStyle="1" w:styleId="370">
    <w:name w:val="插图表 Char"/>
    <w:link w:val="371"/>
    <w:qFormat/>
    <w:uiPriority w:val="0"/>
    <w:rPr>
      <w:rFonts w:eastAsia="仿宋_GB2312"/>
      <w:kern w:val="2"/>
      <w:sz w:val="24"/>
      <w:szCs w:val="24"/>
      <w:lang w:val="en-US" w:eastAsia="zh-CN"/>
    </w:rPr>
  </w:style>
  <w:style w:type="paragraph" w:customStyle="1" w:styleId="371">
    <w:name w:val="插图表"/>
    <w:basedOn w:val="1"/>
    <w:link w:val="370"/>
    <w:qFormat/>
    <w:uiPriority w:val="0"/>
    <w:pPr>
      <w:spacing w:line="360" w:lineRule="auto"/>
      <w:ind w:firstLine="200" w:firstLineChars="200"/>
      <w:jc w:val="center"/>
    </w:pPr>
    <w:rPr>
      <w:rFonts w:ascii="Calibri" w:hAnsi="Calibri" w:eastAsia="仿宋_GB2312"/>
      <w:sz w:val="24"/>
    </w:rPr>
  </w:style>
  <w:style w:type="character" w:customStyle="1" w:styleId="372">
    <w:name w:val="5级括号 Char"/>
    <w:link w:val="373"/>
    <w:qFormat/>
    <w:uiPriority w:val="0"/>
    <w:rPr>
      <w:rFonts w:ascii="华文中宋" w:hAnsi="华文中宋" w:eastAsia="华文中宋"/>
      <w:b/>
      <w:bCs/>
      <w:kern w:val="2"/>
      <w:sz w:val="24"/>
      <w:szCs w:val="24"/>
    </w:rPr>
  </w:style>
  <w:style w:type="paragraph" w:customStyle="1" w:styleId="373">
    <w:name w:val="5级括号"/>
    <w:basedOn w:val="4"/>
    <w:link w:val="372"/>
    <w:qFormat/>
    <w:uiPriority w:val="0"/>
    <w:pPr>
      <w:keepNext w:val="0"/>
      <w:numPr>
        <w:ilvl w:val="0"/>
        <w:numId w:val="16"/>
      </w:numPr>
      <w:spacing w:before="120" w:after="120" w:line="360" w:lineRule="auto"/>
      <w:outlineLvl w:val="4"/>
    </w:pPr>
    <w:rPr>
      <w:rFonts w:ascii="华文中宋" w:hAnsi="华文中宋" w:eastAsia="华文中宋"/>
      <w:sz w:val="24"/>
      <w:szCs w:val="24"/>
    </w:rPr>
  </w:style>
  <w:style w:type="character" w:customStyle="1" w:styleId="374">
    <w:name w:val="apple-converted-space"/>
    <w:basedOn w:val="75"/>
    <w:qFormat/>
    <w:uiPriority w:val="0"/>
  </w:style>
  <w:style w:type="paragraph" w:customStyle="1" w:styleId="375">
    <w:name w:val="正文下的123"/>
    <w:basedOn w:val="1"/>
    <w:next w:val="1"/>
    <w:qFormat/>
    <w:uiPriority w:val="0"/>
    <w:pPr>
      <w:spacing w:line="360" w:lineRule="auto"/>
      <w:ind w:firstLine="200" w:firstLineChars="200"/>
    </w:pPr>
    <w:rPr>
      <w:sz w:val="24"/>
    </w:rPr>
  </w:style>
  <w:style w:type="paragraph" w:customStyle="1" w:styleId="376">
    <w:name w:val="Char1"/>
    <w:basedOn w:val="1"/>
    <w:qFormat/>
    <w:uiPriority w:val="0"/>
    <w:pPr>
      <w:autoSpaceDE w:val="0"/>
      <w:autoSpaceDN w:val="0"/>
      <w:adjustRightInd w:val="0"/>
      <w:jc w:val="left"/>
    </w:pPr>
    <w:rPr>
      <w:rFonts w:ascii="仿宋_GB2312" w:eastAsia="仿宋_GB2312"/>
      <w:b/>
      <w:kern w:val="0"/>
      <w:sz w:val="32"/>
      <w:szCs w:val="32"/>
    </w:rPr>
  </w:style>
  <w:style w:type="paragraph" w:customStyle="1" w:styleId="377">
    <w:name w:val=".."/>
    <w:basedOn w:val="378"/>
    <w:next w:val="378"/>
    <w:qFormat/>
    <w:uiPriority w:val="0"/>
    <w:rPr>
      <w:rFonts w:ascii="楷体_GB2312" w:eastAsia="楷体_GB2312" w:cs="Times New Roman"/>
      <w:color w:val="auto"/>
    </w:rPr>
  </w:style>
  <w:style w:type="paragraph" w:customStyle="1" w:styleId="37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79">
    <w:name w:val="样式 标题 3H31.1.1标题 3h3sect1.2.3BOD 03rd levellevel_3PIM 3...1"/>
    <w:basedOn w:val="4"/>
    <w:qFormat/>
    <w:uiPriority w:val="0"/>
    <w:pPr>
      <w:numPr>
        <w:numId w:val="0"/>
      </w:numPr>
      <w:tabs>
        <w:tab w:val="left" w:pos="459"/>
        <w:tab w:val="left" w:pos="900"/>
      </w:tabs>
      <w:autoSpaceDE w:val="0"/>
      <w:autoSpaceDN w:val="0"/>
      <w:snapToGrid w:val="0"/>
      <w:spacing w:beforeLines="50" w:afterLines="50" w:line="360" w:lineRule="auto"/>
      <w:jc w:val="left"/>
    </w:pPr>
    <w:rPr>
      <w:rFonts w:ascii="Courier New" w:hAnsi="Courier New" w:eastAsia="黑体"/>
      <w:color w:val="000000"/>
      <w:kern w:val="0"/>
      <w:sz w:val="28"/>
    </w:rPr>
  </w:style>
  <w:style w:type="paragraph" w:customStyle="1" w:styleId="380">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81">
    <w:name w:val="五级标题"/>
    <w:basedOn w:val="6"/>
    <w:next w:val="1"/>
    <w:qFormat/>
    <w:uiPriority w:val="0"/>
    <w:pPr>
      <w:numPr>
        <w:ilvl w:val="0"/>
        <w:numId w:val="0"/>
      </w:numPr>
      <w:tabs>
        <w:tab w:val="left" w:pos="993"/>
      </w:tabs>
      <w:adjustRightInd w:val="0"/>
      <w:spacing w:beforeLines="50" w:afterLines="50" w:line="376" w:lineRule="atLeast"/>
      <w:ind w:left="1008"/>
      <w:textAlignment w:val="baseline"/>
    </w:pPr>
    <w:rPr>
      <w:rFonts w:ascii="黑体" w:hAnsi="黑体" w:eastAsia="黑体"/>
      <w:kern w:val="0"/>
      <w:sz w:val="30"/>
      <w:szCs w:val="30"/>
    </w:rPr>
  </w:style>
  <w:style w:type="paragraph" w:customStyle="1" w:styleId="382">
    <w:name w:val="Char Char 字元 字元 字元 Char Char Char Char"/>
    <w:basedOn w:val="1"/>
    <w:qFormat/>
    <w:uiPriority w:val="0"/>
    <w:pPr>
      <w:adjustRightInd w:val="0"/>
      <w:spacing w:line="360" w:lineRule="auto"/>
    </w:pPr>
    <w:rPr>
      <w:kern w:val="0"/>
      <w:sz w:val="24"/>
      <w:szCs w:val="20"/>
    </w:rPr>
  </w:style>
  <w:style w:type="paragraph" w:customStyle="1" w:styleId="383">
    <w:name w:val="xl23"/>
    <w:basedOn w:val="1"/>
    <w:qFormat/>
    <w:uiPriority w:val="0"/>
    <w:pPr>
      <w:widowControl/>
      <w:pBdr>
        <w:top w:val="single" w:color="auto" w:sz="8" w:space="0"/>
      </w:pBdr>
      <w:spacing w:before="100" w:beforeAutospacing="1" w:after="100" w:afterAutospacing="1"/>
      <w:jc w:val="center"/>
      <w:textAlignment w:val="center"/>
    </w:pPr>
    <w:rPr>
      <w:rFonts w:ascii="宋体" w:hAnsi="宋体" w:cs="宋体"/>
      <w:kern w:val="0"/>
      <w:sz w:val="20"/>
      <w:szCs w:val="20"/>
    </w:rPr>
  </w:style>
  <w:style w:type="paragraph" w:customStyle="1" w:styleId="384">
    <w:name w:val="正文5"/>
    <w:basedOn w:val="1"/>
    <w:qFormat/>
    <w:uiPriority w:val="0"/>
    <w:pPr>
      <w:spacing w:line="312" w:lineRule="atLeast"/>
      <w:ind w:left="2126"/>
    </w:pPr>
    <w:rPr>
      <w:rFonts w:eastAsia="楷体"/>
      <w:snapToGrid w:val="0"/>
      <w:kern w:val="0"/>
      <w:sz w:val="24"/>
      <w:szCs w:val="20"/>
      <w:lang w:eastAsia="en-US"/>
    </w:rPr>
  </w:style>
  <w:style w:type="paragraph" w:customStyle="1" w:styleId="385">
    <w:name w:val="列出段落1"/>
    <w:basedOn w:val="1"/>
    <w:qFormat/>
    <w:uiPriority w:val="0"/>
    <w:pPr>
      <w:ind w:firstLine="420" w:firstLineChars="200"/>
    </w:pPr>
    <w:rPr>
      <w:rFonts w:ascii="Calibri" w:hAnsi="Calibri"/>
      <w:szCs w:val="22"/>
    </w:rPr>
  </w:style>
  <w:style w:type="paragraph" w:customStyle="1" w:styleId="386">
    <w:name w:val="xl69"/>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87">
    <w:name w:val="xl33"/>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88">
    <w:name w:val="图5"/>
    <w:basedOn w:val="1"/>
    <w:qFormat/>
    <w:uiPriority w:val="0"/>
    <w:pPr>
      <w:adjustRightInd w:val="0"/>
      <w:spacing w:line="220" w:lineRule="exact"/>
      <w:jc w:val="center"/>
      <w:textAlignment w:val="baseline"/>
    </w:pPr>
    <w:rPr>
      <w:rFonts w:ascii="仿宋_GB2312" w:eastAsia="仿宋_GB2312"/>
      <w:kern w:val="0"/>
      <w:szCs w:val="20"/>
    </w:rPr>
  </w:style>
  <w:style w:type="paragraph" w:customStyle="1" w:styleId="389">
    <w:name w:val="11章四级标题"/>
    <w:basedOn w:val="6"/>
    <w:next w:val="1"/>
    <w:qFormat/>
    <w:uiPriority w:val="0"/>
    <w:pPr>
      <w:numPr>
        <w:ilvl w:val="0"/>
        <w:numId w:val="0"/>
      </w:numPr>
      <w:spacing w:line="374" w:lineRule="auto"/>
      <w:jc w:val="left"/>
    </w:pPr>
    <w:rPr>
      <w:rFonts w:eastAsia="黑体"/>
      <w:b w:val="0"/>
    </w:rPr>
  </w:style>
  <w:style w:type="paragraph" w:customStyle="1" w:styleId="390">
    <w:name w:val="Char1 Char Char Char Char Char Char Char Char Char Char Char Char1 Char Char Char Char Char1 Char Char Char Char Char Char Char Char Char1 Char"/>
    <w:basedOn w:val="1"/>
    <w:qFormat/>
    <w:uiPriority w:val="0"/>
    <w:pPr>
      <w:widowControl/>
      <w:tabs>
        <w:tab w:val="left" w:pos="525"/>
      </w:tabs>
      <w:adjustRightInd w:val="0"/>
      <w:spacing w:after="160" w:line="240" w:lineRule="exact"/>
      <w:ind w:firstLine="560" w:firstLineChars="200"/>
      <w:jc w:val="left"/>
    </w:pPr>
  </w:style>
  <w:style w:type="paragraph" w:customStyle="1" w:styleId="391">
    <w:name w:val="样式 样式 正文文本缩进 + 仿宋_GB2312 小四 首行缩进:  0 厘米 行距: 1.5 倍行距 + (中文) 仿宋_GB... Char Char"/>
    <w:basedOn w:val="1"/>
    <w:qFormat/>
    <w:uiPriority w:val="0"/>
    <w:pPr>
      <w:autoSpaceDE w:val="0"/>
      <w:autoSpaceDN w:val="0"/>
      <w:adjustRightInd w:val="0"/>
      <w:spacing w:line="360" w:lineRule="auto"/>
      <w:ind w:firstLine="480" w:firstLineChars="200"/>
      <w:jc w:val="left"/>
    </w:pPr>
    <w:rPr>
      <w:rFonts w:ascii="仿宋_GB2312" w:eastAsia="新宋体"/>
      <w:kern w:val="0"/>
      <w:sz w:val="24"/>
      <w:szCs w:val="20"/>
    </w:rPr>
  </w:style>
  <w:style w:type="paragraph" w:customStyle="1" w:styleId="392">
    <w:name w:val="1d"/>
    <w:basedOn w:val="1"/>
    <w:qFormat/>
    <w:uiPriority w:val="0"/>
    <w:pPr>
      <w:ind w:left="420" w:leftChars="200" w:firstLine="420"/>
    </w:pPr>
    <w:rPr>
      <w:rFonts w:ascii="宋体" w:hAnsi="宋体"/>
      <w:sz w:val="24"/>
    </w:rPr>
  </w:style>
  <w:style w:type="paragraph" w:customStyle="1" w:styleId="393">
    <w:name w:val="样式 标题 3Heading 3 - oldHeading 3H3l3CTBOD 03h33rd level...1"/>
    <w:basedOn w:val="4"/>
    <w:qFormat/>
    <w:uiPriority w:val="0"/>
    <w:pPr>
      <w:numPr>
        <w:numId w:val="0"/>
      </w:numPr>
      <w:tabs>
        <w:tab w:val="left" w:pos="459"/>
      </w:tabs>
      <w:spacing w:beforeLines="50" w:afterLines="50" w:line="360" w:lineRule="auto"/>
      <w:jc w:val="left"/>
    </w:pPr>
    <w:rPr>
      <w:rFonts w:ascii="Courier New" w:hAnsi="Courier New" w:eastAsia="黑体" w:cs="宋体"/>
      <w:b w:val="0"/>
      <w:color w:val="000000"/>
      <w:sz w:val="30"/>
      <w:szCs w:val="30"/>
    </w:rPr>
  </w:style>
  <w:style w:type="paragraph" w:customStyle="1" w:styleId="394">
    <w:name w:val="样式 标题 4H44th levelTitre4第三层条PIM 4h4sect 1.2.3.4Ref Headi..."/>
    <w:basedOn w:val="5"/>
    <w:next w:val="1"/>
    <w:qFormat/>
    <w:uiPriority w:val="0"/>
    <w:pPr>
      <w:keepNext/>
      <w:widowControl w:val="0"/>
      <w:tabs>
        <w:tab w:val="left" w:pos="864"/>
      </w:tabs>
      <w:autoSpaceDE/>
      <w:autoSpaceDN/>
      <w:adjustRightInd/>
      <w:snapToGrid/>
      <w:spacing w:before="120" w:after="120" w:line="360" w:lineRule="auto"/>
      <w:ind w:left="864" w:hanging="864"/>
      <w:jc w:val="both"/>
    </w:pPr>
    <w:rPr>
      <w:rFonts w:eastAsia="黑体" w:cs="宋体"/>
      <w:b w:val="0"/>
      <w:kern w:val="2"/>
      <w:sz w:val="28"/>
      <w:szCs w:val="28"/>
    </w:rPr>
  </w:style>
  <w:style w:type="paragraph" w:customStyle="1" w:styleId="395">
    <w:name w:val="前言、引言标题"/>
    <w:next w:val="1"/>
    <w:qFormat/>
    <w:uiPriority w:val="0"/>
    <w:pPr>
      <w:numPr>
        <w:ilvl w:val="0"/>
        <w:numId w:val="17"/>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96">
    <w:name w:val="Heading 2 节"/>
    <w:next w:val="1"/>
    <w:qFormat/>
    <w:uiPriority w:val="0"/>
    <w:pPr>
      <w:tabs>
        <w:tab w:val="left" w:pos="360"/>
      </w:tabs>
      <w:spacing w:beforeLines="35" w:afterLines="35" w:line="440" w:lineRule="exact"/>
      <w:jc w:val="center"/>
    </w:pPr>
    <w:rPr>
      <w:rFonts w:ascii="Times New Roman" w:hAnsi="Times New Roman" w:eastAsia="黑体" w:cs="Times New Roman"/>
      <w:b/>
      <w:bCs/>
      <w:kern w:val="2"/>
      <w:sz w:val="28"/>
      <w:szCs w:val="28"/>
      <w:lang w:val="en-US" w:eastAsia="zh-CN" w:bidi="ar-SA"/>
    </w:rPr>
  </w:style>
  <w:style w:type="paragraph" w:customStyle="1" w:styleId="397">
    <w:name w:val="Char Char Char Char Char Char Char Char Char Char Char Char Char"/>
    <w:basedOn w:val="1"/>
    <w:qFormat/>
    <w:uiPriority w:val="0"/>
    <w:rPr>
      <w:rFonts w:ascii="Tahoma" w:hAnsi="Tahoma"/>
      <w:sz w:val="24"/>
      <w:szCs w:val="20"/>
    </w:rPr>
  </w:style>
  <w:style w:type="paragraph" w:customStyle="1" w:styleId="398">
    <w:name w:val="样式 左侧:  0.85 厘米 首行缩进:  0.85 厘米"/>
    <w:basedOn w:val="1"/>
    <w:qFormat/>
    <w:uiPriority w:val="0"/>
    <w:pPr>
      <w:autoSpaceDE w:val="0"/>
      <w:autoSpaceDN w:val="0"/>
      <w:adjustRightInd w:val="0"/>
      <w:spacing w:line="360" w:lineRule="auto"/>
      <w:ind w:firstLine="482"/>
      <w:jc w:val="left"/>
    </w:pPr>
    <w:rPr>
      <w:rFonts w:cs="宋体"/>
      <w:kern w:val="0"/>
      <w:sz w:val="24"/>
      <w:szCs w:val="20"/>
    </w:rPr>
  </w:style>
  <w:style w:type="paragraph" w:customStyle="1" w:styleId="399">
    <w:name w:val="样式 题注 + 首行缩进:  2 字符2"/>
    <w:basedOn w:val="17"/>
    <w:qFormat/>
    <w:uiPriority w:val="0"/>
    <w:pPr>
      <w:keepNext/>
      <w:autoSpaceDE/>
      <w:autoSpaceDN/>
      <w:adjustRightInd/>
      <w:spacing w:before="240" w:after="240" w:line="360" w:lineRule="auto"/>
      <w:ind w:firstLine="200" w:firstLineChars="200"/>
      <w:jc w:val="both"/>
    </w:pPr>
    <w:rPr>
      <w:rFonts w:ascii="宋体" w:hAnsi="宋体" w:eastAsia="宋体" w:cs="宋体"/>
      <w:kern w:val="2"/>
      <w:sz w:val="24"/>
      <w:szCs w:val="24"/>
    </w:rPr>
  </w:style>
  <w:style w:type="paragraph" w:customStyle="1" w:styleId="400">
    <w:name w:val="样式 标题 2标题 2 Char二级标题 Char第一层条 CharTitle2 Charl2 Charheadin..."/>
    <w:basedOn w:val="2"/>
    <w:qFormat/>
    <w:uiPriority w:val="0"/>
    <w:pPr>
      <w:numPr>
        <w:numId w:val="0"/>
      </w:numPr>
      <w:tabs>
        <w:tab w:val="left" w:pos="927"/>
      </w:tabs>
      <w:spacing w:line="415" w:lineRule="auto"/>
      <w:ind w:left="360" w:right="240" w:rightChars="100"/>
    </w:pPr>
    <w:rPr>
      <w:rFonts w:ascii="黑体" w:cs="宋体"/>
      <w:szCs w:val="20"/>
    </w:rPr>
  </w:style>
  <w:style w:type="paragraph" w:customStyle="1" w:styleId="401">
    <w:name w:val="样式 最新标题3 + 段后: 0.5 行"/>
    <w:basedOn w:val="1"/>
    <w:qFormat/>
    <w:uiPriority w:val="0"/>
    <w:pPr>
      <w:spacing w:line="440" w:lineRule="exact"/>
    </w:pPr>
    <w:rPr>
      <w:sz w:val="24"/>
    </w:rPr>
  </w:style>
  <w:style w:type="paragraph" w:customStyle="1" w:styleId="402">
    <w:name w:val="xl5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03">
    <w:name w:val="图标题"/>
    <w:basedOn w:val="1"/>
    <w:next w:val="1"/>
    <w:qFormat/>
    <w:uiPriority w:val="0"/>
    <w:pPr>
      <w:tabs>
        <w:tab w:val="left" w:pos="432"/>
      </w:tabs>
      <w:spacing w:line="360" w:lineRule="atLeast"/>
      <w:jc w:val="center"/>
    </w:pPr>
    <w:rPr>
      <w:bCs/>
    </w:rPr>
  </w:style>
  <w:style w:type="paragraph" w:customStyle="1" w:styleId="404">
    <w:name w:val="xl95"/>
    <w:basedOn w:val="1"/>
    <w:qFormat/>
    <w:uiPriority w:val="0"/>
    <w:pPr>
      <w:widowControl/>
      <w:pBdr>
        <w:top w:val="single" w:color="auto" w:sz="8" w:space="0"/>
        <w:left w:val="single" w:color="auto" w:sz="8" w:space="0"/>
        <w:bottom w:val="single" w:color="auto" w:sz="8" w:space="0"/>
        <w:right w:val="single" w:color="auto" w:sz="4" w:space="0"/>
      </w:pBdr>
      <w:spacing w:before="100" w:beforeAutospacing="1" w:after="100" w:afterAutospacing="1"/>
      <w:jc w:val="center"/>
    </w:pPr>
    <w:rPr>
      <w:kern w:val="0"/>
      <w:sz w:val="24"/>
    </w:rPr>
  </w:style>
  <w:style w:type="paragraph" w:customStyle="1" w:styleId="405">
    <w:name w:val="标准"/>
    <w:basedOn w:val="1"/>
    <w:qFormat/>
    <w:uiPriority w:val="0"/>
    <w:pPr>
      <w:overflowPunct w:val="0"/>
      <w:autoSpaceDE w:val="0"/>
      <w:autoSpaceDN w:val="0"/>
      <w:adjustRightInd w:val="0"/>
      <w:spacing w:line="240" w:lineRule="atLeast"/>
      <w:textAlignment w:val="baseline"/>
    </w:pPr>
    <w:rPr>
      <w:rFonts w:eastAsia="楷体_GB2312"/>
      <w:kern w:val="0"/>
      <w:sz w:val="24"/>
      <w:szCs w:val="20"/>
    </w:rPr>
  </w:style>
  <w:style w:type="paragraph" w:customStyle="1" w:styleId="406">
    <w:name w:val="xl124"/>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07">
    <w:name w:val="Char2"/>
    <w:basedOn w:val="1"/>
    <w:qFormat/>
    <w:uiPriority w:val="0"/>
    <w:rPr>
      <w:sz w:val="24"/>
    </w:rPr>
  </w:style>
  <w:style w:type="paragraph" w:customStyle="1" w:styleId="408">
    <w:name w:val="xl9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409">
    <w:name w:val="正文文字 + 首行缩进:  2 字符"/>
    <w:basedOn w:val="1"/>
    <w:qFormat/>
    <w:uiPriority w:val="0"/>
    <w:pPr>
      <w:spacing w:line="360" w:lineRule="auto"/>
      <w:ind w:firstLine="200" w:firstLineChars="200"/>
    </w:pPr>
    <w:rPr>
      <w:rFonts w:cs="宋体"/>
      <w:sz w:val="24"/>
      <w:szCs w:val="20"/>
    </w:rPr>
  </w:style>
  <w:style w:type="paragraph" w:customStyle="1" w:styleId="410">
    <w:name w:val="xl112"/>
    <w:basedOn w:val="1"/>
    <w:qFormat/>
    <w:uiPriority w:val="0"/>
    <w:pPr>
      <w:widowControl/>
      <w:spacing w:before="100" w:beforeAutospacing="1" w:after="100" w:afterAutospacing="1"/>
      <w:jc w:val="center"/>
    </w:pPr>
    <w:rPr>
      <w:rFonts w:ascii="宋体" w:hAnsi="宋体" w:cs="宋体"/>
      <w:b/>
      <w:bCs/>
      <w:kern w:val="0"/>
      <w:sz w:val="24"/>
    </w:rPr>
  </w:style>
  <w:style w:type="paragraph" w:customStyle="1" w:styleId="411">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12">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1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14">
    <w:name w:val="Char Char Char Char"/>
    <w:basedOn w:val="20"/>
    <w:qFormat/>
    <w:uiPriority w:val="0"/>
    <w:rPr>
      <w:rFonts w:ascii="Tahoma" w:hAnsi="Tahoma"/>
      <w:sz w:val="24"/>
    </w:rPr>
  </w:style>
  <w:style w:type="paragraph" w:customStyle="1" w:styleId="415">
    <w:name w:val="小节标题"/>
    <w:basedOn w:val="5"/>
    <w:qFormat/>
    <w:uiPriority w:val="0"/>
    <w:pPr>
      <w:keepNext/>
      <w:widowControl w:val="0"/>
      <w:autoSpaceDE/>
      <w:autoSpaceDN/>
      <w:adjustRightInd/>
      <w:snapToGrid/>
      <w:spacing w:before="280" w:after="290" w:line="374" w:lineRule="auto"/>
      <w:jc w:val="both"/>
    </w:pPr>
    <w:rPr>
      <w:rFonts w:ascii="Arial" w:hAnsi="Arial" w:eastAsia="仿宋_GB2312"/>
      <w:bCs/>
      <w:kern w:val="2"/>
      <w:sz w:val="28"/>
      <w:szCs w:val="28"/>
    </w:rPr>
  </w:style>
  <w:style w:type="paragraph" w:customStyle="1" w:styleId="416">
    <w:name w:val="图表文字"/>
    <w:basedOn w:val="1"/>
    <w:qFormat/>
    <w:uiPriority w:val="0"/>
  </w:style>
  <w:style w:type="paragraph" w:customStyle="1" w:styleId="417">
    <w:name w:val="样式 标题 3H31.1.1标题 3Level 3 Headlevel_3PIM 3h3sect1.2.3 + 小..."/>
    <w:basedOn w:val="1"/>
    <w:qFormat/>
    <w:uiPriority w:val="0"/>
    <w:pPr>
      <w:numPr>
        <w:ilvl w:val="1"/>
        <w:numId w:val="18"/>
      </w:numPr>
      <w:tabs>
        <w:tab w:val="left" w:pos="1320"/>
      </w:tabs>
      <w:adjustRightInd w:val="0"/>
      <w:snapToGrid w:val="0"/>
      <w:spacing w:line="440" w:lineRule="exact"/>
      <w:ind w:firstLine="0"/>
      <w:textAlignment w:val="baseline"/>
    </w:pPr>
    <w:rPr>
      <w:rFonts w:ascii="宋体" w:hAnsi="宋体" w:cs="宋体"/>
      <w:kern w:val="0"/>
      <w:sz w:val="24"/>
      <w:szCs w:val="20"/>
    </w:rPr>
  </w:style>
  <w:style w:type="paragraph" w:customStyle="1" w:styleId="418">
    <w:name w:val="文档正文"/>
    <w:basedOn w:val="1"/>
    <w:qFormat/>
    <w:uiPriority w:val="0"/>
    <w:pPr>
      <w:adjustRightInd w:val="0"/>
      <w:spacing w:line="300" w:lineRule="auto"/>
      <w:ind w:firstLine="567"/>
      <w:textAlignment w:val="baseline"/>
    </w:pPr>
    <w:rPr>
      <w:kern w:val="0"/>
      <w:sz w:val="24"/>
      <w:szCs w:val="20"/>
    </w:rPr>
  </w:style>
  <w:style w:type="paragraph" w:customStyle="1" w:styleId="419">
    <w:name w:val="目次、标准名称标题"/>
    <w:basedOn w:val="1"/>
    <w:next w:val="1"/>
    <w:qFormat/>
    <w:uiPriority w:val="0"/>
    <w:pPr>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20">
    <w:name w:val="文本正文黑体缩进"/>
    <w:basedOn w:val="1"/>
    <w:next w:val="421"/>
    <w:qFormat/>
    <w:uiPriority w:val="0"/>
    <w:pPr>
      <w:spacing w:beforeLines="50" w:afterLines="50" w:line="360" w:lineRule="auto"/>
      <w:ind w:firstLine="200" w:firstLineChars="200"/>
    </w:pPr>
    <w:rPr>
      <w:rFonts w:ascii="Arial" w:hAnsi="Arial" w:eastAsia="黑体"/>
      <w:sz w:val="24"/>
    </w:rPr>
  </w:style>
  <w:style w:type="paragraph" w:customStyle="1" w:styleId="421">
    <w:name w:val="文本正文缩进"/>
    <w:basedOn w:val="1"/>
    <w:qFormat/>
    <w:uiPriority w:val="0"/>
    <w:pPr>
      <w:spacing w:beforeLines="50" w:afterLines="50" w:line="360" w:lineRule="auto"/>
      <w:ind w:firstLine="200" w:firstLineChars="200"/>
    </w:pPr>
    <w:rPr>
      <w:sz w:val="24"/>
      <w:szCs w:val="21"/>
    </w:rPr>
  </w:style>
  <w:style w:type="paragraph" w:customStyle="1" w:styleId="422">
    <w:name w:val="封面"/>
    <w:qFormat/>
    <w:uiPriority w:val="0"/>
    <w:pPr>
      <w:widowControl w:val="0"/>
      <w:spacing w:line="412" w:lineRule="atLeast"/>
      <w:jc w:val="both"/>
    </w:pPr>
    <w:rPr>
      <w:rFonts w:ascii="Times New Roman" w:hAnsi="Times New Roman" w:eastAsia="宋体" w:cs="Times New Roman"/>
      <w:kern w:val="2"/>
      <w:sz w:val="21"/>
      <w:lang w:val="en-US" w:eastAsia="zh-CN" w:bidi="ar-SA"/>
    </w:rPr>
  </w:style>
  <w:style w:type="paragraph" w:customStyle="1" w:styleId="423">
    <w:name w:val="xl68"/>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kern w:val="0"/>
      <w:sz w:val="24"/>
    </w:rPr>
  </w:style>
  <w:style w:type="paragraph" w:customStyle="1" w:styleId="424">
    <w:name w:val="xl30"/>
    <w:basedOn w:val="1"/>
    <w:qFormat/>
    <w:uiPriority w:val="0"/>
    <w:pPr>
      <w:widowControl/>
      <w:spacing w:before="100" w:beforeAutospacing="1" w:after="100" w:afterAutospacing="1"/>
      <w:jc w:val="right"/>
      <w:textAlignment w:val="center"/>
    </w:pPr>
    <w:rPr>
      <w:rFonts w:ascii="宋体" w:hAnsi="宋体" w:cs="宋体"/>
      <w:kern w:val="0"/>
      <w:sz w:val="20"/>
      <w:szCs w:val="20"/>
    </w:rPr>
  </w:style>
  <w:style w:type="paragraph" w:customStyle="1" w:styleId="425">
    <w:name w:val="xl7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426">
    <w:name w:val="xl102"/>
    <w:basedOn w:val="1"/>
    <w:qFormat/>
    <w:uiPriority w:val="0"/>
    <w:pPr>
      <w:widowControl/>
      <w:pBdr>
        <w:left w:val="single" w:color="auto" w:sz="4" w:space="0"/>
        <w:right w:val="single" w:color="auto" w:sz="4" w:space="0"/>
      </w:pBdr>
      <w:spacing w:before="100" w:beforeAutospacing="1" w:after="100" w:afterAutospacing="1"/>
      <w:jc w:val="left"/>
      <w:textAlignment w:val="top"/>
    </w:pPr>
    <w:rPr>
      <w:rFonts w:ascii="宋体" w:hAnsi="宋体" w:cs="宋体"/>
      <w:color w:val="000000"/>
      <w:kern w:val="0"/>
      <w:sz w:val="24"/>
    </w:rPr>
  </w:style>
  <w:style w:type="paragraph" w:customStyle="1" w:styleId="427">
    <w:name w:val="样式 样式 标题 4 + 段后: 0.5 行"/>
    <w:basedOn w:val="1"/>
    <w:qFormat/>
    <w:uiPriority w:val="0"/>
    <w:pPr>
      <w:spacing w:line="440" w:lineRule="exact"/>
    </w:pPr>
    <w:rPr>
      <w:sz w:val="24"/>
    </w:rPr>
  </w:style>
  <w:style w:type="paragraph" w:customStyle="1" w:styleId="428">
    <w:name w:val="一级项目正文"/>
    <w:basedOn w:val="1"/>
    <w:qFormat/>
    <w:uiPriority w:val="1"/>
    <w:pPr>
      <w:numPr>
        <w:ilvl w:val="0"/>
        <w:numId w:val="19"/>
      </w:numPr>
      <w:spacing w:line="360" w:lineRule="auto"/>
      <w:ind w:left="0" w:firstLine="480" w:firstLineChars="200"/>
    </w:pPr>
    <w:rPr>
      <w:b/>
      <w:sz w:val="24"/>
    </w:rPr>
  </w:style>
  <w:style w:type="paragraph" w:customStyle="1" w:styleId="429">
    <w:name w:val="Paragraph Text"/>
    <w:basedOn w:val="1"/>
    <w:qFormat/>
    <w:uiPriority w:val="0"/>
    <w:pPr>
      <w:widowControl/>
      <w:spacing w:line="320" w:lineRule="exact"/>
      <w:jc w:val="left"/>
    </w:pPr>
    <w:rPr>
      <w:rFonts w:ascii="Beijing" w:eastAsia="Times New Roman"/>
      <w:kern w:val="0"/>
      <w:sz w:val="18"/>
      <w:szCs w:val="18"/>
    </w:rPr>
  </w:style>
  <w:style w:type="paragraph" w:customStyle="1" w:styleId="430">
    <w:name w:val="居中"/>
    <w:basedOn w:val="1"/>
    <w:qFormat/>
    <w:uiPriority w:val="0"/>
    <w:pPr>
      <w:snapToGrid w:val="0"/>
      <w:spacing w:line="360" w:lineRule="auto"/>
      <w:jc w:val="center"/>
    </w:pPr>
    <w:rPr>
      <w:sz w:val="24"/>
    </w:rPr>
  </w:style>
  <w:style w:type="paragraph" w:customStyle="1" w:styleId="431">
    <w:name w:val="Char Char Char Char Char Char Char1"/>
    <w:basedOn w:val="1"/>
    <w:qFormat/>
    <w:uiPriority w:val="0"/>
    <w:pPr>
      <w:widowControl/>
      <w:snapToGrid w:val="0"/>
      <w:spacing w:after="160" w:line="360" w:lineRule="auto"/>
      <w:jc w:val="left"/>
    </w:pPr>
    <w:rPr>
      <w:kern w:val="0"/>
      <w:sz w:val="24"/>
      <w:lang w:eastAsia="en-US"/>
    </w:rPr>
  </w:style>
  <w:style w:type="paragraph" w:customStyle="1" w:styleId="432">
    <w:name w:val="Char Char Char Char Char Char Char"/>
    <w:basedOn w:val="1"/>
    <w:qFormat/>
    <w:uiPriority w:val="0"/>
    <w:rPr>
      <w:rFonts w:ascii="仿宋_GB2312" w:eastAsia="仿宋_GB2312"/>
      <w:b/>
      <w:sz w:val="32"/>
      <w:szCs w:val="32"/>
    </w:rPr>
  </w:style>
  <w:style w:type="paragraph" w:customStyle="1" w:styleId="43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kern w:val="0"/>
      <w:szCs w:val="21"/>
    </w:rPr>
  </w:style>
  <w:style w:type="paragraph" w:customStyle="1" w:styleId="434">
    <w:name w:val="xl120"/>
    <w:basedOn w:val="1"/>
    <w:qFormat/>
    <w:uiPriority w:val="0"/>
    <w:pPr>
      <w:widowControl/>
      <w:pBdr>
        <w:left w:val="single" w:color="auto" w:sz="8" w:space="0"/>
        <w:bottom w:val="single" w:color="auto" w:sz="8" w:space="0"/>
        <w:right w:val="single" w:color="auto" w:sz="4" w:space="0"/>
      </w:pBdr>
      <w:spacing w:before="100" w:beforeAutospacing="1" w:after="100" w:afterAutospacing="1"/>
      <w:jc w:val="center"/>
    </w:pPr>
    <w:rPr>
      <w:kern w:val="0"/>
      <w:sz w:val="24"/>
    </w:rPr>
  </w:style>
  <w:style w:type="paragraph" w:customStyle="1" w:styleId="435">
    <w:name w:val="Char Char Char Char1"/>
    <w:basedOn w:val="1"/>
    <w:next w:val="4"/>
    <w:qFormat/>
    <w:uiPriority w:val="0"/>
    <w:pPr>
      <w:ind w:left="1155"/>
    </w:pPr>
    <w:rPr>
      <w:rFonts w:ascii="仿宋_GB2312"/>
      <w:b/>
      <w:sz w:val="28"/>
      <w:szCs w:val="32"/>
    </w:rPr>
  </w:style>
  <w:style w:type="paragraph" w:customStyle="1" w:styleId="436">
    <w:name w:val="样式 编号1 + 楷体_GB2312 四号"/>
    <w:basedOn w:val="224"/>
    <w:qFormat/>
    <w:uiPriority w:val="0"/>
    <w:rPr>
      <w:rFonts w:ascii="楷体_GB2312" w:hAnsi="楷体_GB2312" w:eastAsia="楷体_GB2312"/>
      <w:lang w:eastAsia="en-US"/>
    </w:rPr>
  </w:style>
  <w:style w:type="paragraph" w:customStyle="1" w:styleId="437">
    <w:name w:val="表格格式"/>
    <w:basedOn w:val="1"/>
    <w:qFormat/>
    <w:uiPriority w:val="0"/>
    <w:pPr>
      <w:tabs>
        <w:tab w:val="left" w:pos="0"/>
      </w:tabs>
      <w:autoSpaceDE w:val="0"/>
      <w:autoSpaceDN w:val="0"/>
      <w:spacing w:line="300" w:lineRule="auto"/>
      <w:jc w:val="center"/>
    </w:pPr>
    <w:rPr>
      <w:rFonts w:cs="宋体"/>
      <w:color w:val="FF0000"/>
      <w:sz w:val="24"/>
      <w:szCs w:val="20"/>
    </w:rPr>
  </w:style>
  <w:style w:type="paragraph" w:customStyle="1" w:styleId="438">
    <w:name w:val="样式 题注 + 首行缩进:  2 字符"/>
    <w:basedOn w:val="17"/>
    <w:qFormat/>
    <w:uiPriority w:val="0"/>
    <w:pPr>
      <w:keepNext/>
      <w:autoSpaceDE/>
      <w:autoSpaceDN/>
      <w:adjustRightInd/>
      <w:spacing w:before="240" w:after="240" w:line="360" w:lineRule="auto"/>
      <w:ind w:firstLine="400" w:firstLineChars="200"/>
      <w:jc w:val="both"/>
    </w:pPr>
    <w:rPr>
      <w:rFonts w:ascii="宋体" w:hAnsi="宋体" w:eastAsia="宋体" w:cs="宋体"/>
      <w:kern w:val="2"/>
      <w:sz w:val="24"/>
      <w:szCs w:val="24"/>
    </w:rPr>
  </w:style>
  <w:style w:type="paragraph" w:customStyle="1" w:styleId="439">
    <w:name w:val="xl118"/>
    <w:basedOn w:val="1"/>
    <w:qFormat/>
    <w:uiPriority w:val="0"/>
    <w:pPr>
      <w:widowControl/>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jc w:val="left"/>
    </w:pPr>
    <w:rPr>
      <w:rFonts w:ascii="宋体" w:hAnsi="宋体" w:cs="宋体"/>
      <w:kern w:val="0"/>
      <w:sz w:val="24"/>
    </w:rPr>
  </w:style>
  <w:style w:type="paragraph" w:customStyle="1" w:styleId="440">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Cs w:val="21"/>
    </w:rPr>
  </w:style>
  <w:style w:type="paragraph" w:customStyle="1" w:styleId="441">
    <w:name w:val="a呼市图名"/>
    <w:qFormat/>
    <w:uiPriority w:val="0"/>
    <w:pPr>
      <w:spacing w:beforeLines="100" w:afterLines="100"/>
      <w:jc w:val="center"/>
    </w:pPr>
    <w:rPr>
      <w:rFonts w:ascii="Times New Roman" w:hAnsi="Times New Roman" w:eastAsia="黑体" w:cs="Times New Roman"/>
      <w:bCs/>
      <w:kern w:val="2"/>
      <w:sz w:val="21"/>
      <w:szCs w:val="32"/>
      <w:lang w:val="en-US" w:eastAsia="zh-CN" w:bidi="ar-SA"/>
    </w:rPr>
  </w:style>
  <w:style w:type="paragraph" w:customStyle="1" w:styleId="442">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jc w:val="center"/>
    </w:pPr>
    <w:rPr>
      <w:rFonts w:ascii="宋体" w:hAnsi="宋体" w:cs="宋体"/>
      <w:kern w:val="0"/>
      <w:sz w:val="24"/>
    </w:rPr>
  </w:style>
  <w:style w:type="paragraph" w:customStyle="1" w:styleId="443">
    <w:name w:val="Char Char Char2"/>
    <w:basedOn w:val="1"/>
    <w:qFormat/>
    <w:uiPriority w:val="0"/>
    <w:pPr>
      <w:tabs>
        <w:tab w:val="left" w:pos="0"/>
      </w:tabs>
      <w:autoSpaceDE w:val="0"/>
      <w:autoSpaceDN w:val="0"/>
      <w:adjustRightInd w:val="0"/>
      <w:jc w:val="left"/>
    </w:pPr>
    <w:rPr>
      <w:rFonts w:eastAsia="仿宋_GB2312"/>
      <w:kern w:val="0"/>
      <w:sz w:val="28"/>
      <w:szCs w:val="20"/>
    </w:rPr>
  </w:style>
  <w:style w:type="paragraph" w:customStyle="1" w:styleId="444">
    <w:name w:val="正文样式 首行缩进:  0.74 厘米"/>
    <w:basedOn w:val="1"/>
    <w:qFormat/>
    <w:uiPriority w:val="0"/>
    <w:pPr>
      <w:autoSpaceDE w:val="0"/>
      <w:autoSpaceDN w:val="0"/>
      <w:adjustRightInd w:val="0"/>
      <w:spacing w:beforeLines="50" w:line="360" w:lineRule="auto"/>
      <w:ind w:firstLine="420"/>
      <w:jc w:val="left"/>
    </w:pPr>
    <w:rPr>
      <w:rFonts w:cs="宋体"/>
      <w:kern w:val="0"/>
      <w:sz w:val="24"/>
      <w:szCs w:val="20"/>
    </w:rPr>
  </w:style>
  <w:style w:type="paragraph" w:customStyle="1" w:styleId="445">
    <w:name w:val="xl46"/>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cs="宋体"/>
      <w:kern w:val="0"/>
      <w:sz w:val="24"/>
    </w:rPr>
  </w:style>
  <w:style w:type="paragraph" w:customStyle="1" w:styleId="446">
    <w:name w:val="项目编号2"/>
    <w:basedOn w:val="1"/>
    <w:next w:val="1"/>
    <w:qFormat/>
    <w:uiPriority w:val="0"/>
    <w:pPr>
      <w:numPr>
        <w:ilvl w:val="0"/>
        <w:numId w:val="20"/>
      </w:numPr>
      <w:spacing w:line="360" w:lineRule="auto"/>
      <w:jc w:val="left"/>
    </w:pPr>
    <w:rPr>
      <w:rFonts w:ascii="宋体"/>
      <w:sz w:val="24"/>
    </w:rPr>
  </w:style>
  <w:style w:type="paragraph" w:customStyle="1" w:styleId="447">
    <w:name w:val="修订1"/>
    <w:qFormat/>
    <w:uiPriority w:val="99"/>
    <w:rPr>
      <w:rFonts w:ascii="Times New Roman" w:hAnsi="Times New Roman" w:eastAsia="宋体" w:cs="Times New Roman"/>
      <w:kern w:val="2"/>
      <w:sz w:val="21"/>
      <w:szCs w:val="24"/>
      <w:lang w:val="en-US" w:eastAsia="zh-CN" w:bidi="ar-SA"/>
    </w:rPr>
  </w:style>
  <w:style w:type="paragraph" w:customStyle="1" w:styleId="448">
    <w:name w:val="xl86"/>
    <w:basedOn w:val="1"/>
    <w:qFormat/>
    <w:uiPriority w:val="0"/>
    <w:pPr>
      <w:widowControl/>
      <w:pBdr>
        <w:top w:val="single" w:color="auto" w:sz="8" w:space="0"/>
        <w:left w:val="single" w:color="auto" w:sz="4" w:space="0"/>
        <w:bottom w:val="single" w:color="auto" w:sz="4" w:space="0"/>
        <w:right w:val="single" w:color="auto" w:sz="4" w:space="0"/>
      </w:pBdr>
      <w:shd w:val="clear" w:color="000000" w:fill="FFFF99"/>
      <w:spacing w:before="100" w:beforeAutospacing="1" w:after="100" w:afterAutospacing="1"/>
      <w:jc w:val="center"/>
    </w:pPr>
    <w:rPr>
      <w:rFonts w:ascii="宋体" w:hAnsi="宋体" w:cs="宋体"/>
      <w:color w:val="000000"/>
      <w:kern w:val="0"/>
      <w:sz w:val="24"/>
    </w:rPr>
  </w:style>
  <w:style w:type="paragraph" w:customStyle="1" w:styleId="449">
    <w:name w:val="xl10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450">
    <w:name w:val="图表内文字"/>
    <w:qFormat/>
    <w:uiPriority w:val="0"/>
    <w:pPr>
      <w:widowControl w:val="0"/>
      <w:spacing w:line="360" w:lineRule="auto"/>
      <w:jc w:val="center"/>
    </w:pPr>
    <w:rPr>
      <w:rFonts w:ascii="Times New Roman" w:hAnsi="Times New Roman" w:eastAsia="宋体" w:cs="Times New Roman"/>
      <w:kern w:val="2"/>
      <w:sz w:val="24"/>
      <w:szCs w:val="28"/>
      <w:lang w:val="en-US" w:eastAsia="zh-CN" w:bidi="ar-SA"/>
    </w:rPr>
  </w:style>
  <w:style w:type="paragraph" w:customStyle="1" w:styleId="451">
    <w:name w:val="Char1 Char Char Char"/>
    <w:basedOn w:val="1"/>
    <w:qFormat/>
    <w:uiPriority w:val="0"/>
    <w:rPr>
      <w:rFonts w:ascii="Tahoma" w:hAnsi="Tahoma"/>
      <w:sz w:val="24"/>
      <w:szCs w:val="20"/>
    </w:rPr>
  </w:style>
  <w:style w:type="paragraph" w:customStyle="1" w:styleId="452">
    <w:name w:val="xl44"/>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53">
    <w:name w:val="标书三级标题"/>
    <w:basedOn w:val="4"/>
    <w:qFormat/>
    <w:uiPriority w:val="0"/>
    <w:pPr>
      <w:widowControl/>
      <w:numPr>
        <w:ilvl w:val="0"/>
        <w:numId w:val="0"/>
      </w:numPr>
      <w:spacing w:before="120" w:after="120" w:line="415" w:lineRule="auto"/>
      <w:jc w:val="left"/>
      <w:outlineLvl w:val="3"/>
    </w:pPr>
    <w:rPr>
      <w:rFonts w:ascii="Cambria" w:hAnsi="Cambria" w:eastAsia="黑体"/>
      <w:b w:val="0"/>
      <w:kern w:val="0"/>
      <w:sz w:val="28"/>
      <w:szCs w:val="28"/>
      <w:lang w:eastAsia="en-US" w:bidi="en-US"/>
    </w:rPr>
  </w:style>
  <w:style w:type="paragraph" w:customStyle="1" w:styleId="454">
    <w:name w:val="Subject Title"/>
    <w:basedOn w:val="1"/>
    <w:qFormat/>
    <w:uiPriority w:val="0"/>
    <w:pPr>
      <w:widowControl/>
      <w:spacing w:before="60" w:after="60" w:line="280" w:lineRule="exact"/>
      <w:ind w:left="907" w:right="360"/>
    </w:pPr>
    <w:rPr>
      <w:rFonts w:ascii="Arial Narrow" w:hAnsi="Arial Narrow"/>
      <w:b/>
      <w:kern w:val="0"/>
      <w:sz w:val="32"/>
      <w:szCs w:val="20"/>
      <w:lang w:eastAsia="en-US"/>
    </w:rPr>
  </w:style>
  <w:style w:type="paragraph" w:customStyle="1" w:styleId="455">
    <w:name w:val="文字"/>
    <w:basedOn w:val="1"/>
    <w:qFormat/>
    <w:uiPriority w:val="0"/>
    <w:pPr>
      <w:tabs>
        <w:tab w:val="left" w:pos="8520"/>
      </w:tabs>
      <w:spacing w:line="312" w:lineRule="auto"/>
      <w:ind w:right="-210" w:firstLine="556"/>
    </w:pPr>
    <w:rPr>
      <w:rFonts w:ascii="楷体_GB2312" w:eastAsia="楷体_GB2312"/>
      <w:sz w:val="28"/>
      <w:szCs w:val="20"/>
    </w:rPr>
  </w:style>
  <w:style w:type="paragraph" w:customStyle="1" w:styleId="456">
    <w:name w:val="样式 题注 + 首行缩进:  2 字符1"/>
    <w:basedOn w:val="17"/>
    <w:qFormat/>
    <w:uiPriority w:val="0"/>
    <w:pPr>
      <w:keepNext/>
      <w:autoSpaceDE/>
      <w:autoSpaceDN/>
      <w:adjustRightInd/>
      <w:spacing w:before="240" w:after="240" w:line="360" w:lineRule="auto"/>
      <w:ind w:firstLine="200" w:firstLineChars="200"/>
      <w:jc w:val="both"/>
    </w:pPr>
    <w:rPr>
      <w:rFonts w:ascii="宋体" w:hAnsi="宋体" w:eastAsia="宋体" w:cs="宋体"/>
      <w:kern w:val="2"/>
      <w:sz w:val="24"/>
      <w:szCs w:val="24"/>
    </w:rPr>
  </w:style>
  <w:style w:type="paragraph" w:customStyle="1" w:styleId="457">
    <w:name w:val="正文无缩进"/>
    <w:basedOn w:val="1"/>
    <w:qFormat/>
    <w:uiPriority w:val="0"/>
    <w:pPr>
      <w:spacing w:line="440" w:lineRule="exact"/>
    </w:pPr>
    <w:rPr>
      <w:rFonts w:cs="宋体"/>
      <w:sz w:val="24"/>
      <w:szCs w:val="20"/>
    </w:rPr>
  </w:style>
  <w:style w:type="paragraph" w:customStyle="1" w:styleId="458">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59">
    <w:name w:val="xl8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460">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jc w:val="center"/>
    </w:pPr>
    <w:rPr>
      <w:rFonts w:ascii="宋体" w:hAnsi="宋体" w:cs="宋体"/>
      <w:kern w:val="0"/>
      <w:sz w:val="24"/>
    </w:rPr>
  </w:style>
  <w:style w:type="paragraph" w:customStyle="1" w:styleId="461">
    <w:name w:val="xl117"/>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462">
    <w:name w:val="xl11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463">
    <w:name w:val="列表内容"/>
    <w:basedOn w:val="1"/>
    <w:next w:val="1"/>
    <w:qFormat/>
    <w:uiPriority w:val="0"/>
    <w:pPr>
      <w:widowControl/>
      <w:numPr>
        <w:ilvl w:val="0"/>
        <w:numId w:val="21"/>
      </w:numPr>
      <w:autoSpaceDE w:val="0"/>
      <w:autoSpaceDN w:val="0"/>
      <w:adjustRightInd w:val="0"/>
      <w:ind w:left="0" w:firstLine="200"/>
      <w:jc w:val="left"/>
    </w:pPr>
    <w:rPr>
      <w:kern w:val="0"/>
      <w:sz w:val="18"/>
      <w:szCs w:val="20"/>
    </w:rPr>
  </w:style>
  <w:style w:type="paragraph" w:customStyle="1" w:styleId="464">
    <w:name w:val="Table Heading"/>
    <w:basedOn w:val="1"/>
    <w:qFormat/>
    <w:uiPriority w:val="0"/>
    <w:pPr>
      <w:topLinePunct/>
      <w:spacing w:before="80" w:after="80"/>
      <w:jc w:val="left"/>
    </w:pPr>
    <w:rPr>
      <w:rFonts w:ascii="Arial" w:hAnsi="Arial" w:eastAsia="黑体" w:cs="Arial"/>
      <w:sz w:val="18"/>
      <w:szCs w:val="21"/>
    </w:rPr>
  </w:style>
  <w:style w:type="paragraph" w:customStyle="1" w:styleId="465">
    <w:name w:val="xl54"/>
    <w:basedOn w:val="1"/>
    <w:qFormat/>
    <w:uiPriority w:val="0"/>
    <w:pPr>
      <w:widowControl/>
      <w:pBdr>
        <w:top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66">
    <w:name w:val="技术报告正文"/>
    <w:basedOn w:val="1"/>
    <w:qFormat/>
    <w:uiPriority w:val="0"/>
    <w:pPr>
      <w:autoSpaceDE w:val="0"/>
      <w:autoSpaceDN w:val="0"/>
      <w:adjustRightInd w:val="0"/>
      <w:spacing w:beforeLines="50" w:line="440" w:lineRule="exact"/>
      <w:ind w:firstLine="538" w:firstLineChars="192"/>
      <w:jc w:val="left"/>
    </w:pPr>
    <w:rPr>
      <w:rFonts w:cs="Arial"/>
      <w:bCs/>
      <w:kern w:val="0"/>
      <w:sz w:val="28"/>
      <w:szCs w:val="20"/>
    </w:rPr>
  </w:style>
  <w:style w:type="paragraph" w:customStyle="1" w:styleId="467">
    <w:name w:val="Char Char Char Char Char Char Char Char Char Char Char Char1 Char"/>
    <w:basedOn w:val="1"/>
    <w:qFormat/>
    <w:uiPriority w:val="0"/>
    <w:pPr>
      <w:snapToGrid w:val="0"/>
      <w:spacing w:line="360" w:lineRule="auto"/>
      <w:ind w:firstLine="200" w:firstLineChars="200"/>
    </w:pPr>
    <w:rPr>
      <w:rFonts w:eastAsia="仿宋_GB2312"/>
      <w:sz w:val="24"/>
    </w:rPr>
  </w:style>
  <w:style w:type="paragraph" w:customStyle="1" w:styleId="468">
    <w:name w:val="序列a)b)"/>
    <w:basedOn w:val="1"/>
    <w:qFormat/>
    <w:uiPriority w:val="0"/>
    <w:pPr>
      <w:widowControl/>
      <w:numPr>
        <w:ilvl w:val="1"/>
        <w:numId w:val="22"/>
      </w:numPr>
      <w:tabs>
        <w:tab w:val="left" w:pos="845"/>
        <w:tab w:val="clear" w:pos="840"/>
      </w:tabs>
      <w:adjustRightInd w:val="0"/>
      <w:snapToGrid w:val="0"/>
      <w:spacing w:line="300" w:lineRule="auto"/>
      <w:ind w:firstLine="0"/>
      <w:jc w:val="left"/>
      <w:textAlignment w:val="baseline"/>
    </w:pPr>
    <w:rPr>
      <w:kern w:val="0"/>
      <w:sz w:val="24"/>
      <w:szCs w:val="20"/>
    </w:rPr>
  </w:style>
  <w:style w:type="paragraph" w:customStyle="1" w:styleId="469">
    <w:name w:val="三级条标题"/>
    <w:basedOn w:val="470"/>
    <w:next w:val="1"/>
    <w:qFormat/>
    <w:uiPriority w:val="0"/>
    <w:pPr>
      <w:numPr>
        <w:ilvl w:val="4"/>
      </w:numPr>
      <w:outlineLvl w:val="4"/>
    </w:pPr>
  </w:style>
  <w:style w:type="paragraph" w:customStyle="1" w:styleId="470">
    <w:name w:val="二级条标题"/>
    <w:basedOn w:val="471"/>
    <w:next w:val="1"/>
    <w:qFormat/>
    <w:uiPriority w:val="0"/>
    <w:pPr>
      <w:numPr>
        <w:ilvl w:val="3"/>
      </w:numPr>
      <w:outlineLvl w:val="3"/>
    </w:pPr>
  </w:style>
  <w:style w:type="paragraph" w:customStyle="1" w:styleId="471">
    <w:name w:val="一级条标题"/>
    <w:next w:val="1"/>
    <w:qFormat/>
    <w:uiPriority w:val="0"/>
    <w:pPr>
      <w:numPr>
        <w:ilvl w:val="2"/>
        <w:numId w:val="17"/>
      </w:numPr>
      <w:outlineLvl w:val="2"/>
    </w:pPr>
    <w:rPr>
      <w:rFonts w:ascii="Times New Roman" w:hAnsi="Times New Roman" w:eastAsia="黑体" w:cs="Times New Roman"/>
      <w:sz w:val="21"/>
      <w:lang w:val="en-US" w:eastAsia="zh-CN" w:bidi="ar-SA"/>
    </w:rPr>
  </w:style>
  <w:style w:type="paragraph" w:customStyle="1" w:styleId="472">
    <w:name w:val="二级编号正文"/>
    <w:basedOn w:val="1"/>
    <w:qFormat/>
    <w:uiPriority w:val="1"/>
    <w:pPr>
      <w:numPr>
        <w:ilvl w:val="0"/>
        <w:numId w:val="23"/>
      </w:numPr>
      <w:spacing w:line="360" w:lineRule="auto"/>
      <w:ind w:left="0" w:firstLine="400" w:firstLineChars="400"/>
    </w:pPr>
    <w:rPr>
      <w:sz w:val="24"/>
    </w:rPr>
  </w:style>
  <w:style w:type="paragraph" w:customStyle="1" w:styleId="473">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rPr>
  </w:style>
  <w:style w:type="paragraph" w:customStyle="1" w:styleId="474">
    <w:name w:val="xl139"/>
    <w:basedOn w:val="1"/>
    <w:qFormat/>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475">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76">
    <w:name w:val="章标题"/>
    <w:next w:val="1"/>
    <w:qFormat/>
    <w:uiPriority w:val="0"/>
    <w:pPr>
      <w:numPr>
        <w:ilvl w:val="1"/>
        <w:numId w:val="17"/>
      </w:numPr>
      <w:spacing w:beforeLines="50" w:afterLines="50"/>
      <w:jc w:val="both"/>
      <w:outlineLvl w:val="1"/>
    </w:pPr>
    <w:rPr>
      <w:rFonts w:ascii="黑体" w:hAnsi="Times New Roman" w:eastAsia="黑体" w:cs="Times New Roman"/>
      <w:sz w:val="21"/>
      <w:lang w:val="en-US" w:eastAsia="zh-CN" w:bidi="ar-SA"/>
    </w:rPr>
  </w:style>
  <w:style w:type="paragraph" w:customStyle="1" w:styleId="477">
    <w:name w:val="mynormal"/>
    <w:basedOn w:val="1"/>
    <w:qFormat/>
    <w:uiPriority w:val="0"/>
    <w:pPr>
      <w:jc w:val="left"/>
    </w:pPr>
    <w:rPr>
      <w:szCs w:val="21"/>
    </w:rPr>
  </w:style>
  <w:style w:type="paragraph" w:customStyle="1" w:styleId="478">
    <w:name w:val="xl10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79">
    <w:name w:val="xl123"/>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pPr>
    <w:rPr>
      <w:kern w:val="0"/>
      <w:sz w:val="24"/>
    </w:rPr>
  </w:style>
  <w:style w:type="paragraph" w:customStyle="1" w:styleId="480">
    <w:name w:val="首航缩进"/>
    <w:basedOn w:val="1"/>
    <w:qFormat/>
    <w:uiPriority w:val="0"/>
    <w:pPr>
      <w:spacing w:line="360" w:lineRule="auto"/>
      <w:ind w:firstLine="480" w:firstLineChars="200"/>
    </w:pPr>
    <w:rPr>
      <w:color w:val="FF0000"/>
      <w:sz w:val="24"/>
    </w:rPr>
  </w:style>
  <w:style w:type="paragraph" w:customStyle="1" w:styleId="481">
    <w:name w:val="样式 标题 2h2sect 1.2二级H22nd level2Header 2l2Titre2Head 2..."/>
    <w:basedOn w:val="2"/>
    <w:qFormat/>
    <w:uiPriority w:val="0"/>
    <w:pPr>
      <w:numPr>
        <w:numId w:val="0"/>
      </w:numPr>
      <w:spacing w:before="120" w:after="120" w:line="360" w:lineRule="auto"/>
    </w:pPr>
    <w:rPr>
      <w:rFonts w:ascii="黑体" w:hAnsi="黑体" w:cs="宋体"/>
      <w:sz w:val="30"/>
      <w:szCs w:val="30"/>
    </w:rPr>
  </w:style>
  <w:style w:type="paragraph" w:customStyle="1" w:styleId="482">
    <w:name w:val="附录章标题"/>
    <w:next w:val="413"/>
    <w:qFormat/>
    <w:uiPriority w:val="0"/>
    <w:pPr>
      <w:tabs>
        <w:tab w:val="left" w:pos="840"/>
      </w:tabs>
      <w:wordWrap w:val="0"/>
      <w:overflowPunct w:val="0"/>
      <w:autoSpaceDE w:val="0"/>
      <w:spacing w:beforeLines="50" w:afterLines="50"/>
      <w:ind w:left="840" w:hanging="420"/>
      <w:jc w:val="both"/>
      <w:textAlignment w:val="baseline"/>
      <w:outlineLvl w:val="1"/>
    </w:pPr>
    <w:rPr>
      <w:rFonts w:ascii="黑体" w:hAnsi="Times New Roman" w:eastAsia="黑体" w:cs="Times New Roman"/>
      <w:kern w:val="21"/>
      <w:sz w:val="21"/>
      <w:lang w:val="en-US" w:eastAsia="zh-CN" w:bidi="ar-SA"/>
    </w:rPr>
  </w:style>
  <w:style w:type="paragraph" w:customStyle="1" w:styleId="483">
    <w:name w:val="Level4"/>
    <w:basedOn w:val="1"/>
    <w:qFormat/>
    <w:uiPriority w:val="0"/>
    <w:pPr>
      <w:widowControl/>
      <w:tabs>
        <w:tab w:val="left" w:pos="432"/>
      </w:tabs>
      <w:spacing w:line="300" w:lineRule="auto"/>
      <w:ind w:firstLine="567"/>
    </w:pPr>
    <w:rPr>
      <w:rFonts w:cs="Arial"/>
      <w:kern w:val="0"/>
      <w:sz w:val="24"/>
      <w:szCs w:val="22"/>
      <w:lang w:val="en-GB"/>
    </w:rPr>
  </w:style>
  <w:style w:type="paragraph" w:customStyle="1" w:styleId="484">
    <w:name w:val="图表名称"/>
    <w:qFormat/>
    <w:uiPriority w:val="0"/>
    <w:pPr>
      <w:spacing w:line="360" w:lineRule="auto"/>
      <w:jc w:val="center"/>
    </w:pPr>
    <w:rPr>
      <w:rFonts w:ascii="Times New Roman" w:hAnsi="Times New Roman" w:eastAsia="宋体" w:cs="Times New Roman"/>
      <w:b/>
      <w:sz w:val="24"/>
      <w:szCs w:val="24"/>
      <w:lang w:val="en-US" w:eastAsia="zh-CN" w:bidi="ar-SA"/>
    </w:rPr>
  </w:style>
  <w:style w:type="paragraph" w:customStyle="1" w:styleId="485">
    <w:name w:val="样式 编号 + 行距: 1.5 倍行距"/>
    <w:basedOn w:val="214"/>
    <w:qFormat/>
    <w:uiPriority w:val="0"/>
    <w:pPr>
      <w:tabs>
        <w:tab w:val="left" w:pos="420"/>
      </w:tabs>
      <w:snapToGrid w:val="0"/>
      <w:spacing w:before="120" w:line="360" w:lineRule="auto"/>
      <w:ind w:left="-34" w:firstLine="454" w:firstLineChars="0"/>
    </w:pPr>
    <w:rPr>
      <w:rFonts w:ascii="宋体" w:hAnsi="宋体" w:eastAsia="Times New Roman" w:cs="宋体"/>
      <w:color w:val="000000"/>
      <w:sz w:val="24"/>
      <w:szCs w:val="20"/>
      <w:lang w:eastAsia="en-US"/>
    </w:rPr>
  </w:style>
  <w:style w:type="paragraph" w:customStyle="1" w:styleId="486">
    <w:name w:val="样式4"/>
    <w:basedOn w:val="487"/>
    <w:qFormat/>
    <w:uiPriority w:val="0"/>
    <w:pPr>
      <w:tabs>
        <w:tab w:val="left" w:pos="945"/>
      </w:tabs>
      <w:ind w:left="3990" w:leftChars="100" w:right="100"/>
    </w:pPr>
    <w:rPr>
      <w:color w:val="auto"/>
      <w:sz w:val="28"/>
      <w:szCs w:val="28"/>
    </w:rPr>
  </w:style>
  <w:style w:type="paragraph" w:customStyle="1" w:styleId="487">
    <w:name w:val="标题样式3"/>
    <w:basedOn w:val="4"/>
    <w:qFormat/>
    <w:uiPriority w:val="0"/>
    <w:pPr>
      <w:numPr>
        <w:ilvl w:val="0"/>
        <w:numId w:val="0"/>
      </w:numPr>
      <w:tabs>
        <w:tab w:val="left" w:pos="945"/>
      </w:tabs>
      <w:spacing w:beforeLines="50" w:afterLines="50"/>
    </w:pPr>
    <w:rPr>
      <w:rFonts w:ascii="华文中宋" w:hAnsi="华文中宋" w:eastAsia="华文中宋"/>
      <w:b w:val="0"/>
      <w:color w:val="000000"/>
      <w:szCs w:val="30"/>
    </w:rPr>
  </w:style>
  <w:style w:type="paragraph" w:customStyle="1" w:styleId="48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89">
    <w:name w:val="标准小四"/>
    <w:basedOn w:val="1"/>
    <w:qFormat/>
    <w:uiPriority w:val="0"/>
    <w:pPr>
      <w:autoSpaceDE w:val="0"/>
      <w:autoSpaceDN w:val="0"/>
      <w:adjustRightInd w:val="0"/>
      <w:spacing w:line="360" w:lineRule="auto"/>
      <w:ind w:firstLine="480" w:firstLineChars="200"/>
      <w:jc w:val="left"/>
    </w:pPr>
    <w:rPr>
      <w:rFonts w:ascii="Arial" w:hAnsi="Arial"/>
      <w:kern w:val="0"/>
      <w:sz w:val="24"/>
      <w:szCs w:val="21"/>
    </w:rPr>
  </w:style>
  <w:style w:type="paragraph" w:customStyle="1" w:styleId="490">
    <w:name w:val="标书一级标题"/>
    <w:basedOn w:val="3"/>
    <w:qFormat/>
    <w:uiPriority w:val="0"/>
    <w:pPr>
      <w:widowControl/>
      <w:numPr>
        <w:numId w:val="24"/>
      </w:numPr>
      <w:adjustRightInd w:val="0"/>
      <w:spacing w:before="0" w:after="0" w:line="276" w:lineRule="auto"/>
      <w:jc w:val="center"/>
    </w:pPr>
    <w:rPr>
      <w:rFonts w:ascii="Arial" w:hAnsi="Arial" w:eastAsia="黑体"/>
      <w:b w:val="0"/>
      <w:smallCaps/>
      <w:color w:val="365F91"/>
      <w:kern w:val="0"/>
      <w:sz w:val="36"/>
      <w:szCs w:val="28"/>
      <w:lang w:eastAsia="en-US" w:bidi="en-US"/>
    </w:rPr>
  </w:style>
  <w:style w:type="paragraph" w:customStyle="1" w:styleId="491">
    <w:name w:val="编号列项（三级）"/>
    <w:qFormat/>
    <w:uiPriority w:val="0"/>
    <w:pPr>
      <w:numPr>
        <w:ilvl w:val="2"/>
        <w:numId w:val="25"/>
      </w:numPr>
    </w:pPr>
    <w:rPr>
      <w:rFonts w:ascii="宋体" w:hAnsi="Times New Roman" w:eastAsia="宋体" w:cs="Times New Roman"/>
      <w:sz w:val="21"/>
      <w:lang w:val="en-US" w:eastAsia="zh-CN" w:bidi="ar-SA"/>
    </w:rPr>
  </w:style>
  <w:style w:type="paragraph" w:customStyle="1" w:styleId="492">
    <w:name w:val="2级标题"/>
    <w:basedOn w:val="1"/>
    <w:qFormat/>
    <w:uiPriority w:val="0"/>
    <w:pPr>
      <w:autoSpaceDN w:val="0"/>
      <w:snapToGrid w:val="0"/>
      <w:spacing w:line="300" w:lineRule="auto"/>
    </w:pPr>
    <w:rPr>
      <w:rFonts w:ascii="宋体" w:hAnsi="宋体"/>
      <w:b/>
      <w:sz w:val="28"/>
      <w:szCs w:val="28"/>
    </w:rPr>
  </w:style>
  <w:style w:type="paragraph" w:customStyle="1" w:styleId="493">
    <w:name w:val="缺省文本"/>
    <w:basedOn w:val="1"/>
    <w:qFormat/>
    <w:uiPriority w:val="0"/>
    <w:pPr>
      <w:autoSpaceDE w:val="0"/>
      <w:autoSpaceDN w:val="0"/>
      <w:adjustRightInd w:val="0"/>
      <w:jc w:val="left"/>
    </w:pPr>
    <w:rPr>
      <w:kern w:val="0"/>
      <w:sz w:val="24"/>
    </w:rPr>
  </w:style>
  <w:style w:type="paragraph" w:customStyle="1" w:styleId="494">
    <w:name w:val="Bullet1"/>
    <w:basedOn w:val="1"/>
    <w:qFormat/>
    <w:uiPriority w:val="0"/>
    <w:pPr>
      <w:widowControl/>
      <w:numPr>
        <w:ilvl w:val="0"/>
        <w:numId w:val="26"/>
      </w:numPr>
      <w:tabs>
        <w:tab w:val="left" w:pos="-30"/>
      </w:tabs>
      <w:spacing w:line="400" w:lineRule="atLeast"/>
      <w:ind w:left="1260" w:hanging="580"/>
    </w:pPr>
    <w:rPr>
      <w:sz w:val="24"/>
      <w:szCs w:val="20"/>
    </w:rPr>
  </w:style>
  <w:style w:type="paragraph" w:customStyle="1" w:styleId="495">
    <w:name w:val="样式 标题 2 + 行距: 1.5 倍行距"/>
    <w:basedOn w:val="2"/>
    <w:qFormat/>
    <w:uiPriority w:val="0"/>
    <w:pPr>
      <w:numPr>
        <w:numId w:val="0"/>
      </w:numPr>
      <w:spacing w:before="0" w:after="0" w:line="360" w:lineRule="auto"/>
    </w:pPr>
    <w:rPr>
      <w:rFonts w:cs="宋体"/>
      <w:sz w:val="28"/>
      <w:szCs w:val="20"/>
    </w:rPr>
  </w:style>
  <w:style w:type="paragraph" w:customStyle="1" w:styleId="496">
    <w:name w:val="Char Char1 Char Char Char Char Char Char Char Char Char Char Char Char Char Char"/>
    <w:basedOn w:val="1"/>
    <w:qFormat/>
    <w:uiPriority w:val="0"/>
    <w:pPr>
      <w:widowControl/>
      <w:autoSpaceDE w:val="0"/>
      <w:autoSpaceDN w:val="0"/>
      <w:adjustRightInd w:val="0"/>
      <w:spacing w:after="160" w:line="240" w:lineRule="exact"/>
      <w:jc w:val="left"/>
    </w:pPr>
    <w:rPr>
      <w:kern w:val="0"/>
      <w:sz w:val="20"/>
      <w:szCs w:val="20"/>
    </w:rPr>
  </w:style>
  <w:style w:type="paragraph" w:customStyle="1" w:styleId="497">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98">
    <w:name w:val="Heading 1 章"/>
    <w:next w:val="1"/>
    <w:qFormat/>
    <w:uiPriority w:val="0"/>
    <w:pPr>
      <w:numPr>
        <w:ilvl w:val="0"/>
        <w:numId w:val="27"/>
      </w:numPr>
      <w:tabs>
        <w:tab w:val="left" w:pos="1134"/>
        <w:tab w:val="clear" w:pos="1144"/>
      </w:tabs>
      <w:spacing w:beforeLines="100" w:afterLines="100" w:line="440" w:lineRule="exact"/>
      <w:jc w:val="center"/>
    </w:pPr>
    <w:rPr>
      <w:rFonts w:ascii="黑体" w:hAnsi="黑体" w:eastAsia="黑体" w:cs="宋体"/>
      <w:b/>
      <w:bCs/>
      <w:kern w:val="44"/>
      <w:sz w:val="32"/>
      <w:lang w:val="en-US" w:eastAsia="zh-CN" w:bidi="ar-SA"/>
    </w:rPr>
  </w:style>
  <w:style w:type="paragraph" w:customStyle="1" w:styleId="499">
    <w:name w:val="样式3"/>
    <w:basedOn w:val="365"/>
    <w:qFormat/>
    <w:uiPriority w:val="0"/>
    <w:pPr>
      <w:tabs>
        <w:tab w:val="left" w:pos="1620"/>
        <w:tab w:val="left" w:pos="1740"/>
      </w:tabs>
      <w:ind w:left="1740"/>
    </w:pPr>
    <w:rPr>
      <w:sz w:val="24"/>
      <w:szCs w:val="24"/>
    </w:rPr>
  </w:style>
  <w:style w:type="paragraph" w:customStyle="1" w:styleId="500">
    <w:name w:val="xl100"/>
    <w:basedOn w:val="1"/>
    <w:qFormat/>
    <w:uiPriority w:val="0"/>
    <w:pPr>
      <w:widowControl/>
      <w:pBdr>
        <w:top w:val="single" w:color="auto" w:sz="8" w:space="0"/>
        <w:left w:val="single" w:color="auto" w:sz="4" w:space="0"/>
        <w:bottom w:val="single" w:color="auto" w:sz="8" w:space="0"/>
        <w:right w:val="single" w:color="auto" w:sz="4" w:space="0"/>
      </w:pBdr>
      <w:spacing w:before="100" w:beforeAutospacing="1" w:after="100" w:afterAutospacing="1"/>
      <w:jc w:val="left"/>
      <w:textAlignment w:val="top"/>
    </w:pPr>
    <w:rPr>
      <w:rFonts w:ascii="宋体" w:hAnsi="宋体" w:cs="宋体"/>
      <w:color w:val="000000"/>
      <w:kern w:val="0"/>
      <w:sz w:val="24"/>
    </w:rPr>
  </w:style>
  <w:style w:type="paragraph" w:customStyle="1" w:styleId="501">
    <w:name w:val="xl5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02">
    <w:name w:val="正文-宋体四号"/>
    <w:basedOn w:val="1"/>
    <w:qFormat/>
    <w:uiPriority w:val="0"/>
    <w:pPr>
      <w:spacing w:line="360" w:lineRule="auto"/>
      <w:ind w:firstLine="560" w:firstLineChars="200"/>
    </w:pPr>
    <w:rPr>
      <w:rFonts w:cs="宋体"/>
      <w:sz w:val="28"/>
      <w:szCs w:val="20"/>
    </w:rPr>
  </w:style>
  <w:style w:type="paragraph" w:customStyle="1" w:styleId="503">
    <w:name w:val="NICMAN Body Text"/>
    <w:basedOn w:val="1"/>
    <w:next w:val="26"/>
    <w:qFormat/>
    <w:uiPriority w:val="0"/>
    <w:pPr>
      <w:autoSpaceDE w:val="0"/>
      <w:autoSpaceDN w:val="0"/>
      <w:adjustRightInd w:val="0"/>
      <w:spacing w:after="120"/>
      <w:jc w:val="left"/>
    </w:pPr>
    <w:rPr>
      <w:kern w:val="0"/>
      <w:sz w:val="20"/>
      <w:szCs w:val="20"/>
    </w:rPr>
  </w:style>
  <w:style w:type="paragraph" w:customStyle="1" w:styleId="504">
    <w:name w:val="样式 样式 标题 4H4 + 行距: 多倍行距 1.25 字行 + 行距: 1.5 倍行距"/>
    <w:basedOn w:val="1"/>
    <w:qFormat/>
    <w:uiPriority w:val="0"/>
    <w:pPr>
      <w:numPr>
        <w:ilvl w:val="3"/>
        <w:numId w:val="1"/>
      </w:numPr>
    </w:pPr>
  </w:style>
  <w:style w:type="paragraph" w:customStyle="1" w:styleId="505">
    <w:name w:val="排列"/>
    <w:basedOn w:val="1"/>
    <w:qFormat/>
    <w:uiPriority w:val="0"/>
    <w:pPr>
      <w:widowControl/>
      <w:numPr>
        <w:ilvl w:val="0"/>
        <w:numId w:val="28"/>
      </w:numPr>
      <w:tabs>
        <w:tab w:val="clear" w:pos="1620"/>
      </w:tabs>
      <w:autoSpaceDE w:val="0"/>
      <w:autoSpaceDN w:val="0"/>
      <w:adjustRightInd w:val="0"/>
      <w:spacing w:line="360" w:lineRule="auto"/>
      <w:ind w:left="0" w:firstLine="0"/>
      <w:jc w:val="left"/>
    </w:pPr>
    <w:rPr>
      <w:rFonts w:ascii="宋体" w:hAnsi="宋体"/>
      <w:kern w:val="0"/>
      <w:sz w:val="20"/>
      <w:szCs w:val="20"/>
      <w:lang w:val="zh-CN"/>
    </w:rPr>
  </w:style>
  <w:style w:type="paragraph" w:customStyle="1" w:styleId="506">
    <w:name w:val="正文（缩进） Char Char Char"/>
    <w:basedOn w:val="1"/>
    <w:qFormat/>
    <w:uiPriority w:val="0"/>
    <w:pPr>
      <w:spacing w:beforeLines="50" w:afterLines="50" w:line="360" w:lineRule="auto"/>
      <w:ind w:firstLine="480" w:firstLineChars="200"/>
    </w:pPr>
    <w:rPr>
      <w:sz w:val="24"/>
    </w:rPr>
  </w:style>
  <w:style w:type="paragraph" w:customStyle="1" w:styleId="507">
    <w:name w:val="Char1 Char Char Char1"/>
    <w:basedOn w:val="1"/>
    <w:qFormat/>
    <w:uiPriority w:val="0"/>
    <w:rPr>
      <w:rFonts w:ascii="Tahoma" w:hAnsi="Tahoma"/>
      <w:sz w:val="24"/>
      <w:szCs w:val="20"/>
    </w:rPr>
  </w:style>
  <w:style w:type="paragraph" w:customStyle="1" w:styleId="508">
    <w:name w:val="xl129"/>
    <w:basedOn w:val="1"/>
    <w:qFormat/>
    <w:uiPriority w:val="0"/>
    <w:pPr>
      <w:widowControl/>
      <w:pBdr>
        <w:top w:val="single" w:color="auto" w:sz="8" w:space="0"/>
        <w:left w:val="single" w:color="auto" w:sz="4" w:space="0"/>
        <w:bottom w:val="single" w:color="auto" w:sz="4" w:space="0"/>
        <w:right w:val="single" w:color="auto" w:sz="4" w:space="0"/>
      </w:pBdr>
      <w:shd w:val="clear" w:color="000000" w:fill="FFCC00"/>
      <w:spacing w:before="100" w:beforeAutospacing="1" w:after="100" w:afterAutospacing="1"/>
      <w:jc w:val="left"/>
    </w:pPr>
    <w:rPr>
      <w:rFonts w:ascii="宋体" w:hAnsi="宋体" w:cs="宋体"/>
      <w:kern w:val="0"/>
      <w:sz w:val="24"/>
    </w:rPr>
  </w:style>
  <w:style w:type="paragraph" w:customStyle="1" w:styleId="509">
    <w:name w:val="样式 样式 标题 3小标题章标题1Bold Headbhlevel_3PIM 3H3Level 3 Head第二层条... + ..."/>
    <w:basedOn w:val="510"/>
    <w:qFormat/>
    <w:uiPriority w:val="0"/>
    <w:pPr>
      <w:ind w:left="567"/>
    </w:pPr>
  </w:style>
  <w:style w:type="paragraph" w:customStyle="1" w:styleId="510">
    <w:name w:val="样式 标题 3小标题章标题1Bold Headbhlevel_3PIM 3H3Level 3 Head第二层条..."/>
    <w:basedOn w:val="4"/>
    <w:qFormat/>
    <w:uiPriority w:val="0"/>
    <w:pPr>
      <w:numPr>
        <w:numId w:val="0"/>
      </w:numPr>
      <w:spacing w:line="360" w:lineRule="auto"/>
      <w:ind w:right="100" w:rightChars="100"/>
    </w:pPr>
    <w:rPr>
      <w:rFonts w:ascii="Courier New" w:hAnsi="Courier New" w:eastAsia="华文中宋" w:cs="宋体"/>
      <w:color w:val="000000"/>
      <w:sz w:val="30"/>
      <w:szCs w:val="20"/>
    </w:rPr>
  </w:style>
  <w:style w:type="paragraph" w:customStyle="1" w:styleId="511">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12">
    <w:name w:val="font9"/>
    <w:basedOn w:val="1"/>
    <w:qFormat/>
    <w:uiPriority w:val="0"/>
    <w:pPr>
      <w:widowControl/>
      <w:spacing w:before="100" w:beforeAutospacing="1" w:after="100" w:afterAutospacing="1"/>
      <w:jc w:val="left"/>
    </w:pPr>
    <w:rPr>
      <w:color w:val="FF0000"/>
      <w:kern w:val="0"/>
      <w:szCs w:val="21"/>
    </w:rPr>
  </w:style>
  <w:style w:type="paragraph" w:customStyle="1" w:styleId="513">
    <w:name w:val="xl91"/>
    <w:basedOn w:val="1"/>
    <w:qFormat/>
    <w:uiPriority w:val="0"/>
    <w:pPr>
      <w:widowControl/>
      <w:pBdr>
        <w:left w:val="single" w:color="auto" w:sz="4" w:space="0"/>
        <w:bottom w:val="single" w:color="auto" w:sz="4" w:space="0"/>
        <w:right w:val="single" w:color="auto" w:sz="4" w:space="0"/>
      </w:pBdr>
      <w:shd w:val="clear" w:color="000000" w:fill="FFFF99"/>
      <w:spacing w:before="100" w:beforeAutospacing="1" w:after="100" w:afterAutospacing="1"/>
      <w:jc w:val="center"/>
    </w:pPr>
    <w:rPr>
      <w:rFonts w:ascii="宋体" w:hAnsi="宋体" w:cs="宋体"/>
      <w:color w:val="000000"/>
      <w:kern w:val="0"/>
      <w:sz w:val="24"/>
    </w:rPr>
  </w:style>
  <w:style w:type="paragraph" w:customStyle="1" w:styleId="514">
    <w:name w:val="样式 题注 + 居中 首行缩进:  2 字符"/>
    <w:basedOn w:val="17"/>
    <w:qFormat/>
    <w:uiPriority w:val="0"/>
    <w:pPr>
      <w:keepNext/>
      <w:autoSpaceDE/>
      <w:autoSpaceDN/>
      <w:adjustRightInd/>
      <w:spacing w:before="240" w:after="240" w:line="360" w:lineRule="auto"/>
      <w:ind w:firstLine="400" w:firstLineChars="200"/>
      <w:jc w:val="center"/>
    </w:pPr>
    <w:rPr>
      <w:rFonts w:ascii="宋体" w:hAnsi="宋体" w:eastAsia="宋体" w:cs="宋体"/>
      <w:kern w:val="2"/>
      <w:sz w:val="24"/>
      <w:szCs w:val="24"/>
    </w:rPr>
  </w:style>
  <w:style w:type="paragraph" w:customStyle="1" w:styleId="515">
    <w:name w:val="xl4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16">
    <w:name w:val="xl56"/>
    <w:basedOn w:val="1"/>
    <w:qFormat/>
    <w:uiPriority w:val="0"/>
    <w:pPr>
      <w:widowControl/>
      <w:pBdr>
        <w:lef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17">
    <w:name w:val="xl121"/>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18">
    <w:name w:val="CM9"/>
    <w:basedOn w:val="1"/>
    <w:next w:val="1"/>
    <w:qFormat/>
    <w:uiPriority w:val="0"/>
    <w:pPr>
      <w:autoSpaceDE w:val="0"/>
      <w:autoSpaceDN w:val="0"/>
      <w:adjustRightInd w:val="0"/>
      <w:spacing w:line="468" w:lineRule="atLeast"/>
      <w:jc w:val="left"/>
    </w:pPr>
    <w:rPr>
      <w:rFonts w:ascii="宋体"/>
      <w:kern w:val="0"/>
      <w:sz w:val="24"/>
    </w:rPr>
  </w:style>
  <w:style w:type="paragraph" w:customStyle="1" w:styleId="519">
    <w:name w:val="xl70"/>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20">
    <w:name w:val="样式 正文文本"/>
    <w:basedOn w:val="1"/>
    <w:qFormat/>
    <w:uiPriority w:val="0"/>
    <w:pPr>
      <w:adjustRightInd w:val="0"/>
      <w:snapToGrid w:val="0"/>
      <w:spacing w:line="400" w:lineRule="exact"/>
      <w:ind w:firstLine="200" w:firstLineChars="200"/>
    </w:pPr>
    <w:rPr>
      <w:rFonts w:ascii="Arial" w:hAnsi="Arial" w:cs="宋体"/>
      <w:color w:val="000000"/>
      <w:szCs w:val="20"/>
    </w:rPr>
  </w:style>
  <w:style w:type="paragraph" w:customStyle="1" w:styleId="521">
    <w:name w:val="xl65"/>
    <w:basedOn w:val="1"/>
    <w:qFormat/>
    <w:uiPriority w:val="0"/>
    <w:pPr>
      <w:widowControl/>
      <w:spacing w:before="100" w:beforeAutospacing="1" w:after="100" w:afterAutospacing="1"/>
      <w:jc w:val="left"/>
    </w:pPr>
    <w:rPr>
      <w:rFonts w:ascii="宋体" w:hAnsi="宋体" w:cs="宋体"/>
      <w:kern w:val="0"/>
      <w:sz w:val="24"/>
    </w:rPr>
  </w:style>
  <w:style w:type="paragraph" w:customStyle="1" w:styleId="522">
    <w:name w:val="正文文字表格居中"/>
    <w:basedOn w:val="1"/>
    <w:next w:val="63"/>
    <w:qFormat/>
    <w:uiPriority w:val="0"/>
    <w:pPr>
      <w:autoSpaceDE w:val="0"/>
      <w:autoSpaceDN w:val="0"/>
      <w:adjustRightInd w:val="0"/>
      <w:snapToGrid w:val="0"/>
      <w:spacing w:line="360" w:lineRule="auto"/>
      <w:jc w:val="left"/>
    </w:pPr>
    <w:rPr>
      <w:rFonts w:ascii="宋体"/>
      <w:b/>
      <w:kern w:val="0"/>
      <w:sz w:val="24"/>
      <w:szCs w:val="20"/>
    </w:rPr>
  </w:style>
  <w:style w:type="paragraph" w:customStyle="1" w:styleId="523">
    <w:name w:val="Char Char1 Char"/>
    <w:basedOn w:val="1"/>
    <w:qFormat/>
    <w:uiPriority w:val="0"/>
    <w:pPr>
      <w:widowControl/>
      <w:autoSpaceDE w:val="0"/>
      <w:autoSpaceDN w:val="0"/>
      <w:adjustRightInd w:val="0"/>
      <w:snapToGrid w:val="0"/>
      <w:spacing w:before="120" w:after="160" w:line="360" w:lineRule="auto"/>
      <w:ind w:right="-360"/>
      <w:jc w:val="left"/>
    </w:pPr>
    <w:rPr>
      <w:rFonts w:ascii="Arial" w:hAnsi="Arial"/>
      <w:kern w:val="0"/>
      <w:sz w:val="24"/>
      <w:szCs w:val="20"/>
      <w:lang w:eastAsia="en-US"/>
    </w:rPr>
  </w:style>
  <w:style w:type="paragraph" w:customStyle="1" w:styleId="524">
    <w:name w:val="图表目录1"/>
    <w:basedOn w:val="37"/>
    <w:qFormat/>
    <w:uiPriority w:val="0"/>
    <w:pPr>
      <w:spacing w:after="120"/>
      <w:ind w:firstLine="0" w:firstLineChars="0"/>
      <w:jc w:val="center"/>
    </w:pPr>
    <w:rPr>
      <w:rFonts w:ascii="楷体"/>
      <w:sz w:val="28"/>
      <w:szCs w:val="20"/>
    </w:rPr>
  </w:style>
  <w:style w:type="paragraph" w:customStyle="1" w:styleId="525">
    <w:name w:val="xl64"/>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26">
    <w:name w:val="xl8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527">
    <w:name w:val="Char211"/>
    <w:basedOn w:val="1"/>
    <w:qFormat/>
    <w:uiPriority w:val="0"/>
    <w:pPr>
      <w:autoSpaceDE w:val="0"/>
      <w:autoSpaceDN w:val="0"/>
      <w:adjustRightInd w:val="0"/>
      <w:jc w:val="left"/>
    </w:pPr>
    <w:rPr>
      <w:rFonts w:ascii="仿宋_GB2312" w:eastAsia="仿宋_GB2312"/>
      <w:b/>
      <w:kern w:val="0"/>
      <w:sz w:val="32"/>
      <w:szCs w:val="32"/>
    </w:rPr>
  </w:style>
  <w:style w:type="paragraph" w:customStyle="1" w:styleId="528">
    <w:name w:val="xl74"/>
    <w:basedOn w:val="1"/>
    <w:qFormat/>
    <w:uiPriority w:val="0"/>
    <w:pPr>
      <w:widowControl/>
      <w:pBdr>
        <w:left w:val="single" w:color="auto" w:sz="8" w:space="0"/>
        <w:right w:val="single" w:color="auto" w:sz="4" w:space="0"/>
      </w:pBdr>
      <w:spacing w:before="100" w:beforeAutospacing="1" w:after="100" w:afterAutospacing="1"/>
      <w:jc w:val="center"/>
    </w:pPr>
    <w:rPr>
      <w:kern w:val="0"/>
      <w:sz w:val="24"/>
    </w:rPr>
  </w:style>
  <w:style w:type="paragraph" w:customStyle="1" w:styleId="529">
    <w:name w:val="xl99"/>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530">
    <w:name w:val="xl96"/>
    <w:basedOn w:val="1"/>
    <w:qFormat/>
    <w:uiPriority w:val="0"/>
    <w:pPr>
      <w:widowControl/>
      <w:pBdr>
        <w:top w:val="single" w:color="auto" w:sz="8"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 w:val="24"/>
    </w:rPr>
  </w:style>
  <w:style w:type="paragraph" w:customStyle="1" w:styleId="531">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532">
    <w:name w:val="Level2"/>
    <w:basedOn w:val="1"/>
    <w:next w:val="2"/>
    <w:qFormat/>
    <w:uiPriority w:val="0"/>
    <w:pPr>
      <w:keepNext/>
      <w:widowControl/>
      <w:spacing w:before="40" w:after="40" w:line="300" w:lineRule="auto"/>
      <w:ind w:firstLine="567"/>
    </w:pPr>
    <w:rPr>
      <w:rFonts w:ascii="Arial" w:hAnsi="Arial" w:cs="Arial"/>
      <w:i/>
      <w:iCs/>
      <w:color w:val="000080"/>
      <w:kern w:val="0"/>
      <w:sz w:val="24"/>
      <w:szCs w:val="22"/>
      <w:lang w:val="en-GB"/>
    </w:rPr>
  </w:style>
  <w:style w:type="paragraph" w:customStyle="1" w:styleId="533">
    <w:name w:val="样式 标题 3H31.1.1标题 3h3sect1.2.3BOD 03rd levellevel_3PIM 3...3"/>
    <w:basedOn w:val="4"/>
    <w:qFormat/>
    <w:uiPriority w:val="0"/>
    <w:pPr>
      <w:numPr>
        <w:numId w:val="0"/>
      </w:numPr>
      <w:tabs>
        <w:tab w:val="left" w:pos="459"/>
        <w:tab w:val="left" w:pos="900"/>
      </w:tabs>
      <w:autoSpaceDE w:val="0"/>
      <w:autoSpaceDN w:val="0"/>
      <w:snapToGrid w:val="0"/>
      <w:spacing w:beforeLines="50" w:afterLines="50" w:line="360" w:lineRule="auto"/>
      <w:jc w:val="left"/>
    </w:pPr>
    <w:rPr>
      <w:rFonts w:ascii="Courier New" w:hAnsi="Courier New" w:eastAsia="黑体"/>
      <w:color w:val="000000"/>
      <w:kern w:val="0"/>
      <w:sz w:val="28"/>
    </w:rPr>
  </w:style>
  <w:style w:type="paragraph" w:customStyle="1" w:styleId="534">
    <w:name w:val="xl98"/>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535">
    <w:name w:val="Bulleting First Indent 1"/>
    <w:basedOn w:val="27"/>
    <w:qFormat/>
    <w:uiPriority w:val="0"/>
    <w:pPr>
      <w:numPr>
        <w:ilvl w:val="0"/>
        <w:numId w:val="29"/>
      </w:numPr>
      <w:tabs>
        <w:tab w:val="left" w:pos="420"/>
      </w:tabs>
      <w:autoSpaceDE/>
      <w:autoSpaceDN/>
      <w:adjustRightInd/>
      <w:spacing w:before="20" w:after="20" w:line="300" w:lineRule="auto"/>
      <w:ind w:hanging="397" w:firstLineChars="0"/>
      <w:jc w:val="both"/>
    </w:pPr>
    <w:rPr>
      <w:rFonts w:ascii="Tahoma" w:hAnsi="Tahoma"/>
      <w:szCs w:val="21"/>
    </w:rPr>
  </w:style>
  <w:style w:type="paragraph" w:customStyle="1" w:styleId="536">
    <w:name w:val="xl10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537">
    <w:name w:val="xl114"/>
    <w:basedOn w:val="1"/>
    <w:qFormat/>
    <w:uiPriority w:val="0"/>
    <w:pPr>
      <w:widowControl/>
      <w:pBdr>
        <w:bottom w:val="single" w:color="auto" w:sz="8" w:space="0"/>
      </w:pBdr>
      <w:spacing w:before="100" w:beforeAutospacing="1" w:after="100" w:afterAutospacing="1"/>
      <w:jc w:val="center"/>
    </w:pPr>
    <w:rPr>
      <w:rFonts w:ascii="宋体" w:hAnsi="宋体" w:cs="宋体"/>
      <w:kern w:val="0"/>
      <w:sz w:val="24"/>
    </w:rPr>
  </w:style>
  <w:style w:type="paragraph" w:customStyle="1" w:styleId="538">
    <w:name w:val="此正文"/>
    <w:basedOn w:val="1"/>
    <w:qFormat/>
    <w:uiPriority w:val="0"/>
    <w:pPr>
      <w:autoSpaceDE w:val="0"/>
      <w:autoSpaceDN w:val="0"/>
      <w:adjustRightInd w:val="0"/>
      <w:spacing w:line="360" w:lineRule="auto"/>
      <w:ind w:firstLine="200" w:firstLineChars="200"/>
      <w:jc w:val="left"/>
    </w:pPr>
    <w:rPr>
      <w:kern w:val="0"/>
      <w:sz w:val="24"/>
      <w:szCs w:val="20"/>
    </w:rPr>
  </w:style>
  <w:style w:type="paragraph" w:customStyle="1" w:styleId="539">
    <w:name w:val="xl88"/>
    <w:basedOn w:val="1"/>
    <w:qFormat/>
    <w:uiPriority w:val="0"/>
    <w:pPr>
      <w:widowControl/>
      <w:pBdr>
        <w:top w:val="single" w:color="auto" w:sz="8"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540">
    <w:name w:val="xl138"/>
    <w:basedOn w:val="1"/>
    <w:qFormat/>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jc w:val="left"/>
    </w:pPr>
    <w:rPr>
      <w:rFonts w:ascii="宋体" w:hAnsi="宋体" w:cs="宋体"/>
      <w:kern w:val="0"/>
      <w:sz w:val="24"/>
    </w:rPr>
  </w:style>
  <w:style w:type="paragraph" w:customStyle="1" w:styleId="541">
    <w:name w:val="部分1"/>
    <w:basedOn w:val="1"/>
    <w:qFormat/>
    <w:uiPriority w:val="0"/>
    <w:pPr>
      <w:keepNext/>
      <w:pageBreakBefore/>
      <w:tabs>
        <w:tab w:val="left" w:pos="720"/>
      </w:tabs>
      <w:autoSpaceDE w:val="0"/>
      <w:autoSpaceDN w:val="0"/>
      <w:adjustRightInd w:val="0"/>
      <w:spacing w:line="360" w:lineRule="auto"/>
      <w:jc w:val="center"/>
      <w:outlineLvl w:val="0"/>
    </w:pPr>
    <w:rPr>
      <w:rFonts w:eastAsia="黑体"/>
      <w:b/>
      <w:kern w:val="44"/>
      <w:sz w:val="36"/>
      <w:szCs w:val="20"/>
    </w:rPr>
  </w:style>
  <w:style w:type="paragraph" w:customStyle="1" w:styleId="542">
    <w:name w:val="样式 编号1 + 首行缩进:  0 字符"/>
    <w:basedOn w:val="1"/>
    <w:qFormat/>
    <w:uiPriority w:val="0"/>
    <w:pPr>
      <w:snapToGrid w:val="0"/>
      <w:spacing w:line="360" w:lineRule="auto"/>
    </w:pPr>
    <w:rPr>
      <w:rFonts w:cs="宋体"/>
      <w:sz w:val="24"/>
      <w:szCs w:val="20"/>
    </w:rPr>
  </w:style>
  <w:style w:type="paragraph" w:customStyle="1" w:styleId="543">
    <w:name w:val="Char5 Char Char1 Char"/>
    <w:basedOn w:val="1"/>
    <w:qFormat/>
    <w:uiPriority w:val="0"/>
    <w:rPr>
      <w:rFonts w:ascii="Tahoma" w:hAnsi="Tahoma"/>
      <w:sz w:val="24"/>
      <w:szCs w:val="20"/>
    </w:rPr>
  </w:style>
  <w:style w:type="paragraph" w:customStyle="1" w:styleId="544">
    <w:name w:val="!标题6 Ctrl+6"/>
    <w:basedOn w:val="1"/>
    <w:next w:val="171"/>
    <w:qFormat/>
    <w:uiPriority w:val="0"/>
    <w:pPr>
      <w:numPr>
        <w:ilvl w:val="5"/>
        <w:numId w:val="22"/>
      </w:numPr>
      <w:tabs>
        <w:tab w:val="left" w:pos="4286"/>
      </w:tabs>
      <w:adjustRightInd w:val="0"/>
      <w:snapToGrid w:val="0"/>
      <w:spacing w:beforeLines="50" w:afterLines="50" w:line="360" w:lineRule="auto"/>
      <w:ind w:left="0" w:firstLine="0"/>
      <w:jc w:val="left"/>
      <w:outlineLvl w:val="5"/>
    </w:pPr>
    <w:rPr>
      <w:rFonts w:ascii="宋体" w:hAnsi="宋体"/>
      <w:b/>
      <w:sz w:val="24"/>
      <w:szCs w:val="20"/>
    </w:rPr>
  </w:style>
  <w:style w:type="paragraph" w:customStyle="1" w:styleId="545">
    <w:name w:val="xl80"/>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546">
    <w:name w:val="xl63"/>
    <w:basedOn w:val="1"/>
    <w:qFormat/>
    <w:uiPriority w:val="0"/>
    <w:pPr>
      <w:widowControl/>
      <w:pBdr>
        <w:top w:val="single" w:color="auto" w:sz="8" w:space="0"/>
        <w:lef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47">
    <w:name w:val="xl57"/>
    <w:basedOn w:val="1"/>
    <w:qFormat/>
    <w:uiPriority w:val="0"/>
    <w:pPr>
      <w:widowControl/>
      <w:spacing w:before="100" w:beforeAutospacing="1" w:after="100" w:afterAutospacing="1"/>
      <w:jc w:val="center"/>
      <w:textAlignment w:val="center"/>
    </w:pPr>
    <w:rPr>
      <w:rFonts w:ascii="宋体" w:hAnsi="宋体" w:cs="宋体"/>
      <w:kern w:val="0"/>
      <w:sz w:val="20"/>
      <w:szCs w:val="20"/>
    </w:rPr>
  </w:style>
  <w:style w:type="paragraph" w:customStyle="1" w:styleId="548">
    <w:name w:val="xl136"/>
    <w:basedOn w:val="1"/>
    <w:qFormat/>
    <w:uiPriority w:val="0"/>
    <w:pPr>
      <w:widowControl/>
      <w:pBdr>
        <w:top w:val="single" w:color="auto" w:sz="8" w:space="0"/>
        <w:left w:val="single" w:color="auto" w:sz="4" w:space="0"/>
        <w:right w:val="single" w:color="auto" w:sz="4" w:space="0"/>
      </w:pBdr>
      <w:shd w:val="clear" w:color="000000" w:fill="FFCC00"/>
      <w:spacing w:before="100" w:beforeAutospacing="1" w:after="100" w:afterAutospacing="1"/>
      <w:jc w:val="left"/>
    </w:pPr>
    <w:rPr>
      <w:rFonts w:ascii="宋体" w:hAnsi="宋体" w:cs="宋体"/>
      <w:kern w:val="0"/>
      <w:sz w:val="24"/>
    </w:rPr>
  </w:style>
  <w:style w:type="paragraph" w:customStyle="1" w:styleId="549">
    <w:name w:val="正5"/>
    <w:basedOn w:val="1"/>
    <w:next w:val="27"/>
    <w:qFormat/>
    <w:uiPriority w:val="0"/>
    <w:pPr>
      <w:spacing w:line="460" w:lineRule="exact"/>
      <w:jc w:val="center"/>
    </w:pPr>
    <w:rPr>
      <w:rFonts w:ascii="仿宋_GB2312" w:eastAsia="仿宋_GB2312"/>
      <w:sz w:val="24"/>
      <w:szCs w:val="20"/>
    </w:rPr>
  </w:style>
  <w:style w:type="paragraph" w:customStyle="1" w:styleId="550">
    <w:name w:val="正文2"/>
    <w:basedOn w:val="1"/>
    <w:qFormat/>
    <w:uiPriority w:val="0"/>
    <w:pPr>
      <w:autoSpaceDE w:val="0"/>
      <w:autoSpaceDN w:val="0"/>
      <w:adjustRightInd w:val="0"/>
      <w:spacing w:before="156" w:line="360" w:lineRule="auto"/>
      <w:ind w:firstLine="510" w:firstLineChars="200"/>
      <w:jc w:val="left"/>
    </w:pPr>
    <w:rPr>
      <w:kern w:val="0"/>
      <w:sz w:val="24"/>
      <w:szCs w:val="20"/>
    </w:rPr>
  </w:style>
  <w:style w:type="paragraph" w:customStyle="1" w:styleId="551">
    <w:name w:val="xl8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552">
    <w:name w:val="样式 样式 样式 标题 3小标题章标题1Bold Headbhlevel_3PIM 3H3Level 3 Head第二层条......"/>
    <w:basedOn w:val="509"/>
    <w:qFormat/>
    <w:uiPriority w:val="0"/>
    <w:pPr>
      <w:ind w:left="-333"/>
    </w:pPr>
  </w:style>
  <w:style w:type="paragraph" w:customStyle="1" w:styleId="553">
    <w:name w:val="点序列"/>
    <w:basedOn w:val="1"/>
    <w:qFormat/>
    <w:uiPriority w:val="0"/>
    <w:pPr>
      <w:tabs>
        <w:tab w:val="left" w:pos="360"/>
        <w:tab w:val="left" w:pos="907"/>
      </w:tabs>
      <w:adjustRightInd w:val="0"/>
      <w:spacing w:before="60" w:after="60" w:line="300" w:lineRule="auto"/>
      <w:ind w:left="360"/>
      <w:textAlignment w:val="baseline"/>
    </w:pPr>
    <w:rPr>
      <w:rFonts w:eastAsia="仿宋_GB2312"/>
      <w:kern w:val="0"/>
      <w:sz w:val="24"/>
      <w:szCs w:val="20"/>
    </w:rPr>
  </w:style>
  <w:style w:type="paragraph" w:customStyle="1" w:styleId="554">
    <w:name w:val="图片格式"/>
    <w:basedOn w:val="1"/>
    <w:qFormat/>
    <w:uiPriority w:val="1"/>
    <w:pPr>
      <w:keepNext/>
      <w:ind w:firstLine="200" w:firstLineChars="200"/>
      <w:jc w:val="center"/>
    </w:pPr>
  </w:style>
  <w:style w:type="paragraph" w:customStyle="1" w:styleId="555">
    <w:name w:val="a呼市表名"/>
    <w:qFormat/>
    <w:uiPriority w:val="0"/>
    <w:pPr>
      <w:spacing w:beforeLines="100" w:afterLines="100"/>
      <w:jc w:val="center"/>
    </w:pPr>
    <w:rPr>
      <w:rFonts w:ascii="Times New Roman" w:hAnsi="Times New Roman" w:eastAsia="黑体" w:cs="Times New Roman"/>
      <w:bCs/>
      <w:kern w:val="2"/>
      <w:sz w:val="21"/>
      <w:szCs w:val="32"/>
      <w:lang w:val="en-US" w:eastAsia="zh-CN" w:bidi="ar-SA"/>
    </w:rPr>
  </w:style>
  <w:style w:type="paragraph" w:customStyle="1" w:styleId="556">
    <w:name w:val="图题"/>
    <w:basedOn w:val="1"/>
    <w:next w:val="1"/>
    <w:qFormat/>
    <w:uiPriority w:val="0"/>
    <w:pPr>
      <w:widowControl/>
      <w:tabs>
        <w:tab w:val="left" w:pos="0"/>
      </w:tabs>
      <w:autoSpaceDN w:val="0"/>
      <w:spacing w:line="300" w:lineRule="auto"/>
      <w:jc w:val="center"/>
    </w:pPr>
    <w:rPr>
      <w:rFonts w:ascii="仿宋_GB2312" w:eastAsia="仿宋_GB2312"/>
      <w:kern w:val="0"/>
      <w:sz w:val="24"/>
    </w:rPr>
  </w:style>
  <w:style w:type="paragraph" w:customStyle="1" w:styleId="557">
    <w:name w:val="Char Char Char Char Char Char Char11"/>
    <w:basedOn w:val="1"/>
    <w:qFormat/>
    <w:uiPriority w:val="0"/>
    <w:rPr>
      <w:rFonts w:ascii="仿宋_GB2312" w:eastAsia="仿宋_GB2312"/>
      <w:b/>
      <w:sz w:val="32"/>
      <w:szCs w:val="32"/>
    </w:rPr>
  </w:style>
  <w:style w:type="paragraph" w:customStyle="1" w:styleId="558">
    <w:name w:val="正文（首行缩进）"/>
    <w:basedOn w:val="28"/>
    <w:qFormat/>
    <w:uiPriority w:val="0"/>
    <w:pPr>
      <w:widowControl/>
      <w:overflowPunct w:val="0"/>
      <w:autoSpaceDE w:val="0"/>
      <w:autoSpaceDN w:val="0"/>
      <w:adjustRightInd w:val="0"/>
      <w:spacing w:beforeLines="50" w:line="400" w:lineRule="exact"/>
      <w:ind w:left="200" w:leftChars="200" w:firstLine="200" w:firstLineChars="200"/>
      <w:jc w:val="left"/>
      <w:textAlignment w:val="baseline"/>
    </w:pPr>
    <w:rPr>
      <w:spacing w:val="10"/>
      <w:kern w:val="0"/>
      <w:sz w:val="24"/>
      <w:szCs w:val="20"/>
    </w:rPr>
  </w:style>
  <w:style w:type="paragraph" w:customStyle="1" w:styleId="559">
    <w:name w:val="样式 正文缩进表正文正文非缩进特点ALT+Z段1四号水上软件缩进正文编号正文对齐正文不缩进特点 Char...1"/>
    <w:basedOn w:val="16"/>
    <w:qFormat/>
    <w:uiPriority w:val="0"/>
    <w:pPr>
      <w:adjustRightInd/>
      <w:spacing w:before="156" w:after="156" w:line="360" w:lineRule="auto"/>
      <w:ind w:left="1446" w:firstLine="200" w:firstLineChars="200"/>
      <w:textAlignment w:val="auto"/>
    </w:pPr>
    <w:rPr>
      <w:rFonts w:cs="宋体"/>
      <w:kern w:val="2"/>
      <w:sz w:val="24"/>
    </w:rPr>
  </w:style>
  <w:style w:type="paragraph" w:customStyle="1" w:styleId="560">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61">
    <w:name w:val="14"/>
    <w:basedOn w:val="1"/>
    <w:qFormat/>
    <w:uiPriority w:val="0"/>
    <w:pPr>
      <w:snapToGrid w:val="0"/>
      <w:spacing w:beforeLines="30" w:line="288" w:lineRule="auto"/>
      <w:ind w:left="852" w:leftChars="355" w:firstLine="420" w:firstLineChars="175"/>
    </w:pPr>
    <w:rPr>
      <w:rFonts w:ascii="新宋体" w:hAnsi="新宋体"/>
      <w:sz w:val="24"/>
      <w:szCs w:val="20"/>
    </w:rPr>
  </w:style>
  <w:style w:type="paragraph" w:customStyle="1" w:styleId="562">
    <w:name w:val="xl92"/>
    <w:basedOn w:val="1"/>
    <w:qFormat/>
    <w:uiPriority w:val="0"/>
    <w:pPr>
      <w:widowControl/>
      <w:pBdr>
        <w:top w:val="single" w:color="auto" w:sz="4" w:space="0"/>
        <w:left w:val="single" w:color="auto" w:sz="4" w:space="0"/>
        <w:right w:val="single" w:color="auto" w:sz="4" w:space="0"/>
      </w:pBdr>
      <w:shd w:val="clear" w:color="000000" w:fill="FFFF99"/>
      <w:spacing w:before="100" w:beforeAutospacing="1" w:after="100" w:afterAutospacing="1"/>
      <w:jc w:val="center"/>
    </w:pPr>
    <w:rPr>
      <w:rFonts w:ascii="宋体" w:hAnsi="宋体" w:cs="宋体"/>
      <w:color w:val="000000"/>
      <w:kern w:val="0"/>
      <w:sz w:val="24"/>
    </w:rPr>
  </w:style>
  <w:style w:type="paragraph" w:customStyle="1" w:styleId="563">
    <w:name w:val="Char21"/>
    <w:basedOn w:val="1"/>
    <w:qFormat/>
    <w:uiPriority w:val="0"/>
    <w:pPr>
      <w:tabs>
        <w:tab w:val="left" w:pos="4267"/>
      </w:tabs>
      <w:ind w:left="4267" w:hanging="907"/>
    </w:pPr>
    <w:rPr>
      <w:rFonts w:ascii="Tahoma" w:hAnsi="Tahoma"/>
      <w:sz w:val="24"/>
      <w:szCs w:val="20"/>
    </w:rPr>
  </w:style>
  <w:style w:type="paragraph" w:customStyle="1" w:styleId="564">
    <w:name w:val="xl58"/>
    <w:basedOn w:val="1"/>
    <w:qFormat/>
    <w:uiPriority w:val="0"/>
    <w:pPr>
      <w:widowControl/>
      <w:pBdr>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65">
    <w:name w:val="xl25"/>
    <w:basedOn w:val="1"/>
    <w:qFormat/>
    <w:uiPriority w:val="0"/>
    <w:pPr>
      <w:widowControl/>
      <w:autoSpaceDE w:val="0"/>
      <w:autoSpaceDN w:val="0"/>
      <w:adjustRightInd w:val="0"/>
      <w:spacing w:before="100" w:beforeAutospacing="1" w:after="100" w:afterAutospacing="1"/>
      <w:jc w:val="center"/>
      <w:textAlignment w:val="center"/>
    </w:pPr>
    <w:rPr>
      <w:rFonts w:hint="eastAsia" w:ascii="楷体_GB2312" w:hAnsi="宋体" w:eastAsia="楷体_GB2312"/>
      <w:kern w:val="0"/>
      <w:sz w:val="24"/>
      <w:szCs w:val="20"/>
    </w:rPr>
  </w:style>
  <w:style w:type="paragraph" w:customStyle="1" w:styleId="566">
    <w:name w:val="样式 标题 1 + 行距: 1.5 倍行距"/>
    <w:basedOn w:val="3"/>
    <w:qFormat/>
    <w:uiPriority w:val="0"/>
    <w:pPr>
      <w:numPr>
        <w:numId w:val="30"/>
      </w:numPr>
      <w:tabs>
        <w:tab w:val="left" w:pos="1260"/>
      </w:tabs>
      <w:spacing w:before="120" w:after="120" w:line="360" w:lineRule="auto"/>
      <w:ind w:left="229"/>
    </w:pPr>
    <w:rPr>
      <w:rFonts w:cs="宋体"/>
      <w:sz w:val="32"/>
      <w:szCs w:val="20"/>
    </w:rPr>
  </w:style>
  <w:style w:type="paragraph" w:customStyle="1" w:styleId="567">
    <w:name w:val="样式 首行缩进:  2 字符2"/>
    <w:basedOn w:val="61"/>
    <w:qFormat/>
    <w:uiPriority w:val="0"/>
    <w:pPr>
      <w:spacing w:line="360" w:lineRule="auto"/>
      <w:ind w:left="200" w:firstLine="420" w:firstLineChars="200"/>
    </w:pPr>
    <w:rPr>
      <w:rFonts w:cs="宋体"/>
      <w:sz w:val="24"/>
    </w:rPr>
  </w:style>
  <w:style w:type="paragraph" w:customStyle="1" w:styleId="568">
    <w:name w:val="标题 31"/>
    <w:qFormat/>
    <w:uiPriority w:val="0"/>
    <w:pPr>
      <w:widowControl w:val="0"/>
      <w:autoSpaceDE w:val="0"/>
      <w:autoSpaceDN w:val="0"/>
      <w:adjustRightInd w:val="0"/>
      <w:spacing w:before="240" w:after="60"/>
      <w:outlineLvl w:val="2"/>
    </w:pPr>
    <w:rPr>
      <w:rFonts w:ascii="Arial" w:hAnsi="Arial" w:eastAsia="宋体" w:cs="Arial"/>
      <w:b/>
      <w:bCs/>
      <w:color w:val="004080"/>
      <w:sz w:val="26"/>
      <w:szCs w:val="26"/>
      <w:lang w:val="en-US" w:eastAsia="zh-CN" w:bidi="ar-SA"/>
    </w:rPr>
  </w:style>
  <w:style w:type="paragraph" w:customStyle="1" w:styleId="569">
    <w:name w:val="xl12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FF0000"/>
      <w:kern w:val="0"/>
      <w:sz w:val="24"/>
    </w:rPr>
  </w:style>
  <w:style w:type="paragraph" w:customStyle="1" w:styleId="570">
    <w:name w:val="xl55"/>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71">
    <w:name w:val="最新标题2"/>
    <w:basedOn w:val="1"/>
    <w:qFormat/>
    <w:uiPriority w:val="0"/>
    <w:pPr>
      <w:spacing w:line="440" w:lineRule="exact"/>
    </w:pPr>
    <w:rPr>
      <w:sz w:val="24"/>
    </w:rPr>
  </w:style>
  <w:style w:type="paragraph" w:customStyle="1" w:styleId="572">
    <w:name w:val="样式 标题 3Heading 3 - oldHeading 3H3l3CTBOD 03h33rd level..."/>
    <w:basedOn w:val="4"/>
    <w:qFormat/>
    <w:uiPriority w:val="0"/>
    <w:pPr>
      <w:numPr>
        <w:numId w:val="0"/>
      </w:numPr>
      <w:tabs>
        <w:tab w:val="left" w:pos="4500"/>
      </w:tabs>
      <w:spacing w:beforeLines="50" w:afterLines="50" w:line="360" w:lineRule="auto"/>
      <w:ind w:left="2907" w:hanging="567"/>
      <w:jc w:val="left"/>
    </w:pPr>
    <w:rPr>
      <w:rFonts w:ascii="Courier New" w:hAnsi="Courier New" w:eastAsia="黑体" w:cs="宋体"/>
      <w:color w:val="000000"/>
      <w:sz w:val="28"/>
      <w:szCs w:val="28"/>
    </w:rPr>
  </w:style>
  <w:style w:type="paragraph" w:customStyle="1" w:styleId="573">
    <w:name w:val="Figure"/>
    <w:basedOn w:val="1"/>
    <w:next w:val="1"/>
    <w:qFormat/>
    <w:uiPriority w:val="0"/>
    <w:pPr>
      <w:keepNext/>
      <w:topLinePunct/>
      <w:spacing w:before="160" w:after="160"/>
      <w:ind w:left="1134"/>
      <w:jc w:val="center"/>
    </w:pPr>
    <w:rPr>
      <w:rFonts w:ascii="Arial" w:hAnsi="Arial" w:cs="Arial"/>
      <w:szCs w:val="21"/>
    </w:rPr>
  </w:style>
  <w:style w:type="paragraph" w:customStyle="1" w:styleId="574">
    <w:name w:val="Char Char111"/>
    <w:basedOn w:val="1"/>
    <w:qFormat/>
    <w:uiPriority w:val="0"/>
    <w:rPr>
      <w:rFonts w:ascii="仿宋_GB2312" w:eastAsia="仿宋_GB2312"/>
      <w:b/>
      <w:sz w:val="32"/>
      <w:szCs w:val="32"/>
    </w:rPr>
  </w:style>
  <w:style w:type="paragraph" w:customStyle="1" w:styleId="575">
    <w:name w:val="Char3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76">
    <w:name w:val="!标题5 Ctrl+5"/>
    <w:basedOn w:val="1"/>
    <w:next w:val="171"/>
    <w:qFormat/>
    <w:uiPriority w:val="0"/>
    <w:pPr>
      <w:numPr>
        <w:ilvl w:val="4"/>
        <w:numId w:val="22"/>
      </w:numPr>
      <w:tabs>
        <w:tab w:val="left" w:pos="3501"/>
      </w:tabs>
      <w:adjustRightInd w:val="0"/>
      <w:snapToGrid w:val="0"/>
      <w:spacing w:beforeLines="50" w:afterLines="50" w:line="360" w:lineRule="auto"/>
      <w:ind w:left="0" w:firstLine="0"/>
      <w:jc w:val="left"/>
      <w:outlineLvl w:val="4"/>
    </w:pPr>
    <w:rPr>
      <w:rFonts w:ascii="宋体" w:hAnsi="宋体"/>
      <w:b/>
      <w:sz w:val="24"/>
      <w:szCs w:val="28"/>
      <w:lang w:val="zh-CN"/>
    </w:rPr>
  </w:style>
  <w:style w:type="paragraph" w:customStyle="1" w:styleId="577">
    <w:name w:val="xl119"/>
    <w:basedOn w:val="1"/>
    <w:qFormat/>
    <w:uiPriority w:val="0"/>
    <w:pPr>
      <w:widowControl/>
      <w:pBdr>
        <w:top w:val="single" w:color="auto" w:sz="8" w:space="0"/>
        <w:left w:val="single" w:color="auto" w:sz="8" w:space="0"/>
        <w:right w:val="single" w:color="auto" w:sz="4" w:space="0"/>
      </w:pBdr>
      <w:spacing w:before="100" w:beforeAutospacing="1" w:after="100" w:afterAutospacing="1"/>
      <w:jc w:val="center"/>
    </w:pPr>
    <w:rPr>
      <w:kern w:val="0"/>
      <w:sz w:val="24"/>
    </w:rPr>
  </w:style>
  <w:style w:type="paragraph" w:customStyle="1" w:styleId="578">
    <w:name w:val="Table Contents"/>
    <w:basedOn w:val="1"/>
    <w:qFormat/>
    <w:uiPriority w:val="0"/>
    <w:pPr>
      <w:suppressAutoHyphens/>
      <w:autoSpaceDE w:val="0"/>
      <w:autoSpaceDN w:val="0"/>
      <w:adjustRightInd w:val="0"/>
      <w:spacing w:after="120"/>
      <w:jc w:val="left"/>
    </w:pPr>
    <w:rPr>
      <w:rFonts w:ascii="Helvetica" w:hAnsi="Helvetica"/>
      <w:kern w:val="1"/>
      <w:sz w:val="20"/>
      <w:szCs w:val="20"/>
    </w:rPr>
  </w:style>
  <w:style w:type="paragraph" w:customStyle="1" w:styleId="579">
    <w:name w:val="xl49"/>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80">
    <w:name w:val="xl53"/>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81">
    <w:name w:val="xl116"/>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582">
    <w:name w:val="Char2 Char Char Char"/>
    <w:basedOn w:val="67"/>
    <w:qFormat/>
    <w:uiPriority w:val="0"/>
    <w:pPr>
      <w:tabs>
        <w:tab w:val="left" w:pos="900"/>
      </w:tabs>
      <w:autoSpaceDE/>
      <w:autoSpaceDN/>
      <w:adjustRightInd/>
      <w:spacing w:before="0" w:after="0"/>
      <w:outlineLvl w:val="9"/>
    </w:pPr>
    <w:rPr>
      <w:rFonts w:ascii="Tahoma" w:hAnsi="Tahoma" w:eastAsia="仿宋_GB2312" w:cs="Century"/>
      <w:kern w:val="2"/>
      <w:sz w:val="24"/>
      <w:szCs w:val="20"/>
    </w:rPr>
  </w:style>
  <w:style w:type="paragraph" w:customStyle="1" w:styleId="583">
    <w:name w:val="表格正文"/>
    <w:basedOn w:val="1"/>
    <w:qFormat/>
    <w:uiPriority w:val="0"/>
    <w:pPr>
      <w:spacing w:line="360" w:lineRule="auto"/>
      <w:ind w:firstLine="200" w:firstLineChars="200"/>
      <w:jc w:val="center"/>
    </w:pPr>
    <w:rPr>
      <w:rFonts w:eastAsia="仿宋_GB2312"/>
      <w:sz w:val="24"/>
    </w:rPr>
  </w:style>
  <w:style w:type="paragraph" w:customStyle="1" w:styleId="584">
    <w:name w:val="项目段落"/>
    <w:basedOn w:val="1"/>
    <w:qFormat/>
    <w:uiPriority w:val="0"/>
    <w:pPr>
      <w:tabs>
        <w:tab w:val="left" w:pos="360"/>
      </w:tabs>
      <w:adjustRightInd w:val="0"/>
      <w:snapToGrid w:val="0"/>
      <w:spacing w:line="360" w:lineRule="auto"/>
      <w:ind w:left="360" w:hanging="360"/>
      <w:jc w:val="left"/>
    </w:pPr>
    <w:rPr>
      <w:sz w:val="24"/>
    </w:rPr>
  </w:style>
  <w:style w:type="paragraph" w:customStyle="1" w:styleId="585">
    <w:name w:val="xl42"/>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86">
    <w:name w:val="xl11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 w:val="24"/>
    </w:rPr>
  </w:style>
  <w:style w:type="paragraph" w:customStyle="1" w:styleId="587">
    <w:name w:val="Style First line:  2 ch"/>
    <w:basedOn w:val="1"/>
    <w:qFormat/>
    <w:uiPriority w:val="0"/>
    <w:pPr>
      <w:spacing w:line="440" w:lineRule="exact"/>
      <w:ind w:firstLine="200" w:firstLineChars="200"/>
    </w:pPr>
    <w:rPr>
      <w:sz w:val="24"/>
    </w:rPr>
  </w:style>
  <w:style w:type="paragraph" w:customStyle="1" w:styleId="588">
    <w:name w:val="xl5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89">
    <w:name w:val="正文（标题三）"/>
    <w:basedOn w:val="1"/>
    <w:qFormat/>
    <w:uiPriority w:val="0"/>
    <w:pPr>
      <w:spacing w:line="360" w:lineRule="auto"/>
      <w:ind w:firstLine="200" w:firstLineChars="200"/>
    </w:pPr>
    <w:rPr>
      <w:sz w:val="24"/>
    </w:rPr>
  </w:style>
  <w:style w:type="paragraph" w:customStyle="1" w:styleId="590">
    <w:name w:val="font8"/>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591">
    <w:name w:val="表格文字（大）"/>
    <w:basedOn w:val="1"/>
    <w:qFormat/>
    <w:uiPriority w:val="0"/>
    <w:pPr>
      <w:autoSpaceDE w:val="0"/>
      <w:autoSpaceDN w:val="0"/>
      <w:adjustRightInd w:val="0"/>
      <w:spacing w:before="20" w:after="20"/>
      <w:jc w:val="left"/>
    </w:pPr>
    <w:rPr>
      <w:rFonts w:ascii="Century Gothic" w:hAnsi="Century Gothic" w:cs="Century Gothic"/>
      <w:kern w:val="0"/>
      <w:sz w:val="24"/>
      <w:szCs w:val="20"/>
    </w:rPr>
  </w:style>
  <w:style w:type="paragraph" w:customStyle="1" w:styleId="592">
    <w:name w:val="xl125"/>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kern w:val="0"/>
      <w:sz w:val="24"/>
    </w:rPr>
  </w:style>
  <w:style w:type="paragraph" w:customStyle="1" w:styleId="593">
    <w:name w:val="Char Char Char Char Char Char Char Char Char Char"/>
    <w:basedOn w:val="1"/>
    <w:qFormat/>
    <w:uiPriority w:val="0"/>
    <w:pPr>
      <w:autoSpaceDE w:val="0"/>
      <w:autoSpaceDN w:val="0"/>
      <w:adjustRightInd w:val="0"/>
      <w:jc w:val="left"/>
    </w:pPr>
    <w:rPr>
      <w:rFonts w:ascii="仿宋_GB2312" w:eastAsia="仿宋_GB2312"/>
      <w:b/>
      <w:kern w:val="0"/>
      <w:sz w:val="32"/>
      <w:szCs w:val="32"/>
    </w:rPr>
  </w:style>
  <w:style w:type="paragraph" w:customStyle="1" w:styleId="594">
    <w:name w:val="Style Heading 3H31.1.1标题 3Level 3 Headlevel_3PIM 3h3sect1.2...."/>
    <w:basedOn w:val="4"/>
    <w:qFormat/>
    <w:uiPriority w:val="0"/>
    <w:pPr>
      <w:numPr>
        <w:numId w:val="0"/>
      </w:numPr>
      <w:tabs>
        <w:tab w:val="left" w:pos="1571"/>
      </w:tabs>
      <w:spacing w:beforeLines="50" w:afterLines="50" w:line="360" w:lineRule="auto"/>
      <w:ind w:left="1571" w:hanging="720"/>
      <w:jc w:val="center"/>
    </w:pPr>
    <w:rPr>
      <w:rFonts w:ascii="宋体" w:hAnsi="Courier New" w:eastAsia="黑体"/>
      <w:color w:val="000000"/>
      <w:kern w:val="21"/>
      <w:sz w:val="28"/>
      <w:szCs w:val="20"/>
    </w:rPr>
  </w:style>
  <w:style w:type="paragraph" w:customStyle="1" w:styleId="595">
    <w:name w:val="公文正文"/>
    <w:qFormat/>
    <w:uiPriority w:val="0"/>
    <w:pPr>
      <w:ind w:firstLine="200" w:firstLineChars="200"/>
    </w:pPr>
    <w:rPr>
      <w:rFonts w:ascii="仿宋_GB2312" w:hAnsi="宋体" w:eastAsia="仿宋_GB2312" w:cs="Times New Roman"/>
      <w:kern w:val="28"/>
      <w:sz w:val="28"/>
      <w:szCs w:val="24"/>
      <w:lang w:val="en-US" w:eastAsia="zh-CN" w:bidi="ar-SA"/>
    </w:rPr>
  </w:style>
  <w:style w:type="paragraph" w:customStyle="1" w:styleId="596">
    <w:name w:val="封面标准号2"/>
    <w:basedOn w:val="1"/>
    <w:qFormat/>
    <w:uiPriority w:val="0"/>
    <w:pPr>
      <w:framePr w:w="9138" w:h="1244" w:hRule="exact" w:wrap="around" w:vAnchor="page" w:hAnchor="margin" w:y="2908" w:anchorLock="1"/>
      <w:kinsoku w:val="0"/>
      <w:overflowPunct w:val="0"/>
      <w:autoSpaceDE w:val="0"/>
      <w:autoSpaceDN w:val="0"/>
      <w:adjustRightInd w:val="0"/>
      <w:spacing w:before="357" w:line="280" w:lineRule="exact"/>
      <w:ind w:left="420"/>
      <w:jc w:val="right"/>
      <w:textAlignment w:val="center"/>
    </w:pPr>
    <w:rPr>
      <w:kern w:val="0"/>
      <w:sz w:val="28"/>
      <w:szCs w:val="20"/>
    </w:rPr>
  </w:style>
  <w:style w:type="paragraph" w:customStyle="1" w:styleId="597">
    <w:name w:val="Char Char Char Char Char Char Char Char Char Char Char Char1 Char1"/>
    <w:basedOn w:val="1"/>
    <w:qFormat/>
    <w:uiPriority w:val="0"/>
    <w:pPr>
      <w:snapToGrid w:val="0"/>
      <w:spacing w:line="360" w:lineRule="auto"/>
      <w:ind w:firstLine="200" w:firstLineChars="200"/>
    </w:pPr>
    <w:rPr>
      <w:rFonts w:eastAsia="仿宋_GB2312"/>
      <w:sz w:val="24"/>
    </w:rPr>
  </w:style>
  <w:style w:type="paragraph" w:customStyle="1" w:styleId="598">
    <w:name w:val="Char Char12"/>
    <w:basedOn w:val="1"/>
    <w:qFormat/>
    <w:uiPriority w:val="0"/>
    <w:pPr>
      <w:widowControl/>
      <w:autoSpaceDE w:val="0"/>
      <w:autoSpaceDN w:val="0"/>
      <w:adjustRightInd w:val="0"/>
      <w:spacing w:after="160" w:line="240" w:lineRule="exact"/>
      <w:jc w:val="left"/>
    </w:pPr>
    <w:rPr>
      <w:rFonts w:eastAsia="仿宋_GB2312"/>
      <w:kern w:val="0"/>
      <w:sz w:val="28"/>
      <w:szCs w:val="20"/>
    </w:rPr>
  </w:style>
  <w:style w:type="paragraph" w:customStyle="1" w:styleId="599">
    <w:name w:val="xl34"/>
    <w:basedOn w:val="1"/>
    <w:qFormat/>
    <w:uiPriority w:val="0"/>
    <w:pPr>
      <w:widowControl/>
      <w:spacing w:before="100" w:beforeAutospacing="1" w:after="100" w:afterAutospacing="1"/>
      <w:jc w:val="left"/>
      <w:textAlignment w:val="center"/>
    </w:pPr>
    <w:rPr>
      <w:kern w:val="0"/>
      <w:sz w:val="20"/>
      <w:szCs w:val="20"/>
    </w:rPr>
  </w:style>
  <w:style w:type="paragraph" w:customStyle="1" w:styleId="600">
    <w:name w:val="正文表标题"/>
    <w:next w:val="1"/>
    <w:qFormat/>
    <w:uiPriority w:val="0"/>
    <w:pPr>
      <w:tabs>
        <w:tab w:val="left" w:pos="366"/>
      </w:tabs>
      <w:ind w:left="593" w:hanging="113"/>
      <w:jc w:val="center"/>
    </w:pPr>
    <w:rPr>
      <w:rFonts w:ascii="黑体" w:hAnsi="Times New Roman" w:eastAsia="黑体" w:cs="Times New Roman"/>
      <w:sz w:val="21"/>
      <w:lang w:val="en-US" w:eastAsia="zh-CN" w:bidi="ar-SA"/>
    </w:rPr>
  </w:style>
  <w:style w:type="paragraph" w:customStyle="1" w:styleId="601">
    <w:name w:val="小初 加粗 居中"/>
    <w:basedOn w:val="1"/>
    <w:qFormat/>
    <w:uiPriority w:val="0"/>
    <w:pPr>
      <w:snapToGrid w:val="0"/>
      <w:spacing w:line="300" w:lineRule="auto"/>
      <w:jc w:val="center"/>
    </w:pPr>
    <w:rPr>
      <w:rFonts w:ascii="隶书" w:cs="宋体"/>
      <w:b/>
      <w:bCs/>
      <w:kern w:val="0"/>
      <w:sz w:val="52"/>
      <w:szCs w:val="52"/>
    </w:rPr>
  </w:style>
  <w:style w:type="paragraph" w:customStyle="1" w:styleId="60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603">
    <w:name w:val="Char Char Char Char Char Char Char Char Char Char Char Char Char Char Char Char Char Char Char"/>
    <w:basedOn w:val="20"/>
    <w:qFormat/>
    <w:uiPriority w:val="0"/>
    <w:pPr>
      <w:pageBreakBefore/>
    </w:pPr>
    <w:rPr>
      <w:rFonts w:ascii="Tahoma" w:hAnsi="Tahoma" w:eastAsia="Times New Roman"/>
      <w:kern w:val="96"/>
      <w:sz w:val="24"/>
    </w:rPr>
  </w:style>
  <w:style w:type="paragraph" w:customStyle="1" w:styleId="604">
    <w:name w:val="xl97"/>
    <w:basedOn w:val="1"/>
    <w:qFormat/>
    <w:uiPriority w:val="0"/>
    <w:pPr>
      <w:widowControl/>
      <w:pBdr>
        <w:top w:val="single" w:color="auto" w:sz="8"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605">
    <w:name w:val="!标题4 Ctrl+4"/>
    <w:basedOn w:val="1"/>
    <w:next w:val="171"/>
    <w:qFormat/>
    <w:uiPriority w:val="0"/>
    <w:pPr>
      <w:numPr>
        <w:ilvl w:val="3"/>
        <w:numId w:val="22"/>
      </w:numPr>
      <w:tabs>
        <w:tab w:val="left" w:pos="2716"/>
      </w:tabs>
      <w:adjustRightInd w:val="0"/>
      <w:snapToGrid w:val="0"/>
      <w:spacing w:beforeLines="50" w:afterLines="50" w:line="360" w:lineRule="auto"/>
      <w:ind w:left="0" w:firstLine="0"/>
      <w:jc w:val="left"/>
      <w:outlineLvl w:val="3"/>
    </w:pPr>
    <w:rPr>
      <w:rFonts w:ascii="宋体" w:hAnsi="宋体"/>
      <w:b/>
      <w:sz w:val="28"/>
      <w:szCs w:val="30"/>
    </w:rPr>
  </w:style>
  <w:style w:type="paragraph" w:customStyle="1" w:styleId="606">
    <w:name w:val="!标题3 Ctrl+3"/>
    <w:basedOn w:val="4"/>
    <w:next w:val="171"/>
    <w:qFormat/>
    <w:uiPriority w:val="0"/>
    <w:pPr>
      <w:keepNext w:val="0"/>
      <w:keepLines w:val="0"/>
      <w:numPr>
        <w:numId w:val="22"/>
      </w:numPr>
      <w:tabs>
        <w:tab w:val="left" w:pos="0"/>
        <w:tab w:val="left" w:pos="360"/>
        <w:tab w:val="left" w:pos="1260"/>
      </w:tabs>
      <w:adjustRightInd w:val="0"/>
      <w:snapToGrid w:val="0"/>
      <w:spacing w:beforeLines="50" w:afterLines="50" w:line="360" w:lineRule="auto"/>
      <w:ind w:left="0" w:firstLine="0"/>
      <w:jc w:val="left"/>
    </w:pPr>
    <w:rPr>
      <w:rFonts w:ascii="宋体" w:hAnsi="宋体"/>
      <w:bCs w:val="0"/>
      <w:sz w:val="30"/>
      <w:szCs w:val="30"/>
    </w:rPr>
  </w:style>
  <w:style w:type="paragraph" w:customStyle="1" w:styleId="607">
    <w:name w:val="Char1 Char Char Char Char Char Char"/>
    <w:basedOn w:val="1"/>
    <w:qFormat/>
    <w:uiPriority w:val="0"/>
    <w:rPr>
      <w:rFonts w:ascii="Tahoma" w:hAnsi="Tahoma"/>
      <w:sz w:val="24"/>
      <w:szCs w:val="20"/>
    </w:rPr>
  </w:style>
  <w:style w:type="paragraph" w:customStyle="1" w:styleId="608">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609">
    <w:name w:val="font11"/>
    <w:basedOn w:val="1"/>
    <w:qFormat/>
    <w:uiPriority w:val="0"/>
    <w:pPr>
      <w:widowControl/>
      <w:spacing w:before="100" w:beforeAutospacing="1" w:after="100" w:afterAutospacing="1"/>
      <w:jc w:val="left"/>
    </w:pPr>
    <w:rPr>
      <w:rFonts w:ascii="宋体" w:hAnsi="宋体" w:cs="宋体"/>
      <w:color w:val="FF0000"/>
      <w:kern w:val="0"/>
      <w:szCs w:val="21"/>
      <w:u w:val="single"/>
    </w:rPr>
  </w:style>
  <w:style w:type="paragraph" w:customStyle="1" w:styleId="610">
    <w:name w:val="xl101"/>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611">
    <w:name w:val="xl78"/>
    <w:basedOn w:val="1"/>
    <w:qFormat/>
    <w:uiPriority w:val="0"/>
    <w:pPr>
      <w:widowControl/>
      <w:pBdr>
        <w:left w:val="single" w:color="auto" w:sz="4" w:space="0"/>
        <w:right w:val="single" w:color="auto" w:sz="4" w:space="0"/>
      </w:pBdr>
      <w:shd w:val="clear" w:color="000000" w:fill="FFCC00"/>
      <w:spacing w:before="100" w:beforeAutospacing="1" w:after="100" w:afterAutospacing="1"/>
      <w:jc w:val="left"/>
    </w:pPr>
    <w:rPr>
      <w:rFonts w:ascii="宋体" w:hAnsi="宋体" w:cs="宋体"/>
      <w:kern w:val="0"/>
      <w:sz w:val="24"/>
    </w:rPr>
  </w:style>
  <w:style w:type="paragraph" w:customStyle="1" w:styleId="61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613">
    <w:name w:val="文本框正文"/>
    <w:basedOn w:val="1"/>
    <w:qFormat/>
    <w:uiPriority w:val="0"/>
    <w:pPr>
      <w:spacing w:line="360" w:lineRule="auto"/>
      <w:ind w:firstLine="200" w:firstLineChars="200"/>
      <w:jc w:val="center"/>
    </w:pPr>
    <w:rPr>
      <w:b/>
      <w:sz w:val="24"/>
    </w:rPr>
  </w:style>
  <w:style w:type="paragraph" w:customStyle="1" w:styleId="614">
    <w:name w:val="xl135"/>
    <w:basedOn w:val="1"/>
    <w:qFormat/>
    <w:uiPriority w:val="0"/>
    <w:pPr>
      <w:widowControl/>
      <w:pBdr>
        <w:top w:val="single" w:color="auto" w:sz="4" w:space="0"/>
        <w:left w:val="single" w:color="auto" w:sz="4" w:space="0"/>
        <w:right w:val="single" w:color="auto" w:sz="4" w:space="0"/>
      </w:pBdr>
      <w:shd w:val="clear" w:color="000000" w:fill="FFCC00"/>
      <w:spacing w:before="100" w:beforeAutospacing="1" w:after="100" w:afterAutospacing="1"/>
      <w:jc w:val="left"/>
    </w:pPr>
    <w:rPr>
      <w:rFonts w:ascii="宋体" w:hAnsi="宋体" w:cs="宋体"/>
      <w:color w:val="000000"/>
      <w:kern w:val="0"/>
      <w:sz w:val="24"/>
    </w:rPr>
  </w:style>
  <w:style w:type="paragraph" w:customStyle="1" w:styleId="615">
    <w:name w:val="xl31"/>
    <w:basedOn w:val="1"/>
    <w:qFormat/>
    <w:uiPriority w:val="0"/>
    <w:pPr>
      <w:widowControl/>
      <w:pBdr>
        <w:bottom w:val="single" w:color="auto" w:sz="8" w:space="0"/>
      </w:pBdr>
      <w:spacing w:before="100" w:beforeAutospacing="1" w:after="100" w:afterAutospacing="1"/>
      <w:jc w:val="right"/>
      <w:textAlignment w:val="center"/>
    </w:pPr>
    <w:rPr>
      <w:rFonts w:ascii="宋体" w:hAnsi="宋体" w:cs="宋体"/>
      <w:kern w:val="0"/>
      <w:sz w:val="20"/>
      <w:szCs w:val="20"/>
    </w:rPr>
  </w:style>
  <w:style w:type="paragraph" w:customStyle="1" w:styleId="616">
    <w:name w:val="正文字缩2字"/>
    <w:basedOn w:val="1"/>
    <w:qFormat/>
    <w:uiPriority w:val="0"/>
    <w:pPr>
      <w:spacing w:before="60" w:after="60" w:line="360" w:lineRule="auto"/>
      <w:ind w:left="200" w:leftChars="200" w:firstLine="200" w:firstLineChars="200"/>
    </w:pPr>
    <w:rPr>
      <w:sz w:val="24"/>
    </w:rPr>
  </w:style>
  <w:style w:type="paragraph" w:customStyle="1" w:styleId="617">
    <w:name w:val="Char Char Char Char2"/>
    <w:basedOn w:val="1"/>
    <w:qFormat/>
    <w:uiPriority w:val="0"/>
    <w:pPr>
      <w:tabs>
        <w:tab w:val="left" w:pos="360"/>
      </w:tabs>
      <w:ind w:left="360" w:hanging="360" w:hangingChars="200"/>
    </w:pPr>
    <w:rPr>
      <w:sz w:val="24"/>
    </w:rPr>
  </w:style>
  <w:style w:type="paragraph" w:customStyle="1" w:styleId="618">
    <w:name w:val="一级编号正文"/>
    <w:basedOn w:val="1"/>
    <w:qFormat/>
    <w:uiPriority w:val="1"/>
    <w:pPr>
      <w:numPr>
        <w:ilvl w:val="0"/>
        <w:numId w:val="31"/>
      </w:numPr>
      <w:spacing w:line="360" w:lineRule="auto"/>
      <w:ind w:firstLine="200" w:firstLineChars="200"/>
    </w:pPr>
    <w:rPr>
      <w:b/>
      <w:sz w:val="24"/>
    </w:rPr>
  </w:style>
  <w:style w:type="paragraph" w:customStyle="1" w:styleId="619">
    <w:name w:val="xl133"/>
    <w:basedOn w:val="1"/>
    <w:qFormat/>
    <w:uiPriority w:val="0"/>
    <w:pPr>
      <w:widowControl/>
      <w:pBdr>
        <w:left w:val="single" w:color="auto" w:sz="4" w:space="0"/>
        <w:bottom w:val="single" w:color="auto" w:sz="4" w:space="0"/>
        <w:right w:val="single" w:color="auto" w:sz="4" w:space="0"/>
      </w:pBdr>
      <w:shd w:val="clear" w:color="000000" w:fill="FFCC00"/>
      <w:spacing w:before="100" w:beforeAutospacing="1" w:after="100" w:afterAutospacing="1"/>
      <w:jc w:val="left"/>
    </w:pPr>
    <w:rPr>
      <w:rFonts w:ascii="宋体" w:hAnsi="宋体" w:cs="宋体"/>
      <w:color w:val="000000"/>
      <w:kern w:val="0"/>
      <w:sz w:val="24"/>
    </w:rPr>
  </w:style>
  <w:style w:type="paragraph" w:customStyle="1" w:styleId="620">
    <w:name w:val="xl60"/>
    <w:basedOn w:val="1"/>
    <w:qFormat/>
    <w:uiPriority w:val="0"/>
    <w:pPr>
      <w:widowControl/>
      <w:pBdr>
        <w:top w:val="single" w:color="auto" w:sz="4" w:space="0"/>
        <w:bottom w:val="single" w:color="auto" w:sz="8" w:space="0"/>
      </w:pBdr>
      <w:spacing w:before="100" w:beforeAutospacing="1" w:after="100" w:afterAutospacing="1"/>
      <w:jc w:val="center"/>
      <w:textAlignment w:val="center"/>
    </w:pPr>
    <w:rPr>
      <w:rFonts w:ascii="宋体" w:hAnsi="宋体" w:cs="宋体"/>
      <w:kern w:val="0"/>
      <w:sz w:val="20"/>
      <w:szCs w:val="20"/>
    </w:rPr>
  </w:style>
  <w:style w:type="paragraph" w:customStyle="1" w:styleId="621">
    <w:name w:val="norm-para"/>
    <w:basedOn w:val="1"/>
    <w:qFormat/>
    <w:uiPriority w:val="0"/>
    <w:pPr>
      <w:widowControl/>
      <w:spacing w:after="120"/>
      <w:jc w:val="left"/>
    </w:pPr>
    <w:rPr>
      <w:rFonts w:ascii="Garamond" w:hAnsi="Garamond"/>
      <w:kern w:val="0"/>
      <w:sz w:val="24"/>
      <w:szCs w:val="20"/>
      <w:lang w:eastAsia="en-US"/>
    </w:rPr>
  </w:style>
  <w:style w:type="paragraph" w:customStyle="1" w:styleId="622">
    <w:name w:val="编号列表"/>
    <w:basedOn w:val="1"/>
    <w:qFormat/>
    <w:uiPriority w:val="0"/>
    <w:pPr>
      <w:numPr>
        <w:ilvl w:val="0"/>
        <w:numId w:val="32"/>
      </w:numPr>
      <w:tabs>
        <w:tab w:val="left" w:pos="1977"/>
      </w:tabs>
    </w:pPr>
  </w:style>
  <w:style w:type="paragraph" w:customStyle="1" w:styleId="623">
    <w:name w:val="四级条标题"/>
    <w:basedOn w:val="469"/>
    <w:next w:val="1"/>
    <w:qFormat/>
    <w:uiPriority w:val="0"/>
    <w:pPr>
      <w:numPr>
        <w:ilvl w:val="5"/>
      </w:numPr>
      <w:outlineLvl w:val="5"/>
    </w:pPr>
  </w:style>
  <w:style w:type="paragraph" w:customStyle="1" w:styleId="624">
    <w:name w:val="xl140"/>
    <w:basedOn w:val="1"/>
    <w:qFormat/>
    <w:uiPriority w:val="0"/>
    <w:pPr>
      <w:widowControl/>
      <w:pBdr>
        <w:left w:val="single" w:color="auto" w:sz="8" w:space="0"/>
        <w:bottom w:val="single" w:color="auto" w:sz="8"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625">
    <w:name w:val="Char1 Char Char Char2"/>
    <w:basedOn w:val="1"/>
    <w:qFormat/>
    <w:uiPriority w:val="0"/>
    <w:rPr>
      <w:rFonts w:ascii="Tahoma" w:hAnsi="Tahoma"/>
      <w:sz w:val="24"/>
      <w:szCs w:val="20"/>
    </w:rPr>
  </w:style>
  <w:style w:type="paragraph" w:customStyle="1" w:styleId="626">
    <w:name w:val="xl11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27">
    <w:name w:val="标准正文"/>
    <w:basedOn w:val="28"/>
    <w:qFormat/>
    <w:uiPriority w:val="0"/>
    <w:pPr>
      <w:spacing w:before="60" w:after="60" w:line="360" w:lineRule="auto"/>
      <w:ind w:left="0" w:firstLine="482"/>
    </w:pPr>
    <w:rPr>
      <w:rFonts w:ascii="Arial" w:hAnsi="Arial" w:eastAsia="Times New Roman"/>
      <w:sz w:val="24"/>
      <w:szCs w:val="20"/>
    </w:rPr>
  </w:style>
  <w:style w:type="paragraph" w:customStyle="1" w:styleId="628">
    <w:name w:val="图表内文字2"/>
    <w:qFormat/>
    <w:uiPriority w:val="0"/>
    <w:pPr>
      <w:spacing w:line="360" w:lineRule="auto"/>
      <w:jc w:val="center"/>
    </w:pPr>
    <w:rPr>
      <w:rFonts w:ascii="Times New Roman" w:hAnsi="Times New Roman" w:eastAsia="宋体" w:cs="Times New Roman"/>
      <w:b/>
      <w:sz w:val="24"/>
      <w:szCs w:val="24"/>
      <w:lang w:val="en-US" w:eastAsia="zh-CN" w:bidi="ar-SA"/>
    </w:rPr>
  </w:style>
  <w:style w:type="paragraph" w:customStyle="1" w:styleId="629">
    <w:name w:val="xl61"/>
    <w:basedOn w:val="1"/>
    <w:qFormat/>
    <w:uiPriority w:val="0"/>
    <w:pPr>
      <w:widowControl/>
      <w:pBdr>
        <w:top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630">
    <w:name w:val="Level1"/>
    <w:basedOn w:val="1"/>
    <w:qFormat/>
    <w:uiPriority w:val="0"/>
    <w:pPr>
      <w:widowControl/>
      <w:spacing w:before="60" w:after="60" w:line="300" w:lineRule="auto"/>
      <w:ind w:firstLine="567"/>
    </w:pPr>
    <w:rPr>
      <w:rFonts w:cs="Arial"/>
      <w:b/>
      <w:bCs/>
      <w:color w:val="000080"/>
      <w:kern w:val="0"/>
      <w:sz w:val="24"/>
      <w:szCs w:val="22"/>
      <w:lang w:val="en-GB"/>
    </w:rPr>
  </w:style>
  <w:style w:type="paragraph" w:customStyle="1" w:styleId="631">
    <w:name w:val="Char Char Char Char Char Char Char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632">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jc w:val="center"/>
    </w:pPr>
    <w:rPr>
      <w:rFonts w:ascii="宋体" w:hAnsi="宋体" w:cs="宋体"/>
      <w:color w:val="000000"/>
      <w:kern w:val="0"/>
      <w:sz w:val="24"/>
    </w:rPr>
  </w:style>
  <w:style w:type="paragraph" w:customStyle="1" w:styleId="633">
    <w:name w:val="项目编号"/>
    <w:basedOn w:val="634"/>
    <w:qFormat/>
    <w:uiPriority w:val="0"/>
    <w:pPr>
      <w:numPr>
        <w:ilvl w:val="0"/>
        <w:numId w:val="33"/>
      </w:numPr>
      <w:tabs>
        <w:tab w:val="left" w:pos="900"/>
      </w:tabs>
    </w:pPr>
  </w:style>
  <w:style w:type="paragraph" w:customStyle="1" w:styleId="634">
    <w:name w:val="样式 左  0 字符"/>
    <w:basedOn w:val="1"/>
    <w:qFormat/>
    <w:uiPriority w:val="0"/>
    <w:pPr>
      <w:spacing w:line="360" w:lineRule="auto"/>
      <w:ind w:firstLine="200" w:firstLineChars="200"/>
    </w:pPr>
    <w:rPr>
      <w:rFonts w:cs="宋体"/>
      <w:sz w:val="24"/>
      <w:szCs w:val="20"/>
    </w:rPr>
  </w:style>
  <w:style w:type="paragraph" w:customStyle="1" w:styleId="635">
    <w:name w:val="a呼市3级标题格式"/>
    <w:basedOn w:val="2"/>
    <w:qFormat/>
    <w:uiPriority w:val="0"/>
    <w:pPr>
      <w:numPr>
        <w:numId w:val="0"/>
      </w:numPr>
      <w:tabs>
        <w:tab w:val="left" w:pos="709"/>
      </w:tabs>
      <w:spacing w:before="156" w:after="156" w:line="360" w:lineRule="auto"/>
      <w:ind w:left="709" w:hanging="709"/>
      <w:outlineLvl w:val="2"/>
    </w:pPr>
    <w:rPr>
      <w:rFonts w:ascii="Times New Roman" w:hAnsi="Times New Roman"/>
      <w:b w:val="0"/>
      <w:sz w:val="30"/>
      <w:szCs w:val="30"/>
    </w:rPr>
  </w:style>
  <w:style w:type="paragraph" w:customStyle="1" w:styleId="636">
    <w:name w:val="Char Char1 Char Char Char"/>
    <w:basedOn w:val="1"/>
    <w:qFormat/>
    <w:uiPriority w:val="0"/>
    <w:pPr>
      <w:autoSpaceDE w:val="0"/>
      <w:autoSpaceDN w:val="0"/>
      <w:adjustRightInd w:val="0"/>
      <w:jc w:val="left"/>
    </w:pPr>
    <w:rPr>
      <w:rFonts w:ascii="仿宋_GB2312" w:eastAsia="仿宋_GB2312"/>
      <w:b/>
      <w:kern w:val="0"/>
      <w:sz w:val="32"/>
      <w:szCs w:val="32"/>
    </w:rPr>
  </w:style>
  <w:style w:type="paragraph" w:customStyle="1" w:styleId="637">
    <w:name w:val="Char13"/>
    <w:basedOn w:val="1"/>
    <w:qFormat/>
    <w:uiPriority w:val="0"/>
    <w:pPr>
      <w:widowControl/>
      <w:spacing w:after="160" w:line="240" w:lineRule="exact"/>
      <w:jc w:val="left"/>
    </w:pPr>
    <w:rPr>
      <w:rFonts w:ascii="Verdana" w:hAnsi="Verdana"/>
      <w:kern w:val="0"/>
      <w:sz w:val="20"/>
      <w:szCs w:val="20"/>
      <w:lang w:eastAsia="en-US"/>
    </w:rPr>
  </w:style>
  <w:style w:type="paragraph" w:customStyle="1" w:styleId="638">
    <w:name w:val="xl2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639">
    <w:name w:val="Figure Description"/>
    <w:basedOn w:val="1"/>
    <w:next w:val="573"/>
    <w:qFormat/>
    <w:uiPriority w:val="0"/>
    <w:pPr>
      <w:keepNext/>
      <w:widowControl/>
      <w:topLinePunct/>
      <w:spacing w:before="80" w:after="80"/>
      <w:ind w:left="1134"/>
      <w:jc w:val="center"/>
    </w:pPr>
    <w:rPr>
      <w:rFonts w:ascii="Arial" w:hAnsi="Arial" w:eastAsia="黑体" w:cs="Arial"/>
      <w:sz w:val="18"/>
      <w:szCs w:val="18"/>
    </w:rPr>
  </w:style>
  <w:style w:type="paragraph" w:customStyle="1" w:styleId="640">
    <w:name w:val="xl62"/>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641">
    <w:name w:val="xl131"/>
    <w:basedOn w:val="1"/>
    <w:qFormat/>
    <w:uiPriority w:val="0"/>
    <w:pPr>
      <w:widowControl/>
      <w:pBdr>
        <w:left w:val="single" w:color="auto" w:sz="4" w:space="0"/>
        <w:bottom w:val="single" w:color="auto" w:sz="4" w:space="0"/>
        <w:right w:val="single" w:color="auto" w:sz="4" w:space="0"/>
      </w:pBdr>
      <w:shd w:val="clear" w:color="000000" w:fill="FFCC00"/>
      <w:spacing w:before="100" w:beforeAutospacing="1" w:after="100" w:afterAutospacing="1"/>
      <w:jc w:val="left"/>
    </w:pPr>
    <w:rPr>
      <w:rFonts w:ascii="宋体" w:hAnsi="宋体" w:cs="宋体"/>
      <w:kern w:val="0"/>
      <w:sz w:val="24"/>
    </w:rPr>
  </w:style>
  <w:style w:type="paragraph" w:customStyle="1" w:styleId="642">
    <w:name w:val="正文（缩进） Char Char"/>
    <w:basedOn w:val="1"/>
    <w:qFormat/>
    <w:uiPriority w:val="0"/>
    <w:pPr>
      <w:spacing w:beforeLines="50" w:afterLines="50" w:line="360" w:lineRule="auto"/>
      <w:ind w:firstLine="480" w:firstLineChars="200"/>
    </w:pPr>
    <w:rPr>
      <w:sz w:val="24"/>
    </w:rPr>
  </w:style>
  <w:style w:type="paragraph" w:customStyle="1" w:styleId="643">
    <w:name w:val="Marginalie u65 10pt"/>
    <w:basedOn w:val="1"/>
    <w:next w:val="1"/>
    <w:qFormat/>
    <w:uiPriority w:val="0"/>
    <w:pPr>
      <w:overflowPunct w:val="0"/>
      <w:autoSpaceDE w:val="0"/>
      <w:autoSpaceDN w:val="0"/>
      <w:adjustRightInd w:val="0"/>
      <w:spacing w:line="227" w:lineRule="exact"/>
      <w:textAlignment w:val="baseline"/>
    </w:pPr>
    <w:rPr>
      <w:kern w:val="0"/>
      <w:sz w:val="20"/>
      <w:szCs w:val="20"/>
    </w:rPr>
  </w:style>
  <w:style w:type="paragraph" w:customStyle="1" w:styleId="644">
    <w:name w:val="xl115"/>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kern w:val="0"/>
      <w:sz w:val="24"/>
    </w:rPr>
  </w:style>
  <w:style w:type="paragraph" w:customStyle="1" w:styleId="645">
    <w:name w:val="0"/>
    <w:basedOn w:val="1"/>
    <w:qFormat/>
    <w:uiPriority w:val="0"/>
    <w:pPr>
      <w:widowControl/>
      <w:spacing w:before="100" w:beforeAutospacing="1" w:after="100" w:afterAutospacing="1"/>
      <w:jc w:val="left"/>
    </w:pPr>
    <w:rPr>
      <w:rFonts w:ascii="宋体" w:hAnsi="宋体" w:cs="宋体"/>
      <w:kern w:val="0"/>
      <w:sz w:val="24"/>
    </w:rPr>
  </w:style>
  <w:style w:type="paragraph" w:customStyle="1" w:styleId="646">
    <w:name w:val="图片"/>
    <w:basedOn w:val="1"/>
    <w:qFormat/>
    <w:uiPriority w:val="0"/>
    <w:pPr>
      <w:spacing w:line="240" w:lineRule="atLeast"/>
      <w:ind w:firstLine="567"/>
      <w:jc w:val="center"/>
    </w:pPr>
    <w:rPr>
      <w:rFonts w:cs="宋体"/>
      <w:sz w:val="24"/>
      <w:szCs w:val="20"/>
    </w:rPr>
  </w:style>
  <w:style w:type="paragraph" w:customStyle="1" w:styleId="647">
    <w:name w:val="标题五"/>
    <w:basedOn w:val="1"/>
    <w:qFormat/>
    <w:uiPriority w:val="0"/>
    <w:pPr>
      <w:numPr>
        <w:ilvl w:val="0"/>
        <w:numId w:val="18"/>
      </w:numPr>
      <w:tabs>
        <w:tab w:val="left" w:pos="1440"/>
        <w:tab w:val="clear" w:pos="840"/>
      </w:tabs>
      <w:autoSpaceDE w:val="0"/>
      <w:autoSpaceDN w:val="0"/>
      <w:adjustRightInd w:val="0"/>
      <w:spacing w:beforeLines="50" w:line="360" w:lineRule="auto"/>
      <w:ind w:left="1440"/>
      <w:jc w:val="left"/>
    </w:pPr>
    <w:rPr>
      <w:b/>
      <w:kern w:val="0"/>
      <w:sz w:val="24"/>
      <w:szCs w:val="20"/>
    </w:rPr>
  </w:style>
  <w:style w:type="paragraph" w:customStyle="1" w:styleId="648">
    <w:name w:val="xl39"/>
    <w:basedOn w:val="1"/>
    <w:qFormat/>
    <w:uiPriority w:val="0"/>
    <w:pPr>
      <w:widowControl/>
      <w:pBdr>
        <w:top w:val="single" w:color="auto" w:sz="4" w:space="0"/>
        <w:left w:val="single" w:color="auto" w:sz="4" w:space="0"/>
        <w:bottom w:val="single" w:color="auto" w:sz="8" w:space="0"/>
      </w:pBdr>
      <w:spacing w:before="100" w:beforeAutospacing="1" w:after="100" w:afterAutospacing="1"/>
      <w:jc w:val="center"/>
      <w:textAlignment w:val="center"/>
    </w:pPr>
    <w:rPr>
      <w:rFonts w:ascii="宋体" w:hAnsi="宋体" w:cs="宋体"/>
      <w:kern w:val="0"/>
      <w:sz w:val="20"/>
      <w:szCs w:val="20"/>
    </w:rPr>
  </w:style>
  <w:style w:type="paragraph" w:customStyle="1" w:styleId="649">
    <w:name w:val="加点正文"/>
    <w:basedOn w:val="1"/>
    <w:qFormat/>
    <w:uiPriority w:val="0"/>
    <w:pPr>
      <w:spacing w:line="300" w:lineRule="auto"/>
      <w:ind w:left="420" w:hanging="420" w:firstLineChars="200"/>
    </w:pPr>
    <w:rPr>
      <w:kern w:val="0"/>
      <w:sz w:val="24"/>
    </w:rPr>
  </w:style>
  <w:style w:type="paragraph" w:customStyle="1" w:styleId="650">
    <w:name w:val="level5"/>
    <w:basedOn w:val="1"/>
    <w:qFormat/>
    <w:uiPriority w:val="0"/>
    <w:pPr>
      <w:widowControl/>
      <w:numPr>
        <w:ilvl w:val="0"/>
        <w:numId w:val="34"/>
      </w:numPr>
      <w:spacing w:before="40" w:after="40"/>
    </w:pPr>
    <w:rPr>
      <w:rFonts w:cs="Arial"/>
      <w:kern w:val="0"/>
      <w:sz w:val="24"/>
      <w:szCs w:val="22"/>
      <w:lang w:val="en-GB"/>
    </w:rPr>
  </w:style>
  <w:style w:type="paragraph" w:customStyle="1" w:styleId="651">
    <w:name w:val="TOC 标题1"/>
    <w:basedOn w:val="3"/>
    <w:next w:val="1"/>
    <w:qFormat/>
    <w:uiPriority w:val="39"/>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652">
    <w:name w:val="样式 样式 EHL编号 + 段前: 0.5 行 段后: 0.5 行 + 段前: 0.5 行 段后: 0.5 行"/>
    <w:basedOn w:val="1"/>
    <w:qFormat/>
    <w:uiPriority w:val="0"/>
    <w:pPr>
      <w:numPr>
        <w:ilvl w:val="0"/>
        <w:numId w:val="35"/>
      </w:numPr>
      <w:spacing w:beforeLines="50" w:afterLines="50" w:line="360" w:lineRule="auto"/>
    </w:pPr>
    <w:rPr>
      <w:rFonts w:cs="宋体"/>
      <w:b/>
      <w:bCs/>
      <w:sz w:val="24"/>
      <w:szCs w:val="20"/>
    </w:rPr>
  </w:style>
  <w:style w:type="paragraph" w:customStyle="1" w:styleId="653">
    <w:name w:val="项目编号3"/>
    <w:basedOn w:val="1"/>
    <w:next w:val="1"/>
    <w:qFormat/>
    <w:uiPriority w:val="0"/>
    <w:pPr>
      <w:tabs>
        <w:tab w:val="left" w:pos="240"/>
        <w:tab w:val="left" w:pos="840"/>
      </w:tabs>
      <w:spacing w:line="360" w:lineRule="auto"/>
      <w:ind w:firstLine="200" w:firstLineChars="200"/>
      <w:jc w:val="left"/>
    </w:pPr>
    <w:rPr>
      <w:rFonts w:ascii="宋体"/>
      <w:sz w:val="24"/>
    </w:rPr>
  </w:style>
  <w:style w:type="paragraph" w:customStyle="1" w:styleId="654">
    <w:name w:val="正文居中"/>
    <w:basedOn w:val="1"/>
    <w:qFormat/>
    <w:uiPriority w:val="0"/>
    <w:pPr>
      <w:spacing w:before="50" w:after="50" w:line="300" w:lineRule="auto"/>
      <w:ind w:firstLine="200" w:firstLineChars="200"/>
      <w:jc w:val="center"/>
    </w:pPr>
    <w:rPr>
      <w:sz w:val="24"/>
    </w:rPr>
  </w:style>
  <w:style w:type="paragraph" w:customStyle="1" w:styleId="655">
    <w:name w:val="H4  (标题 4)"/>
    <w:basedOn w:val="1"/>
    <w:qFormat/>
    <w:uiPriority w:val="0"/>
    <w:pPr>
      <w:numPr>
        <w:ilvl w:val="3"/>
        <w:numId w:val="30"/>
      </w:numPr>
      <w:spacing w:line="360" w:lineRule="auto"/>
      <w:ind w:left="655" w:firstLine="200" w:firstLineChars="200"/>
    </w:pPr>
    <w:rPr>
      <w:rFonts w:ascii="Calibri" w:hAnsi="Calibri"/>
      <w:sz w:val="24"/>
      <w:szCs w:val="22"/>
    </w:rPr>
  </w:style>
  <w:style w:type="paragraph" w:customStyle="1" w:styleId="65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657">
    <w:name w:val="样式5"/>
    <w:basedOn w:val="3"/>
    <w:next w:val="1"/>
    <w:qFormat/>
    <w:uiPriority w:val="0"/>
    <w:pPr>
      <w:numPr>
        <w:numId w:val="0"/>
      </w:numPr>
      <w:adjustRightInd w:val="0"/>
      <w:snapToGrid w:val="0"/>
      <w:spacing w:before="120" w:after="120" w:line="578" w:lineRule="atLeast"/>
      <w:ind w:firstLine="723"/>
      <w:textAlignment w:val="baseline"/>
    </w:pPr>
    <w:rPr>
      <w:rFonts w:ascii="宋体" w:hAnsi="宋体" w:eastAsia="黑体"/>
      <w:b w:val="0"/>
      <w:color w:val="000000"/>
      <w:sz w:val="36"/>
      <w:szCs w:val="36"/>
    </w:rPr>
  </w:style>
  <w:style w:type="paragraph" w:customStyle="1" w:styleId="658">
    <w:name w:val="xl137"/>
    <w:basedOn w:val="1"/>
    <w:qFormat/>
    <w:uiPriority w:val="0"/>
    <w:pPr>
      <w:widowControl/>
      <w:pBdr>
        <w:left w:val="single" w:color="auto" w:sz="4" w:space="0"/>
        <w:bottom w:val="single" w:color="auto" w:sz="8" w:space="0"/>
        <w:right w:val="single" w:color="auto" w:sz="4" w:space="0"/>
      </w:pBdr>
      <w:shd w:val="clear" w:color="000000" w:fill="FFCC00"/>
      <w:spacing w:before="100" w:beforeAutospacing="1" w:after="100" w:afterAutospacing="1"/>
      <w:jc w:val="left"/>
    </w:pPr>
    <w:rPr>
      <w:rFonts w:ascii="宋体" w:hAnsi="宋体" w:cs="宋体"/>
      <w:kern w:val="0"/>
      <w:sz w:val="24"/>
    </w:rPr>
  </w:style>
  <w:style w:type="paragraph" w:customStyle="1" w:styleId="659">
    <w:name w:val="Char Char Char Char Char Char1"/>
    <w:basedOn w:val="1"/>
    <w:qFormat/>
    <w:uiPriority w:val="0"/>
    <w:rPr>
      <w:szCs w:val="20"/>
    </w:rPr>
  </w:style>
  <w:style w:type="paragraph" w:customStyle="1" w:styleId="660">
    <w:name w:val="并列条文1）2）"/>
    <w:basedOn w:val="318"/>
    <w:qFormat/>
    <w:uiPriority w:val="0"/>
    <w:pPr>
      <w:numPr>
        <w:ilvl w:val="0"/>
        <w:numId w:val="22"/>
      </w:numPr>
      <w:tabs>
        <w:tab w:val="left" w:pos="600"/>
        <w:tab w:val="clear" w:pos="960"/>
      </w:tabs>
      <w:spacing w:line="360" w:lineRule="auto"/>
      <w:ind w:left="0" w:firstLine="454"/>
      <w:jc w:val="left"/>
    </w:pPr>
    <w:rPr>
      <w:rFonts w:ascii="宋体" w:hAnsi="宋体" w:eastAsia="宋体"/>
      <w:kern w:val="24"/>
      <w:szCs w:val="24"/>
    </w:rPr>
  </w:style>
  <w:style w:type="paragraph" w:customStyle="1" w:styleId="661">
    <w:name w:val="font1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662">
    <w:name w:val="东莞正文"/>
    <w:basedOn w:val="1"/>
    <w:qFormat/>
    <w:uiPriority w:val="0"/>
    <w:pPr>
      <w:spacing w:line="360" w:lineRule="auto"/>
      <w:ind w:firstLine="480" w:firstLineChars="200"/>
    </w:pPr>
    <w:rPr>
      <w:rFonts w:ascii="Arial" w:hAnsi="Arial" w:eastAsia="仿宋_GB2312" w:cs="宋体"/>
      <w:color w:val="000000"/>
      <w:sz w:val="24"/>
      <w:szCs w:val="20"/>
    </w:rPr>
  </w:style>
  <w:style w:type="paragraph" w:customStyle="1" w:styleId="663">
    <w:name w:val="表内容"/>
    <w:basedOn w:val="1"/>
    <w:qFormat/>
    <w:uiPriority w:val="0"/>
    <w:pPr>
      <w:widowControl/>
      <w:jc w:val="left"/>
    </w:pPr>
    <w:rPr>
      <w:kern w:val="0"/>
      <w:sz w:val="24"/>
    </w:rPr>
  </w:style>
  <w:style w:type="paragraph" w:customStyle="1" w:styleId="664">
    <w:name w:val="xl22"/>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665">
    <w:name w:val="默认段落字体 Para Char Char Char Char Char Char Char"/>
    <w:basedOn w:val="1"/>
    <w:qFormat/>
    <w:uiPriority w:val="0"/>
    <w:rPr>
      <w:rFonts w:eastAsia="仿宋_GB2312"/>
      <w:sz w:val="28"/>
    </w:rPr>
  </w:style>
  <w:style w:type="paragraph" w:customStyle="1" w:styleId="666">
    <w:name w:val="列表1"/>
    <w:basedOn w:val="627"/>
    <w:qFormat/>
    <w:uiPriority w:val="0"/>
    <w:pPr>
      <w:numPr>
        <w:ilvl w:val="0"/>
        <w:numId w:val="36"/>
      </w:numPr>
      <w:tabs>
        <w:tab w:val="left" w:pos="425"/>
        <w:tab w:val="clear" w:pos="432"/>
      </w:tabs>
    </w:pPr>
  </w:style>
  <w:style w:type="paragraph" w:customStyle="1" w:styleId="667">
    <w:name w:val="A"/>
    <w:basedOn w:val="1"/>
    <w:qFormat/>
    <w:uiPriority w:val="0"/>
    <w:pPr>
      <w:tabs>
        <w:tab w:val="left" w:pos="430"/>
        <w:tab w:val="left" w:pos="900"/>
      </w:tabs>
      <w:spacing w:line="360" w:lineRule="auto"/>
      <w:ind w:left="230" w:hanging="420"/>
    </w:pPr>
    <w:rPr>
      <w:sz w:val="24"/>
    </w:rPr>
  </w:style>
  <w:style w:type="paragraph" w:customStyle="1" w:styleId="668">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669">
    <w:name w:val="Level3"/>
    <w:basedOn w:val="1"/>
    <w:qFormat/>
    <w:uiPriority w:val="0"/>
    <w:pPr>
      <w:widowControl/>
      <w:numPr>
        <w:ilvl w:val="0"/>
        <w:numId w:val="37"/>
      </w:numPr>
      <w:tabs>
        <w:tab w:val="clear" w:pos="432"/>
      </w:tabs>
      <w:spacing w:line="300" w:lineRule="auto"/>
      <w:ind w:left="0" w:firstLine="567"/>
    </w:pPr>
    <w:rPr>
      <w:rFonts w:cs="Arial"/>
      <w:kern w:val="0"/>
      <w:sz w:val="24"/>
      <w:szCs w:val="22"/>
      <w:lang w:val="en-GB"/>
    </w:rPr>
  </w:style>
  <w:style w:type="paragraph" w:customStyle="1" w:styleId="670">
    <w:name w:val="样式 目录 3 + 首行缩进:  2 字符"/>
    <w:basedOn w:val="35"/>
    <w:qFormat/>
    <w:uiPriority w:val="0"/>
    <w:pPr>
      <w:spacing w:line="300" w:lineRule="auto"/>
      <w:ind w:left="480" w:leftChars="0" w:firstLine="400" w:firstLineChars="200"/>
      <w:jc w:val="left"/>
    </w:pPr>
    <w:rPr>
      <w:rFonts w:cs="宋体"/>
      <w:iCs/>
      <w:sz w:val="20"/>
      <w:szCs w:val="20"/>
    </w:rPr>
  </w:style>
  <w:style w:type="paragraph" w:customStyle="1" w:styleId="671">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72">
    <w:name w:val="1）"/>
    <w:basedOn w:val="1"/>
    <w:qFormat/>
    <w:uiPriority w:val="0"/>
    <w:pPr>
      <w:tabs>
        <w:tab w:val="left" w:pos="1260"/>
      </w:tabs>
      <w:spacing w:line="360" w:lineRule="auto"/>
      <w:ind w:left="1260"/>
    </w:pPr>
    <w:rPr>
      <w:rFonts w:ascii="宋体" w:hAnsi="宋体"/>
      <w:sz w:val="24"/>
    </w:rPr>
  </w:style>
  <w:style w:type="paragraph" w:customStyle="1" w:styleId="673">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674">
    <w:name w:val="xl93"/>
    <w:basedOn w:val="1"/>
    <w:qFormat/>
    <w:uiPriority w:val="0"/>
    <w:pPr>
      <w:widowControl/>
      <w:shd w:val="clear" w:color="000000" w:fill="FFFF99"/>
      <w:spacing w:before="100" w:beforeAutospacing="1" w:after="100" w:afterAutospacing="1"/>
      <w:jc w:val="center"/>
    </w:pPr>
    <w:rPr>
      <w:rFonts w:ascii="宋体" w:hAnsi="宋体" w:cs="宋体"/>
      <w:kern w:val="0"/>
      <w:sz w:val="24"/>
    </w:rPr>
  </w:style>
  <w:style w:type="paragraph" w:customStyle="1" w:styleId="675">
    <w:name w:val="列项——（一级）"/>
    <w:qFormat/>
    <w:uiPriority w:val="0"/>
    <w:pPr>
      <w:widowControl w:val="0"/>
      <w:tabs>
        <w:tab w:val="left" w:pos="854"/>
        <w:tab w:val="left" w:pos="1260"/>
      </w:tabs>
      <w:ind w:left="1260" w:hanging="420"/>
      <w:jc w:val="both"/>
    </w:pPr>
    <w:rPr>
      <w:rFonts w:ascii="宋体" w:hAnsi="Times New Roman" w:eastAsia="宋体" w:cs="Times New Roman"/>
      <w:sz w:val="21"/>
      <w:lang w:val="en-US" w:eastAsia="zh-CN" w:bidi="ar-SA"/>
    </w:rPr>
  </w:style>
  <w:style w:type="paragraph" w:customStyle="1" w:styleId="676">
    <w:name w:val="ÕýÎÄÊ×ÐÐËõ½ø"/>
    <w:basedOn w:val="1"/>
    <w:qFormat/>
    <w:uiPriority w:val="0"/>
    <w:pPr>
      <w:widowControl/>
      <w:overflowPunct w:val="0"/>
      <w:autoSpaceDE w:val="0"/>
      <w:autoSpaceDN w:val="0"/>
      <w:adjustRightInd w:val="0"/>
      <w:spacing w:line="360" w:lineRule="auto"/>
      <w:ind w:left="1134"/>
      <w:jc w:val="left"/>
      <w:textAlignment w:val="baseline"/>
    </w:pPr>
    <w:rPr>
      <w:rFonts w:eastAsia="Times New Roman"/>
      <w:kern w:val="0"/>
      <w:sz w:val="20"/>
      <w:szCs w:val="20"/>
    </w:rPr>
  </w:style>
  <w:style w:type="paragraph" w:customStyle="1" w:styleId="677">
    <w:name w:val="xl40"/>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678">
    <w:name w:val="普通 (Web)"/>
    <w:basedOn w:val="378"/>
    <w:next w:val="378"/>
    <w:qFormat/>
    <w:uiPriority w:val="0"/>
    <w:pPr>
      <w:spacing w:before="100" w:after="100"/>
    </w:pPr>
    <w:rPr>
      <w:rFonts w:ascii="黑体" w:eastAsia="黑体" w:cs="Times New Roman"/>
      <w:color w:val="auto"/>
    </w:rPr>
  </w:style>
  <w:style w:type="paragraph" w:customStyle="1" w:styleId="679">
    <w:name w:val="样式 表内正文 + 五号 行距: 单倍行距"/>
    <w:basedOn w:val="1"/>
    <w:qFormat/>
    <w:uiPriority w:val="0"/>
    <w:pPr>
      <w:adjustRightInd w:val="0"/>
      <w:snapToGrid w:val="0"/>
    </w:pPr>
    <w:rPr>
      <w:rFonts w:ascii="Arial" w:hAnsi="Arial" w:cs="宋体"/>
      <w:szCs w:val="20"/>
    </w:rPr>
  </w:style>
  <w:style w:type="paragraph" w:customStyle="1" w:styleId="680">
    <w:name w:val="Table Description"/>
    <w:basedOn w:val="1"/>
    <w:next w:val="1"/>
    <w:qFormat/>
    <w:uiPriority w:val="0"/>
    <w:pPr>
      <w:keepNext/>
      <w:widowControl/>
      <w:topLinePunct/>
      <w:spacing w:before="80" w:after="80"/>
      <w:ind w:left="1134"/>
      <w:jc w:val="center"/>
    </w:pPr>
    <w:rPr>
      <w:rFonts w:ascii="Arial" w:hAnsi="Arial" w:eastAsia="黑体" w:cs="Arial"/>
      <w:sz w:val="18"/>
      <w:szCs w:val="18"/>
    </w:rPr>
  </w:style>
  <w:style w:type="paragraph" w:customStyle="1" w:styleId="68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Cs w:val="21"/>
    </w:rPr>
  </w:style>
  <w:style w:type="paragraph" w:customStyle="1" w:styleId="682">
    <w:name w:val="xl126"/>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kern w:val="0"/>
      <w:sz w:val="24"/>
    </w:rPr>
  </w:style>
  <w:style w:type="paragraph" w:customStyle="1" w:styleId="683">
    <w:name w:val="xl38"/>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684">
    <w:name w:val="xl130"/>
    <w:basedOn w:val="1"/>
    <w:qFormat/>
    <w:uiPriority w:val="0"/>
    <w:pPr>
      <w:widowControl/>
      <w:pBdr>
        <w:top w:val="single" w:color="auto" w:sz="4" w:space="0"/>
        <w:left w:val="single" w:color="auto" w:sz="4" w:space="0"/>
        <w:bottom w:val="single" w:color="auto" w:sz="8" w:space="0"/>
        <w:right w:val="single" w:color="auto" w:sz="4" w:space="0"/>
      </w:pBdr>
      <w:shd w:val="clear" w:color="000000" w:fill="FFCC00"/>
      <w:spacing w:before="100" w:beforeAutospacing="1" w:after="100" w:afterAutospacing="1"/>
      <w:jc w:val="left"/>
    </w:pPr>
    <w:rPr>
      <w:rFonts w:ascii="宋体" w:hAnsi="宋体" w:cs="宋体"/>
      <w:kern w:val="0"/>
      <w:sz w:val="24"/>
    </w:rPr>
  </w:style>
  <w:style w:type="paragraph" w:customStyle="1" w:styleId="685">
    <w:name w:val="xl104"/>
    <w:basedOn w:val="1"/>
    <w:qFormat/>
    <w:uiPriority w:val="0"/>
    <w:pPr>
      <w:widowControl/>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jc w:val="left"/>
    </w:pPr>
    <w:rPr>
      <w:rFonts w:ascii="宋体" w:hAnsi="宋体" w:cs="宋体"/>
      <w:color w:val="000000"/>
      <w:kern w:val="0"/>
      <w:sz w:val="24"/>
    </w:rPr>
  </w:style>
  <w:style w:type="paragraph" w:customStyle="1" w:styleId="686">
    <w:name w:val="表格文字"/>
    <w:basedOn w:val="1"/>
    <w:qFormat/>
    <w:uiPriority w:val="0"/>
    <w:rPr>
      <w:rFonts w:cs="宋体"/>
      <w:szCs w:val="20"/>
    </w:rPr>
  </w:style>
  <w:style w:type="paragraph" w:customStyle="1" w:styleId="687">
    <w:name w:val="Char Char Char Char Char Char"/>
    <w:basedOn w:val="1"/>
    <w:qFormat/>
    <w:uiPriority w:val="0"/>
    <w:rPr>
      <w:rFonts w:ascii="Tahoma" w:hAnsi="Tahoma"/>
      <w:sz w:val="24"/>
      <w:szCs w:val="20"/>
    </w:rPr>
  </w:style>
  <w:style w:type="paragraph" w:customStyle="1" w:styleId="688">
    <w:name w:val="Char111"/>
    <w:basedOn w:val="1"/>
    <w:qFormat/>
    <w:uiPriority w:val="0"/>
    <w:pPr>
      <w:widowControl/>
      <w:spacing w:after="160" w:line="240" w:lineRule="exact"/>
      <w:jc w:val="left"/>
    </w:pPr>
    <w:rPr>
      <w:rFonts w:ascii="Verdana" w:hAnsi="Verdana"/>
      <w:kern w:val="0"/>
      <w:sz w:val="20"/>
      <w:szCs w:val="20"/>
      <w:lang w:eastAsia="en-US"/>
    </w:rPr>
  </w:style>
  <w:style w:type="paragraph" w:customStyle="1" w:styleId="689">
    <w:name w:val="正文118"/>
    <w:basedOn w:val="1"/>
    <w:qFormat/>
    <w:uiPriority w:val="0"/>
    <w:pPr>
      <w:adjustRightInd w:val="0"/>
      <w:spacing w:before="360" w:after="360" w:line="440" w:lineRule="atLeast"/>
      <w:ind w:firstLine="200" w:firstLineChars="200"/>
    </w:pPr>
    <w:rPr>
      <w:kern w:val="0"/>
      <w:szCs w:val="21"/>
    </w:rPr>
  </w:style>
  <w:style w:type="paragraph" w:customStyle="1" w:styleId="690">
    <w:name w:val="xl5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691">
    <w:name w:val="WW-正文文字缩进 2"/>
    <w:basedOn w:val="1"/>
    <w:qFormat/>
    <w:uiPriority w:val="0"/>
    <w:pPr>
      <w:suppressAutoHyphens/>
      <w:autoSpaceDE w:val="0"/>
      <w:autoSpaceDN w:val="0"/>
      <w:adjustRightInd w:val="0"/>
      <w:ind w:firstLine="420"/>
      <w:jc w:val="left"/>
    </w:pPr>
    <w:rPr>
      <w:kern w:val="1"/>
      <w:sz w:val="20"/>
      <w:szCs w:val="20"/>
    </w:rPr>
  </w:style>
  <w:style w:type="paragraph" w:customStyle="1" w:styleId="692">
    <w:name w:val="正文3"/>
    <w:qFormat/>
    <w:uiPriority w:val="0"/>
    <w:rPr>
      <w:rFonts w:ascii="Times New Roman" w:hAnsi="Times New Roman" w:eastAsia="宋体" w:cs="Times New Roman"/>
      <w:lang w:val="ru-RU" w:eastAsia="ru-RU" w:bidi="ar-SA"/>
    </w:rPr>
  </w:style>
  <w:style w:type="paragraph" w:customStyle="1" w:styleId="693">
    <w:name w:val="xl45"/>
    <w:basedOn w:val="1"/>
    <w:qFormat/>
    <w:uiPriority w:val="0"/>
    <w:pPr>
      <w:widowControl/>
      <w:pBdr>
        <w:left w:val="single" w:color="auto" w:sz="4" w:space="0"/>
      </w:pBdr>
      <w:spacing w:before="100" w:beforeAutospacing="1" w:after="100" w:afterAutospacing="1"/>
      <w:jc w:val="left"/>
    </w:pPr>
    <w:rPr>
      <w:rFonts w:ascii="宋体" w:hAnsi="宋体" w:cs="宋体"/>
      <w:kern w:val="0"/>
      <w:sz w:val="24"/>
    </w:rPr>
  </w:style>
  <w:style w:type="paragraph" w:customStyle="1" w:styleId="694">
    <w:name w:val="样式"/>
    <w:basedOn w:val="1"/>
    <w:qFormat/>
    <w:uiPriority w:val="0"/>
    <w:pPr>
      <w:autoSpaceDE w:val="0"/>
      <w:autoSpaceDN w:val="0"/>
      <w:adjustRightInd w:val="0"/>
      <w:snapToGrid w:val="0"/>
      <w:spacing w:before="120" w:after="120" w:line="360" w:lineRule="auto"/>
      <w:jc w:val="left"/>
    </w:pPr>
    <w:rPr>
      <w:rFonts w:ascii="宋体"/>
      <w:kern w:val="0"/>
      <w:sz w:val="24"/>
      <w:szCs w:val="20"/>
    </w:rPr>
  </w:style>
  <w:style w:type="paragraph" w:customStyle="1" w:styleId="695">
    <w:name w:val="Char11"/>
    <w:basedOn w:val="1"/>
    <w:qFormat/>
    <w:uiPriority w:val="0"/>
    <w:rPr>
      <w:rFonts w:ascii="仿宋_GB2312" w:eastAsia="仿宋_GB2312"/>
      <w:b/>
      <w:sz w:val="32"/>
      <w:szCs w:val="32"/>
    </w:rPr>
  </w:style>
  <w:style w:type="paragraph" w:customStyle="1" w:styleId="696">
    <w:name w:val="xl7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697">
    <w:name w:val="样式 题注 + 首行缩进:  2 字符3"/>
    <w:basedOn w:val="17"/>
    <w:qFormat/>
    <w:uiPriority w:val="0"/>
    <w:pPr>
      <w:keepNext/>
      <w:autoSpaceDE/>
      <w:autoSpaceDN/>
      <w:adjustRightInd/>
      <w:spacing w:before="240" w:after="240" w:line="360" w:lineRule="auto"/>
      <w:ind w:firstLine="200" w:firstLineChars="200"/>
      <w:jc w:val="both"/>
    </w:pPr>
    <w:rPr>
      <w:rFonts w:ascii="宋体" w:hAnsi="宋体" w:eastAsia="宋体" w:cs="宋体"/>
      <w:kern w:val="2"/>
      <w:sz w:val="24"/>
      <w:szCs w:val="24"/>
    </w:rPr>
  </w:style>
  <w:style w:type="paragraph" w:customStyle="1" w:styleId="698">
    <w:name w:val="CM5"/>
    <w:basedOn w:val="1"/>
    <w:next w:val="1"/>
    <w:qFormat/>
    <w:uiPriority w:val="0"/>
    <w:pPr>
      <w:autoSpaceDE w:val="0"/>
      <w:autoSpaceDN w:val="0"/>
      <w:adjustRightInd w:val="0"/>
      <w:spacing w:line="468" w:lineRule="atLeast"/>
      <w:jc w:val="left"/>
    </w:pPr>
    <w:rPr>
      <w:rFonts w:ascii="宋体"/>
      <w:kern w:val="0"/>
      <w:sz w:val="24"/>
    </w:rPr>
  </w:style>
  <w:style w:type="paragraph" w:customStyle="1" w:styleId="699">
    <w:name w:val="招标书正文"/>
    <w:basedOn w:val="1"/>
    <w:qFormat/>
    <w:uiPriority w:val="0"/>
    <w:pPr>
      <w:spacing w:beforeLines="50" w:afterLines="50" w:line="300" w:lineRule="auto"/>
      <w:ind w:firstLine="200" w:firstLineChars="200"/>
    </w:pPr>
    <w:rPr>
      <w:rFonts w:cs="宋体"/>
      <w:szCs w:val="20"/>
    </w:rPr>
  </w:style>
  <w:style w:type="paragraph" w:customStyle="1" w:styleId="700">
    <w:name w:val="紧凑5号"/>
    <w:basedOn w:val="1"/>
    <w:qFormat/>
    <w:uiPriority w:val="0"/>
    <w:rPr>
      <w:kern w:val="0"/>
      <w:szCs w:val="20"/>
    </w:rPr>
  </w:style>
  <w:style w:type="paragraph" w:customStyle="1" w:styleId="701">
    <w:name w:val="样式 样式 左  0 字符1 + 左侧:  3 字符"/>
    <w:basedOn w:val="1"/>
    <w:qFormat/>
    <w:uiPriority w:val="0"/>
    <w:pPr>
      <w:spacing w:line="360" w:lineRule="auto"/>
      <w:ind w:left="400" w:leftChars="400"/>
    </w:pPr>
    <w:rPr>
      <w:rFonts w:cs="宋体"/>
      <w:sz w:val="24"/>
      <w:szCs w:val="20"/>
    </w:rPr>
  </w:style>
  <w:style w:type="paragraph" w:customStyle="1" w:styleId="702">
    <w:name w:val="样式6"/>
    <w:basedOn w:val="49"/>
    <w:qFormat/>
    <w:uiPriority w:val="0"/>
    <w:pPr>
      <w:tabs>
        <w:tab w:val="right" w:leader="dot" w:pos="9061"/>
      </w:tabs>
      <w:autoSpaceDE/>
      <w:autoSpaceDN/>
      <w:adjustRightInd/>
      <w:spacing w:line="360" w:lineRule="auto"/>
      <w:ind w:left="1077" w:leftChars="0" w:firstLine="480" w:firstLineChars="200"/>
    </w:pPr>
    <w:rPr>
      <w:rFonts w:ascii="华文中宋" w:hAnsi="华文中宋" w:eastAsia="华文中宋" w:cs="Calibri"/>
      <w:kern w:val="2"/>
      <w:sz w:val="24"/>
      <w:szCs w:val="18"/>
    </w:rPr>
  </w:style>
  <w:style w:type="paragraph" w:customStyle="1" w:styleId="703">
    <w:name w:val="样式 标题 3H31.1.1标题 3h3sect1.2.3BOD 03rd levellevel_3PIM 3...2"/>
    <w:basedOn w:val="4"/>
    <w:qFormat/>
    <w:uiPriority w:val="0"/>
    <w:pPr>
      <w:numPr>
        <w:numId w:val="0"/>
      </w:numPr>
      <w:tabs>
        <w:tab w:val="left" w:pos="459"/>
        <w:tab w:val="left" w:pos="900"/>
      </w:tabs>
      <w:autoSpaceDE w:val="0"/>
      <w:autoSpaceDN w:val="0"/>
      <w:snapToGrid w:val="0"/>
      <w:spacing w:beforeLines="50" w:afterLines="50" w:line="360" w:lineRule="auto"/>
      <w:jc w:val="left"/>
    </w:pPr>
    <w:rPr>
      <w:rFonts w:ascii="Courier New" w:hAnsi="Courier New" w:eastAsia="黑体"/>
      <w:color w:val="000000"/>
      <w:kern w:val="0"/>
      <w:sz w:val="28"/>
    </w:rPr>
  </w:style>
  <w:style w:type="paragraph" w:customStyle="1" w:styleId="704">
    <w:name w:val="xl134"/>
    <w:basedOn w:val="1"/>
    <w:qFormat/>
    <w:uiPriority w:val="0"/>
    <w:pPr>
      <w:widowControl/>
      <w:pBdr>
        <w:left w:val="single" w:color="auto" w:sz="4" w:space="0"/>
        <w:right w:val="single" w:color="auto" w:sz="4" w:space="0"/>
      </w:pBdr>
      <w:shd w:val="clear" w:color="000000" w:fill="FFCC00"/>
      <w:spacing w:before="100" w:beforeAutospacing="1" w:after="100" w:afterAutospacing="1"/>
      <w:jc w:val="left"/>
    </w:pPr>
    <w:rPr>
      <w:rFonts w:ascii="宋体" w:hAnsi="宋体" w:cs="宋体"/>
      <w:color w:val="000000"/>
      <w:kern w:val="0"/>
      <w:sz w:val="24"/>
    </w:rPr>
  </w:style>
  <w:style w:type="paragraph" w:customStyle="1" w:styleId="705">
    <w:name w:val="xl79"/>
    <w:basedOn w:val="1"/>
    <w:qFormat/>
    <w:uiPriority w:val="0"/>
    <w:pPr>
      <w:widowControl/>
      <w:pBdr>
        <w:left w:val="single" w:color="auto" w:sz="4" w:space="0"/>
        <w:bottom w:val="single" w:color="auto" w:sz="8" w:space="0"/>
        <w:right w:val="single" w:color="auto" w:sz="4" w:space="0"/>
      </w:pBdr>
      <w:shd w:val="clear" w:color="000000" w:fill="FFFF99"/>
      <w:spacing w:before="100" w:beforeAutospacing="1" w:after="100" w:afterAutospacing="1"/>
      <w:jc w:val="center"/>
    </w:pPr>
    <w:rPr>
      <w:rFonts w:ascii="宋体" w:hAnsi="宋体" w:cs="宋体"/>
      <w:color w:val="000000"/>
      <w:kern w:val="0"/>
      <w:sz w:val="24"/>
    </w:rPr>
  </w:style>
  <w:style w:type="paragraph" w:customStyle="1" w:styleId="706">
    <w:name w:val="xl36"/>
    <w:basedOn w:val="1"/>
    <w:qFormat/>
    <w:uiPriority w:val="0"/>
    <w:pPr>
      <w:widowControl/>
      <w:pBdr>
        <w:bottom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707">
    <w:name w:val="正文文本 21"/>
    <w:basedOn w:val="1"/>
    <w:qFormat/>
    <w:uiPriority w:val="0"/>
    <w:pPr>
      <w:widowControl/>
      <w:overflowPunct w:val="0"/>
      <w:autoSpaceDE w:val="0"/>
      <w:autoSpaceDN w:val="0"/>
      <w:adjustRightInd w:val="0"/>
      <w:ind w:left="720" w:hanging="720"/>
      <w:jc w:val="left"/>
      <w:textAlignment w:val="baseline"/>
    </w:pPr>
    <w:rPr>
      <w:kern w:val="0"/>
      <w:sz w:val="24"/>
      <w:szCs w:val="20"/>
      <w:lang w:val="en-GB"/>
    </w:rPr>
  </w:style>
  <w:style w:type="paragraph" w:customStyle="1" w:styleId="708">
    <w:name w:val="button"/>
    <w:basedOn w:val="1"/>
    <w:qFormat/>
    <w:uiPriority w:val="0"/>
    <w:pPr>
      <w:widowControl/>
      <w:autoSpaceDE w:val="0"/>
      <w:autoSpaceDN w:val="0"/>
      <w:adjustRightInd w:val="0"/>
      <w:spacing w:before="100" w:beforeAutospacing="1" w:after="100" w:afterAutospacing="1"/>
      <w:jc w:val="left"/>
    </w:pPr>
    <w:rPr>
      <w:rFonts w:ascii="Arial Unicode MS" w:hAnsi="Arial Unicode MS"/>
      <w:color w:val="000000"/>
      <w:kern w:val="0"/>
      <w:sz w:val="24"/>
      <w:szCs w:val="20"/>
    </w:rPr>
  </w:style>
  <w:style w:type="paragraph" w:customStyle="1" w:styleId="709">
    <w:name w:val="文本正文无缩进"/>
    <w:basedOn w:val="1"/>
    <w:qFormat/>
    <w:uiPriority w:val="0"/>
    <w:pPr>
      <w:spacing w:beforeLines="50" w:afterLines="50" w:line="360" w:lineRule="auto"/>
      <w:ind w:firstLine="200" w:firstLineChars="200"/>
    </w:pPr>
    <w:rPr>
      <w:sz w:val="24"/>
    </w:rPr>
  </w:style>
  <w:style w:type="paragraph" w:customStyle="1" w:styleId="710">
    <w:name w:val="xl105"/>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711">
    <w:name w:val="xl87"/>
    <w:basedOn w:val="1"/>
    <w:qFormat/>
    <w:uiPriority w:val="0"/>
    <w:pPr>
      <w:widowControl/>
      <w:pBdr>
        <w:top w:val="single" w:color="auto" w:sz="4" w:space="0"/>
        <w:left w:val="single" w:color="auto" w:sz="4" w:space="0"/>
        <w:bottom w:val="single" w:color="auto" w:sz="8" w:space="0"/>
        <w:right w:val="single" w:color="auto" w:sz="4" w:space="0"/>
      </w:pBdr>
      <w:shd w:val="clear" w:color="000000" w:fill="FFFF99"/>
      <w:spacing w:before="100" w:beforeAutospacing="1" w:after="100" w:afterAutospacing="1"/>
      <w:jc w:val="center"/>
    </w:pPr>
    <w:rPr>
      <w:rFonts w:ascii="宋体" w:hAnsi="宋体" w:cs="宋体"/>
      <w:color w:val="000000"/>
      <w:kern w:val="0"/>
      <w:sz w:val="24"/>
    </w:rPr>
  </w:style>
  <w:style w:type="paragraph" w:customStyle="1" w:styleId="712">
    <w:name w:val="p0"/>
    <w:basedOn w:val="1"/>
    <w:qFormat/>
    <w:uiPriority w:val="0"/>
    <w:pPr>
      <w:widowControl/>
      <w:spacing w:line="440" w:lineRule="atLeast"/>
      <w:ind w:firstLine="567"/>
    </w:pPr>
    <w:rPr>
      <w:kern w:val="0"/>
      <w:sz w:val="24"/>
    </w:rPr>
  </w:style>
  <w:style w:type="paragraph" w:customStyle="1" w:styleId="713">
    <w:name w:val="xl29"/>
    <w:basedOn w:val="1"/>
    <w:qFormat/>
    <w:uiPriority w:val="0"/>
    <w:pPr>
      <w:widowControl/>
      <w:autoSpaceDE w:val="0"/>
      <w:autoSpaceDN w:val="0"/>
      <w:adjustRightInd w:val="0"/>
      <w:spacing w:before="100" w:beforeAutospacing="1" w:after="100" w:afterAutospacing="1"/>
      <w:jc w:val="center"/>
    </w:pPr>
    <w:rPr>
      <w:rFonts w:ascii="Arial Unicode MS" w:hAnsi="Arial Unicode MS" w:eastAsia="Arial Unicode MS"/>
      <w:kern w:val="0"/>
      <w:sz w:val="24"/>
      <w:szCs w:val="20"/>
    </w:rPr>
  </w:style>
  <w:style w:type="paragraph" w:customStyle="1" w:styleId="714">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rPr>
  </w:style>
  <w:style w:type="paragraph" w:customStyle="1" w:styleId="715">
    <w:name w:val="List 1"/>
    <w:basedOn w:val="1"/>
    <w:qFormat/>
    <w:uiPriority w:val="0"/>
    <w:pPr>
      <w:numPr>
        <w:ilvl w:val="0"/>
        <w:numId w:val="38"/>
      </w:numPr>
      <w:overflowPunct w:val="0"/>
      <w:autoSpaceDE w:val="0"/>
      <w:autoSpaceDN w:val="0"/>
      <w:adjustRightInd w:val="0"/>
      <w:spacing w:beforeLines="50" w:afterLines="50" w:line="360" w:lineRule="auto"/>
      <w:ind w:firstLine="0"/>
      <w:textAlignment w:val="baseline"/>
    </w:pPr>
    <w:rPr>
      <w:rFonts w:ascii="楷体" w:eastAsia="楷体"/>
      <w:sz w:val="24"/>
    </w:rPr>
  </w:style>
  <w:style w:type="paragraph" w:customStyle="1" w:styleId="716">
    <w:name w:val="xl75"/>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717">
    <w:name w:val="Char"/>
    <w:basedOn w:val="1"/>
    <w:qFormat/>
    <w:uiPriority w:val="0"/>
    <w:pPr>
      <w:widowControl/>
      <w:spacing w:line="400" w:lineRule="exact"/>
      <w:jc w:val="center"/>
    </w:pPr>
    <w:rPr>
      <w:rFonts w:ascii="Verdana" w:hAnsi="Verdana"/>
      <w:kern w:val="0"/>
      <w:szCs w:val="20"/>
      <w:lang w:eastAsia="en-US"/>
    </w:rPr>
  </w:style>
  <w:style w:type="paragraph" w:customStyle="1" w:styleId="718">
    <w:name w:val="样式 标题 1H1Heading 0PIM 1Fab-1h11.Normal + Font: Helvetica..."/>
    <w:basedOn w:val="3"/>
    <w:qFormat/>
    <w:uiPriority w:val="0"/>
    <w:pPr>
      <w:numPr>
        <w:numId w:val="0"/>
      </w:numPr>
      <w:spacing w:before="120" w:after="120" w:line="360" w:lineRule="auto"/>
      <w:ind w:left="900" w:hanging="420"/>
    </w:pPr>
    <w:rPr>
      <w:rFonts w:cs="宋体"/>
      <w:sz w:val="32"/>
      <w:szCs w:val="20"/>
    </w:rPr>
  </w:style>
  <w:style w:type="paragraph" w:customStyle="1" w:styleId="719">
    <w:name w:val="Char Char Char1 Char"/>
    <w:basedOn w:val="1"/>
    <w:qFormat/>
    <w:uiPriority w:val="0"/>
    <w:rPr>
      <w:rFonts w:ascii="Tahoma" w:hAnsi="Tahoma"/>
      <w:sz w:val="24"/>
      <w:szCs w:val="20"/>
    </w:rPr>
  </w:style>
  <w:style w:type="paragraph" w:customStyle="1" w:styleId="720">
    <w:name w:val="xl132"/>
    <w:basedOn w:val="1"/>
    <w:qFormat/>
    <w:uiPriority w:val="0"/>
    <w:pPr>
      <w:widowControl/>
      <w:pBdr>
        <w:top w:val="single" w:color="auto" w:sz="4" w:space="0"/>
        <w:left w:val="single" w:color="auto" w:sz="4" w:space="0"/>
        <w:right w:val="single" w:color="auto" w:sz="4" w:space="0"/>
      </w:pBdr>
      <w:shd w:val="clear" w:color="000000" w:fill="FFCC00"/>
      <w:spacing w:before="100" w:beforeAutospacing="1" w:after="100" w:afterAutospacing="1"/>
      <w:jc w:val="left"/>
    </w:pPr>
    <w:rPr>
      <w:rFonts w:ascii="宋体" w:hAnsi="宋体" w:cs="宋体"/>
      <w:kern w:val="0"/>
      <w:sz w:val="24"/>
    </w:rPr>
  </w:style>
  <w:style w:type="paragraph" w:customStyle="1" w:styleId="721">
    <w:name w:val="样式 样式 样式 样式 标题 3小标题章标题1Bold Headbhlevel_3PIM 3H3Level 3 Head第二层条..."/>
    <w:basedOn w:val="552"/>
    <w:qFormat/>
    <w:uiPriority w:val="0"/>
    <w:pPr>
      <w:tabs>
        <w:tab w:val="left" w:pos="0"/>
      </w:tabs>
      <w:ind w:left="0" w:right="240"/>
    </w:pPr>
    <w:rPr>
      <w:rFonts w:eastAsia="黑体"/>
    </w:rPr>
  </w:style>
  <w:style w:type="paragraph" w:customStyle="1" w:styleId="722">
    <w:name w:val="Test2"/>
    <w:basedOn w:val="2"/>
    <w:qFormat/>
    <w:uiPriority w:val="0"/>
    <w:pPr>
      <w:keepNext w:val="0"/>
      <w:keepLines w:val="0"/>
      <w:widowControl/>
      <w:numPr>
        <w:ilvl w:val="0"/>
        <w:numId w:val="0"/>
      </w:numPr>
      <w:tabs>
        <w:tab w:val="left" w:pos="774"/>
      </w:tabs>
      <w:autoSpaceDE w:val="0"/>
      <w:autoSpaceDN w:val="0"/>
      <w:adjustRightInd w:val="0"/>
      <w:snapToGrid w:val="0"/>
      <w:spacing w:before="360" w:after="360" w:line="240" w:lineRule="atLeast"/>
      <w:ind w:left="774" w:hanging="576"/>
      <w:jc w:val="left"/>
    </w:pPr>
    <w:rPr>
      <w:rFonts w:ascii="宋体" w:eastAsia="宋体"/>
      <w:b w:val="0"/>
      <w:bCs w:val="0"/>
      <w:snapToGrid w:val="0"/>
      <w:kern w:val="0"/>
      <w:sz w:val="28"/>
    </w:rPr>
  </w:style>
  <w:style w:type="paragraph" w:customStyle="1" w:styleId="723">
    <w:name w:val="正文缩进1"/>
    <w:basedOn w:val="1"/>
    <w:next w:val="28"/>
    <w:qFormat/>
    <w:uiPriority w:val="0"/>
    <w:pPr>
      <w:autoSpaceDE w:val="0"/>
      <w:autoSpaceDN w:val="0"/>
      <w:adjustRightInd w:val="0"/>
      <w:snapToGrid w:val="0"/>
      <w:spacing w:after="120" w:line="360" w:lineRule="auto"/>
      <w:ind w:left="420" w:leftChars="200" w:firstLine="480" w:firstLineChars="200"/>
      <w:jc w:val="left"/>
    </w:pPr>
    <w:rPr>
      <w:kern w:val="0"/>
      <w:sz w:val="24"/>
      <w:szCs w:val="21"/>
    </w:rPr>
  </w:style>
  <w:style w:type="paragraph" w:customStyle="1" w:styleId="724">
    <w:name w:val="Char Char Char Char Char Char Char2"/>
    <w:basedOn w:val="1"/>
    <w:qFormat/>
    <w:uiPriority w:val="0"/>
    <w:pPr>
      <w:widowControl/>
      <w:spacing w:after="160" w:line="240" w:lineRule="exact"/>
      <w:jc w:val="left"/>
    </w:pPr>
    <w:rPr>
      <w:szCs w:val="20"/>
    </w:rPr>
  </w:style>
  <w:style w:type="paragraph" w:customStyle="1" w:styleId="725">
    <w:name w:val="项目编号1"/>
    <w:basedOn w:val="1"/>
    <w:next w:val="1"/>
    <w:qFormat/>
    <w:uiPriority w:val="0"/>
    <w:pPr>
      <w:numPr>
        <w:ilvl w:val="0"/>
        <w:numId w:val="39"/>
      </w:numPr>
      <w:spacing w:line="360" w:lineRule="auto"/>
      <w:jc w:val="left"/>
    </w:pPr>
    <w:rPr>
      <w:rFonts w:ascii="宋体"/>
      <w:sz w:val="24"/>
    </w:rPr>
  </w:style>
  <w:style w:type="paragraph" w:customStyle="1" w:styleId="726">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727">
    <w:name w:val="height"/>
    <w:basedOn w:val="1"/>
    <w:qFormat/>
    <w:uiPriority w:val="0"/>
    <w:pPr>
      <w:widowControl/>
      <w:snapToGrid w:val="0"/>
      <w:spacing w:before="100" w:beforeAutospacing="1" w:after="100" w:afterAutospacing="1" w:line="335" w:lineRule="atLeast"/>
      <w:jc w:val="left"/>
    </w:pPr>
    <w:rPr>
      <w:rFonts w:ascii="宋体" w:hAnsi="宋体" w:cs="宋体"/>
      <w:kern w:val="0"/>
      <w:sz w:val="24"/>
    </w:rPr>
  </w:style>
  <w:style w:type="paragraph" w:customStyle="1" w:styleId="728">
    <w:name w:val="题目1"/>
    <w:basedOn w:val="1"/>
    <w:qFormat/>
    <w:uiPriority w:val="0"/>
    <w:pPr>
      <w:tabs>
        <w:tab w:val="left" w:pos="1320"/>
      </w:tabs>
      <w:adjustRightInd w:val="0"/>
      <w:spacing w:line="312" w:lineRule="atLeast"/>
      <w:ind w:left="1320"/>
      <w:textAlignment w:val="baseline"/>
    </w:pPr>
    <w:rPr>
      <w:kern w:val="0"/>
      <w:szCs w:val="20"/>
    </w:rPr>
  </w:style>
  <w:style w:type="paragraph" w:customStyle="1" w:styleId="729">
    <w:name w:val="xl32"/>
    <w:basedOn w:val="1"/>
    <w:qFormat/>
    <w:uiPriority w:val="0"/>
    <w:pPr>
      <w:widowControl/>
      <w:pBdr>
        <w:top w:val="single" w:color="auto" w:sz="8" w:space="0"/>
      </w:pBdr>
      <w:spacing w:before="100" w:beforeAutospacing="1" w:after="100" w:afterAutospacing="1"/>
      <w:jc w:val="left"/>
      <w:textAlignment w:val="center"/>
    </w:pPr>
    <w:rPr>
      <w:rFonts w:ascii="宋体" w:hAnsi="宋体" w:cs="宋体"/>
      <w:kern w:val="0"/>
      <w:sz w:val="20"/>
      <w:szCs w:val="20"/>
    </w:rPr>
  </w:style>
  <w:style w:type="paragraph" w:customStyle="1" w:styleId="730">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731">
    <w:name w:val="样式 标题 2heading 2H2标题 2-3.1标题 4.1h22Header 2l2Level 2 He..."/>
    <w:basedOn w:val="2"/>
    <w:qFormat/>
    <w:uiPriority w:val="0"/>
    <w:pPr>
      <w:keepLines w:val="0"/>
      <w:numPr>
        <w:numId w:val="0"/>
      </w:numPr>
      <w:spacing w:before="100" w:after="60" w:line="240" w:lineRule="auto"/>
    </w:pPr>
    <w:rPr>
      <w:rFonts w:ascii="Times New Roman" w:hAnsi="Times New Roman" w:eastAsia="宋体"/>
      <w:sz w:val="24"/>
      <w:szCs w:val="24"/>
    </w:rPr>
  </w:style>
  <w:style w:type="paragraph" w:customStyle="1" w:styleId="732">
    <w:name w:val="默认段落字体 Para Char"/>
    <w:basedOn w:val="1"/>
    <w:qFormat/>
    <w:uiPriority w:val="0"/>
    <w:pPr>
      <w:adjustRightInd w:val="0"/>
      <w:snapToGrid w:val="0"/>
      <w:spacing w:line="360" w:lineRule="auto"/>
    </w:pPr>
    <w:rPr>
      <w:kern w:val="0"/>
      <w:sz w:val="24"/>
      <w:szCs w:val="20"/>
    </w:rPr>
  </w:style>
  <w:style w:type="paragraph" w:customStyle="1" w:styleId="733">
    <w:name w:val="a14"/>
    <w:basedOn w:val="1"/>
    <w:qFormat/>
    <w:uiPriority w:val="0"/>
    <w:pPr>
      <w:widowControl/>
      <w:spacing w:before="100" w:beforeAutospacing="1" w:after="100" w:afterAutospacing="1"/>
      <w:jc w:val="left"/>
    </w:pPr>
    <w:rPr>
      <w:rFonts w:ascii="宋体" w:hAnsi="宋体" w:cs="宋体"/>
      <w:kern w:val="0"/>
      <w:sz w:val="24"/>
    </w:rPr>
  </w:style>
  <w:style w:type="paragraph" w:customStyle="1" w:styleId="734">
    <w:name w:val="图表备注"/>
    <w:basedOn w:val="1"/>
    <w:qFormat/>
    <w:uiPriority w:val="0"/>
    <w:pPr>
      <w:spacing w:line="360" w:lineRule="auto"/>
      <w:ind w:firstLine="200" w:firstLineChars="200"/>
      <w:jc w:val="left"/>
    </w:pPr>
    <w:rPr>
      <w:sz w:val="18"/>
    </w:rPr>
  </w:style>
  <w:style w:type="paragraph" w:customStyle="1" w:styleId="735">
    <w:name w:val="五级条标题"/>
    <w:basedOn w:val="623"/>
    <w:next w:val="1"/>
    <w:qFormat/>
    <w:uiPriority w:val="0"/>
    <w:pPr>
      <w:numPr>
        <w:ilvl w:val="6"/>
      </w:numPr>
      <w:outlineLvl w:val="6"/>
    </w:pPr>
  </w:style>
  <w:style w:type="paragraph" w:customStyle="1" w:styleId="736">
    <w:name w:val="Char Char Char Char11"/>
    <w:basedOn w:val="1"/>
    <w:qFormat/>
    <w:uiPriority w:val="0"/>
    <w:pPr>
      <w:autoSpaceDE w:val="0"/>
      <w:autoSpaceDN w:val="0"/>
      <w:adjustRightInd w:val="0"/>
      <w:jc w:val="left"/>
    </w:pPr>
    <w:rPr>
      <w:rFonts w:ascii="Tahoma" w:hAnsi="Tahoma"/>
      <w:kern w:val="0"/>
      <w:sz w:val="24"/>
      <w:szCs w:val="20"/>
    </w:rPr>
  </w:style>
  <w:style w:type="paragraph" w:customStyle="1" w:styleId="737">
    <w:name w:val="二级项目正文"/>
    <w:basedOn w:val="1"/>
    <w:qFormat/>
    <w:uiPriority w:val="1"/>
    <w:pPr>
      <w:numPr>
        <w:ilvl w:val="0"/>
        <w:numId w:val="40"/>
      </w:numPr>
      <w:spacing w:line="360" w:lineRule="auto"/>
      <w:ind w:left="0" w:firstLine="960" w:firstLineChars="400"/>
    </w:pPr>
    <w:rPr>
      <w:sz w:val="24"/>
    </w:rPr>
  </w:style>
  <w:style w:type="paragraph" w:customStyle="1" w:styleId="738">
    <w:name w:val="列出段落11"/>
    <w:basedOn w:val="1"/>
    <w:qFormat/>
    <w:uiPriority w:val="0"/>
    <w:pPr>
      <w:spacing w:line="360" w:lineRule="auto"/>
      <w:ind w:firstLine="420" w:firstLineChars="200"/>
    </w:pPr>
    <w:rPr>
      <w:rFonts w:ascii="Calibri" w:hAnsi="Calibri"/>
      <w:sz w:val="24"/>
      <w:szCs w:val="22"/>
    </w:rPr>
  </w:style>
  <w:style w:type="paragraph" w:customStyle="1" w:styleId="739">
    <w:name w:val="样式 标题 5第四层条Titre5H5h5PIM 5Titre 5 lettreheading 5h51hea..."/>
    <w:basedOn w:val="6"/>
    <w:qFormat/>
    <w:uiPriority w:val="0"/>
    <w:pPr>
      <w:numPr>
        <w:ilvl w:val="0"/>
        <w:numId w:val="0"/>
      </w:numPr>
      <w:spacing w:before="100" w:beforeAutospacing="1" w:after="100" w:afterAutospacing="1" w:line="360" w:lineRule="auto"/>
    </w:pPr>
    <w:rPr>
      <w:rFonts w:cs="宋体"/>
      <w:szCs w:val="20"/>
    </w:rPr>
  </w:style>
  <w:style w:type="paragraph" w:customStyle="1" w:styleId="740">
    <w:name w:val="正文下小标题"/>
    <w:basedOn w:val="1"/>
    <w:next w:val="1"/>
    <w:qFormat/>
    <w:uiPriority w:val="0"/>
    <w:pPr>
      <w:spacing w:line="360" w:lineRule="auto"/>
      <w:ind w:firstLine="200" w:firstLineChars="200"/>
    </w:pPr>
    <w:rPr>
      <w:sz w:val="24"/>
    </w:rPr>
  </w:style>
  <w:style w:type="paragraph" w:customStyle="1" w:styleId="741">
    <w:name w:val="xl122"/>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742">
    <w:name w:val="_Style 307"/>
    <w:qFormat/>
    <w:uiPriority w:val="0"/>
    <w:rPr>
      <w:rFonts w:ascii="Calibri" w:hAnsi="Calibri" w:eastAsia="宋体" w:cs="Times New Roman"/>
      <w:lang w:val="en-US" w:eastAsia="zh-CN" w:bidi="ar-SA"/>
    </w:rPr>
  </w:style>
  <w:style w:type="paragraph" w:customStyle="1" w:styleId="743">
    <w:name w:val="a呼市4级标题格式"/>
    <w:basedOn w:val="635"/>
    <w:qFormat/>
    <w:uiPriority w:val="0"/>
    <w:pPr>
      <w:tabs>
        <w:tab w:val="left" w:pos="851"/>
        <w:tab w:val="clear" w:pos="709"/>
      </w:tabs>
      <w:ind w:left="851" w:hanging="851"/>
      <w:outlineLvl w:val="3"/>
    </w:pPr>
  </w:style>
  <w:style w:type="paragraph" w:customStyle="1" w:styleId="744">
    <w:name w:val="标书正文带编号"/>
    <w:basedOn w:val="1"/>
    <w:qFormat/>
    <w:uiPriority w:val="0"/>
    <w:pPr>
      <w:numPr>
        <w:ilvl w:val="0"/>
        <w:numId w:val="41"/>
      </w:numPr>
      <w:autoSpaceDE w:val="0"/>
      <w:autoSpaceDN w:val="0"/>
      <w:adjustRightInd w:val="0"/>
      <w:jc w:val="left"/>
    </w:pPr>
    <w:rPr>
      <w:rFonts w:cs="宋体"/>
      <w:kern w:val="0"/>
      <w:sz w:val="20"/>
      <w:szCs w:val="21"/>
    </w:rPr>
  </w:style>
  <w:style w:type="paragraph" w:customStyle="1" w:styleId="745">
    <w:name w:val="纯文本1"/>
    <w:basedOn w:val="1"/>
    <w:qFormat/>
    <w:uiPriority w:val="0"/>
    <w:pPr>
      <w:adjustRightInd w:val="0"/>
      <w:textAlignment w:val="baseline"/>
    </w:pPr>
    <w:rPr>
      <w:rFonts w:ascii="宋体" w:hAnsi="Courier New"/>
      <w:sz w:val="24"/>
      <w:szCs w:val="20"/>
    </w:rPr>
  </w:style>
  <w:style w:type="paragraph" w:customStyle="1" w:styleId="746">
    <w:name w:val="EHL四级项目"/>
    <w:basedOn w:val="1"/>
    <w:qFormat/>
    <w:uiPriority w:val="0"/>
    <w:pPr>
      <w:tabs>
        <w:tab w:val="left" w:pos="2410"/>
      </w:tabs>
      <w:spacing w:beforeLines="50" w:afterLines="50" w:line="360" w:lineRule="auto"/>
      <w:ind w:left="900"/>
    </w:pPr>
    <w:rPr>
      <w:sz w:val="24"/>
    </w:rPr>
  </w:style>
  <w:style w:type="paragraph" w:customStyle="1" w:styleId="747">
    <w:name w:val="List Header"/>
    <w:qFormat/>
    <w:uiPriority w:val="0"/>
    <w:pPr>
      <w:widowControl w:val="0"/>
      <w:autoSpaceDE w:val="0"/>
      <w:autoSpaceDN w:val="0"/>
      <w:adjustRightInd w:val="0"/>
    </w:pPr>
    <w:rPr>
      <w:rFonts w:ascii="Times New Roman" w:hAnsi="Times New Roman" w:eastAsia="宋体" w:cs="Times New Roman"/>
      <w:b/>
      <w:bCs/>
      <w:i/>
      <w:iCs/>
      <w:color w:val="0000A0"/>
      <w:lang w:val="en-US" w:eastAsia="zh-CN" w:bidi="ar-SA"/>
    </w:rPr>
  </w:style>
  <w:style w:type="paragraph" w:customStyle="1" w:styleId="748">
    <w:name w:val="数字编号列项（二级）"/>
    <w:qFormat/>
    <w:uiPriority w:val="0"/>
    <w:pPr>
      <w:numPr>
        <w:ilvl w:val="1"/>
        <w:numId w:val="25"/>
      </w:numPr>
      <w:jc w:val="both"/>
    </w:pPr>
    <w:rPr>
      <w:rFonts w:ascii="宋体" w:hAnsi="Times New Roman" w:eastAsia="宋体" w:cs="Times New Roman"/>
      <w:sz w:val="21"/>
      <w:lang w:val="en-US" w:eastAsia="zh-CN" w:bidi="ar-SA"/>
    </w:rPr>
  </w:style>
  <w:style w:type="paragraph" w:customStyle="1" w:styleId="749">
    <w:name w:val="字母编号列项（一级）"/>
    <w:qFormat/>
    <w:uiPriority w:val="0"/>
    <w:pPr>
      <w:numPr>
        <w:ilvl w:val="0"/>
        <w:numId w:val="25"/>
      </w:numPr>
      <w:jc w:val="both"/>
    </w:pPr>
    <w:rPr>
      <w:rFonts w:ascii="宋体" w:hAnsi="Times New Roman" w:eastAsia="宋体" w:cs="Times New Roman"/>
      <w:sz w:val="21"/>
      <w:lang w:val="en-US" w:eastAsia="zh-CN" w:bidi="ar-SA"/>
    </w:rPr>
  </w:style>
  <w:style w:type="paragraph" w:customStyle="1" w:styleId="750">
    <w:name w:val="注×："/>
    <w:qFormat/>
    <w:uiPriority w:val="0"/>
    <w:pPr>
      <w:widowControl w:val="0"/>
      <w:tabs>
        <w:tab w:val="left" w:pos="630"/>
        <w:tab w:val="left" w:pos="900"/>
      </w:tabs>
      <w:autoSpaceDE w:val="0"/>
      <w:autoSpaceDN w:val="0"/>
      <w:ind w:left="900" w:hanging="500"/>
      <w:jc w:val="both"/>
    </w:pPr>
    <w:rPr>
      <w:rFonts w:ascii="宋体" w:hAnsi="Times New Roman" w:eastAsia="宋体" w:cs="Times New Roman"/>
      <w:sz w:val="18"/>
      <w:lang w:val="en-US" w:eastAsia="zh-CN" w:bidi="ar-SA"/>
    </w:rPr>
  </w:style>
  <w:style w:type="paragraph" w:customStyle="1" w:styleId="751">
    <w:name w:val="正文段"/>
    <w:basedOn w:val="1"/>
    <w:qFormat/>
    <w:uiPriority w:val="0"/>
    <w:pPr>
      <w:widowControl/>
      <w:adjustRightInd w:val="0"/>
      <w:spacing w:after="240" w:line="360" w:lineRule="atLeast"/>
      <w:ind w:firstLine="454"/>
      <w:textAlignment w:val="bottom"/>
    </w:pPr>
    <w:rPr>
      <w:rFonts w:ascii="宋体"/>
      <w:kern w:val="0"/>
      <w:sz w:val="24"/>
      <w:szCs w:val="20"/>
    </w:rPr>
  </w:style>
  <w:style w:type="paragraph" w:customStyle="1" w:styleId="752">
    <w:name w:val="a南海表名"/>
    <w:qFormat/>
    <w:uiPriority w:val="0"/>
    <w:pPr>
      <w:spacing w:beforeLines="100" w:afterLines="100"/>
      <w:jc w:val="center"/>
    </w:pPr>
    <w:rPr>
      <w:rFonts w:ascii="Cambria" w:hAnsi="Cambria" w:eastAsia="黑体" w:cs="Times New Roman"/>
      <w:bCs/>
      <w:kern w:val="2"/>
      <w:sz w:val="21"/>
      <w:szCs w:val="32"/>
      <w:lang w:val="en-US" w:eastAsia="zh-CN" w:bidi="ar-SA"/>
    </w:rPr>
  </w:style>
  <w:style w:type="table" w:customStyle="1" w:styleId="753">
    <w:name w:val="三线表"/>
    <w:basedOn w:val="69"/>
    <w:qFormat/>
    <w:uiPriority w:val="0"/>
    <w:tblPr>
      <w:tblBorders>
        <w:top w:val="single" w:color="auto" w:sz="12" w:space="0"/>
        <w:bottom w:val="single" w:color="auto" w:sz="12" w:space="0"/>
      </w:tblBorders>
    </w:tblPr>
    <w:tblStylePr w:type="firstRow">
      <w:tcPr>
        <w:tcBorders>
          <w:top w:val="nil"/>
          <w:left w:val="nil"/>
          <w:bottom w:val="single" w:color="auto" w:sz="12" w:space="0"/>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tcPr>
    </w:tblStylePr>
  </w:style>
  <w:style w:type="paragraph" w:customStyle="1" w:styleId="754">
    <w:name w:val="4号正文"/>
    <w:basedOn w:val="16"/>
    <w:qFormat/>
    <w:uiPriority w:val="0"/>
    <w:pPr>
      <w:widowControl/>
      <w:adjustRightInd/>
      <w:spacing w:before="30" w:line="360" w:lineRule="auto"/>
      <w:ind w:firstLine="200" w:firstLineChars="200"/>
      <w:textAlignment w:val="auto"/>
    </w:pPr>
    <w:rPr>
      <w:rFonts w:ascii="Arial" w:hAnsi="Arial"/>
      <w:spacing w:val="6"/>
      <w:sz w:val="24"/>
      <w:szCs w:val="28"/>
    </w:rPr>
  </w:style>
  <w:style w:type="paragraph" w:customStyle="1" w:styleId="755">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756">
    <w:name w:val="样式 首行缩进:  0 字符"/>
    <w:basedOn w:val="1"/>
    <w:qFormat/>
    <w:uiPriority w:val="0"/>
    <w:pPr>
      <w:spacing w:line="360" w:lineRule="auto"/>
      <w:ind w:firstLine="200" w:firstLineChars="200"/>
    </w:pPr>
    <w:rPr>
      <w:rFonts w:ascii="Arial" w:hAnsi="Arial" w:cs="宋体"/>
      <w:sz w:val="24"/>
      <w:szCs w:val="20"/>
    </w:rPr>
  </w:style>
  <w:style w:type="paragraph" w:customStyle="1" w:styleId="757">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758">
    <w:name w:val="l正文"/>
    <w:basedOn w:val="1"/>
    <w:qFormat/>
    <w:uiPriority w:val="0"/>
    <w:pPr>
      <w:spacing w:line="300" w:lineRule="auto"/>
      <w:ind w:firstLine="200" w:firstLineChars="200"/>
      <w:jc w:val="left"/>
    </w:pPr>
    <w:rPr>
      <w:rFonts w:ascii="楷体_GB2312" w:hAnsi="Times" w:eastAsia="楷体_GB2312" w:cs="等线"/>
      <w:sz w:val="24"/>
    </w:rPr>
  </w:style>
  <w:style w:type="paragraph" w:styleId="759">
    <w:name w:val="List Paragraph"/>
    <w:basedOn w:val="1"/>
    <w:qFormat/>
    <w:uiPriority w:val="0"/>
    <w:pPr>
      <w:ind w:firstLine="420" w:firstLineChars="200"/>
    </w:pPr>
    <w:rPr>
      <w:rFonts w:ascii="Helvetica" w:hAnsi="Helvetica" w:eastAsia="Cambria" w:cs="黑体"/>
      <w:szCs w:val="22"/>
    </w:rPr>
  </w:style>
  <w:style w:type="paragraph" w:customStyle="1" w:styleId="760">
    <w:name w:val="保留正文"/>
    <w:basedOn w:val="26"/>
    <w:qFormat/>
    <w:uiPriority w:val="0"/>
    <w:pPr>
      <w:keepNext/>
      <w:spacing w:after="160"/>
    </w:pPr>
  </w:style>
  <w:style w:type="paragraph" w:customStyle="1" w:styleId="761">
    <w:name w:val="BZ_一级标题"/>
    <w:basedOn w:val="3"/>
    <w:next w:val="762"/>
    <w:qFormat/>
    <w:uiPriority w:val="0"/>
    <w:pPr>
      <w:widowControl/>
      <w:numPr>
        <w:numId w:val="42"/>
      </w:numPr>
      <w:spacing w:beforeLines="50" w:afterLines="50"/>
    </w:pPr>
    <w:rPr>
      <w:rFonts w:ascii="Times New Roman" w:eastAsia="华文中宋"/>
      <w:sz w:val="36"/>
      <w:szCs w:val="36"/>
    </w:rPr>
  </w:style>
  <w:style w:type="paragraph" w:customStyle="1" w:styleId="762">
    <w:name w:val="BZ_正文"/>
    <w:basedOn w:val="1"/>
    <w:qFormat/>
    <w:uiPriority w:val="0"/>
    <w:pPr>
      <w:widowControl/>
      <w:spacing w:line="360" w:lineRule="auto"/>
      <w:ind w:firstLine="200" w:firstLineChars="200"/>
    </w:pPr>
    <w:rPr>
      <w:sz w:val="24"/>
    </w:rPr>
  </w:style>
  <w:style w:type="paragraph" w:customStyle="1" w:styleId="763">
    <w:name w:val="BZ_二级标题"/>
    <w:basedOn w:val="2"/>
    <w:next w:val="764"/>
    <w:qFormat/>
    <w:uiPriority w:val="0"/>
    <w:pPr>
      <w:widowControl/>
      <w:numPr>
        <w:numId w:val="42"/>
      </w:numPr>
      <w:spacing w:beforeLines="50" w:afterLines="50" w:line="240" w:lineRule="auto"/>
    </w:pPr>
    <w:rPr>
      <w:rFonts w:eastAsia="楷体"/>
    </w:rPr>
  </w:style>
  <w:style w:type="paragraph" w:customStyle="1" w:styleId="764">
    <w:name w:val="BZ_六级标题"/>
    <w:basedOn w:val="7"/>
    <w:next w:val="762"/>
    <w:qFormat/>
    <w:uiPriority w:val="0"/>
    <w:pPr>
      <w:widowControl/>
      <w:numPr>
        <w:numId w:val="42"/>
      </w:numPr>
      <w:spacing w:beforeLines="50" w:afterLines="50" w:line="240" w:lineRule="auto"/>
    </w:pPr>
    <w:rPr>
      <w:rFonts w:ascii="Times New Roman" w:hAnsi="Times New Roman"/>
      <w:b w:val="0"/>
    </w:rPr>
  </w:style>
  <w:style w:type="paragraph" w:customStyle="1" w:styleId="765">
    <w:name w:val="国普正文"/>
    <w:basedOn w:val="1"/>
    <w:qFormat/>
    <w:uiPriority w:val="0"/>
    <w:pPr>
      <w:spacing w:line="360" w:lineRule="auto"/>
      <w:ind w:firstLine="600" w:firstLineChars="200"/>
    </w:pPr>
    <w:rPr>
      <w:rFonts w:ascii="仿宋_GB2312" w:hAnsi="Calibri" w:eastAsia="仿宋_GB2312" w:cs="黑体"/>
      <w:sz w:val="30"/>
      <w:szCs w:val="30"/>
    </w:rPr>
  </w:style>
  <w:style w:type="paragraph" w:customStyle="1" w:styleId="766">
    <w:name w:val="BZ_三级标题"/>
    <w:basedOn w:val="4"/>
    <w:next w:val="762"/>
    <w:qFormat/>
    <w:uiPriority w:val="0"/>
    <w:pPr>
      <w:widowControl/>
      <w:numPr>
        <w:numId w:val="42"/>
      </w:numPr>
      <w:spacing w:beforeLines="50" w:afterLines="50" w:line="240" w:lineRule="auto"/>
    </w:pPr>
    <w:rPr>
      <w:rFonts w:eastAsia="黑体"/>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427E0-92BE-4B50-B5CA-BFC058347545}">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54</Pages>
  <Words>34680</Words>
  <Characters>36455</Characters>
  <Lines>263</Lines>
  <Paragraphs>74</Paragraphs>
  <TotalTime>16</TotalTime>
  <ScaleCrop>false</ScaleCrop>
  <LinksUpToDate>false</LinksUpToDate>
  <CharactersWithSpaces>38892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2018-11-19T07:08:00Z</dcterms:created>
  <dc:creator>猪猪猫.CN</dc:creator>
  <cp:lastModifiedBy>阿来、</cp:lastModifiedBy>
  <cp:lastPrinted>2011-04-19T08:10:00Z</cp:lastPrinted>
  <dcterms:modified xsi:type="dcterms:W3CDTF">2022-08-15T02:59:41Z</dcterms:modified>
  <dc:title>温州市政府集中采购</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8D2A2DE8E0034F3799002E880506C179</vt:lpwstr>
  </property>
</Properties>
</file>